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36"/>
          <w:highlight w:val="none"/>
        </w:rPr>
      </w:pPr>
    </w:p>
    <w:p>
      <w:pPr>
        <w:jc w:val="center"/>
        <w:rPr>
          <w:rFonts w:ascii="宋体" w:hAnsi="宋体" w:cs="宋体"/>
          <w:b/>
          <w:sz w:val="36"/>
          <w:highlight w:val="none"/>
        </w:rPr>
      </w:pPr>
    </w:p>
    <w:p>
      <w:pPr>
        <w:rPr>
          <w:rFonts w:ascii="宋体" w:hAnsi="宋体" w:cs="宋体"/>
          <w:b/>
          <w:sz w:val="28"/>
          <w:szCs w:val="24"/>
          <w:highlight w:val="none"/>
        </w:rPr>
      </w:pPr>
    </w:p>
    <w:p>
      <w:pPr>
        <w:pStyle w:val="20"/>
        <w:spacing w:line="300" w:lineRule="auto"/>
        <w:jc w:val="both"/>
        <w:rPr>
          <w:rFonts w:ascii="宋体" w:hAnsi="宋体" w:cs="宋体"/>
          <w:sz w:val="48"/>
          <w:szCs w:val="48"/>
          <w:highlight w:val="none"/>
        </w:rPr>
      </w:pPr>
    </w:p>
    <w:p>
      <w:pPr>
        <w:jc w:val="center"/>
        <w:outlineLvl w:val="0"/>
        <w:rPr>
          <w:rFonts w:hint="eastAsia" w:ascii="宋体" w:hAnsi="宋体" w:cs="宋体"/>
          <w:b/>
          <w:sz w:val="96"/>
          <w:szCs w:val="21"/>
          <w:highlight w:val="none"/>
        </w:rPr>
      </w:pPr>
      <w:bookmarkStart w:id="0" w:name="_Toc23020"/>
      <w:bookmarkStart w:id="1" w:name="_Toc23641"/>
      <w:r>
        <w:rPr>
          <w:rFonts w:hint="eastAsia" w:ascii="宋体" w:hAnsi="宋体" w:cs="宋体"/>
          <w:b/>
          <w:sz w:val="96"/>
          <w:szCs w:val="21"/>
          <w:highlight w:val="none"/>
        </w:rPr>
        <w:t>竞争性磋商文件</w:t>
      </w:r>
      <w:bookmarkEnd w:id="0"/>
      <w:bookmarkEnd w:id="1"/>
    </w:p>
    <w:p>
      <w:pPr>
        <w:pStyle w:val="9"/>
        <w:rPr>
          <w:rFonts w:hint="eastAsia" w:ascii="宋体" w:hAnsi="宋体" w:cs="宋体"/>
          <w:b/>
          <w:sz w:val="96"/>
          <w:szCs w:val="21"/>
          <w:highlight w:val="none"/>
        </w:rPr>
      </w:pPr>
    </w:p>
    <w:p>
      <w:pPr>
        <w:rPr>
          <w:rFonts w:hint="eastAsia" w:ascii="宋体" w:hAnsi="宋体" w:cs="宋体"/>
          <w:b/>
          <w:sz w:val="96"/>
          <w:szCs w:val="21"/>
          <w:highlight w:val="none"/>
        </w:rPr>
      </w:pPr>
    </w:p>
    <w:p>
      <w:pPr>
        <w:pStyle w:val="9"/>
      </w:pPr>
    </w:p>
    <w:p>
      <w:pPr>
        <w:tabs>
          <w:tab w:val="left" w:pos="1620"/>
          <w:tab w:val="left" w:pos="1800"/>
          <w:tab w:val="left" w:pos="1980"/>
        </w:tabs>
        <w:spacing w:line="720" w:lineRule="auto"/>
        <w:jc w:val="center"/>
        <w:rPr>
          <w:rFonts w:hint="eastAsia" w:ascii="宋体" w:hAnsi="宋体" w:eastAsia="宋体" w:cs="宋体"/>
          <w:sz w:val="33"/>
          <w:highlight w:val="none"/>
          <w:lang w:eastAsia="zh-CN"/>
        </w:rPr>
      </w:pPr>
      <w:r>
        <w:rPr>
          <w:rFonts w:hint="eastAsia" w:ascii="宋体" w:hAnsi="宋体" w:cs="宋体"/>
          <w:sz w:val="33"/>
          <w:highlight w:val="none"/>
        </w:rPr>
        <w:t>项目编号：</w:t>
      </w:r>
      <w:r>
        <w:rPr>
          <w:rFonts w:hint="eastAsia" w:ascii="宋体" w:hAnsi="宋体" w:cs="宋体"/>
          <w:sz w:val="33"/>
          <w:highlight w:val="none"/>
          <w:lang w:eastAsia="zh-CN"/>
        </w:rPr>
        <w:t>MFX-CGZBDL-2023-043</w:t>
      </w:r>
    </w:p>
    <w:p>
      <w:pPr>
        <w:jc w:val="center"/>
        <w:rPr>
          <w:rFonts w:ascii="宋体" w:hAnsi="宋体" w:cs="宋体"/>
          <w:sz w:val="33"/>
          <w:highlight w:val="none"/>
        </w:rPr>
      </w:pPr>
    </w:p>
    <w:p>
      <w:pPr>
        <w:pStyle w:val="9"/>
        <w:ind w:firstLine="660"/>
        <w:rPr>
          <w:rFonts w:ascii="宋体" w:hAnsi="宋体" w:cs="宋体"/>
          <w:sz w:val="33"/>
          <w:highlight w:val="none"/>
        </w:rPr>
      </w:pPr>
    </w:p>
    <w:p>
      <w:pPr>
        <w:pStyle w:val="40"/>
        <w:outlineLvl w:val="0"/>
        <w:rPr>
          <w:rFonts w:hint="eastAsia" w:ascii="宋体" w:hAnsi="宋体" w:eastAsia="宋体" w:cs="宋体"/>
          <w:b/>
          <w:color w:val="auto"/>
          <w:sz w:val="32"/>
          <w:szCs w:val="32"/>
          <w:highlight w:val="none"/>
          <w:lang w:val="en-US" w:eastAsia="zh-CN" w:bidi="ar-SA"/>
        </w:rPr>
      </w:pPr>
      <w:r>
        <w:rPr>
          <w:rFonts w:hint="eastAsia" w:ascii="宋体" w:hAnsi="宋体" w:cs="宋体"/>
          <w:b/>
          <w:sz w:val="32"/>
          <w:szCs w:val="32"/>
          <w:highlight w:val="none"/>
        </w:rPr>
        <w:t xml:space="preserve">  </w:t>
      </w:r>
      <w:r>
        <w:rPr>
          <w:rFonts w:hint="eastAsia" w:ascii="宋体" w:hAnsi="宋体" w:eastAsia="宋体" w:cs="宋体"/>
          <w:b/>
          <w:color w:val="auto"/>
          <w:sz w:val="32"/>
          <w:szCs w:val="32"/>
          <w:highlight w:val="none"/>
          <w:lang w:val="en-US" w:eastAsia="zh-CN" w:bidi="ar-SA"/>
        </w:rPr>
        <w:t xml:space="preserve">  </w:t>
      </w:r>
      <w:bookmarkStart w:id="2" w:name="_Toc13839"/>
      <w:r>
        <w:rPr>
          <w:rFonts w:hint="eastAsia" w:ascii="宋体" w:hAnsi="宋体" w:eastAsia="宋体" w:cs="宋体"/>
          <w:b/>
          <w:color w:val="auto"/>
          <w:sz w:val="32"/>
          <w:szCs w:val="32"/>
          <w:highlight w:val="none"/>
          <w:lang w:val="en-US" w:eastAsia="zh-CN" w:bidi="ar-SA"/>
        </w:rPr>
        <w:t>项目名称：</w:t>
      </w:r>
      <w:bookmarkEnd w:id="2"/>
      <w:r>
        <w:rPr>
          <w:rFonts w:hint="eastAsia" w:ascii="宋体" w:hAnsi="宋体" w:eastAsia="宋体" w:cs="宋体"/>
          <w:b/>
          <w:color w:val="auto"/>
          <w:sz w:val="32"/>
          <w:szCs w:val="32"/>
          <w:highlight w:val="none"/>
          <w:lang w:val="en-US" w:eastAsia="zh-CN" w:bidi="ar-SA"/>
        </w:rPr>
        <w:t>民丰县天桥人行过道安装廊架项目</w:t>
      </w:r>
    </w:p>
    <w:p>
      <w:pPr>
        <w:jc w:val="center"/>
        <w:rPr>
          <w:rFonts w:ascii="宋体" w:hAnsi="宋体" w:cs="宋体"/>
          <w:b/>
          <w:sz w:val="32"/>
          <w:szCs w:val="32"/>
          <w:highlight w:val="none"/>
        </w:rPr>
      </w:pPr>
    </w:p>
    <w:p>
      <w:pPr>
        <w:pStyle w:val="44"/>
        <w:spacing w:line="360" w:lineRule="auto"/>
        <w:ind w:firstLine="643" w:firstLineChars="200"/>
        <w:rPr>
          <w:rFonts w:hint="eastAsia" w:ascii="宋体" w:hAnsi="宋体" w:cs="宋体"/>
          <w:b/>
          <w:color w:val="auto"/>
          <w:sz w:val="32"/>
          <w:szCs w:val="32"/>
          <w:highlight w:val="none"/>
        </w:rPr>
      </w:pPr>
    </w:p>
    <w:p>
      <w:pPr>
        <w:pStyle w:val="44"/>
        <w:spacing w:line="360" w:lineRule="auto"/>
        <w:ind w:firstLine="643" w:firstLineChars="200"/>
        <w:outlineLvl w:val="0"/>
        <w:rPr>
          <w:rFonts w:hint="eastAsia" w:ascii="宋体" w:hAnsi="宋体" w:eastAsia="宋体" w:cs="宋体"/>
          <w:b/>
          <w:color w:val="auto"/>
          <w:sz w:val="32"/>
          <w:szCs w:val="32"/>
          <w:highlight w:val="none"/>
          <w:lang w:val="en-US" w:eastAsia="zh-CN" w:bidi="ar-SA"/>
        </w:rPr>
      </w:pPr>
      <w:bookmarkStart w:id="3" w:name="_Toc3471"/>
      <w:r>
        <w:rPr>
          <w:rFonts w:hint="eastAsia" w:ascii="宋体" w:hAnsi="宋体" w:cs="宋体"/>
          <w:b/>
          <w:color w:val="auto"/>
          <w:sz w:val="32"/>
          <w:szCs w:val="32"/>
          <w:highlight w:val="none"/>
        </w:rPr>
        <w:t>采 购 单 位</w:t>
      </w:r>
      <w:r>
        <w:rPr>
          <w:rFonts w:hint="eastAsia" w:ascii="宋体" w:hAnsi="宋体" w:eastAsia="宋体" w:cs="宋体"/>
          <w:b/>
          <w:color w:val="auto"/>
          <w:sz w:val="32"/>
          <w:szCs w:val="32"/>
          <w:highlight w:val="none"/>
          <w:lang w:val="en-US" w:eastAsia="zh-CN" w:bidi="ar-SA"/>
        </w:rPr>
        <w:t>：</w:t>
      </w:r>
      <w:r>
        <w:rPr>
          <w:rFonts w:hint="eastAsia" w:ascii="宋体" w:hAnsi="宋体" w:cs="宋体"/>
          <w:b/>
          <w:color w:val="auto"/>
          <w:sz w:val="32"/>
          <w:szCs w:val="32"/>
          <w:highlight w:val="none"/>
          <w:lang w:val="en-US" w:eastAsia="zh-CN" w:bidi="ar-SA"/>
        </w:rPr>
        <w:t>民丰县教育和科学技术局</w:t>
      </w:r>
      <w:bookmarkEnd w:id="3"/>
    </w:p>
    <w:p>
      <w:pPr>
        <w:pStyle w:val="44"/>
        <w:spacing w:line="360" w:lineRule="auto"/>
        <w:ind w:firstLine="948" w:firstLineChars="295"/>
        <w:rPr>
          <w:rFonts w:ascii="宋体" w:hAnsi="宋体" w:cs="宋体"/>
          <w:b/>
          <w:color w:val="auto"/>
          <w:sz w:val="32"/>
          <w:szCs w:val="32"/>
          <w:highlight w:val="none"/>
        </w:rPr>
      </w:pPr>
    </w:p>
    <w:p>
      <w:pPr>
        <w:pStyle w:val="44"/>
        <w:spacing w:line="360" w:lineRule="auto"/>
        <w:ind w:firstLine="643" w:firstLineChars="200"/>
        <w:outlineLvl w:val="0"/>
        <w:rPr>
          <w:rFonts w:hint="eastAsia" w:ascii="宋体" w:hAnsi="宋体" w:eastAsia="宋体" w:cs="宋体"/>
          <w:b/>
          <w:color w:val="FF0000"/>
          <w:sz w:val="32"/>
          <w:szCs w:val="32"/>
          <w:highlight w:val="none"/>
          <w:lang w:eastAsia="zh-CN"/>
        </w:rPr>
      </w:pPr>
      <w:bookmarkStart w:id="4" w:name="_Toc31575"/>
      <w:r>
        <w:rPr>
          <w:rFonts w:hint="eastAsia" w:ascii="宋体" w:hAnsi="宋体" w:cs="宋体"/>
          <w:b/>
          <w:color w:val="auto"/>
          <w:sz w:val="32"/>
          <w:szCs w:val="32"/>
          <w:highlight w:val="none"/>
        </w:rPr>
        <w:t>项目编号：</w:t>
      </w:r>
      <w:bookmarkEnd w:id="4"/>
      <w:r>
        <w:rPr>
          <w:rFonts w:hint="eastAsia" w:ascii="宋体" w:hAnsi="宋体" w:cs="宋体"/>
          <w:b/>
          <w:color w:val="auto"/>
          <w:sz w:val="32"/>
          <w:szCs w:val="32"/>
          <w:highlight w:val="none"/>
          <w:lang w:eastAsia="zh-CN"/>
        </w:rPr>
        <w:t>MFX-CGZBDL-2023-043</w:t>
      </w:r>
    </w:p>
    <w:p>
      <w:pPr>
        <w:pStyle w:val="44"/>
        <w:spacing w:line="360" w:lineRule="auto"/>
        <w:ind w:firstLine="948" w:firstLineChars="295"/>
        <w:rPr>
          <w:rFonts w:ascii="宋体" w:hAnsi="宋体" w:cs="宋体"/>
          <w:b/>
          <w:color w:val="FF0000"/>
          <w:sz w:val="32"/>
          <w:szCs w:val="32"/>
          <w:highlight w:val="none"/>
        </w:rPr>
      </w:pPr>
    </w:p>
    <w:p>
      <w:pPr>
        <w:spacing w:line="360" w:lineRule="auto"/>
        <w:ind w:firstLine="643" w:firstLineChars="200"/>
        <w:outlineLvl w:val="0"/>
        <w:rPr>
          <w:rFonts w:hint="eastAsia" w:ascii="宋体" w:hAnsi="宋体" w:eastAsia="宋体" w:cs="宋体"/>
          <w:sz w:val="28"/>
          <w:szCs w:val="36"/>
          <w:highlight w:val="none"/>
          <w:lang w:eastAsia="zh-CN"/>
        </w:rPr>
      </w:pPr>
      <w:bookmarkStart w:id="5" w:name="_Toc11928"/>
      <w:r>
        <w:rPr>
          <w:rFonts w:hint="eastAsia" w:ascii="宋体" w:hAnsi="宋体" w:cs="宋体"/>
          <w:b/>
          <w:kern w:val="0"/>
          <w:sz w:val="32"/>
          <w:szCs w:val="32"/>
          <w:highlight w:val="none"/>
        </w:rPr>
        <w:t>代理机构：</w:t>
      </w:r>
      <w:bookmarkEnd w:id="5"/>
      <w:r>
        <w:rPr>
          <w:rFonts w:hint="eastAsia" w:ascii="宋体" w:hAnsi="宋体" w:cs="宋体"/>
          <w:b/>
          <w:kern w:val="0"/>
          <w:sz w:val="32"/>
          <w:szCs w:val="32"/>
          <w:highlight w:val="none"/>
          <w:lang w:eastAsia="zh-CN"/>
        </w:rPr>
        <w:t>新疆浩诚致远项目管理咨询有限公司</w:t>
      </w:r>
    </w:p>
    <w:p>
      <w:pPr>
        <w:spacing w:line="360" w:lineRule="auto"/>
        <w:ind w:firstLine="560" w:firstLineChars="200"/>
        <w:rPr>
          <w:rFonts w:ascii="宋体" w:hAnsi="宋体" w:cs="宋体"/>
          <w:sz w:val="28"/>
          <w:szCs w:val="36"/>
          <w:highlight w:val="none"/>
        </w:rPr>
      </w:pPr>
    </w:p>
    <w:p>
      <w:pPr>
        <w:jc w:val="center"/>
        <w:rPr>
          <w:rFonts w:ascii="宋体" w:hAnsi="宋体" w:cs="宋体"/>
          <w:sz w:val="28"/>
          <w:szCs w:val="36"/>
          <w:highlight w:val="none"/>
        </w:rPr>
        <w:sectPr>
          <w:headerReference r:id="rId4" w:type="first"/>
          <w:footerReference r:id="rId5" w:type="default"/>
          <w:headerReference r:id="rId3" w:type="even"/>
          <w:footerReference r:id="rId6" w:type="even"/>
          <w:pgSz w:w="11906" w:h="16838"/>
          <w:pgMar w:top="1701" w:right="1440" w:bottom="1440" w:left="1440" w:header="851" w:footer="992" w:gutter="0"/>
          <w:pgNumType w:fmt="decimal" w:start="1"/>
          <w:cols w:space="720" w:num="1"/>
          <w:titlePg/>
          <w:docGrid w:linePitch="312" w:charSpace="0"/>
        </w:sectPr>
      </w:pPr>
    </w:p>
    <w:sdt>
      <w:sdtPr>
        <w:rPr>
          <w:rFonts w:ascii="宋体" w:hAnsi="宋体" w:eastAsia="宋体" w:cs="Times New Roman"/>
          <w:kern w:val="2"/>
          <w:sz w:val="21"/>
          <w:lang w:val="en-US" w:eastAsia="zh-CN" w:bidi="ar-SA"/>
        </w:rPr>
        <w:id w:val="147468886"/>
        <w15:color w:val="DBDBDB"/>
        <w:docPartObj>
          <w:docPartGallery w:val="Table of Contents"/>
          <w:docPartUnique/>
        </w:docPartObj>
      </w:sdtPr>
      <w:sdtEndPr>
        <w:rPr>
          <w:rFonts w:hint="eastAsia" w:ascii="宋体" w:hAnsi="宋体" w:eastAsia="宋体" w:cs="宋体"/>
          <w:b/>
          <w:kern w:val="2"/>
          <w:sz w:val="52"/>
          <w:szCs w:val="36"/>
          <w:highlight w:val="none"/>
          <w:lang w:val="en-US" w:eastAsia="zh-CN" w:bidi="ar-SA"/>
        </w:rPr>
      </w:sdtEndPr>
      <w:sdtContent>
        <w:p>
          <w:pPr>
            <w:spacing w:before="0" w:beforeLines="0" w:after="0" w:afterLines="0" w:line="240" w:lineRule="auto"/>
            <w:ind w:left="0" w:leftChars="0" w:right="0" w:rightChars="0" w:firstLine="0" w:firstLineChars="0"/>
            <w:jc w:val="center"/>
            <w:rPr>
              <w:b/>
              <w:bCs/>
              <w:sz w:val="56"/>
              <w:szCs w:val="52"/>
            </w:rPr>
          </w:pPr>
          <w:r>
            <w:rPr>
              <w:rFonts w:ascii="宋体" w:hAnsi="宋体" w:eastAsia="宋体"/>
              <w:b/>
              <w:bCs/>
              <w:sz w:val="56"/>
              <w:szCs w:val="52"/>
            </w:rPr>
            <w:t>目录</w:t>
          </w:r>
        </w:p>
        <w:p>
          <w:pPr>
            <w:pStyle w:val="77"/>
            <w:tabs>
              <w:tab w:val="right" w:leader="dot" w:pos="8306"/>
            </w:tabs>
            <w:spacing w:line="720" w:lineRule="auto"/>
          </w:pPr>
          <w:r>
            <w:rPr>
              <w:rFonts w:hint="eastAsia"/>
              <w:sz w:val="36"/>
              <w:szCs w:val="36"/>
              <w:highlight w:val="none"/>
              <w:lang w:val="en-US" w:eastAsia="zh-CN"/>
            </w:rPr>
            <w:fldChar w:fldCharType="begin"/>
          </w:r>
          <w:r>
            <w:rPr>
              <w:rFonts w:hint="eastAsia"/>
              <w:sz w:val="36"/>
              <w:szCs w:val="36"/>
              <w:highlight w:val="none"/>
              <w:lang w:val="en-US" w:eastAsia="zh-CN"/>
            </w:rPr>
            <w:instrText xml:space="preserve">TOC \o "1-1" \h \u </w:instrText>
          </w:r>
          <w:r>
            <w:rPr>
              <w:rFonts w:hint="eastAsia"/>
              <w:sz w:val="36"/>
              <w:szCs w:val="36"/>
              <w:highlight w:val="none"/>
              <w:lang w:val="en-US" w:eastAsia="zh-CN"/>
            </w:rPr>
            <w:fldChar w:fldCharType="separate"/>
          </w:r>
        </w:p>
        <w:p>
          <w:pPr>
            <w:pStyle w:val="77"/>
            <w:tabs>
              <w:tab w:val="right" w:leader="dot" w:pos="8306"/>
            </w:tabs>
            <w:spacing w:line="720" w:lineRule="auto"/>
            <w:rPr>
              <w:rFonts w:hint="eastAsia" w:ascii="宋体" w:hAnsi="宋体" w:eastAsia="宋体" w:cs="宋体"/>
              <w:b/>
              <w:bCs/>
              <w:sz w:val="24"/>
              <w:szCs w:val="24"/>
            </w:rPr>
          </w:pPr>
          <w:r>
            <w:rPr>
              <w:rFonts w:hint="eastAsia" w:ascii="宋体" w:hAnsi="宋体" w:eastAsia="宋体" w:cs="宋体"/>
              <w:b/>
              <w:bCs/>
              <w:sz w:val="24"/>
              <w:szCs w:val="48"/>
              <w:highlight w:val="none"/>
              <w:lang w:val="en-US" w:eastAsia="zh-CN"/>
            </w:rPr>
            <w:fldChar w:fldCharType="begin"/>
          </w:r>
          <w:r>
            <w:rPr>
              <w:rFonts w:hint="eastAsia" w:ascii="宋体" w:hAnsi="宋体" w:eastAsia="宋体" w:cs="宋体"/>
              <w:b/>
              <w:bCs/>
              <w:sz w:val="24"/>
              <w:szCs w:val="48"/>
              <w:highlight w:val="none"/>
              <w:lang w:val="en-US" w:eastAsia="zh-CN"/>
            </w:rPr>
            <w:instrText xml:space="preserve"> HYPERLINK \l _Toc21178 </w:instrText>
          </w:r>
          <w:r>
            <w:rPr>
              <w:rFonts w:hint="eastAsia" w:ascii="宋体" w:hAnsi="宋体" w:eastAsia="宋体" w:cs="宋体"/>
              <w:b/>
              <w:bCs/>
              <w:sz w:val="24"/>
              <w:szCs w:val="48"/>
              <w:highlight w:val="none"/>
              <w:lang w:val="en-US" w:eastAsia="zh-CN"/>
            </w:rPr>
            <w:fldChar w:fldCharType="separate"/>
          </w:r>
          <w:r>
            <w:rPr>
              <w:rFonts w:hint="eastAsia" w:ascii="宋体" w:hAnsi="宋体" w:eastAsia="宋体" w:cs="宋体"/>
              <w:b/>
              <w:bCs/>
              <w:sz w:val="24"/>
              <w:szCs w:val="48"/>
              <w:highlight w:val="none"/>
              <w:lang w:val="en-US" w:eastAsia="zh-CN"/>
            </w:rPr>
            <w:t xml:space="preserve">第一章  </w:t>
          </w:r>
          <w:r>
            <w:rPr>
              <w:rFonts w:hint="eastAsia" w:ascii="宋体" w:hAnsi="宋体" w:eastAsia="宋体" w:cs="宋体"/>
              <w:b/>
              <w:bCs/>
              <w:sz w:val="24"/>
              <w:szCs w:val="48"/>
              <w:highlight w:val="none"/>
            </w:rPr>
            <w:t>竞争性磋商公告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_Toc21178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48"/>
              <w:highlight w:val="none"/>
              <w:lang w:val="en-US" w:eastAsia="zh-CN"/>
            </w:rPr>
            <w:fldChar w:fldCharType="end"/>
          </w:r>
        </w:p>
        <w:p>
          <w:pPr>
            <w:pStyle w:val="77"/>
            <w:tabs>
              <w:tab w:val="right" w:leader="dot" w:pos="8306"/>
            </w:tabs>
            <w:spacing w:line="720" w:lineRule="auto"/>
            <w:rPr>
              <w:rFonts w:hint="eastAsia" w:ascii="宋体" w:hAnsi="宋体" w:eastAsia="宋体" w:cs="宋体"/>
              <w:b/>
              <w:bCs/>
              <w:sz w:val="24"/>
              <w:szCs w:val="24"/>
            </w:rPr>
          </w:pPr>
          <w:r>
            <w:rPr>
              <w:rFonts w:hint="eastAsia" w:ascii="宋体" w:hAnsi="宋体" w:eastAsia="宋体" w:cs="宋体"/>
              <w:b/>
              <w:bCs/>
              <w:sz w:val="24"/>
              <w:szCs w:val="48"/>
              <w:highlight w:val="none"/>
              <w:lang w:val="en-US" w:eastAsia="zh-CN"/>
            </w:rPr>
            <w:fldChar w:fldCharType="begin"/>
          </w:r>
          <w:r>
            <w:rPr>
              <w:rFonts w:hint="eastAsia" w:ascii="宋体" w:hAnsi="宋体" w:eastAsia="宋体" w:cs="宋体"/>
              <w:b/>
              <w:bCs/>
              <w:sz w:val="24"/>
              <w:szCs w:val="48"/>
              <w:highlight w:val="none"/>
              <w:lang w:val="en-US" w:eastAsia="zh-CN"/>
            </w:rPr>
            <w:instrText xml:space="preserve"> HYPERLINK \l _Toc20886 </w:instrText>
          </w:r>
          <w:r>
            <w:rPr>
              <w:rFonts w:hint="eastAsia" w:ascii="宋体" w:hAnsi="宋体" w:eastAsia="宋体" w:cs="宋体"/>
              <w:b/>
              <w:bCs/>
              <w:sz w:val="24"/>
              <w:szCs w:val="48"/>
              <w:highlight w:val="none"/>
              <w:lang w:val="en-US" w:eastAsia="zh-CN"/>
            </w:rPr>
            <w:fldChar w:fldCharType="separate"/>
          </w:r>
          <w:r>
            <w:rPr>
              <w:rFonts w:hint="eastAsia" w:ascii="宋体" w:hAnsi="宋体" w:eastAsia="宋体" w:cs="宋体"/>
              <w:b/>
              <w:bCs/>
              <w:sz w:val="24"/>
              <w:szCs w:val="48"/>
              <w:highlight w:val="none"/>
              <w:lang w:val="en-US" w:eastAsia="zh-CN"/>
            </w:rPr>
            <w:t xml:space="preserve">第二章  </w:t>
          </w:r>
          <w:r>
            <w:rPr>
              <w:rFonts w:hint="eastAsia" w:ascii="宋体" w:hAnsi="宋体" w:eastAsia="宋体" w:cs="宋体"/>
              <w:b/>
              <w:bCs/>
              <w:sz w:val="24"/>
              <w:szCs w:val="48"/>
              <w:highlight w:val="none"/>
            </w:rPr>
            <w:t>投标人须知前附表</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_Toc20886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w:t>
          </w:r>
          <w:r>
            <w:rPr>
              <w:rFonts w:hint="eastAsia" w:ascii="宋体" w:hAnsi="宋体" w:eastAsia="宋体" w:cs="宋体"/>
              <w:b/>
              <w:bCs/>
              <w:sz w:val="24"/>
              <w:szCs w:val="24"/>
            </w:rPr>
            <w:fldChar w:fldCharType="end"/>
          </w:r>
          <w:r>
            <w:rPr>
              <w:rFonts w:hint="eastAsia" w:ascii="宋体" w:hAnsi="宋体" w:eastAsia="宋体" w:cs="宋体"/>
              <w:b/>
              <w:bCs/>
              <w:sz w:val="24"/>
              <w:szCs w:val="48"/>
              <w:highlight w:val="none"/>
              <w:lang w:val="en-US" w:eastAsia="zh-CN"/>
            </w:rPr>
            <w:fldChar w:fldCharType="end"/>
          </w:r>
        </w:p>
        <w:p>
          <w:pPr>
            <w:pStyle w:val="77"/>
            <w:tabs>
              <w:tab w:val="right" w:leader="dot" w:pos="8306"/>
            </w:tabs>
            <w:spacing w:line="720" w:lineRule="auto"/>
            <w:rPr>
              <w:rFonts w:hint="eastAsia" w:ascii="宋体" w:hAnsi="宋体" w:eastAsia="宋体" w:cs="宋体"/>
              <w:b/>
              <w:bCs/>
              <w:sz w:val="24"/>
              <w:szCs w:val="24"/>
            </w:rPr>
          </w:pPr>
          <w:r>
            <w:rPr>
              <w:rFonts w:hint="eastAsia" w:ascii="宋体" w:hAnsi="宋体" w:eastAsia="宋体" w:cs="宋体"/>
              <w:b/>
              <w:bCs/>
              <w:sz w:val="24"/>
              <w:szCs w:val="48"/>
              <w:highlight w:val="none"/>
              <w:lang w:val="en-US" w:eastAsia="zh-CN"/>
            </w:rPr>
            <w:fldChar w:fldCharType="begin"/>
          </w:r>
          <w:r>
            <w:rPr>
              <w:rFonts w:hint="eastAsia" w:ascii="宋体" w:hAnsi="宋体" w:eastAsia="宋体" w:cs="宋体"/>
              <w:b/>
              <w:bCs/>
              <w:sz w:val="24"/>
              <w:szCs w:val="48"/>
              <w:highlight w:val="none"/>
              <w:lang w:val="en-US" w:eastAsia="zh-CN"/>
            </w:rPr>
            <w:instrText xml:space="preserve"> HYPERLINK \l _Toc25705 </w:instrText>
          </w:r>
          <w:r>
            <w:rPr>
              <w:rFonts w:hint="eastAsia" w:ascii="宋体" w:hAnsi="宋体" w:eastAsia="宋体" w:cs="宋体"/>
              <w:b/>
              <w:bCs/>
              <w:sz w:val="24"/>
              <w:szCs w:val="48"/>
              <w:highlight w:val="none"/>
              <w:lang w:val="en-US" w:eastAsia="zh-CN"/>
            </w:rPr>
            <w:fldChar w:fldCharType="separate"/>
          </w:r>
          <w:r>
            <w:rPr>
              <w:rFonts w:hint="eastAsia" w:ascii="宋体" w:hAnsi="宋体" w:eastAsia="宋体" w:cs="宋体"/>
              <w:b/>
              <w:bCs/>
              <w:sz w:val="24"/>
              <w:szCs w:val="48"/>
              <w:highlight w:val="none"/>
            </w:rPr>
            <w:t>第</w:t>
          </w:r>
          <w:r>
            <w:rPr>
              <w:rFonts w:hint="eastAsia" w:ascii="宋体" w:hAnsi="宋体" w:eastAsia="宋体" w:cs="宋体"/>
              <w:b/>
              <w:bCs/>
              <w:sz w:val="24"/>
              <w:szCs w:val="48"/>
              <w:highlight w:val="none"/>
              <w:lang w:val="en-US" w:eastAsia="zh-CN"/>
            </w:rPr>
            <w:t>三章</w:t>
          </w:r>
          <w:r>
            <w:rPr>
              <w:rFonts w:hint="eastAsia" w:ascii="宋体" w:hAnsi="宋体" w:eastAsia="宋体" w:cs="宋体"/>
              <w:b/>
              <w:bCs/>
              <w:sz w:val="24"/>
              <w:szCs w:val="48"/>
              <w:highlight w:val="none"/>
            </w:rPr>
            <w:t xml:space="preserve">  投标人须知</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_Toc25705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9</w:t>
          </w:r>
          <w:r>
            <w:rPr>
              <w:rFonts w:hint="eastAsia" w:ascii="宋体" w:hAnsi="宋体" w:eastAsia="宋体" w:cs="宋体"/>
              <w:b/>
              <w:bCs/>
              <w:sz w:val="24"/>
              <w:szCs w:val="24"/>
            </w:rPr>
            <w:fldChar w:fldCharType="end"/>
          </w:r>
          <w:r>
            <w:rPr>
              <w:rFonts w:hint="eastAsia" w:ascii="宋体" w:hAnsi="宋体" w:eastAsia="宋体" w:cs="宋体"/>
              <w:b/>
              <w:bCs/>
              <w:sz w:val="24"/>
              <w:szCs w:val="48"/>
              <w:highlight w:val="none"/>
              <w:lang w:val="en-US" w:eastAsia="zh-CN"/>
            </w:rPr>
            <w:fldChar w:fldCharType="end"/>
          </w:r>
        </w:p>
        <w:p>
          <w:pPr>
            <w:pStyle w:val="77"/>
            <w:tabs>
              <w:tab w:val="right" w:leader="dot" w:pos="8306"/>
            </w:tabs>
            <w:spacing w:line="720" w:lineRule="auto"/>
            <w:rPr>
              <w:rFonts w:hint="eastAsia" w:ascii="宋体" w:hAnsi="宋体" w:eastAsia="宋体" w:cs="宋体"/>
              <w:b/>
              <w:bCs/>
              <w:sz w:val="24"/>
              <w:szCs w:val="24"/>
            </w:rPr>
          </w:pPr>
          <w:r>
            <w:rPr>
              <w:rFonts w:hint="eastAsia" w:ascii="宋体" w:hAnsi="宋体" w:eastAsia="宋体" w:cs="宋体"/>
              <w:b/>
              <w:bCs/>
              <w:sz w:val="24"/>
              <w:szCs w:val="48"/>
              <w:highlight w:val="none"/>
              <w:lang w:val="en-US" w:eastAsia="zh-CN"/>
            </w:rPr>
            <w:fldChar w:fldCharType="begin"/>
          </w:r>
          <w:r>
            <w:rPr>
              <w:rFonts w:hint="eastAsia" w:ascii="宋体" w:hAnsi="宋体" w:eastAsia="宋体" w:cs="宋体"/>
              <w:b/>
              <w:bCs/>
              <w:sz w:val="24"/>
              <w:szCs w:val="48"/>
              <w:highlight w:val="none"/>
              <w:lang w:val="en-US" w:eastAsia="zh-CN"/>
            </w:rPr>
            <w:instrText xml:space="preserve"> HYPERLINK \l _Toc18985 </w:instrText>
          </w:r>
          <w:r>
            <w:rPr>
              <w:rFonts w:hint="eastAsia" w:ascii="宋体" w:hAnsi="宋体" w:eastAsia="宋体" w:cs="宋体"/>
              <w:b/>
              <w:bCs/>
              <w:sz w:val="24"/>
              <w:szCs w:val="48"/>
              <w:highlight w:val="none"/>
              <w:lang w:val="en-US" w:eastAsia="zh-CN"/>
            </w:rPr>
            <w:fldChar w:fldCharType="separate"/>
          </w:r>
          <w:r>
            <w:rPr>
              <w:rFonts w:hint="eastAsia" w:ascii="宋体" w:hAnsi="宋体" w:eastAsia="宋体" w:cs="宋体"/>
              <w:b/>
              <w:bCs/>
              <w:sz w:val="24"/>
              <w:szCs w:val="56"/>
              <w:highlight w:val="none"/>
              <w:shd w:val="clear" w:color="auto" w:fill="FFFFFF"/>
            </w:rPr>
            <w:t>第</w:t>
          </w:r>
          <w:r>
            <w:rPr>
              <w:rFonts w:hint="eastAsia" w:ascii="宋体" w:hAnsi="宋体" w:eastAsia="宋体" w:cs="宋体"/>
              <w:b/>
              <w:bCs/>
              <w:sz w:val="24"/>
              <w:szCs w:val="56"/>
              <w:highlight w:val="none"/>
              <w:shd w:val="clear" w:color="auto" w:fill="FFFFFF"/>
              <w:lang w:val="en-US" w:eastAsia="zh-CN"/>
            </w:rPr>
            <w:t>四章</w:t>
          </w:r>
          <w:r>
            <w:rPr>
              <w:rFonts w:hint="eastAsia" w:ascii="宋体" w:hAnsi="宋体" w:eastAsia="宋体" w:cs="宋体"/>
              <w:b/>
              <w:bCs/>
              <w:sz w:val="24"/>
              <w:szCs w:val="56"/>
              <w:highlight w:val="none"/>
              <w:shd w:val="clear" w:color="auto" w:fill="FFFFFF"/>
            </w:rPr>
            <w:t xml:space="preserve">  评分标准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_Toc18985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31</w:t>
          </w:r>
          <w:r>
            <w:rPr>
              <w:rFonts w:hint="eastAsia" w:ascii="宋体" w:hAnsi="宋体" w:eastAsia="宋体" w:cs="宋体"/>
              <w:b/>
              <w:bCs/>
              <w:sz w:val="24"/>
              <w:szCs w:val="24"/>
            </w:rPr>
            <w:fldChar w:fldCharType="end"/>
          </w:r>
          <w:r>
            <w:rPr>
              <w:rFonts w:hint="eastAsia" w:ascii="宋体" w:hAnsi="宋体" w:eastAsia="宋体" w:cs="宋体"/>
              <w:b/>
              <w:bCs/>
              <w:sz w:val="24"/>
              <w:szCs w:val="48"/>
              <w:highlight w:val="none"/>
              <w:lang w:val="en-US" w:eastAsia="zh-CN"/>
            </w:rPr>
            <w:fldChar w:fldCharType="end"/>
          </w:r>
        </w:p>
        <w:p>
          <w:pPr>
            <w:pStyle w:val="77"/>
            <w:tabs>
              <w:tab w:val="right" w:leader="dot" w:pos="8306"/>
            </w:tabs>
            <w:spacing w:line="720" w:lineRule="auto"/>
            <w:rPr>
              <w:rFonts w:hint="eastAsia" w:ascii="宋体" w:hAnsi="宋体" w:eastAsia="宋体" w:cs="宋体"/>
              <w:b/>
              <w:bCs/>
              <w:sz w:val="24"/>
              <w:szCs w:val="24"/>
            </w:rPr>
          </w:pPr>
          <w:r>
            <w:rPr>
              <w:rFonts w:hint="eastAsia" w:ascii="宋体" w:hAnsi="宋体" w:eastAsia="宋体" w:cs="宋体"/>
              <w:b/>
              <w:bCs/>
              <w:sz w:val="24"/>
              <w:szCs w:val="48"/>
              <w:highlight w:val="none"/>
              <w:lang w:val="en-US" w:eastAsia="zh-CN"/>
            </w:rPr>
            <w:fldChar w:fldCharType="begin"/>
          </w:r>
          <w:r>
            <w:rPr>
              <w:rFonts w:hint="eastAsia" w:ascii="宋体" w:hAnsi="宋体" w:eastAsia="宋体" w:cs="宋体"/>
              <w:b/>
              <w:bCs/>
              <w:sz w:val="24"/>
              <w:szCs w:val="48"/>
              <w:highlight w:val="none"/>
              <w:lang w:val="en-US" w:eastAsia="zh-CN"/>
            </w:rPr>
            <w:instrText xml:space="preserve"> HYPERLINK \l _Toc6389 </w:instrText>
          </w:r>
          <w:r>
            <w:rPr>
              <w:rFonts w:hint="eastAsia" w:ascii="宋体" w:hAnsi="宋体" w:eastAsia="宋体" w:cs="宋体"/>
              <w:b/>
              <w:bCs/>
              <w:sz w:val="24"/>
              <w:szCs w:val="48"/>
              <w:highlight w:val="none"/>
              <w:lang w:val="en-US" w:eastAsia="zh-CN"/>
            </w:rPr>
            <w:fldChar w:fldCharType="separate"/>
          </w:r>
          <w:r>
            <w:rPr>
              <w:rFonts w:hint="eastAsia" w:ascii="宋体" w:hAnsi="宋体" w:eastAsia="宋体" w:cs="宋体"/>
              <w:b/>
              <w:bCs/>
              <w:sz w:val="24"/>
              <w:szCs w:val="24"/>
              <w:highlight w:val="none"/>
            </w:rPr>
            <w:t>第</w:t>
          </w:r>
          <w:r>
            <w:rPr>
              <w:rFonts w:hint="eastAsia" w:ascii="宋体" w:hAnsi="宋体" w:eastAsia="宋体" w:cs="宋体"/>
              <w:b/>
              <w:bCs/>
              <w:sz w:val="24"/>
              <w:szCs w:val="24"/>
              <w:highlight w:val="none"/>
              <w:lang w:val="en-US" w:eastAsia="zh-CN"/>
            </w:rPr>
            <w:t xml:space="preserve">五章 </w:t>
          </w:r>
          <w:r>
            <w:rPr>
              <w:rFonts w:hint="eastAsia" w:ascii="宋体" w:hAnsi="宋体" w:eastAsia="宋体" w:cs="宋体"/>
              <w:b/>
              <w:bCs/>
              <w:sz w:val="24"/>
              <w:szCs w:val="24"/>
              <w:highlight w:val="none"/>
            </w:rPr>
            <w:t xml:space="preserve"> 技术规格说明</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_Toc6389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37</w:t>
          </w:r>
          <w:r>
            <w:rPr>
              <w:rFonts w:hint="eastAsia" w:ascii="宋体" w:hAnsi="宋体" w:eastAsia="宋体" w:cs="宋体"/>
              <w:b/>
              <w:bCs/>
              <w:sz w:val="24"/>
              <w:szCs w:val="24"/>
            </w:rPr>
            <w:fldChar w:fldCharType="end"/>
          </w:r>
          <w:r>
            <w:rPr>
              <w:rFonts w:hint="eastAsia" w:ascii="宋体" w:hAnsi="宋体" w:eastAsia="宋体" w:cs="宋体"/>
              <w:b/>
              <w:bCs/>
              <w:sz w:val="24"/>
              <w:szCs w:val="48"/>
              <w:highlight w:val="none"/>
              <w:lang w:val="en-US" w:eastAsia="zh-CN"/>
            </w:rPr>
            <w:fldChar w:fldCharType="end"/>
          </w:r>
        </w:p>
        <w:p>
          <w:pPr>
            <w:pStyle w:val="77"/>
            <w:tabs>
              <w:tab w:val="right" w:leader="dot" w:pos="8306"/>
            </w:tabs>
            <w:spacing w:line="720" w:lineRule="auto"/>
          </w:pPr>
          <w:r>
            <w:rPr>
              <w:rFonts w:hint="eastAsia" w:ascii="宋体" w:hAnsi="宋体" w:eastAsia="宋体" w:cs="宋体"/>
              <w:b/>
              <w:bCs/>
              <w:sz w:val="24"/>
              <w:szCs w:val="48"/>
              <w:highlight w:val="none"/>
              <w:lang w:val="en-US" w:eastAsia="zh-CN"/>
            </w:rPr>
            <w:fldChar w:fldCharType="begin"/>
          </w:r>
          <w:r>
            <w:rPr>
              <w:rFonts w:hint="eastAsia" w:ascii="宋体" w:hAnsi="宋体" w:eastAsia="宋体" w:cs="宋体"/>
              <w:b/>
              <w:bCs/>
              <w:sz w:val="24"/>
              <w:szCs w:val="48"/>
              <w:highlight w:val="none"/>
              <w:lang w:val="en-US" w:eastAsia="zh-CN"/>
            </w:rPr>
            <w:instrText xml:space="preserve"> HYPERLINK \l _Toc13030 </w:instrText>
          </w:r>
          <w:r>
            <w:rPr>
              <w:rFonts w:hint="eastAsia" w:ascii="宋体" w:hAnsi="宋体" w:eastAsia="宋体" w:cs="宋体"/>
              <w:b/>
              <w:bCs/>
              <w:sz w:val="24"/>
              <w:szCs w:val="48"/>
              <w:highlight w:val="none"/>
              <w:lang w:val="en-US" w:eastAsia="zh-CN"/>
            </w:rPr>
            <w:fldChar w:fldCharType="separate"/>
          </w:r>
          <w:r>
            <w:rPr>
              <w:rFonts w:hint="eastAsia" w:ascii="宋体" w:hAnsi="宋体" w:eastAsia="宋体" w:cs="宋体"/>
              <w:b/>
              <w:bCs/>
              <w:sz w:val="24"/>
              <w:szCs w:val="48"/>
            </w:rPr>
            <w:t>第</w:t>
          </w:r>
          <w:r>
            <w:rPr>
              <w:rFonts w:hint="eastAsia" w:ascii="宋体" w:hAnsi="宋体" w:eastAsia="宋体" w:cs="宋体"/>
              <w:b/>
              <w:bCs/>
              <w:sz w:val="24"/>
              <w:szCs w:val="48"/>
              <w:lang w:val="en-US" w:eastAsia="zh-CN"/>
            </w:rPr>
            <w:t>六</w:t>
          </w:r>
          <w:r>
            <w:rPr>
              <w:rFonts w:hint="eastAsia" w:ascii="宋体" w:hAnsi="宋体" w:eastAsia="宋体" w:cs="宋体"/>
              <w:b/>
              <w:bCs/>
              <w:sz w:val="24"/>
              <w:szCs w:val="48"/>
            </w:rPr>
            <w:t>章</w:t>
          </w:r>
          <w:r>
            <w:rPr>
              <w:rFonts w:hint="eastAsia" w:ascii="宋体" w:hAnsi="宋体" w:eastAsia="宋体" w:cs="宋体"/>
              <w:b/>
              <w:bCs/>
              <w:sz w:val="24"/>
              <w:szCs w:val="48"/>
              <w:lang w:val="en-US" w:eastAsia="zh-CN"/>
            </w:rPr>
            <w:t xml:space="preserve">  </w:t>
          </w:r>
          <w:r>
            <w:rPr>
              <w:rFonts w:hint="eastAsia" w:ascii="宋体" w:hAnsi="宋体" w:eastAsia="宋体" w:cs="宋体"/>
              <w:b/>
              <w:bCs/>
              <w:sz w:val="24"/>
              <w:szCs w:val="48"/>
            </w:rPr>
            <w:t>响应文件格式</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_Toc13030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sz w:val="24"/>
              <w:szCs w:val="48"/>
              <w:highlight w:val="none"/>
              <w:lang w:val="en-US" w:eastAsia="zh-CN"/>
            </w:rPr>
            <w:fldChar w:fldCharType="end"/>
          </w:r>
        </w:p>
        <w:p>
          <w:pPr>
            <w:pStyle w:val="3"/>
            <w:keepNext w:val="0"/>
            <w:widowControl/>
            <w:spacing w:line="720" w:lineRule="auto"/>
            <w:jc w:val="center"/>
            <w:outlineLvl w:val="9"/>
            <w:rPr>
              <w:rFonts w:hint="eastAsia"/>
              <w:sz w:val="36"/>
              <w:szCs w:val="36"/>
              <w:highlight w:val="none"/>
              <w:lang w:val="en-US" w:eastAsia="zh-CN"/>
            </w:rPr>
            <w:sectPr>
              <w:headerReference r:id="rId7" w:type="default"/>
              <w:footerReference r:id="rId8" w:type="default"/>
              <w:pgSz w:w="11906" w:h="16838"/>
              <w:pgMar w:top="1440" w:right="1800" w:bottom="1440" w:left="1800" w:header="1203" w:footer="736" w:gutter="0"/>
              <w:pgNumType w:fmt="decimal" w:start="1"/>
              <w:cols w:space="720" w:num="1"/>
            </w:sectPr>
          </w:pPr>
          <w:r>
            <w:rPr>
              <w:rFonts w:hint="eastAsia"/>
              <w:szCs w:val="36"/>
              <w:highlight w:val="none"/>
              <w:lang w:val="en-US" w:eastAsia="zh-CN"/>
            </w:rPr>
            <w:fldChar w:fldCharType="end"/>
          </w:r>
        </w:p>
      </w:sdtContent>
    </w:sdt>
    <w:p>
      <w:pPr>
        <w:pStyle w:val="3"/>
        <w:keepNext w:val="0"/>
        <w:widowControl/>
        <w:spacing w:line="450" w:lineRule="atLeast"/>
        <w:jc w:val="center"/>
        <w:rPr>
          <w:sz w:val="36"/>
          <w:szCs w:val="36"/>
          <w:highlight w:val="none"/>
        </w:rPr>
      </w:pPr>
      <w:bookmarkStart w:id="6" w:name="_Toc21178"/>
      <w:r>
        <w:rPr>
          <w:rFonts w:hint="eastAsia"/>
          <w:sz w:val="36"/>
          <w:szCs w:val="36"/>
          <w:highlight w:val="none"/>
          <w:lang w:val="en-US" w:eastAsia="zh-CN"/>
        </w:rPr>
        <w:t xml:space="preserve">第一章  </w:t>
      </w:r>
      <w:r>
        <w:rPr>
          <w:rFonts w:hint="eastAsia"/>
          <w:sz w:val="36"/>
          <w:szCs w:val="36"/>
          <w:highlight w:val="none"/>
          <w:lang w:eastAsia="zh-CN"/>
        </w:rPr>
        <w:t>民丰县天桥人行过道安装廊架项目</w:t>
      </w:r>
      <w:r>
        <w:rPr>
          <w:rFonts w:hint="eastAsia"/>
          <w:sz w:val="36"/>
          <w:szCs w:val="36"/>
          <w:highlight w:val="none"/>
        </w:rPr>
        <w:t>的</w:t>
      </w:r>
      <w:r>
        <w:rPr>
          <w:sz w:val="36"/>
          <w:szCs w:val="36"/>
          <w:highlight w:val="none"/>
        </w:rPr>
        <w:t>竞争性磋商公告</w:t>
      </w:r>
      <w:bookmarkEnd w:id="6"/>
    </w:p>
    <w:p>
      <w:pPr>
        <w:pBdr>
          <w:top w:val="single" w:color="auto" w:sz="4" w:space="0"/>
          <w:left w:val="single" w:color="auto" w:sz="4" w:space="0"/>
          <w:bottom w:val="single" w:color="auto" w:sz="4" w:space="0"/>
          <w:right w:val="single" w:color="auto" w:sz="4"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pBdr>
          <w:top w:val="single" w:color="auto" w:sz="4" w:space="0"/>
          <w:left w:val="single" w:color="auto" w:sz="4" w:space="0"/>
          <w:bottom w:val="single" w:color="auto" w:sz="4" w:space="0"/>
          <w:right w:val="single" w:color="auto" w:sz="4" w:space="0"/>
        </w:pBd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sz w:val="24"/>
          <w:szCs w:val="24"/>
          <w:lang w:eastAsia="zh-CN"/>
        </w:rPr>
        <w:t>民丰县天桥人行过道安装廊架项目</w:t>
      </w:r>
      <w:r>
        <w:rPr>
          <w:rFonts w:hint="eastAsia" w:ascii="宋体" w:hAnsi="宋体" w:eastAsia="宋体" w:cs="宋体"/>
          <w:sz w:val="24"/>
          <w:szCs w:val="24"/>
        </w:rPr>
        <w:t>的潜在供应商应在新疆政府采购网“政采云平台”（http://www.ccgp-xinjiang.gov.cn/）获取采购文件，并于</w:t>
      </w:r>
      <w:r>
        <w:rPr>
          <w:rFonts w:hint="eastAsia" w:ascii="宋体" w:hAnsi="宋体" w:cs="宋体"/>
          <w:color w:val="auto"/>
          <w:sz w:val="24"/>
          <w:szCs w:val="24"/>
          <w:lang w:val="en-US" w:eastAsia="zh-CN"/>
        </w:rPr>
        <w:t>2023年11月13日16:00</w:t>
      </w:r>
      <w:r>
        <w:rPr>
          <w:rFonts w:hint="eastAsia" w:ascii="宋体" w:hAnsi="宋体" w:eastAsia="宋体" w:cs="宋体"/>
          <w:sz w:val="24"/>
          <w:szCs w:val="24"/>
        </w:rPr>
        <w:t>（北京时间）前提交响应文件。</w:t>
      </w:r>
    </w:p>
    <w:p>
      <w:pPr>
        <w:pStyle w:val="26"/>
        <w:spacing w:before="255" w:beforeAutospacing="0" w:after="255" w:afterAutospacing="0" w:line="450" w:lineRule="atLeast"/>
        <w:jc w:val="both"/>
        <w:rPr>
          <w:rFonts w:ascii="黑体" w:eastAsia="黑体" w:cs="黑体"/>
          <w:sz w:val="31"/>
          <w:szCs w:val="31"/>
          <w:highlight w:val="none"/>
        </w:rPr>
      </w:pPr>
      <w:r>
        <w:rPr>
          <w:rStyle w:val="33"/>
          <w:rFonts w:hint="eastAsia"/>
          <w:sz w:val="27"/>
          <w:szCs w:val="27"/>
          <w:highlight w:val="none"/>
        </w:rPr>
        <w:t>一、项目基本情况</w:t>
      </w:r>
    </w:p>
    <w:p>
      <w:pPr>
        <w:pStyle w:val="26"/>
        <w:spacing w:before="75" w:beforeAutospacing="0" w:after="75" w:afterAutospacing="0" w:line="300" w:lineRule="atLeast"/>
        <w:ind w:firstLine="540" w:firstLineChars="200"/>
        <w:rPr>
          <w:rFonts w:hint="eastAsia" w:ascii="仿宋" w:hAnsi="仿宋" w:eastAsia="仿宋" w:cs="仿宋"/>
          <w:color w:val="000000"/>
          <w:kern w:val="2"/>
          <w:sz w:val="27"/>
          <w:szCs w:val="27"/>
          <w:highlight w:val="none"/>
          <w:lang w:eastAsia="zh-CN"/>
        </w:rPr>
      </w:pPr>
      <w:r>
        <w:rPr>
          <w:rFonts w:hint="eastAsia" w:ascii="仿宋" w:hAnsi="仿宋" w:eastAsia="仿宋" w:cs="仿宋"/>
          <w:color w:val="000000"/>
          <w:kern w:val="2"/>
          <w:sz w:val="27"/>
          <w:szCs w:val="27"/>
          <w:highlight w:val="none"/>
        </w:rPr>
        <w:t>项目编号：</w:t>
      </w:r>
      <w:r>
        <w:rPr>
          <w:rFonts w:hint="eastAsia" w:ascii="仿宋" w:hAnsi="仿宋" w:eastAsia="仿宋" w:cs="仿宋"/>
          <w:color w:val="000000"/>
          <w:kern w:val="2"/>
          <w:sz w:val="27"/>
          <w:szCs w:val="27"/>
          <w:highlight w:val="none"/>
          <w:lang w:eastAsia="zh-CN"/>
        </w:rPr>
        <w:t>MFX-CGZBDL-2023-043</w:t>
      </w:r>
    </w:p>
    <w:p>
      <w:pPr>
        <w:pStyle w:val="26"/>
        <w:spacing w:before="75" w:beforeAutospacing="0" w:after="75" w:afterAutospacing="0" w:line="300" w:lineRule="atLeast"/>
        <w:ind w:left="538" w:leftChars="256"/>
        <w:rPr>
          <w:rFonts w:hint="eastAsia" w:ascii="仿宋" w:hAnsi="仿宋" w:eastAsia="仿宋" w:cs="仿宋"/>
          <w:color w:val="000000"/>
          <w:sz w:val="27"/>
          <w:szCs w:val="27"/>
          <w:highlight w:val="none"/>
          <w:lang w:eastAsia="zh-CN"/>
        </w:rPr>
      </w:pPr>
      <w:r>
        <w:rPr>
          <w:rFonts w:hint="eastAsia" w:ascii="仿宋" w:hAnsi="仿宋" w:eastAsia="仿宋" w:cs="仿宋"/>
          <w:color w:val="000000"/>
          <w:kern w:val="2"/>
          <w:sz w:val="27"/>
          <w:szCs w:val="27"/>
          <w:highlight w:val="none"/>
        </w:rPr>
        <w:t>项目名称：</w:t>
      </w:r>
      <w:r>
        <w:rPr>
          <w:rFonts w:hint="eastAsia" w:ascii="仿宋" w:hAnsi="仿宋" w:eastAsia="仿宋" w:cs="仿宋"/>
          <w:color w:val="000000"/>
          <w:sz w:val="27"/>
          <w:szCs w:val="27"/>
          <w:highlight w:val="none"/>
          <w:lang w:eastAsia="zh-CN"/>
        </w:rPr>
        <w:t>民丰县天桥人行过道安装廊架项目</w:t>
      </w:r>
    </w:p>
    <w:p>
      <w:pPr>
        <w:pStyle w:val="26"/>
        <w:spacing w:before="75" w:beforeAutospacing="0" w:after="75" w:afterAutospacing="0" w:line="300" w:lineRule="atLeast"/>
        <w:ind w:left="538" w:leftChars="256"/>
        <w:rPr>
          <w:rFonts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采购方式：竞争性磋商</w:t>
      </w:r>
    </w:p>
    <w:p>
      <w:pPr>
        <w:pStyle w:val="26"/>
        <w:spacing w:before="75" w:beforeAutospacing="0" w:after="75" w:afterAutospacing="0" w:line="300" w:lineRule="atLeast"/>
        <w:ind w:firstLine="540" w:firstLineChars="200"/>
        <w:rPr>
          <w:rFonts w:hint="eastAsia" w:ascii="仿宋" w:hAnsi="仿宋" w:eastAsia="仿宋" w:cs="仿宋"/>
          <w:kern w:val="2"/>
          <w:sz w:val="27"/>
          <w:szCs w:val="27"/>
          <w:highlight w:val="none"/>
          <w:lang w:val="en-US" w:eastAsia="zh-CN"/>
        </w:rPr>
      </w:pPr>
      <w:r>
        <w:rPr>
          <w:rFonts w:hint="eastAsia" w:ascii="仿宋" w:hAnsi="仿宋" w:eastAsia="仿宋" w:cs="仿宋"/>
          <w:color w:val="000000"/>
          <w:kern w:val="2"/>
          <w:sz w:val="27"/>
          <w:szCs w:val="27"/>
          <w:highlight w:val="none"/>
        </w:rPr>
        <w:t>预</w:t>
      </w:r>
      <w:r>
        <w:rPr>
          <w:rFonts w:hint="eastAsia" w:ascii="仿宋" w:hAnsi="仿宋" w:eastAsia="仿宋" w:cs="仿宋"/>
          <w:kern w:val="2"/>
          <w:sz w:val="27"/>
          <w:szCs w:val="27"/>
          <w:highlight w:val="none"/>
        </w:rPr>
        <w:t>算金额（元）：</w:t>
      </w:r>
      <w:r>
        <w:rPr>
          <w:rFonts w:hint="eastAsia" w:ascii="仿宋" w:hAnsi="仿宋" w:eastAsia="仿宋" w:cs="仿宋"/>
          <w:kern w:val="2"/>
          <w:sz w:val="27"/>
          <w:szCs w:val="27"/>
          <w:highlight w:val="none"/>
          <w:lang w:val="en-US" w:eastAsia="zh-CN"/>
        </w:rPr>
        <w:t>500000</w:t>
      </w:r>
    </w:p>
    <w:p>
      <w:pPr>
        <w:pStyle w:val="26"/>
        <w:spacing w:before="75" w:beforeAutospacing="0" w:after="75" w:afterAutospacing="0" w:line="300" w:lineRule="atLeast"/>
        <w:ind w:firstLine="540" w:firstLineChars="200"/>
        <w:rPr>
          <w:rFonts w:hint="eastAsia" w:ascii="仿宋" w:hAnsi="仿宋" w:eastAsia="仿宋" w:cs="仿宋"/>
          <w:kern w:val="2"/>
          <w:sz w:val="27"/>
          <w:szCs w:val="27"/>
          <w:highlight w:val="none"/>
          <w:lang w:val="en-US" w:eastAsia="zh-CN"/>
        </w:rPr>
      </w:pPr>
      <w:r>
        <w:rPr>
          <w:rFonts w:hint="eastAsia" w:ascii="仿宋" w:hAnsi="仿宋" w:eastAsia="仿宋" w:cs="仿宋"/>
          <w:kern w:val="2"/>
          <w:sz w:val="27"/>
          <w:szCs w:val="27"/>
          <w:highlight w:val="none"/>
        </w:rPr>
        <w:t>最高限价（元）：</w:t>
      </w:r>
      <w:r>
        <w:rPr>
          <w:rFonts w:hint="eastAsia" w:ascii="仿宋" w:hAnsi="仿宋" w:eastAsia="仿宋" w:cs="仿宋"/>
          <w:kern w:val="2"/>
          <w:sz w:val="27"/>
          <w:szCs w:val="27"/>
          <w:highlight w:val="none"/>
          <w:lang w:val="en-US" w:eastAsia="zh-CN"/>
        </w:rPr>
        <w:t>500000</w:t>
      </w:r>
    </w:p>
    <w:p>
      <w:pPr>
        <w:pStyle w:val="26"/>
        <w:spacing w:before="75" w:beforeAutospacing="0" w:after="75" w:afterAutospacing="0" w:line="300" w:lineRule="atLeast"/>
        <w:ind w:firstLine="540" w:firstLineChars="200"/>
        <w:rPr>
          <w:rFonts w:hint="eastAsia" w:ascii="仿宋" w:hAnsi="仿宋" w:eastAsia="仿宋" w:cs="仿宋"/>
          <w:color w:val="000000"/>
          <w:sz w:val="27"/>
          <w:szCs w:val="27"/>
          <w:highlight w:val="none"/>
          <w:lang w:eastAsia="zh-CN"/>
        </w:rPr>
      </w:pPr>
      <w:r>
        <w:rPr>
          <w:rFonts w:hint="eastAsia" w:ascii="仿宋" w:hAnsi="仿宋" w:eastAsia="仿宋" w:cs="仿宋"/>
          <w:color w:val="000000"/>
          <w:kern w:val="2"/>
          <w:sz w:val="27"/>
          <w:szCs w:val="27"/>
          <w:highlight w:val="none"/>
        </w:rPr>
        <w:t>简要规格描述：</w:t>
      </w:r>
      <w:r>
        <w:rPr>
          <w:rFonts w:hint="eastAsia" w:ascii="仿宋" w:hAnsi="仿宋" w:eastAsia="仿宋" w:cs="仿宋"/>
          <w:color w:val="000000"/>
          <w:kern w:val="2"/>
          <w:sz w:val="27"/>
          <w:szCs w:val="27"/>
          <w:highlight w:val="none"/>
          <w:lang w:eastAsia="zh-CN"/>
        </w:rPr>
        <w:t>在原有过街天桥上加装防腐木廊架、栏杆扶手、廊架侧面彩绘等。</w:t>
      </w:r>
    </w:p>
    <w:p>
      <w:pPr>
        <w:pStyle w:val="26"/>
        <w:spacing w:before="75" w:beforeAutospacing="0" w:after="75" w:afterAutospacing="0" w:line="300" w:lineRule="atLeast"/>
        <w:ind w:firstLine="540" w:firstLineChars="200"/>
        <w:rPr>
          <w:rFonts w:hint="eastAsia"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合同履约期限：签订合同后</w:t>
      </w:r>
      <w:r>
        <w:rPr>
          <w:rFonts w:hint="eastAsia" w:ascii="仿宋" w:hAnsi="仿宋" w:eastAsia="仿宋" w:cs="仿宋"/>
          <w:color w:val="000000"/>
          <w:kern w:val="2"/>
          <w:sz w:val="27"/>
          <w:szCs w:val="27"/>
          <w:highlight w:val="none"/>
          <w:lang w:val="en-US" w:eastAsia="zh-CN"/>
        </w:rPr>
        <w:t>30</w:t>
      </w:r>
      <w:r>
        <w:rPr>
          <w:rFonts w:hint="eastAsia" w:ascii="仿宋" w:hAnsi="仿宋" w:eastAsia="仿宋" w:cs="仿宋"/>
          <w:color w:val="000000"/>
          <w:kern w:val="2"/>
          <w:sz w:val="27"/>
          <w:szCs w:val="27"/>
          <w:highlight w:val="none"/>
        </w:rPr>
        <w:t>天内完成</w:t>
      </w:r>
    </w:p>
    <w:p>
      <w:pPr>
        <w:pStyle w:val="26"/>
        <w:spacing w:before="75" w:beforeAutospacing="0" w:after="75" w:afterAutospacing="0" w:line="300" w:lineRule="atLeast"/>
        <w:ind w:firstLine="540" w:firstLineChars="200"/>
        <w:rPr>
          <w:highlight w:val="none"/>
        </w:rPr>
      </w:pPr>
      <w:r>
        <w:rPr>
          <w:rFonts w:hint="eastAsia" w:ascii="仿宋" w:hAnsi="仿宋" w:eastAsia="仿宋" w:cs="仿宋"/>
          <w:color w:val="000000"/>
          <w:kern w:val="2"/>
          <w:sz w:val="27"/>
          <w:szCs w:val="27"/>
          <w:highlight w:val="none"/>
        </w:rPr>
        <w:t>本项目（否）接受联合体投标。</w:t>
      </w:r>
    </w:p>
    <w:p>
      <w:pPr>
        <w:pStyle w:val="26"/>
        <w:spacing w:before="255" w:beforeAutospacing="0" w:after="255" w:afterAutospacing="0" w:line="450" w:lineRule="atLeast"/>
        <w:jc w:val="both"/>
        <w:rPr>
          <w:rFonts w:ascii="黑体" w:eastAsia="黑体" w:cs="黑体"/>
          <w:sz w:val="27"/>
          <w:szCs w:val="27"/>
          <w:highlight w:val="none"/>
        </w:rPr>
      </w:pPr>
      <w:r>
        <w:rPr>
          <w:rStyle w:val="33"/>
          <w:rFonts w:hint="eastAsia"/>
          <w:sz w:val="27"/>
          <w:szCs w:val="27"/>
          <w:highlight w:val="none"/>
        </w:rPr>
        <w:t>二、申请人的资格要求：</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highlight w:val="none"/>
          <w:lang w:eastAsia="zh-CN"/>
        </w:rPr>
        <w:t>1.满足《中华人民共和国政府采购法》第二十二条规定；</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highlight w:val="none"/>
          <w:lang w:eastAsia="zh-CN"/>
        </w:rPr>
        <w:t>2.落实政府采购政策需满足的资格要求：供应商为中小企业/小微企业。</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highlight w:val="none"/>
          <w:lang w:eastAsia="zh-CN"/>
        </w:rPr>
        <w:t>3.本项目的特定资格要求：</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sz w:val="27"/>
          <w:szCs w:val="27"/>
          <w:highlight w:val="none"/>
          <w:lang w:eastAsia="zh-CN"/>
        </w:rPr>
        <w:t>（1）具有有效的营业执照；</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highlight w:val="none"/>
          <w:lang w:eastAsia="zh-CN"/>
        </w:rPr>
        <w:t>（</w:t>
      </w:r>
      <w:r>
        <w:rPr>
          <w:rFonts w:hint="eastAsia" w:ascii="仿宋" w:hAnsi="仿宋" w:eastAsia="仿宋" w:cs="仿宋"/>
          <w:color w:val="000000"/>
          <w:sz w:val="27"/>
          <w:szCs w:val="27"/>
          <w:highlight w:val="none"/>
          <w:lang w:val="en-US" w:eastAsia="zh-CN"/>
        </w:rPr>
        <w:t>2</w:t>
      </w:r>
      <w:r>
        <w:rPr>
          <w:rFonts w:hint="eastAsia" w:ascii="仿宋" w:hAnsi="仿宋" w:eastAsia="仿宋" w:cs="仿宋"/>
          <w:color w:val="000000"/>
          <w:sz w:val="27"/>
          <w:szCs w:val="27"/>
          <w:highlight w:val="none"/>
          <w:lang w:eastAsia="zh-CN"/>
        </w:rPr>
        <w:t>)法定代表人投标需</w:t>
      </w:r>
      <w:r>
        <w:rPr>
          <w:rFonts w:hint="eastAsia" w:ascii="仿宋" w:hAnsi="仿宋" w:eastAsia="仿宋" w:cs="仿宋"/>
          <w:color w:val="000000"/>
          <w:sz w:val="27"/>
          <w:szCs w:val="27"/>
          <w:highlight w:val="none"/>
          <w:lang w:val="en-US" w:eastAsia="zh-CN"/>
        </w:rPr>
        <w:t>提供</w:t>
      </w:r>
      <w:r>
        <w:rPr>
          <w:rFonts w:hint="eastAsia" w:ascii="仿宋" w:hAnsi="仿宋" w:eastAsia="仿宋" w:cs="仿宋"/>
          <w:color w:val="000000"/>
          <w:sz w:val="27"/>
          <w:szCs w:val="27"/>
          <w:highlight w:val="none"/>
          <w:lang w:eastAsia="zh-CN"/>
        </w:rPr>
        <w:t>法定代表人证明书及法定代表人身份证，需提供公司近三个月法定代表人社保证明，委托代理人投标需</w:t>
      </w:r>
      <w:r>
        <w:rPr>
          <w:rFonts w:hint="eastAsia" w:ascii="仿宋" w:hAnsi="仿宋" w:eastAsia="仿宋" w:cs="仿宋"/>
          <w:color w:val="000000"/>
          <w:sz w:val="27"/>
          <w:szCs w:val="27"/>
          <w:highlight w:val="none"/>
          <w:lang w:val="en-US" w:eastAsia="zh-CN"/>
        </w:rPr>
        <w:t>提供</w:t>
      </w:r>
      <w:r>
        <w:rPr>
          <w:rFonts w:hint="eastAsia" w:ascii="仿宋" w:hAnsi="仿宋" w:eastAsia="仿宋" w:cs="仿宋"/>
          <w:color w:val="000000"/>
          <w:sz w:val="27"/>
          <w:szCs w:val="27"/>
          <w:highlight w:val="none"/>
          <w:lang w:eastAsia="zh-CN"/>
        </w:rPr>
        <w:t>法定代表人授权委托书及委托代理人身份证；</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highlight w:val="none"/>
          <w:lang w:eastAsia="zh-CN"/>
        </w:rPr>
        <w:t>（</w:t>
      </w:r>
      <w:r>
        <w:rPr>
          <w:rFonts w:hint="eastAsia" w:ascii="仿宋" w:hAnsi="仿宋" w:eastAsia="仿宋" w:cs="仿宋"/>
          <w:color w:val="000000"/>
          <w:sz w:val="27"/>
          <w:szCs w:val="27"/>
          <w:highlight w:val="none"/>
          <w:lang w:val="en-US" w:eastAsia="zh-CN"/>
        </w:rPr>
        <w:t>3</w:t>
      </w:r>
      <w:r>
        <w:rPr>
          <w:rFonts w:hint="eastAsia" w:ascii="仿宋" w:hAnsi="仿宋" w:eastAsia="仿宋" w:cs="仿宋"/>
          <w:color w:val="000000"/>
          <w:sz w:val="27"/>
          <w:szCs w:val="27"/>
          <w:highlight w:val="none"/>
          <w:lang w:eastAsia="zh-CN"/>
        </w:rPr>
        <w:t>）提供近3个月开具的完税证明（依法免缴的应提供依法免缴的相关证明文件和零申报表）；新成立的公司按实际发生提供。</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highlight w:val="none"/>
          <w:lang w:eastAsia="zh-CN"/>
        </w:rPr>
        <w:t>（</w:t>
      </w:r>
      <w:r>
        <w:rPr>
          <w:rFonts w:hint="eastAsia" w:ascii="仿宋" w:hAnsi="仿宋" w:eastAsia="仿宋" w:cs="仿宋"/>
          <w:color w:val="000000"/>
          <w:sz w:val="27"/>
          <w:szCs w:val="27"/>
          <w:highlight w:val="none"/>
          <w:lang w:val="en-US" w:eastAsia="zh-CN"/>
        </w:rPr>
        <w:t>4</w:t>
      </w:r>
      <w:r>
        <w:rPr>
          <w:rFonts w:hint="eastAsia" w:ascii="仿宋" w:hAnsi="仿宋" w:eastAsia="仿宋" w:cs="仿宋"/>
          <w:color w:val="000000"/>
          <w:sz w:val="27"/>
          <w:szCs w:val="27"/>
          <w:highlight w:val="none"/>
          <w:lang w:eastAsia="zh-CN"/>
        </w:rPr>
        <w:t>）</w:t>
      </w:r>
      <w:r>
        <w:rPr>
          <w:rFonts w:hint="eastAsia" w:eastAsia="仿宋" w:cs="宋体"/>
          <w:color w:val="auto"/>
          <w:sz w:val="24"/>
          <w:lang w:eastAsia="zh-CN"/>
        </w:rPr>
        <w:t>是否提供2022年度第三方审计机构出具的财务审计报告(会计周期不满一年的提供近三个月银行出具的资信证明,近三个月是指2023年</w:t>
      </w:r>
      <w:r>
        <w:rPr>
          <w:rFonts w:hint="eastAsia" w:eastAsia="仿宋" w:cs="宋体"/>
          <w:color w:val="auto"/>
          <w:sz w:val="24"/>
          <w:lang w:val="en-US" w:eastAsia="zh-CN"/>
        </w:rPr>
        <w:t>8</w:t>
      </w:r>
      <w:r>
        <w:rPr>
          <w:rFonts w:hint="eastAsia" w:eastAsia="仿宋" w:cs="宋体"/>
          <w:color w:val="auto"/>
          <w:sz w:val="24"/>
          <w:lang w:eastAsia="zh-CN"/>
        </w:rPr>
        <w:t>月-</w:t>
      </w:r>
      <w:r>
        <w:rPr>
          <w:rFonts w:hint="eastAsia" w:eastAsia="仿宋" w:cs="宋体"/>
          <w:color w:val="auto"/>
          <w:sz w:val="24"/>
          <w:lang w:val="en-US" w:eastAsia="zh-CN"/>
        </w:rPr>
        <w:t>10</w:t>
      </w:r>
      <w:r>
        <w:rPr>
          <w:rFonts w:hint="eastAsia" w:eastAsia="仿宋" w:cs="宋体"/>
          <w:color w:val="auto"/>
          <w:sz w:val="24"/>
          <w:lang w:eastAsia="zh-CN"/>
        </w:rPr>
        <w:t>月）</w:t>
      </w:r>
      <w:r>
        <w:rPr>
          <w:rFonts w:hint="eastAsia" w:ascii="宋体" w:hAnsi="宋体" w:cs="宋体"/>
          <w:color w:val="auto"/>
          <w:sz w:val="24"/>
          <w:lang w:eastAsia="zh-CN"/>
        </w:rPr>
        <w:t>，（2023年新成立的公司不提供）；</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highlight w:val="none"/>
          <w:lang w:eastAsia="zh-CN"/>
        </w:rPr>
        <w:t>（</w:t>
      </w:r>
      <w:r>
        <w:rPr>
          <w:rFonts w:hint="eastAsia" w:ascii="仿宋" w:hAnsi="仿宋" w:eastAsia="仿宋" w:cs="仿宋"/>
          <w:color w:val="000000"/>
          <w:sz w:val="27"/>
          <w:szCs w:val="27"/>
          <w:highlight w:val="none"/>
          <w:lang w:val="en-US" w:eastAsia="zh-CN"/>
        </w:rPr>
        <w:t>5</w:t>
      </w:r>
      <w:r>
        <w:rPr>
          <w:rFonts w:hint="eastAsia" w:ascii="仿宋" w:hAnsi="仿宋" w:eastAsia="仿宋" w:cs="仿宋"/>
          <w:color w:val="000000"/>
          <w:sz w:val="27"/>
          <w:szCs w:val="27"/>
          <w:highlight w:val="none"/>
          <w:lang w:eastAsia="zh-CN"/>
        </w:rPr>
        <w:t>）参加政府采购活动前3年内在经营活动中没有重大违法记录的书面声明；</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highlight w:val="none"/>
          <w:lang w:eastAsia="zh-CN"/>
        </w:rPr>
        <w:t>（</w:t>
      </w:r>
      <w:r>
        <w:rPr>
          <w:rFonts w:hint="eastAsia" w:ascii="仿宋" w:hAnsi="仿宋" w:eastAsia="仿宋" w:cs="仿宋"/>
          <w:color w:val="000000"/>
          <w:sz w:val="27"/>
          <w:szCs w:val="27"/>
          <w:highlight w:val="none"/>
          <w:lang w:val="en-US" w:eastAsia="zh-CN"/>
        </w:rPr>
        <w:t>6</w:t>
      </w:r>
      <w:r>
        <w:rPr>
          <w:rFonts w:hint="eastAsia" w:ascii="仿宋" w:hAnsi="仿宋" w:eastAsia="仿宋" w:cs="仿宋"/>
          <w:color w:val="000000"/>
          <w:sz w:val="27"/>
          <w:szCs w:val="27"/>
          <w:highlight w:val="none"/>
          <w:lang w:eastAsia="zh-CN"/>
        </w:rPr>
        <w:t>）凡拟参加本次招标项目的投标人须提供“信用中国”网站 (www.creditchina.gov.cn）中国政府采购网 (www.ccgp.gov.cn）、国家企业信用信息公示系统(http://www.gsxt.gov.cn)等列入失信被执行人、重大税收违法案件当事人名单、政府采购严重违法失信行为记录名单的（至本项目开始报名之时起，经查询尚在处罚期内的），将拒绝其参加本次政府采购活动；</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hint="eastAsia" w:ascii="仿宋" w:hAnsi="仿宋" w:eastAsia="仿宋" w:cs="仿宋"/>
          <w:color w:val="000000"/>
          <w:sz w:val="27"/>
          <w:szCs w:val="27"/>
          <w:highlight w:val="none"/>
          <w:lang w:eastAsia="zh-CN"/>
        </w:rPr>
      </w:pPr>
      <w:r>
        <w:rPr>
          <w:rFonts w:hint="eastAsia" w:ascii="仿宋" w:hAnsi="仿宋" w:eastAsia="仿宋" w:cs="仿宋"/>
          <w:color w:val="000000"/>
          <w:sz w:val="27"/>
          <w:szCs w:val="27"/>
          <w:highlight w:val="none"/>
          <w:lang w:eastAsia="zh-CN"/>
        </w:rPr>
        <w:t>（</w:t>
      </w:r>
      <w:r>
        <w:rPr>
          <w:rFonts w:hint="eastAsia" w:ascii="仿宋" w:hAnsi="仿宋" w:eastAsia="仿宋" w:cs="仿宋"/>
          <w:color w:val="000000"/>
          <w:sz w:val="27"/>
          <w:szCs w:val="27"/>
          <w:highlight w:val="none"/>
          <w:lang w:val="en-US" w:eastAsia="zh-CN"/>
        </w:rPr>
        <w:t>7）</w:t>
      </w:r>
      <w:r>
        <w:rPr>
          <w:rFonts w:hint="eastAsia" w:ascii="仿宋" w:hAnsi="仿宋" w:eastAsia="仿宋" w:cs="仿宋"/>
          <w:color w:val="000000"/>
          <w:sz w:val="27"/>
          <w:szCs w:val="27"/>
          <w:highlight w:val="none"/>
          <w:lang w:eastAsia="zh-CN"/>
        </w:rPr>
        <w:t>企业负责人为同一人或者存在直接控股、管理关系的不同投标人，不得参加同一合同项下的政府采购活动。否则皆取消投标资格。</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ascii="黑体" w:eastAsia="黑体" w:cs="黑体"/>
          <w:sz w:val="27"/>
          <w:szCs w:val="27"/>
          <w:highlight w:val="none"/>
        </w:rPr>
      </w:pPr>
      <w:r>
        <w:rPr>
          <w:rStyle w:val="33"/>
          <w:rFonts w:hint="eastAsia"/>
          <w:sz w:val="27"/>
          <w:szCs w:val="27"/>
          <w:highlight w:val="none"/>
        </w:rPr>
        <w:t>三、获取采购文件</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540" w:firstLineChars="200"/>
        <w:textAlignment w:val="auto"/>
        <w:rPr>
          <w:rFonts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时间：</w:t>
      </w:r>
      <w:r>
        <w:rPr>
          <w:rFonts w:hint="eastAsia" w:ascii="仿宋" w:hAnsi="仿宋" w:eastAsia="仿宋" w:cs="仿宋"/>
          <w:color w:val="000000"/>
          <w:kern w:val="2"/>
          <w:sz w:val="27"/>
          <w:szCs w:val="27"/>
          <w:highlight w:val="none"/>
          <w:lang w:eastAsia="zh-CN"/>
        </w:rPr>
        <w:t>2023年11月</w:t>
      </w:r>
      <w:r>
        <w:rPr>
          <w:rFonts w:hint="eastAsia" w:ascii="仿宋" w:hAnsi="仿宋" w:eastAsia="仿宋" w:cs="仿宋"/>
          <w:color w:val="000000"/>
          <w:kern w:val="2"/>
          <w:sz w:val="27"/>
          <w:szCs w:val="27"/>
          <w:highlight w:val="none"/>
          <w:lang w:val="en-US" w:eastAsia="zh-CN"/>
        </w:rPr>
        <w:t>0</w:t>
      </w:r>
      <w:r>
        <w:rPr>
          <w:rFonts w:hint="eastAsia" w:ascii="仿宋" w:hAnsi="仿宋" w:eastAsia="仿宋" w:cs="仿宋"/>
          <w:color w:val="000000"/>
          <w:kern w:val="2"/>
          <w:sz w:val="27"/>
          <w:szCs w:val="27"/>
          <w:highlight w:val="none"/>
          <w:lang w:eastAsia="zh-CN"/>
        </w:rPr>
        <w:t>1日</w:t>
      </w:r>
      <w:r>
        <w:rPr>
          <w:rFonts w:hint="eastAsia" w:ascii="仿宋" w:hAnsi="仿宋" w:eastAsia="仿宋" w:cs="仿宋"/>
          <w:color w:val="000000"/>
          <w:kern w:val="2"/>
          <w:sz w:val="27"/>
          <w:szCs w:val="27"/>
          <w:highlight w:val="none"/>
        </w:rPr>
        <w:t>至202</w:t>
      </w:r>
      <w:r>
        <w:rPr>
          <w:rFonts w:hint="eastAsia" w:ascii="仿宋" w:hAnsi="仿宋" w:eastAsia="仿宋" w:cs="仿宋"/>
          <w:color w:val="000000"/>
          <w:kern w:val="2"/>
          <w:sz w:val="27"/>
          <w:szCs w:val="27"/>
          <w:highlight w:val="none"/>
          <w:lang w:val="en-US" w:eastAsia="zh-CN"/>
        </w:rPr>
        <w:t>3</w:t>
      </w:r>
      <w:r>
        <w:rPr>
          <w:rFonts w:hint="eastAsia" w:ascii="仿宋" w:hAnsi="仿宋" w:eastAsia="仿宋" w:cs="仿宋"/>
          <w:color w:val="000000"/>
          <w:kern w:val="2"/>
          <w:sz w:val="27"/>
          <w:szCs w:val="27"/>
          <w:highlight w:val="none"/>
        </w:rPr>
        <w:t>年</w:t>
      </w:r>
      <w:r>
        <w:rPr>
          <w:rFonts w:hint="eastAsia" w:ascii="仿宋" w:hAnsi="仿宋" w:eastAsia="仿宋" w:cs="仿宋"/>
          <w:color w:val="000000"/>
          <w:kern w:val="2"/>
          <w:sz w:val="27"/>
          <w:szCs w:val="27"/>
          <w:highlight w:val="none"/>
          <w:lang w:val="en-US" w:eastAsia="zh-CN"/>
        </w:rPr>
        <w:t>11</w:t>
      </w:r>
      <w:r>
        <w:rPr>
          <w:rFonts w:hint="eastAsia" w:ascii="仿宋" w:hAnsi="仿宋" w:eastAsia="仿宋" w:cs="仿宋"/>
          <w:color w:val="000000"/>
          <w:kern w:val="2"/>
          <w:sz w:val="27"/>
          <w:szCs w:val="27"/>
          <w:highlight w:val="none"/>
        </w:rPr>
        <w:t>月</w:t>
      </w:r>
      <w:r>
        <w:rPr>
          <w:rFonts w:hint="eastAsia" w:ascii="仿宋" w:hAnsi="仿宋" w:eastAsia="仿宋" w:cs="仿宋"/>
          <w:color w:val="000000"/>
          <w:kern w:val="2"/>
          <w:sz w:val="27"/>
          <w:szCs w:val="27"/>
          <w:highlight w:val="none"/>
          <w:lang w:val="en-US" w:eastAsia="zh-CN"/>
        </w:rPr>
        <w:t>12</w:t>
      </w:r>
      <w:r>
        <w:rPr>
          <w:rFonts w:hint="eastAsia" w:ascii="仿宋" w:hAnsi="仿宋" w:eastAsia="仿宋" w:cs="仿宋"/>
          <w:color w:val="000000"/>
          <w:kern w:val="2"/>
          <w:sz w:val="27"/>
          <w:szCs w:val="27"/>
          <w:highlight w:val="none"/>
        </w:rPr>
        <w:t>日，每天上午</w:t>
      </w:r>
      <w:r>
        <w:rPr>
          <w:rFonts w:hint="eastAsia" w:ascii="仿宋" w:hAnsi="仿宋" w:eastAsia="仿宋" w:cs="仿宋"/>
          <w:color w:val="000000"/>
          <w:kern w:val="2"/>
          <w:sz w:val="27"/>
          <w:szCs w:val="27"/>
          <w:highlight w:val="none"/>
          <w:lang w:val="en-US" w:eastAsia="zh-CN"/>
        </w:rPr>
        <w:t>00</w:t>
      </w:r>
      <w:r>
        <w:rPr>
          <w:rFonts w:hint="eastAsia" w:ascii="仿宋" w:hAnsi="仿宋" w:eastAsia="仿宋" w:cs="仿宋"/>
          <w:color w:val="000000"/>
          <w:kern w:val="2"/>
          <w:sz w:val="27"/>
          <w:szCs w:val="27"/>
          <w:highlight w:val="none"/>
        </w:rPr>
        <w:t>:00至</w:t>
      </w:r>
      <w:r>
        <w:rPr>
          <w:rFonts w:hint="eastAsia" w:ascii="仿宋" w:hAnsi="仿宋" w:eastAsia="仿宋" w:cs="仿宋"/>
          <w:color w:val="000000"/>
          <w:kern w:val="2"/>
          <w:sz w:val="27"/>
          <w:szCs w:val="27"/>
          <w:highlight w:val="none"/>
          <w:lang w:val="en-US" w:eastAsia="zh-CN"/>
        </w:rPr>
        <w:t>16</w:t>
      </w:r>
      <w:r>
        <w:rPr>
          <w:rFonts w:hint="eastAsia" w:ascii="仿宋" w:hAnsi="仿宋" w:eastAsia="仿宋" w:cs="仿宋"/>
          <w:color w:val="000000"/>
          <w:kern w:val="2"/>
          <w:sz w:val="27"/>
          <w:szCs w:val="27"/>
          <w:highlight w:val="none"/>
        </w:rPr>
        <w:t>:</w:t>
      </w:r>
      <w:r>
        <w:rPr>
          <w:rFonts w:hint="eastAsia" w:ascii="仿宋" w:hAnsi="仿宋" w:eastAsia="仿宋" w:cs="仿宋"/>
          <w:color w:val="000000"/>
          <w:kern w:val="2"/>
          <w:sz w:val="27"/>
          <w:szCs w:val="27"/>
          <w:highlight w:val="none"/>
          <w:lang w:val="en-US" w:eastAsia="zh-CN"/>
        </w:rPr>
        <w:t>00</w:t>
      </w:r>
      <w:r>
        <w:rPr>
          <w:rFonts w:hint="eastAsia" w:ascii="仿宋" w:hAnsi="仿宋" w:eastAsia="仿宋" w:cs="仿宋"/>
          <w:color w:val="000000"/>
          <w:kern w:val="2"/>
          <w:sz w:val="27"/>
          <w:szCs w:val="27"/>
          <w:highlight w:val="none"/>
        </w:rPr>
        <w:t>，下午16:00至</w:t>
      </w:r>
      <w:r>
        <w:rPr>
          <w:rFonts w:hint="eastAsia" w:ascii="仿宋" w:hAnsi="仿宋" w:eastAsia="仿宋" w:cs="仿宋"/>
          <w:color w:val="000000"/>
          <w:kern w:val="2"/>
          <w:sz w:val="27"/>
          <w:szCs w:val="27"/>
          <w:highlight w:val="none"/>
          <w:lang w:val="en-US" w:eastAsia="zh-CN"/>
        </w:rPr>
        <w:t>23</w:t>
      </w:r>
      <w:r>
        <w:rPr>
          <w:rFonts w:hint="eastAsia" w:ascii="仿宋" w:hAnsi="仿宋" w:eastAsia="仿宋" w:cs="仿宋"/>
          <w:color w:val="000000"/>
          <w:kern w:val="2"/>
          <w:sz w:val="27"/>
          <w:szCs w:val="27"/>
          <w:highlight w:val="none"/>
        </w:rPr>
        <w:t>:</w:t>
      </w:r>
      <w:r>
        <w:rPr>
          <w:rFonts w:hint="eastAsia" w:ascii="仿宋" w:hAnsi="仿宋" w:eastAsia="仿宋" w:cs="仿宋"/>
          <w:color w:val="000000"/>
          <w:kern w:val="2"/>
          <w:sz w:val="27"/>
          <w:szCs w:val="27"/>
          <w:highlight w:val="none"/>
          <w:lang w:val="en-US" w:eastAsia="zh-CN"/>
        </w:rPr>
        <w:t>59</w:t>
      </w:r>
      <w:r>
        <w:rPr>
          <w:rFonts w:hint="eastAsia" w:ascii="仿宋" w:hAnsi="仿宋" w:eastAsia="仿宋" w:cs="仿宋"/>
          <w:color w:val="000000"/>
          <w:kern w:val="2"/>
          <w:sz w:val="27"/>
          <w:szCs w:val="27"/>
          <w:highlight w:val="none"/>
        </w:rPr>
        <w:t>（北京时间，法定节假日除外）</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540" w:firstLineChars="200"/>
        <w:textAlignment w:val="auto"/>
        <w:rPr>
          <w:rFonts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地点：政采云平台</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540" w:firstLineChars="200"/>
        <w:textAlignment w:val="auto"/>
        <w:rPr>
          <w:rFonts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方式：供应商登陆政采云平台在线申请获取采购文件（进入“项目采购”应用，在获取采购文件菜单中选择项目，申请获取采购文件）</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540" w:firstLineChars="200"/>
        <w:textAlignment w:val="auto"/>
        <w:rPr>
          <w:rFonts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售价（元）：0</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ascii="黑体" w:eastAsia="黑体" w:cs="黑体"/>
          <w:sz w:val="27"/>
          <w:szCs w:val="27"/>
          <w:highlight w:val="none"/>
        </w:rPr>
      </w:pPr>
      <w:r>
        <w:rPr>
          <w:rStyle w:val="33"/>
          <w:rFonts w:hint="eastAsia"/>
          <w:sz w:val="27"/>
          <w:szCs w:val="27"/>
          <w:highlight w:val="none"/>
        </w:rPr>
        <w:t>四、响应文件提交</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540" w:firstLineChars="200"/>
        <w:textAlignment w:val="auto"/>
        <w:rPr>
          <w:rFonts w:hint="eastAsia"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提交投标文件截止时间：</w:t>
      </w:r>
      <w:r>
        <w:rPr>
          <w:rFonts w:hint="eastAsia" w:ascii="仿宋" w:hAnsi="仿宋" w:eastAsia="仿宋" w:cs="仿宋"/>
          <w:color w:val="000000"/>
          <w:kern w:val="2"/>
          <w:sz w:val="27"/>
          <w:szCs w:val="27"/>
          <w:highlight w:val="none"/>
          <w:lang w:eastAsia="zh-CN"/>
        </w:rPr>
        <w:t>2023年11月13日16:00</w:t>
      </w:r>
      <w:r>
        <w:rPr>
          <w:rFonts w:hint="eastAsia" w:ascii="仿宋" w:hAnsi="仿宋" w:eastAsia="仿宋" w:cs="仿宋"/>
          <w:color w:val="000000"/>
          <w:kern w:val="2"/>
          <w:sz w:val="27"/>
          <w:szCs w:val="27"/>
          <w:highlight w:val="none"/>
        </w:rPr>
        <w:t>（北京时间）</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540" w:firstLineChars="200"/>
        <w:textAlignment w:val="auto"/>
        <w:rPr>
          <w:rFonts w:hint="eastAsia"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投标地点：政采云平台</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540" w:firstLineChars="200"/>
        <w:textAlignment w:val="auto"/>
        <w:rPr>
          <w:rFonts w:hint="eastAsia" w:ascii="仿宋" w:hAnsi="仿宋" w:eastAsia="仿宋" w:cs="仿宋"/>
          <w:color w:val="000000"/>
          <w:kern w:val="2"/>
          <w:sz w:val="27"/>
          <w:szCs w:val="27"/>
          <w:highlight w:val="yellow"/>
          <w:lang w:eastAsia="zh-CN"/>
        </w:rPr>
      </w:pPr>
      <w:r>
        <w:rPr>
          <w:rFonts w:hint="eastAsia" w:ascii="仿宋" w:hAnsi="仿宋" w:eastAsia="仿宋" w:cs="仿宋"/>
          <w:color w:val="000000"/>
          <w:kern w:val="2"/>
          <w:sz w:val="27"/>
          <w:szCs w:val="27"/>
          <w:highlight w:val="none"/>
        </w:rPr>
        <w:t>开标时间：</w:t>
      </w:r>
      <w:r>
        <w:rPr>
          <w:rFonts w:hint="eastAsia" w:ascii="仿宋" w:hAnsi="仿宋" w:eastAsia="仿宋" w:cs="仿宋"/>
          <w:color w:val="000000"/>
          <w:kern w:val="2"/>
          <w:sz w:val="27"/>
          <w:szCs w:val="27"/>
          <w:highlight w:val="none"/>
          <w:lang w:eastAsia="zh-CN"/>
        </w:rPr>
        <w:t>2023年11月13日16:00</w:t>
      </w:r>
      <w:bookmarkStart w:id="57" w:name="_GoBack"/>
      <w:bookmarkEnd w:id="57"/>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540" w:firstLineChars="200"/>
        <w:textAlignment w:val="auto"/>
        <w:rPr>
          <w:rFonts w:hint="eastAsia"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开标地点：政采云平台</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ascii="黑体" w:eastAsia="黑体" w:cs="黑体"/>
          <w:sz w:val="31"/>
          <w:szCs w:val="31"/>
          <w:highlight w:val="none"/>
        </w:rPr>
      </w:pPr>
      <w:r>
        <w:rPr>
          <w:rStyle w:val="33"/>
          <w:rFonts w:hint="eastAsia"/>
          <w:sz w:val="27"/>
          <w:szCs w:val="27"/>
          <w:highlight w:val="none"/>
          <w:lang w:eastAsia="zh-CN"/>
        </w:rPr>
        <w:t>五</w:t>
      </w:r>
      <w:r>
        <w:rPr>
          <w:rStyle w:val="33"/>
          <w:rFonts w:hint="eastAsia"/>
          <w:sz w:val="27"/>
          <w:szCs w:val="27"/>
          <w:highlight w:val="none"/>
        </w:rPr>
        <w:t>、公告期限</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firstLine="540" w:firstLineChars="200"/>
        <w:textAlignment w:val="auto"/>
        <w:rPr>
          <w:highlight w:val="none"/>
        </w:rPr>
      </w:pPr>
      <w:r>
        <w:rPr>
          <w:rFonts w:hint="eastAsia" w:ascii="仿宋" w:hAnsi="仿宋" w:eastAsia="仿宋" w:cs="仿宋"/>
          <w:color w:val="000000"/>
          <w:kern w:val="2"/>
          <w:sz w:val="27"/>
          <w:szCs w:val="27"/>
          <w:highlight w:val="none"/>
        </w:rPr>
        <w:t>自本公告发布之日起3个工作日。</w:t>
      </w:r>
    </w:p>
    <w:p>
      <w:pPr>
        <w:pStyle w:val="26"/>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both"/>
        <w:textAlignment w:val="auto"/>
        <w:rPr>
          <w:rFonts w:ascii="黑体" w:eastAsia="黑体" w:cs="黑体"/>
          <w:sz w:val="27"/>
          <w:szCs w:val="27"/>
          <w:highlight w:val="none"/>
        </w:rPr>
      </w:pPr>
      <w:r>
        <w:rPr>
          <w:rStyle w:val="33"/>
          <w:rFonts w:hint="eastAsia"/>
          <w:sz w:val="27"/>
          <w:szCs w:val="27"/>
          <w:highlight w:val="none"/>
          <w:lang w:eastAsia="zh-CN"/>
        </w:rPr>
        <w:t>六</w:t>
      </w:r>
      <w:r>
        <w:rPr>
          <w:rStyle w:val="33"/>
          <w:rFonts w:hint="eastAsia"/>
          <w:sz w:val="27"/>
          <w:szCs w:val="27"/>
          <w:highlight w:val="none"/>
        </w:rPr>
        <w:t>、其他补充事宜</w:t>
      </w:r>
    </w:p>
    <w:p>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1.本项目为</w:t>
      </w:r>
      <w:r>
        <w:rPr>
          <w:rFonts w:hint="eastAsia" w:ascii="宋体" w:hAnsi="宋体" w:eastAsia="宋体" w:cs="宋体"/>
          <w:b/>
          <w:bCs/>
          <w:color w:val="auto"/>
          <w:sz w:val="24"/>
          <w:szCs w:val="24"/>
          <w:lang w:val="en-US" w:eastAsia="zh-CN"/>
        </w:rPr>
        <w:t>不见面</w:t>
      </w:r>
      <w:r>
        <w:rPr>
          <w:rFonts w:hint="eastAsia" w:ascii="宋体" w:hAnsi="宋体" w:eastAsia="宋体" w:cs="宋体"/>
          <w:b/>
          <w:bCs/>
          <w:color w:val="auto"/>
          <w:sz w:val="24"/>
          <w:szCs w:val="24"/>
        </w:rPr>
        <w:t>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2.本项目实行网上投标，采用电子投标文件(供应商须使用CA加密设备通过政采云电子投标客户端制作投标文件)。若供应商参与投标，自行承担投标一切费用。</w:t>
      </w:r>
    </w:p>
    <w:p>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5.供应商在开标时须使用制作加密电子投标文件所使用的CA锁及电脑，电脑须提前配置好浏览器（建议使用谷歌浏览器），以便开标时解锁。</w:t>
      </w:r>
    </w:p>
    <w:p>
      <w:pPr>
        <w:keepNext w:val="0"/>
        <w:keepLines w:val="0"/>
        <w:pageBreakBefore w:val="0"/>
        <w:kinsoku/>
        <w:wordWrap/>
        <w:overflowPunct/>
        <w:topLinePunct w:val="0"/>
        <w:autoSpaceDE/>
        <w:autoSpaceDN/>
        <w:bidi w:val="0"/>
        <w:spacing w:line="42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26"/>
        <w:spacing w:before="255" w:beforeAutospacing="0" w:after="255" w:afterAutospacing="0" w:line="480" w:lineRule="atLeast"/>
        <w:jc w:val="both"/>
        <w:rPr>
          <w:rFonts w:hint="eastAsia"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特别强调：</w:t>
      </w:r>
    </w:p>
    <w:p>
      <w:pPr>
        <w:pStyle w:val="26"/>
        <w:spacing w:before="255" w:beforeAutospacing="0" w:after="255" w:afterAutospacing="0" w:line="240" w:lineRule="auto"/>
        <w:jc w:val="both"/>
        <w:rPr>
          <w:rFonts w:hint="eastAsia"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1、对于未预留份额专门面向中小企业的采购项目， 以及预留份额项目中的 非预留部分采购包，采购人、采购代理机构应当对符合规定的小微企业报价给予 10％~20％ (工程项目为 6％~10％) 的扣除，用扣除后的价格参加评审。适用 招标投标法的政府采购工程建设项目，采用综合评估法但未采用低价优先法计 算价格分的，评标时应当在采用原报价进行评分的基础上增加其价得分的6％~ 10％作为其价格分。</w:t>
      </w:r>
    </w:p>
    <w:p>
      <w:pPr>
        <w:pStyle w:val="26"/>
        <w:spacing w:before="255" w:beforeAutospacing="0" w:after="255" w:afterAutospacing="0" w:line="240" w:lineRule="auto"/>
        <w:jc w:val="both"/>
        <w:rPr>
          <w:rFonts w:hint="eastAsia"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2、接受大中企业与小微企业组成联合体或者允许大中型企业向一家或者多 家小微企业分包的采购项目，对于联合协议或者分包意向协议约定小微企业的 合同份额占到合同总金额 40％以上的，采购人、采购代理机构应当对联合体或 者大中型企业的报价给予4％~6％ (工程项目为2％~4％) 的扣除，用扣除后 的价格参加评审。适用招标投标法的政府采购工程建设项目，采用综合评估法但 未采用低价优先法计算价格分的，评标时应当在采用原报价进行评分的基础上增加其价格得分的2％~4％作为其价格分。</w:t>
      </w:r>
    </w:p>
    <w:p>
      <w:pPr>
        <w:pStyle w:val="26"/>
        <w:spacing w:before="255" w:beforeAutospacing="0" w:after="255" w:afterAutospacing="0" w:line="480" w:lineRule="atLeast"/>
        <w:jc w:val="both"/>
        <w:rPr>
          <w:rFonts w:ascii="黑体" w:eastAsia="黑体" w:cs="黑体"/>
          <w:sz w:val="31"/>
          <w:szCs w:val="31"/>
          <w:highlight w:val="none"/>
        </w:rPr>
      </w:pPr>
      <w:r>
        <w:rPr>
          <w:rStyle w:val="33"/>
          <w:rFonts w:hint="eastAsia"/>
          <w:sz w:val="27"/>
          <w:szCs w:val="27"/>
          <w:highlight w:val="none"/>
          <w:lang w:eastAsia="zh-CN"/>
        </w:rPr>
        <w:t>七</w:t>
      </w:r>
      <w:r>
        <w:rPr>
          <w:rStyle w:val="33"/>
          <w:rFonts w:hint="eastAsia"/>
          <w:sz w:val="27"/>
          <w:szCs w:val="27"/>
          <w:highlight w:val="none"/>
        </w:rPr>
        <w:t>、凡对本次招标提出询问，请按以下方式联系</w:t>
      </w:r>
    </w:p>
    <w:p>
      <w:pPr>
        <w:pStyle w:val="26"/>
        <w:spacing w:before="75" w:beforeAutospacing="0" w:after="75" w:afterAutospacing="0"/>
        <w:ind w:firstLine="540" w:firstLineChars="200"/>
        <w:rPr>
          <w:rFonts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1、采购人信息</w:t>
      </w:r>
    </w:p>
    <w:p>
      <w:pPr>
        <w:pStyle w:val="26"/>
        <w:spacing w:before="75" w:beforeAutospacing="0" w:after="75" w:afterAutospacing="0"/>
        <w:ind w:firstLine="540" w:firstLineChars="200"/>
        <w:rPr>
          <w:rFonts w:hint="eastAsia" w:ascii="仿宋" w:hAnsi="仿宋" w:eastAsia="仿宋" w:cs="仿宋"/>
          <w:color w:val="000000"/>
          <w:sz w:val="27"/>
          <w:szCs w:val="27"/>
          <w:highlight w:val="none"/>
          <w:lang w:val="en-US" w:eastAsia="zh-CN"/>
        </w:rPr>
      </w:pPr>
      <w:r>
        <w:rPr>
          <w:rFonts w:hint="eastAsia" w:ascii="仿宋" w:hAnsi="仿宋" w:eastAsia="仿宋" w:cs="仿宋"/>
          <w:color w:val="000000"/>
          <w:kern w:val="2"/>
          <w:sz w:val="27"/>
          <w:szCs w:val="27"/>
          <w:highlight w:val="none"/>
        </w:rPr>
        <w:t>名 称</w:t>
      </w:r>
      <w:r>
        <w:rPr>
          <w:rStyle w:val="37"/>
          <w:rFonts w:hint="eastAsia" w:ascii="仿宋" w:hAnsi="仿宋" w:eastAsia="仿宋" w:cs="仿宋"/>
          <w:sz w:val="27"/>
          <w:szCs w:val="27"/>
          <w:lang w:val="en-US" w:eastAsia="zh-CN"/>
        </w:rPr>
        <w:t>：民丰县教育和科学技术局</w:t>
      </w:r>
    </w:p>
    <w:p>
      <w:pPr>
        <w:pStyle w:val="26"/>
        <w:spacing w:before="75" w:beforeAutospacing="0" w:after="75" w:afterAutospacing="0"/>
        <w:ind w:left="538" w:leftChars="256"/>
        <w:rPr>
          <w:rFonts w:ascii="仿宋" w:hAnsi="仿宋" w:eastAsia="仿宋" w:cs="仿宋"/>
          <w:color w:val="000000"/>
          <w:sz w:val="27"/>
          <w:szCs w:val="27"/>
          <w:highlight w:val="yellow"/>
        </w:rPr>
      </w:pPr>
      <w:r>
        <w:rPr>
          <w:rFonts w:hint="eastAsia" w:ascii="仿宋" w:hAnsi="仿宋" w:eastAsia="仿宋" w:cs="仿宋"/>
          <w:color w:val="000000"/>
          <w:kern w:val="2"/>
          <w:sz w:val="27"/>
          <w:szCs w:val="27"/>
          <w:highlight w:val="none"/>
        </w:rPr>
        <w:t>地 址：</w:t>
      </w:r>
      <w:r>
        <w:rPr>
          <w:rStyle w:val="37"/>
          <w:rFonts w:hint="eastAsia" w:ascii="仿宋" w:hAnsi="仿宋" w:eastAsia="仿宋" w:cs="仿宋"/>
          <w:sz w:val="27"/>
          <w:szCs w:val="27"/>
          <w:highlight w:val="none"/>
          <w:lang w:val="en-US" w:eastAsia="zh-CN"/>
        </w:rPr>
        <w:t>民丰县</w:t>
      </w:r>
    </w:p>
    <w:p>
      <w:pPr>
        <w:pStyle w:val="26"/>
        <w:spacing w:before="75" w:beforeAutospacing="0" w:after="75" w:afterAutospacing="0"/>
        <w:ind w:firstLine="540" w:firstLineChars="200"/>
        <w:rPr>
          <w:rFonts w:hint="default" w:ascii="仿宋" w:hAnsi="仿宋" w:eastAsia="仿宋" w:cs="仿宋"/>
          <w:sz w:val="27"/>
          <w:szCs w:val="27"/>
          <w:highlight w:val="yellow"/>
          <w:lang w:val="en-US" w:eastAsia="zh-CN"/>
        </w:rPr>
      </w:pPr>
      <w:r>
        <w:rPr>
          <w:rFonts w:hint="eastAsia" w:ascii="仿宋" w:hAnsi="仿宋" w:eastAsia="仿宋" w:cs="仿宋"/>
          <w:color w:val="000000"/>
          <w:kern w:val="2"/>
          <w:sz w:val="27"/>
          <w:szCs w:val="27"/>
          <w:highlight w:val="none"/>
        </w:rPr>
        <w:t>联系方式：</w:t>
      </w:r>
      <w:r>
        <w:rPr>
          <w:rFonts w:hint="eastAsia" w:ascii="仿宋" w:hAnsi="仿宋" w:eastAsia="仿宋" w:cs="仿宋"/>
          <w:color w:val="000000"/>
          <w:kern w:val="2"/>
          <w:sz w:val="27"/>
          <w:szCs w:val="27"/>
          <w:highlight w:val="none"/>
          <w:lang w:val="en-US" w:eastAsia="zh-CN"/>
        </w:rPr>
        <w:t>0903-6750203</w:t>
      </w:r>
    </w:p>
    <w:p>
      <w:pPr>
        <w:pStyle w:val="26"/>
        <w:spacing w:before="75" w:beforeAutospacing="0" w:after="75" w:afterAutospacing="0"/>
        <w:ind w:firstLine="540" w:firstLineChars="200"/>
        <w:rPr>
          <w:rFonts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2、采购代理机构信息</w:t>
      </w:r>
    </w:p>
    <w:p>
      <w:pPr>
        <w:pStyle w:val="26"/>
        <w:spacing w:before="75" w:beforeAutospacing="0" w:after="75" w:afterAutospacing="0"/>
        <w:ind w:firstLine="540" w:firstLineChars="200"/>
        <w:rPr>
          <w:rFonts w:hint="eastAsia" w:ascii="仿宋" w:hAnsi="仿宋" w:eastAsia="仿宋" w:cs="仿宋"/>
          <w:color w:val="000000"/>
          <w:kern w:val="2"/>
          <w:sz w:val="27"/>
          <w:szCs w:val="27"/>
          <w:highlight w:val="none"/>
          <w:lang w:eastAsia="zh-CN"/>
        </w:rPr>
      </w:pPr>
      <w:r>
        <w:rPr>
          <w:rFonts w:hint="eastAsia" w:ascii="仿宋" w:hAnsi="仿宋" w:eastAsia="仿宋" w:cs="仿宋"/>
          <w:color w:val="000000"/>
          <w:kern w:val="2"/>
          <w:sz w:val="27"/>
          <w:szCs w:val="27"/>
          <w:highlight w:val="none"/>
        </w:rPr>
        <w:t>名 称：</w:t>
      </w:r>
      <w:r>
        <w:rPr>
          <w:rFonts w:hint="eastAsia" w:ascii="仿宋" w:hAnsi="仿宋" w:eastAsia="仿宋" w:cs="仿宋"/>
          <w:color w:val="000000"/>
          <w:kern w:val="2"/>
          <w:sz w:val="27"/>
          <w:szCs w:val="27"/>
          <w:highlight w:val="none"/>
          <w:lang w:eastAsia="zh-CN"/>
        </w:rPr>
        <w:t>新疆浩诚致远项目管理咨询有限公司</w:t>
      </w:r>
    </w:p>
    <w:p>
      <w:pPr>
        <w:pStyle w:val="26"/>
        <w:spacing w:before="75" w:beforeAutospacing="0" w:after="75" w:afterAutospacing="0"/>
        <w:ind w:firstLine="540" w:firstLineChars="200"/>
        <w:rPr>
          <w:rFonts w:hint="eastAsia" w:ascii="仿宋" w:hAnsi="仿宋" w:eastAsia="仿宋" w:cs="仿宋"/>
          <w:color w:val="000000"/>
          <w:kern w:val="2"/>
          <w:sz w:val="27"/>
          <w:szCs w:val="27"/>
          <w:highlight w:val="none"/>
          <w:lang w:eastAsia="zh-CN"/>
        </w:rPr>
      </w:pPr>
      <w:r>
        <w:rPr>
          <w:rFonts w:hint="eastAsia" w:ascii="仿宋" w:hAnsi="仿宋" w:eastAsia="仿宋" w:cs="仿宋"/>
          <w:color w:val="000000"/>
          <w:kern w:val="2"/>
          <w:sz w:val="27"/>
          <w:szCs w:val="27"/>
          <w:highlight w:val="none"/>
        </w:rPr>
        <w:t>地 址：</w:t>
      </w:r>
      <w:r>
        <w:rPr>
          <w:rFonts w:hint="eastAsia" w:ascii="仿宋" w:hAnsi="仿宋" w:eastAsia="仿宋" w:cs="仿宋"/>
          <w:color w:val="000000"/>
          <w:kern w:val="2"/>
          <w:sz w:val="27"/>
          <w:szCs w:val="27"/>
          <w:highlight w:val="none"/>
          <w:lang w:eastAsia="zh-CN"/>
        </w:rPr>
        <w:t>新疆维吾尔自治区和田地区和田市古江巴格乡墩库恰社区631号                </w:t>
      </w:r>
    </w:p>
    <w:p>
      <w:pPr>
        <w:pStyle w:val="26"/>
        <w:spacing w:before="75" w:beforeAutospacing="0" w:after="75" w:afterAutospacing="0"/>
        <w:ind w:firstLine="540" w:firstLineChars="200"/>
        <w:rPr>
          <w:rFonts w:hint="eastAsia" w:ascii="仿宋" w:hAnsi="仿宋" w:eastAsia="仿宋" w:cs="仿宋"/>
          <w:color w:val="000000"/>
          <w:kern w:val="2"/>
          <w:sz w:val="27"/>
          <w:szCs w:val="27"/>
          <w:highlight w:val="none"/>
          <w:lang w:eastAsia="zh-CN"/>
        </w:rPr>
      </w:pPr>
      <w:r>
        <w:rPr>
          <w:rFonts w:hint="eastAsia" w:ascii="仿宋" w:hAnsi="仿宋" w:eastAsia="仿宋" w:cs="仿宋"/>
          <w:color w:val="000000"/>
          <w:kern w:val="2"/>
          <w:sz w:val="27"/>
          <w:szCs w:val="27"/>
          <w:highlight w:val="none"/>
        </w:rPr>
        <w:t>联系方式：</w:t>
      </w:r>
      <w:r>
        <w:rPr>
          <w:rFonts w:hint="eastAsia" w:ascii="仿宋" w:hAnsi="仿宋" w:eastAsia="仿宋" w:cs="仿宋"/>
          <w:color w:val="000000"/>
          <w:kern w:val="2"/>
          <w:sz w:val="27"/>
          <w:szCs w:val="27"/>
          <w:highlight w:val="none"/>
          <w:lang w:eastAsia="zh-CN"/>
        </w:rPr>
        <w:t>0903-2099765          </w:t>
      </w:r>
    </w:p>
    <w:p>
      <w:pPr>
        <w:pStyle w:val="26"/>
        <w:spacing w:before="75" w:beforeAutospacing="0" w:after="75" w:afterAutospacing="0"/>
        <w:ind w:firstLine="540" w:firstLineChars="200"/>
        <w:rPr>
          <w:rFonts w:ascii="仿宋" w:hAnsi="仿宋" w:eastAsia="仿宋" w:cs="仿宋"/>
          <w:color w:val="000000"/>
          <w:kern w:val="2"/>
          <w:sz w:val="27"/>
          <w:szCs w:val="27"/>
          <w:highlight w:val="none"/>
        </w:rPr>
      </w:pPr>
      <w:r>
        <w:rPr>
          <w:rFonts w:hint="eastAsia" w:ascii="仿宋" w:hAnsi="仿宋" w:eastAsia="仿宋" w:cs="仿宋"/>
          <w:color w:val="000000"/>
          <w:kern w:val="2"/>
          <w:sz w:val="27"/>
          <w:szCs w:val="27"/>
          <w:highlight w:val="none"/>
        </w:rPr>
        <w:t>3、项目联系方式</w:t>
      </w:r>
    </w:p>
    <w:p>
      <w:pPr>
        <w:pStyle w:val="26"/>
        <w:spacing w:before="75" w:beforeAutospacing="0" w:after="75" w:afterAutospacing="0"/>
        <w:ind w:firstLine="540" w:firstLineChars="200"/>
        <w:rPr>
          <w:rFonts w:hint="eastAsia" w:ascii="仿宋" w:hAnsi="仿宋" w:eastAsia="仿宋" w:cs="仿宋"/>
          <w:color w:val="000000"/>
          <w:kern w:val="2"/>
          <w:sz w:val="27"/>
          <w:szCs w:val="27"/>
          <w:highlight w:val="none"/>
          <w:lang w:eastAsia="zh-CN"/>
        </w:rPr>
      </w:pPr>
      <w:r>
        <w:rPr>
          <w:rFonts w:hint="eastAsia" w:ascii="仿宋" w:hAnsi="仿宋" w:eastAsia="仿宋" w:cs="仿宋"/>
          <w:color w:val="000000"/>
          <w:kern w:val="2"/>
          <w:sz w:val="27"/>
          <w:szCs w:val="27"/>
          <w:highlight w:val="none"/>
        </w:rPr>
        <w:t>项目联系人：</w:t>
      </w:r>
      <w:r>
        <w:rPr>
          <w:rFonts w:hint="eastAsia" w:ascii="仿宋" w:hAnsi="仿宋" w:eastAsia="仿宋" w:cs="仿宋"/>
          <w:color w:val="000000"/>
          <w:kern w:val="2"/>
          <w:sz w:val="27"/>
          <w:szCs w:val="27"/>
          <w:highlight w:val="none"/>
          <w:lang w:eastAsia="zh-CN"/>
        </w:rPr>
        <w:t>翟旭     </w:t>
      </w:r>
    </w:p>
    <w:p>
      <w:pPr>
        <w:spacing w:line="360" w:lineRule="auto"/>
        <w:ind w:firstLine="540" w:firstLineChars="200"/>
        <w:rPr>
          <w:rFonts w:ascii="宋体" w:hAnsi="宋体" w:cs="宋体"/>
          <w:b/>
          <w:sz w:val="72"/>
          <w:highlight w:val="none"/>
        </w:rPr>
      </w:pPr>
      <w:r>
        <w:rPr>
          <w:rFonts w:hint="eastAsia" w:ascii="仿宋" w:hAnsi="仿宋" w:eastAsia="仿宋" w:cs="仿宋"/>
          <w:color w:val="000000"/>
          <w:sz w:val="27"/>
          <w:szCs w:val="27"/>
          <w:highlight w:val="none"/>
        </w:rPr>
        <w:t>电 话：</w:t>
      </w:r>
      <w:r>
        <w:rPr>
          <w:rFonts w:hint="eastAsia" w:ascii="仿宋" w:hAnsi="仿宋" w:eastAsia="仿宋" w:cs="仿宋"/>
          <w:color w:val="000000"/>
          <w:sz w:val="27"/>
          <w:szCs w:val="27"/>
          <w:highlight w:val="none"/>
          <w:lang w:val="en-US" w:eastAsia="zh-CN"/>
        </w:rPr>
        <w:t>0903-2099765           </w:t>
      </w:r>
    </w:p>
    <w:p>
      <w:pPr>
        <w:rPr>
          <w:rFonts w:hint="eastAsia" w:ascii="宋体" w:hAnsi="宋体" w:cs="宋体"/>
          <w:b/>
          <w:color w:val="000000"/>
          <w:sz w:val="36"/>
          <w:szCs w:val="36"/>
          <w:highlight w:val="none"/>
        </w:rPr>
      </w:pPr>
      <w:r>
        <w:rPr>
          <w:rFonts w:hint="eastAsia" w:ascii="宋体" w:hAnsi="宋体" w:cs="宋体"/>
          <w:b/>
          <w:color w:val="000000"/>
          <w:sz w:val="36"/>
          <w:szCs w:val="36"/>
          <w:highlight w:val="none"/>
        </w:rPr>
        <w:br w:type="page"/>
      </w:r>
    </w:p>
    <w:p>
      <w:pPr>
        <w:spacing w:line="700" w:lineRule="exact"/>
        <w:jc w:val="center"/>
        <w:outlineLvl w:val="0"/>
        <w:rPr>
          <w:rFonts w:ascii="宋体" w:hAnsi="宋体" w:cs="宋体"/>
          <w:b/>
          <w:color w:val="000000"/>
          <w:sz w:val="36"/>
          <w:szCs w:val="36"/>
          <w:highlight w:val="none"/>
        </w:rPr>
      </w:pPr>
      <w:bookmarkStart w:id="7" w:name="_Toc20886"/>
      <w:r>
        <w:rPr>
          <w:rFonts w:hint="eastAsia" w:ascii="宋体" w:hAnsi="宋体" w:cs="宋体"/>
          <w:b/>
          <w:color w:val="000000"/>
          <w:sz w:val="36"/>
          <w:szCs w:val="36"/>
          <w:highlight w:val="none"/>
          <w:lang w:val="en-US" w:eastAsia="zh-CN"/>
        </w:rPr>
        <w:t xml:space="preserve">第二章  </w:t>
      </w:r>
      <w:r>
        <w:rPr>
          <w:rFonts w:hint="eastAsia" w:ascii="宋体" w:hAnsi="宋体" w:cs="宋体"/>
          <w:b/>
          <w:color w:val="000000"/>
          <w:sz w:val="36"/>
          <w:szCs w:val="36"/>
          <w:highlight w:val="none"/>
        </w:rPr>
        <w:t>投标人须知前附表</w:t>
      </w:r>
      <w:bookmarkEnd w:id="7"/>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8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szCs w:val="21"/>
                <w:highlight w:val="none"/>
              </w:rPr>
            </w:pPr>
            <w:r>
              <w:rPr>
                <w:rFonts w:hint="eastAsia" w:ascii="宋体" w:hAnsi="宋体" w:cs="宋体"/>
                <w:szCs w:val="21"/>
                <w:highlight w:val="none"/>
              </w:rPr>
              <w:t>序号</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szCs w:val="21"/>
                <w:highlight w:val="none"/>
              </w:rPr>
            </w:pPr>
            <w:r>
              <w:rPr>
                <w:rFonts w:hint="eastAsia" w:ascii="宋体" w:hAnsi="宋体" w:cs="宋体"/>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1</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cs="宋体"/>
                <w:szCs w:val="21"/>
                <w:highlight w:val="none"/>
                <w:lang w:eastAsia="zh-CN"/>
              </w:rPr>
            </w:pPr>
            <w:r>
              <w:rPr>
                <w:rFonts w:hint="eastAsia"/>
                <w:highlight w:val="none"/>
              </w:rPr>
              <w:t>项目名称：</w:t>
            </w:r>
            <w:r>
              <w:rPr>
                <w:rFonts w:hint="eastAsia" w:ascii="宋体" w:hAnsi="宋体" w:cs="宋体"/>
                <w:szCs w:val="21"/>
                <w:highlight w:val="none"/>
                <w:lang w:eastAsia="zh-CN"/>
              </w:rPr>
              <w:t>民丰县天桥人行过道安装廊架项目</w:t>
            </w:r>
          </w:p>
          <w:p>
            <w:pPr>
              <w:spacing w:line="360" w:lineRule="auto"/>
              <w:rPr>
                <w:rFonts w:hint="eastAsia" w:ascii="宋体" w:hAnsi="宋体" w:eastAsia="宋体" w:cs="宋体"/>
                <w:highlight w:val="none"/>
                <w:lang w:eastAsia="zh-CN"/>
              </w:rPr>
            </w:pPr>
            <w:r>
              <w:rPr>
                <w:rFonts w:hint="eastAsia" w:ascii="宋体" w:hAnsi="宋体" w:cs="宋体"/>
                <w:highlight w:val="none"/>
              </w:rPr>
              <w:t>项目编号：</w:t>
            </w:r>
            <w:r>
              <w:rPr>
                <w:rFonts w:hint="eastAsia" w:ascii="宋体" w:hAnsi="宋体" w:cs="宋体"/>
                <w:szCs w:val="21"/>
                <w:highlight w:val="none"/>
                <w:lang w:eastAsia="zh-CN"/>
              </w:rPr>
              <w:t>MFX-CGZBDL-2023-043</w:t>
            </w:r>
          </w:p>
          <w:p>
            <w:pPr>
              <w:spacing w:line="360" w:lineRule="auto"/>
              <w:rPr>
                <w:rFonts w:hint="eastAsia"/>
                <w:highlight w:val="none"/>
              </w:rPr>
            </w:pPr>
            <w:r>
              <w:rPr>
                <w:rFonts w:hint="eastAsia"/>
                <w:highlight w:val="none"/>
              </w:rPr>
              <w:t>采购交货时间：签订合同后</w:t>
            </w:r>
            <w:r>
              <w:rPr>
                <w:rFonts w:hint="eastAsia"/>
                <w:highlight w:val="none"/>
                <w:lang w:val="en-US" w:eastAsia="zh-CN"/>
              </w:rPr>
              <w:t>30</w:t>
            </w:r>
            <w:r>
              <w:rPr>
                <w:rFonts w:hint="eastAsia"/>
                <w:highlight w:val="none"/>
              </w:rPr>
              <w:t>天内完成</w:t>
            </w:r>
          </w:p>
          <w:p>
            <w:pPr>
              <w:spacing w:line="360" w:lineRule="auto"/>
              <w:rPr>
                <w:szCs w:val="22"/>
                <w:highlight w:val="none"/>
              </w:rPr>
            </w:pPr>
            <w:r>
              <w:rPr>
                <w:rFonts w:hint="eastAsia"/>
                <w:highlight w:val="none"/>
              </w:rPr>
              <w:t>交货地点：</w:t>
            </w:r>
            <w:r>
              <w:rPr>
                <w:rFonts w:hint="eastAsia"/>
                <w:szCs w:val="22"/>
                <w:highlight w:val="none"/>
              </w:rPr>
              <w:t>采购单位指定地点</w:t>
            </w:r>
          </w:p>
          <w:p>
            <w:pPr>
              <w:spacing w:line="360" w:lineRule="auto"/>
              <w:rPr>
                <w:rFonts w:hint="default" w:eastAsia="宋体"/>
                <w:highlight w:val="none"/>
                <w:lang w:val="en-US" w:eastAsia="zh-CN"/>
              </w:rPr>
            </w:pPr>
            <w:r>
              <w:rPr>
                <w:rFonts w:hint="eastAsia"/>
                <w:szCs w:val="22"/>
                <w:highlight w:val="none"/>
              </w:rPr>
              <w:t>资金来源：</w:t>
            </w:r>
            <w:r>
              <w:rPr>
                <w:rFonts w:hint="eastAsia"/>
                <w:szCs w:val="22"/>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2</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1、本项目预算金额为：</w:t>
            </w:r>
            <w:r>
              <w:rPr>
                <w:rFonts w:hint="eastAsia" w:ascii="宋体" w:hAnsi="宋体" w:cs="宋体"/>
                <w:szCs w:val="21"/>
                <w:highlight w:val="none"/>
                <w:lang w:val="en-US" w:eastAsia="zh-CN"/>
              </w:rPr>
              <w:t>50</w:t>
            </w:r>
            <w:r>
              <w:rPr>
                <w:rFonts w:hint="eastAsia" w:ascii="宋体" w:hAnsi="宋体" w:cs="宋体"/>
                <w:szCs w:val="21"/>
                <w:highlight w:val="none"/>
              </w:rPr>
              <w:t>万元。</w:t>
            </w:r>
          </w:p>
          <w:p>
            <w:pPr>
              <w:numPr>
                <w:ilvl w:val="0"/>
                <w:numId w:val="4"/>
              </w:numPr>
              <w:spacing w:line="360" w:lineRule="auto"/>
              <w:rPr>
                <w:rFonts w:ascii="宋体" w:hAnsi="宋体" w:cs="宋体"/>
                <w:szCs w:val="21"/>
                <w:highlight w:val="none"/>
              </w:rPr>
            </w:pPr>
            <w:r>
              <w:rPr>
                <w:rFonts w:hint="eastAsia" w:ascii="宋体" w:hAnsi="宋体" w:cs="宋体"/>
                <w:szCs w:val="21"/>
                <w:highlight w:val="none"/>
              </w:rPr>
              <w:t>不论投标结果如何，投标人均应自行承担所有与投标有关的全部费用。</w:t>
            </w:r>
          </w:p>
          <w:p>
            <w:pPr>
              <w:numPr>
                <w:ilvl w:val="0"/>
                <w:numId w:val="4"/>
              </w:numPr>
              <w:spacing w:line="360" w:lineRule="auto"/>
              <w:rPr>
                <w:highlight w:val="none"/>
              </w:rPr>
            </w:pPr>
            <w:r>
              <w:rPr>
                <w:rFonts w:hint="eastAsia" w:ascii="宋体" w:hAnsi="宋体" w:cs="宋体"/>
                <w:szCs w:val="21"/>
                <w:highlight w:val="none"/>
              </w:rPr>
              <w:t>付款方式：</w:t>
            </w:r>
            <w:r>
              <w:rPr>
                <w:rFonts w:hint="eastAsia" w:ascii="宋体" w:hAnsi="宋体" w:cs="宋体"/>
                <w:szCs w:val="21"/>
                <w:highlight w:val="none"/>
                <w:lang w:val="en-US" w:eastAsia="zh-CN"/>
              </w:rPr>
              <w:t>以甲方最终的采购文件为准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3</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、申请人的资格要求：</w:t>
            </w:r>
          </w:p>
          <w:p>
            <w:pPr>
              <w:pStyle w:val="39"/>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（1）具有有效的营业执照；</w:t>
            </w:r>
          </w:p>
          <w:p>
            <w:pPr>
              <w:pStyle w:val="39"/>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hAnsi="宋体" w:cs="宋体"/>
                <w:kern w:val="2"/>
                <w:sz w:val="21"/>
                <w:szCs w:val="21"/>
                <w:highlight w:val="none"/>
                <w:lang w:val="en-US" w:eastAsia="zh-CN" w:bidi="ar-SA"/>
              </w:rPr>
              <w:t>2</w:t>
            </w:r>
            <w:r>
              <w:rPr>
                <w:rFonts w:hint="eastAsia" w:ascii="宋体" w:hAnsi="宋体" w:eastAsia="宋体" w:cs="宋体"/>
                <w:kern w:val="2"/>
                <w:sz w:val="21"/>
                <w:szCs w:val="21"/>
                <w:highlight w:val="none"/>
                <w:lang w:val="en-US" w:eastAsia="zh-CN" w:bidi="ar-SA"/>
              </w:rPr>
              <w:t>)法定代表人投标需</w:t>
            </w:r>
            <w:r>
              <w:rPr>
                <w:rFonts w:hint="eastAsia" w:hAnsi="宋体" w:cs="宋体"/>
                <w:kern w:val="2"/>
                <w:sz w:val="21"/>
                <w:szCs w:val="21"/>
                <w:highlight w:val="none"/>
                <w:lang w:val="en-US" w:eastAsia="zh-CN" w:bidi="ar-SA"/>
              </w:rPr>
              <w:t>提供</w:t>
            </w:r>
            <w:r>
              <w:rPr>
                <w:rFonts w:hint="eastAsia" w:ascii="宋体" w:hAnsi="宋体" w:eastAsia="宋体" w:cs="宋体"/>
                <w:kern w:val="2"/>
                <w:sz w:val="21"/>
                <w:szCs w:val="21"/>
                <w:highlight w:val="none"/>
                <w:lang w:val="en-US" w:eastAsia="zh-CN" w:bidi="ar-SA"/>
              </w:rPr>
              <w:t>法定代表人证明书及法定代表人身份证，需提供公司近三个月法定代表人社保证明，委托代理人投标需</w:t>
            </w:r>
            <w:r>
              <w:rPr>
                <w:rFonts w:hint="eastAsia" w:hAnsi="宋体" w:cs="宋体"/>
                <w:kern w:val="2"/>
                <w:sz w:val="21"/>
                <w:szCs w:val="21"/>
                <w:highlight w:val="none"/>
                <w:lang w:val="en-US" w:eastAsia="zh-CN" w:bidi="ar-SA"/>
              </w:rPr>
              <w:t>提供</w:t>
            </w:r>
            <w:r>
              <w:rPr>
                <w:rFonts w:hint="eastAsia" w:ascii="宋体" w:hAnsi="宋体" w:eastAsia="宋体" w:cs="宋体"/>
                <w:kern w:val="2"/>
                <w:sz w:val="21"/>
                <w:szCs w:val="21"/>
                <w:highlight w:val="none"/>
                <w:lang w:val="en-US" w:eastAsia="zh-CN" w:bidi="ar-SA"/>
              </w:rPr>
              <w:t>法定代表人授权委托书及委托代理人身份证；</w:t>
            </w:r>
          </w:p>
          <w:p>
            <w:pPr>
              <w:pStyle w:val="39"/>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）提供近3个月开具的完税证明（依法免缴的应提供依法免缴的相关证明文件和零申报表）；新成立的公司按实际发生提供。</w:t>
            </w:r>
          </w:p>
          <w:p>
            <w:pPr>
              <w:pStyle w:val="39"/>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outlineLvl w:val="9"/>
              <w:rPr>
                <w:rFonts w:hint="default"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（4）是否提供2022年度第三方审计机构出具的财务审计报告(会计周期不满一年的提供近三个月银行出具的资信证明,近三个月是指2023年8月-10月），（2023年新成立的公司不提供）</w:t>
            </w:r>
            <w:r>
              <w:rPr>
                <w:rFonts w:hint="eastAsia" w:ascii="宋体" w:hAnsi="宋体" w:cs="宋体"/>
                <w:color w:val="auto"/>
                <w:sz w:val="24"/>
                <w:lang w:eastAsia="zh-CN"/>
              </w:rPr>
              <w:t>；</w:t>
            </w:r>
          </w:p>
          <w:p>
            <w:pPr>
              <w:pStyle w:val="39"/>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）参加政府采购活动前3年内在经营活动中没有重大违法记录的书面声明；</w:t>
            </w:r>
          </w:p>
          <w:p>
            <w:pPr>
              <w:pStyle w:val="39"/>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hAnsi="宋体" w:cs="宋体"/>
                <w:kern w:val="2"/>
                <w:sz w:val="21"/>
                <w:szCs w:val="21"/>
                <w:highlight w:val="none"/>
                <w:lang w:val="en-US" w:eastAsia="zh-CN" w:bidi="ar-SA"/>
              </w:rPr>
              <w:t>（6）</w:t>
            </w:r>
            <w:r>
              <w:rPr>
                <w:rFonts w:hint="eastAsia" w:ascii="宋体" w:hAnsi="宋体" w:eastAsia="宋体" w:cs="宋体"/>
                <w:kern w:val="2"/>
                <w:sz w:val="21"/>
                <w:szCs w:val="21"/>
                <w:highlight w:val="none"/>
                <w:lang w:val="en-US" w:eastAsia="zh-CN" w:bidi="ar-SA"/>
              </w:rPr>
              <w:t>凡拟参加本次招标项目的投标人须提供“信用中国”网站 (www.creditchina.gov.cn）中国政府采购网 (www.ccgp.gov.cn）、国家企业信用信息公示系统(http://www.gsxt.gov.cn)等列入失信被执行人、重大税收违法案件当事人名单、政府采购严重违法失信行为记录名单的（至本项目开始报名之时起，经查询尚在处罚期内的），将拒绝其参加本次政府采购活动；</w:t>
            </w:r>
          </w:p>
          <w:p>
            <w:pPr>
              <w:pStyle w:val="39"/>
              <w:keepNext w:val="0"/>
              <w:keepLines w:val="0"/>
              <w:pageBreakBefore w:val="0"/>
              <w:numPr>
                <w:ilvl w:val="0"/>
                <w:numId w:val="0"/>
              </w:numPr>
              <w:kinsoku/>
              <w:wordWrap/>
              <w:overflowPunct/>
              <w:topLinePunct w:val="0"/>
              <w:bidi w:val="0"/>
              <w:adjustRightInd w:val="0"/>
              <w:snapToGrid w:val="0"/>
              <w:spacing w:line="360" w:lineRule="exact"/>
              <w:ind w:firstLine="420" w:firstLineChars="200"/>
              <w:textAlignment w:val="auto"/>
              <w:outlineLvl w:val="9"/>
              <w:rPr>
                <w:rFonts w:ascii="宋体" w:hAnsi="宋体" w:cs="宋体"/>
                <w:szCs w:val="21"/>
                <w:highlight w:val="none"/>
              </w:rPr>
            </w:pPr>
            <w:r>
              <w:rPr>
                <w:rFonts w:hint="eastAsia" w:hAnsi="宋体" w:cs="宋体"/>
                <w:kern w:val="2"/>
                <w:sz w:val="21"/>
                <w:szCs w:val="21"/>
                <w:highlight w:val="none"/>
                <w:lang w:val="en-US" w:eastAsia="zh-CN" w:bidi="ar-SA"/>
              </w:rPr>
              <w:t>（7）</w:t>
            </w:r>
            <w:r>
              <w:rPr>
                <w:rFonts w:hint="eastAsia" w:ascii="宋体" w:hAnsi="宋体" w:eastAsia="宋体" w:cs="宋体"/>
                <w:kern w:val="2"/>
                <w:sz w:val="21"/>
                <w:szCs w:val="21"/>
                <w:highlight w:val="none"/>
                <w:lang w:val="en-US" w:eastAsia="zh-CN" w:bidi="ar-SA"/>
              </w:rPr>
              <w:t>企业负责人为同一人或者存在直接控股、管理关系的不同投标人，不得参加同一合同项下的政府采购活动。否则皆取消投标资格。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cs="宋体"/>
                <w:szCs w:val="21"/>
                <w:highlight w:val="none"/>
                <w:lang w:val="en-US" w:eastAsia="zh-CN"/>
              </w:rPr>
            </w:pPr>
            <w:r>
              <w:rPr>
                <w:rFonts w:hint="eastAsia" w:ascii="宋体" w:hAnsi="宋体" w:cs="宋体"/>
                <w:szCs w:val="21"/>
                <w:highlight w:val="none"/>
                <w:lang w:val="en-US" w:eastAsia="zh-CN"/>
              </w:rPr>
              <w:t>投标保证金的形式：转账、汇款（须从投标企业基本账户转出）；</w:t>
            </w:r>
          </w:p>
          <w:p>
            <w:pPr>
              <w:spacing w:line="300" w:lineRule="exact"/>
              <w:ind w:left="0" w:right="0" w:firstLine="0" w:firstLineChars="0"/>
              <w:rPr>
                <w:rFonts w:hint="eastAsia" w:ascii="仿宋" w:hAnsi="仿宋" w:eastAsia="仿宋" w:cs="仿宋"/>
                <w:b/>
                <w:bCs/>
                <w:color w:val="auto"/>
                <w:sz w:val="24"/>
              </w:rPr>
            </w:pPr>
            <w:r>
              <w:rPr>
                <w:rFonts w:hint="eastAsia" w:ascii="仿宋" w:hAnsi="仿宋" w:eastAsia="仿宋" w:cs="仿宋"/>
                <w:b/>
                <w:bCs/>
                <w:color w:val="auto"/>
                <w:sz w:val="24"/>
              </w:rPr>
              <w:t>投标保证金的形式：对公转账、电子保函</w:t>
            </w:r>
          </w:p>
          <w:p>
            <w:pPr>
              <w:spacing w:line="300" w:lineRule="exact"/>
              <w:ind w:left="0" w:right="0" w:firstLine="0" w:firstLineChars="0"/>
              <w:rPr>
                <w:rFonts w:hint="eastAsia" w:ascii="仿宋" w:hAnsi="仿宋" w:eastAsia="仿宋" w:cs="仿宋"/>
                <w:b/>
                <w:bCs/>
                <w:color w:val="auto"/>
                <w:sz w:val="24"/>
              </w:rPr>
            </w:pPr>
            <w:r>
              <w:rPr>
                <w:rFonts w:hint="eastAsia" w:ascii="仿宋" w:hAnsi="仿宋" w:eastAsia="仿宋" w:cs="仿宋"/>
                <w:b/>
                <w:bCs/>
                <w:color w:val="auto"/>
                <w:sz w:val="24"/>
              </w:rPr>
              <w:t>投标保证金的金额：</w:t>
            </w:r>
            <w:r>
              <w:rPr>
                <w:rFonts w:hint="eastAsia" w:ascii="仿宋" w:hAnsi="仿宋" w:eastAsia="仿宋" w:cs="仿宋"/>
                <w:b/>
                <w:bCs/>
                <w:color w:val="auto"/>
                <w:sz w:val="24"/>
                <w:lang w:val="en-US" w:eastAsia="zh-CN"/>
              </w:rPr>
              <w:t>5000.00</w:t>
            </w:r>
            <w:r>
              <w:rPr>
                <w:rFonts w:hint="eastAsia" w:ascii="仿宋" w:hAnsi="仿宋" w:eastAsia="仿宋" w:cs="仿宋"/>
                <w:b/>
                <w:bCs/>
                <w:color w:val="auto"/>
                <w:sz w:val="24"/>
              </w:rPr>
              <w:t>元（</w:t>
            </w:r>
            <w:r>
              <w:rPr>
                <w:rFonts w:hint="eastAsia" w:ascii="仿宋" w:hAnsi="仿宋" w:eastAsia="仿宋" w:cs="仿宋"/>
                <w:b/>
                <w:bCs/>
                <w:color w:val="auto"/>
                <w:sz w:val="24"/>
                <w:lang w:val="en-US" w:eastAsia="zh-CN"/>
              </w:rPr>
              <w:t>伍仟元整</w:t>
            </w:r>
            <w:r>
              <w:rPr>
                <w:rFonts w:hint="eastAsia" w:ascii="仿宋" w:hAnsi="仿宋" w:eastAsia="仿宋" w:cs="仿宋"/>
                <w:b/>
                <w:bCs/>
                <w:color w:val="auto"/>
                <w:sz w:val="24"/>
              </w:rPr>
              <w:t>）</w:t>
            </w:r>
          </w:p>
          <w:p>
            <w:pPr>
              <w:spacing w:line="300" w:lineRule="exact"/>
              <w:ind w:left="0" w:right="0" w:firstLine="0" w:firstLineChars="0"/>
              <w:rPr>
                <w:rFonts w:ascii="仿宋" w:hAnsi="仿宋" w:eastAsia="仿宋" w:cs="仿宋"/>
                <w:b/>
                <w:bCs/>
                <w:color w:val="auto"/>
                <w:sz w:val="24"/>
              </w:rPr>
            </w:pPr>
            <w:r>
              <w:rPr>
                <w:rFonts w:hint="eastAsia" w:ascii="仿宋" w:hAnsi="仿宋" w:eastAsia="仿宋" w:cs="仿宋"/>
                <w:b/>
                <w:bCs/>
                <w:color w:val="auto"/>
                <w:sz w:val="24"/>
              </w:rPr>
              <w:t>投标保证金缴纳账户：</w:t>
            </w:r>
          </w:p>
          <w:p>
            <w:pPr>
              <w:spacing w:line="240" w:lineRule="auto"/>
              <w:ind w:left="120" w:hanging="120"/>
              <w:rPr>
                <w:rFonts w:ascii="仿宋" w:hAnsi="仿宋" w:eastAsia="仿宋" w:cs="仿宋"/>
                <w:b/>
                <w:bCs/>
                <w:color w:val="auto"/>
                <w:sz w:val="24"/>
              </w:rPr>
            </w:pPr>
            <w:r>
              <w:rPr>
                <w:rFonts w:hint="eastAsia" w:ascii="仿宋" w:hAnsi="仿宋" w:eastAsia="仿宋" w:cs="仿宋"/>
                <w:b/>
                <w:bCs/>
                <w:color w:val="auto"/>
                <w:sz w:val="24"/>
              </w:rPr>
              <w:t>账户名称：</w:t>
            </w:r>
            <w:r>
              <w:rPr>
                <w:rFonts w:hint="eastAsia" w:ascii="仿宋" w:hAnsi="仿宋" w:eastAsia="仿宋" w:cs="仿宋"/>
                <w:b/>
                <w:bCs/>
                <w:color w:val="auto"/>
                <w:sz w:val="24"/>
                <w:lang w:val="en-US" w:eastAsia="zh-CN"/>
              </w:rPr>
              <w:t>民丰县行政服务和公共资源交易中心</w:t>
            </w:r>
          </w:p>
          <w:p>
            <w:pPr>
              <w:spacing w:line="240" w:lineRule="auto"/>
              <w:ind w:left="120" w:hanging="120"/>
              <w:rPr>
                <w:rFonts w:hint="eastAsia" w:ascii="仿宋" w:hAnsi="仿宋" w:eastAsia="仿宋" w:cs="仿宋"/>
                <w:b/>
                <w:bCs/>
                <w:color w:val="auto"/>
                <w:sz w:val="24"/>
              </w:rPr>
            </w:pPr>
            <w:r>
              <w:rPr>
                <w:rFonts w:hint="eastAsia" w:ascii="仿宋" w:hAnsi="仿宋" w:eastAsia="仿宋" w:cs="仿宋"/>
                <w:b/>
                <w:bCs/>
                <w:color w:val="auto"/>
                <w:sz w:val="24"/>
              </w:rPr>
              <w:t>银行帐号：</w:t>
            </w:r>
            <w:r>
              <w:rPr>
                <w:rFonts w:hint="eastAsia" w:ascii="仿宋" w:hAnsi="仿宋" w:eastAsia="仿宋" w:cs="仿宋"/>
                <w:b/>
                <w:bCs/>
                <w:color w:val="auto"/>
                <w:sz w:val="24"/>
                <w:lang w:val="en-US" w:eastAsia="zh-CN"/>
              </w:rPr>
              <w:t>30582301040020842</w:t>
            </w:r>
          </w:p>
          <w:p>
            <w:pPr>
              <w:spacing w:line="240" w:lineRule="auto"/>
              <w:ind w:left="120" w:hanging="120"/>
              <w:rPr>
                <w:rFonts w:ascii="仿宋" w:hAnsi="仿宋" w:eastAsia="仿宋" w:cs="仿宋"/>
                <w:b/>
                <w:bCs/>
                <w:color w:val="auto"/>
                <w:sz w:val="24"/>
              </w:rPr>
            </w:pPr>
            <w:r>
              <w:rPr>
                <w:rFonts w:hint="eastAsia" w:ascii="仿宋" w:hAnsi="仿宋" w:eastAsia="仿宋" w:cs="仿宋"/>
                <w:b/>
                <w:bCs/>
                <w:color w:val="auto"/>
                <w:sz w:val="24"/>
              </w:rPr>
              <w:t>开户银行：</w:t>
            </w:r>
            <w:r>
              <w:rPr>
                <w:rFonts w:hint="eastAsia" w:ascii="仿宋" w:hAnsi="仿宋" w:eastAsia="仿宋" w:cs="仿宋"/>
                <w:b/>
                <w:bCs/>
                <w:color w:val="auto"/>
                <w:sz w:val="24"/>
                <w:lang w:val="en-US" w:eastAsia="zh-CN"/>
              </w:rPr>
              <w:t>中国农业银行股份有限公司民丰县支行</w:t>
            </w:r>
          </w:p>
          <w:p>
            <w:pPr>
              <w:spacing w:line="360" w:lineRule="auto"/>
              <w:rPr>
                <w:rFonts w:ascii="宋体" w:hAnsi="宋体" w:cs="宋体"/>
                <w:szCs w:val="21"/>
                <w:highlight w:val="none"/>
              </w:rPr>
            </w:pPr>
            <w:r>
              <w:rPr>
                <w:rFonts w:hint="eastAsia" w:ascii="宋体" w:hAnsi="宋体" w:cs="宋体"/>
                <w:szCs w:val="21"/>
                <w:highlight w:val="none"/>
                <w:lang w:val="en-US" w:eastAsia="zh-CN"/>
              </w:rPr>
              <w:t>保证金缴纳的截止时间为2023年11月13日16:00（北京时间），</w:t>
            </w:r>
            <w:r>
              <w:rPr>
                <w:rFonts w:hint="eastAsia" w:ascii="宋体" w:hAnsi="宋体" w:cs="宋体"/>
                <w:b/>
                <w:bCs/>
                <w:szCs w:val="21"/>
                <w:highlight w:val="none"/>
                <w:lang w:val="en-US" w:eastAsia="zh-CN"/>
              </w:rPr>
              <w:t>缴纳保证金时应在付款用途里标明项目名称（</w:t>
            </w:r>
            <w:r>
              <w:rPr>
                <w:rFonts w:hint="eastAsia" w:ascii="宋体" w:hAnsi="宋体" w:cs="宋体"/>
                <w:b/>
                <w:bCs/>
                <w:szCs w:val="21"/>
                <w:highlight w:val="none"/>
                <w:lang w:eastAsia="zh-CN"/>
              </w:rPr>
              <w:t>民丰县天桥人行过道安装廊架项目）</w:t>
            </w:r>
            <w:r>
              <w:rPr>
                <w:rFonts w:hint="eastAsia" w:ascii="宋体" w:hAnsi="宋体" w:cs="宋体"/>
                <w:b/>
                <w:bCs/>
                <w:szCs w:val="21"/>
                <w:highlight w:val="none"/>
                <w:lang w:val="en-US" w:eastAsia="zh-CN"/>
              </w:rPr>
              <w:t>及用途</w:t>
            </w:r>
            <w:r>
              <w:rPr>
                <w:rFonts w:hint="eastAsia" w:ascii="宋体" w:hAnsi="宋体" w:cs="宋体"/>
                <w:szCs w:val="21"/>
                <w:highlight w:val="none"/>
                <w:lang w:val="en-US" w:eastAsia="zh-CN"/>
              </w:rPr>
              <w:t>。保证金以进账时间为准，投标人在缴纳保证金时，应充分考虑资金在途时间。保证金以其进账时间确定其有效性，在规定时间内未进如到指定账户，否则按废标处理。开标前投标单位不需至民丰县行政服务和公共资源交易中心换取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中标人应自中标通知书发出后</w:t>
            </w:r>
            <w:r>
              <w:rPr>
                <w:rFonts w:hint="eastAsia" w:ascii="宋体" w:hAnsi="宋体" w:cs="宋体"/>
                <w:szCs w:val="21"/>
                <w:highlight w:val="none"/>
                <w:lang w:val="en-US" w:eastAsia="zh-CN"/>
              </w:rPr>
              <w:t>15</w:t>
            </w:r>
            <w:r>
              <w:rPr>
                <w:rFonts w:hint="eastAsia" w:ascii="宋体" w:hAnsi="宋体" w:cs="宋体"/>
                <w:szCs w:val="21"/>
                <w:highlight w:val="none"/>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6</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答疑与澄清：投标人如认为竞争性磋商文件表述不清晰、存在歧视性或者其他违法内容的，应当于开标五日前，以书面形式要求</w:t>
            </w:r>
            <w:r>
              <w:rPr>
                <w:rFonts w:hint="eastAsia" w:ascii="宋体" w:hAnsi="宋体" w:cs="宋体"/>
                <w:szCs w:val="21"/>
                <w:highlight w:val="none"/>
                <w:lang w:eastAsia="zh-CN"/>
              </w:rPr>
              <w:t>新疆浩诚致远项目管理咨询有限公司</w:t>
            </w:r>
            <w:r>
              <w:rPr>
                <w:rFonts w:hint="eastAsia" w:ascii="宋体" w:hAnsi="宋体" w:cs="宋体"/>
                <w:szCs w:val="21"/>
                <w:highlight w:val="none"/>
              </w:rPr>
              <w:t>作出书面解释、澄清或者向</w:t>
            </w:r>
            <w:r>
              <w:rPr>
                <w:rFonts w:hint="eastAsia" w:ascii="宋体" w:hAnsi="宋体" w:cs="宋体"/>
                <w:szCs w:val="21"/>
                <w:highlight w:val="none"/>
                <w:lang w:eastAsia="zh-CN"/>
              </w:rPr>
              <w:t>新疆浩诚致远项目管理咨询有限公司</w:t>
            </w:r>
            <w:r>
              <w:rPr>
                <w:rFonts w:hint="eastAsia" w:ascii="宋体" w:hAnsi="宋体" w:cs="宋体"/>
                <w:szCs w:val="21"/>
                <w:highlight w:val="none"/>
              </w:rPr>
              <w:t>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7</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1、投标人应详细阅读招标方的招标文件中的条款、规范、表示、条件等所有内容，按招标文件的要求编制竞争性磋商文件和提供要求上传的竞争性磋商文件，并保证所提供全部材料的真实性；竞争性磋商文件必须对招标文件提出的要求和条件做出实质性响应。否则，其投标可能将被拒绝。</w:t>
            </w:r>
          </w:p>
          <w:p>
            <w:pPr>
              <w:spacing w:line="360" w:lineRule="auto"/>
              <w:rPr>
                <w:rFonts w:ascii="宋体" w:hAnsi="宋体" w:cs="宋体"/>
                <w:szCs w:val="21"/>
                <w:highlight w:val="none"/>
              </w:rPr>
            </w:pPr>
            <w:r>
              <w:rPr>
                <w:rFonts w:hint="eastAsia" w:ascii="宋体" w:hAnsi="宋体" w:cs="宋体"/>
                <w:szCs w:val="21"/>
                <w:highlight w:val="none"/>
              </w:rPr>
              <w:t>2、竞争性磋商响应文件必须使用政府采购云平台投标文件制作工具，制作完成需将加密投标文件在投标截止时间前上传至政采云平台对应位置。</w:t>
            </w:r>
          </w:p>
          <w:p>
            <w:pPr>
              <w:spacing w:line="360" w:lineRule="auto"/>
              <w:rPr>
                <w:rFonts w:ascii="宋体" w:hAnsi="宋体" w:cs="宋体"/>
                <w:szCs w:val="21"/>
                <w:highlight w:val="none"/>
              </w:rPr>
            </w:pPr>
            <w:r>
              <w:rPr>
                <w:rFonts w:hint="eastAsia" w:ascii="宋体" w:hAnsi="宋体" w:cs="宋体"/>
                <w:szCs w:val="21"/>
                <w:highlight w:val="none"/>
              </w:rPr>
              <w:t>3、供应商备份文件可自愿在202</w:t>
            </w:r>
            <w:r>
              <w:rPr>
                <w:rFonts w:hint="eastAsia" w:ascii="宋体" w:hAnsi="宋体" w:cs="宋体"/>
                <w:szCs w:val="21"/>
                <w:highlight w:val="none"/>
                <w:lang w:val="en-US" w:eastAsia="zh-CN"/>
              </w:rPr>
              <w:t>3</w:t>
            </w:r>
            <w:r>
              <w:rPr>
                <w:rFonts w:hint="eastAsia" w:ascii="宋体" w:hAnsi="宋体" w:cs="宋体"/>
                <w:szCs w:val="21"/>
                <w:highlight w:val="none"/>
              </w:rPr>
              <w:t>年</w:t>
            </w:r>
            <w:r>
              <w:rPr>
                <w:rFonts w:hint="eastAsia" w:ascii="宋体" w:hAnsi="宋体" w:cs="宋体"/>
                <w:szCs w:val="21"/>
                <w:highlight w:val="none"/>
                <w:lang w:val="en-US" w:eastAsia="zh-CN"/>
              </w:rPr>
              <w:t>11月13</w:t>
            </w:r>
            <w:r>
              <w:rPr>
                <w:rFonts w:hint="eastAsia" w:ascii="宋体" w:hAnsi="宋体" w:cs="宋体"/>
                <w:szCs w:val="21"/>
                <w:highlight w:val="none"/>
              </w:rPr>
              <w:t>日</w:t>
            </w:r>
            <w:r>
              <w:rPr>
                <w:rFonts w:hint="eastAsia" w:ascii="宋体" w:hAnsi="宋体" w:cs="宋体"/>
                <w:szCs w:val="21"/>
                <w:highlight w:val="none"/>
                <w:lang w:val="en-US" w:eastAsia="zh-CN"/>
              </w:rPr>
              <w:t>下</w:t>
            </w:r>
            <w:r>
              <w:rPr>
                <w:rFonts w:hint="eastAsia" w:ascii="宋体" w:hAnsi="宋体" w:cs="宋体"/>
                <w:szCs w:val="21"/>
                <w:highlight w:val="none"/>
              </w:rPr>
              <w:t>午</w:t>
            </w:r>
            <w:r>
              <w:rPr>
                <w:rFonts w:hint="eastAsia" w:ascii="宋体" w:hAnsi="宋体" w:cs="宋体"/>
                <w:szCs w:val="21"/>
                <w:highlight w:val="none"/>
                <w:lang w:eastAsia="zh-CN"/>
              </w:rPr>
              <w:t>1</w:t>
            </w:r>
            <w:r>
              <w:rPr>
                <w:rFonts w:hint="eastAsia" w:ascii="宋体" w:hAnsi="宋体" w:cs="宋体"/>
                <w:szCs w:val="21"/>
                <w:highlight w:val="none"/>
                <w:lang w:val="en-US" w:eastAsia="zh-CN"/>
              </w:rPr>
              <w:t>6</w:t>
            </w:r>
            <w:r>
              <w:rPr>
                <w:rFonts w:hint="eastAsia" w:ascii="宋体" w:hAnsi="宋体" w:cs="宋体"/>
                <w:szCs w:val="21"/>
                <w:highlight w:val="none"/>
                <w:lang w:eastAsia="zh-CN"/>
              </w:rPr>
              <w:t>时00分</w:t>
            </w:r>
            <w:r>
              <w:rPr>
                <w:rFonts w:hint="eastAsia" w:ascii="宋体" w:hAnsi="宋体" w:cs="宋体"/>
                <w:szCs w:val="21"/>
                <w:highlight w:val="none"/>
              </w:rPr>
              <w:t>前（北京时间）以U盘邮寄或电子邮件方式提供给代理机构（具体联系人：</w:t>
            </w:r>
            <w:r>
              <w:rPr>
                <w:rFonts w:hint="eastAsia" w:ascii="宋体" w:hAnsi="宋体" w:cs="宋体"/>
                <w:szCs w:val="21"/>
                <w:highlight w:val="none"/>
                <w:lang w:eastAsia="zh-CN"/>
              </w:rPr>
              <w:t>翟旭</w:t>
            </w:r>
            <w:r>
              <w:rPr>
                <w:rFonts w:hint="eastAsia" w:ascii="宋体" w:hAnsi="宋体" w:cs="宋体"/>
                <w:szCs w:val="21"/>
                <w:highlight w:val="none"/>
              </w:rPr>
              <w:t>，联系电话:</w:t>
            </w:r>
            <w:r>
              <w:rPr>
                <w:rFonts w:hint="eastAsia" w:ascii="宋体" w:hAnsi="宋体" w:cs="宋体"/>
                <w:szCs w:val="21"/>
                <w:highlight w:val="none"/>
                <w:lang w:eastAsia="zh-CN"/>
              </w:rPr>
              <w:t>0903-2099765</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注：</w:t>
            </w:r>
          </w:p>
          <w:p>
            <w:pPr>
              <w:spacing w:line="360" w:lineRule="auto"/>
              <w:rPr>
                <w:rFonts w:ascii="宋体" w:hAnsi="宋体" w:cs="宋体"/>
                <w:szCs w:val="21"/>
                <w:highlight w:val="none"/>
              </w:rPr>
            </w:pPr>
            <w:r>
              <w:rPr>
                <w:rFonts w:hint="eastAsia" w:ascii="宋体" w:hAnsi="宋体" w:cs="宋体"/>
                <w:szCs w:val="21"/>
                <w:highlight w:val="none"/>
              </w:rPr>
              <w:t>（1）与加密标书同时生成的备份标书，在出现异常情况进行异常处理时使用。比如当加密标书无法正常解密时，可以在开启标书信息前，通过异常处理上传备份标书。</w:t>
            </w:r>
            <w:r>
              <w:rPr>
                <w:rFonts w:hint="eastAsia" w:ascii="宋体" w:hAnsi="宋体" w:cs="宋体"/>
                <w:szCs w:val="21"/>
                <w:highlight w:val="none"/>
              </w:rPr>
              <w:br w:type="textWrapping"/>
            </w:r>
            <w:r>
              <w:rPr>
                <w:rFonts w:hint="eastAsia" w:ascii="宋体" w:hAnsi="宋体" w:cs="宋体"/>
                <w:szCs w:val="21"/>
                <w:highlight w:val="none"/>
              </w:rPr>
              <w:t>（2）平台会校验标书一致性及标书身份识别，切勿手动修改标书。</w:t>
            </w:r>
            <w:r>
              <w:rPr>
                <w:rFonts w:hint="eastAsia" w:ascii="宋体" w:hAnsi="宋体" w:cs="宋体"/>
                <w:szCs w:val="21"/>
                <w:highlight w:val="none"/>
              </w:rPr>
              <w:br w:type="textWrapping"/>
            </w:r>
            <w:r>
              <w:rPr>
                <w:rFonts w:hint="eastAsia" w:ascii="宋体" w:hAnsi="宋体" w:cs="宋体"/>
                <w:szCs w:val="21"/>
                <w:highlight w:val="none"/>
              </w:rPr>
              <w:t>（3）供应商生成的后缀格式为.bfbs的备份标书是无法查看的，主要是为了在开标解密时异常处理使用。</w:t>
            </w:r>
            <w:r>
              <w:rPr>
                <w:rFonts w:hint="eastAsia" w:ascii="宋体" w:hAnsi="宋体" w:cs="宋体"/>
                <w:szCs w:val="21"/>
                <w:highlight w:val="none"/>
              </w:rPr>
              <w:br w:type="textWrapping"/>
            </w:r>
            <w:r>
              <w:rPr>
                <w:rFonts w:hint="eastAsia" w:ascii="宋体" w:hAnsi="宋体" w:cs="宋体"/>
                <w:szCs w:val="21"/>
                <w:highlight w:val="none"/>
              </w:rPr>
              <w:t>（4）凡因个人原因无法正常解密投标文件（且没提供备份文件至采购代理机构），致使供应商无法参与评标，供应商自行承担后果。</w:t>
            </w:r>
          </w:p>
          <w:p>
            <w:pPr>
              <w:spacing w:line="360" w:lineRule="auto"/>
              <w:rPr>
                <w:rFonts w:ascii="宋体" w:hAnsi="宋体" w:cs="宋体"/>
                <w:szCs w:val="21"/>
                <w:highlight w:val="none"/>
              </w:rPr>
            </w:pPr>
            <w:r>
              <w:rPr>
                <w:rFonts w:hint="eastAsia" w:ascii="宋体" w:hAnsi="宋体" w:cs="宋体"/>
                <w:szCs w:val="21"/>
                <w:highlight w:val="none"/>
              </w:rPr>
              <w:t>电报、电话、传真、电子邮件等形式的投标概不接受。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8</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投标截止时间及地点：</w:t>
            </w:r>
            <w:r>
              <w:rPr>
                <w:rFonts w:hint="eastAsia" w:ascii="宋体" w:hAnsi="宋体" w:cs="宋体"/>
                <w:szCs w:val="21"/>
                <w:highlight w:val="none"/>
                <w:lang w:eastAsia="zh-CN"/>
              </w:rPr>
              <w:t>2023年11月13日</w:t>
            </w:r>
            <w:r>
              <w:rPr>
                <w:rFonts w:hint="eastAsia" w:ascii="宋体" w:hAnsi="宋体" w:cs="宋体"/>
                <w:szCs w:val="21"/>
                <w:highlight w:val="none"/>
                <w:lang w:val="en-US" w:eastAsia="zh-CN"/>
              </w:rPr>
              <w:t>下</w:t>
            </w:r>
            <w:r>
              <w:rPr>
                <w:rFonts w:hint="eastAsia" w:ascii="宋体" w:hAnsi="宋体" w:cs="宋体"/>
                <w:szCs w:val="21"/>
                <w:highlight w:val="none"/>
              </w:rPr>
              <w:t>午</w:t>
            </w:r>
            <w:r>
              <w:rPr>
                <w:rFonts w:hint="eastAsia" w:ascii="宋体" w:hAnsi="宋体" w:cs="宋体"/>
                <w:szCs w:val="21"/>
                <w:highlight w:val="none"/>
                <w:lang w:eastAsia="zh-CN"/>
              </w:rPr>
              <w:t>1</w:t>
            </w:r>
            <w:r>
              <w:rPr>
                <w:rFonts w:hint="eastAsia" w:ascii="宋体" w:hAnsi="宋体" w:cs="宋体"/>
                <w:szCs w:val="21"/>
                <w:highlight w:val="none"/>
                <w:lang w:val="en-US" w:eastAsia="zh-CN"/>
              </w:rPr>
              <w:t>6</w:t>
            </w:r>
            <w:r>
              <w:rPr>
                <w:rFonts w:hint="eastAsia" w:ascii="宋体" w:hAnsi="宋体" w:cs="宋体"/>
                <w:szCs w:val="21"/>
                <w:highlight w:val="none"/>
                <w:lang w:eastAsia="zh-CN"/>
              </w:rPr>
              <w:t>:00</w:t>
            </w:r>
            <w:r>
              <w:rPr>
                <w:rFonts w:hint="eastAsia" w:ascii="宋体" w:hAnsi="宋体" w:cs="宋体"/>
                <w:szCs w:val="21"/>
                <w:highlight w:val="none"/>
              </w:rPr>
              <w:t>时（北京时间）前将竞争性磋商响应文件上传至政采云平台对应位置，逾期上传作无效标处理。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9</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开标时间：</w:t>
            </w:r>
            <w:r>
              <w:rPr>
                <w:rFonts w:hint="eastAsia" w:ascii="宋体" w:hAnsi="宋体" w:cs="宋体"/>
                <w:szCs w:val="21"/>
                <w:highlight w:val="none"/>
                <w:lang w:eastAsia="zh-CN"/>
              </w:rPr>
              <w:t>2023年11月13日</w:t>
            </w:r>
            <w:r>
              <w:rPr>
                <w:rFonts w:hint="eastAsia" w:ascii="宋体" w:hAnsi="宋体" w:cs="宋体"/>
                <w:szCs w:val="21"/>
                <w:highlight w:val="none"/>
                <w:lang w:val="en-US" w:eastAsia="zh-CN"/>
              </w:rPr>
              <w:t>下</w:t>
            </w:r>
            <w:r>
              <w:rPr>
                <w:rFonts w:hint="eastAsia" w:ascii="宋体" w:hAnsi="宋体" w:cs="宋体"/>
                <w:szCs w:val="21"/>
                <w:highlight w:val="none"/>
              </w:rPr>
              <w:t>午</w:t>
            </w:r>
            <w:r>
              <w:rPr>
                <w:rFonts w:hint="eastAsia" w:ascii="宋体" w:hAnsi="宋体" w:cs="宋体"/>
                <w:szCs w:val="21"/>
                <w:highlight w:val="none"/>
                <w:lang w:eastAsia="zh-CN"/>
              </w:rPr>
              <w:t>1</w:t>
            </w:r>
            <w:r>
              <w:rPr>
                <w:rFonts w:hint="eastAsia" w:ascii="宋体" w:hAnsi="宋体" w:cs="宋体"/>
                <w:szCs w:val="21"/>
                <w:highlight w:val="none"/>
                <w:lang w:val="en-US" w:eastAsia="zh-CN"/>
              </w:rPr>
              <w:t>6</w:t>
            </w:r>
            <w:r>
              <w:rPr>
                <w:rFonts w:hint="eastAsia" w:ascii="宋体" w:hAnsi="宋体" w:cs="宋体"/>
                <w:szCs w:val="21"/>
                <w:highlight w:val="none"/>
                <w:lang w:eastAsia="zh-CN"/>
              </w:rPr>
              <w:t>:00</w:t>
            </w:r>
            <w:r>
              <w:rPr>
                <w:rFonts w:hint="eastAsia" w:ascii="宋体" w:hAnsi="宋体" w:cs="宋体"/>
                <w:szCs w:val="21"/>
                <w:highlight w:val="none"/>
              </w:rPr>
              <w:t>时（北京时间）</w:t>
            </w:r>
          </w:p>
          <w:p>
            <w:pPr>
              <w:spacing w:line="360" w:lineRule="auto"/>
              <w:rPr>
                <w:rFonts w:ascii="宋体" w:hAnsi="宋体" w:cs="宋体"/>
                <w:szCs w:val="21"/>
                <w:highlight w:val="none"/>
              </w:rPr>
            </w:pPr>
            <w:r>
              <w:rPr>
                <w:rFonts w:hint="eastAsia" w:ascii="宋体" w:hAnsi="宋体" w:cs="宋体"/>
                <w:szCs w:val="21"/>
                <w:highlight w:val="none"/>
              </w:rPr>
              <w:t>开标地点：政采云平台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0</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1</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中标公示：采购结果在《新疆政府采购网》公告栏发布中标公示。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2</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履约保证金的收取及退还:中标单位和采购人签订合同时约定。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3</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本项目采用竞争性磋商的方式评选确定得分最高的为中标单位。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4</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本次竞争性磋商文件由采购人及</w:t>
            </w:r>
            <w:r>
              <w:rPr>
                <w:rFonts w:hint="eastAsia" w:ascii="宋体" w:hAnsi="宋体" w:cs="宋体"/>
                <w:szCs w:val="21"/>
                <w:highlight w:val="none"/>
                <w:lang w:eastAsia="zh-CN"/>
              </w:rPr>
              <w:t>新疆浩诚致远项目管理咨询有限公司</w:t>
            </w:r>
            <w:r>
              <w:rPr>
                <w:rFonts w:hint="eastAsia" w:ascii="宋体" w:hAnsi="宋体" w:cs="宋体"/>
                <w:szCs w:val="21"/>
                <w:highlight w:val="none"/>
              </w:rPr>
              <w:t>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5</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代理报酬的计算方法：参照原国家计委《招标代理服务收费管理暂行办法》（计加盖[2002]1980号）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6</w:t>
            </w:r>
          </w:p>
        </w:tc>
        <w:tc>
          <w:tcPr>
            <w:tcW w:w="8101"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highlight w:val="none"/>
              </w:rPr>
            </w:pPr>
            <w:r>
              <w:rPr>
                <w:rFonts w:hint="eastAsia" w:ascii="宋体" w:hAnsi="宋体" w:cs="宋体"/>
                <w:szCs w:val="21"/>
                <w:highlight w:val="none"/>
              </w:rPr>
              <w:t>政府采购政策支持</w:t>
            </w:r>
          </w:p>
          <w:p>
            <w:pPr>
              <w:spacing w:line="360" w:lineRule="auto"/>
              <w:rPr>
                <w:rFonts w:ascii="宋体" w:hAnsi="宋体" w:cs="宋体"/>
                <w:szCs w:val="21"/>
                <w:highlight w:val="none"/>
              </w:rPr>
            </w:pPr>
            <w:r>
              <w:rPr>
                <w:rFonts w:hint="eastAsia" w:ascii="宋体" w:hAnsi="宋体" w:cs="宋体"/>
                <w:szCs w:val="21"/>
                <w:highlight w:val="none"/>
              </w:rPr>
              <w:t>（1）财政部、国家发展改革委、生态环境部、市场监管总局《关于调整优化节能产品、环境标志产品政府采购品政府采购品目清单的通知》（财库[2019]19号文）；</w:t>
            </w:r>
          </w:p>
          <w:p>
            <w:pPr>
              <w:spacing w:line="360" w:lineRule="auto"/>
              <w:rPr>
                <w:rFonts w:ascii="宋体" w:hAnsi="宋体" w:cs="宋体"/>
                <w:szCs w:val="21"/>
                <w:highlight w:val="none"/>
              </w:rPr>
            </w:pPr>
            <w:r>
              <w:rPr>
                <w:rFonts w:hint="eastAsia" w:ascii="宋体" w:hAnsi="宋体" w:cs="宋体"/>
                <w:szCs w:val="21"/>
                <w:highlight w:val="none"/>
              </w:rPr>
              <w:t>（2）市场监管总局《市场监管总局关于发布参与实施政府采购节能产品、环境标志产品认证机构名录的公告》（2019年第16号）；</w:t>
            </w:r>
          </w:p>
          <w:p>
            <w:pPr>
              <w:spacing w:line="360" w:lineRule="auto"/>
              <w:rPr>
                <w:rFonts w:ascii="宋体" w:hAnsi="宋体" w:cs="宋体"/>
                <w:szCs w:val="21"/>
                <w:highlight w:val="none"/>
              </w:rPr>
            </w:pPr>
            <w:r>
              <w:rPr>
                <w:rFonts w:hint="eastAsia" w:ascii="宋体" w:hAnsi="宋体" w:cs="宋体"/>
                <w:szCs w:val="21"/>
                <w:highlight w:val="none"/>
              </w:rPr>
              <w:t>（3）财政部、工业和信息化部《关于印发《政府采购促进中小企业发展管理办法》的通知》（财库[2020]46号文）；</w:t>
            </w:r>
          </w:p>
          <w:p>
            <w:pPr>
              <w:spacing w:line="360" w:lineRule="auto"/>
              <w:rPr>
                <w:rFonts w:ascii="宋体" w:hAnsi="宋体" w:cs="宋体"/>
                <w:szCs w:val="21"/>
                <w:highlight w:val="none"/>
              </w:rPr>
            </w:pPr>
            <w:r>
              <w:rPr>
                <w:rFonts w:hint="eastAsia" w:ascii="宋体" w:hAnsi="宋体" w:cs="宋体"/>
                <w:szCs w:val="21"/>
                <w:highlight w:val="none"/>
              </w:rPr>
              <w:t>（4）财政部、民政部、中国残疾人联合会《关于促进残疾人就业政府采购政策的通知》（财库[2017]141号）；</w:t>
            </w:r>
          </w:p>
          <w:p>
            <w:pPr>
              <w:spacing w:line="360" w:lineRule="auto"/>
              <w:rPr>
                <w:rFonts w:ascii="宋体" w:hAnsi="宋体" w:cs="宋体"/>
                <w:szCs w:val="21"/>
                <w:highlight w:val="none"/>
              </w:rPr>
            </w:pPr>
            <w:r>
              <w:rPr>
                <w:rFonts w:hint="eastAsia" w:ascii="宋体" w:hAnsi="宋体" w:cs="宋体"/>
                <w:szCs w:val="21"/>
                <w:highlight w:val="none"/>
              </w:rPr>
              <w:t>(5）财政部、司法部《关于政府采购支持监狱企业发展有关问题的通知》（财库[2014]68号文）。（中小企业优惠、监狱企业、节能产品、环境标志产品等）。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1</w:t>
            </w:r>
            <w:r>
              <w:rPr>
                <w:rFonts w:hint="eastAsia" w:ascii="宋体" w:hAnsi="宋体" w:cs="宋体"/>
                <w:szCs w:val="21"/>
                <w:highlight w:val="none"/>
                <w:lang w:val="en-US" w:eastAsia="zh-CN"/>
              </w:rPr>
              <w:t>7</w:t>
            </w:r>
          </w:p>
        </w:tc>
        <w:tc>
          <w:tcPr>
            <w:tcW w:w="8101" w:type="dxa"/>
            <w:tcBorders>
              <w:top w:val="single" w:color="auto" w:sz="4" w:space="0"/>
              <w:left w:val="single" w:color="auto" w:sz="4" w:space="0"/>
              <w:bottom w:val="single" w:color="auto" w:sz="4" w:space="0"/>
              <w:right w:val="single" w:color="auto" w:sz="4" w:space="0"/>
            </w:tcBorders>
            <w:noWrap/>
            <w:vAlign w:val="center"/>
          </w:tcPr>
          <w:p>
            <w:pPr>
              <w:pStyle w:val="14"/>
              <w:ind w:firstLine="0"/>
              <w:jc w:val="left"/>
              <w:rPr>
                <w:rFonts w:ascii="宋体" w:hAnsi="宋体" w:cs="宋体"/>
                <w:sz w:val="21"/>
                <w:szCs w:val="21"/>
                <w:highlight w:val="none"/>
              </w:rPr>
            </w:pPr>
            <w:r>
              <w:rPr>
                <w:rFonts w:hint="eastAsia" w:ascii="宋体" w:hAnsi="宋体" w:cs="宋体"/>
                <w:sz w:val="21"/>
                <w:szCs w:val="21"/>
                <w:highlight w:val="none"/>
              </w:rPr>
              <w:t>质疑须知</w:t>
            </w:r>
          </w:p>
          <w:p>
            <w:pPr>
              <w:spacing w:line="360" w:lineRule="auto"/>
              <w:rPr>
                <w:rFonts w:ascii="宋体" w:hAnsi="宋体" w:cs="宋体"/>
                <w:szCs w:val="21"/>
                <w:highlight w:val="none"/>
              </w:rPr>
            </w:pPr>
            <w:r>
              <w:rPr>
                <w:rFonts w:hint="eastAsia" w:ascii="宋体" w:hAnsi="宋体" w:cs="宋体"/>
                <w:szCs w:val="21"/>
                <w:highlight w:val="none"/>
              </w:rPr>
              <w:t>1、供应商认为</w:t>
            </w:r>
            <w:r>
              <w:rPr>
                <w:rFonts w:hint="eastAsia" w:ascii="宋体" w:hAnsi="宋体" w:cs="宋体"/>
                <w:szCs w:val="21"/>
                <w:highlight w:val="none"/>
                <w:lang w:val="zh-CN"/>
              </w:rPr>
              <w:t>磋商</w:t>
            </w:r>
            <w:r>
              <w:rPr>
                <w:rFonts w:hint="eastAsia" w:ascii="宋体" w:hAnsi="宋体" w:cs="宋体"/>
                <w:szCs w:val="21"/>
                <w:highlight w:val="none"/>
              </w:rPr>
              <w:t>文件、采购过程、中标或者成交结果使自己的权益受到损害的，可以在知道或者应知其权益受到损害之日起7个工作日内，以书面形式向采购人、采购代理机构提出质疑。</w:t>
            </w:r>
          </w:p>
          <w:p>
            <w:pPr>
              <w:spacing w:line="360" w:lineRule="auto"/>
              <w:rPr>
                <w:rFonts w:ascii="宋体" w:hAnsi="宋体" w:cs="宋体"/>
                <w:szCs w:val="21"/>
                <w:highlight w:val="none"/>
              </w:rPr>
            </w:pPr>
            <w:r>
              <w:rPr>
                <w:rFonts w:hint="eastAsia" w:ascii="宋体" w:hAnsi="宋体" w:cs="宋体"/>
                <w:szCs w:val="21"/>
                <w:highlight w:val="none"/>
              </w:rPr>
              <w:t>2、提出质疑的供应商（以下简称质疑供应商）应当是参与所质疑项目采购活动的供应商。</w:t>
            </w:r>
          </w:p>
          <w:p>
            <w:pPr>
              <w:pStyle w:val="14"/>
              <w:spacing w:line="360" w:lineRule="auto"/>
              <w:ind w:firstLine="0"/>
              <w:rPr>
                <w:rFonts w:ascii="宋体" w:hAnsi="宋体" w:cs="宋体"/>
                <w:sz w:val="21"/>
                <w:szCs w:val="21"/>
                <w:highlight w:val="none"/>
              </w:rPr>
            </w:pPr>
            <w:r>
              <w:rPr>
                <w:rFonts w:hint="eastAsia" w:ascii="宋体" w:hAnsi="宋体" w:cs="宋体"/>
                <w:sz w:val="21"/>
                <w:szCs w:val="21"/>
                <w:highlight w:val="none"/>
              </w:rPr>
              <w:t>3、对采购文件提出质疑的，应当在获取采购文件或者采购文件公告期限届满之日起7个工作日内提出。</w:t>
            </w:r>
          </w:p>
          <w:p>
            <w:pPr>
              <w:pStyle w:val="14"/>
              <w:spacing w:line="360" w:lineRule="auto"/>
              <w:ind w:firstLine="0"/>
              <w:rPr>
                <w:rFonts w:ascii="宋体" w:hAnsi="宋体" w:cs="宋体"/>
                <w:sz w:val="21"/>
                <w:szCs w:val="21"/>
                <w:highlight w:val="none"/>
              </w:rPr>
            </w:pPr>
            <w:r>
              <w:rPr>
                <w:rFonts w:hint="eastAsia" w:ascii="宋体" w:hAnsi="宋体" w:cs="宋体"/>
                <w:sz w:val="21"/>
                <w:szCs w:val="21"/>
                <w:highlight w:val="none"/>
              </w:rPr>
              <w:t>4、质疑函应当包括下列内容：</w:t>
            </w:r>
          </w:p>
          <w:p>
            <w:pPr>
              <w:pStyle w:val="14"/>
              <w:spacing w:line="360" w:lineRule="auto"/>
              <w:rPr>
                <w:rFonts w:ascii="宋体" w:hAnsi="宋体" w:cs="宋体"/>
                <w:sz w:val="21"/>
                <w:szCs w:val="21"/>
                <w:highlight w:val="none"/>
              </w:rPr>
            </w:pPr>
            <w:r>
              <w:rPr>
                <w:rFonts w:hint="eastAsia" w:ascii="宋体" w:hAnsi="宋体" w:cs="宋体"/>
                <w:sz w:val="21"/>
                <w:szCs w:val="21"/>
                <w:highlight w:val="none"/>
              </w:rPr>
              <w:t>　　（一）供应商的姓名或者名称、地址、邮编、联系人及联系电话；</w:t>
            </w:r>
          </w:p>
          <w:p>
            <w:pPr>
              <w:pStyle w:val="14"/>
              <w:spacing w:line="360" w:lineRule="auto"/>
              <w:rPr>
                <w:rFonts w:ascii="宋体" w:hAnsi="宋体" w:cs="宋体"/>
                <w:sz w:val="21"/>
                <w:szCs w:val="21"/>
                <w:highlight w:val="none"/>
              </w:rPr>
            </w:pPr>
            <w:r>
              <w:rPr>
                <w:rFonts w:hint="eastAsia" w:ascii="宋体" w:hAnsi="宋体" w:cs="宋体"/>
                <w:sz w:val="21"/>
                <w:szCs w:val="21"/>
                <w:highlight w:val="none"/>
              </w:rPr>
              <w:t>　　（二）质疑项目的名称、编号；</w:t>
            </w:r>
          </w:p>
          <w:p>
            <w:pPr>
              <w:pStyle w:val="14"/>
              <w:spacing w:line="360" w:lineRule="auto"/>
              <w:rPr>
                <w:rFonts w:ascii="宋体" w:hAnsi="宋体" w:cs="宋体"/>
                <w:sz w:val="21"/>
                <w:szCs w:val="21"/>
                <w:highlight w:val="none"/>
              </w:rPr>
            </w:pPr>
            <w:r>
              <w:rPr>
                <w:rFonts w:hint="eastAsia" w:ascii="宋体" w:hAnsi="宋体" w:cs="宋体"/>
                <w:sz w:val="21"/>
                <w:szCs w:val="21"/>
                <w:highlight w:val="none"/>
              </w:rPr>
              <w:t>　　（三）具体、明确的质疑事项和与质疑事项相关的请求；</w:t>
            </w:r>
          </w:p>
          <w:p>
            <w:pPr>
              <w:pStyle w:val="14"/>
              <w:spacing w:line="360" w:lineRule="auto"/>
              <w:rPr>
                <w:rFonts w:ascii="宋体" w:hAnsi="宋体" w:cs="宋体"/>
                <w:sz w:val="21"/>
                <w:szCs w:val="21"/>
                <w:highlight w:val="none"/>
              </w:rPr>
            </w:pPr>
            <w:r>
              <w:rPr>
                <w:rFonts w:hint="eastAsia" w:ascii="宋体" w:hAnsi="宋体" w:cs="宋体"/>
                <w:sz w:val="21"/>
                <w:szCs w:val="21"/>
                <w:highlight w:val="none"/>
              </w:rPr>
              <w:t>　　（四）事实依据；</w:t>
            </w:r>
          </w:p>
          <w:p>
            <w:pPr>
              <w:pStyle w:val="14"/>
              <w:spacing w:line="360" w:lineRule="auto"/>
              <w:rPr>
                <w:rFonts w:ascii="宋体" w:hAnsi="宋体" w:cs="宋体"/>
                <w:sz w:val="21"/>
                <w:szCs w:val="21"/>
                <w:highlight w:val="none"/>
              </w:rPr>
            </w:pPr>
            <w:r>
              <w:rPr>
                <w:rFonts w:hint="eastAsia" w:ascii="宋体" w:hAnsi="宋体" w:cs="宋体"/>
                <w:sz w:val="21"/>
                <w:szCs w:val="21"/>
                <w:highlight w:val="none"/>
              </w:rPr>
              <w:t>　　（五）必要的法律依据；</w:t>
            </w:r>
          </w:p>
          <w:p>
            <w:pPr>
              <w:pStyle w:val="14"/>
              <w:spacing w:line="360" w:lineRule="auto"/>
              <w:rPr>
                <w:rFonts w:ascii="宋体" w:hAnsi="宋体" w:cs="宋体"/>
                <w:sz w:val="21"/>
                <w:szCs w:val="21"/>
                <w:highlight w:val="none"/>
              </w:rPr>
            </w:pPr>
            <w:r>
              <w:rPr>
                <w:rFonts w:hint="eastAsia" w:ascii="宋体" w:hAnsi="宋体" w:cs="宋体"/>
                <w:sz w:val="21"/>
                <w:szCs w:val="21"/>
                <w:highlight w:val="none"/>
              </w:rPr>
              <w:t>　　（六）提出质疑的日期。</w:t>
            </w:r>
          </w:p>
          <w:p>
            <w:pPr>
              <w:pStyle w:val="14"/>
              <w:spacing w:line="360" w:lineRule="auto"/>
              <w:ind w:firstLine="420"/>
              <w:rPr>
                <w:rFonts w:ascii="宋体" w:hAnsi="宋体" w:cs="宋体"/>
                <w:sz w:val="21"/>
                <w:szCs w:val="21"/>
                <w:highlight w:val="none"/>
              </w:rPr>
            </w:pPr>
            <w:r>
              <w:rPr>
                <w:rFonts w:hint="eastAsia" w:ascii="宋体" w:hAnsi="宋体" w:cs="宋体"/>
                <w:sz w:val="21"/>
                <w:szCs w:val="21"/>
                <w:highlight w:val="none"/>
              </w:rPr>
              <w:t>供应商为自然人的，应当由本人签字；供应商为法人或者其他组织的，应当由法定代表人、主要负责人，或者其授权代表签字或者盖章，并加盖公章。</w:t>
            </w:r>
          </w:p>
          <w:p>
            <w:pPr>
              <w:pStyle w:val="14"/>
              <w:ind w:firstLine="0"/>
              <w:rPr>
                <w:rFonts w:ascii="宋体" w:hAnsi="宋体" w:cs="宋体"/>
                <w:sz w:val="21"/>
                <w:szCs w:val="21"/>
                <w:highlight w:val="none"/>
              </w:rPr>
            </w:pPr>
            <w:r>
              <w:rPr>
                <w:rFonts w:hint="eastAsia" w:ascii="宋体" w:hAnsi="宋体" w:cs="宋体"/>
                <w:sz w:val="21"/>
                <w:szCs w:val="21"/>
                <w:highlight w:val="none"/>
              </w:rPr>
              <w:t>5、接受质疑函的方式：现场递交纸质版及Word格式电子版质疑文件。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9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Cs w:val="21"/>
                <w:highlight w:val="none"/>
              </w:rPr>
            </w:pPr>
            <w:r>
              <w:rPr>
                <w:rFonts w:hint="eastAsia" w:ascii="宋体" w:hAnsi="宋体" w:cs="宋体"/>
                <w:szCs w:val="21"/>
                <w:highlight w:val="none"/>
              </w:rPr>
              <w:t>备注</w:t>
            </w:r>
          </w:p>
        </w:tc>
        <w:tc>
          <w:tcPr>
            <w:tcW w:w="8101" w:type="dxa"/>
            <w:tcBorders>
              <w:top w:val="single" w:color="auto" w:sz="4" w:space="0"/>
              <w:left w:val="single" w:color="auto" w:sz="4" w:space="0"/>
              <w:bottom w:val="single" w:color="auto" w:sz="4" w:space="0"/>
              <w:right w:val="single" w:color="auto" w:sz="4" w:space="0"/>
            </w:tcBorders>
            <w:noWrap/>
            <w:vAlign w:val="center"/>
          </w:tcPr>
          <w:p>
            <w:pPr>
              <w:pStyle w:val="65"/>
              <w:snapToGrid w:val="0"/>
              <w:spacing w:line="360" w:lineRule="auto"/>
              <w:jc w:val="both"/>
              <w:textAlignment w:val="baseline"/>
              <w:rPr>
                <w:rFonts w:cs="宋体"/>
                <w:kern w:val="2"/>
                <w:sz w:val="21"/>
                <w:szCs w:val="21"/>
                <w:highlight w:val="none"/>
                <w:lang w:eastAsia="zh-CN"/>
              </w:rPr>
            </w:pPr>
            <w:r>
              <w:rPr>
                <w:rFonts w:hint="eastAsia" w:cs="宋体"/>
                <w:kern w:val="2"/>
                <w:sz w:val="21"/>
                <w:szCs w:val="21"/>
                <w:highlight w:val="none"/>
                <w:lang w:eastAsia="zh-CN"/>
              </w:rPr>
              <w:t>1、请投标单位提前自学线上开标流程；投标截止时间当天，线上开标环节，投标文件解密时长30分钟，投标供应商请自备笔记本电脑及CA锁进行投标文件解密以及操作投标事项，请投标人提前调试好在线参标电脑各项配置。</w:t>
            </w:r>
          </w:p>
          <w:p>
            <w:pPr>
              <w:pStyle w:val="65"/>
              <w:snapToGrid w:val="0"/>
              <w:spacing w:line="360" w:lineRule="auto"/>
              <w:jc w:val="both"/>
              <w:rPr>
                <w:rFonts w:cs="宋体"/>
                <w:kern w:val="2"/>
                <w:sz w:val="21"/>
                <w:szCs w:val="21"/>
                <w:highlight w:val="none"/>
                <w:lang w:eastAsia="zh-CN"/>
              </w:rPr>
            </w:pPr>
            <w:r>
              <w:rPr>
                <w:rFonts w:hint="eastAsia" w:cs="宋体"/>
                <w:kern w:val="2"/>
                <w:sz w:val="21"/>
                <w:szCs w:val="21"/>
                <w:highlight w:val="none"/>
                <w:lang w:eastAsia="zh-CN"/>
              </w:rPr>
              <w:t>2、招标文件中采购清单、技术需求等如有偏差，如有疑义请澄清中及时提出；否则视为充分理解招标文件各项要求。</w:t>
            </w:r>
          </w:p>
          <w:p>
            <w:pPr>
              <w:pStyle w:val="65"/>
              <w:snapToGrid w:val="0"/>
              <w:spacing w:line="360" w:lineRule="auto"/>
              <w:jc w:val="both"/>
              <w:rPr>
                <w:rFonts w:cs="宋体"/>
                <w:kern w:val="2"/>
                <w:sz w:val="21"/>
                <w:szCs w:val="21"/>
                <w:highlight w:val="none"/>
                <w:lang w:eastAsia="zh-CN"/>
              </w:rPr>
            </w:pPr>
            <w:r>
              <w:rPr>
                <w:rFonts w:hint="eastAsia" w:cs="宋体"/>
                <w:kern w:val="2"/>
                <w:sz w:val="21"/>
                <w:szCs w:val="21"/>
                <w:highlight w:val="none"/>
                <w:lang w:eastAsia="zh-CN"/>
              </w:rPr>
              <w:t>3、本次采用政府采购云平台线上招标、投标，请各潜在投标人及时办理CA锁和学习政府采购云平台线上投标相关知识。请在政府采购云平台登录后，进行下载招标文件。请各投标人获取招标文件后及时关注云平台答疑文件获取栏目。具体相关事宜见政府采购云平台。本项目采用资格后审，请投标人仔细阅读招标文件和各项要求，制作文件及相关资料过程中，若因投标人资格条件不符、提供资料不全等原因导致投标文件予以退还，责任自负。</w:t>
            </w:r>
          </w:p>
          <w:p>
            <w:pPr>
              <w:spacing w:line="360" w:lineRule="auto"/>
              <w:rPr>
                <w:rFonts w:ascii="宋体" w:hAnsi="宋体" w:cs="宋体"/>
                <w:szCs w:val="21"/>
                <w:highlight w:val="none"/>
              </w:rPr>
            </w:pPr>
            <w:r>
              <w:rPr>
                <w:rFonts w:hint="eastAsia" w:ascii="宋体" w:hAnsi="宋体" w:cs="宋体"/>
                <w:szCs w:val="21"/>
                <w:highlight w:val="none"/>
              </w:rPr>
              <w:t>4、投标文件中有弄虚作假的内容，其投标文件作废。</w:t>
            </w:r>
          </w:p>
          <w:p>
            <w:pPr>
              <w:spacing w:line="360" w:lineRule="auto"/>
              <w:rPr>
                <w:rFonts w:ascii="宋体" w:hAnsi="宋体" w:cs="宋体"/>
                <w:szCs w:val="21"/>
                <w:highlight w:val="none"/>
              </w:rPr>
            </w:pPr>
            <w:r>
              <w:rPr>
                <w:rFonts w:hint="eastAsia" w:ascii="宋体" w:hAnsi="宋体" w:cs="宋体"/>
                <w:szCs w:val="21"/>
                <w:highlight w:val="none"/>
              </w:rPr>
              <w:t>5、招标文件中如有内容冲突的地方，以投标须知要求为准。</w:t>
            </w:r>
          </w:p>
        </w:tc>
      </w:tr>
    </w:tbl>
    <w:p>
      <w:pPr>
        <w:pStyle w:val="40"/>
        <w:rPr>
          <w:rFonts w:ascii="仿宋" w:hAnsi="仿宋" w:eastAsia="仿宋" w:cs="仿宋"/>
          <w:b/>
          <w:sz w:val="36"/>
          <w:szCs w:val="36"/>
          <w:highlight w:val="none"/>
        </w:rPr>
      </w:pPr>
    </w:p>
    <w:p>
      <w:pPr>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rPr>
        <w:br w:type="page"/>
      </w:r>
    </w:p>
    <w:p>
      <w:pPr>
        <w:widowControl/>
        <w:spacing w:line="480" w:lineRule="exact"/>
        <w:jc w:val="center"/>
        <w:outlineLvl w:val="0"/>
        <w:rPr>
          <w:rFonts w:ascii="仿宋" w:hAnsi="仿宋" w:eastAsia="仿宋" w:cs="仿宋"/>
          <w:b/>
          <w:color w:val="000000"/>
          <w:sz w:val="28"/>
          <w:szCs w:val="28"/>
          <w:highlight w:val="none"/>
        </w:rPr>
      </w:pPr>
      <w:bookmarkStart w:id="8" w:name="_Toc25705"/>
      <w:r>
        <w:rPr>
          <w:rFonts w:hint="eastAsia" w:ascii="仿宋" w:hAnsi="仿宋" w:eastAsia="仿宋" w:cs="仿宋"/>
          <w:b/>
          <w:color w:val="000000"/>
          <w:sz w:val="36"/>
          <w:szCs w:val="36"/>
          <w:highlight w:val="none"/>
        </w:rPr>
        <w:t>第</w:t>
      </w:r>
      <w:r>
        <w:rPr>
          <w:rFonts w:hint="eastAsia" w:ascii="仿宋" w:hAnsi="仿宋" w:eastAsia="仿宋" w:cs="仿宋"/>
          <w:b/>
          <w:color w:val="000000"/>
          <w:sz w:val="36"/>
          <w:szCs w:val="36"/>
          <w:highlight w:val="none"/>
          <w:lang w:val="en-US" w:eastAsia="zh-CN"/>
        </w:rPr>
        <w:t>三章</w:t>
      </w:r>
      <w:r>
        <w:rPr>
          <w:rFonts w:hint="eastAsia" w:ascii="仿宋" w:hAnsi="仿宋" w:eastAsia="仿宋" w:cs="仿宋"/>
          <w:b/>
          <w:color w:val="000000"/>
          <w:sz w:val="36"/>
          <w:szCs w:val="36"/>
          <w:highlight w:val="none"/>
        </w:rPr>
        <w:t xml:space="preserve">  投标人须知</w:t>
      </w:r>
      <w:bookmarkEnd w:id="8"/>
    </w:p>
    <w:p>
      <w:pPr>
        <w:spacing w:line="360" w:lineRule="auto"/>
        <w:ind w:firstLine="562" w:firstLineChars="200"/>
        <w:jc w:val="center"/>
        <w:rPr>
          <w:rFonts w:ascii="仿宋" w:hAnsi="仿宋" w:eastAsia="仿宋" w:cs="仿宋"/>
          <w:b/>
          <w:color w:val="000000"/>
          <w:sz w:val="28"/>
          <w:szCs w:val="28"/>
          <w:highlight w:val="none"/>
          <w:shd w:val="clear" w:color="auto" w:fill="FFFFFF"/>
        </w:rPr>
      </w:pPr>
    </w:p>
    <w:p>
      <w:pPr>
        <w:spacing w:line="360" w:lineRule="auto"/>
        <w:jc w:val="center"/>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一、总则</w:t>
      </w:r>
    </w:p>
    <w:p>
      <w:pPr>
        <w:spacing w:line="360" w:lineRule="auto"/>
        <w:ind w:firstLine="560" w:firstLineChars="200"/>
        <w:rPr>
          <w:rFonts w:ascii="仿宋" w:hAnsi="仿宋" w:eastAsia="仿宋" w:cs="仿宋"/>
          <w:color w:val="000000"/>
          <w:sz w:val="28"/>
          <w:szCs w:val="28"/>
          <w:highlight w:val="none"/>
          <w:shd w:val="clear" w:color="auto" w:fill="FFFFFF"/>
        </w:rPr>
      </w:pPr>
      <w:bookmarkStart w:id="9" w:name="_Toc177870537"/>
      <w:bookmarkStart w:id="10" w:name="_Toc177824872"/>
      <w:bookmarkStart w:id="11" w:name="_Toc177825120"/>
      <w:bookmarkStart w:id="12" w:name="_Toc177824939"/>
      <w:r>
        <w:rPr>
          <w:rFonts w:hint="eastAsia" w:ascii="仿宋" w:hAnsi="仿宋" w:eastAsia="仿宋" w:cs="仿宋"/>
          <w:color w:val="000000"/>
          <w:sz w:val="28"/>
          <w:szCs w:val="28"/>
          <w:highlight w:val="none"/>
          <w:shd w:val="clear" w:color="auto" w:fill="FFFFFF"/>
        </w:rPr>
        <w:t>（一）适用范围</w:t>
      </w:r>
      <w:bookmarkEnd w:id="9"/>
      <w:bookmarkEnd w:id="10"/>
      <w:bookmarkEnd w:id="11"/>
      <w:bookmarkEnd w:id="12"/>
    </w:p>
    <w:p>
      <w:pPr>
        <w:spacing w:line="360" w:lineRule="auto"/>
        <w:ind w:firstLine="560" w:firstLineChars="200"/>
        <w:rPr>
          <w:rFonts w:ascii="仿宋" w:hAnsi="仿宋" w:eastAsia="仿宋" w:cs="仿宋"/>
          <w:color w:val="FF0000"/>
          <w:sz w:val="28"/>
          <w:szCs w:val="28"/>
          <w:highlight w:val="none"/>
          <w:u w:val="single"/>
          <w:shd w:val="clear" w:color="auto" w:fill="FFFFFF"/>
        </w:rPr>
      </w:pPr>
      <w:r>
        <w:rPr>
          <w:rFonts w:hint="eastAsia" w:ascii="仿宋" w:hAnsi="仿宋" w:eastAsia="仿宋" w:cs="仿宋"/>
          <w:color w:val="000000"/>
          <w:sz w:val="28"/>
          <w:szCs w:val="28"/>
          <w:highlight w:val="none"/>
          <w:shd w:val="clear" w:color="auto" w:fill="FFFFFF"/>
        </w:rPr>
        <w:t>本次竞争性磋商文件适用于：</w:t>
      </w:r>
      <w:r>
        <w:rPr>
          <w:rFonts w:hint="eastAsia" w:ascii="仿宋" w:hAnsi="仿宋" w:eastAsia="仿宋" w:cs="仿宋"/>
          <w:color w:val="000000"/>
          <w:sz w:val="28"/>
          <w:szCs w:val="28"/>
          <w:highlight w:val="none"/>
          <w:u w:val="single"/>
          <w:shd w:val="clear" w:color="auto" w:fill="FFFFFF"/>
          <w:lang w:eastAsia="zh-CN"/>
        </w:rPr>
        <w:t>民丰县天桥人行过道安装廊架项目</w:t>
      </w:r>
      <w:r>
        <w:rPr>
          <w:rFonts w:hint="eastAsia" w:ascii="仿宋" w:hAnsi="仿宋" w:eastAsia="仿宋" w:cs="仿宋"/>
          <w:color w:val="000000"/>
          <w:sz w:val="28"/>
          <w:szCs w:val="28"/>
          <w:highlight w:val="none"/>
          <w:u w:val="single"/>
          <w:shd w:val="clear" w:color="auto" w:fill="FFFFFF"/>
        </w:rPr>
        <w:t xml:space="preserve"> </w:t>
      </w:r>
      <w:r>
        <w:rPr>
          <w:rFonts w:hint="eastAsia" w:ascii="仿宋" w:hAnsi="仿宋" w:eastAsia="仿宋" w:cs="仿宋"/>
          <w:color w:val="000000"/>
          <w:sz w:val="28"/>
          <w:szCs w:val="28"/>
          <w:highlight w:val="none"/>
          <w:shd w:val="clear" w:color="auto" w:fill="FFFFFF"/>
        </w:rPr>
        <w:t>的招标、评标、定标、合同履约等（法律、法规另有规定的，从其规定）。</w:t>
      </w:r>
    </w:p>
    <w:p>
      <w:pPr>
        <w:spacing w:line="360" w:lineRule="auto"/>
        <w:ind w:firstLine="560" w:firstLineChars="200"/>
        <w:rPr>
          <w:rFonts w:ascii="仿宋" w:hAnsi="仿宋" w:eastAsia="仿宋" w:cs="仿宋"/>
          <w:color w:val="000000"/>
          <w:sz w:val="28"/>
          <w:szCs w:val="28"/>
          <w:highlight w:val="none"/>
          <w:shd w:val="clear" w:color="auto" w:fill="FFFFFF"/>
        </w:rPr>
      </w:pPr>
      <w:bookmarkStart w:id="13" w:name="_Toc177825121"/>
      <w:bookmarkStart w:id="14" w:name="_Toc177824940"/>
      <w:bookmarkStart w:id="15" w:name="_Toc177824873"/>
      <w:bookmarkStart w:id="16" w:name="_Toc177870538"/>
      <w:r>
        <w:rPr>
          <w:rFonts w:hint="eastAsia" w:ascii="仿宋" w:hAnsi="仿宋" w:eastAsia="仿宋" w:cs="仿宋"/>
          <w:color w:val="000000"/>
          <w:sz w:val="28"/>
          <w:szCs w:val="28"/>
          <w:highlight w:val="none"/>
          <w:shd w:val="clear" w:color="auto" w:fill="FFFFFF"/>
        </w:rPr>
        <w:t>（二）定义</w:t>
      </w:r>
      <w:bookmarkEnd w:id="13"/>
      <w:bookmarkEnd w:id="14"/>
      <w:bookmarkEnd w:id="15"/>
      <w:bookmarkEnd w:id="16"/>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 、“招标方”系指</w:t>
      </w:r>
      <w:r>
        <w:rPr>
          <w:rFonts w:hint="eastAsia" w:ascii="仿宋" w:hAnsi="仿宋" w:eastAsia="仿宋" w:cs="仿宋"/>
          <w:color w:val="000000"/>
          <w:sz w:val="28"/>
          <w:szCs w:val="28"/>
          <w:highlight w:val="none"/>
          <w:shd w:val="clear" w:color="auto" w:fill="FFFFFF"/>
          <w:lang w:val="en-US" w:eastAsia="zh-CN"/>
        </w:rPr>
        <w:t>民丰县教育和科学技术局</w:t>
      </w:r>
      <w:r>
        <w:rPr>
          <w:rFonts w:hint="eastAsia" w:ascii="仿宋" w:hAnsi="仿宋" w:eastAsia="仿宋" w:cs="仿宋"/>
          <w:color w:val="000000"/>
          <w:sz w:val="28"/>
          <w:szCs w:val="28"/>
          <w:highlight w:val="none"/>
          <w:shd w:val="clear" w:color="auto" w:fill="FFFFFF"/>
        </w:rPr>
        <w:t>。</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 、“投标方”、“投标人”系指有资格的投标人及投标表现人。</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 、“服务”系指招标文件规定投标人须承担的</w:t>
      </w:r>
      <w:r>
        <w:rPr>
          <w:rFonts w:hint="eastAsia" w:ascii="仿宋" w:hAnsi="仿宋" w:eastAsia="仿宋" w:cs="仿宋"/>
          <w:color w:val="000000"/>
          <w:sz w:val="28"/>
          <w:szCs w:val="28"/>
          <w:highlight w:val="none"/>
          <w:u w:val="single"/>
          <w:shd w:val="clear" w:color="auto" w:fill="FFFFFF"/>
        </w:rPr>
        <w:t xml:space="preserve"> </w:t>
      </w:r>
      <w:r>
        <w:rPr>
          <w:rFonts w:hint="eastAsia" w:ascii="仿宋" w:hAnsi="仿宋" w:eastAsia="仿宋" w:cs="仿宋"/>
          <w:color w:val="000000"/>
          <w:sz w:val="28"/>
          <w:szCs w:val="28"/>
          <w:highlight w:val="none"/>
          <w:u w:val="single"/>
          <w:shd w:val="clear" w:color="auto" w:fill="FFFFFF"/>
          <w:lang w:eastAsia="zh-CN"/>
        </w:rPr>
        <w:t>民丰县天桥人行过道安装廊架项目</w:t>
      </w:r>
      <w:r>
        <w:rPr>
          <w:rFonts w:hint="eastAsia" w:ascii="仿宋" w:hAnsi="仿宋" w:eastAsia="仿宋" w:cs="仿宋"/>
          <w:color w:val="000000"/>
          <w:sz w:val="28"/>
          <w:szCs w:val="28"/>
          <w:highlight w:val="none"/>
          <w:u w:val="single"/>
          <w:shd w:val="clear" w:color="auto" w:fill="FFFFFF"/>
        </w:rPr>
        <w:t xml:space="preserve"> </w:t>
      </w:r>
      <w:r>
        <w:rPr>
          <w:rFonts w:hint="eastAsia" w:ascii="仿宋" w:hAnsi="仿宋" w:eastAsia="仿宋" w:cs="仿宋"/>
          <w:color w:val="000000"/>
          <w:sz w:val="28"/>
          <w:szCs w:val="28"/>
          <w:highlight w:val="none"/>
          <w:shd w:val="clear" w:color="auto" w:fill="FFFFFF"/>
        </w:rPr>
        <w:t>的责任。</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 、招标服务：政府购买服务项目</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5 、“★”系指实质性要求条款。</w:t>
      </w:r>
    </w:p>
    <w:p>
      <w:pPr>
        <w:spacing w:line="360" w:lineRule="auto"/>
        <w:ind w:firstLine="560" w:firstLineChars="200"/>
        <w:rPr>
          <w:rFonts w:ascii="仿宋" w:hAnsi="仿宋" w:eastAsia="仿宋" w:cs="仿宋"/>
          <w:color w:val="000000"/>
          <w:sz w:val="28"/>
          <w:szCs w:val="28"/>
          <w:highlight w:val="none"/>
          <w:shd w:val="clear" w:color="auto" w:fill="FFFFFF"/>
        </w:rPr>
      </w:pPr>
      <w:bookmarkStart w:id="17" w:name="_Toc177870539"/>
      <w:r>
        <w:rPr>
          <w:rFonts w:hint="eastAsia" w:ascii="仿宋" w:hAnsi="仿宋" w:eastAsia="仿宋" w:cs="仿宋"/>
          <w:color w:val="000000"/>
          <w:sz w:val="28"/>
          <w:szCs w:val="28"/>
          <w:highlight w:val="none"/>
          <w:shd w:val="clear" w:color="auto" w:fill="FFFFFF"/>
        </w:rPr>
        <w:t>（三）采购方式</w:t>
      </w:r>
      <w:bookmarkEnd w:id="17"/>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本项目采用竞争性磋商的方式进行。</w:t>
      </w:r>
    </w:p>
    <w:p>
      <w:pPr>
        <w:spacing w:line="360" w:lineRule="auto"/>
        <w:ind w:firstLine="560" w:firstLineChars="200"/>
        <w:rPr>
          <w:rFonts w:ascii="仿宋" w:hAnsi="仿宋" w:eastAsia="仿宋" w:cs="仿宋"/>
          <w:color w:val="000000"/>
          <w:sz w:val="28"/>
          <w:szCs w:val="28"/>
          <w:highlight w:val="none"/>
          <w:shd w:val="clear" w:color="auto" w:fill="FFFFFF"/>
        </w:rPr>
      </w:pPr>
      <w:bookmarkStart w:id="18" w:name="_Toc177870541"/>
      <w:bookmarkStart w:id="19" w:name="_Toc177824875"/>
      <w:bookmarkStart w:id="20" w:name="_Toc177825123"/>
      <w:bookmarkStart w:id="21" w:name="_Toc177824942"/>
      <w:r>
        <w:rPr>
          <w:rFonts w:hint="eastAsia" w:ascii="仿宋" w:hAnsi="仿宋" w:eastAsia="仿宋" w:cs="仿宋"/>
          <w:color w:val="000000"/>
          <w:sz w:val="28"/>
          <w:szCs w:val="28"/>
          <w:highlight w:val="none"/>
          <w:shd w:val="clear" w:color="auto" w:fill="FFFFFF"/>
        </w:rPr>
        <w:t>（</w:t>
      </w:r>
      <w:r>
        <w:rPr>
          <w:rFonts w:hint="eastAsia" w:ascii="仿宋" w:hAnsi="仿宋" w:eastAsia="仿宋" w:cs="仿宋"/>
          <w:color w:val="000000"/>
          <w:sz w:val="28"/>
          <w:szCs w:val="28"/>
          <w:highlight w:val="none"/>
          <w:shd w:val="clear" w:color="auto" w:fill="FFFFFF"/>
          <w:lang w:eastAsia="zh-CN"/>
        </w:rPr>
        <w:t>四</w:t>
      </w:r>
      <w:r>
        <w:rPr>
          <w:rFonts w:hint="eastAsia" w:ascii="仿宋" w:hAnsi="仿宋" w:eastAsia="仿宋" w:cs="仿宋"/>
          <w:color w:val="000000"/>
          <w:sz w:val="28"/>
          <w:szCs w:val="28"/>
          <w:highlight w:val="none"/>
          <w:shd w:val="clear" w:color="auto" w:fill="FFFFFF"/>
        </w:rPr>
        <w:t>）投标费用</w:t>
      </w:r>
      <w:bookmarkEnd w:id="18"/>
      <w:bookmarkEnd w:id="19"/>
      <w:bookmarkEnd w:id="20"/>
      <w:bookmarkEnd w:id="21"/>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无论投标结果如何，凡参与招标、投标活动有关的所有费用将由投标方自行承担。</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w:t>
      </w:r>
      <w:r>
        <w:rPr>
          <w:rFonts w:hint="eastAsia" w:ascii="仿宋" w:hAnsi="仿宋" w:eastAsia="仿宋" w:cs="仿宋"/>
          <w:color w:val="000000"/>
          <w:sz w:val="28"/>
          <w:szCs w:val="28"/>
          <w:highlight w:val="none"/>
          <w:shd w:val="clear" w:color="auto" w:fill="FFFFFF"/>
          <w:lang w:eastAsia="zh-CN"/>
        </w:rPr>
        <w:t>五</w:t>
      </w:r>
      <w:r>
        <w:rPr>
          <w:rFonts w:hint="eastAsia" w:ascii="仿宋" w:hAnsi="仿宋" w:eastAsia="仿宋" w:cs="仿宋"/>
          <w:color w:val="000000"/>
          <w:sz w:val="28"/>
          <w:szCs w:val="28"/>
          <w:highlight w:val="none"/>
          <w:shd w:val="clear" w:color="auto" w:fill="FFFFFF"/>
        </w:rPr>
        <w:t>）联合体投标、转包及分包</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本项目不接受联合体投标。本项目不允许转包或分包。</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w:t>
      </w:r>
      <w:r>
        <w:rPr>
          <w:rFonts w:hint="eastAsia" w:ascii="仿宋" w:hAnsi="仿宋" w:eastAsia="仿宋" w:cs="仿宋"/>
          <w:color w:val="000000"/>
          <w:sz w:val="28"/>
          <w:szCs w:val="28"/>
          <w:highlight w:val="none"/>
          <w:shd w:val="clear" w:color="auto" w:fill="FFFFFF"/>
          <w:lang w:eastAsia="zh-CN"/>
        </w:rPr>
        <w:t>六</w:t>
      </w:r>
      <w:r>
        <w:rPr>
          <w:rFonts w:hint="eastAsia" w:ascii="仿宋" w:hAnsi="仿宋" w:eastAsia="仿宋" w:cs="仿宋"/>
          <w:color w:val="000000"/>
          <w:sz w:val="28"/>
          <w:szCs w:val="28"/>
          <w:highlight w:val="none"/>
          <w:shd w:val="clear" w:color="auto" w:fill="FFFFFF"/>
        </w:rPr>
        <w:t>）特别说明：</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投标人在投标活动中提供任何虚假材料或从事其他违法活动的,其投标无效，并报监管部门查处、中标后发现的,中标人须依照《中华人民共和国消费者权益保护法》第49条之规定执行，且民事赔偿并不免除违法投标人的行政与刑事责任。</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spacing w:line="360" w:lineRule="auto"/>
        <w:jc w:val="center"/>
        <w:rPr>
          <w:rFonts w:ascii="仿宋" w:hAnsi="仿宋" w:eastAsia="仿宋" w:cs="仿宋"/>
          <w:b/>
          <w:color w:val="000000"/>
          <w:sz w:val="28"/>
          <w:szCs w:val="28"/>
          <w:highlight w:val="none"/>
          <w:shd w:val="clear" w:color="auto" w:fill="FFFFFF"/>
        </w:rPr>
      </w:pPr>
      <w:bookmarkStart w:id="22" w:name="_Toc177870544"/>
      <w:r>
        <w:rPr>
          <w:rFonts w:hint="eastAsia" w:ascii="仿宋" w:hAnsi="仿宋" w:eastAsia="仿宋" w:cs="仿宋"/>
          <w:b/>
          <w:color w:val="000000"/>
          <w:sz w:val="28"/>
          <w:szCs w:val="28"/>
          <w:highlight w:val="none"/>
          <w:shd w:val="clear" w:color="auto" w:fill="FFFFFF"/>
        </w:rPr>
        <w:t>二 、竞争性磋商文件</w:t>
      </w:r>
      <w:bookmarkEnd w:id="22"/>
    </w:p>
    <w:p>
      <w:pPr>
        <w:spacing w:line="360" w:lineRule="auto"/>
        <w:ind w:firstLine="275" w:firstLineChars="98"/>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rPr>
        <w:t>（一）竞争性磋商文件的构成。竞争性磋商文件由以下部份组成：</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1、投标人须知前附表</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2、第一部分 投标须知</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3、第二部分 竞争性磋商文件顺序及格式规范</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4、第三部分 评标标准</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5、第四部分 服务内容及说明</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6、第五部分 竞争性磋商投标文件格式</w:t>
      </w:r>
    </w:p>
    <w:p>
      <w:pPr>
        <w:pStyle w:val="14"/>
        <w:spacing w:line="360" w:lineRule="auto"/>
        <w:rPr>
          <w:rFonts w:ascii="仿宋" w:hAnsi="仿宋" w:eastAsia="仿宋" w:cs="仿宋"/>
          <w:sz w:val="30"/>
          <w:szCs w:val="30"/>
          <w:highlight w:val="none"/>
        </w:rPr>
      </w:pPr>
      <w:r>
        <w:rPr>
          <w:rFonts w:hint="eastAsia" w:ascii="仿宋" w:hAnsi="仿宋" w:eastAsia="仿宋" w:cs="仿宋"/>
          <w:b/>
          <w:color w:val="000000"/>
          <w:sz w:val="28"/>
          <w:szCs w:val="28"/>
          <w:highlight w:val="none"/>
        </w:rPr>
        <w:t>（二）竞争性磋商文件的</w:t>
      </w:r>
      <w:r>
        <w:rPr>
          <w:rFonts w:hint="eastAsia" w:ascii="仿宋" w:hAnsi="仿宋" w:eastAsia="仿宋" w:cs="仿宋"/>
          <w:b/>
          <w:sz w:val="30"/>
          <w:szCs w:val="30"/>
          <w:highlight w:val="none"/>
        </w:rPr>
        <w:t>澄清和质疑</w:t>
      </w:r>
      <w:bookmarkStart w:id="23" w:name="_Toc239047318"/>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1、综合说明</w:t>
      </w:r>
      <w:bookmarkEnd w:id="23"/>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24" w:name="_Toc239047319"/>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2、对竞争性磋商文件的澄清和质疑</w:t>
      </w:r>
      <w:bookmarkEnd w:id="24"/>
    </w:p>
    <w:p>
      <w:pPr>
        <w:spacing w:line="360" w:lineRule="auto"/>
        <w:ind w:firstLine="560" w:firstLineChars="200"/>
        <w:rPr>
          <w:rFonts w:ascii="仿宋" w:hAnsi="仿宋" w:eastAsia="仿宋" w:cs="仿宋"/>
          <w:color w:val="000000"/>
          <w:sz w:val="28"/>
          <w:szCs w:val="28"/>
          <w:highlight w:val="none"/>
          <w:shd w:val="clear" w:color="auto" w:fill="FFFFFF"/>
        </w:rPr>
      </w:pPr>
      <w:bookmarkStart w:id="25" w:name="_Toc239047320"/>
      <w:r>
        <w:rPr>
          <w:rFonts w:hint="eastAsia" w:ascii="仿宋" w:hAnsi="仿宋" w:eastAsia="仿宋" w:cs="仿宋"/>
          <w:color w:val="000000"/>
          <w:sz w:val="28"/>
          <w:szCs w:val="28"/>
          <w:highlight w:val="none"/>
          <w:shd w:val="clear" w:color="auto" w:fill="FFFFFF"/>
        </w:rPr>
        <w:t>在评标过程中，</w:t>
      </w:r>
      <w:r>
        <w:rPr>
          <w:rFonts w:hint="eastAsia" w:ascii="仿宋" w:hAnsi="仿宋" w:eastAsia="仿宋" w:cs="仿宋"/>
          <w:color w:val="000000"/>
          <w:sz w:val="28"/>
          <w:szCs w:val="28"/>
          <w:highlight w:val="none"/>
          <w:shd w:val="clear" w:color="auto" w:fill="FFFFFF"/>
          <w:lang w:val="zh-CN"/>
        </w:rPr>
        <w:t>评标委员会</w:t>
      </w:r>
      <w:r>
        <w:rPr>
          <w:rFonts w:hint="eastAsia" w:ascii="仿宋" w:hAnsi="仿宋" w:eastAsia="仿宋" w:cs="仿宋"/>
          <w:color w:val="000000"/>
          <w:sz w:val="28"/>
          <w:szCs w:val="28"/>
          <w:highlight w:val="none"/>
          <w:shd w:val="clear" w:color="auto" w:fill="FFFFFF"/>
        </w:rPr>
        <w:t>各成员如对投标文件中含义不明确、同类问题表述不一致或者有明显文字和计算错误的内容，需要供应商进行必要澄清、说明或者纠正，</w:t>
      </w:r>
      <w:r>
        <w:rPr>
          <w:rFonts w:hint="eastAsia" w:ascii="仿宋" w:hAnsi="仿宋" w:eastAsia="仿宋" w:cs="仿宋"/>
          <w:color w:val="000000"/>
          <w:sz w:val="28"/>
          <w:szCs w:val="28"/>
          <w:highlight w:val="none"/>
          <w:shd w:val="clear" w:color="auto" w:fill="FFFFFF"/>
          <w:lang w:val="zh-CN"/>
        </w:rPr>
        <w:t>应以书面形式要求供应商在招标方规定的时间内现场作出必要的澄清、说明或者补正，</w:t>
      </w:r>
      <w:r>
        <w:rPr>
          <w:rFonts w:hint="eastAsia" w:ascii="仿宋" w:hAnsi="仿宋" w:eastAsia="仿宋" w:cs="仿宋"/>
          <w:color w:val="000000"/>
          <w:sz w:val="28"/>
          <w:szCs w:val="28"/>
          <w:highlight w:val="none"/>
          <w:shd w:val="clear" w:color="auto" w:fill="FFFFFF"/>
        </w:rPr>
        <w:t>和分别单独</w:t>
      </w:r>
      <w:r>
        <w:rPr>
          <w:rFonts w:hint="eastAsia" w:ascii="仿宋" w:hAnsi="仿宋" w:eastAsia="仿宋" w:cs="仿宋"/>
          <w:color w:val="000000"/>
          <w:sz w:val="28"/>
          <w:szCs w:val="28"/>
          <w:highlight w:val="none"/>
          <w:shd w:val="clear" w:color="auto" w:fill="FFFFFF"/>
          <w:lang w:val="zh-CN"/>
        </w:rPr>
        <w:t>（或集中）</w:t>
      </w:r>
      <w:r>
        <w:rPr>
          <w:rFonts w:hint="eastAsia" w:ascii="仿宋" w:hAnsi="仿宋" w:eastAsia="仿宋" w:cs="仿宋"/>
          <w:color w:val="000000"/>
          <w:sz w:val="28"/>
          <w:szCs w:val="28"/>
          <w:highlight w:val="none"/>
          <w:shd w:val="clear" w:color="auto" w:fill="FFFFFF"/>
        </w:rPr>
        <w:t>进行询标（答疑）。</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为有助于对投标文件进行审查、评估和比较，评标委员会及其成员将对认为需要投标人进行询标（答疑）、澄清等时，投标方有责任按照招标方通知的时间、地点进行询标（答疑）和澄清。询标（答疑）和澄清时，投标方代表应作书面记录，并对重要内容做出书面答复。</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评标委员会在初步评审的基础上，单独（或集体）讨论、分析、综合各种因素后，可决定是否与各投标供应商再次进行询标（答疑）。</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招标方要对供应商的澄清、说明或者补正，</w:t>
      </w:r>
      <w:r>
        <w:rPr>
          <w:rFonts w:hint="eastAsia" w:ascii="仿宋" w:hAnsi="仿宋" w:eastAsia="仿宋" w:cs="仿宋"/>
          <w:color w:val="000000"/>
          <w:sz w:val="28"/>
          <w:szCs w:val="28"/>
          <w:highlight w:val="none"/>
          <w:shd w:val="clear" w:color="auto" w:fill="FFFFFF"/>
          <w:lang w:val="zh-CN"/>
        </w:rPr>
        <w:t>采用书面形式，</w:t>
      </w:r>
      <w:r>
        <w:rPr>
          <w:rFonts w:hint="eastAsia" w:ascii="仿宋" w:hAnsi="仿宋" w:eastAsia="仿宋" w:cs="仿宋"/>
          <w:color w:val="000000"/>
          <w:sz w:val="28"/>
          <w:szCs w:val="28"/>
          <w:highlight w:val="none"/>
          <w:shd w:val="clear" w:color="auto" w:fill="FFFFFF"/>
        </w:rPr>
        <w:t>由招标方做好书面记录，并由其</w:t>
      </w:r>
      <w:r>
        <w:rPr>
          <w:rFonts w:hint="eastAsia" w:ascii="仿宋" w:hAnsi="仿宋" w:eastAsia="仿宋" w:cs="仿宋"/>
          <w:color w:val="000000"/>
          <w:sz w:val="28"/>
          <w:szCs w:val="28"/>
          <w:highlight w:val="none"/>
          <w:shd w:val="clear" w:color="auto" w:fill="FFFFFF"/>
          <w:lang w:val="zh-CN"/>
        </w:rPr>
        <w:t>法定代表人或</w:t>
      </w:r>
      <w:r>
        <w:rPr>
          <w:rFonts w:hint="eastAsia" w:ascii="仿宋" w:hAnsi="仿宋" w:eastAsia="仿宋" w:cs="仿宋"/>
          <w:color w:val="000000"/>
          <w:sz w:val="28"/>
          <w:szCs w:val="28"/>
          <w:highlight w:val="none"/>
          <w:shd w:val="clear" w:color="auto" w:fill="FFFFFF"/>
        </w:rPr>
        <w:t>授权的代表签字或加盖招标方公章，其澄清、说明或者补正不得超出投标报价文件的范围或者改变其实质性内容，并作为投标文件的组成部分。</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投标供应商拒不进行澄清、说明或者补正的，或者不能在招标方规定时间内做出书面澄清、说明或者补正的，评标委员会将取消其继续参加评标的资格。</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lang w:val="zh-CN"/>
        </w:rPr>
        <w:t>参加投标的供应商应当对评标（审）的承诺和最终报价以书面形式确认，并由其法定代表人或其授权人签署或加盖公章</w:t>
      </w:r>
      <w:r>
        <w:rPr>
          <w:rFonts w:hint="eastAsia" w:ascii="仿宋" w:hAnsi="仿宋" w:eastAsia="仿宋" w:cs="仿宋"/>
          <w:color w:val="000000"/>
          <w:sz w:val="28"/>
          <w:szCs w:val="28"/>
          <w:highlight w:val="none"/>
          <w:shd w:val="clear" w:color="auto" w:fill="FFFFFF"/>
        </w:rPr>
        <w:t>。</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3、</w:t>
      </w:r>
      <w:r>
        <w:rPr>
          <w:rFonts w:hint="eastAsia" w:ascii="仿宋" w:hAnsi="仿宋" w:eastAsia="仿宋" w:cs="仿宋"/>
          <w:b/>
          <w:bCs/>
          <w:sz w:val="28"/>
          <w:szCs w:val="28"/>
          <w:highlight w:val="none"/>
        </w:rPr>
        <w:t>对招标过程和拟中标结果的质疑</w:t>
      </w:r>
      <w:bookmarkEnd w:id="25"/>
    </w:p>
    <w:p>
      <w:pPr>
        <w:adjustRightIn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color w:val="000000"/>
          <w:sz w:val="28"/>
          <w:szCs w:val="28"/>
          <w:highlight w:val="none"/>
          <w:shd w:val="clear" w:color="auto" w:fill="FFFFFF"/>
        </w:rPr>
        <w:t>投标方对中标公告有异议的，应当在中标公告发布之日起七个工作日内，以书面形式向招标方提出质疑。招标方应当在收到投标方书面质疑后七个工作日内，对质疑内容做出答复。质疑投标人对答复不满意或者招标方未在规定时间内答复的，可以在答复期满后十五个工作日内按有关规定，向同级人民政府财政部门投诉。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仿宋" w:hAnsi="仿宋" w:eastAsia="仿宋" w:cs="仿宋"/>
          <w:sz w:val="28"/>
          <w:szCs w:val="28"/>
          <w:highlight w:val="none"/>
        </w:rPr>
        <w:t>由该身份证持有人在复印件正反面非空白位置注明“该复印件用于在</w:t>
      </w:r>
      <w:r>
        <w:rPr>
          <w:rFonts w:hint="eastAsia" w:ascii="仿宋" w:hAnsi="仿宋" w:eastAsia="仿宋" w:cs="仿宋"/>
          <w:color w:val="000000"/>
          <w:sz w:val="28"/>
          <w:szCs w:val="28"/>
          <w:highlight w:val="none"/>
          <w:u w:val="single"/>
          <w:shd w:val="clear" w:color="auto" w:fill="FFFFFF"/>
          <w:lang w:eastAsia="zh-CN"/>
        </w:rPr>
        <w:t>民丰县天桥人行过道安装廊架项目</w:t>
      </w:r>
      <w:r>
        <w:rPr>
          <w:rFonts w:hint="eastAsia" w:ascii="仿宋" w:hAnsi="仿宋" w:eastAsia="仿宋" w:cs="仿宋"/>
          <w:sz w:val="28"/>
          <w:szCs w:val="28"/>
          <w:highlight w:val="none"/>
        </w:rPr>
        <w:t>”字样，并由身份证持有人签字确认。上述资料均须加盖公章。</w:t>
      </w:r>
    </w:p>
    <w:p>
      <w:pPr>
        <w:adjustRightInd w:val="0"/>
        <w:spacing w:line="360" w:lineRule="auto"/>
        <w:ind w:firstLine="560" w:firstLineChars="200"/>
        <w:rPr>
          <w:rFonts w:ascii="仿宋" w:hAnsi="仿宋" w:eastAsia="仿宋" w:cs="仿宋"/>
          <w:color w:val="000000"/>
          <w:sz w:val="28"/>
          <w:szCs w:val="28"/>
          <w:highlight w:val="none"/>
          <w:shd w:val="clear" w:color="auto" w:fill="FFFFFF"/>
        </w:rPr>
      </w:pPr>
      <w:bookmarkStart w:id="26" w:name="_Toc239047321"/>
      <w:r>
        <w:rPr>
          <w:rFonts w:hint="eastAsia" w:ascii="仿宋" w:hAnsi="仿宋" w:eastAsia="仿宋" w:cs="仿宋"/>
          <w:color w:val="000000"/>
          <w:sz w:val="28"/>
          <w:szCs w:val="28"/>
          <w:highlight w:val="none"/>
          <w:shd w:val="clear" w:color="auto" w:fill="FFFFFF"/>
        </w:rPr>
        <w:t>采购人及招标代理机构应在受理投标人的书面质疑后，根据质疑函的具体内容及时向递交质疑函的投标人作出答复或不予答复，答复内容不得涉及商业秘密。作出答复的以书面形式通知递交质疑的投标人和其他有关投标人，或在《新疆政府采购网》予以公告。递交质疑的投标人和其他有关投标人在被告知、收到上述公告、通知或答疑书后，应立即向采购人及招标代理机构回函确认。未确认情况应当视为对质疑答复的知晓，也将视为对质疑答复内容接受的默认。</w:t>
      </w:r>
    </w:p>
    <w:p>
      <w:pPr>
        <w:adjustRightIn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4、澄清或质疑不予受理的情况</w:t>
      </w:r>
      <w:bookmarkEnd w:id="26"/>
      <w:r>
        <w:rPr>
          <w:rFonts w:hint="eastAsia" w:ascii="仿宋" w:hAnsi="仿宋" w:eastAsia="仿宋" w:cs="仿宋"/>
          <w:b/>
          <w:sz w:val="28"/>
          <w:szCs w:val="28"/>
          <w:highlight w:val="none"/>
        </w:rPr>
        <w:t>，有下列情形之一的，属于无效质疑，被质疑人不予受理，由此产生的影响由投标人自行承担：</w:t>
      </w:r>
    </w:p>
    <w:p>
      <w:pPr>
        <w:widowControl/>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(一)不是参与该政府采购项目活动供应商的;</w:t>
      </w:r>
    </w:p>
    <w:p>
      <w:pPr>
        <w:widowControl/>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(二)被质疑人为采购人或政府采购代理机构之外的；</w:t>
      </w:r>
    </w:p>
    <w:p>
      <w:pPr>
        <w:widowControl/>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(三)所有质疑事项超过质疑有效期的；</w:t>
      </w:r>
    </w:p>
    <w:p>
      <w:pPr>
        <w:widowControl/>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(四)以具有法律效力的文书送达之外方式提出的；</w:t>
      </w:r>
    </w:p>
    <w:p>
      <w:pPr>
        <w:widowControl/>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(五) 未按上述规定递交澄清或质疑函的；</w:t>
      </w:r>
    </w:p>
    <w:p>
      <w:pPr>
        <w:adjustRightIn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(六) 其它不符合受理条件的情形。</w:t>
      </w:r>
      <w:bookmarkStart w:id="27" w:name="_Toc239047322"/>
    </w:p>
    <w:bookmarkEnd w:id="27"/>
    <w:p>
      <w:pPr>
        <w:pStyle w:val="14"/>
        <w:spacing w:line="360" w:lineRule="auto"/>
        <w:ind w:firstLine="540" w:firstLineChars="192"/>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（三）竞争性磋商文件的修改</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1、在投标截止日前的任何时候，无论出于何种原因，采购人及招标代理机构可主动地或在解答投标人提出的问题时对竞争性磋商文件进行修改，</w:t>
      </w:r>
      <w:r>
        <w:rPr>
          <w:rFonts w:hint="eastAsia" w:ascii="仿宋" w:hAnsi="仿宋" w:eastAsia="仿宋" w:cs="仿宋"/>
          <w:sz w:val="28"/>
          <w:highlight w:val="none"/>
        </w:rPr>
        <w:t>据此发出的补遗书将构成竞争性磋商文件的一部分</w:t>
      </w:r>
      <w:r>
        <w:rPr>
          <w:rFonts w:hint="eastAsia" w:ascii="仿宋" w:hAnsi="仿宋" w:eastAsia="仿宋" w:cs="仿宋"/>
          <w:bCs/>
          <w:color w:val="000000"/>
          <w:sz w:val="28"/>
          <w:szCs w:val="28"/>
          <w:highlight w:val="none"/>
        </w:rPr>
        <w:t>。</w:t>
      </w:r>
    </w:p>
    <w:p>
      <w:pPr>
        <w:autoSpaceDE w:val="0"/>
        <w:autoSpaceDN w:val="0"/>
        <w:adjustRightInd w:val="0"/>
        <w:spacing w:line="360" w:lineRule="auto"/>
        <w:ind w:firstLine="48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w:t>
      </w:r>
      <w:r>
        <w:rPr>
          <w:rFonts w:hint="eastAsia" w:ascii="仿宋" w:hAnsi="仿宋" w:eastAsia="仿宋" w:cs="仿宋"/>
          <w:sz w:val="28"/>
          <w:highlight w:val="none"/>
        </w:rPr>
        <w:t>竞争性磋商文件</w:t>
      </w:r>
      <w:r>
        <w:rPr>
          <w:rFonts w:hint="eastAsia" w:ascii="仿宋" w:hAnsi="仿宋" w:eastAsia="仿宋" w:cs="仿宋"/>
          <w:bCs/>
          <w:color w:val="000000"/>
          <w:spacing w:val="-4"/>
          <w:sz w:val="28"/>
          <w:szCs w:val="28"/>
          <w:highlight w:val="none"/>
        </w:rPr>
        <w:t>的修改将在《新疆政府采购网》</w:t>
      </w:r>
      <w:r>
        <w:rPr>
          <w:rFonts w:hint="eastAsia" w:ascii="仿宋" w:hAnsi="仿宋" w:eastAsia="仿宋" w:cs="仿宋"/>
          <w:bCs/>
          <w:color w:val="000000"/>
          <w:sz w:val="28"/>
          <w:szCs w:val="28"/>
          <w:highlight w:val="none"/>
        </w:rPr>
        <w:t>以变更通知的形式予以公布同时以书面形式通知所有获取</w:t>
      </w:r>
      <w:r>
        <w:rPr>
          <w:rFonts w:hint="eastAsia" w:ascii="仿宋" w:hAnsi="仿宋" w:eastAsia="仿宋" w:cs="仿宋"/>
          <w:sz w:val="28"/>
          <w:highlight w:val="none"/>
        </w:rPr>
        <w:t>竞争性磋商文件</w:t>
      </w:r>
      <w:r>
        <w:rPr>
          <w:rFonts w:hint="eastAsia" w:ascii="仿宋" w:hAnsi="仿宋" w:eastAsia="仿宋" w:cs="仿宋"/>
          <w:bCs/>
          <w:color w:val="000000"/>
          <w:sz w:val="28"/>
          <w:szCs w:val="28"/>
          <w:highlight w:val="none"/>
        </w:rPr>
        <w:t>的投标人，可以酌情延长投标日期。</w:t>
      </w:r>
    </w:p>
    <w:p>
      <w:pPr>
        <w:autoSpaceDE w:val="0"/>
        <w:autoSpaceDN w:val="0"/>
        <w:adjustRightInd w:val="0"/>
        <w:spacing w:line="360" w:lineRule="auto"/>
        <w:ind w:firstLine="48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（四）综合评审</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rPr>
        <w:t>评标委员会各成员应当遵循独立评审原则，</w:t>
      </w:r>
      <w:r>
        <w:rPr>
          <w:rFonts w:hint="eastAsia" w:ascii="仿宋" w:hAnsi="仿宋" w:eastAsia="仿宋" w:cs="仿宋"/>
          <w:bCs/>
          <w:color w:val="000000"/>
          <w:sz w:val="28"/>
          <w:szCs w:val="28"/>
          <w:highlight w:val="none"/>
          <w:lang w:val="zh-CN"/>
        </w:rPr>
        <w:t>按照招标文件的评标方法和标准，对资质资格资质检查和复合性检查合格的投标文件的商务和技术进行评估，综合比较与评价。并应当以书面方式发表各自（或集体）的具体综合评审意见。</w:t>
      </w:r>
    </w:p>
    <w:p>
      <w:pPr>
        <w:autoSpaceDE w:val="0"/>
        <w:autoSpaceDN w:val="0"/>
        <w:adjustRightInd w:val="0"/>
        <w:spacing w:line="360" w:lineRule="auto"/>
        <w:ind w:firstLine="48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评估和综合比较与评价，应当</w:t>
      </w:r>
      <w:r>
        <w:rPr>
          <w:rFonts w:hint="eastAsia" w:ascii="仿宋" w:hAnsi="仿宋" w:eastAsia="仿宋" w:cs="仿宋"/>
          <w:bCs/>
          <w:color w:val="000000"/>
          <w:sz w:val="28"/>
          <w:szCs w:val="28"/>
          <w:highlight w:val="none"/>
        </w:rPr>
        <w:t>严格</w:t>
      </w:r>
      <w:r>
        <w:rPr>
          <w:rFonts w:hint="eastAsia" w:ascii="仿宋" w:hAnsi="仿宋" w:eastAsia="仿宋" w:cs="仿宋"/>
          <w:bCs/>
          <w:color w:val="000000"/>
          <w:sz w:val="28"/>
          <w:szCs w:val="28"/>
          <w:highlight w:val="none"/>
          <w:lang w:val="zh-CN"/>
        </w:rPr>
        <w:t>按照招标方设计格式要求，做好书面原始署名记录，</w:t>
      </w:r>
      <w:r>
        <w:rPr>
          <w:rFonts w:hint="eastAsia" w:ascii="仿宋" w:hAnsi="仿宋" w:eastAsia="仿宋" w:cs="仿宋"/>
          <w:bCs/>
          <w:color w:val="000000"/>
          <w:sz w:val="28"/>
          <w:szCs w:val="28"/>
          <w:highlight w:val="none"/>
        </w:rPr>
        <w:t>连同书面评标报告提交招标方。</w:t>
      </w:r>
    </w:p>
    <w:p>
      <w:pPr>
        <w:autoSpaceDE w:val="0"/>
        <w:autoSpaceDN w:val="0"/>
        <w:adjustRightInd w:val="0"/>
        <w:spacing w:line="360" w:lineRule="auto"/>
        <w:ind w:firstLine="48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“综合评分法”应当载明投标人的投标项目、所作的任何修正、对商业偏差的调整、对技术偏差的调整、对各评审因素的评估，以及对每一投标的最终评标结果。</w:t>
      </w:r>
    </w:p>
    <w:p>
      <w:pPr>
        <w:autoSpaceDE w:val="0"/>
        <w:autoSpaceDN w:val="0"/>
        <w:adjustRightInd w:val="0"/>
        <w:spacing w:line="360" w:lineRule="auto"/>
        <w:ind w:firstLine="48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综合评审记录要突出重点、抓住关键（核</w:t>
      </w:r>
      <w:r>
        <w:rPr>
          <w:rFonts w:hint="eastAsia" w:ascii="仿宋" w:hAnsi="仿宋" w:eastAsia="仿宋" w:cs="仿宋"/>
          <w:bCs/>
          <w:color w:val="000000"/>
          <w:sz w:val="28"/>
          <w:szCs w:val="28"/>
          <w:highlight w:val="none"/>
        </w:rPr>
        <w:t>心）、真实准确、简明扼要，体现公平、公正、合理。否则，经核实后，将按前款“第四部分”中“第四章”之规定执行。</w:t>
      </w:r>
    </w:p>
    <w:p>
      <w:pPr>
        <w:autoSpaceDE w:val="0"/>
        <w:autoSpaceDN w:val="0"/>
        <w:adjustRightInd w:val="0"/>
        <w:spacing w:line="360" w:lineRule="auto"/>
        <w:ind w:firstLine="480"/>
        <w:rPr>
          <w:rFonts w:ascii="仿宋" w:hAnsi="仿宋" w:eastAsia="仿宋" w:cs="仿宋"/>
          <w:b/>
          <w:sz w:val="28"/>
          <w:szCs w:val="28"/>
          <w:highlight w:val="none"/>
        </w:rPr>
      </w:pPr>
      <w:r>
        <w:rPr>
          <w:rFonts w:hint="eastAsia" w:ascii="仿宋" w:hAnsi="仿宋" w:eastAsia="仿宋" w:cs="仿宋"/>
          <w:b/>
          <w:sz w:val="28"/>
          <w:szCs w:val="28"/>
          <w:highlight w:val="none"/>
          <w:lang w:val="zh-CN"/>
        </w:rPr>
        <w:t>（五）比较与评价</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1、</w:t>
      </w:r>
      <w:r>
        <w:rPr>
          <w:rFonts w:hint="eastAsia" w:ascii="仿宋" w:hAnsi="仿宋" w:eastAsia="仿宋" w:cs="仿宋"/>
          <w:bCs/>
          <w:color w:val="000000"/>
          <w:sz w:val="28"/>
          <w:szCs w:val="28"/>
          <w:highlight w:val="none"/>
        </w:rPr>
        <w:t>综合评标时，评标委员会各成员应当对每一个有效投标供应商的投标文件，</w:t>
      </w:r>
      <w:r>
        <w:rPr>
          <w:rFonts w:hint="eastAsia" w:ascii="仿宋" w:hAnsi="仿宋" w:eastAsia="仿宋" w:cs="仿宋"/>
          <w:bCs/>
          <w:color w:val="000000"/>
          <w:sz w:val="28"/>
          <w:szCs w:val="28"/>
          <w:highlight w:val="none"/>
          <w:lang w:val="zh-CN"/>
        </w:rPr>
        <w:t>根据招标文件中要求的产品价格、技术、性能、财务状况、信誉、履约能力、售后服务及对招标文件的响应程度等指标，进行具体评估。</w:t>
      </w:r>
    </w:p>
    <w:p>
      <w:pPr>
        <w:autoSpaceDE w:val="0"/>
        <w:autoSpaceDN w:val="0"/>
        <w:adjustRightInd w:val="0"/>
        <w:spacing w:line="360" w:lineRule="auto"/>
        <w:ind w:firstLine="480"/>
        <w:rPr>
          <w:rFonts w:ascii="仿宋" w:hAnsi="仿宋" w:eastAsia="仿宋" w:cs="仿宋"/>
          <w:bCs/>
          <w:color w:val="FF0000"/>
          <w:sz w:val="24"/>
          <w:highlight w:val="none"/>
        </w:rPr>
      </w:pPr>
      <w:r>
        <w:rPr>
          <w:rFonts w:hint="eastAsia" w:ascii="仿宋" w:hAnsi="仿宋" w:eastAsia="仿宋" w:cs="仿宋"/>
          <w:bCs/>
          <w:color w:val="000000"/>
          <w:sz w:val="28"/>
          <w:szCs w:val="28"/>
          <w:highlight w:val="none"/>
        </w:rPr>
        <w:t>2、</w:t>
      </w:r>
      <w:r>
        <w:rPr>
          <w:rFonts w:hint="eastAsia" w:ascii="仿宋" w:hAnsi="仿宋" w:eastAsia="仿宋" w:cs="仿宋"/>
          <w:bCs/>
          <w:color w:val="000000"/>
          <w:sz w:val="28"/>
          <w:szCs w:val="28"/>
          <w:highlight w:val="none"/>
          <w:lang w:val="zh-CN"/>
        </w:rPr>
        <w:t>评标委员会成员应独立按照对每一个投标供应商所投产品的最终报价、（设备选型）综合评价、配置及性能指标、质检报告、现场勘察、项目施工方案、进度计划及质量保证措施、售后服务、响应计划、培训方案、财务能力和状况、履约能力、边远少数民族地区企业、投标报价文件等因素的具体综合评估，进行比较与评价</w:t>
      </w:r>
      <w:r>
        <w:rPr>
          <w:rFonts w:hint="eastAsia" w:ascii="仿宋" w:hAnsi="仿宋" w:eastAsia="仿宋" w:cs="仿宋"/>
          <w:sz w:val="24"/>
          <w:highlight w:val="none"/>
          <w:lang w:val="zh-CN"/>
        </w:rPr>
        <w:t>。</w:t>
      </w:r>
    </w:p>
    <w:p>
      <w:pPr>
        <w:autoSpaceDE w:val="0"/>
        <w:autoSpaceDN w:val="0"/>
        <w:adjustRightInd w:val="0"/>
        <w:spacing w:line="360" w:lineRule="auto"/>
        <w:ind w:firstLine="480"/>
        <w:rPr>
          <w:rFonts w:ascii="仿宋" w:hAnsi="仿宋" w:eastAsia="仿宋" w:cs="仿宋"/>
          <w:b/>
          <w:sz w:val="28"/>
          <w:szCs w:val="28"/>
          <w:highlight w:val="none"/>
          <w:lang w:val="zh-CN"/>
        </w:rPr>
      </w:pPr>
      <w:r>
        <w:rPr>
          <w:rFonts w:hint="eastAsia" w:ascii="仿宋" w:hAnsi="仿宋" w:eastAsia="仿宋" w:cs="仿宋"/>
          <w:b/>
          <w:sz w:val="28"/>
          <w:szCs w:val="28"/>
          <w:highlight w:val="none"/>
          <w:lang w:val="zh-CN"/>
        </w:rPr>
        <w:t>（六）综合评分法的原则、方法和标准</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采用综合评分法，是指在最大限度地满足招标文件实质性要求前提下，按照招标文件中规定的各项因素进行综合评审后，以评分得分最高的投标人作为中标候选供应商或者中标供应商的评标方法。</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综合评分方法：评标委员会成员应按照独立综合评审原则，根据对招标文件的响应程度和具体评标情况，独立对具体投标文件的商务和技术指标进行评估和综合比较与评价后，独立（或集体）发表综合评审（议）意见，对每一个投标供应商做出打分决定；经招标方核对和汇总后，按得高分原则，由高到低进行排序后，最后根据评标委员会各成员签署的打分结果，得出评标结论。</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评标时，评标委员会各成员应当独立对每个有效投标人的投标文件进行评价、打分，然后由招标方核对汇总出每个投标人每项评分因素的得分。</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综合评分，应严格遵守前款“24.5.8 综合评审”条款之规定。否则，经核实后，将按前款“第四部分”中“第四章”的21.3条款之规定执行。</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评标委员会各成员要按照招标方规定格式，将每一个投标供应商的综合评审意见、打分结果、推荐理由等进行署名原始记录。</w:t>
      </w:r>
    </w:p>
    <w:p>
      <w:pPr>
        <w:autoSpaceDE w:val="0"/>
        <w:autoSpaceDN w:val="0"/>
        <w:adjustRightInd w:val="0"/>
        <w:spacing w:line="360" w:lineRule="auto"/>
        <w:ind w:firstLine="480"/>
        <w:rPr>
          <w:rFonts w:ascii="仿宋" w:hAnsi="仿宋" w:eastAsia="仿宋" w:cs="仿宋"/>
          <w:b/>
          <w:sz w:val="28"/>
          <w:szCs w:val="28"/>
          <w:highlight w:val="none"/>
          <w:lang w:val="zh-CN"/>
        </w:rPr>
      </w:pPr>
      <w:r>
        <w:rPr>
          <w:rFonts w:hint="eastAsia" w:ascii="仿宋" w:hAnsi="仿宋" w:eastAsia="仿宋" w:cs="仿宋"/>
          <w:b/>
          <w:sz w:val="28"/>
          <w:szCs w:val="28"/>
          <w:highlight w:val="none"/>
          <w:lang w:val="zh-CN"/>
        </w:rPr>
        <w:t>（七）综合评分主要包括技术、商务、报价等指标</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rPr>
        <w:t>1、</w:t>
      </w:r>
      <w:r>
        <w:rPr>
          <w:rFonts w:hint="eastAsia" w:ascii="仿宋" w:hAnsi="仿宋" w:eastAsia="仿宋" w:cs="仿宋"/>
          <w:bCs/>
          <w:color w:val="000000"/>
          <w:sz w:val="28"/>
          <w:szCs w:val="28"/>
          <w:highlight w:val="none"/>
          <w:lang w:val="zh-CN"/>
        </w:rPr>
        <w:t>技术部分主要包括：（设备选型）综合评价、配置及性能指标、质检报告等指标。</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2、商务部分主要包括：</w:t>
      </w:r>
      <w:r>
        <w:rPr>
          <w:rFonts w:hint="eastAsia" w:ascii="仿宋" w:hAnsi="仿宋" w:eastAsia="仿宋" w:cs="仿宋"/>
          <w:bCs/>
          <w:color w:val="000000"/>
          <w:sz w:val="28"/>
          <w:szCs w:val="28"/>
          <w:highlight w:val="none"/>
          <w:lang w:val="en-US" w:eastAsia="zh-CN"/>
        </w:rPr>
        <w:t>项目</w:t>
      </w:r>
      <w:r>
        <w:rPr>
          <w:rFonts w:hint="eastAsia" w:ascii="仿宋" w:hAnsi="仿宋" w:eastAsia="仿宋" w:cs="仿宋"/>
          <w:bCs/>
          <w:color w:val="000000"/>
          <w:sz w:val="28"/>
          <w:szCs w:val="28"/>
          <w:highlight w:val="none"/>
          <w:lang w:val="zh-CN"/>
        </w:rPr>
        <w:t>进度计划及质量保证措施、售后服务、响应计划、财务能力和状况、履约能力、投标报价文件等指标。</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3、报价指标：有效投标供应商的最终报价。</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4、综合评分具体指标和标准，见《评标（分）记录明细表》。</w:t>
      </w:r>
    </w:p>
    <w:p>
      <w:pPr>
        <w:autoSpaceDE w:val="0"/>
        <w:autoSpaceDN w:val="0"/>
        <w:adjustRightInd w:val="0"/>
        <w:spacing w:line="360" w:lineRule="auto"/>
        <w:ind w:firstLine="480"/>
        <w:rPr>
          <w:rFonts w:ascii="仿宋" w:hAnsi="仿宋" w:eastAsia="仿宋" w:cs="仿宋"/>
          <w:b/>
          <w:sz w:val="28"/>
          <w:szCs w:val="28"/>
          <w:highlight w:val="none"/>
          <w:lang w:val="zh-CN"/>
        </w:rPr>
      </w:pPr>
      <w:r>
        <w:rPr>
          <w:rFonts w:hint="eastAsia" w:ascii="仿宋" w:hAnsi="仿宋" w:eastAsia="仿宋" w:cs="仿宋"/>
          <w:b/>
          <w:sz w:val="28"/>
          <w:szCs w:val="28"/>
          <w:highlight w:val="none"/>
          <w:lang w:val="zh-CN"/>
        </w:rPr>
        <w:t>（八）综合评分原则</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1、评标委员会对所报产品价格、技术（配置、质量及性能、技术方案）、财务状况、信誉、履约能力、售后服务、标书的响应程度等因素进行比较与评价，并进行打分和汇总。详见《评标（分）记录明细表》。</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2、评标委员会小组成员评标、打分时不得协商，应独立完成。</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3、未满足招标文件要求的投标方，不予评分。</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4、评标打分应当按照技术部分、商务部分、报价部分的顺序进行，打分可保留两位小数。</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5、技术、商务部分应按各小项分档打分，投标文件中各小项指标相近的，打分应属同一档次。在招标方同意的情况下，允许评标委员会小组各成员根据招标书文件部分要求的技术、功能和《评标（分）记录明细表》表格部分的性能指标要求，可以按各投标文件（投标书和产品技术说明书）实际情况在档次打分范围内调整分值。</w:t>
      </w:r>
    </w:p>
    <w:p>
      <w:pPr>
        <w:autoSpaceDE w:val="0"/>
        <w:autoSpaceDN w:val="0"/>
        <w:adjustRightInd w:val="0"/>
        <w:spacing w:line="360" w:lineRule="auto"/>
        <w:ind w:firstLine="560" w:firstLineChars="20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6、打分采取百分制，其中技术商务部分占总分的</w:t>
      </w:r>
      <w:r>
        <w:rPr>
          <w:rFonts w:hint="eastAsia" w:ascii="仿宋" w:hAnsi="仿宋" w:eastAsia="仿宋" w:cs="仿宋"/>
          <w:bCs/>
          <w:color w:val="000000"/>
          <w:sz w:val="28"/>
          <w:szCs w:val="28"/>
          <w:highlight w:val="none"/>
          <w:lang w:val="en-US" w:eastAsia="zh-CN"/>
        </w:rPr>
        <w:t>7</w:t>
      </w:r>
      <w:r>
        <w:rPr>
          <w:rFonts w:hint="eastAsia" w:ascii="仿宋" w:hAnsi="仿宋" w:eastAsia="仿宋" w:cs="仿宋"/>
          <w:bCs/>
          <w:color w:val="000000"/>
          <w:sz w:val="28"/>
          <w:szCs w:val="28"/>
          <w:highlight w:val="none"/>
          <w:lang w:val="zh-CN"/>
        </w:rPr>
        <w:t>0%，报价部分占总分的</w:t>
      </w:r>
      <w:r>
        <w:rPr>
          <w:rFonts w:hint="eastAsia" w:ascii="仿宋" w:hAnsi="仿宋" w:eastAsia="仿宋" w:cs="仿宋"/>
          <w:bCs/>
          <w:color w:val="000000"/>
          <w:sz w:val="28"/>
          <w:szCs w:val="28"/>
          <w:highlight w:val="none"/>
          <w:lang w:val="en-US" w:eastAsia="zh-CN"/>
        </w:rPr>
        <w:t>3</w:t>
      </w:r>
      <w:r>
        <w:rPr>
          <w:rFonts w:hint="eastAsia" w:ascii="仿宋" w:hAnsi="仿宋" w:eastAsia="仿宋" w:cs="仿宋"/>
          <w:bCs/>
          <w:color w:val="000000"/>
          <w:sz w:val="28"/>
          <w:szCs w:val="28"/>
          <w:highlight w:val="none"/>
          <w:lang w:val="zh-CN"/>
        </w:rPr>
        <w:t>0%。</w:t>
      </w:r>
    </w:p>
    <w:p>
      <w:pPr>
        <w:autoSpaceDE w:val="0"/>
        <w:autoSpaceDN w:val="0"/>
        <w:adjustRightInd w:val="0"/>
        <w:spacing w:line="360" w:lineRule="auto"/>
        <w:ind w:firstLine="560" w:firstLineChars="20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7、招标方核对汇总评标委员会各成员评分时，将计算出每一个投标供应商技术部分和商务部分所得分数的合计数后，再计算出其合计数的算术平均数，剩余评标委员会小组成员技术部分和商务部分合计评分的算术平均数加上该投标方报价部分的得分后，即为该投标方的最后综合得分。</w:t>
      </w:r>
    </w:p>
    <w:p>
      <w:pPr>
        <w:autoSpaceDE w:val="0"/>
        <w:autoSpaceDN w:val="0"/>
        <w:adjustRightInd w:val="0"/>
        <w:spacing w:line="360" w:lineRule="auto"/>
        <w:ind w:firstLine="560" w:firstLineChars="20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8、由招标方核对出每一个投标供应商的所得分数值，并由高到底排序后，须有评标委员会小组各成员署名确认。如出现得分相同的，应按投标供应商的报价由低到高顺序排列；得分且其报价相等的，则按核心技术指标优劣顺序排列。价格、技术指标的高低或优劣由评标委员各成员确认评定。</w:t>
      </w:r>
    </w:p>
    <w:p>
      <w:pPr>
        <w:autoSpaceDE w:val="0"/>
        <w:autoSpaceDN w:val="0"/>
        <w:adjustRightInd w:val="0"/>
        <w:spacing w:line="360" w:lineRule="auto"/>
        <w:ind w:firstLine="560" w:firstLineChars="20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9、</w:t>
      </w:r>
      <w:r>
        <w:rPr>
          <w:rFonts w:hint="eastAsia" w:ascii="仿宋" w:hAnsi="仿宋" w:eastAsia="仿宋" w:cs="仿宋"/>
          <w:bCs/>
          <w:color w:val="000000"/>
          <w:sz w:val="28"/>
          <w:szCs w:val="28"/>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autoSpaceDE w:val="0"/>
        <w:autoSpaceDN w:val="0"/>
        <w:adjustRightInd w:val="0"/>
        <w:spacing w:line="360" w:lineRule="auto"/>
        <w:ind w:firstLine="480"/>
        <w:rPr>
          <w:rFonts w:ascii="仿宋" w:hAnsi="仿宋" w:eastAsia="仿宋" w:cs="仿宋"/>
          <w:b/>
          <w:sz w:val="28"/>
          <w:szCs w:val="28"/>
          <w:highlight w:val="none"/>
          <w:lang w:val="zh-CN"/>
        </w:rPr>
      </w:pPr>
      <w:r>
        <w:rPr>
          <w:rFonts w:hint="eastAsia" w:ascii="仿宋" w:hAnsi="仿宋" w:eastAsia="仿宋" w:cs="仿宋"/>
          <w:b/>
          <w:sz w:val="28"/>
          <w:szCs w:val="28"/>
          <w:highlight w:val="none"/>
          <w:lang w:val="zh-CN"/>
        </w:rPr>
        <w:t>（九）《评标（分）记录明细表》</w:t>
      </w:r>
    </w:p>
    <w:p>
      <w:pPr>
        <w:autoSpaceDE w:val="0"/>
        <w:autoSpaceDN w:val="0"/>
        <w:adjustRightInd w:val="0"/>
        <w:spacing w:line="360" w:lineRule="auto"/>
        <w:ind w:firstLine="480"/>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1、明细表包括技术部分、商务部分、报价部分、评审分标准、具体评审意见、综合评审意见、分数标准、得分、其他等组成。</w:t>
      </w:r>
    </w:p>
    <w:p>
      <w:pPr>
        <w:autoSpaceDE w:val="0"/>
        <w:autoSpaceDN w:val="0"/>
        <w:adjustRightInd w:val="0"/>
        <w:spacing w:line="360" w:lineRule="auto"/>
        <w:ind w:firstLine="480"/>
        <w:rPr>
          <w:rFonts w:ascii="仿宋" w:hAnsi="仿宋" w:eastAsia="仿宋" w:cs="仿宋"/>
          <w:b/>
          <w:color w:val="FF0000"/>
          <w:sz w:val="32"/>
          <w:szCs w:val="32"/>
          <w:highlight w:val="none"/>
        </w:rPr>
      </w:pPr>
      <w:r>
        <w:rPr>
          <w:rFonts w:hint="eastAsia" w:ascii="仿宋" w:hAnsi="仿宋" w:eastAsia="仿宋" w:cs="仿宋"/>
          <w:bCs/>
          <w:color w:val="000000"/>
          <w:sz w:val="28"/>
          <w:szCs w:val="28"/>
          <w:highlight w:val="none"/>
          <w:lang w:val="zh-CN"/>
        </w:rPr>
        <w:t>2、评标委员会各成员记录原则上不允许有涂改、划擦等，如有应按合规方式修正。不允许在招标方核对汇总且确认之后，在未经许可时，不能再要回重新记录。</w:t>
      </w:r>
    </w:p>
    <w:p>
      <w:pPr>
        <w:spacing w:line="360" w:lineRule="auto"/>
        <w:ind w:firstLine="562" w:firstLineChars="2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（十）投标人的风险</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投标人没有按照</w:t>
      </w:r>
      <w:r>
        <w:rPr>
          <w:rFonts w:hint="eastAsia" w:ascii="仿宋" w:hAnsi="仿宋" w:eastAsia="仿宋" w:cs="仿宋"/>
          <w:sz w:val="28"/>
          <w:highlight w:val="none"/>
        </w:rPr>
        <w:t>竞争性磋商文件</w:t>
      </w:r>
      <w:r>
        <w:rPr>
          <w:rFonts w:hint="eastAsia" w:ascii="仿宋" w:hAnsi="仿宋" w:eastAsia="仿宋" w:cs="仿宋"/>
          <w:color w:val="000000"/>
          <w:sz w:val="28"/>
          <w:szCs w:val="28"/>
          <w:highlight w:val="none"/>
          <w:shd w:val="clear" w:color="auto" w:fill="FFFFFF"/>
        </w:rPr>
        <w:t>要求提供全部资料，或者投标人没有对</w:t>
      </w:r>
      <w:r>
        <w:rPr>
          <w:rFonts w:hint="eastAsia" w:ascii="仿宋" w:hAnsi="仿宋" w:eastAsia="仿宋" w:cs="仿宋"/>
          <w:sz w:val="28"/>
          <w:highlight w:val="none"/>
        </w:rPr>
        <w:t>竞争性磋商文件</w:t>
      </w:r>
      <w:r>
        <w:rPr>
          <w:rFonts w:hint="eastAsia" w:ascii="仿宋" w:hAnsi="仿宋" w:eastAsia="仿宋" w:cs="仿宋"/>
          <w:color w:val="000000"/>
          <w:sz w:val="28"/>
          <w:szCs w:val="28"/>
          <w:highlight w:val="none"/>
          <w:shd w:val="clear" w:color="auto" w:fill="FFFFFF"/>
        </w:rPr>
        <w:t>在各方面作出实质性响应是投标人的风险，并可能导致其投标被拒绝。</w:t>
      </w:r>
    </w:p>
    <w:p>
      <w:pPr>
        <w:spacing w:line="360" w:lineRule="auto"/>
        <w:jc w:val="center"/>
        <w:rPr>
          <w:rFonts w:ascii="仿宋" w:hAnsi="仿宋" w:eastAsia="仿宋" w:cs="仿宋"/>
          <w:b/>
          <w:color w:val="000000"/>
          <w:sz w:val="28"/>
          <w:szCs w:val="28"/>
          <w:highlight w:val="none"/>
          <w:shd w:val="clear" w:color="auto" w:fill="FFFFFF"/>
        </w:rPr>
      </w:pPr>
      <w:bookmarkStart w:id="28" w:name="_Toc177870545"/>
      <w:r>
        <w:rPr>
          <w:rFonts w:hint="eastAsia" w:ascii="仿宋" w:hAnsi="仿宋" w:eastAsia="仿宋" w:cs="仿宋"/>
          <w:b/>
          <w:color w:val="000000"/>
          <w:sz w:val="28"/>
          <w:szCs w:val="28"/>
          <w:highlight w:val="none"/>
          <w:shd w:val="clear" w:color="auto" w:fill="FFFFFF"/>
        </w:rPr>
        <w:t>三、</w:t>
      </w:r>
      <w:bookmarkEnd w:id="28"/>
      <w:r>
        <w:rPr>
          <w:rFonts w:hint="eastAsia" w:ascii="仿宋" w:hAnsi="仿宋" w:eastAsia="仿宋" w:cs="仿宋"/>
          <w:b/>
          <w:color w:val="000000"/>
          <w:sz w:val="28"/>
          <w:szCs w:val="28"/>
          <w:highlight w:val="none"/>
          <w:shd w:val="clear" w:color="auto" w:fill="FFFFFF"/>
        </w:rPr>
        <w:t>竞争性磋商文件的编制</w:t>
      </w:r>
    </w:p>
    <w:p>
      <w:pPr>
        <w:spacing w:line="360" w:lineRule="auto"/>
        <w:ind w:firstLine="562" w:firstLineChars="200"/>
        <w:rPr>
          <w:rFonts w:ascii="仿宋" w:hAnsi="仿宋" w:eastAsia="仿宋" w:cs="仿宋"/>
          <w:b/>
          <w:color w:val="000000"/>
          <w:sz w:val="28"/>
          <w:szCs w:val="28"/>
          <w:highlight w:val="none"/>
          <w:shd w:val="clear" w:color="auto" w:fill="FFFFFF"/>
        </w:rPr>
      </w:pPr>
      <w:bookmarkStart w:id="29" w:name="_Toc177824943"/>
      <w:bookmarkStart w:id="30" w:name="_Toc177870546"/>
      <w:bookmarkStart w:id="31" w:name="_Toc177825124"/>
      <w:bookmarkStart w:id="32" w:name="_Toc177824876"/>
      <w:r>
        <w:rPr>
          <w:rFonts w:hint="eastAsia" w:ascii="仿宋" w:hAnsi="仿宋" w:eastAsia="仿宋" w:cs="仿宋"/>
          <w:b/>
          <w:color w:val="000000"/>
          <w:sz w:val="28"/>
          <w:szCs w:val="28"/>
          <w:highlight w:val="none"/>
          <w:shd w:val="clear" w:color="auto" w:fill="FFFFFF"/>
        </w:rPr>
        <w:t>（一）竞争性磋商文件的组成</w:t>
      </w:r>
      <w:bookmarkEnd w:id="29"/>
      <w:bookmarkEnd w:id="30"/>
      <w:bookmarkEnd w:id="31"/>
      <w:bookmarkEnd w:id="32"/>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（1）磋商供应商应按照磋商文件的要求编制磋商响应文件。响应文件应对磋商文件提出的要求和条件作出实质性响应。并保证所提供的全部资料的真实性，否则按无效响应处理。</w:t>
      </w:r>
    </w:p>
    <w:p>
      <w:pPr>
        <w:spacing w:line="360" w:lineRule="auto"/>
        <w:ind w:firstLine="703" w:firstLineChars="250"/>
        <w:rPr>
          <w:rFonts w:ascii="仿宋" w:hAnsi="仿宋" w:eastAsia="仿宋" w:cs="仿宋"/>
          <w:b/>
          <w:color w:val="000000"/>
          <w:sz w:val="24"/>
          <w:highlight w:val="none"/>
        </w:rPr>
      </w:pPr>
      <w:r>
        <w:rPr>
          <w:rFonts w:hint="eastAsia" w:ascii="仿宋" w:hAnsi="仿宋" w:eastAsia="仿宋" w:cs="仿宋"/>
          <w:b/>
          <w:color w:val="000000"/>
          <w:sz w:val="28"/>
          <w:szCs w:val="28"/>
          <w:highlight w:val="none"/>
          <w:shd w:val="clear" w:color="auto" w:fill="FFFFFF"/>
        </w:rPr>
        <w:t>二、竞争性磋商文件顺序及格式范本</w:t>
      </w:r>
    </w:p>
    <w:p>
      <w:pPr>
        <w:spacing w:line="360" w:lineRule="auto"/>
        <w:ind w:firstLine="562" w:firstLineChars="2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（一）竞争性磋商文件的编制</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1、</w:t>
      </w:r>
      <w:r>
        <w:rPr>
          <w:rFonts w:hint="eastAsia" w:ascii="仿宋" w:hAnsi="仿宋" w:eastAsia="仿宋" w:cs="仿宋"/>
          <w:color w:val="000000"/>
          <w:sz w:val="28"/>
          <w:szCs w:val="28"/>
          <w:highlight w:val="none"/>
          <w:shd w:val="clear" w:color="auto" w:fill="FFFFFF"/>
          <w:lang w:val="zh-CN"/>
        </w:rPr>
        <w:t>投标文件应按第五部分进行编写，如有必要，可以增加副页，作为投标文件的组成部分。</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2、</w:t>
      </w:r>
      <w:r>
        <w:rPr>
          <w:rFonts w:hint="eastAsia" w:ascii="仿宋" w:hAnsi="仿宋" w:eastAsia="仿宋" w:cs="仿宋"/>
          <w:color w:val="000000"/>
          <w:sz w:val="28"/>
          <w:szCs w:val="28"/>
          <w:highlight w:val="none"/>
          <w:shd w:val="clear" w:color="auto" w:fill="FFFFFF"/>
          <w:lang w:val="zh-CN"/>
        </w:rPr>
        <w:t>投标文件由投标人自行在“政采云”平台上制作生成投标文件。投标人在编制投标文件时应建立分级目录，并按照标签提示导入相关内容。</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3、</w:t>
      </w:r>
      <w:r>
        <w:rPr>
          <w:rFonts w:hint="eastAsia" w:ascii="仿宋" w:hAnsi="仿宋" w:eastAsia="仿宋" w:cs="仿宋"/>
          <w:color w:val="000000"/>
          <w:sz w:val="28"/>
          <w:szCs w:val="28"/>
          <w:highlight w:val="none"/>
          <w:shd w:val="clear" w:color="auto" w:fill="FFFFFF"/>
          <w:lang w:val="zh-CN"/>
        </w:rPr>
        <w:t>投标文件中证明资料的“复印件”均为“原件的扫描件”，应以附件形式直接导入，未标示“复印件”的证明资料均应直接制作生成。</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w:t>
      </w:r>
      <w:r>
        <w:rPr>
          <w:rFonts w:hint="eastAsia" w:ascii="仿宋" w:hAnsi="仿宋" w:eastAsia="仿宋" w:cs="仿宋"/>
          <w:color w:val="000000"/>
          <w:sz w:val="28"/>
          <w:szCs w:val="28"/>
          <w:highlight w:val="none"/>
          <w:shd w:val="clear" w:color="auto" w:fill="FFFFFF"/>
          <w:lang w:val="zh-CN"/>
        </w:rPr>
        <w:t>第五部分</w:t>
      </w:r>
      <w:r>
        <w:rPr>
          <w:rFonts w:hint="eastAsia" w:ascii="仿宋" w:hAnsi="仿宋" w:eastAsia="仿宋" w:cs="仿宋"/>
          <w:color w:val="000000"/>
          <w:sz w:val="28"/>
          <w:szCs w:val="28"/>
          <w:highlight w:val="none"/>
          <w:shd w:val="clear" w:color="auto" w:fill="FFFFFF"/>
        </w:rPr>
        <w:t>“</w:t>
      </w:r>
      <w:r>
        <w:rPr>
          <w:rFonts w:hint="eastAsia" w:ascii="仿宋" w:hAnsi="仿宋" w:eastAsia="仿宋" w:cs="仿宋"/>
          <w:color w:val="000000"/>
          <w:sz w:val="28"/>
          <w:szCs w:val="28"/>
          <w:highlight w:val="none"/>
          <w:shd w:val="clear" w:color="auto" w:fill="FFFFFF"/>
          <w:lang w:val="zh-CN"/>
        </w:rPr>
        <w:t>投标文件编制和装订顺序</w:t>
      </w:r>
      <w:r>
        <w:rPr>
          <w:rFonts w:hint="eastAsia" w:ascii="仿宋" w:hAnsi="仿宋" w:eastAsia="仿宋" w:cs="仿宋"/>
          <w:color w:val="000000"/>
          <w:sz w:val="28"/>
          <w:szCs w:val="28"/>
          <w:highlight w:val="none"/>
          <w:shd w:val="clear" w:color="auto" w:fill="FFFFFF"/>
        </w:rPr>
        <w:t>”中要求盖单位章和（或）签字的地方，投标人均应使用CA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5、投标文件中的已标价报价清单数据文件应与招标人提供的报价清单数据文件格式一致。</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6、投标文件制作完成后，投标人应使用CA数字证书对投标文件进行文件加密，形成加密的投标文件。</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7、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8、凡有备注说明的，必须符合说明的要求。</w:t>
      </w:r>
    </w:p>
    <w:p>
      <w:pPr>
        <w:spacing w:line="360" w:lineRule="auto"/>
        <w:ind w:firstLine="560" w:firstLineChars="200"/>
        <w:rPr>
          <w:rFonts w:ascii="仿宋" w:hAnsi="仿宋" w:eastAsia="仿宋" w:cs="仿宋"/>
          <w:sz w:val="24"/>
          <w:szCs w:val="22"/>
          <w:highlight w:val="none"/>
        </w:rPr>
      </w:pPr>
      <w:r>
        <w:rPr>
          <w:rFonts w:hint="eastAsia" w:ascii="仿宋" w:hAnsi="仿宋" w:eastAsia="仿宋" w:cs="仿宋"/>
          <w:color w:val="000000"/>
          <w:sz w:val="28"/>
          <w:szCs w:val="28"/>
          <w:highlight w:val="none"/>
          <w:shd w:val="clear" w:color="auto" w:fill="FFFFFF"/>
        </w:rPr>
        <w:t>9、凡招标文件要求提供的，必须提供。否则，将视为不响应招标文件的实质性要求，可能竞争性磋商文件将会被拒绝。</w:t>
      </w:r>
    </w:p>
    <w:p>
      <w:pPr>
        <w:spacing w:line="360" w:lineRule="auto"/>
        <w:ind w:firstLine="281" w:firstLineChars="1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（二）竞争性磋商文件的语言及计量</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1、竞争性磋商文件以及投标人与</w:t>
      </w:r>
      <w:r>
        <w:rPr>
          <w:rFonts w:hint="eastAsia" w:ascii="仿宋" w:hAnsi="仿宋" w:eastAsia="仿宋" w:cs="仿宋"/>
          <w:color w:val="000000"/>
          <w:sz w:val="28"/>
          <w:szCs w:val="28"/>
          <w:highlight w:val="none"/>
          <w:shd w:val="clear" w:color="auto" w:fill="FFFFFF"/>
          <w:lang w:eastAsia="zh-CN"/>
        </w:rPr>
        <w:t>新疆浩诚致远项目管理咨询有限公司</w:t>
      </w:r>
      <w:r>
        <w:rPr>
          <w:rFonts w:hint="eastAsia" w:ascii="仿宋" w:hAnsi="仿宋" w:eastAsia="仿宋" w:cs="仿宋"/>
          <w:color w:val="000000"/>
          <w:sz w:val="28"/>
          <w:szCs w:val="28"/>
          <w:highlight w:val="none"/>
          <w:shd w:val="clear" w:color="auto" w:fill="FFFFFF"/>
        </w:rPr>
        <w:t>就有关投标事宜的所有来往函电，均应以中文汉语书写。除签名、盖章、专用名称等特殊情形外，以中文汉语以外的文字表述的响应文件视同未提供。</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2、投标计量单位，竞争性磋商文件已有明确规定的，使用</w:t>
      </w:r>
      <w:r>
        <w:rPr>
          <w:rFonts w:hint="eastAsia" w:ascii="仿宋" w:hAnsi="仿宋" w:eastAsia="仿宋" w:cs="仿宋"/>
          <w:sz w:val="28"/>
          <w:highlight w:val="none"/>
        </w:rPr>
        <w:t>竞争性磋商文件</w:t>
      </w:r>
      <w:r>
        <w:rPr>
          <w:rFonts w:hint="eastAsia" w:ascii="仿宋" w:hAnsi="仿宋" w:eastAsia="仿宋" w:cs="仿宋"/>
          <w:color w:val="000000"/>
          <w:sz w:val="28"/>
          <w:szCs w:val="28"/>
          <w:highlight w:val="none"/>
          <w:shd w:val="clear" w:color="auto" w:fill="FFFFFF"/>
        </w:rPr>
        <w:t>规定的计量单位；</w:t>
      </w:r>
      <w:r>
        <w:rPr>
          <w:rFonts w:hint="eastAsia" w:ascii="仿宋" w:hAnsi="仿宋" w:eastAsia="仿宋" w:cs="仿宋"/>
          <w:sz w:val="28"/>
          <w:highlight w:val="none"/>
        </w:rPr>
        <w:t>竞争性磋商文件</w:t>
      </w:r>
      <w:r>
        <w:rPr>
          <w:rFonts w:hint="eastAsia" w:ascii="仿宋" w:hAnsi="仿宋" w:eastAsia="仿宋" w:cs="仿宋"/>
          <w:color w:val="000000"/>
          <w:sz w:val="28"/>
          <w:szCs w:val="28"/>
          <w:highlight w:val="none"/>
          <w:shd w:val="clear" w:color="auto" w:fill="FFFFFF"/>
        </w:rPr>
        <w:t>没有规定的，应采用中华人民共和国法定计量单位（货币单位：人民币元），否则视同未响应。</w:t>
      </w:r>
      <w:bookmarkStart w:id="33" w:name="_Toc177824945"/>
      <w:bookmarkStart w:id="34" w:name="_Toc177824878"/>
      <w:bookmarkStart w:id="35" w:name="_Toc177825126"/>
      <w:bookmarkStart w:id="36" w:name="_Toc177870548"/>
    </w:p>
    <w:p>
      <w:pPr>
        <w:spacing w:line="360" w:lineRule="auto"/>
        <w:ind w:firstLine="281" w:firstLineChars="1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（三）投标报价</w:t>
      </w:r>
      <w:bookmarkEnd w:id="33"/>
      <w:bookmarkEnd w:id="34"/>
      <w:bookmarkEnd w:id="35"/>
      <w:bookmarkEnd w:id="36"/>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1、投标报价应按竞争性磋商文件中相关附表格式填写。</w:t>
      </w:r>
    </w:p>
    <w:p>
      <w:pPr>
        <w:spacing w:line="360" w:lineRule="auto"/>
        <w:ind w:firstLine="560" w:firstLineChars="200"/>
        <w:rPr>
          <w:rFonts w:hint="eastAsia"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2、投标报价：本次投标采用综合性评分法，报价分为两次，第一次报价唱标后当场公布，第二次报价不得高于第一次报价。</w:t>
      </w:r>
    </w:p>
    <w:p>
      <w:pPr>
        <w:spacing w:line="360" w:lineRule="auto"/>
        <w:ind w:firstLine="560" w:firstLineChars="200"/>
        <w:rPr>
          <w:rFonts w:ascii="仿宋" w:hAnsi="仿宋" w:eastAsia="仿宋" w:cs="仿宋"/>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3、经磋商确定最终采购需求和提交最后报价的供应商后，由磋商小组采用综合评分法对提交最后报价的供应商的竞争性磋商文件和最后报价进行综合评分。</w:t>
      </w:r>
    </w:p>
    <w:p>
      <w:pPr>
        <w:spacing w:line="360" w:lineRule="auto"/>
        <w:ind w:firstLine="281" w:firstLineChars="1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（四）竞争性磋商文件的有效期</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★1、自投标截止日起9</w:t>
      </w:r>
      <w:r>
        <w:rPr>
          <w:rFonts w:hint="eastAsia" w:ascii="仿宋" w:hAnsi="仿宋" w:eastAsia="仿宋" w:cs="仿宋"/>
          <w:sz w:val="28"/>
          <w:szCs w:val="28"/>
          <w:highlight w:val="none"/>
          <w:shd w:val="clear" w:color="auto" w:fill="FFFFFF"/>
        </w:rPr>
        <w:t>0</w:t>
      </w:r>
      <w:r>
        <w:rPr>
          <w:rFonts w:hint="eastAsia" w:ascii="仿宋" w:hAnsi="仿宋" w:eastAsia="仿宋" w:cs="仿宋"/>
          <w:color w:val="000000"/>
          <w:sz w:val="28"/>
          <w:szCs w:val="28"/>
          <w:highlight w:val="none"/>
          <w:shd w:val="clear" w:color="auto" w:fill="FFFFFF"/>
        </w:rPr>
        <w:t>天投标书应保持有效。有效期短于这个规定期限的投标将被拒绝。</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2、在特殊情况下，采购人和招标代理机构可与投标人协商延长投标书的有效期，这种要求和答复均以书面形式进行。</w:t>
      </w:r>
    </w:p>
    <w:p>
      <w:pPr>
        <w:spacing w:line="360" w:lineRule="auto"/>
        <w:ind w:firstLine="560" w:firstLineChars="200"/>
        <w:rPr>
          <w:rFonts w:ascii="仿宋" w:hAnsi="仿宋" w:eastAsia="仿宋" w:cs="仿宋"/>
          <w:color w:val="000000"/>
          <w:sz w:val="28"/>
          <w:szCs w:val="28"/>
          <w:highlight w:val="none"/>
          <w:shd w:val="clear" w:color="auto" w:fill="FFFFFF"/>
        </w:rPr>
      </w:pPr>
      <w:bookmarkStart w:id="37" w:name="_Toc177825127"/>
      <w:bookmarkStart w:id="38" w:name="_Toc177870549"/>
      <w:bookmarkStart w:id="39" w:name="_Toc177824879"/>
      <w:bookmarkStart w:id="40" w:name="_Toc177824946"/>
      <w:r>
        <w:rPr>
          <w:rFonts w:hint="eastAsia" w:ascii="仿宋" w:hAnsi="仿宋" w:eastAsia="仿宋" w:cs="仿宋"/>
          <w:color w:val="000000"/>
          <w:sz w:val="28"/>
          <w:szCs w:val="28"/>
          <w:highlight w:val="none"/>
          <w:shd w:val="clear" w:color="auto" w:fill="FFFFFF"/>
        </w:rPr>
        <w:t>3、投标人可拒绝接受延期要求而不会导致投标保证金被没收。同意延长有效期的投标人需要相应延长投标保证金的有效期，但不能修改响应文件。</w:t>
      </w:r>
      <w:bookmarkEnd w:id="37"/>
      <w:bookmarkEnd w:id="38"/>
      <w:bookmarkEnd w:id="39"/>
      <w:bookmarkEnd w:id="40"/>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4、最终中标供应商的响应文件自开标之日起至合同履行完毕止均应保持有效。</w:t>
      </w:r>
    </w:p>
    <w:p>
      <w:pPr>
        <w:spacing w:line="360" w:lineRule="auto"/>
        <w:ind w:firstLine="562" w:firstLineChars="200"/>
        <w:rPr>
          <w:rFonts w:ascii="仿宋" w:hAnsi="仿宋" w:eastAsia="仿宋" w:cs="仿宋"/>
          <w:b/>
          <w:color w:val="000000"/>
          <w:sz w:val="28"/>
          <w:szCs w:val="28"/>
          <w:highlight w:val="none"/>
          <w:shd w:val="clear" w:color="auto" w:fill="FFFFFF"/>
        </w:rPr>
      </w:pPr>
      <w:bookmarkStart w:id="41" w:name="_Toc177870550"/>
      <w:bookmarkStart w:id="42" w:name="_Toc177825128"/>
      <w:bookmarkStart w:id="43" w:name="_Toc177824947"/>
      <w:bookmarkStart w:id="44" w:name="_Toc177824880"/>
      <w:r>
        <w:rPr>
          <w:rFonts w:hint="eastAsia" w:ascii="仿宋" w:hAnsi="仿宋" w:eastAsia="仿宋" w:cs="仿宋"/>
          <w:b/>
          <w:color w:val="000000"/>
          <w:sz w:val="28"/>
          <w:szCs w:val="28"/>
          <w:highlight w:val="none"/>
          <w:shd w:val="clear" w:color="auto" w:fill="FFFFFF"/>
        </w:rPr>
        <w:t>（五）投标保证金</w:t>
      </w:r>
      <w:bookmarkEnd w:id="41"/>
      <w:bookmarkEnd w:id="42"/>
      <w:bookmarkEnd w:id="43"/>
      <w:bookmarkEnd w:id="44"/>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★1、投标人须提交投标保证金。否则，其投标将被拒绝。</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color w:val="000000"/>
          <w:sz w:val="28"/>
          <w:szCs w:val="28"/>
          <w:highlight w:val="none"/>
          <w:shd w:val="clear" w:color="auto" w:fill="FFFFFF"/>
        </w:rPr>
        <w:t>2、投标人中标后需和采购单位协商缴纳履约保证金。</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3、下列情况，投标保证金将不予退还：</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（1）投标人在投标有效期内撤回响应文件的；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（2）未按规定提交履约保证金的；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（3）投标人在投标过程中弄虚作假，提供虚假材料；</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（4）中标人未按规定的时间、地点与采购人签订合同的；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（5）其他严重扰乱招投标程序的。</w:t>
      </w:r>
    </w:p>
    <w:p>
      <w:pPr>
        <w:spacing w:line="360" w:lineRule="auto"/>
        <w:ind w:firstLine="562" w:firstLineChars="200"/>
        <w:rPr>
          <w:rFonts w:ascii="仿宋" w:hAnsi="仿宋" w:eastAsia="仿宋" w:cs="仿宋"/>
          <w:b/>
          <w:color w:val="000000"/>
          <w:sz w:val="28"/>
          <w:szCs w:val="28"/>
          <w:highlight w:val="none"/>
          <w:shd w:val="clear" w:color="auto" w:fill="FFFFFF"/>
        </w:rPr>
      </w:pPr>
      <w:bookmarkStart w:id="45" w:name="_Toc177824948"/>
      <w:bookmarkStart w:id="46" w:name="_Toc177825129"/>
      <w:bookmarkStart w:id="47" w:name="_Toc177824881"/>
      <w:bookmarkStart w:id="48" w:name="_Toc177870551"/>
      <w:r>
        <w:rPr>
          <w:rFonts w:hint="eastAsia" w:ascii="仿宋" w:hAnsi="仿宋" w:eastAsia="仿宋" w:cs="仿宋"/>
          <w:b/>
          <w:color w:val="000000"/>
          <w:sz w:val="28"/>
          <w:szCs w:val="28"/>
          <w:highlight w:val="none"/>
          <w:shd w:val="clear" w:color="auto" w:fill="FFFFFF"/>
        </w:rPr>
        <w:t>（六）竞争性磋商文件的</w:t>
      </w:r>
      <w:bookmarkEnd w:id="45"/>
      <w:bookmarkEnd w:id="46"/>
      <w:bookmarkEnd w:id="47"/>
      <w:bookmarkEnd w:id="48"/>
      <w:r>
        <w:rPr>
          <w:rFonts w:hint="eastAsia" w:ascii="仿宋" w:hAnsi="仿宋" w:eastAsia="仿宋" w:cs="仿宋"/>
          <w:b/>
          <w:color w:val="000000"/>
          <w:sz w:val="28"/>
          <w:szCs w:val="28"/>
          <w:highlight w:val="none"/>
          <w:shd w:val="clear" w:color="auto" w:fill="FFFFFF"/>
        </w:rPr>
        <w:t>递交</w:t>
      </w:r>
    </w:p>
    <w:p>
      <w:pPr>
        <w:spacing w:line="360" w:lineRule="auto"/>
        <w:ind w:firstLine="480" w:firstLineChars="200"/>
        <w:rPr>
          <w:rFonts w:ascii="仿宋" w:hAnsi="仿宋" w:eastAsia="仿宋" w:cs="仿宋"/>
          <w:color w:val="000000"/>
          <w:sz w:val="28"/>
          <w:szCs w:val="28"/>
          <w:highlight w:val="none"/>
          <w:shd w:val="clear" w:color="auto" w:fill="FFFFFF"/>
        </w:rPr>
      </w:pPr>
      <w:r>
        <w:rPr>
          <w:rFonts w:hint="eastAsia" w:ascii="仿宋" w:hAnsi="仿宋" w:eastAsia="仿宋" w:cs="仿宋"/>
          <w:sz w:val="24"/>
          <w:szCs w:val="22"/>
          <w:highlight w:val="none"/>
        </w:rPr>
        <w:t>★</w:t>
      </w:r>
      <w:r>
        <w:rPr>
          <w:rFonts w:hint="eastAsia" w:ascii="仿宋" w:hAnsi="仿宋" w:eastAsia="仿宋" w:cs="仿宋"/>
          <w:color w:val="000000"/>
          <w:sz w:val="28"/>
          <w:szCs w:val="28"/>
          <w:highlight w:val="none"/>
          <w:shd w:val="clear" w:color="auto" w:fill="FFFFFF"/>
        </w:rPr>
        <w:t>1、投标人应在投标人须知前附表规定的投标截止时间前递交投标文件。</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2、投标人通过下载招标文件的政府采购云平台递交加密的电子投标文件。</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3、除投标人须知前附表另有规定外，投标人所递交的投标文件不予退还。</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投标人应在“招标公告”或“投标人须知前附表”规定的投标截止时间前，通过政府采购云平台使用CA数字证书登录“政府采购云平台”，将加密的投标文件上传。投标人应充分考虑上传文件时的不可预见因素，未在投标截止时间前完成上传的，视为逾期送达，政府采购云平台将予以拒收。</w:t>
      </w:r>
    </w:p>
    <w:p>
      <w:pPr>
        <w:spacing w:line="360" w:lineRule="auto"/>
        <w:ind w:firstLine="281" w:firstLineChars="100"/>
        <w:rPr>
          <w:rFonts w:ascii="仿宋" w:hAnsi="仿宋" w:eastAsia="仿宋" w:cs="仿宋"/>
          <w:b/>
          <w:color w:val="000000"/>
          <w:sz w:val="28"/>
          <w:szCs w:val="28"/>
          <w:highlight w:val="none"/>
          <w:shd w:val="clear" w:color="auto" w:fill="FFFFFF"/>
        </w:rPr>
      </w:pPr>
      <w:bookmarkStart w:id="49" w:name="_Toc177870552"/>
      <w:r>
        <w:rPr>
          <w:rFonts w:hint="eastAsia" w:ascii="仿宋" w:hAnsi="仿宋" w:eastAsia="仿宋" w:cs="仿宋"/>
          <w:b/>
          <w:color w:val="000000"/>
          <w:sz w:val="28"/>
          <w:szCs w:val="28"/>
          <w:highlight w:val="none"/>
          <w:shd w:val="clear" w:color="auto" w:fill="FFFFFF"/>
        </w:rPr>
        <w:t>（七）竞争性磋商文件的修改和撤回</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1、投标人在投标截止时间之前，可以对已提交的竞争性磋商文件进行修改或撤回，并书面通知采购人及招标代理机构。投标截止时间后，投标人不得撤回、修改竞争性磋商文件。</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2、投标人撤回已递交的电子投标文件，需要使用本单位CA锁在政府采购云平台撤回投标文件。</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3、投标人撤回投标文件的，招标人自收到投标人书面撤回通知之日起5日内退还已收取的投标保证金。</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4、修改的内容为投标文件的组成部分。修改的投标文件应按照本章第二部分第二（六）（七）条的规定进行编制、加密和递交。</w:t>
      </w:r>
    </w:p>
    <w:p>
      <w:pPr>
        <w:spacing w:line="360" w:lineRule="auto"/>
        <w:ind w:firstLine="560" w:firstLineChars="200"/>
        <w:rPr>
          <w:rFonts w:ascii="仿宋" w:hAnsi="仿宋" w:eastAsia="仿宋" w:cs="仿宋"/>
          <w:sz w:val="24"/>
          <w:szCs w:val="22"/>
          <w:highlight w:val="none"/>
        </w:rPr>
      </w:pPr>
      <w:r>
        <w:rPr>
          <w:rFonts w:hint="eastAsia" w:ascii="仿宋" w:hAnsi="仿宋" w:eastAsia="仿宋" w:cs="仿宋"/>
          <w:color w:val="000000"/>
          <w:sz w:val="28"/>
          <w:szCs w:val="28"/>
          <w:highlight w:val="none"/>
          <w:shd w:val="clear" w:color="auto" w:fill="FFFFFF"/>
        </w:rPr>
        <w:t>5、任何不完整或不满足招标书要求的竞争性磋商文件将被拒绝。</w:t>
      </w:r>
    </w:p>
    <w:p>
      <w:pPr>
        <w:spacing w:line="360" w:lineRule="auto"/>
        <w:ind w:firstLine="281" w:firstLineChars="1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（八）投标无效的情形</w:t>
      </w:r>
      <w:bookmarkEnd w:id="49"/>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1、实质上没有响应竞争性磋商文件要求的投标将被视为无效投标。投标人不得通过修正或撤消不合要求的偏离或保留从而使其投标成为实质上响应的投标。</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 在符合性审查和商务评议时，如发现下列情形之一的，竞争性磋商文件将被视为无效投标：</w:t>
      </w:r>
    </w:p>
    <w:p>
      <w:pPr>
        <w:spacing w:line="400" w:lineRule="exact"/>
        <w:jc w:val="center"/>
        <w:rPr>
          <w:rFonts w:hint="eastAsia" w:ascii="宋体" w:hAnsi="宋体" w:eastAsia="宋体" w:cs="宋体"/>
          <w:b/>
          <w:color w:val="000000"/>
          <w:spacing w:val="-2"/>
          <w:sz w:val="24"/>
          <w:szCs w:val="24"/>
        </w:rPr>
      </w:pPr>
    </w:p>
    <w:p>
      <w:pPr>
        <w:rPr>
          <w:rFonts w:hint="eastAsia" w:ascii="宋体" w:hAnsi="宋体" w:eastAsia="宋体" w:cs="宋体"/>
          <w:b/>
          <w:color w:val="000000"/>
          <w:spacing w:val="-2"/>
          <w:sz w:val="24"/>
          <w:szCs w:val="24"/>
        </w:rPr>
      </w:pPr>
      <w:r>
        <w:rPr>
          <w:rFonts w:hint="eastAsia" w:ascii="宋体" w:hAnsi="宋体" w:eastAsia="宋体" w:cs="宋体"/>
          <w:b/>
          <w:color w:val="000000"/>
          <w:spacing w:val="-2"/>
          <w:sz w:val="24"/>
          <w:szCs w:val="24"/>
        </w:rPr>
        <w:br w:type="page"/>
      </w:r>
    </w:p>
    <w:p>
      <w:pPr>
        <w:spacing w:line="400" w:lineRule="exact"/>
        <w:jc w:val="center"/>
        <w:rPr>
          <w:rFonts w:hint="eastAsia" w:ascii="宋体" w:hAnsi="宋体" w:eastAsia="宋体" w:cs="宋体"/>
          <w:b/>
          <w:color w:val="000000"/>
          <w:spacing w:val="-2"/>
          <w:sz w:val="24"/>
          <w:szCs w:val="24"/>
        </w:rPr>
      </w:pPr>
      <w:r>
        <w:rPr>
          <w:rFonts w:hint="eastAsia" w:ascii="宋体" w:hAnsi="宋体" w:eastAsia="宋体" w:cs="宋体"/>
          <w:b/>
          <w:color w:val="000000"/>
          <w:spacing w:val="-2"/>
          <w:sz w:val="24"/>
          <w:szCs w:val="24"/>
        </w:rPr>
        <w:t>1.资格性审查</w:t>
      </w:r>
    </w:p>
    <w:tbl>
      <w:tblPr>
        <w:tblStyle w:val="30"/>
        <w:tblpPr w:leftFromText="180" w:rightFromText="180" w:vertAnchor="text" w:horzAnchor="page" w:tblpX="1313" w:tblpY="295"/>
        <w:tblOverlap w:val="never"/>
        <w:tblW w:w="4997" w:type="pct"/>
        <w:tblInd w:w="0" w:type="dxa"/>
        <w:tblLayout w:type="autofit"/>
        <w:tblCellMar>
          <w:top w:w="0" w:type="dxa"/>
          <w:left w:w="15" w:type="dxa"/>
          <w:bottom w:w="0" w:type="dxa"/>
          <w:right w:w="15" w:type="dxa"/>
        </w:tblCellMar>
      </w:tblPr>
      <w:tblGrid>
        <w:gridCol w:w="426"/>
        <w:gridCol w:w="4475"/>
        <w:gridCol w:w="867"/>
        <w:gridCol w:w="828"/>
        <w:gridCol w:w="868"/>
        <w:gridCol w:w="867"/>
      </w:tblGrid>
      <w:tr>
        <w:tblPrEx>
          <w:tblCellMar>
            <w:top w:w="0" w:type="dxa"/>
            <w:left w:w="15" w:type="dxa"/>
            <w:bottom w:w="0" w:type="dxa"/>
            <w:right w:w="15" w:type="dxa"/>
          </w:tblCellMar>
        </w:tblPrEx>
        <w:trPr>
          <w:trHeight w:val="416" w:hRule="atLeast"/>
        </w:trPr>
        <w:tc>
          <w:tcPr>
            <w:tcW w:w="256" w:type="pct"/>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 w:val="24"/>
              </w:rPr>
            </w:pPr>
            <w:r>
              <w:rPr>
                <w:rFonts w:hint="eastAsia" w:ascii="宋体" w:hAnsi="宋体" w:cs="宋体"/>
                <w:color w:val="auto"/>
                <w:sz w:val="24"/>
              </w:rPr>
              <w:t>序号</w:t>
            </w:r>
          </w:p>
        </w:tc>
        <w:tc>
          <w:tcPr>
            <w:tcW w:w="2685" w:type="pct"/>
            <w:vMerge w:val="restar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r>
              <w:rPr>
                <w:rFonts w:hint="eastAsia" w:ascii="宋体" w:hAnsi="宋体" w:cs="宋体"/>
                <w:color w:val="auto"/>
                <w:sz w:val="24"/>
              </w:rPr>
              <w:t>投标文件审查及响应性</w:t>
            </w:r>
            <w:r>
              <w:rPr>
                <w:rFonts w:hint="eastAsia" w:ascii="宋体" w:hAnsi="宋体" w:cs="宋体"/>
                <w:color w:val="auto"/>
                <w:sz w:val="24"/>
              </w:rPr>
              <w:br w:type="textWrapping"/>
            </w:r>
            <w:r>
              <w:rPr>
                <w:rFonts w:hint="eastAsia" w:ascii="宋体" w:hAnsi="宋体" w:cs="宋体"/>
                <w:color w:val="auto"/>
                <w:sz w:val="24"/>
              </w:rPr>
              <w:t>（评审结果为合格/不合格）</w:t>
            </w:r>
          </w:p>
        </w:tc>
        <w:tc>
          <w:tcPr>
            <w:tcW w:w="520" w:type="pct"/>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cs="宋体"/>
                <w:color w:val="auto"/>
                <w:sz w:val="24"/>
              </w:rPr>
            </w:pPr>
            <w:r>
              <w:rPr>
                <w:rFonts w:hint="eastAsia" w:ascii="宋体" w:hAnsi="宋体" w:cs="宋体"/>
                <w:color w:val="auto"/>
                <w:sz w:val="24"/>
              </w:rPr>
              <w:t>投标人1</w:t>
            </w:r>
          </w:p>
        </w:tc>
        <w:tc>
          <w:tcPr>
            <w:tcW w:w="497" w:type="pct"/>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cs="宋体"/>
                <w:color w:val="auto"/>
                <w:sz w:val="24"/>
              </w:rPr>
            </w:pPr>
            <w:r>
              <w:rPr>
                <w:rFonts w:hint="eastAsia" w:ascii="宋体" w:hAnsi="宋体" w:cs="宋体"/>
                <w:color w:val="auto"/>
                <w:sz w:val="24"/>
              </w:rPr>
              <w:t>投标人2</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rPr>
            </w:pPr>
            <w:r>
              <w:rPr>
                <w:rFonts w:hint="eastAsia" w:ascii="宋体" w:hAnsi="宋体" w:cs="宋体"/>
                <w:color w:val="auto"/>
                <w:sz w:val="24"/>
              </w:rPr>
              <w:t>投标人3</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4"/>
              </w:rPr>
            </w:pPr>
          </w:p>
        </w:tc>
      </w:tr>
      <w:tr>
        <w:tblPrEx>
          <w:tblCellMar>
            <w:top w:w="0" w:type="dxa"/>
            <w:left w:w="15" w:type="dxa"/>
            <w:bottom w:w="0" w:type="dxa"/>
            <w:right w:w="15" w:type="dxa"/>
          </w:tblCellMar>
        </w:tblPrEx>
        <w:trPr>
          <w:trHeight w:val="204" w:hRule="atLeast"/>
        </w:trPr>
        <w:tc>
          <w:tcPr>
            <w:tcW w:w="256" w:type="pct"/>
            <w:vMerge w:val="continue"/>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cs="宋体"/>
                <w:color w:val="auto"/>
                <w:sz w:val="24"/>
              </w:rPr>
            </w:pPr>
          </w:p>
        </w:tc>
        <w:tc>
          <w:tcPr>
            <w:tcW w:w="2685" w:type="pct"/>
            <w:vMerge w:val="continue"/>
            <w:tcBorders>
              <w:top w:val="single" w:color="000000" w:sz="4" w:space="0"/>
              <w:left w:val="single" w:color="000000" w:sz="4" w:space="0"/>
              <w:bottom w:val="single" w:color="000000" w:sz="4" w:space="0"/>
              <w:right w:val="nil"/>
            </w:tcBorders>
            <w:noWrap w:val="0"/>
            <w:vAlign w:val="center"/>
          </w:tcPr>
          <w:p>
            <w:pP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r>
              <w:rPr>
                <w:rFonts w:hint="eastAsia" w:ascii="宋体" w:hAnsi="宋体" w:cs="宋体"/>
                <w:color w:val="auto"/>
                <w:sz w:val="24"/>
              </w:rPr>
              <w:t>是否合格</w:t>
            </w:r>
          </w:p>
        </w:tc>
        <w:tc>
          <w:tcPr>
            <w:tcW w:w="497"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r>
              <w:rPr>
                <w:rFonts w:hint="eastAsia" w:ascii="宋体" w:hAnsi="宋体" w:cs="宋体"/>
                <w:color w:val="auto"/>
                <w:sz w:val="24"/>
              </w:rPr>
              <w:t>是否合格</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r>
              <w:rPr>
                <w:rFonts w:hint="eastAsia" w:ascii="宋体" w:hAnsi="宋体" w:cs="宋体"/>
                <w:color w:val="auto"/>
                <w:sz w:val="24"/>
              </w:rPr>
              <w:t>是否合格</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27" w:hRule="atLeast"/>
        </w:trPr>
        <w:tc>
          <w:tcPr>
            <w:tcW w:w="256" w:type="pc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2685" w:type="pct"/>
            <w:tcBorders>
              <w:top w:val="single" w:color="000000" w:sz="4" w:space="0"/>
              <w:left w:val="single" w:color="auto" w:sz="4" w:space="0"/>
              <w:bottom w:val="single" w:color="000000" w:sz="4" w:space="0"/>
              <w:right w:val="nil"/>
            </w:tcBorders>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是否</w:t>
            </w:r>
            <w:r>
              <w:rPr>
                <w:rFonts w:hint="eastAsia" w:ascii="宋体" w:hAnsi="宋体" w:eastAsia="宋体" w:cs="宋体"/>
                <w:color w:val="auto"/>
                <w:sz w:val="24"/>
                <w:szCs w:val="24"/>
                <w:lang w:val="en-US" w:eastAsia="zh-CN"/>
              </w:rPr>
              <w:t>提供</w:t>
            </w:r>
            <w:r>
              <w:rPr>
                <w:rFonts w:hint="eastAsia" w:ascii="宋体" w:hAnsi="宋体" w:eastAsia="宋体" w:cs="宋体"/>
                <w:color w:val="auto"/>
                <w:sz w:val="24"/>
                <w:szCs w:val="24"/>
              </w:rPr>
              <w:t>合格的营业执照</w:t>
            </w:r>
            <w:r>
              <w:rPr>
                <w:rFonts w:hint="eastAsia" w:ascii="宋体" w:hAnsi="宋体" w:cs="宋体"/>
                <w:color w:val="auto"/>
                <w:sz w:val="24"/>
              </w:rPr>
              <w:t>；</w:t>
            </w:r>
          </w:p>
        </w:tc>
        <w:tc>
          <w:tcPr>
            <w:tcW w:w="520"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497"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642" w:hRule="atLeast"/>
        </w:trPr>
        <w:tc>
          <w:tcPr>
            <w:tcW w:w="256" w:type="pc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2685" w:type="pct"/>
            <w:tcBorders>
              <w:top w:val="single" w:color="000000" w:sz="4" w:space="0"/>
              <w:left w:val="single" w:color="auto" w:sz="4" w:space="0"/>
              <w:bottom w:val="single" w:color="000000" w:sz="4" w:space="0"/>
              <w:right w:val="nil"/>
            </w:tcBorders>
            <w:noWrap w:val="0"/>
            <w:vAlign w:val="center"/>
          </w:tcPr>
          <w:p>
            <w:pPr>
              <w:autoSpaceDN w:val="0"/>
              <w:jc w:val="left"/>
              <w:textAlignment w:val="center"/>
              <w:rPr>
                <w:rFonts w:hint="eastAsia" w:ascii="宋体" w:hAnsi="宋体" w:cs="宋体"/>
                <w:color w:val="auto"/>
                <w:sz w:val="24"/>
                <w:highlight w:val="none"/>
              </w:rPr>
            </w:pPr>
            <w:r>
              <w:rPr>
                <w:rFonts w:hint="eastAsia" w:ascii="宋体" w:hAnsi="宋体" w:cs="宋体"/>
                <w:color w:val="auto"/>
                <w:sz w:val="24"/>
                <w:highlight w:val="none"/>
                <w:lang w:eastAsia="zh-CN"/>
              </w:rPr>
              <w:t>法定代表人投标需</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lang w:eastAsia="zh-CN"/>
              </w:rPr>
              <w:t>法定代表人证明书及法定代表人身份证，需提供公司近三个月法定代表人社保证明，委托代理人投标需</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lang w:eastAsia="zh-CN"/>
              </w:rPr>
              <w:t>法定代表人授权委托书及委托代理人身份证；</w:t>
            </w:r>
          </w:p>
        </w:tc>
        <w:tc>
          <w:tcPr>
            <w:tcW w:w="520"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497"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562" w:hRule="atLeast"/>
        </w:trPr>
        <w:tc>
          <w:tcPr>
            <w:tcW w:w="256" w:type="pct"/>
            <w:tcBorders>
              <w:top w:val="single" w:color="auto" w:sz="4" w:space="0"/>
              <w:left w:val="single" w:color="auto" w:sz="4" w:space="0"/>
              <w:bottom w:val="single" w:color="auto" w:sz="4" w:space="0"/>
              <w:right w:val="single" w:color="auto" w:sz="4" w:space="0"/>
            </w:tcBorders>
            <w:noWrap w:val="0"/>
            <w:vAlign w:val="center"/>
          </w:tcPr>
          <w:p>
            <w:pPr>
              <w:pStyle w:val="73"/>
              <w:ind w:firstLine="240" w:firstLineChars="1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3</w:t>
            </w:r>
          </w:p>
        </w:tc>
        <w:tc>
          <w:tcPr>
            <w:tcW w:w="2685" w:type="pct"/>
            <w:tcBorders>
              <w:top w:val="single" w:color="000000" w:sz="4" w:space="0"/>
              <w:left w:val="single" w:color="auto" w:sz="4" w:space="0"/>
              <w:bottom w:val="single" w:color="000000" w:sz="4" w:space="0"/>
              <w:right w:val="nil"/>
            </w:tcBorders>
            <w:noWrap w:val="0"/>
            <w:vAlign w:val="center"/>
          </w:tcPr>
          <w:p>
            <w:pPr>
              <w:rPr>
                <w:rFonts w:hint="eastAsia" w:ascii="宋体" w:hAnsi="宋体" w:cs="宋体"/>
                <w:color w:val="auto"/>
                <w:sz w:val="24"/>
              </w:rPr>
            </w:pPr>
            <w:r>
              <w:rPr>
                <w:rFonts w:hint="eastAsia" w:ascii="宋体" w:hAnsi="宋体" w:cs="宋体"/>
                <w:color w:val="auto"/>
                <w:sz w:val="24"/>
                <w:lang w:eastAsia="zh-CN"/>
              </w:rPr>
              <w:t>提供近3个月开具的完税证明（依法免缴的应提供依法免缴的相关证明文件和零申报表）；新成立的公司按实际发生提供。</w:t>
            </w:r>
          </w:p>
        </w:tc>
        <w:tc>
          <w:tcPr>
            <w:tcW w:w="520"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497"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94"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2685" w:type="pct"/>
            <w:tcBorders>
              <w:top w:val="single" w:color="000000" w:sz="4" w:space="0"/>
              <w:left w:val="single" w:color="000000" w:sz="4" w:space="0"/>
              <w:bottom w:val="single" w:color="000000" w:sz="4" w:space="0"/>
              <w:right w:val="nil"/>
            </w:tcBorders>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lang w:eastAsia="zh-CN"/>
              </w:rPr>
              <w:t>是否提供2022年度第三方审计机构出具的财务审计报告(会计周期不满一年的提供近三个月银行出具的资信证明,近三个月是指2023年</w:t>
            </w:r>
            <w:r>
              <w:rPr>
                <w:rFonts w:hint="eastAsia" w:ascii="宋体" w:hAnsi="宋体" w:cs="宋体"/>
                <w:color w:val="auto"/>
                <w:sz w:val="24"/>
                <w:lang w:val="en-US" w:eastAsia="zh-CN"/>
              </w:rPr>
              <w:t>8</w:t>
            </w:r>
            <w:r>
              <w:rPr>
                <w:rFonts w:hint="eastAsia" w:ascii="宋体" w:hAnsi="宋体" w:cs="宋体"/>
                <w:color w:val="auto"/>
                <w:sz w:val="24"/>
                <w:lang w:eastAsia="zh-CN"/>
              </w:rPr>
              <w:t>月-</w:t>
            </w:r>
            <w:r>
              <w:rPr>
                <w:rFonts w:hint="eastAsia" w:ascii="宋体" w:hAnsi="宋体" w:cs="宋体"/>
                <w:color w:val="auto"/>
                <w:sz w:val="24"/>
                <w:lang w:val="en-US" w:eastAsia="zh-CN"/>
              </w:rPr>
              <w:t>10</w:t>
            </w:r>
            <w:r>
              <w:rPr>
                <w:rFonts w:hint="eastAsia" w:ascii="宋体" w:hAnsi="宋体" w:cs="宋体"/>
                <w:color w:val="auto"/>
                <w:sz w:val="24"/>
                <w:lang w:eastAsia="zh-CN"/>
              </w:rPr>
              <w:t>月），（2023年新成立的公司不提供）；</w:t>
            </w:r>
          </w:p>
        </w:tc>
        <w:tc>
          <w:tcPr>
            <w:tcW w:w="520"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497"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11"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2685" w:type="pct"/>
            <w:tcBorders>
              <w:top w:val="single" w:color="000000" w:sz="4" w:space="0"/>
              <w:left w:val="single" w:color="000000" w:sz="4" w:space="0"/>
              <w:bottom w:val="single" w:color="000000" w:sz="4" w:space="0"/>
              <w:right w:val="nil"/>
            </w:tcBorders>
            <w:noWrap w:val="0"/>
            <w:vAlign w:val="center"/>
          </w:tcPr>
          <w:p>
            <w:pPr>
              <w:autoSpaceDN w:val="0"/>
              <w:jc w:val="left"/>
              <w:textAlignment w:val="center"/>
              <w:rPr>
                <w:rFonts w:hint="eastAsia" w:ascii="宋体" w:hAnsi="宋体" w:eastAsia="宋体" w:cs="宋体"/>
                <w:color w:val="auto"/>
                <w:sz w:val="24"/>
                <w:lang w:eastAsia="zh-CN"/>
              </w:rPr>
            </w:pPr>
            <w:r>
              <w:rPr>
                <w:rFonts w:hint="eastAsia" w:ascii="宋体" w:hAnsi="宋体" w:cs="宋体"/>
                <w:color w:val="auto"/>
                <w:sz w:val="24"/>
              </w:rPr>
              <w:t>是否</w:t>
            </w:r>
            <w:r>
              <w:rPr>
                <w:rFonts w:hint="eastAsia" w:ascii="宋体" w:hAnsi="宋体" w:eastAsia="宋体" w:cs="宋体"/>
                <w:color w:val="auto"/>
                <w:sz w:val="24"/>
                <w:szCs w:val="24"/>
                <w:lang w:val="en-US" w:eastAsia="zh-CN"/>
              </w:rPr>
              <w:t>提供提供《三年内无重大违法承诺书》</w:t>
            </w:r>
          </w:p>
        </w:tc>
        <w:tc>
          <w:tcPr>
            <w:tcW w:w="520"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497"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11"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6</w:t>
            </w:r>
          </w:p>
        </w:tc>
        <w:tc>
          <w:tcPr>
            <w:tcW w:w="2685" w:type="pct"/>
            <w:tcBorders>
              <w:top w:val="single" w:color="000000" w:sz="4" w:space="0"/>
              <w:left w:val="single" w:color="000000" w:sz="4" w:space="0"/>
              <w:bottom w:val="single" w:color="000000" w:sz="4" w:space="0"/>
              <w:right w:val="nil"/>
            </w:tcBorders>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lang w:eastAsia="zh-CN"/>
              </w:rPr>
              <w:t>提供“信用中国”网站 (www.creditchina.gov.cn）中国政府采购网 (www.ccgp.gov.cn）、国家企业信用信息公示系统(http://www.gsxt.gov.cn)等列入失信被执行人、重大税收违法案件当事人名单、政府采购严重违法失信行为记录名单的（至本项目开始报名之时起，经查询尚在处罚期内的）</w:t>
            </w:r>
            <w:r>
              <w:rPr>
                <w:rFonts w:hint="eastAsia" w:ascii="宋体" w:hAnsi="宋体" w:cs="宋体"/>
                <w:color w:val="auto"/>
                <w:sz w:val="24"/>
                <w:lang w:val="en-US" w:eastAsia="zh-CN"/>
              </w:rPr>
              <w:t>截图</w:t>
            </w:r>
            <w:r>
              <w:rPr>
                <w:rFonts w:hint="eastAsia" w:ascii="宋体" w:hAnsi="宋体" w:cs="宋体"/>
                <w:color w:val="auto"/>
                <w:sz w:val="24"/>
                <w:lang w:eastAsia="zh-CN"/>
              </w:rPr>
              <w:t>；</w:t>
            </w:r>
          </w:p>
        </w:tc>
        <w:tc>
          <w:tcPr>
            <w:tcW w:w="520"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497"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411" w:hRule="atLeast"/>
        </w:trPr>
        <w:tc>
          <w:tcPr>
            <w:tcW w:w="256"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w:t>
            </w:r>
          </w:p>
        </w:tc>
        <w:tc>
          <w:tcPr>
            <w:tcW w:w="2685" w:type="pct"/>
            <w:tcBorders>
              <w:top w:val="single" w:color="000000" w:sz="4" w:space="0"/>
              <w:left w:val="single" w:color="000000" w:sz="4" w:space="0"/>
              <w:bottom w:val="single" w:color="000000" w:sz="4" w:space="0"/>
              <w:right w:val="nil"/>
            </w:tcBorders>
            <w:noWrap w:val="0"/>
            <w:vAlign w:val="center"/>
          </w:tcPr>
          <w:p>
            <w:pPr>
              <w:autoSpaceDN w:val="0"/>
              <w:jc w:val="left"/>
              <w:textAlignment w:val="center"/>
              <w:rPr>
                <w:rFonts w:hint="default" w:ascii="宋体" w:hAnsi="宋体" w:eastAsia="宋体" w:cs="宋体"/>
                <w:color w:val="auto"/>
                <w:sz w:val="24"/>
                <w:szCs w:val="24"/>
                <w:lang w:val="en-US" w:eastAsia="zh-CN"/>
              </w:rPr>
            </w:pPr>
            <w:r>
              <w:rPr>
                <w:rFonts w:hint="eastAsia" w:ascii="宋体" w:hAnsi="宋体" w:cs="宋体"/>
                <w:color w:val="auto"/>
                <w:sz w:val="24"/>
              </w:rPr>
              <w:t>是否</w:t>
            </w:r>
            <w:r>
              <w:rPr>
                <w:rFonts w:hint="eastAsia" w:ascii="宋体" w:hAnsi="宋体" w:eastAsia="宋体" w:cs="宋体"/>
                <w:color w:val="auto"/>
                <w:sz w:val="24"/>
                <w:szCs w:val="24"/>
                <w:lang w:val="en-US" w:eastAsia="zh-CN"/>
              </w:rPr>
              <w:t>提供提供保证金缴纳凭证</w:t>
            </w:r>
            <w:r>
              <w:rPr>
                <w:rFonts w:hint="eastAsia" w:ascii="宋体" w:hAnsi="宋体" w:cs="宋体"/>
                <w:color w:val="auto"/>
                <w:sz w:val="24"/>
                <w:szCs w:val="24"/>
                <w:lang w:val="en-US" w:eastAsia="zh-CN"/>
              </w:rPr>
              <w:t>。</w:t>
            </w:r>
          </w:p>
        </w:tc>
        <w:tc>
          <w:tcPr>
            <w:tcW w:w="520"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497" w:type="pct"/>
            <w:tcBorders>
              <w:top w:val="single" w:color="000000" w:sz="4" w:space="0"/>
              <w:left w:val="single" w:color="000000" w:sz="4" w:space="0"/>
              <w:bottom w:val="single" w:color="000000" w:sz="4" w:space="0"/>
              <w:right w:val="nil"/>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 w:val="24"/>
              </w:rPr>
            </w:pPr>
          </w:p>
        </w:tc>
      </w:tr>
      <w:tr>
        <w:tblPrEx>
          <w:tblCellMar>
            <w:top w:w="0" w:type="dxa"/>
            <w:left w:w="15" w:type="dxa"/>
            <w:bottom w:w="0" w:type="dxa"/>
            <w:right w:w="15" w:type="dxa"/>
          </w:tblCellMar>
        </w:tblPrEx>
        <w:trPr>
          <w:trHeight w:val="344" w:hRule="atLeast"/>
        </w:trPr>
        <w:tc>
          <w:tcPr>
            <w:tcW w:w="2941" w:type="pct"/>
            <w:gridSpan w:val="2"/>
            <w:tcBorders>
              <w:top w:val="single" w:color="000000" w:sz="4" w:space="0"/>
              <w:left w:val="single" w:color="000000" w:sz="4" w:space="0"/>
              <w:bottom w:val="nil"/>
              <w:right w:val="single" w:color="000000" w:sz="4" w:space="0"/>
            </w:tcBorders>
            <w:noWrap w:val="0"/>
            <w:vAlign w:val="center"/>
          </w:tcPr>
          <w:p>
            <w:pPr>
              <w:autoSpaceDN w:val="0"/>
              <w:jc w:val="left"/>
              <w:textAlignment w:val="center"/>
              <w:rPr>
                <w:rFonts w:hint="eastAsia" w:ascii="宋体" w:hAnsi="宋体" w:eastAsia="宋体" w:cs="宋体"/>
                <w:color w:val="auto"/>
                <w:sz w:val="24"/>
              </w:rPr>
            </w:pPr>
            <w:r>
              <w:rPr>
                <w:rFonts w:hint="eastAsia" w:ascii="宋体" w:hAnsi="宋体" w:eastAsia="宋体" w:cs="宋体"/>
                <w:color w:val="auto"/>
                <w:sz w:val="24"/>
              </w:rPr>
              <w:t>评审结果</w:t>
            </w:r>
          </w:p>
        </w:tc>
        <w:tc>
          <w:tcPr>
            <w:tcW w:w="520" w:type="pct"/>
            <w:tcBorders>
              <w:top w:val="single" w:color="000000" w:sz="4" w:space="0"/>
              <w:left w:val="single" w:color="000000" w:sz="4" w:space="0"/>
              <w:bottom w:val="nil"/>
              <w:right w:val="single" w:color="000000" w:sz="4" w:space="0"/>
            </w:tcBorders>
            <w:noWrap w:val="0"/>
            <w:vAlign w:val="center"/>
          </w:tcPr>
          <w:p>
            <w:pPr>
              <w:autoSpaceDN w:val="0"/>
              <w:jc w:val="left"/>
              <w:textAlignment w:val="center"/>
              <w:rPr>
                <w:rFonts w:hint="eastAsia" w:ascii="宋体" w:hAnsi="宋体" w:eastAsia="宋体" w:cs="宋体"/>
                <w:color w:val="auto"/>
                <w:sz w:val="24"/>
              </w:rPr>
            </w:pPr>
          </w:p>
        </w:tc>
        <w:tc>
          <w:tcPr>
            <w:tcW w:w="497" w:type="pct"/>
            <w:tcBorders>
              <w:top w:val="single" w:color="000000" w:sz="4" w:space="0"/>
              <w:left w:val="single" w:color="000000" w:sz="4" w:space="0"/>
              <w:bottom w:val="nil"/>
              <w:right w:val="single" w:color="000000" w:sz="4" w:space="0"/>
            </w:tcBorders>
            <w:noWrap w:val="0"/>
            <w:vAlign w:val="center"/>
          </w:tcPr>
          <w:p>
            <w:pPr>
              <w:autoSpaceDN w:val="0"/>
              <w:jc w:val="left"/>
              <w:textAlignment w:val="center"/>
              <w:rPr>
                <w:rFonts w:hint="eastAsia" w:ascii="宋体" w:hAnsi="宋体" w:eastAsia="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auto"/>
                <w:sz w:val="24"/>
              </w:rPr>
            </w:pP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eastAsia="宋体" w:cs="宋体"/>
                <w:color w:val="auto"/>
                <w:sz w:val="24"/>
              </w:rPr>
            </w:pPr>
          </w:p>
        </w:tc>
      </w:tr>
      <w:tr>
        <w:tblPrEx>
          <w:tblCellMar>
            <w:top w:w="0" w:type="dxa"/>
            <w:left w:w="15" w:type="dxa"/>
            <w:bottom w:w="0" w:type="dxa"/>
            <w:right w:w="15" w:type="dxa"/>
          </w:tblCellMar>
        </w:tblPrEx>
        <w:trPr>
          <w:trHeight w:val="840" w:hRule="atLeast"/>
        </w:trPr>
        <w:tc>
          <w:tcPr>
            <w:tcW w:w="4479" w:type="pct"/>
            <w:gridSpan w:val="5"/>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b/>
                <w:color w:val="auto"/>
                <w:sz w:val="24"/>
              </w:rPr>
            </w:pPr>
            <w:r>
              <w:rPr>
                <w:rFonts w:hint="eastAsia" w:ascii="宋体" w:hAnsi="宋体" w:cs="宋体"/>
                <w:b/>
                <w:color w:val="auto"/>
                <w:sz w:val="24"/>
              </w:rPr>
              <w:t>“√”表示合格；“×”表示不合格，一项不合格为无效投标处，如不合格，请在结果中写明原因。</w:t>
            </w:r>
          </w:p>
        </w:tc>
        <w:tc>
          <w:tcPr>
            <w:tcW w:w="520" w:type="pct"/>
            <w:tcBorders>
              <w:top w:val="single" w:color="000000" w:sz="4" w:space="0"/>
              <w:left w:val="single" w:color="000000" w:sz="4" w:space="0"/>
              <w:bottom w:val="single" w:color="000000" w:sz="4" w:space="0"/>
              <w:right w:val="single" w:color="000000" w:sz="4" w:space="0"/>
            </w:tcBorders>
            <w:noWrap w:val="0"/>
            <w:vAlign w:val="center"/>
          </w:tcPr>
          <w:p>
            <w:pPr>
              <w:autoSpaceDN w:val="0"/>
              <w:jc w:val="left"/>
              <w:textAlignment w:val="center"/>
              <w:rPr>
                <w:rFonts w:hint="eastAsia" w:ascii="宋体" w:hAnsi="宋体" w:cs="宋体"/>
                <w:b/>
                <w:color w:val="auto"/>
                <w:sz w:val="24"/>
              </w:rPr>
            </w:pPr>
          </w:p>
        </w:tc>
      </w:tr>
    </w:tbl>
    <w:p>
      <w:pPr>
        <w:spacing w:line="400" w:lineRule="exact"/>
        <w:ind w:firstLine="474" w:firstLineChars="200"/>
        <w:jc w:val="center"/>
        <w:rPr>
          <w:rFonts w:hint="eastAsia" w:ascii="宋体" w:hAnsi="宋体" w:eastAsia="宋体" w:cs="宋体"/>
          <w:b/>
          <w:color w:val="000000"/>
          <w:spacing w:val="-2"/>
          <w:sz w:val="24"/>
          <w:szCs w:val="24"/>
        </w:rPr>
      </w:pPr>
      <w:r>
        <w:rPr>
          <w:rFonts w:hint="eastAsia" w:ascii="宋体" w:hAnsi="宋体" w:eastAsia="宋体" w:cs="宋体"/>
          <w:b/>
          <w:color w:val="000000"/>
          <w:spacing w:val="-2"/>
          <w:sz w:val="24"/>
          <w:szCs w:val="24"/>
        </w:rPr>
        <w:br w:type="page"/>
      </w:r>
      <w:r>
        <w:rPr>
          <w:rFonts w:hint="eastAsia" w:ascii="宋体" w:hAnsi="宋体" w:eastAsia="宋体" w:cs="宋体"/>
          <w:b/>
          <w:color w:val="000000"/>
          <w:spacing w:val="-2"/>
          <w:sz w:val="24"/>
          <w:szCs w:val="24"/>
        </w:rPr>
        <w:t>2.符合性审查</w:t>
      </w:r>
    </w:p>
    <w:tbl>
      <w:tblPr>
        <w:tblStyle w:val="30"/>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78"/>
        <w:gridCol w:w="6042"/>
        <w:gridCol w:w="709"/>
        <w:gridCol w:w="709"/>
        <w:gridCol w:w="70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noWrap w:val="0"/>
            <w:vAlign w:val="center"/>
          </w:tcPr>
          <w:p>
            <w:pPr>
              <w:jc w:val="center"/>
              <w:rPr>
                <w:rFonts w:hint="eastAsia" w:ascii="宋体" w:hAnsi="宋体" w:cs="宋体"/>
                <w:b/>
                <w:color w:val="auto"/>
                <w:sz w:val="24"/>
              </w:rPr>
            </w:pPr>
            <w:r>
              <w:rPr>
                <w:rFonts w:hint="eastAsia" w:ascii="宋体" w:hAnsi="宋体" w:cs="宋体"/>
                <w:b/>
                <w:color w:val="auto"/>
                <w:sz w:val="24"/>
              </w:rPr>
              <w:t>项目</w:t>
            </w:r>
          </w:p>
        </w:tc>
        <w:tc>
          <w:tcPr>
            <w:tcW w:w="6520" w:type="dxa"/>
            <w:gridSpan w:val="2"/>
            <w:noWrap w:val="0"/>
            <w:vAlign w:val="center"/>
          </w:tcPr>
          <w:p>
            <w:pPr>
              <w:jc w:val="center"/>
              <w:rPr>
                <w:rFonts w:hint="eastAsia" w:ascii="宋体" w:hAnsi="宋体" w:cs="宋体"/>
                <w:b/>
                <w:color w:val="auto"/>
                <w:sz w:val="24"/>
              </w:rPr>
            </w:pPr>
            <w:r>
              <w:rPr>
                <w:rFonts w:hint="eastAsia" w:ascii="宋体" w:hAnsi="宋体" w:cs="宋体"/>
                <w:b/>
                <w:color w:val="auto"/>
                <w:sz w:val="24"/>
              </w:rPr>
              <w:t>评  审  内  容</w:t>
            </w:r>
          </w:p>
        </w:tc>
        <w:tc>
          <w:tcPr>
            <w:tcW w:w="709"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投标人1</w:t>
            </w:r>
          </w:p>
        </w:tc>
        <w:tc>
          <w:tcPr>
            <w:tcW w:w="709"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投标人2</w:t>
            </w:r>
          </w:p>
        </w:tc>
        <w:tc>
          <w:tcPr>
            <w:tcW w:w="709"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投标人3</w:t>
            </w:r>
          </w:p>
        </w:tc>
        <w:tc>
          <w:tcPr>
            <w:tcW w:w="800" w:type="dxa"/>
            <w:noWrap w:val="0"/>
            <w:vAlign w:val="center"/>
          </w:tcPr>
          <w:p>
            <w:pPr>
              <w:jc w:val="center"/>
              <w:rPr>
                <w:rFonts w:hint="eastAsia" w:ascii="宋体" w:hAnsi="宋体" w:cs="宋体"/>
                <w:color w:val="auto"/>
                <w:sz w:val="24"/>
              </w:rPr>
            </w:pPr>
            <w:r>
              <w:rPr>
                <w:rFonts w:hint="eastAsia" w:ascii="宋体" w:hAnsi="宋体" w:cs="宋体"/>
                <w:color w:val="auto"/>
                <w:sz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523" w:type="dxa"/>
            <w:vMerge w:val="restart"/>
            <w:noWrap w:val="0"/>
            <w:vAlign w:val="center"/>
          </w:tcPr>
          <w:p>
            <w:pPr>
              <w:rPr>
                <w:rFonts w:hint="eastAsia" w:ascii="宋体" w:hAnsi="宋体" w:cs="宋体"/>
                <w:color w:val="auto"/>
                <w:sz w:val="24"/>
              </w:rPr>
            </w:pPr>
            <w:r>
              <w:rPr>
                <w:rFonts w:hint="eastAsia" w:ascii="宋体" w:hAnsi="宋体" w:cs="宋体"/>
                <w:color w:val="auto"/>
                <w:sz w:val="24"/>
              </w:rPr>
              <w:t>符合性评审</w:t>
            </w:r>
          </w:p>
        </w:tc>
        <w:tc>
          <w:tcPr>
            <w:tcW w:w="478" w:type="dxa"/>
            <w:noWrap w:val="0"/>
            <w:vAlign w:val="center"/>
          </w:tcPr>
          <w:p>
            <w:pPr>
              <w:autoSpaceDE w:val="0"/>
              <w:autoSpaceDN w:val="0"/>
              <w:spacing w:line="240" w:lineRule="atLeast"/>
              <w:jc w:val="center"/>
              <w:rPr>
                <w:rFonts w:hint="eastAsia" w:ascii="宋体" w:hAnsi="宋体" w:cs="宋体"/>
                <w:color w:val="auto"/>
                <w:sz w:val="24"/>
              </w:rPr>
            </w:pPr>
            <w:r>
              <w:rPr>
                <w:rFonts w:hint="eastAsia" w:ascii="宋体" w:hAnsi="宋体" w:cs="宋体"/>
                <w:color w:val="auto"/>
                <w:sz w:val="24"/>
              </w:rPr>
              <w:t>1</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需要提交的证明文件不全，或者不符合招标文件标明的证明文件要求的；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cs="宋体"/>
                <w:color w:val="auto"/>
                <w:sz w:val="24"/>
              </w:rPr>
            </w:pPr>
            <w:r>
              <w:rPr>
                <w:rFonts w:hint="eastAsia" w:ascii="宋体" w:hAnsi="宋体" w:cs="宋体"/>
                <w:color w:val="auto"/>
                <w:sz w:val="24"/>
              </w:rPr>
              <w:t>2</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投标文件无法定代表人签字,或未提供法定代表人授权委托书、资格声明书或者填写项目不齐全的；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widowControl/>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投标文件不齐全或者内容虚假的；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投标文件的实质性内容未使用中文表述、意思表述不明确、前后矛盾或者使用计量单位不符合招标文件要求的；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投标人是否提服务方案，向用户提供满意的技术支持及服务；</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投标报价是否不高于采购预算额度；</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7</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投标报价具有选择性，或者开标价格与投标文件承诺的优惠（折扣）价格不一致的；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投标有效期等相关条款不能满足招标文件要求的；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vMerge w:val="continue"/>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9</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未实质性响应招标文件要求或者投标文件有招标方不能接受的附加条件的或法律、法规和招标文件规定的其他无效情形；</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523" w:type="dxa"/>
            <w:noWrap w:val="0"/>
            <w:vAlign w:val="center"/>
          </w:tcPr>
          <w:p>
            <w:pPr>
              <w:rPr>
                <w:rFonts w:hint="eastAsia" w:ascii="宋体" w:hAnsi="宋体" w:cs="宋体"/>
                <w:color w:val="auto"/>
                <w:sz w:val="24"/>
              </w:rPr>
            </w:pPr>
          </w:p>
        </w:tc>
        <w:tc>
          <w:tcPr>
            <w:tcW w:w="478" w:type="dxa"/>
            <w:noWrap w:val="0"/>
            <w:vAlign w:val="center"/>
          </w:tcPr>
          <w:p>
            <w:pPr>
              <w:autoSpaceDE w:val="0"/>
              <w:autoSpaceDN w:val="0"/>
              <w:spacing w:line="240" w:lineRule="atLeas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0</w:t>
            </w:r>
          </w:p>
        </w:tc>
        <w:tc>
          <w:tcPr>
            <w:tcW w:w="6042" w:type="dxa"/>
            <w:noWrap w:val="0"/>
            <w:vAlign w:val="center"/>
          </w:tcPr>
          <w:p>
            <w:pPr>
              <w:autoSpaceDN w:val="0"/>
              <w:jc w:val="left"/>
              <w:textAlignment w:val="center"/>
              <w:rPr>
                <w:rFonts w:hint="eastAsia" w:ascii="宋体" w:hAnsi="宋体" w:cs="宋体"/>
                <w:color w:val="auto"/>
                <w:sz w:val="24"/>
              </w:rPr>
            </w:pPr>
            <w:r>
              <w:rPr>
                <w:rFonts w:hint="eastAsia" w:ascii="宋体" w:hAnsi="宋体" w:cs="宋体"/>
                <w:color w:val="auto"/>
                <w:sz w:val="24"/>
              </w:rPr>
              <w:t>投标文件标明的响应或偏离与事实不符或伪造证明文件等虚假投标的。</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43" w:type="dxa"/>
            <w:gridSpan w:val="3"/>
            <w:noWrap w:val="0"/>
            <w:vAlign w:val="center"/>
          </w:tcPr>
          <w:p>
            <w:pPr>
              <w:jc w:val="center"/>
              <w:rPr>
                <w:rFonts w:hint="eastAsia" w:ascii="宋体" w:hAnsi="宋体" w:cs="宋体"/>
                <w:color w:val="auto"/>
                <w:sz w:val="24"/>
              </w:rPr>
            </w:pPr>
            <w:r>
              <w:rPr>
                <w:rFonts w:hint="eastAsia" w:ascii="宋体" w:hAnsi="宋体" w:cs="宋体"/>
                <w:color w:val="auto"/>
                <w:sz w:val="24"/>
              </w:rPr>
              <w:t>结论：合格/不合格</w:t>
            </w: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709" w:type="dxa"/>
            <w:noWrap w:val="0"/>
            <w:vAlign w:val="center"/>
          </w:tcPr>
          <w:p>
            <w:pPr>
              <w:rPr>
                <w:rFonts w:hint="eastAsia" w:ascii="宋体" w:hAnsi="宋体" w:cs="宋体"/>
                <w:color w:val="auto"/>
                <w:sz w:val="24"/>
              </w:rPr>
            </w:pPr>
          </w:p>
        </w:tc>
        <w:tc>
          <w:tcPr>
            <w:tcW w:w="800" w:type="dxa"/>
            <w:noWrap w:val="0"/>
            <w:vAlign w:val="center"/>
          </w:tcPr>
          <w:p>
            <w:pP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970" w:type="dxa"/>
            <w:gridSpan w:val="7"/>
            <w:noWrap w:val="0"/>
            <w:vAlign w:val="center"/>
          </w:tcPr>
          <w:p>
            <w:pPr>
              <w:rPr>
                <w:rFonts w:hint="eastAsia" w:ascii="宋体" w:hAnsi="宋体" w:cs="宋体"/>
                <w:b/>
                <w:color w:val="auto"/>
                <w:sz w:val="24"/>
              </w:rPr>
            </w:pPr>
            <w:r>
              <w:rPr>
                <w:rFonts w:hint="eastAsia" w:ascii="宋体" w:hAnsi="宋体" w:cs="宋体"/>
                <w:b/>
                <w:color w:val="auto"/>
                <w:sz w:val="24"/>
              </w:rPr>
              <w:t>评标委员会成员签名：</w:t>
            </w:r>
          </w:p>
          <w:p>
            <w:pPr>
              <w:jc w:val="right"/>
              <w:rPr>
                <w:rFonts w:hint="eastAsia" w:ascii="宋体" w:hAnsi="宋体" w:cs="宋体"/>
                <w:color w:val="auto"/>
                <w:sz w:val="24"/>
              </w:rPr>
            </w:pPr>
            <w:r>
              <w:rPr>
                <w:rFonts w:hint="eastAsia" w:ascii="宋体" w:hAnsi="宋体" w:cs="宋体"/>
                <w:b/>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9970" w:type="dxa"/>
            <w:gridSpan w:val="7"/>
            <w:noWrap w:val="0"/>
            <w:vAlign w:val="center"/>
          </w:tcPr>
          <w:p>
            <w:pPr>
              <w:rPr>
                <w:rFonts w:hint="eastAsia" w:ascii="宋体" w:hAnsi="宋体" w:cs="宋体"/>
                <w:b/>
                <w:color w:val="auto"/>
                <w:sz w:val="24"/>
              </w:rPr>
            </w:pPr>
            <w:r>
              <w:rPr>
                <w:rFonts w:hint="eastAsia" w:ascii="宋体" w:hAnsi="宋体" w:cs="宋体"/>
                <w:color w:val="auto"/>
                <w:sz w:val="24"/>
              </w:rPr>
              <w:t>备注：如果投标文件中有一项未通过上述审查标准，评标委员会将认定整个投标文件不响应招标文件而予以废标，并且不允许投标人通过修改或撤销其不符合要求的差异或保留，使之成为具有响应性的投标。</w:t>
            </w:r>
          </w:p>
        </w:tc>
      </w:tr>
    </w:tbl>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2、在技术评议时，如发现下列情形之一的，竞争性磋商文件将被视为无效投标：</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（1）未提供或未如实提供投标货物的技术参数，或者竞争性磋商文件标明的响应或偏离与事实不符或虚假投标的；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（2）投标技术方案不明确，存在一个或一个以上备选（替代）投标方案且未注明哪个有效的。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3、在报价评议时，如发现下列情形之一的，竞争性磋商文件将被视为无效投标：</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（1）未采用人民币报价或者未按照竞争性磋商文件标明的币种报价的；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（2）投标商报价明显高于市场平均价的；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★4、符合竞争性磋商文件明确规定的其他无效投标条款的。</w:t>
      </w:r>
    </w:p>
    <w:p>
      <w:pPr>
        <w:spacing w:line="360" w:lineRule="auto"/>
        <w:jc w:val="center"/>
        <w:rPr>
          <w:rFonts w:ascii="仿宋" w:hAnsi="仿宋" w:eastAsia="仿宋" w:cs="仿宋"/>
          <w:b/>
          <w:color w:val="000000"/>
          <w:sz w:val="28"/>
          <w:szCs w:val="28"/>
          <w:highlight w:val="none"/>
          <w:shd w:val="clear" w:color="auto" w:fill="FFFFFF"/>
        </w:rPr>
      </w:pPr>
      <w:bookmarkStart w:id="50" w:name="_Toc177870553"/>
      <w:r>
        <w:rPr>
          <w:rFonts w:hint="eastAsia" w:ascii="仿宋" w:hAnsi="仿宋" w:eastAsia="仿宋" w:cs="仿宋"/>
          <w:b/>
          <w:color w:val="000000"/>
          <w:sz w:val="28"/>
          <w:szCs w:val="28"/>
          <w:highlight w:val="none"/>
          <w:shd w:val="clear" w:color="auto" w:fill="FFFFFF"/>
        </w:rPr>
        <w:t>四、开标</w:t>
      </w:r>
      <w:bookmarkEnd w:id="50"/>
    </w:p>
    <w:p>
      <w:pPr>
        <w:spacing w:line="360" w:lineRule="auto"/>
        <w:ind w:firstLine="562" w:firstLineChars="2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（一）开标准备</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★招标代理机构将在规定的时间和地点进行开标，投标人无需到场。</w:t>
      </w:r>
    </w:p>
    <w:p>
      <w:pPr>
        <w:spacing w:line="360" w:lineRule="auto"/>
        <w:ind w:firstLine="560" w:firstLineChars="200"/>
        <w:rPr>
          <w:rFonts w:ascii="仿宋" w:hAnsi="仿宋" w:eastAsia="仿宋" w:cs="仿宋"/>
          <w:color w:val="000000"/>
          <w:sz w:val="28"/>
          <w:szCs w:val="28"/>
          <w:highlight w:val="none"/>
          <w:shd w:val="clear" w:color="auto" w:fill="FFFFFF"/>
          <w:lang w:val="zh-CN"/>
        </w:rPr>
      </w:pPr>
      <w:bookmarkStart w:id="51" w:name="_Toc177870554"/>
      <w:r>
        <w:rPr>
          <w:rFonts w:hint="eastAsia" w:ascii="仿宋" w:hAnsi="仿宋" w:eastAsia="仿宋" w:cs="仿宋"/>
          <w:color w:val="000000"/>
          <w:sz w:val="28"/>
          <w:szCs w:val="28"/>
          <w:highlight w:val="none"/>
          <w:shd w:val="clear" w:color="auto" w:fill="FFFFFF"/>
          <w:lang w:val="zh-CN"/>
        </w:rPr>
        <w:t>为了体现投标人的合法权益，和确保评标工作的公平、公正，投标人如果认为参加评标的评标委员会成员及其他与会人员与其他投标供应商有利害关系的，有权在开标现场以举手示意的方式向招标方申请其回避。如现场不提请招标方申请其回避的，则视同无利害关系。</w:t>
      </w:r>
    </w:p>
    <w:p>
      <w:pPr>
        <w:spacing w:line="360" w:lineRule="auto"/>
        <w:ind w:firstLine="560" w:firstLineChars="200"/>
        <w:rPr>
          <w:rFonts w:ascii="仿宋" w:hAnsi="仿宋" w:eastAsia="仿宋" w:cs="仿宋"/>
          <w:sz w:val="24"/>
          <w:highlight w:val="none"/>
          <w:lang w:val="zh-CN"/>
        </w:rPr>
      </w:pPr>
      <w:r>
        <w:rPr>
          <w:rFonts w:hint="eastAsia" w:ascii="仿宋" w:hAnsi="仿宋" w:eastAsia="仿宋" w:cs="仿宋"/>
          <w:color w:val="000000"/>
          <w:sz w:val="28"/>
          <w:szCs w:val="28"/>
          <w:highlight w:val="none"/>
          <w:shd w:val="clear" w:color="auto" w:fill="FFFFFF"/>
          <w:lang w:val="zh-CN"/>
        </w:rPr>
        <w:t>按照上述会议通过事项，所有参加投标的供应商如事后发生上述原因的质疑或投诉事项，新疆浩诚致远项目管理咨询有限公司将不予采信。</w:t>
      </w:r>
    </w:p>
    <w:p>
      <w:pPr>
        <w:spacing w:line="360" w:lineRule="auto"/>
        <w:ind w:firstLine="472" w:firstLineChars="196"/>
        <w:rPr>
          <w:rFonts w:ascii="仿宋" w:hAnsi="仿宋" w:eastAsia="仿宋" w:cs="仿宋"/>
          <w:b/>
          <w:bCs/>
          <w:sz w:val="24"/>
          <w:highlight w:val="none"/>
        </w:rPr>
      </w:pPr>
      <w:r>
        <w:rPr>
          <w:rFonts w:hint="eastAsia" w:ascii="仿宋" w:hAnsi="仿宋" w:eastAsia="仿宋" w:cs="仿宋"/>
          <w:b/>
          <w:bCs/>
          <w:sz w:val="24"/>
          <w:highlight w:val="none"/>
        </w:rPr>
        <w:t>投标登记确认的审查</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由招标方以书面方式，对按招标文件规定的开标时间准时参加的供应商的投标登记确认情况，进行现场审查通报。凡按规定时间前进行了投标登记确认的，其投标被接受。否则，其投标将直接被拒绝。</w:t>
      </w:r>
    </w:p>
    <w:p>
      <w:pPr>
        <w:spacing w:line="360" w:lineRule="auto"/>
        <w:ind w:firstLine="560" w:firstLineChars="200"/>
        <w:rPr>
          <w:rFonts w:ascii="仿宋" w:hAnsi="仿宋" w:eastAsia="仿宋" w:cs="仿宋"/>
          <w:sz w:val="24"/>
          <w:szCs w:val="24"/>
          <w:highlight w:val="none"/>
          <w:lang w:val="zh-CN"/>
        </w:rPr>
      </w:pPr>
      <w:r>
        <w:rPr>
          <w:rFonts w:hint="eastAsia" w:ascii="仿宋" w:hAnsi="仿宋" w:eastAsia="仿宋" w:cs="仿宋"/>
          <w:color w:val="000000"/>
          <w:sz w:val="28"/>
          <w:szCs w:val="28"/>
          <w:highlight w:val="none"/>
          <w:shd w:val="clear" w:color="auto" w:fill="FFFFFF"/>
          <w:lang w:val="zh-CN"/>
        </w:rPr>
        <w:t>通报后，在招标文件及程序符合法律规定的前提下，对招标文件做出实质性响应的供应商不足三家时，招标方应中止谈判，重新组织采购。</w:t>
      </w:r>
    </w:p>
    <w:p>
      <w:pPr>
        <w:spacing w:line="360" w:lineRule="auto"/>
        <w:ind w:firstLine="472" w:firstLineChars="196"/>
        <w:rPr>
          <w:rFonts w:ascii="仿宋" w:hAnsi="仿宋" w:eastAsia="仿宋" w:cs="仿宋"/>
          <w:b/>
          <w:bCs/>
          <w:sz w:val="24"/>
          <w:highlight w:val="none"/>
        </w:rPr>
      </w:pPr>
      <w:r>
        <w:rPr>
          <w:rFonts w:hint="eastAsia" w:ascii="仿宋" w:hAnsi="仿宋" w:eastAsia="仿宋" w:cs="仿宋"/>
          <w:b/>
          <w:bCs/>
          <w:sz w:val="24"/>
          <w:highlight w:val="none"/>
        </w:rPr>
        <w:t>投标供应商资格资质审查</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各投标供应商的资格资质审查，现场不接受二次提供涉及的投标资料，且现场不允许与外界有任何方式的联系和沟通。</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依据招标文件规定，对磋商供应商提交的响应文件相关资质资格等证照和投保保证金缴纳情况，完整性、时效性等进行审查，以确定其是否具备磋商资格。如果磋商供应商不具备磋商资格，不满足磋商文件所规定的资格标准或提供资格证明文件不全的，其投标将被直接拒绝，并不得进入具体评标程序。</w:t>
      </w:r>
    </w:p>
    <w:p>
      <w:pPr>
        <w:spacing w:line="360" w:lineRule="auto"/>
        <w:ind w:firstLine="560" w:firstLineChars="200"/>
        <w:rPr>
          <w:rFonts w:ascii="仿宋" w:hAnsi="仿宋" w:eastAsia="仿宋" w:cs="仿宋"/>
          <w:sz w:val="24"/>
          <w:szCs w:val="24"/>
          <w:highlight w:val="none"/>
        </w:rPr>
      </w:pPr>
      <w:r>
        <w:rPr>
          <w:rFonts w:hint="eastAsia" w:ascii="仿宋" w:hAnsi="仿宋" w:eastAsia="仿宋" w:cs="仿宋"/>
          <w:color w:val="000000"/>
          <w:sz w:val="28"/>
          <w:szCs w:val="28"/>
          <w:highlight w:val="none"/>
          <w:shd w:val="clear" w:color="auto" w:fill="FFFFFF"/>
          <w:lang w:val="zh-CN"/>
        </w:rPr>
        <w:t>资质资格审查合格的供应商不足法定数量时，可以比照相关条款之规定执行。</w:t>
      </w:r>
    </w:p>
    <w:p>
      <w:pPr>
        <w:spacing w:line="36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评标前的意见征求</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严格在招标文件的规定范围内，由招标方现场以书面的方式，征求采购单位代表对本次评标委员会评标时应注意的事项及意见建议，并签字确认。</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由招标方严格按照招标文件的规定范围，核实并提出是否采信的意见并签字确认。</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lang w:val="zh-CN"/>
        </w:rPr>
        <w:t>由招标方将可采信的上述意见建议，现场向评标委员会及成员提出可以予以采纳的决定。反之，则不予采纳。</w:t>
      </w:r>
    </w:p>
    <w:p>
      <w:pPr>
        <w:spacing w:line="360" w:lineRule="auto"/>
        <w:jc w:val="center"/>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五、评标</w:t>
      </w:r>
      <w:bookmarkEnd w:id="51"/>
    </w:p>
    <w:p>
      <w:pPr>
        <w:spacing w:line="360" w:lineRule="auto"/>
        <w:ind w:firstLine="562" w:firstLineChars="2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（一）组建评委磋商小组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1、采购人、</w:t>
      </w:r>
      <w:r>
        <w:rPr>
          <w:rFonts w:hint="eastAsia" w:ascii="仿宋" w:hAnsi="仿宋" w:eastAsia="仿宋" w:cs="仿宋"/>
          <w:color w:val="000000"/>
          <w:sz w:val="28"/>
          <w:szCs w:val="28"/>
          <w:highlight w:val="none"/>
          <w:shd w:val="clear" w:color="auto" w:fill="FFFFFF"/>
          <w:lang w:eastAsia="zh-CN"/>
        </w:rPr>
        <w:t>新疆浩诚致远项目管理咨询有限公司</w:t>
      </w:r>
      <w:r>
        <w:rPr>
          <w:rFonts w:hint="eastAsia" w:ascii="仿宋" w:hAnsi="仿宋" w:eastAsia="仿宋" w:cs="仿宋"/>
          <w:color w:val="000000"/>
          <w:sz w:val="28"/>
          <w:szCs w:val="28"/>
          <w:highlight w:val="none"/>
          <w:shd w:val="clear" w:color="auto" w:fill="FFFFFF"/>
        </w:rPr>
        <w:t>及政采云平台抽取专家组建由</w:t>
      </w:r>
      <w:r>
        <w:rPr>
          <w:rFonts w:hint="eastAsia" w:ascii="仿宋" w:hAnsi="仿宋" w:eastAsia="仿宋" w:cs="仿宋"/>
          <w:color w:val="000000"/>
          <w:sz w:val="28"/>
          <w:szCs w:val="28"/>
          <w:highlight w:val="none"/>
          <w:shd w:val="clear" w:color="auto" w:fill="FFFFFF"/>
          <w:lang w:val="en-US" w:eastAsia="zh-CN"/>
        </w:rPr>
        <w:t>3</w:t>
      </w:r>
      <w:r>
        <w:rPr>
          <w:rFonts w:hint="eastAsia" w:ascii="仿宋" w:hAnsi="仿宋" w:eastAsia="仿宋" w:cs="仿宋"/>
          <w:color w:val="000000"/>
          <w:sz w:val="28"/>
          <w:szCs w:val="28"/>
          <w:highlight w:val="none"/>
          <w:shd w:val="clear" w:color="auto" w:fill="FFFFFF"/>
        </w:rPr>
        <w:t>人以上（含</w:t>
      </w:r>
      <w:r>
        <w:rPr>
          <w:rFonts w:hint="eastAsia" w:ascii="仿宋" w:hAnsi="仿宋" w:eastAsia="仿宋" w:cs="仿宋"/>
          <w:color w:val="000000"/>
          <w:sz w:val="28"/>
          <w:szCs w:val="28"/>
          <w:highlight w:val="none"/>
          <w:shd w:val="clear" w:color="auto" w:fill="FFFFFF"/>
          <w:lang w:val="en-US" w:eastAsia="zh-CN"/>
        </w:rPr>
        <w:t>3</w:t>
      </w:r>
      <w:r>
        <w:rPr>
          <w:rFonts w:hint="eastAsia" w:ascii="仿宋" w:hAnsi="仿宋" w:eastAsia="仿宋" w:cs="仿宋"/>
          <w:color w:val="000000"/>
          <w:sz w:val="28"/>
          <w:szCs w:val="28"/>
          <w:highlight w:val="none"/>
          <w:shd w:val="clear" w:color="auto" w:fill="FFFFFF"/>
        </w:rPr>
        <w:t>人）奇数的人员组成的磋商小组，负责对竞争性磋商文件进行审查、质询、评审和比较等。</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2、磋商小组会负责对响应文件进行评审和比较，并向招标人推荐中标供应商。</w:t>
      </w:r>
    </w:p>
    <w:p>
      <w:pPr>
        <w:spacing w:line="360" w:lineRule="auto"/>
        <w:ind w:firstLine="562" w:firstLineChars="2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（二）竞争性磋商招标程序</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1、根据公开、公平、公正、诚信科学的原则，组织招标采购。</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2、具体工作流程：</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lang w:val="zh-CN"/>
        </w:rPr>
        <w:t>开标会由采代理机构人员主持，开标工作人员至少由主持人、开标人、唱标人、记录人、监督人等组成，工作人员必须按时到场。</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开标在采购文件确定的提交投标文件截止时间的同一时间公开进行，开标地点为采购文件预先确定的地点。</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在采购文件要求提交投标文件的截止时间前收到的所有投标文件，开标时须供应商及时解密投标文件。当投标人少于三家时，则招标失败，采购代理机构将重新招标。</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lang w:val="zh-CN"/>
        </w:rPr>
        <w:t>投标人进入项目即自行签到。</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lang w:val="zh-CN"/>
        </w:rPr>
        <w:t>参与本次采购活动的各个供应商需提前自行配置好硬件设备（电脑、摄像头、麦克风、谷歌浏览器、政采云招投标系统），登录政采云平台做好准备，并确保设备正常。项目到达开标时间，投标人等待代理机构开启解密标书后，投标人进行标书解密。</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3、</w:t>
      </w:r>
      <w:r>
        <w:rPr>
          <w:rFonts w:hint="eastAsia" w:ascii="仿宋" w:hAnsi="仿宋" w:eastAsia="仿宋" w:cs="仿宋"/>
          <w:color w:val="000000"/>
          <w:sz w:val="28"/>
          <w:szCs w:val="28"/>
          <w:highlight w:val="none"/>
          <w:shd w:val="clear" w:color="auto" w:fill="FFFFFF"/>
          <w:lang w:val="zh-CN"/>
        </w:rPr>
        <w:t>在磋商文件确定的投标截止时间停止接受响应文件。</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4、</w:t>
      </w:r>
      <w:r>
        <w:rPr>
          <w:rFonts w:hint="eastAsia" w:ascii="仿宋" w:hAnsi="仿宋" w:eastAsia="仿宋" w:cs="仿宋"/>
          <w:color w:val="000000"/>
          <w:sz w:val="28"/>
          <w:szCs w:val="28"/>
          <w:highlight w:val="none"/>
          <w:shd w:val="clear" w:color="auto" w:fill="FFFFFF"/>
          <w:lang w:val="zh-CN"/>
        </w:rPr>
        <w:t>宣布开标会开始，宣布开标纪律；</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5、开标</w:t>
      </w:r>
      <w:r>
        <w:rPr>
          <w:rFonts w:hint="eastAsia" w:ascii="仿宋" w:hAnsi="仿宋" w:eastAsia="仿宋" w:cs="仿宋"/>
          <w:color w:val="000000"/>
          <w:sz w:val="28"/>
          <w:szCs w:val="28"/>
          <w:highlight w:val="none"/>
          <w:shd w:val="clear" w:color="auto" w:fill="FFFFFF"/>
          <w:lang w:val="zh-CN"/>
        </w:rPr>
        <w:t>主持人介绍参加会议的人员；</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6、</w:t>
      </w:r>
      <w:r>
        <w:rPr>
          <w:rFonts w:hint="eastAsia" w:ascii="仿宋" w:hAnsi="仿宋" w:eastAsia="仿宋" w:cs="仿宋"/>
          <w:color w:val="000000"/>
          <w:sz w:val="28"/>
          <w:szCs w:val="28"/>
          <w:highlight w:val="none"/>
          <w:shd w:val="clear" w:color="auto" w:fill="FFFFFF"/>
          <w:lang w:val="zh-CN"/>
        </w:rPr>
        <w:t>开标时，现场由响应人解密已递交的电子响应文件，由采购代理机构工作人员宣布响应人名称、磋商价格和磋商文件规定的需要宣布的其他内容。投标人不足3家的，不得开标。</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7、</w:t>
      </w:r>
      <w:r>
        <w:rPr>
          <w:rFonts w:hint="eastAsia" w:ascii="仿宋" w:hAnsi="仿宋" w:eastAsia="仿宋" w:cs="仿宋"/>
          <w:color w:val="000000"/>
          <w:sz w:val="28"/>
          <w:szCs w:val="28"/>
          <w:highlight w:val="none"/>
          <w:shd w:val="clear" w:color="auto" w:fill="FFFFFF"/>
          <w:lang w:val="zh-CN"/>
        </w:rPr>
        <w:t>开标主持人开启报价文件，宣布投标文件中的投标报价、交货期等内容。</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8、</w:t>
      </w:r>
      <w:r>
        <w:rPr>
          <w:rFonts w:hint="eastAsia" w:ascii="仿宋" w:hAnsi="仿宋" w:eastAsia="仿宋" w:cs="仿宋"/>
          <w:color w:val="000000"/>
          <w:sz w:val="28"/>
          <w:szCs w:val="28"/>
          <w:highlight w:val="none"/>
          <w:shd w:val="clear" w:color="auto" w:fill="FFFFFF"/>
          <w:lang w:val="zh-CN"/>
        </w:rPr>
        <w:t>投标文件对开标报价记录表确认无误后再由代理机构开启报价签字时段，磋商供应商在开启规定时间内内进行CA签字确认，各参加磋商供应商完成签字确认后关闭报价签字确认，投标人在此期间未进行CA签字确认的视为默认此报价。</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9、</w:t>
      </w:r>
      <w:r>
        <w:rPr>
          <w:rFonts w:hint="eastAsia" w:ascii="仿宋" w:hAnsi="仿宋" w:eastAsia="仿宋" w:cs="仿宋"/>
          <w:color w:val="000000"/>
          <w:sz w:val="28"/>
          <w:szCs w:val="28"/>
          <w:highlight w:val="none"/>
          <w:shd w:val="clear" w:color="auto" w:fill="FFFFFF"/>
          <w:lang w:val="zh-CN"/>
        </w:rPr>
        <w:t>进入评标阶段。</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10、</w:t>
      </w:r>
      <w:r>
        <w:rPr>
          <w:rFonts w:hint="eastAsia" w:ascii="仿宋" w:hAnsi="仿宋" w:eastAsia="仿宋" w:cs="仿宋"/>
          <w:color w:val="000000"/>
          <w:sz w:val="28"/>
          <w:szCs w:val="28"/>
          <w:highlight w:val="none"/>
          <w:shd w:val="clear" w:color="auto" w:fill="FFFFFF"/>
          <w:lang w:val="zh-CN"/>
        </w:rPr>
        <w:t>评标全程如有专家提出疑问并要求视频联线供应商要求对投标文件内容进行澄清或答疑时，供应商需随时在线上等候评审专家提问并回答相应问题，此过程若供应商未及时接受联线则自行承担相应后果。</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11、</w:t>
      </w:r>
      <w:r>
        <w:rPr>
          <w:rFonts w:hint="eastAsia" w:ascii="仿宋" w:hAnsi="仿宋" w:eastAsia="仿宋" w:cs="仿宋"/>
          <w:color w:val="000000"/>
          <w:sz w:val="28"/>
          <w:szCs w:val="28"/>
          <w:highlight w:val="none"/>
          <w:shd w:val="clear" w:color="auto" w:fill="FFFFFF"/>
          <w:lang w:val="zh-CN"/>
        </w:rPr>
        <w:t>采购代理机构汇总出投标人最终得分。</w:t>
      </w:r>
    </w:p>
    <w:p>
      <w:pPr>
        <w:spacing w:line="360" w:lineRule="auto"/>
        <w:ind w:firstLine="560" w:firstLineChars="200"/>
        <w:rPr>
          <w:rFonts w:ascii="仿宋" w:hAnsi="仿宋" w:eastAsia="仿宋" w:cs="仿宋"/>
          <w:color w:val="000000"/>
          <w:sz w:val="28"/>
          <w:szCs w:val="28"/>
          <w:highlight w:val="none"/>
          <w:shd w:val="clear" w:color="auto" w:fill="FFFFFF"/>
          <w:lang w:val="zh-CN"/>
        </w:rPr>
      </w:pPr>
      <w:r>
        <w:rPr>
          <w:rFonts w:hint="eastAsia" w:ascii="仿宋" w:hAnsi="仿宋" w:eastAsia="仿宋" w:cs="仿宋"/>
          <w:color w:val="000000"/>
          <w:sz w:val="28"/>
          <w:szCs w:val="28"/>
          <w:highlight w:val="none"/>
          <w:shd w:val="clear" w:color="auto" w:fill="FFFFFF"/>
        </w:rPr>
        <w:t>12、</w:t>
      </w:r>
      <w:r>
        <w:rPr>
          <w:rFonts w:hint="eastAsia" w:ascii="仿宋" w:hAnsi="仿宋" w:eastAsia="仿宋" w:cs="仿宋"/>
          <w:color w:val="000000"/>
          <w:sz w:val="28"/>
          <w:szCs w:val="28"/>
          <w:highlight w:val="none"/>
          <w:shd w:val="clear" w:color="auto" w:fill="FFFFFF"/>
          <w:lang w:val="zh-CN"/>
        </w:rPr>
        <w:t>采购代理机构宣布各投标人最终得分并按有关条款宣布中标</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13、</w:t>
      </w:r>
      <w:r>
        <w:rPr>
          <w:rFonts w:hint="eastAsia" w:ascii="仿宋" w:hAnsi="仿宋" w:eastAsia="仿宋" w:cs="仿宋"/>
          <w:color w:val="000000"/>
          <w:sz w:val="28"/>
          <w:szCs w:val="28"/>
          <w:highlight w:val="none"/>
          <w:shd w:val="clear" w:color="auto" w:fill="FFFFFF"/>
          <w:lang w:val="zh-CN"/>
        </w:rPr>
        <w:t>开标结束（招标代理机构对上述开标过程做好记录，存档备查）。</w:t>
      </w:r>
    </w:p>
    <w:p>
      <w:pPr>
        <w:spacing w:line="360" w:lineRule="auto"/>
        <w:ind w:firstLine="562" w:firstLineChars="2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（三）错误修正</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竞争性磋商文件如果出现计算或表达上的错误，修正错误的原则如下：</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1、响应文件的大写金额和小写金额不一致的，以大写金额为准；</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2、总价金额与按单价汇总金额不一致的，以单价金额计算结果为准；</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3、对不同文字文本响应文件的解释发生异议的，以中文文本为准；</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4、按上述修正错误的原则及方法调整或修正响应文件的投标报价，投标人同意后，调整后的投标报价对投标人起约束作用。如果投标人不接受修正后的报价，则其投标将被拒绝。</w:t>
      </w:r>
    </w:p>
    <w:p>
      <w:pPr>
        <w:spacing w:line="360" w:lineRule="auto"/>
        <w:ind w:firstLine="562" w:firstLineChars="200"/>
        <w:rPr>
          <w:rFonts w:ascii="仿宋" w:hAnsi="仿宋" w:eastAsia="仿宋" w:cs="仿宋"/>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(四)有下列情形之一的，其投标作为废标处理</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1、应有法人代表或授权代表签署意见的文件、证明等，未经本人签署的；应加盖公章的证照、函件，而未加盖公章的；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2、不具备竞争性磋商文件中规定资格要求的；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3、竞争性磋商文件的内容不详实或有虚假的；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4、竞争性磋商文件中明确要求的事项，而响应文件中未做出响应或做出错误响应的；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5、投标人的组织实施方案、技术支持和服务承诺与竞争性磋商文件要求有较大偏差的；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6、提供服务、技术要求与竞争性磋商文件所要求的有较大偏差的；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7、超出竞争性磋商文件要求的服务(完工)时间的；</w:t>
      </w:r>
    </w:p>
    <w:p>
      <w:pPr>
        <w:spacing w:line="360" w:lineRule="auto"/>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8、投标单位提供的承诺不明晰的；</w:t>
      </w:r>
    </w:p>
    <w:p>
      <w:pPr>
        <w:spacing w:line="360" w:lineRule="auto"/>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w:t>
      </w:r>
      <w:r>
        <w:rPr>
          <w:rFonts w:hint="eastAsia" w:ascii="仿宋" w:hAnsi="仿宋" w:eastAsia="仿宋" w:cs="仿宋"/>
          <w:color w:val="000000"/>
          <w:sz w:val="28"/>
          <w:szCs w:val="28"/>
          <w:highlight w:val="none"/>
          <w:shd w:val="clear" w:color="auto" w:fill="FFFFFF"/>
        </w:rPr>
        <w:t>竞争性磋商文件</w:t>
      </w:r>
      <w:r>
        <w:rPr>
          <w:rFonts w:hint="eastAsia" w:ascii="仿宋" w:hAnsi="仿宋" w:eastAsia="仿宋" w:cs="仿宋"/>
          <w:sz w:val="28"/>
          <w:szCs w:val="28"/>
          <w:highlight w:val="none"/>
          <w:shd w:val="clear" w:color="auto" w:fill="FFFFFF"/>
        </w:rPr>
        <w:t>前后表述相互矛盾的；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10、竞争性磋商文件中附有招标人不能接受条件的；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11、投标价格超过预算采购单位无力支付的；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12、投标人有不良记录的；</w:t>
      </w:r>
    </w:p>
    <w:p>
      <w:pPr>
        <w:spacing w:line="360" w:lineRule="auto"/>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13、所有投标商报价明显高于市场平均价的；</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14、不符合法律、法规和竞争性磋商文件中规定的其他实质性要求的。</w:t>
      </w:r>
    </w:p>
    <w:p>
      <w:pPr>
        <w:spacing w:line="360" w:lineRule="auto"/>
        <w:ind w:firstLine="562" w:firstLineChars="2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（五）响应文件的评价与比较</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1、评审小组只对实质上竞争性磋商文件要求的响应文件进行综合评价和比较。</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2、评标时除价格因素外应考虑下列因素：</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（1）投标人的整体技术水平、性能、质量和适应性；</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（2）投标人服务能力和服务时间；</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（3）投标人的技术支持能力和各种服务（含售后服务）能力;</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（4）对竞争性磋商文件中付款条件的响应性；</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（5）投标人的业绩情况；</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（6）投标人的综合实力和信誉;</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（7）投标人是</w:t>
      </w:r>
      <w:r>
        <w:rPr>
          <w:rFonts w:hint="eastAsia" w:ascii="仿宋" w:hAnsi="仿宋" w:eastAsia="仿宋" w:cs="仿宋"/>
          <w:b w:val="0"/>
          <w:bCs w:val="0"/>
          <w:color w:val="000000"/>
          <w:sz w:val="28"/>
          <w:szCs w:val="28"/>
          <w:highlight w:val="none"/>
          <w:shd w:val="clear" w:color="auto" w:fill="FFFFFF"/>
        </w:rPr>
        <w:t>否能保质、保量、</w:t>
      </w:r>
      <w:r>
        <w:rPr>
          <w:rFonts w:hint="eastAsia" w:ascii="仿宋" w:hAnsi="仿宋" w:eastAsia="仿宋" w:cs="仿宋"/>
          <w:color w:val="000000"/>
          <w:sz w:val="28"/>
          <w:szCs w:val="28"/>
          <w:highlight w:val="none"/>
          <w:shd w:val="clear" w:color="auto" w:fill="FFFFFF"/>
        </w:rPr>
        <w:t>准确、全面完成本项目。</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3、磋商小组根据竞争性磋商文件中规定的评标方法进行评标，并向招标人提交书面评标报告和推荐中标人。</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4、当出现投标价格相同分值时，按以下顺序排列：</w:t>
      </w:r>
    </w:p>
    <w:p>
      <w:pPr>
        <w:spacing w:line="360" w:lineRule="auto"/>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（1）选定技术质量最好的；</w:t>
      </w:r>
    </w:p>
    <w:p>
      <w:pPr>
        <w:spacing w:line="360" w:lineRule="auto"/>
        <w:ind w:firstLine="560" w:firstLineChars="20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（2）如技术质量也相等时，选定技术支持和服务承诺最好的；</w:t>
      </w:r>
    </w:p>
    <w:p>
      <w:pPr>
        <w:spacing w:line="360" w:lineRule="auto"/>
        <w:ind w:firstLine="562" w:firstLineChars="200"/>
        <w:rPr>
          <w:rFonts w:ascii="仿宋" w:hAnsi="仿宋" w:eastAsia="仿宋" w:cs="仿宋"/>
          <w:b/>
          <w:sz w:val="28"/>
          <w:szCs w:val="28"/>
          <w:highlight w:val="none"/>
          <w:shd w:val="clear" w:color="auto" w:fill="FFFFFF"/>
        </w:rPr>
      </w:pPr>
      <w:r>
        <w:rPr>
          <w:rFonts w:hint="eastAsia" w:ascii="仿宋" w:hAnsi="仿宋" w:eastAsia="仿宋" w:cs="仿宋"/>
          <w:b/>
          <w:sz w:val="28"/>
          <w:szCs w:val="28"/>
          <w:highlight w:val="none"/>
          <w:shd w:val="clear" w:color="auto" w:fill="FFFFFF"/>
        </w:rPr>
        <w:t>（六）评标报告</w:t>
      </w:r>
    </w:p>
    <w:p>
      <w:pPr>
        <w:spacing w:line="360" w:lineRule="auto"/>
        <w:ind w:firstLine="700" w:firstLineChars="25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磋商小组应当根据综合评分情况，按照评审得分由高到低顺序推荐3名以上成交候选供应商，并编写评审报告，评标报告应全面反映评标过程、中标供应商的情况。评审得分相同的，按照最后报价由低到高的顺序推荐。评审得分且最后报价相同的，按照技术指标优劣顺序推荐。</w:t>
      </w:r>
    </w:p>
    <w:p>
      <w:pPr>
        <w:spacing w:line="360" w:lineRule="auto"/>
        <w:ind w:firstLine="700" w:firstLineChars="25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评审报告应当由磋商小组全体人员签字认可。磋商小组成员对评审报告有异议的，磋商小组按照少数服从多数的原则推荐成交候选供应商，采购程序继续进行。</w:t>
      </w:r>
    </w:p>
    <w:p>
      <w:pPr>
        <w:spacing w:line="360" w:lineRule="auto"/>
        <w:ind w:firstLine="700" w:firstLineChars="250"/>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562" w:firstLineChars="200"/>
        <w:rPr>
          <w:rFonts w:ascii="仿宋" w:hAnsi="仿宋" w:eastAsia="仿宋" w:cs="仿宋"/>
          <w:b/>
          <w:color w:val="000000"/>
          <w:sz w:val="28"/>
          <w:szCs w:val="28"/>
          <w:highlight w:val="none"/>
          <w:shd w:val="clear" w:color="auto" w:fill="FFFFFF"/>
        </w:rPr>
      </w:pPr>
      <w:r>
        <w:rPr>
          <w:rFonts w:hint="eastAsia" w:ascii="仿宋" w:hAnsi="仿宋" w:eastAsia="仿宋" w:cs="仿宋"/>
          <w:b/>
          <w:color w:val="000000"/>
          <w:sz w:val="28"/>
          <w:szCs w:val="28"/>
          <w:highlight w:val="none"/>
          <w:shd w:val="clear" w:color="auto" w:fill="FFFFFF"/>
        </w:rPr>
        <w:t>（七）评标过程的保密</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凡是属于审查、澄清、评审和比较的有关资料以及建议，任何人均不得向投标人或其他无关的人员透露。投标人在评标过程中，所进行的力图影响评标结果的不公正活动，可能导致其投标被拒绝。</w:t>
      </w:r>
    </w:p>
    <w:p>
      <w:pPr>
        <w:spacing w:line="360" w:lineRule="auto"/>
        <w:ind w:firstLine="562" w:firstLineChars="200"/>
        <w:rPr>
          <w:rFonts w:ascii="仿宋" w:hAnsi="仿宋" w:eastAsia="仿宋" w:cs="仿宋"/>
          <w:b/>
          <w:sz w:val="28"/>
          <w:szCs w:val="28"/>
          <w:highlight w:val="none"/>
          <w:shd w:val="clear" w:color="auto" w:fill="FFFFFF"/>
        </w:rPr>
      </w:pPr>
      <w:r>
        <w:rPr>
          <w:rFonts w:hint="eastAsia" w:ascii="仿宋" w:hAnsi="仿宋" w:eastAsia="仿宋" w:cs="仿宋"/>
          <w:b/>
          <w:sz w:val="28"/>
          <w:szCs w:val="28"/>
          <w:highlight w:val="none"/>
          <w:shd w:val="clear" w:color="auto" w:fill="FFFFFF"/>
        </w:rPr>
        <w:t>（八）评标原则和评标办法</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评委将以招标竞争性磋商文件为评标依据，满足招标文件需求后，报价最低的不一定为第一中标人。评委会向招标负责单位报告评标情况及结果。根据有关规定，对未中标单位不作任何解释。为此，评委会对未中标单位要求说明理由均不予受理。</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3、评标办法：综合评分法。　综合评分法，是指竞争性磋商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竞争性磋商文件，采购人从磋商小组评审后提出的候选供应商名单中确定成交供应商的采购方式。</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4、综合评分的主要因素是：从项目实施，项目计划、项目完成承诺保障方案、违法违规记录、违约记录方面进行综合评定。</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投标时的评审审查项目。投标人如果不能提供或有缺项的，则相应本项目视为对招标文件该评标审查项目内容的不响应，且本项目将做为是否中标的重要因素。</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（1）投标人合法经营和履行国家规定义务的有关证明。</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（2）投标人企业基本情况、经营基本情况。</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（3）投标人近三年内参与的类似项目业绩证明材料。</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（4）投标方提供服务保证及服务承诺。投标方应有能力履行招标文件中规定的、合同条款要求方面的、由卖方履行服务的义务。</w:t>
      </w:r>
    </w:p>
    <w:p>
      <w:pPr>
        <w:spacing w:line="360" w:lineRule="auto"/>
        <w:ind w:firstLine="560" w:firstLineChars="200"/>
        <w:rPr>
          <w:rFonts w:ascii="仿宋" w:hAnsi="仿宋" w:eastAsia="仿宋" w:cs="仿宋"/>
          <w:color w:val="000000"/>
          <w:sz w:val="28"/>
          <w:szCs w:val="28"/>
          <w:highlight w:val="yellow"/>
          <w:shd w:val="clear" w:color="auto" w:fill="FFFFFF"/>
        </w:rPr>
      </w:pPr>
      <w:r>
        <w:rPr>
          <w:rFonts w:hint="eastAsia" w:ascii="仿宋" w:hAnsi="仿宋" w:eastAsia="仿宋" w:cs="仿宋"/>
          <w:color w:val="000000"/>
          <w:sz w:val="28"/>
          <w:szCs w:val="28"/>
          <w:highlight w:val="none"/>
          <w:shd w:val="clear" w:color="auto" w:fill="FFFFFF"/>
        </w:rPr>
        <w:t>（5）投标方提供服务过程中的相关管理制度及工作流程。投标方应有能力履行招标文件中规定的、合同条款要求方面的、由卖方履行的工作任务。</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w:t>
      </w:r>
      <w:r>
        <w:rPr>
          <w:rFonts w:hint="eastAsia" w:ascii="仿宋" w:hAnsi="仿宋" w:eastAsia="仿宋" w:cs="仿宋"/>
          <w:color w:val="000000"/>
          <w:sz w:val="28"/>
          <w:szCs w:val="28"/>
          <w:highlight w:val="none"/>
          <w:shd w:val="clear" w:color="auto" w:fill="FFFFFF"/>
          <w:lang w:val="en-US" w:eastAsia="zh-CN"/>
        </w:rPr>
        <w:t>6</w:t>
      </w:r>
      <w:r>
        <w:rPr>
          <w:rFonts w:hint="eastAsia" w:ascii="仿宋" w:hAnsi="仿宋" w:eastAsia="仿宋" w:cs="仿宋"/>
          <w:color w:val="000000"/>
          <w:sz w:val="28"/>
          <w:szCs w:val="28"/>
          <w:highlight w:val="none"/>
          <w:shd w:val="clear" w:color="auto" w:fill="FFFFFF"/>
        </w:rPr>
        <w:t>）本招标文件中除上述投标资质要求之外的其他方面的资质证明文件。</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w:t>
      </w:r>
      <w:r>
        <w:rPr>
          <w:rFonts w:hint="eastAsia" w:ascii="仿宋" w:hAnsi="仿宋" w:eastAsia="仿宋" w:cs="仿宋"/>
          <w:color w:val="000000"/>
          <w:sz w:val="28"/>
          <w:szCs w:val="28"/>
          <w:highlight w:val="none"/>
          <w:shd w:val="clear" w:color="auto" w:fill="FFFFFF"/>
          <w:lang w:val="en-US" w:eastAsia="zh-CN"/>
        </w:rPr>
        <w:t>7</w:t>
      </w:r>
      <w:r>
        <w:rPr>
          <w:rFonts w:hint="eastAsia" w:ascii="仿宋" w:hAnsi="仿宋" w:eastAsia="仿宋" w:cs="仿宋"/>
          <w:color w:val="000000"/>
          <w:sz w:val="28"/>
          <w:szCs w:val="28"/>
          <w:highlight w:val="none"/>
          <w:shd w:val="clear" w:color="auto" w:fill="FFFFFF"/>
        </w:rPr>
        <w:t>）其他要求。</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1）投标人最近</w:t>
      </w:r>
      <w:r>
        <w:rPr>
          <w:rFonts w:hint="eastAsia" w:ascii="仿宋" w:hAnsi="仿宋" w:eastAsia="仿宋" w:cs="仿宋"/>
          <w:color w:val="000000"/>
          <w:sz w:val="28"/>
          <w:szCs w:val="28"/>
          <w:highlight w:val="none"/>
          <w:shd w:val="clear" w:color="auto" w:fill="FFFFFF"/>
          <w:lang w:val="en-US" w:eastAsia="zh-CN"/>
        </w:rPr>
        <w:t>3</w:t>
      </w:r>
      <w:r>
        <w:rPr>
          <w:rFonts w:hint="eastAsia" w:ascii="仿宋" w:hAnsi="仿宋" w:eastAsia="仿宋" w:cs="仿宋"/>
          <w:color w:val="000000"/>
          <w:sz w:val="28"/>
          <w:szCs w:val="28"/>
          <w:highlight w:val="none"/>
          <w:shd w:val="clear" w:color="auto" w:fill="FFFFFF"/>
        </w:rPr>
        <w:t>个月依法缴纳税收和社会保障资金的记录；</w:t>
      </w:r>
    </w:p>
    <w:p>
      <w:pPr>
        <w:spacing w:line="360" w:lineRule="auto"/>
        <w:ind w:firstLine="560" w:firstLineChars="200"/>
        <w:rPr>
          <w:rFonts w:ascii="仿宋" w:hAnsi="仿宋" w:eastAsia="仿宋" w:cs="仿宋"/>
          <w:b/>
          <w:bCs/>
          <w:sz w:val="44"/>
          <w:szCs w:val="44"/>
          <w:highlight w:val="none"/>
          <w:shd w:val="clear" w:color="auto" w:fill="FFFFFF"/>
        </w:rPr>
      </w:pPr>
      <w:r>
        <w:rPr>
          <w:rFonts w:hint="eastAsia" w:ascii="仿宋" w:hAnsi="仿宋" w:eastAsia="仿宋" w:cs="仿宋"/>
          <w:color w:val="000000"/>
          <w:sz w:val="28"/>
          <w:szCs w:val="28"/>
          <w:highlight w:val="none"/>
          <w:shd w:val="clear" w:color="auto" w:fill="FFFFFF"/>
        </w:rPr>
        <w:t>2）投标人符合国家规定的资质；</w:t>
      </w:r>
    </w:p>
    <w:p>
      <w:pPr>
        <w:pStyle w:val="40"/>
        <w:rPr>
          <w:rFonts w:ascii="仿宋" w:hAnsi="仿宋" w:eastAsia="仿宋" w:cs="仿宋"/>
          <w:b/>
          <w:bCs/>
          <w:sz w:val="44"/>
          <w:szCs w:val="44"/>
          <w:highlight w:val="none"/>
          <w:shd w:val="clear" w:color="auto" w:fill="FFFFFF"/>
        </w:rPr>
      </w:pPr>
    </w:p>
    <w:p>
      <w:pPr>
        <w:rPr>
          <w:rFonts w:hint="eastAsia" w:ascii="仿宋" w:hAnsi="仿宋" w:eastAsia="仿宋" w:cs="仿宋"/>
          <w:b/>
          <w:bCs/>
          <w:color w:val="000000"/>
          <w:sz w:val="44"/>
          <w:szCs w:val="44"/>
          <w:highlight w:val="none"/>
          <w:shd w:val="clear" w:color="auto" w:fill="FFFFFF"/>
        </w:rPr>
      </w:pPr>
      <w:r>
        <w:rPr>
          <w:rFonts w:hint="eastAsia" w:ascii="仿宋" w:hAnsi="仿宋" w:eastAsia="仿宋" w:cs="仿宋"/>
          <w:b/>
          <w:bCs/>
          <w:color w:val="000000"/>
          <w:sz w:val="44"/>
          <w:szCs w:val="44"/>
          <w:highlight w:val="none"/>
          <w:shd w:val="clear" w:color="auto" w:fill="FFFFFF"/>
        </w:rPr>
        <w:br w:type="page"/>
      </w:r>
    </w:p>
    <w:p>
      <w:pPr>
        <w:spacing w:line="640" w:lineRule="exact"/>
        <w:jc w:val="center"/>
        <w:outlineLvl w:val="0"/>
        <w:rPr>
          <w:rFonts w:ascii="仿宋" w:hAnsi="仿宋" w:eastAsia="仿宋" w:cs="仿宋"/>
          <w:b/>
          <w:sz w:val="32"/>
          <w:szCs w:val="32"/>
          <w:highlight w:val="none"/>
        </w:rPr>
      </w:pPr>
      <w:bookmarkStart w:id="52" w:name="_Toc18985"/>
      <w:r>
        <w:rPr>
          <w:rFonts w:hint="eastAsia" w:ascii="仿宋" w:hAnsi="仿宋" w:eastAsia="仿宋" w:cs="仿宋"/>
          <w:b/>
          <w:bCs/>
          <w:color w:val="000000"/>
          <w:sz w:val="44"/>
          <w:szCs w:val="44"/>
          <w:highlight w:val="none"/>
          <w:shd w:val="clear" w:color="auto" w:fill="FFFFFF"/>
        </w:rPr>
        <w:t>第</w:t>
      </w:r>
      <w:r>
        <w:rPr>
          <w:rFonts w:hint="eastAsia" w:ascii="仿宋" w:hAnsi="仿宋" w:eastAsia="仿宋" w:cs="仿宋"/>
          <w:b/>
          <w:bCs/>
          <w:color w:val="000000"/>
          <w:sz w:val="44"/>
          <w:szCs w:val="44"/>
          <w:highlight w:val="none"/>
          <w:shd w:val="clear" w:color="auto" w:fill="FFFFFF"/>
          <w:lang w:val="en-US" w:eastAsia="zh-CN"/>
        </w:rPr>
        <w:t>四章</w:t>
      </w:r>
      <w:r>
        <w:rPr>
          <w:rFonts w:hint="eastAsia" w:ascii="仿宋" w:hAnsi="仿宋" w:eastAsia="仿宋" w:cs="仿宋"/>
          <w:b/>
          <w:bCs/>
          <w:color w:val="000000"/>
          <w:sz w:val="44"/>
          <w:szCs w:val="44"/>
          <w:highlight w:val="none"/>
          <w:shd w:val="clear" w:color="auto" w:fill="FFFFFF"/>
        </w:rPr>
        <w:t xml:space="preserve">  评分标准</w:t>
      </w:r>
      <w:bookmarkEnd w:id="52"/>
    </w:p>
    <w:p>
      <w:pPr>
        <w:pStyle w:val="45"/>
        <w:spacing w:line="640" w:lineRule="exact"/>
        <w:ind w:firstLine="0"/>
        <w:jc w:val="center"/>
        <w:rPr>
          <w:rFonts w:hint="default" w:ascii="仿宋" w:hAnsi="仿宋" w:eastAsia="仿宋" w:cs="仿宋"/>
          <w:b/>
          <w:sz w:val="18"/>
          <w:szCs w:val="18"/>
          <w:highlight w:val="none"/>
        </w:rPr>
      </w:pPr>
      <w:r>
        <w:rPr>
          <w:rFonts w:ascii="仿宋" w:hAnsi="仿宋" w:eastAsia="仿宋" w:cs="仿宋"/>
          <w:b/>
          <w:sz w:val="32"/>
          <w:szCs w:val="32"/>
          <w:highlight w:val="none"/>
        </w:rPr>
        <w:t>技术商务部分评分记录明细表</w:t>
      </w:r>
    </w:p>
    <w:tbl>
      <w:tblPr>
        <w:tblStyle w:val="76"/>
        <w:tblpPr w:leftFromText="180" w:rightFromText="180" w:vertAnchor="text" w:horzAnchor="page" w:tblpX="1252" w:tblpY="705"/>
        <w:tblOverlap w:val="never"/>
        <w:tblW w:w="99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1012"/>
        <w:gridCol w:w="2234"/>
        <w:gridCol w:w="4904"/>
        <w:gridCol w:w="9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79" w:type="dxa"/>
            <w:gridSpan w:val="2"/>
            <w:vAlign w:val="top"/>
          </w:tcPr>
          <w:p>
            <w:pPr>
              <w:pStyle w:val="75"/>
              <w:spacing w:before="131" w:line="240" w:lineRule="auto"/>
              <w:ind w:left="527"/>
              <w:rPr>
                <w:rFonts w:hint="eastAsia" w:ascii="宋体" w:hAnsi="宋体" w:eastAsia="宋体" w:cs="宋体"/>
                <w:sz w:val="24"/>
                <w:szCs w:val="24"/>
              </w:rPr>
            </w:pPr>
            <w:r>
              <w:rPr>
                <w:rFonts w:hint="eastAsia" w:ascii="宋体" w:hAnsi="宋体" w:eastAsia="宋体" w:cs="宋体"/>
                <w:spacing w:val="8"/>
                <w:sz w:val="24"/>
                <w:szCs w:val="24"/>
                <w14:textOutline w14:w="3823" w14:cap="flat" w14:cmpd="sng">
                  <w14:solidFill>
                    <w14:srgbClr w14:val="000000"/>
                  </w14:solidFill>
                  <w14:prstDash w14:val="solid"/>
                  <w14:miter w14:val="0"/>
                </w14:textOutline>
              </w:rPr>
              <w:t>评分因素</w:t>
            </w:r>
          </w:p>
        </w:tc>
        <w:tc>
          <w:tcPr>
            <w:tcW w:w="2234" w:type="dxa"/>
            <w:vAlign w:val="top"/>
          </w:tcPr>
          <w:p>
            <w:pPr>
              <w:pStyle w:val="75"/>
              <w:spacing w:before="132" w:line="240" w:lineRule="auto"/>
              <w:ind w:left="533"/>
              <w:rPr>
                <w:rFonts w:hint="eastAsia" w:ascii="宋体" w:hAnsi="宋体" w:eastAsia="宋体" w:cs="宋体"/>
                <w:sz w:val="24"/>
                <w:szCs w:val="24"/>
              </w:rPr>
            </w:pPr>
            <w:r>
              <w:rPr>
                <w:rFonts w:hint="eastAsia" w:ascii="宋体" w:hAnsi="宋体" w:eastAsia="宋体" w:cs="宋体"/>
                <w:spacing w:val="8"/>
                <w:sz w:val="24"/>
                <w:szCs w:val="24"/>
                <w14:textOutline w14:w="3823" w14:cap="flat" w14:cmpd="sng">
                  <w14:solidFill>
                    <w14:srgbClr w14:val="000000"/>
                  </w14:solidFill>
                  <w14:prstDash w14:val="solid"/>
                  <w14:miter w14:val="0"/>
                </w14:textOutline>
              </w:rPr>
              <w:t>评分点</w:t>
            </w:r>
          </w:p>
        </w:tc>
        <w:tc>
          <w:tcPr>
            <w:tcW w:w="4904" w:type="dxa"/>
            <w:vAlign w:val="top"/>
          </w:tcPr>
          <w:p>
            <w:pPr>
              <w:pStyle w:val="75"/>
              <w:spacing w:before="132" w:line="240" w:lineRule="auto"/>
              <w:ind w:left="1896"/>
              <w:rPr>
                <w:rFonts w:hint="eastAsia" w:ascii="宋体" w:hAnsi="宋体" w:eastAsia="宋体" w:cs="宋体"/>
                <w:sz w:val="24"/>
                <w:szCs w:val="24"/>
              </w:rPr>
            </w:pPr>
            <w:r>
              <w:rPr>
                <w:rFonts w:hint="eastAsia" w:ascii="宋体" w:hAnsi="宋体" w:eastAsia="宋体" w:cs="宋体"/>
                <w:spacing w:val="8"/>
                <w:sz w:val="24"/>
                <w:szCs w:val="24"/>
                <w14:textOutline w14:w="3823" w14:cap="flat" w14:cmpd="sng">
                  <w14:solidFill>
                    <w14:srgbClr w14:val="000000"/>
                  </w14:solidFill>
                  <w14:prstDash w14:val="solid"/>
                  <w14:miter w14:val="0"/>
                </w14:textOutline>
              </w:rPr>
              <w:t>评分标准</w:t>
            </w:r>
          </w:p>
        </w:tc>
        <w:tc>
          <w:tcPr>
            <w:tcW w:w="977" w:type="dxa"/>
            <w:vAlign w:val="center"/>
          </w:tcPr>
          <w:p>
            <w:pPr>
              <w:pStyle w:val="75"/>
              <w:spacing w:before="131" w:line="240" w:lineRule="auto"/>
              <w:jc w:val="center"/>
              <w:rPr>
                <w:rFonts w:hint="eastAsia" w:ascii="宋体" w:hAnsi="宋体" w:eastAsia="宋体" w:cs="宋体"/>
                <w:sz w:val="24"/>
                <w:szCs w:val="24"/>
              </w:rPr>
            </w:pPr>
            <w:r>
              <w:rPr>
                <w:rFonts w:hint="eastAsia" w:ascii="宋体" w:hAnsi="宋体" w:eastAsia="宋体" w:cs="宋体"/>
                <w:spacing w:val="5"/>
                <w:sz w:val="24"/>
                <w:szCs w:val="24"/>
                <w14:textOutline w14:w="3823" w14:cap="flat" w14:cmpd="sng">
                  <w14:solidFill>
                    <w14:srgbClr w14:val="000000"/>
                  </w14:solidFill>
                  <w14:prstDash w14:val="solid"/>
                  <w14:miter w14:val="0"/>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7" w:hRule="atLeast"/>
        </w:trPr>
        <w:tc>
          <w:tcPr>
            <w:tcW w:w="867" w:type="dxa"/>
            <w:vMerge w:val="restart"/>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详细评审</w:t>
            </w:r>
          </w:p>
        </w:tc>
        <w:tc>
          <w:tcPr>
            <w:tcW w:w="1012"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价格评审</w:t>
            </w:r>
          </w:p>
        </w:tc>
        <w:tc>
          <w:tcPr>
            <w:tcW w:w="2234"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报价</w:t>
            </w:r>
          </w:p>
        </w:tc>
        <w:tc>
          <w:tcPr>
            <w:tcW w:w="4904"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磋商小组只对符合性检查合格的响应文件进行价格评议，报价分采用低价优先法计算，即满足磋商文件要求且最终报价最低为评审基准价，其价格分为满分。其他供应商的价格分按照下列公式计算：磋商报价得分=(磋商基准价／最后磋商报价)×价格权值×100。</w:t>
            </w:r>
          </w:p>
        </w:tc>
        <w:tc>
          <w:tcPr>
            <w:tcW w:w="977"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30分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67" w:type="dxa"/>
            <w:vMerge w:val="continue"/>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1012" w:type="dxa"/>
            <w:vMerge w:val="restart"/>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商务标评审</w:t>
            </w:r>
          </w:p>
        </w:tc>
        <w:tc>
          <w:tcPr>
            <w:tcW w:w="2234"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业绩（12分）</w:t>
            </w:r>
          </w:p>
        </w:tc>
        <w:tc>
          <w:tcPr>
            <w:tcW w:w="4904"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供应商自2020年1月1日以来承接的类似项目案</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例，每提供1个类似项目得3分，最多得12分。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b/>
                <w:bCs/>
                <w:spacing w:val="7"/>
                <w:sz w:val="24"/>
                <w:szCs w:val="24"/>
              </w:rPr>
              <w:t>（以提供中标通知书或合同协议书为准）</w:t>
            </w:r>
          </w:p>
        </w:tc>
        <w:tc>
          <w:tcPr>
            <w:tcW w:w="977" w:type="dxa"/>
            <w:vMerge w:val="restart"/>
            <w:tcBorders>
              <w:bottom w:val="nil"/>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24分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8" w:hRule="atLeast"/>
        </w:trPr>
        <w:tc>
          <w:tcPr>
            <w:tcW w:w="867" w:type="dxa"/>
            <w:vMerge w:val="continue"/>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1012" w:type="dxa"/>
            <w:vMerge w:val="continue"/>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2234"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仿宋" w:hAnsi="仿宋" w:eastAsia="仿宋" w:cs="仿宋"/>
                <w:color w:val="auto"/>
                <w:sz w:val="24"/>
              </w:rPr>
              <w:t>售后服务</w:t>
            </w:r>
            <w:r>
              <w:rPr>
                <w:rFonts w:hint="eastAsia" w:ascii="宋体" w:hAnsi="宋体" w:eastAsia="宋体" w:cs="宋体"/>
                <w:spacing w:val="7"/>
                <w:sz w:val="24"/>
                <w:szCs w:val="24"/>
              </w:rPr>
              <w:t>（8分）</w:t>
            </w:r>
          </w:p>
        </w:tc>
        <w:tc>
          <w:tcPr>
            <w:tcW w:w="4904"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根据项目售后服务方案的可靠性和合理性进行评价，方案合理、切实可行、完整的得</w:t>
            </w:r>
            <w:r>
              <w:rPr>
                <w:rFonts w:hint="eastAsia" w:cs="宋体"/>
                <w:spacing w:val="7"/>
                <w:sz w:val="24"/>
                <w:szCs w:val="24"/>
                <w:lang w:val="en-US" w:eastAsia="zh-CN"/>
              </w:rPr>
              <w:t>8</w:t>
            </w:r>
            <w:r>
              <w:rPr>
                <w:rFonts w:hint="eastAsia" w:ascii="宋体" w:hAnsi="宋体" w:eastAsia="宋体" w:cs="宋体"/>
                <w:spacing w:val="7"/>
                <w:sz w:val="24"/>
                <w:szCs w:val="24"/>
              </w:rPr>
              <w:t>分；方案相对合理、可行、完整的得</w:t>
            </w:r>
            <w:r>
              <w:rPr>
                <w:rFonts w:hint="eastAsia" w:cs="宋体"/>
                <w:spacing w:val="7"/>
                <w:sz w:val="24"/>
                <w:szCs w:val="24"/>
                <w:lang w:val="en-US" w:eastAsia="zh-CN"/>
              </w:rPr>
              <w:t>5</w:t>
            </w:r>
            <w:r>
              <w:rPr>
                <w:rFonts w:hint="eastAsia" w:ascii="宋体" w:hAnsi="宋体" w:eastAsia="宋体" w:cs="宋体"/>
                <w:spacing w:val="7"/>
                <w:sz w:val="24"/>
                <w:szCs w:val="24"/>
              </w:rPr>
              <w:t>分；方案一般合理、可行性差、不完整的得2分；不提供不得分。</w:t>
            </w:r>
          </w:p>
        </w:tc>
        <w:tc>
          <w:tcPr>
            <w:tcW w:w="977" w:type="dxa"/>
            <w:vMerge w:val="continue"/>
            <w:tcBorders>
              <w:top w:val="nil"/>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9" w:hRule="atLeast"/>
        </w:trPr>
        <w:tc>
          <w:tcPr>
            <w:tcW w:w="867" w:type="dxa"/>
            <w:vMerge w:val="continue"/>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1012" w:type="dxa"/>
            <w:vMerge w:val="continue"/>
            <w:tcBorders>
              <w:bottom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2234" w:type="dxa"/>
            <w:tcBorders>
              <w:lef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标函质量履约措施</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（满分4分）</w:t>
            </w:r>
          </w:p>
        </w:tc>
        <w:tc>
          <w:tcPr>
            <w:tcW w:w="4904"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响应文件编制质量：对响应文件的总体响应程度（无目录、无页码、条理不清晰、无附图的响应文件适当减分或不得分；标书内容清晰、内容完整、履约措施具体的将适当加分）本项目得</w:t>
            </w:r>
            <w:r>
              <w:rPr>
                <w:rFonts w:hint="eastAsia" w:cs="宋体"/>
                <w:spacing w:val="7"/>
                <w:sz w:val="24"/>
                <w:szCs w:val="24"/>
                <w:lang w:val="en-US" w:eastAsia="zh-CN"/>
              </w:rPr>
              <w:t>4</w:t>
            </w:r>
            <w:r>
              <w:rPr>
                <w:rFonts w:hint="eastAsia" w:ascii="宋体" w:hAnsi="宋体" w:eastAsia="宋体" w:cs="宋体"/>
                <w:spacing w:val="7"/>
                <w:sz w:val="24"/>
                <w:szCs w:val="24"/>
              </w:rPr>
              <w:t>分。</w:t>
            </w:r>
          </w:p>
        </w:tc>
        <w:tc>
          <w:tcPr>
            <w:tcW w:w="977" w:type="dxa"/>
            <w:vMerge w:val="continue"/>
            <w:tcBorders>
              <w:top w:val="nil"/>
              <w:bottom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867" w:type="dxa"/>
            <w:vMerge w:val="continue"/>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1012" w:type="dxa"/>
            <w:vMerge w:val="restart"/>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技术标</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评审</w:t>
            </w:r>
          </w:p>
        </w:tc>
        <w:tc>
          <w:tcPr>
            <w:tcW w:w="2234" w:type="dxa"/>
            <w:tcBorders>
              <w:lef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szCs w:val="21"/>
              </w:rPr>
              <w:t>服务要求响应程度</w:t>
            </w:r>
            <w:r>
              <w:rPr>
                <w:rFonts w:hint="eastAsia" w:ascii="宋体" w:hAnsi="宋体" w:eastAsia="宋体" w:cs="宋体"/>
                <w:spacing w:val="7"/>
                <w:sz w:val="24"/>
                <w:szCs w:val="24"/>
              </w:rPr>
              <w:t>（10分）</w:t>
            </w:r>
          </w:p>
        </w:tc>
        <w:tc>
          <w:tcPr>
            <w:tcW w:w="4904" w:type="dxa"/>
            <w:tcBorders>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lang w:eastAsia="zh-CN"/>
              </w:rPr>
            </w:pPr>
            <w:r>
              <w:rPr>
                <w:rFonts w:hint="eastAsia" w:ascii="宋体" w:hAnsi="宋体"/>
                <w:szCs w:val="21"/>
              </w:rPr>
              <w:t>供应商人须对服务内容条款进行响应，完全满足要求得</w:t>
            </w:r>
            <w:r>
              <w:rPr>
                <w:rFonts w:hint="eastAsia" w:ascii="宋体" w:hAnsi="宋体"/>
                <w:szCs w:val="21"/>
                <w:lang w:val="en-US" w:eastAsia="zh-CN"/>
              </w:rPr>
              <w:t>1</w:t>
            </w:r>
            <w:r>
              <w:rPr>
                <w:rFonts w:hint="eastAsia" w:ascii="宋体" w:hAnsi="宋体"/>
                <w:szCs w:val="21"/>
              </w:rPr>
              <w:t>0分；每缺少一项扣</w:t>
            </w:r>
            <w:r>
              <w:rPr>
                <w:rFonts w:hint="eastAsia" w:ascii="宋体" w:hAnsi="宋体"/>
                <w:szCs w:val="21"/>
                <w:lang w:val="en-US" w:eastAsia="zh-CN"/>
              </w:rPr>
              <w:t>2</w:t>
            </w:r>
            <w:r>
              <w:rPr>
                <w:rFonts w:hint="eastAsia" w:ascii="宋体" w:hAnsi="宋体"/>
                <w:szCs w:val="21"/>
              </w:rPr>
              <w:t>分，扣完为止。</w:t>
            </w:r>
          </w:p>
        </w:tc>
        <w:tc>
          <w:tcPr>
            <w:tcW w:w="977" w:type="dxa"/>
            <w:vMerge w:val="restart"/>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46分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trPr>
        <w:tc>
          <w:tcPr>
            <w:tcW w:w="867" w:type="dxa"/>
            <w:vMerge w:val="continue"/>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1012" w:type="dxa"/>
            <w:vMerge w:val="continue"/>
            <w:tcBorders>
              <w:top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2234" w:type="dxa"/>
            <w:tcBorders>
              <w:left w:val="single" w:color="auto" w:sz="4" w:space="0"/>
              <w:bottom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hAnsi="宋体" w:cs="宋体"/>
                <w:color w:val="000000"/>
                <w:szCs w:val="21"/>
              </w:rPr>
              <w:t>项目实施方案</w:t>
            </w:r>
            <w:r>
              <w:rPr>
                <w:rFonts w:hint="eastAsia" w:ascii="宋体" w:hAnsi="宋体" w:eastAsia="宋体" w:cs="宋体"/>
                <w:spacing w:val="7"/>
                <w:sz w:val="24"/>
                <w:szCs w:val="24"/>
              </w:rPr>
              <w:t>（10分）</w:t>
            </w:r>
          </w:p>
        </w:tc>
        <w:tc>
          <w:tcPr>
            <w:tcW w:w="4904" w:type="dxa"/>
            <w:tcBorders>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cs="宋体"/>
                <w:spacing w:val="7"/>
                <w:sz w:val="24"/>
                <w:szCs w:val="24"/>
                <w:lang w:val="en-US" w:eastAsia="zh-CN"/>
              </w:rPr>
              <w:t>项目实施</w:t>
            </w:r>
            <w:r>
              <w:rPr>
                <w:rFonts w:hint="eastAsia" w:ascii="宋体" w:hAnsi="宋体" w:eastAsia="宋体" w:cs="宋体"/>
                <w:spacing w:val="7"/>
                <w:sz w:val="24"/>
                <w:szCs w:val="24"/>
              </w:rPr>
              <w:t>方案科学、可行、技术措施针对性强，所需人力、物力准备充分，有完善的建设规划、部署和实施措施</w:t>
            </w:r>
            <w:r>
              <w:rPr>
                <w:rFonts w:hint="eastAsia" w:cs="宋体"/>
                <w:spacing w:val="7"/>
                <w:sz w:val="24"/>
                <w:szCs w:val="24"/>
                <w:lang w:val="en-US" w:eastAsia="zh-CN"/>
              </w:rPr>
              <w:t>10</w:t>
            </w:r>
            <w:r>
              <w:rPr>
                <w:rFonts w:hint="eastAsia" w:ascii="宋体" w:hAnsi="宋体" w:eastAsia="宋体" w:cs="宋体"/>
                <w:spacing w:val="7"/>
                <w:sz w:val="24"/>
                <w:szCs w:val="24"/>
              </w:rPr>
              <w:t>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cs="宋体"/>
                <w:spacing w:val="7"/>
                <w:sz w:val="24"/>
                <w:szCs w:val="24"/>
                <w:lang w:val="en-US" w:eastAsia="zh-CN"/>
              </w:rPr>
              <w:t>项目实施</w:t>
            </w:r>
            <w:r>
              <w:rPr>
                <w:rFonts w:hint="eastAsia" w:ascii="宋体" w:hAnsi="宋体" w:eastAsia="宋体" w:cs="宋体"/>
                <w:spacing w:val="7"/>
                <w:sz w:val="24"/>
                <w:szCs w:val="24"/>
              </w:rPr>
              <w:t>方案合理、可行、技术措施细节待完善</w:t>
            </w:r>
            <w:r>
              <w:rPr>
                <w:rFonts w:hint="eastAsia" w:cs="宋体"/>
                <w:spacing w:val="7"/>
                <w:sz w:val="24"/>
                <w:szCs w:val="24"/>
                <w:lang w:val="en-US" w:eastAsia="zh-CN"/>
              </w:rPr>
              <w:t>7</w:t>
            </w:r>
            <w:r>
              <w:rPr>
                <w:rFonts w:hint="eastAsia" w:ascii="宋体" w:hAnsi="宋体" w:eastAsia="宋体" w:cs="宋体"/>
                <w:spacing w:val="7"/>
                <w:sz w:val="24"/>
                <w:szCs w:val="24"/>
              </w:rPr>
              <w:t>分；施工方案欠合理、可行性较差，技术措施基本满足工程需要</w:t>
            </w:r>
            <w:r>
              <w:rPr>
                <w:rFonts w:hint="eastAsia" w:cs="宋体"/>
                <w:spacing w:val="7"/>
                <w:sz w:val="24"/>
                <w:szCs w:val="24"/>
                <w:lang w:val="en-US" w:eastAsia="zh-CN"/>
              </w:rPr>
              <w:t>4</w:t>
            </w:r>
            <w:r>
              <w:rPr>
                <w:rFonts w:hint="eastAsia" w:ascii="宋体" w:hAnsi="宋体" w:eastAsia="宋体" w:cs="宋体"/>
                <w:spacing w:val="7"/>
                <w:sz w:val="24"/>
                <w:szCs w:val="24"/>
              </w:rPr>
              <w:t>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无施工组织技术方案0分。</w:t>
            </w: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1" w:hRule="atLeast"/>
        </w:trPr>
        <w:tc>
          <w:tcPr>
            <w:tcW w:w="867" w:type="dxa"/>
            <w:vMerge w:val="continue"/>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1012" w:type="dxa"/>
            <w:vMerge w:val="continue"/>
            <w:tcBorders>
              <w:top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2234" w:type="dxa"/>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施工方案的全面性和可行性（7分）</w:t>
            </w:r>
          </w:p>
        </w:tc>
        <w:tc>
          <w:tcPr>
            <w:tcW w:w="4904" w:type="dxa"/>
            <w:tcBorders>
              <w:left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施工方案的全面性：</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施工方案先进性得1分，否则不得分。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劳动力计划合理得1分，否则不得分。施工总进度合理得1分，否则不得分。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确保工程质量，工期、安全、文明施工措施得1分，否则不得分。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施工方案的可行性：</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涉及主要内容齐全，措施计划详尽得1分，否则不得分。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流水段划分合理得1分，否则不得分。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各项交叉作业切合实际得1分，否则不得分。</w:t>
            </w: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867" w:type="dxa"/>
            <w:vMerge w:val="continue"/>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1012" w:type="dxa"/>
            <w:vMerge w:val="continue"/>
            <w:tcBorders>
              <w:top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2234" w:type="dxa"/>
            <w:tcBorders>
              <w:top w:val="single" w:color="auto" w:sz="4" w:space="0"/>
              <w:lef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质量管理体系与保证措施（9分）</w:t>
            </w:r>
          </w:p>
        </w:tc>
        <w:tc>
          <w:tcPr>
            <w:tcW w:w="4904" w:type="dxa"/>
            <w:tcBorders>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保证措施科学、质量管理体系可行、针对性强</w:t>
            </w:r>
            <w:r>
              <w:rPr>
                <w:rFonts w:hint="eastAsia" w:cs="宋体"/>
                <w:spacing w:val="7"/>
                <w:sz w:val="24"/>
                <w:szCs w:val="24"/>
                <w:lang w:val="en-US" w:eastAsia="zh-CN"/>
              </w:rPr>
              <w:t>9</w:t>
            </w:r>
            <w:r>
              <w:rPr>
                <w:rFonts w:hint="eastAsia" w:ascii="宋体" w:hAnsi="宋体" w:eastAsia="宋体" w:cs="宋体"/>
                <w:spacing w:val="7"/>
                <w:sz w:val="24"/>
                <w:szCs w:val="24"/>
              </w:rPr>
              <w:t>分；保证措施合理、质量管理体系可行、细节待完善</w:t>
            </w:r>
            <w:r>
              <w:rPr>
                <w:rFonts w:hint="eastAsia" w:cs="宋体"/>
                <w:spacing w:val="7"/>
                <w:sz w:val="24"/>
                <w:szCs w:val="24"/>
                <w:lang w:val="en-US" w:eastAsia="zh-CN"/>
              </w:rPr>
              <w:t>6</w:t>
            </w:r>
            <w:r>
              <w:rPr>
                <w:rFonts w:hint="eastAsia" w:ascii="宋体" w:hAnsi="宋体" w:eastAsia="宋体" w:cs="宋体"/>
                <w:spacing w:val="7"/>
                <w:sz w:val="24"/>
                <w:szCs w:val="24"/>
              </w:rPr>
              <w:t>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保证措施欠合理、质量管理体系可行性较差，基本满足工程需要</w:t>
            </w:r>
            <w:r>
              <w:rPr>
                <w:rFonts w:hint="eastAsia" w:cs="宋体"/>
                <w:spacing w:val="7"/>
                <w:sz w:val="24"/>
                <w:szCs w:val="24"/>
                <w:lang w:val="en-US" w:eastAsia="zh-CN"/>
              </w:rPr>
              <w:t>3</w:t>
            </w:r>
            <w:r>
              <w:rPr>
                <w:rFonts w:hint="eastAsia" w:ascii="宋体" w:hAnsi="宋体" w:eastAsia="宋体" w:cs="宋体"/>
                <w:spacing w:val="7"/>
                <w:sz w:val="24"/>
                <w:szCs w:val="24"/>
              </w:rPr>
              <w:t>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无保证措施、质量管理体系0分。</w:t>
            </w: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867" w:type="dxa"/>
            <w:vMerge w:val="continue"/>
            <w:tcBorders>
              <w:bottom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1012" w:type="dxa"/>
            <w:vMerge w:val="continue"/>
            <w:tcBorders>
              <w:top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2234" w:type="dxa"/>
            <w:tcBorders>
              <w:lef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工程进度计划与保证措施（10分）</w:t>
            </w:r>
          </w:p>
        </w:tc>
        <w:tc>
          <w:tcPr>
            <w:tcW w:w="4904" w:type="dxa"/>
            <w:tcBorders>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保证措施科学、进度计划可行、针对性强</w:t>
            </w:r>
            <w:r>
              <w:rPr>
                <w:rFonts w:hint="eastAsia" w:cs="宋体"/>
                <w:spacing w:val="7"/>
                <w:sz w:val="24"/>
                <w:szCs w:val="24"/>
                <w:lang w:val="en-US" w:eastAsia="zh-CN"/>
              </w:rPr>
              <w:t>10</w:t>
            </w:r>
            <w:r>
              <w:rPr>
                <w:rFonts w:hint="eastAsia" w:ascii="宋体" w:hAnsi="宋体" w:eastAsia="宋体" w:cs="宋体"/>
                <w:spacing w:val="7"/>
                <w:sz w:val="24"/>
                <w:szCs w:val="24"/>
              </w:rPr>
              <w:t>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保证措施合理、进度计划可行、细节待完善</w:t>
            </w:r>
            <w:r>
              <w:rPr>
                <w:rFonts w:hint="eastAsia" w:cs="宋体"/>
                <w:spacing w:val="7"/>
                <w:sz w:val="24"/>
                <w:szCs w:val="24"/>
                <w:lang w:val="en-US" w:eastAsia="zh-CN"/>
              </w:rPr>
              <w:t>7</w:t>
            </w:r>
            <w:r>
              <w:rPr>
                <w:rFonts w:hint="eastAsia" w:ascii="宋体" w:hAnsi="宋体" w:eastAsia="宋体" w:cs="宋体"/>
                <w:spacing w:val="7"/>
                <w:sz w:val="24"/>
                <w:szCs w:val="24"/>
              </w:rPr>
              <w:t>分；保证措施欠合理、进度计划可行性较差，基本满足工程需要</w:t>
            </w:r>
            <w:r>
              <w:rPr>
                <w:rFonts w:hint="eastAsia" w:cs="宋体"/>
                <w:spacing w:val="7"/>
                <w:sz w:val="24"/>
                <w:szCs w:val="24"/>
                <w:lang w:val="en-US" w:eastAsia="zh-CN"/>
              </w:rPr>
              <w:t>4</w:t>
            </w:r>
            <w:r>
              <w:rPr>
                <w:rFonts w:hint="eastAsia" w:ascii="宋体" w:hAnsi="宋体" w:eastAsia="宋体" w:cs="宋体"/>
                <w:spacing w:val="7"/>
                <w:sz w:val="24"/>
                <w:szCs w:val="24"/>
              </w:rPr>
              <w:t>分。</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无保证措施、进度计划0分。</w:t>
            </w:r>
          </w:p>
        </w:tc>
        <w:tc>
          <w:tcPr>
            <w:tcW w:w="977" w:type="dxa"/>
            <w:vMerge w:val="continue"/>
            <w:tcBorders>
              <w:top w:val="single" w:color="auto" w:sz="4" w:space="0"/>
              <w:left w:val="single" w:color="auto" w:sz="4" w:space="0"/>
              <w:bottom w:val="single" w:color="auto" w:sz="4" w:space="0"/>
              <w:right w:val="single" w:color="auto" w:sz="4" w:space="0"/>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867" w:type="dxa"/>
            <w:vMerge w:val="restart"/>
            <w:tcBorders>
              <w:bottom w:val="nil"/>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1012"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合计</w:t>
            </w:r>
          </w:p>
        </w:tc>
        <w:tc>
          <w:tcPr>
            <w:tcW w:w="2234"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4904"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both"/>
              <w:textAlignment w:val="auto"/>
              <w:rPr>
                <w:rFonts w:hint="eastAsia" w:ascii="宋体" w:hAnsi="宋体" w:eastAsia="宋体" w:cs="宋体"/>
                <w:spacing w:val="7"/>
                <w:sz w:val="24"/>
                <w:szCs w:val="24"/>
              </w:rPr>
            </w:pPr>
          </w:p>
        </w:tc>
        <w:tc>
          <w:tcPr>
            <w:tcW w:w="977" w:type="dxa"/>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67" w:type="dxa"/>
            <w:vMerge w:val="continue"/>
            <w:tcBorders>
              <w:top w:val="nil"/>
            </w:tcBorders>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p>
        </w:tc>
        <w:tc>
          <w:tcPr>
            <w:tcW w:w="9127" w:type="dxa"/>
            <w:gridSpan w:val="4"/>
            <w:vAlign w:val="center"/>
          </w:tcPr>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注：1、计算过程中，算术平均值保留2位小数（百分比亦取2位小数），第三位小数四舍五入。</w:t>
            </w:r>
          </w:p>
          <w:p>
            <w:pPr>
              <w:pStyle w:val="75"/>
              <w:keepNext w:val="0"/>
              <w:keepLines w:val="0"/>
              <w:pageBreakBefore w:val="0"/>
              <w:widowControl w:val="0"/>
              <w:kinsoku/>
              <w:wordWrap/>
              <w:overflowPunct/>
              <w:topLinePunct w:val="0"/>
              <w:autoSpaceDE/>
              <w:autoSpaceDN/>
              <w:bidi w:val="0"/>
              <w:adjustRightInd/>
              <w:snapToGrid/>
              <w:spacing w:line="240" w:lineRule="auto"/>
              <w:ind w:left="11"/>
              <w:jc w:val="center"/>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2、供应商的最终得分为：所有评委对其评分的算术平均值。</w:t>
            </w:r>
          </w:p>
        </w:tc>
      </w:tr>
    </w:tbl>
    <w:p>
      <w:pPr>
        <w:pStyle w:val="14"/>
        <w:spacing w:line="269" w:lineRule="auto"/>
      </w:pPr>
    </w:p>
    <w:p>
      <w:pPr>
        <w:spacing w:line="360" w:lineRule="auto"/>
        <w:rPr>
          <w:rFonts w:ascii="仿宋" w:hAnsi="仿宋" w:eastAsia="仿宋" w:cs="仿宋"/>
          <w:b/>
          <w:sz w:val="24"/>
          <w:szCs w:val="24"/>
          <w:highlight w:val="none"/>
        </w:rPr>
      </w:pPr>
      <w:r>
        <w:rPr>
          <w:rFonts w:hint="eastAsia" w:ascii="仿宋" w:hAnsi="仿宋" w:eastAsia="仿宋" w:cs="仿宋"/>
          <w:b/>
          <w:sz w:val="24"/>
          <w:szCs w:val="24"/>
          <w:highlight w:val="none"/>
        </w:rPr>
        <w:t xml:space="preserve">评审专家（签字）：                  </w:t>
      </w:r>
    </w:p>
    <w:p>
      <w:pPr>
        <w:tabs>
          <w:tab w:val="left" w:pos="8280"/>
        </w:tabs>
        <w:spacing w:line="360" w:lineRule="auto"/>
        <w:ind w:right="-1" w:firstLine="542" w:firstLineChars="225"/>
        <w:rPr>
          <w:rFonts w:ascii="宋体" w:hAnsi="宋体" w:cs="宋体"/>
          <w:b/>
          <w:sz w:val="24"/>
          <w:highlight w:val="none"/>
          <w:lang w:val="zh-CN"/>
        </w:rPr>
      </w:pPr>
    </w:p>
    <w:p>
      <w:pPr>
        <w:tabs>
          <w:tab w:val="left" w:pos="8280"/>
        </w:tabs>
        <w:spacing w:line="360" w:lineRule="auto"/>
        <w:ind w:firstLine="632" w:firstLineChars="225"/>
        <w:rPr>
          <w:rFonts w:ascii="仿宋" w:hAnsi="仿宋" w:eastAsia="仿宋" w:cs="仿宋"/>
          <w:b/>
          <w:sz w:val="28"/>
          <w:szCs w:val="28"/>
          <w:highlight w:val="none"/>
          <w:lang w:val="zh-CN"/>
        </w:rPr>
      </w:pPr>
      <w:r>
        <w:rPr>
          <w:rFonts w:hint="eastAsia" w:ascii="仿宋" w:hAnsi="仿宋" w:eastAsia="仿宋" w:cs="仿宋"/>
          <w:b/>
          <w:sz w:val="28"/>
          <w:szCs w:val="28"/>
          <w:highlight w:val="none"/>
          <w:lang w:val="zh-CN"/>
        </w:rPr>
        <w:t>（一）推荐拟中标候选人</w:t>
      </w:r>
    </w:p>
    <w:p>
      <w:pPr>
        <w:tabs>
          <w:tab w:val="left" w:pos="8280"/>
        </w:tabs>
        <w:spacing w:line="360" w:lineRule="auto"/>
        <w:ind w:firstLine="630" w:firstLineChars="225"/>
        <w:rPr>
          <w:rFonts w:ascii="仿宋" w:hAnsi="仿宋" w:eastAsia="仿宋" w:cs="仿宋"/>
          <w:bCs/>
          <w:sz w:val="28"/>
          <w:szCs w:val="28"/>
          <w:highlight w:val="none"/>
        </w:rPr>
      </w:pPr>
      <w:r>
        <w:rPr>
          <w:rFonts w:hint="eastAsia" w:ascii="仿宋" w:hAnsi="仿宋" w:eastAsia="仿宋" w:cs="仿宋"/>
          <w:sz w:val="28"/>
          <w:szCs w:val="28"/>
          <w:highlight w:val="none"/>
          <w:lang w:val="zh-CN"/>
        </w:rPr>
        <w:t>由评标委员会集体按照经署名确认的汇总得分排序顺序，</w:t>
      </w:r>
      <w:r>
        <w:rPr>
          <w:rFonts w:hint="eastAsia" w:ascii="仿宋" w:hAnsi="仿宋" w:eastAsia="仿宋" w:cs="仿宋"/>
          <w:bCs/>
          <w:sz w:val="28"/>
          <w:szCs w:val="28"/>
          <w:highlight w:val="none"/>
        </w:rPr>
        <w:t>推荐拟中标候选人。</w:t>
      </w:r>
    </w:p>
    <w:p>
      <w:pPr>
        <w:tabs>
          <w:tab w:val="left" w:pos="8280"/>
        </w:tabs>
        <w:spacing w:line="360" w:lineRule="auto"/>
        <w:ind w:firstLine="630" w:firstLineChars="225"/>
        <w:rPr>
          <w:rFonts w:ascii="仿宋" w:hAnsi="仿宋" w:eastAsia="仿宋" w:cs="仿宋"/>
          <w:bCs/>
          <w:sz w:val="28"/>
          <w:szCs w:val="28"/>
          <w:highlight w:val="none"/>
        </w:rPr>
      </w:pPr>
      <w:r>
        <w:rPr>
          <w:rFonts w:hint="eastAsia" w:ascii="仿宋" w:hAnsi="仿宋" w:eastAsia="仿宋" w:cs="仿宋"/>
          <w:bCs/>
          <w:sz w:val="28"/>
          <w:szCs w:val="28"/>
          <w:highlight w:val="none"/>
        </w:rPr>
        <w:t>推荐拟中标候选供应商数量应当根据采购需要确定，应当限定在一至三人，并标明排列顺序。排序第一位的为推荐的</w:t>
      </w:r>
      <w:r>
        <w:rPr>
          <w:rFonts w:hint="eastAsia" w:ascii="仿宋" w:hAnsi="仿宋" w:eastAsia="仿宋" w:cs="仿宋"/>
          <w:sz w:val="28"/>
          <w:szCs w:val="28"/>
          <w:highlight w:val="none"/>
        </w:rPr>
        <w:t>第一拟中标供应商。</w:t>
      </w:r>
    </w:p>
    <w:p>
      <w:pPr>
        <w:tabs>
          <w:tab w:val="left" w:pos="8280"/>
        </w:tabs>
        <w:spacing w:line="360" w:lineRule="auto"/>
        <w:ind w:firstLine="630" w:firstLineChars="225"/>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投标方</w:t>
      </w:r>
      <w:r>
        <w:rPr>
          <w:rFonts w:hint="eastAsia" w:ascii="仿宋" w:hAnsi="仿宋" w:eastAsia="仿宋" w:cs="仿宋"/>
          <w:bCs/>
          <w:sz w:val="28"/>
          <w:szCs w:val="28"/>
          <w:highlight w:val="none"/>
        </w:rPr>
        <w:t>最低投标报价不是唯一中标条件</w:t>
      </w:r>
      <w:r>
        <w:rPr>
          <w:rFonts w:hint="eastAsia" w:ascii="仿宋" w:hAnsi="仿宋" w:eastAsia="仿宋" w:cs="仿宋"/>
          <w:sz w:val="28"/>
          <w:szCs w:val="28"/>
          <w:highlight w:val="none"/>
          <w:lang w:val="zh-CN"/>
        </w:rPr>
        <w:t>。对资格资质审查和符合性审查合格的投标报价文件完整无缺、最大限度的满足招标文件需求的投标方，中标机会均等。</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rPr>
        <w:t>如汇总得分排序后出现</w:t>
      </w:r>
      <w:r>
        <w:rPr>
          <w:rFonts w:hint="eastAsia" w:ascii="仿宋" w:hAnsi="仿宋" w:eastAsia="仿宋" w:cs="仿宋"/>
          <w:bCs/>
          <w:sz w:val="28"/>
          <w:szCs w:val="28"/>
          <w:highlight w:val="none"/>
        </w:rPr>
        <w:t>推荐拟中标候选人</w:t>
      </w:r>
      <w:r>
        <w:rPr>
          <w:rFonts w:hint="eastAsia" w:ascii="仿宋" w:hAnsi="仿宋" w:eastAsia="仿宋" w:cs="仿宋"/>
          <w:sz w:val="28"/>
          <w:szCs w:val="28"/>
          <w:highlight w:val="none"/>
        </w:rPr>
        <w:t>得分相同的，评标委员会只对取得得分前三位供应商，按照</w:t>
      </w:r>
      <w:r>
        <w:rPr>
          <w:rFonts w:hint="eastAsia" w:ascii="仿宋" w:hAnsi="仿宋" w:eastAsia="仿宋" w:cs="仿宋"/>
          <w:sz w:val="28"/>
          <w:szCs w:val="28"/>
          <w:highlight w:val="none"/>
          <w:lang w:val="zh-CN"/>
        </w:rPr>
        <w:t>其报价由低到高顺序排列；得分且其报价相等的，则按核心技术指标优劣顺序排列。价格、技术指标的高</w:t>
      </w:r>
      <w:r>
        <w:rPr>
          <w:rFonts w:hint="eastAsia" w:ascii="仿宋" w:hAnsi="仿宋" w:eastAsia="仿宋" w:cs="仿宋"/>
          <w:sz w:val="28"/>
          <w:szCs w:val="28"/>
          <w:highlight w:val="none"/>
        </w:rPr>
        <w:t>低或优劣由评标委员会集体进行综合确认评定。排序在前三位之后的，按原排序不变，允许排序并列。</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lang w:val="zh-CN"/>
        </w:rPr>
        <w:t>由招标方对未推荐拟中标候选人、确认废标的，进行核对汇总后，由评标委员会各成员签署确认。</w:t>
      </w:r>
    </w:p>
    <w:p>
      <w:pPr>
        <w:tabs>
          <w:tab w:val="left" w:pos="8280"/>
        </w:tabs>
        <w:spacing w:line="360" w:lineRule="auto"/>
        <w:ind w:firstLine="632" w:firstLineChars="225"/>
        <w:rPr>
          <w:rFonts w:ascii="仿宋" w:hAnsi="仿宋" w:eastAsia="仿宋" w:cs="仿宋"/>
          <w:b/>
          <w:sz w:val="28"/>
          <w:szCs w:val="28"/>
          <w:highlight w:val="none"/>
          <w:lang w:val="zh-CN"/>
        </w:rPr>
      </w:pPr>
      <w:r>
        <w:rPr>
          <w:rFonts w:hint="eastAsia" w:ascii="仿宋" w:hAnsi="仿宋" w:eastAsia="仿宋" w:cs="仿宋"/>
          <w:b/>
          <w:sz w:val="28"/>
          <w:szCs w:val="28"/>
          <w:highlight w:val="none"/>
          <w:lang w:val="zh-CN"/>
        </w:rPr>
        <w:t>（二）编写评标报告</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lang w:val="zh-CN"/>
        </w:rPr>
        <w:t>评标委员会</w:t>
      </w:r>
      <w:r>
        <w:rPr>
          <w:rFonts w:hint="eastAsia" w:ascii="仿宋" w:hAnsi="仿宋" w:eastAsia="仿宋" w:cs="仿宋"/>
          <w:sz w:val="28"/>
          <w:szCs w:val="28"/>
          <w:highlight w:val="none"/>
        </w:rPr>
        <w:t>根据全体成员签字的评标（评审）原始记录和结果，编写评标报告，并现场提交给招标方。编写的评标报告要符合招标文件的要求。</w:t>
      </w:r>
    </w:p>
    <w:p>
      <w:pPr>
        <w:tabs>
          <w:tab w:val="left" w:pos="8280"/>
        </w:tabs>
        <w:spacing w:line="360" w:lineRule="auto"/>
        <w:ind w:firstLine="632" w:firstLineChars="225"/>
        <w:rPr>
          <w:rFonts w:ascii="仿宋" w:hAnsi="仿宋" w:eastAsia="仿宋" w:cs="仿宋"/>
          <w:b/>
          <w:sz w:val="28"/>
          <w:szCs w:val="28"/>
          <w:highlight w:val="none"/>
        </w:rPr>
      </w:pPr>
      <w:r>
        <w:rPr>
          <w:rFonts w:hint="eastAsia" w:ascii="仿宋" w:hAnsi="仿宋" w:eastAsia="仿宋" w:cs="仿宋"/>
          <w:b/>
          <w:sz w:val="28"/>
          <w:szCs w:val="28"/>
          <w:highlight w:val="none"/>
        </w:rPr>
        <w:t>（三）评标结束</w:t>
      </w:r>
    </w:p>
    <w:p>
      <w:pPr>
        <w:tabs>
          <w:tab w:val="left" w:pos="8280"/>
        </w:tabs>
        <w:spacing w:line="360" w:lineRule="auto"/>
        <w:ind w:firstLine="630" w:firstLineChars="225"/>
        <w:rPr>
          <w:rFonts w:ascii="仿宋" w:hAnsi="仿宋" w:eastAsia="仿宋" w:cs="仿宋"/>
          <w:b/>
          <w:sz w:val="28"/>
          <w:szCs w:val="28"/>
          <w:highlight w:val="none"/>
        </w:rPr>
      </w:pPr>
      <w:r>
        <w:rPr>
          <w:rFonts w:hint="eastAsia" w:ascii="仿宋" w:hAnsi="仿宋" w:eastAsia="仿宋" w:cs="仿宋"/>
          <w:sz w:val="28"/>
          <w:szCs w:val="28"/>
          <w:highlight w:val="none"/>
        </w:rPr>
        <w:t>招标方应按规定时间，通知全部参与本次招标投标有效的供应商入场，进行会议总结，宣布本次</w:t>
      </w:r>
      <w:r>
        <w:rPr>
          <w:rFonts w:hint="eastAsia" w:ascii="仿宋" w:hAnsi="仿宋" w:eastAsia="仿宋" w:cs="仿宋"/>
          <w:sz w:val="28"/>
          <w:szCs w:val="28"/>
          <w:highlight w:val="none"/>
          <w:lang w:val="zh-CN"/>
        </w:rPr>
        <w:t>评标委员会</w:t>
      </w:r>
      <w:r>
        <w:rPr>
          <w:rFonts w:hint="eastAsia" w:ascii="仿宋" w:hAnsi="仿宋" w:eastAsia="仿宋" w:cs="仿宋"/>
          <w:sz w:val="28"/>
          <w:szCs w:val="28"/>
          <w:highlight w:val="none"/>
        </w:rPr>
        <w:t>推荐的第一拟中标供应商名单。</w:t>
      </w:r>
    </w:p>
    <w:p>
      <w:pPr>
        <w:tabs>
          <w:tab w:val="left" w:pos="8280"/>
        </w:tabs>
        <w:spacing w:line="360" w:lineRule="auto"/>
        <w:ind w:firstLine="630" w:firstLineChars="225"/>
        <w:rPr>
          <w:rFonts w:ascii="仿宋" w:hAnsi="仿宋" w:eastAsia="仿宋" w:cs="仿宋"/>
          <w:b/>
          <w:sz w:val="28"/>
          <w:szCs w:val="28"/>
          <w:highlight w:val="none"/>
        </w:rPr>
      </w:pPr>
      <w:r>
        <w:rPr>
          <w:rFonts w:hint="eastAsia" w:ascii="仿宋" w:hAnsi="仿宋" w:eastAsia="仿宋" w:cs="仿宋"/>
          <w:sz w:val="28"/>
          <w:szCs w:val="28"/>
          <w:highlight w:val="none"/>
        </w:rPr>
        <w:t>评标小组各成员名单不公开。</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rPr>
        <w:t>由招标方宣读有关招标信息公告、中标确认原则及质疑（投诉）事项等说明。</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rPr>
        <w:t>在宣布会议结束后，招标方均有义务告知所有投标供应商办理投标保证金的退付手续。</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pPr>
        <w:spacing w:line="360" w:lineRule="auto"/>
        <w:jc w:val="center"/>
        <w:rPr>
          <w:rFonts w:ascii="仿宋" w:hAnsi="仿宋" w:eastAsia="仿宋" w:cs="仿宋"/>
          <w:b/>
          <w:color w:val="000000"/>
          <w:sz w:val="32"/>
          <w:szCs w:val="32"/>
          <w:highlight w:val="none"/>
          <w:shd w:val="clear" w:color="auto" w:fill="FFFFFF"/>
        </w:rPr>
      </w:pPr>
      <w:r>
        <w:rPr>
          <w:rFonts w:hint="eastAsia" w:ascii="仿宋" w:hAnsi="仿宋" w:eastAsia="仿宋" w:cs="仿宋"/>
          <w:b/>
          <w:color w:val="000000"/>
          <w:sz w:val="32"/>
          <w:szCs w:val="32"/>
          <w:highlight w:val="none"/>
          <w:shd w:val="clear" w:color="auto" w:fill="FFFFFF"/>
        </w:rPr>
        <w:t>七、定标</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rPr>
        <w:t>（一）招标方根据评标委员会的评标报告，在评标结束后，将中标结果在省级以上财政部门指定的信息发布媒体上公告1个工作日，在公告中标结果的同时，招标方向中标投标人发出《中标通知书》。</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rPr>
        <w:t>（二）成交投标人领取《成交通知书》时，须向招标方提交招标代理服务费，拒绝提交的，视为放弃成交项目。</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rPr>
        <w:t>（三）履约保证金</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rPr>
        <w:t>1、成交投标人须将履约保证金交到采购方指定帐户。</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rPr>
        <w:t>2、待服务合同执行期满，由采购方无息退还。</w:t>
      </w:r>
    </w:p>
    <w:p>
      <w:pPr>
        <w:tabs>
          <w:tab w:val="left" w:pos="8280"/>
        </w:tabs>
        <w:spacing w:line="360" w:lineRule="auto"/>
        <w:ind w:firstLine="630" w:firstLineChars="225"/>
        <w:rPr>
          <w:rFonts w:ascii="仿宋" w:hAnsi="仿宋" w:eastAsia="仿宋" w:cs="仿宋"/>
          <w:sz w:val="28"/>
          <w:szCs w:val="28"/>
          <w:highlight w:val="none"/>
        </w:rPr>
      </w:pPr>
      <w:r>
        <w:rPr>
          <w:rFonts w:hint="eastAsia" w:ascii="仿宋" w:hAnsi="仿宋" w:eastAsia="仿宋" w:cs="仿宋"/>
          <w:sz w:val="28"/>
          <w:szCs w:val="28"/>
          <w:highlight w:val="none"/>
        </w:rPr>
        <w:t>3、中标投标人提交的合同履约保证金，其有效期限应不低于合同有效期。</w:t>
      </w:r>
    </w:p>
    <w:p>
      <w:pPr>
        <w:spacing w:line="360" w:lineRule="auto"/>
        <w:jc w:val="center"/>
        <w:rPr>
          <w:rFonts w:ascii="仿宋" w:hAnsi="仿宋" w:eastAsia="仿宋" w:cs="仿宋"/>
          <w:b/>
          <w:color w:val="000000"/>
          <w:sz w:val="32"/>
          <w:szCs w:val="32"/>
          <w:highlight w:val="none"/>
          <w:shd w:val="clear" w:color="auto" w:fill="FFFFFF"/>
        </w:rPr>
      </w:pPr>
      <w:r>
        <w:rPr>
          <w:rFonts w:hint="eastAsia" w:ascii="仿宋" w:hAnsi="仿宋" w:eastAsia="仿宋" w:cs="仿宋"/>
          <w:b/>
          <w:color w:val="000000"/>
          <w:sz w:val="32"/>
          <w:szCs w:val="32"/>
          <w:highlight w:val="none"/>
          <w:shd w:val="clear" w:color="auto" w:fill="FFFFFF"/>
        </w:rPr>
        <w:t>八、</w:t>
      </w:r>
      <w:bookmarkStart w:id="53" w:name="_Toc177870556"/>
      <w:r>
        <w:rPr>
          <w:rFonts w:hint="eastAsia" w:ascii="仿宋" w:hAnsi="仿宋" w:eastAsia="仿宋" w:cs="仿宋"/>
          <w:b/>
          <w:color w:val="000000"/>
          <w:sz w:val="32"/>
          <w:szCs w:val="32"/>
          <w:highlight w:val="none"/>
          <w:shd w:val="clear" w:color="auto" w:fill="FFFFFF"/>
        </w:rPr>
        <w:t>合同</w:t>
      </w:r>
      <w:bookmarkEnd w:id="53"/>
    </w:p>
    <w:p>
      <w:pPr>
        <w:spacing w:line="360" w:lineRule="auto"/>
        <w:ind w:firstLine="562" w:firstLineChars="200"/>
        <w:rPr>
          <w:rFonts w:ascii="仿宋" w:hAnsi="仿宋" w:eastAsia="仿宋" w:cs="仿宋"/>
          <w:b/>
          <w:sz w:val="28"/>
          <w:szCs w:val="28"/>
          <w:highlight w:val="none"/>
          <w:shd w:val="clear" w:color="auto" w:fill="FFFFFF"/>
        </w:rPr>
      </w:pPr>
      <w:r>
        <w:rPr>
          <w:rFonts w:hint="eastAsia" w:ascii="仿宋" w:hAnsi="仿宋" w:eastAsia="仿宋" w:cs="仿宋"/>
          <w:b/>
          <w:sz w:val="28"/>
          <w:szCs w:val="28"/>
          <w:highlight w:val="none"/>
          <w:shd w:val="clear" w:color="auto" w:fill="FFFFFF"/>
        </w:rPr>
        <w:t>（一）签订合同</w:t>
      </w:r>
    </w:p>
    <w:p>
      <w:pPr>
        <w:autoSpaceDE w:val="0"/>
        <w:autoSpaceDN w:val="0"/>
        <w:adjustRightInd w:val="0"/>
        <w:spacing w:line="360" w:lineRule="auto"/>
        <w:ind w:firstLine="472"/>
        <w:rPr>
          <w:rFonts w:ascii="仿宋" w:hAnsi="仿宋" w:eastAsia="仿宋" w:cs="仿宋"/>
          <w:sz w:val="28"/>
          <w:szCs w:val="28"/>
          <w:highlight w:val="none"/>
          <w:lang w:val="zh-CN"/>
        </w:rPr>
      </w:pPr>
      <w:r>
        <w:rPr>
          <w:rFonts w:hint="eastAsia" w:ascii="仿宋" w:hAnsi="仿宋" w:eastAsia="仿宋" w:cs="仿宋"/>
          <w:sz w:val="28"/>
          <w:szCs w:val="28"/>
          <w:highlight w:val="none"/>
        </w:rPr>
        <w:t>中标供应商应当自《中标通知书》发出之日起30日内，</w:t>
      </w:r>
      <w:r>
        <w:rPr>
          <w:rFonts w:hint="eastAsia" w:ascii="仿宋" w:hAnsi="仿宋" w:eastAsia="仿宋" w:cs="仿宋"/>
          <w:sz w:val="28"/>
          <w:szCs w:val="28"/>
          <w:highlight w:val="none"/>
          <w:lang w:val="zh-CN"/>
        </w:rPr>
        <w:t>按照招标方招标文件的约定和中标方投标文件中的承诺与采购单位签订书面合同，所签订的合同不得对招标方招标文件和中标方的投标文件作实质性修改。</w:t>
      </w:r>
    </w:p>
    <w:p>
      <w:pPr>
        <w:autoSpaceDE w:val="0"/>
        <w:autoSpaceDN w:val="0"/>
        <w:adjustRightIn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采购单位不得向中标供应商提出任何不合理要求作为签订合同的条件，不得与中标供应商私下订立背离合同实质性内容的协议。</w:t>
      </w:r>
    </w:p>
    <w:p>
      <w:pPr>
        <w:autoSpaceDE w:val="0"/>
        <w:autoSpaceDN w:val="0"/>
        <w:adjustRightInd w:val="0"/>
        <w:spacing w:line="360" w:lineRule="auto"/>
        <w:ind w:firstLine="472"/>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合同的双方当事人不得擅自变更、中止或者终止合同。</w:t>
      </w:r>
    </w:p>
    <w:p>
      <w:pPr>
        <w:autoSpaceDE w:val="0"/>
        <w:autoSpaceDN w:val="0"/>
        <w:adjustRightInd w:val="0"/>
        <w:spacing w:line="360" w:lineRule="auto"/>
        <w:ind w:firstLine="472"/>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合同继续履行将损害国家利益和社会公共利益的，双方当事人应当变更、中止或者终止合同。有过错的一方承担赔偿责任，双方都有过错的，各自承担相应责任。</w:t>
      </w:r>
    </w:p>
    <w:p>
      <w:pPr>
        <w:autoSpaceDE w:val="0"/>
        <w:autoSpaceDN w:val="0"/>
        <w:adjustRightIn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合同履行中，采购人需追加与合同标的相同的货物、工程或者服务的，在不改变其他条款的前提下，可以与供应商签订补充合同，所有补充合同的采购金额不得超过原合同金额的10%。</w:t>
      </w:r>
    </w:p>
    <w:p>
      <w:pPr>
        <w:autoSpaceDE w:val="0"/>
        <w:autoSpaceDN w:val="0"/>
        <w:adjustRightIn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招标方的招标文件、中标方的投标文件及其澄清、询标（答疑）文件等，均做为签订合同的法律依据。</w:t>
      </w:r>
    </w:p>
    <w:p>
      <w:pPr>
        <w:autoSpaceDE w:val="0"/>
        <w:autoSpaceDN w:val="0"/>
        <w:adjustRightIn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在未经采购人允许的情况下，不允许中标人将成交项目分包或转交他人承担。而且，采购人和招标方也不得直接指定分包人。</w:t>
      </w:r>
    </w:p>
    <w:p>
      <w:pPr>
        <w:autoSpaceDE w:val="0"/>
        <w:autoSpaceDN w:val="0"/>
        <w:adjustRightIn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经采购人同意，中标供应商可以依法采取分包方式履行合同。合同分包履行的，中标供应商就采购项目和分包项目向采购人负责，分包供应商向分包项目承担责任。</w:t>
      </w:r>
    </w:p>
    <w:p>
      <w:pPr>
        <w:autoSpaceDE w:val="0"/>
        <w:autoSpaceDN w:val="0"/>
        <w:adjustRightIn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对于不具备分包条件或者不符合分包规定的，</w:t>
      </w: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val="zh-CN"/>
        </w:rPr>
        <w:t>有权在签订合同或中标供应商提出分包要求时予以拒绝。如发现中标供应商转包或违法分包时，有权要求其改正；拒不改正的，有权要求终止合同，并报请有关行政监督部门查处。</w:t>
      </w:r>
    </w:p>
    <w:p>
      <w:pPr>
        <w:autoSpaceDE w:val="0"/>
        <w:autoSpaceDN w:val="0"/>
        <w:adjustRightIn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中标供应商必须与采购人协商后，共同决定将合同标的中的部分由第三方承担供货和服务责任，但中标供应商必须对合同标的的全部内容向采购人负责，并保证第三方提供的供货和服务符合招标方招标文件的约定和其投标文件的承诺及相关约定。</w:t>
      </w:r>
    </w:p>
    <w:p>
      <w:pPr>
        <w:spacing w:line="360" w:lineRule="auto"/>
        <w:ind w:firstLine="562" w:firstLineChars="200"/>
        <w:rPr>
          <w:rFonts w:ascii="仿宋" w:hAnsi="仿宋" w:eastAsia="仿宋" w:cs="仿宋"/>
          <w:b/>
          <w:color w:val="000000"/>
          <w:sz w:val="28"/>
          <w:szCs w:val="28"/>
          <w:highlight w:val="none"/>
          <w:shd w:val="clear" w:color="auto" w:fill="FFFFFF"/>
        </w:rPr>
      </w:pPr>
      <w:r>
        <w:rPr>
          <w:rFonts w:hint="eastAsia" w:ascii="仿宋" w:hAnsi="仿宋" w:eastAsia="仿宋" w:cs="仿宋"/>
          <w:b/>
          <w:sz w:val="28"/>
          <w:szCs w:val="28"/>
          <w:highlight w:val="none"/>
          <w:shd w:val="clear" w:color="auto" w:fill="FFFFFF"/>
        </w:rPr>
        <w:t>（二）</w:t>
      </w:r>
      <w:r>
        <w:rPr>
          <w:rFonts w:hint="eastAsia" w:ascii="仿宋" w:hAnsi="仿宋" w:eastAsia="仿宋" w:cs="仿宋"/>
          <w:b/>
          <w:color w:val="000000"/>
          <w:sz w:val="28"/>
          <w:szCs w:val="28"/>
          <w:highlight w:val="none"/>
          <w:shd w:val="clear" w:color="auto" w:fill="FFFFFF"/>
        </w:rPr>
        <w:t>对投标人不良行为的处罚</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投标人发生下列情形之一的，将被列入不良行为记录名单，在一至三年内禁止参加政府采购活动。</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1、提供虚假资料谋取中标的;</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2、采取不正当手段诋毁、排挤其他供应商的;</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3、与采购人、其他供应商或集中采购机构恶意串通的;</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4、向采购人、集中采购机构行贿或者提供其他不正当利益的；</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5、在公开招标采购过程中与采购人进行协商谈判的；</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6、拒绝有关部门监督检查或提供虚假情况的；</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投标人有前六项情形之一的，中标结果无效。</w:t>
      </w:r>
    </w:p>
    <w:p>
      <w:pPr>
        <w:pStyle w:val="40"/>
        <w:rPr>
          <w:rFonts w:ascii="仿宋" w:hAnsi="仿宋" w:eastAsia="仿宋" w:cs="仿宋"/>
          <w:bCs/>
          <w:color w:val="auto"/>
          <w:highlight w:val="none"/>
        </w:rPr>
      </w:pPr>
    </w:p>
    <w:p>
      <w:pPr>
        <w:pStyle w:val="40"/>
        <w:rPr>
          <w:rFonts w:ascii="仿宋" w:hAnsi="仿宋" w:eastAsia="仿宋" w:cs="仿宋"/>
          <w:bCs/>
          <w:color w:val="auto"/>
          <w:highlight w:val="none"/>
        </w:rPr>
      </w:pPr>
    </w:p>
    <w:p>
      <w:pPr>
        <w:pStyle w:val="40"/>
        <w:rPr>
          <w:rFonts w:ascii="仿宋" w:hAnsi="仿宋" w:eastAsia="仿宋" w:cs="仿宋"/>
          <w:bCs/>
          <w:color w:val="auto"/>
          <w:highlight w:val="none"/>
        </w:rPr>
      </w:pPr>
    </w:p>
    <w:p>
      <w:pPr>
        <w:rPr>
          <w:rFonts w:hint="eastAsia" w:ascii="仿宋" w:hAnsi="仿宋" w:eastAsia="仿宋" w:cs="仿宋"/>
          <w:b/>
          <w:sz w:val="36"/>
          <w:highlight w:val="none"/>
        </w:rPr>
      </w:pPr>
      <w:r>
        <w:rPr>
          <w:rFonts w:hint="eastAsia" w:ascii="仿宋" w:hAnsi="仿宋" w:eastAsia="仿宋" w:cs="仿宋"/>
          <w:b/>
          <w:sz w:val="36"/>
          <w:highlight w:val="none"/>
        </w:rPr>
        <w:br w:type="page"/>
      </w:r>
    </w:p>
    <w:p>
      <w:pPr>
        <w:pStyle w:val="18"/>
        <w:spacing w:line="360" w:lineRule="auto"/>
        <w:ind w:firstLine="0"/>
        <w:jc w:val="center"/>
        <w:outlineLvl w:val="0"/>
        <w:rPr>
          <w:rFonts w:ascii="仿宋" w:hAnsi="仿宋" w:eastAsia="仿宋" w:cs="仿宋"/>
          <w:b/>
          <w:sz w:val="36"/>
          <w:highlight w:val="none"/>
        </w:rPr>
      </w:pPr>
      <w:bookmarkStart w:id="54" w:name="_Toc6389"/>
      <w:r>
        <w:rPr>
          <w:rFonts w:hint="eastAsia" w:ascii="仿宋" w:hAnsi="仿宋" w:eastAsia="仿宋" w:cs="仿宋"/>
          <w:b/>
          <w:sz w:val="36"/>
          <w:highlight w:val="none"/>
        </w:rPr>
        <w:t>第</w:t>
      </w:r>
      <w:r>
        <w:rPr>
          <w:rFonts w:hint="eastAsia" w:ascii="仿宋" w:hAnsi="仿宋" w:eastAsia="仿宋" w:cs="仿宋"/>
          <w:b/>
          <w:sz w:val="36"/>
          <w:highlight w:val="none"/>
          <w:lang w:val="en-US" w:eastAsia="zh-CN"/>
        </w:rPr>
        <w:t xml:space="preserve">五章 </w:t>
      </w:r>
      <w:r>
        <w:rPr>
          <w:rFonts w:hint="eastAsia" w:ascii="仿宋" w:hAnsi="仿宋" w:eastAsia="仿宋" w:cs="仿宋"/>
          <w:b/>
          <w:sz w:val="36"/>
          <w:highlight w:val="none"/>
        </w:rPr>
        <w:t xml:space="preserve"> 技术规格说明</w:t>
      </w:r>
      <w:bookmarkEnd w:id="54"/>
    </w:p>
    <w:p>
      <w:pPr>
        <w:pStyle w:val="41"/>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第一章 产品规格报价明细表</w:t>
      </w:r>
    </w:p>
    <w:p>
      <w:pPr>
        <w:pStyle w:val="41"/>
        <w:spacing w:line="360" w:lineRule="auto"/>
        <w:ind w:firstLine="354" w:firstLineChars="147"/>
        <w:rPr>
          <w:rFonts w:ascii="仿宋" w:hAnsi="仿宋" w:eastAsia="仿宋" w:cs="仿宋"/>
          <w:b/>
          <w:bCs/>
          <w:color w:val="auto"/>
          <w:highlight w:val="none"/>
        </w:rPr>
      </w:pPr>
      <w:r>
        <w:rPr>
          <w:rFonts w:hint="eastAsia" w:ascii="仿宋" w:hAnsi="仿宋" w:eastAsia="仿宋" w:cs="仿宋"/>
          <w:b/>
          <w:bCs/>
          <w:color w:val="auto"/>
          <w:highlight w:val="none"/>
        </w:rPr>
        <w:t>一、产品规格报价明细表有关事宜要求说明</w:t>
      </w:r>
    </w:p>
    <w:p>
      <w:pPr>
        <w:pStyle w:val="41"/>
        <w:spacing w:line="360" w:lineRule="auto"/>
        <w:ind w:firstLine="354" w:firstLineChars="147"/>
        <w:rPr>
          <w:rFonts w:ascii="仿宋" w:hAnsi="仿宋" w:eastAsia="仿宋" w:cs="仿宋"/>
          <w:b/>
          <w:bCs/>
          <w:color w:val="auto"/>
          <w:highlight w:val="none"/>
        </w:rPr>
      </w:pPr>
      <w:r>
        <w:rPr>
          <w:rFonts w:hint="eastAsia" w:ascii="仿宋" w:hAnsi="仿宋" w:eastAsia="仿宋" w:cs="仿宋"/>
          <w:b/>
          <w:bCs/>
          <w:color w:val="auto"/>
          <w:highlight w:val="none"/>
        </w:rPr>
        <w:t>1、根据国家有关法律法规，凡技术指标中有品牌、指向某品牌的指标或某品牌独有的专利技术（专有技术），均为参考指标，不做为强制性或限制性指标。</w:t>
      </w:r>
    </w:p>
    <w:p>
      <w:pPr>
        <w:pStyle w:val="41"/>
        <w:spacing w:line="360" w:lineRule="auto"/>
        <w:ind w:firstLine="354" w:firstLineChars="147"/>
        <w:rPr>
          <w:rFonts w:ascii="仿宋" w:hAnsi="仿宋" w:eastAsia="仿宋" w:cs="仿宋"/>
          <w:b/>
          <w:bCs/>
          <w:color w:val="auto"/>
          <w:highlight w:val="none"/>
        </w:rPr>
      </w:pPr>
      <w:r>
        <w:rPr>
          <w:rFonts w:hint="eastAsia" w:ascii="仿宋" w:hAnsi="仿宋" w:eastAsia="仿宋" w:cs="仿宋"/>
          <w:b/>
          <w:bCs/>
          <w:color w:val="auto"/>
          <w:highlight w:val="none"/>
        </w:rPr>
        <w:t>2、所采购产品可能为进口产品或者国产产品，如不做标注说明，均指采购国产产品；如标注为可进口，指进口产品与国产产品机会均等。</w:t>
      </w:r>
    </w:p>
    <w:p>
      <w:pPr>
        <w:pStyle w:val="41"/>
        <w:spacing w:line="360" w:lineRule="auto"/>
        <w:ind w:firstLine="354" w:firstLineChars="147"/>
        <w:rPr>
          <w:rFonts w:ascii="仿宋" w:hAnsi="仿宋" w:eastAsia="仿宋" w:cs="仿宋"/>
          <w:b/>
          <w:bCs/>
          <w:color w:val="auto"/>
          <w:highlight w:val="none"/>
        </w:rPr>
      </w:pPr>
      <w:r>
        <w:rPr>
          <w:rFonts w:hint="eastAsia" w:ascii="仿宋" w:hAnsi="仿宋" w:eastAsia="仿宋" w:cs="仿宋"/>
          <w:b/>
          <w:bCs/>
          <w:color w:val="auto"/>
          <w:highlight w:val="none"/>
        </w:rPr>
        <w:t>3、进口产品采购，采购人必须向招标方提供审批手续。如未能提供或没有审批手续的，在评标过程中，如发现有进口产品的，将取消投标人的投标权利；评标结束后，已确认中标的，也将取消其中标资格。</w:t>
      </w:r>
    </w:p>
    <w:p>
      <w:pPr>
        <w:pStyle w:val="41"/>
        <w:spacing w:line="360" w:lineRule="auto"/>
        <w:ind w:firstLine="354" w:firstLineChars="147"/>
        <w:rPr>
          <w:rFonts w:ascii="仿宋" w:hAnsi="仿宋" w:eastAsia="仿宋" w:cs="仿宋"/>
          <w:b/>
          <w:bCs/>
          <w:color w:val="auto"/>
          <w:highlight w:val="none"/>
        </w:rPr>
      </w:pPr>
      <w:r>
        <w:rPr>
          <w:rFonts w:hint="eastAsia" w:ascii="仿宋" w:hAnsi="仿宋" w:eastAsia="仿宋" w:cs="仿宋"/>
          <w:b/>
          <w:bCs/>
          <w:color w:val="auto"/>
          <w:highlight w:val="none"/>
        </w:rPr>
        <w:t>4、所投采购产品的产地应在备注中说明。</w:t>
      </w:r>
    </w:p>
    <w:p>
      <w:pPr>
        <w:pStyle w:val="41"/>
        <w:spacing w:line="360" w:lineRule="auto"/>
        <w:ind w:firstLine="354" w:firstLineChars="147"/>
        <w:rPr>
          <w:rFonts w:ascii="仿宋" w:hAnsi="仿宋" w:eastAsia="仿宋" w:cs="仿宋"/>
          <w:b/>
          <w:bCs/>
          <w:color w:val="auto"/>
          <w:highlight w:val="none"/>
        </w:rPr>
      </w:pPr>
      <w:r>
        <w:rPr>
          <w:rFonts w:hint="eastAsia" w:ascii="仿宋" w:hAnsi="仿宋" w:eastAsia="仿宋" w:cs="仿宋"/>
          <w:b/>
          <w:bCs/>
          <w:color w:val="auto"/>
          <w:highlight w:val="none"/>
        </w:rPr>
        <w:t>5、如果在《产品规格报价明细表》中不能表述完整或全面的，应当对主要技术参数及需求作附件补充说明，所作附件补充说明与《产品规格报价明细表》具有同等地位。</w:t>
      </w:r>
    </w:p>
    <w:p>
      <w:pPr>
        <w:pStyle w:val="41"/>
        <w:spacing w:line="360" w:lineRule="auto"/>
        <w:ind w:firstLine="354" w:firstLineChars="147"/>
        <w:rPr>
          <w:rFonts w:hint="eastAsia" w:ascii="仿宋" w:hAnsi="仿宋" w:eastAsia="仿宋" w:cs="仿宋"/>
          <w:b/>
          <w:bCs/>
          <w:color w:val="auto"/>
          <w:highlight w:val="none"/>
        </w:rPr>
      </w:pPr>
      <w:r>
        <w:rPr>
          <w:rFonts w:hint="eastAsia" w:ascii="仿宋" w:hAnsi="仿宋" w:eastAsia="仿宋" w:cs="仿宋"/>
          <w:b/>
          <w:bCs/>
          <w:color w:val="auto"/>
          <w:highlight w:val="none"/>
        </w:rPr>
        <w:t>6、其他要求说明。</w:t>
      </w:r>
    </w:p>
    <w:p>
      <w:pPr>
        <w:pStyle w:val="41"/>
        <w:spacing w:line="360" w:lineRule="auto"/>
        <w:ind w:firstLine="354" w:firstLineChars="147"/>
        <w:rPr>
          <w:rFonts w:hint="eastAsia" w:ascii="仿宋" w:hAnsi="仿宋" w:eastAsia="仿宋" w:cs="仿宋"/>
          <w:b/>
          <w:bCs/>
          <w:color w:val="auto"/>
          <w:highlight w:val="none"/>
        </w:rPr>
      </w:pPr>
    </w:p>
    <w:p>
      <w:pPr>
        <w:pStyle w:val="41"/>
        <w:spacing w:line="360" w:lineRule="auto"/>
        <w:ind w:firstLine="354" w:firstLineChars="147"/>
        <w:rPr>
          <w:rFonts w:hint="eastAsia" w:ascii="仿宋" w:hAnsi="仿宋" w:eastAsia="仿宋" w:cs="仿宋"/>
          <w:b/>
          <w:bCs/>
          <w:color w:val="auto"/>
          <w:highlight w:val="none"/>
        </w:rPr>
      </w:pPr>
    </w:p>
    <w:p>
      <w:pPr>
        <w:pStyle w:val="41"/>
        <w:spacing w:line="360" w:lineRule="auto"/>
        <w:ind w:firstLine="354" w:firstLineChars="147"/>
        <w:rPr>
          <w:rFonts w:hint="eastAsia" w:ascii="仿宋" w:hAnsi="仿宋" w:eastAsia="仿宋" w:cs="仿宋"/>
          <w:b/>
          <w:bCs/>
          <w:color w:val="auto"/>
          <w:highlight w:val="none"/>
        </w:rPr>
      </w:pPr>
    </w:p>
    <w:p>
      <w:pPr>
        <w:pStyle w:val="26"/>
        <w:spacing w:beforeAutospacing="0" w:afterAutospacing="0" w:line="360" w:lineRule="auto"/>
        <w:rPr>
          <w:sz w:val="32"/>
          <w:szCs w:val="32"/>
          <w:highlight w:val="none"/>
        </w:rPr>
      </w:pPr>
    </w:p>
    <w:p>
      <w:pPr>
        <w:pStyle w:val="26"/>
        <w:spacing w:beforeAutospacing="0" w:afterAutospacing="0" w:line="360" w:lineRule="auto"/>
        <w:rPr>
          <w:sz w:val="32"/>
          <w:szCs w:val="32"/>
          <w:highlight w:val="none"/>
        </w:rPr>
      </w:pPr>
    </w:p>
    <w:p>
      <w:pPr>
        <w:pStyle w:val="26"/>
        <w:spacing w:beforeAutospacing="0" w:afterAutospacing="0" w:line="360" w:lineRule="auto"/>
        <w:rPr>
          <w:sz w:val="32"/>
          <w:szCs w:val="32"/>
          <w:highlight w:val="none"/>
        </w:rPr>
      </w:pPr>
    </w:p>
    <w:p>
      <w:pPr>
        <w:pStyle w:val="26"/>
        <w:spacing w:beforeAutospacing="0" w:afterAutospacing="0" w:line="360" w:lineRule="auto"/>
        <w:rPr>
          <w:sz w:val="32"/>
          <w:szCs w:val="32"/>
          <w:highlight w:val="none"/>
        </w:rPr>
      </w:pPr>
    </w:p>
    <w:p>
      <w:pPr>
        <w:jc w:val="center"/>
        <w:rPr>
          <w:rFonts w:hint="default" w:ascii="宋体" w:hAnsi="宋体" w:eastAsia="宋体" w:cs="宋体"/>
          <w:b/>
          <w:sz w:val="32"/>
          <w:szCs w:val="32"/>
          <w:lang w:val="en-US" w:eastAsia="zh-CN"/>
        </w:rPr>
      </w:pPr>
      <w:r>
        <w:rPr>
          <w:rFonts w:hint="eastAsia" w:ascii="仿宋" w:hAnsi="仿宋" w:eastAsia="仿宋" w:cs="仿宋"/>
          <w:b/>
          <w:bCs/>
          <w:kern w:val="0"/>
          <w:sz w:val="28"/>
          <w:szCs w:val="28"/>
          <w:highlight w:val="none"/>
          <w:lang w:eastAsia="zh-CN"/>
        </w:rPr>
        <w:br w:type="page"/>
      </w:r>
      <w:bookmarkStart w:id="55" w:name="_Toc536445654"/>
      <w:r>
        <w:rPr>
          <w:rFonts w:hint="eastAsia" w:ascii="宋体" w:hAnsi="宋体" w:eastAsia="宋体" w:cs="宋体"/>
          <w:b/>
          <w:sz w:val="32"/>
          <w:szCs w:val="32"/>
          <w:lang w:val="en-US" w:eastAsia="zh-CN"/>
        </w:rPr>
        <w:t>民丰县天桥人行过道安装廊架项目采购需求、规格参数</w:t>
      </w:r>
    </w:p>
    <w:p>
      <w:pPr>
        <w:pStyle w:val="3"/>
        <w:keepNext w:val="0"/>
        <w:keepLines w:val="0"/>
        <w:widowControl w:val="0"/>
        <w:suppressLineNumbers w:val="0"/>
        <w:autoSpaceDE w:val="0"/>
        <w:autoSpaceDN/>
        <w:spacing w:before="157" w:beforeLines="50" w:beforeAutospacing="0" w:after="157" w:afterLines="50" w:afterAutospacing="0" w:line="360" w:lineRule="auto"/>
        <w:jc w:val="center"/>
        <w:rPr>
          <w:rFonts w:hint="eastAsia" w:ascii="宋体" w:hAnsi="宋体" w:eastAsia="宋体" w:cs="宋体"/>
          <w:b w:val="0"/>
          <w:bCs/>
          <w:kern w:val="44"/>
          <w:sz w:val="36"/>
          <w:szCs w:val="36"/>
        </w:rPr>
      </w:pPr>
      <w:r>
        <w:rPr>
          <w:rFonts w:hint="eastAsia" w:ascii="宋体" w:hAnsi="宋体" w:eastAsia="宋体" w:cs="宋体"/>
          <w:b w:val="0"/>
          <w:bCs/>
          <w:kern w:val="44"/>
          <w:sz w:val="36"/>
          <w:szCs w:val="36"/>
        </w:rPr>
        <w:t>防腐木天桥人行过道廊架报价清单</w:t>
      </w:r>
    </w:p>
    <w:p>
      <w:pPr>
        <w:pStyle w:val="3"/>
        <w:keepNext/>
        <w:keepLines/>
        <w:widowControl w:val="0"/>
        <w:numPr>
          <w:ilvl w:val="0"/>
          <w:numId w:val="5"/>
        </w:numPr>
        <w:suppressLineNumbers w:val="0"/>
        <w:autoSpaceDE w:val="0"/>
        <w:autoSpaceDN/>
        <w:spacing w:before="157" w:beforeLines="50" w:beforeAutospacing="0" w:after="157" w:afterLines="50" w:afterAutospacing="0" w:line="360" w:lineRule="auto"/>
        <w:ind w:left="0" w:leftChars="0" w:firstLine="0" w:firstLineChars="0"/>
        <w:jc w:val="left"/>
        <w:rPr>
          <w:rFonts w:hint="eastAsia" w:ascii="宋体" w:hAnsi="宋体" w:eastAsia="宋体" w:cs="宋体"/>
          <w:b w:val="0"/>
          <w:bCs/>
          <w:kern w:val="44"/>
          <w:sz w:val="24"/>
          <w:szCs w:val="24"/>
        </w:rPr>
      </w:pPr>
      <w:r>
        <w:rPr>
          <w:rFonts w:hint="eastAsia" w:ascii="宋体" w:hAnsi="宋体" w:eastAsia="宋体" w:cs="宋体"/>
          <w:b/>
          <w:bCs w:val="0"/>
          <w:kern w:val="44"/>
          <w:sz w:val="24"/>
          <w:szCs w:val="24"/>
        </w:rPr>
        <w:t>采购需求：</w:t>
      </w:r>
      <w:r>
        <w:rPr>
          <w:rFonts w:hint="eastAsia" w:ascii="宋体" w:hAnsi="宋体" w:eastAsia="宋体" w:cs="宋体"/>
          <w:b w:val="0"/>
          <w:bCs/>
          <w:kern w:val="44"/>
          <w:sz w:val="24"/>
          <w:szCs w:val="24"/>
        </w:rPr>
        <w:t>在原有过街天桥上加装防腐木廊架、栏杆扶手、廊架</w:t>
      </w:r>
      <w:r>
        <w:rPr>
          <w:rFonts w:hint="eastAsia" w:ascii="宋体" w:hAnsi="宋体" w:eastAsia="宋体" w:cs="宋体"/>
          <w:b w:val="0"/>
          <w:kern w:val="44"/>
          <w:sz w:val="24"/>
          <w:szCs w:val="24"/>
        </w:rPr>
        <w:t>侧面彩绘等</w:t>
      </w:r>
      <w:r>
        <w:rPr>
          <w:rFonts w:hint="eastAsia" w:ascii="宋体" w:hAnsi="宋体" w:eastAsia="宋体" w:cs="宋体"/>
          <w:b w:val="0"/>
          <w:bCs/>
          <w:kern w:val="44"/>
          <w:sz w:val="24"/>
          <w:szCs w:val="24"/>
        </w:rPr>
        <w:t>。</w:t>
      </w:r>
      <w:r>
        <w:rPr>
          <w:rFonts w:hint="eastAsia" w:ascii="宋体" w:hAnsi="宋体" w:eastAsia="宋体" w:cs="宋体"/>
          <w:b w:val="0"/>
          <w:bCs/>
          <w:kern w:val="44"/>
          <w:sz w:val="24"/>
          <w:szCs w:val="24"/>
          <w:highlight w:val="yellow"/>
        </w:rPr>
        <w:t>廊架长度68.5米，栏杆扶手长度129米。</w:t>
      </w:r>
    </w:p>
    <w:p>
      <w:pPr>
        <w:pStyle w:val="3"/>
        <w:keepNext/>
        <w:keepLines/>
        <w:widowControl w:val="0"/>
        <w:numPr>
          <w:ilvl w:val="0"/>
          <w:numId w:val="5"/>
        </w:numPr>
        <w:suppressLineNumbers w:val="0"/>
        <w:autoSpaceDE w:val="0"/>
        <w:autoSpaceDN/>
        <w:spacing w:before="157" w:beforeLines="50" w:beforeAutospacing="0" w:after="157" w:afterLines="50" w:afterAutospacing="0" w:line="360" w:lineRule="auto"/>
        <w:ind w:left="0" w:leftChars="0" w:firstLine="0" w:firstLineChars="0"/>
        <w:jc w:val="left"/>
        <w:rPr>
          <w:rFonts w:hint="eastAsia" w:ascii="宋体" w:hAnsi="宋体" w:eastAsia="宋体" w:cs="宋体"/>
          <w:b/>
          <w:bCs w:val="0"/>
          <w:kern w:val="44"/>
          <w:sz w:val="24"/>
          <w:szCs w:val="24"/>
        </w:rPr>
      </w:pPr>
      <w:r>
        <w:rPr>
          <w:rFonts w:hint="eastAsia" w:ascii="宋体" w:hAnsi="宋体" w:eastAsia="宋体" w:cs="宋体"/>
          <w:b/>
          <w:bCs w:val="0"/>
          <w:kern w:val="44"/>
          <w:sz w:val="24"/>
          <w:szCs w:val="24"/>
        </w:rPr>
        <w:t>规格参数：</w:t>
      </w:r>
    </w:p>
    <w:p>
      <w:pPr>
        <w:pStyle w:val="3"/>
        <w:keepNext/>
        <w:keepLines/>
        <w:widowControl w:val="0"/>
        <w:numPr>
          <w:ilvl w:val="0"/>
          <w:numId w:val="6"/>
        </w:numPr>
        <w:suppressLineNumbers w:val="0"/>
        <w:autoSpaceDE w:val="0"/>
        <w:autoSpaceDN/>
        <w:spacing w:before="157" w:beforeLines="50" w:beforeAutospacing="0" w:after="157" w:afterLines="50" w:afterAutospacing="0" w:line="360" w:lineRule="auto"/>
        <w:ind w:left="425" w:leftChars="0" w:hanging="425" w:firstLineChars="0"/>
        <w:jc w:val="left"/>
        <w:rPr>
          <w:rFonts w:hint="eastAsia" w:ascii="宋体" w:hAnsi="宋体" w:eastAsia="宋体" w:cs="宋体"/>
          <w:b/>
          <w:bCs w:val="0"/>
          <w:kern w:val="44"/>
          <w:sz w:val="24"/>
          <w:szCs w:val="24"/>
        </w:rPr>
      </w:pPr>
      <w:r>
        <w:rPr>
          <w:rFonts w:hint="eastAsia" w:ascii="宋体" w:hAnsi="宋体" w:eastAsia="宋体" w:cs="宋体"/>
          <w:b/>
          <w:bCs w:val="0"/>
          <w:kern w:val="44"/>
          <w:sz w:val="24"/>
          <w:szCs w:val="24"/>
        </w:rPr>
        <w:t>廊架（防腐木）：</w:t>
      </w:r>
    </w:p>
    <w:p>
      <w:pPr>
        <w:pStyle w:val="3"/>
        <w:keepNext/>
        <w:keepLines/>
        <w:widowControl w:val="0"/>
        <w:numPr>
          <w:ilvl w:val="0"/>
          <w:numId w:val="7"/>
        </w:numPr>
        <w:suppressLineNumbers w:val="0"/>
        <w:autoSpaceDE w:val="0"/>
        <w:autoSpaceDN/>
        <w:spacing w:before="157" w:beforeLines="50" w:beforeAutospacing="0" w:after="157" w:afterLines="50" w:afterAutospacing="0" w:line="360" w:lineRule="auto"/>
        <w:ind w:left="0" w:leftChars="0" w:firstLine="480" w:firstLineChars="200"/>
        <w:jc w:val="left"/>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立柱：圆200*4000mm（尺寸：柱与柱横向间距3.7米，滴水直径4米，竖向间距3.5米-4米，固定方式：套进圆钢管中，焊接天桥地面）。</w:t>
      </w:r>
    </w:p>
    <w:p>
      <w:pPr>
        <w:pStyle w:val="3"/>
        <w:keepNext/>
        <w:keepLines/>
        <w:widowControl w:val="0"/>
        <w:numPr>
          <w:ilvl w:val="0"/>
          <w:numId w:val="7"/>
        </w:numPr>
        <w:suppressLineNumbers w:val="0"/>
        <w:autoSpaceDE w:val="0"/>
        <w:autoSpaceDN/>
        <w:spacing w:before="157" w:beforeLines="50" w:beforeAutospacing="0" w:after="157" w:afterLines="50" w:afterAutospacing="0" w:line="360" w:lineRule="auto"/>
        <w:ind w:left="0" w:leftChars="0" w:firstLine="480" w:firstLineChars="200"/>
        <w:jc w:val="left"/>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梁：80*180*4000mm（双道）。</w:t>
      </w:r>
    </w:p>
    <w:p>
      <w:pPr>
        <w:pStyle w:val="3"/>
        <w:keepNext/>
        <w:keepLines/>
        <w:widowControl w:val="0"/>
        <w:numPr>
          <w:ilvl w:val="0"/>
          <w:numId w:val="7"/>
        </w:numPr>
        <w:suppressLineNumbers w:val="0"/>
        <w:autoSpaceDE w:val="0"/>
        <w:autoSpaceDN/>
        <w:spacing w:before="157" w:beforeLines="50" w:beforeAutospacing="0" w:after="157" w:afterLines="50" w:afterAutospacing="0" w:line="360" w:lineRule="auto"/>
        <w:ind w:left="0" w:leftChars="0" w:firstLine="480" w:firstLineChars="200"/>
        <w:jc w:val="left"/>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脊梁：62*130*4000mm。</w:t>
      </w:r>
    </w:p>
    <w:p>
      <w:pPr>
        <w:pStyle w:val="3"/>
        <w:keepNext/>
        <w:keepLines/>
        <w:widowControl w:val="0"/>
        <w:numPr>
          <w:ilvl w:val="0"/>
          <w:numId w:val="7"/>
        </w:numPr>
        <w:suppressLineNumbers w:val="0"/>
        <w:autoSpaceDE w:val="0"/>
        <w:autoSpaceDN/>
        <w:spacing w:before="157" w:beforeLines="50" w:beforeAutospacing="0" w:after="157" w:afterLines="50" w:afterAutospacing="0" w:line="360" w:lineRule="auto"/>
        <w:ind w:left="0" w:leftChars="0" w:firstLine="480" w:firstLineChars="200"/>
        <w:jc w:val="left"/>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龙骨：42*102*3000mm（间距600mm）。</w:t>
      </w:r>
    </w:p>
    <w:p>
      <w:pPr>
        <w:pStyle w:val="3"/>
        <w:keepNext/>
        <w:keepLines/>
        <w:widowControl w:val="0"/>
        <w:numPr>
          <w:ilvl w:val="0"/>
          <w:numId w:val="7"/>
        </w:numPr>
        <w:suppressLineNumbers w:val="0"/>
        <w:autoSpaceDE w:val="0"/>
        <w:autoSpaceDN/>
        <w:spacing w:before="157" w:beforeLines="50" w:beforeAutospacing="0" w:after="157" w:afterLines="50" w:afterAutospacing="0" w:line="360" w:lineRule="auto"/>
        <w:ind w:left="0" w:leftChars="0" w:firstLine="480" w:firstLineChars="200"/>
        <w:jc w:val="left"/>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廊屋面底板：10*134*4000mm（平铺）。</w:t>
      </w:r>
    </w:p>
    <w:p>
      <w:pPr>
        <w:pStyle w:val="3"/>
        <w:keepNext/>
        <w:keepLines/>
        <w:widowControl w:val="0"/>
        <w:numPr>
          <w:ilvl w:val="0"/>
          <w:numId w:val="7"/>
        </w:numPr>
        <w:suppressLineNumbers w:val="0"/>
        <w:autoSpaceDE w:val="0"/>
        <w:autoSpaceDN/>
        <w:spacing w:before="157" w:beforeLines="50" w:beforeAutospacing="0" w:after="157" w:afterLines="50" w:afterAutospacing="0" w:line="360" w:lineRule="auto"/>
        <w:ind w:left="0" w:leftChars="0" w:firstLine="480" w:firstLineChars="200"/>
        <w:jc w:val="left"/>
        <w:rPr>
          <w:rFonts w:hint="eastAsia" w:ascii="宋体" w:hAnsi="宋体" w:eastAsia="宋体" w:cs="宋体"/>
          <w:b w:val="0"/>
          <w:bCs/>
          <w:kern w:val="44"/>
          <w:sz w:val="24"/>
          <w:szCs w:val="24"/>
        </w:rPr>
      </w:pPr>
      <w:r>
        <w:rPr>
          <w:rFonts w:hint="eastAsia" w:ascii="宋体" w:hAnsi="宋体" w:eastAsia="宋体" w:cs="宋体"/>
          <w:b w:val="0"/>
          <w:bCs/>
          <w:kern w:val="44"/>
          <w:sz w:val="24"/>
          <w:szCs w:val="24"/>
        </w:rPr>
        <w:t>廊屋面装饰板：20厚树脂灰瓦（树脂正脊，树脂滴水）。</w:t>
      </w:r>
    </w:p>
    <w:p>
      <w:pPr>
        <w:pStyle w:val="3"/>
        <w:keepNext/>
        <w:keepLines/>
        <w:widowControl w:val="0"/>
        <w:numPr>
          <w:ilvl w:val="0"/>
          <w:numId w:val="7"/>
        </w:numPr>
        <w:suppressLineNumbers w:val="0"/>
        <w:autoSpaceDE w:val="0"/>
        <w:autoSpaceDN/>
        <w:spacing w:before="157" w:beforeLines="50" w:beforeAutospacing="0" w:after="157" w:afterLines="50" w:afterAutospacing="0" w:line="360" w:lineRule="auto"/>
        <w:ind w:left="0" w:leftChars="0" w:firstLine="480" w:firstLineChars="200"/>
        <w:jc w:val="left"/>
        <w:rPr>
          <w:rFonts w:hint="eastAsia" w:ascii="宋体" w:hAnsi="宋体" w:eastAsia="宋体" w:cs="宋体"/>
          <w:b w:val="0"/>
          <w:bCs/>
          <w:kern w:val="44"/>
          <w:sz w:val="24"/>
          <w:szCs w:val="24"/>
        </w:rPr>
      </w:pPr>
      <w:r>
        <w:rPr>
          <w:rFonts w:hint="eastAsia" w:ascii="宋体" w:hAnsi="宋体" w:eastAsia="宋体" w:cs="宋体"/>
          <w:b w:val="0"/>
          <w:kern w:val="44"/>
          <w:sz w:val="24"/>
          <w:szCs w:val="24"/>
        </w:rPr>
        <w:t>侧面彩绘版：樟子松大板：15*29</w:t>
      </w:r>
      <w:r>
        <w:rPr>
          <w:rFonts w:hint="eastAsia" w:ascii="宋体" w:hAnsi="宋体" w:eastAsia="宋体" w:cs="宋体"/>
          <w:b w:val="0"/>
          <w:bCs/>
          <w:kern w:val="44"/>
          <w:sz w:val="24"/>
          <w:szCs w:val="24"/>
        </w:rPr>
        <w:t>0*3500mm双道，表面彩绘。</w:t>
      </w:r>
    </w:p>
    <w:p>
      <w:pPr>
        <w:pStyle w:val="3"/>
        <w:keepNext/>
        <w:keepLines/>
        <w:widowControl w:val="0"/>
        <w:numPr>
          <w:ilvl w:val="0"/>
          <w:numId w:val="7"/>
        </w:numPr>
        <w:suppressLineNumbers w:val="0"/>
        <w:autoSpaceDE w:val="0"/>
        <w:autoSpaceDN/>
        <w:spacing w:before="157" w:beforeLines="50" w:beforeAutospacing="0" w:after="157" w:afterLines="50" w:afterAutospacing="0" w:line="360" w:lineRule="auto"/>
        <w:ind w:left="0" w:leftChars="0" w:firstLine="480" w:firstLineChars="200"/>
        <w:jc w:val="left"/>
        <w:rPr>
          <w:rFonts w:hint="eastAsia" w:ascii="宋体" w:hAnsi="宋体" w:eastAsia="宋体" w:cs="宋体"/>
          <w:b w:val="0"/>
          <w:bCs/>
          <w:kern w:val="44"/>
          <w:sz w:val="24"/>
          <w:szCs w:val="24"/>
        </w:rPr>
      </w:pPr>
      <w:r>
        <w:rPr>
          <w:rFonts w:hint="eastAsia" w:ascii="宋体" w:hAnsi="宋体" w:eastAsia="宋体" w:cs="宋体"/>
          <w:b w:val="0"/>
          <w:kern w:val="44"/>
          <w:sz w:val="24"/>
          <w:szCs w:val="24"/>
        </w:rPr>
        <w:t>花格料：主料采用83*83</w:t>
      </w:r>
      <w:r>
        <w:rPr>
          <w:rFonts w:hint="eastAsia" w:ascii="宋体" w:hAnsi="宋体" w:eastAsia="宋体" w:cs="宋体"/>
          <w:b w:val="0"/>
          <w:bCs/>
          <w:kern w:val="44"/>
          <w:sz w:val="24"/>
          <w:szCs w:val="24"/>
        </w:rPr>
        <w:t>*3000mm（6根一档），辅料采用30*82*4000mm。</w:t>
      </w:r>
    </w:p>
    <w:p>
      <w:pPr>
        <w:pStyle w:val="3"/>
        <w:keepNext/>
        <w:keepLines/>
        <w:widowControl w:val="0"/>
        <w:numPr>
          <w:ilvl w:val="0"/>
          <w:numId w:val="6"/>
        </w:numPr>
        <w:suppressLineNumbers w:val="0"/>
        <w:autoSpaceDE w:val="0"/>
        <w:autoSpaceDN/>
        <w:spacing w:before="157" w:beforeLines="50" w:beforeAutospacing="0" w:after="157" w:afterLines="50" w:afterAutospacing="0" w:line="360" w:lineRule="auto"/>
        <w:ind w:left="425" w:leftChars="0" w:hanging="425" w:firstLineChars="0"/>
        <w:jc w:val="left"/>
        <w:rPr>
          <w:rFonts w:hint="eastAsia" w:ascii="宋体" w:hAnsi="宋体" w:eastAsia="宋体" w:cs="宋体"/>
          <w:b w:val="0"/>
          <w:bCs/>
          <w:kern w:val="44"/>
          <w:sz w:val="24"/>
          <w:szCs w:val="24"/>
          <w:highlight w:val="yellow"/>
        </w:rPr>
      </w:pPr>
      <w:r>
        <w:rPr>
          <w:rFonts w:hint="eastAsia" w:ascii="宋体" w:hAnsi="宋体" w:eastAsia="宋体" w:cs="宋体"/>
          <w:b/>
          <w:bCs w:val="0"/>
          <w:kern w:val="44"/>
          <w:sz w:val="24"/>
          <w:szCs w:val="24"/>
          <w:highlight w:val="yellow"/>
        </w:rPr>
        <w:t>栏杆扶手：扶手为不锈钢材质.高度为1.1米</w:t>
      </w:r>
    </w:p>
    <w:p>
      <w:pPr>
        <w:pStyle w:val="40"/>
        <w:rPr>
          <w:rFonts w:hint="eastAsia" w:eastAsia="微软雅黑"/>
          <w:sz w:val="22"/>
          <w:szCs w:val="22"/>
          <w:highlight w:val="none"/>
          <w:lang w:val="en-US" w:eastAsia="zh-CN"/>
        </w:rPr>
      </w:pPr>
    </w:p>
    <w:p>
      <w:pPr>
        <w:pStyle w:val="40"/>
        <w:rPr>
          <w:sz w:val="22"/>
          <w:szCs w:val="22"/>
          <w:highlight w:val="none"/>
        </w:rPr>
      </w:pPr>
    </w:p>
    <w:p>
      <w:pPr>
        <w:pStyle w:val="40"/>
        <w:rPr>
          <w:sz w:val="22"/>
          <w:szCs w:val="22"/>
          <w:highlight w:val="none"/>
        </w:rPr>
      </w:pPr>
    </w:p>
    <w:p>
      <w:pPr>
        <w:pStyle w:val="40"/>
        <w:rPr>
          <w:sz w:val="22"/>
          <w:szCs w:val="22"/>
          <w:highlight w:val="none"/>
        </w:rPr>
      </w:pPr>
    </w:p>
    <w:p>
      <w:pPr>
        <w:pStyle w:val="40"/>
        <w:rPr>
          <w:sz w:val="22"/>
          <w:szCs w:val="22"/>
          <w:highlight w:val="none"/>
        </w:rPr>
      </w:pPr>
    </w:p>
    <w:p>
      <w:pPr>
        <w:pStyle w:val="40"/>
        <w:rPr>
          <w:sz w:val="22"/>
          <w:szCs w:val="22"/>
          <w:highlight w:val="none"/>
        </w:rPr>
      </w:pPr>
    </w:p>
    <w:p>
      <w:pPr>
        <w:pStyle w:val="40"/>
        <w:rPr>
          <w:sz w:val="22"/>
          <w:szCs w:val="22"/>
          <w:highlight w:val="none"/>
        </w:rPr>
      </w:pPr>
    </w:p>
    <w:p>
      <w:pPr>
        <w:pStyle w:val="40"/>
        <w:rPr>
          <w:sz w:val="22"/>
          <w:szCs w:val="22"/>
          <w:highlight w:val="none"/>
        </w:rPr>
      </w:pPr>
    </w:p>
    <w:p>
      <w:pPr>
        <w:pStyle w:val="40"/>
        <w:rPr>
          <w:sz w:val="22"/>
          <w:szCs w:val="22"/>
          <w:highlight w:val="none"/>
        </w:rPr>
      </w:pPr>
    </w:p>
    <w:p>
      <w:pPr>
        <w:pStyle w:val="40"/>
        <w:rPr>
          <w:sz w:val="22"/>
          <w:szCs w:val="22"/>
          <w:highlight w:val="none"/>
        </w:rPr>
      </w:pPr>
    </w:p>
    <w:p>
      <w:pPr>
        <w:pStyle w:val="40"/>
        <w:rPr>
          <w:sz w:val="22"/>
          <w:szCs w:val="22"/>
          <w:highlight w:val="none"/>
        </w:rPr>
      </w:pPr>
    </w:p>
    <w:p>
      <w:pPr>
        <w:pStyle w:val="40"/>
        <w:rPr>
          <w:sz w:val="22"/>
          <w:szCs w:val="22"/>
          <w:highlight w:val="none"/>
        </w:rPr>
      </w:pPr>
    </w:p>
    <w:p>
      <w:pPr>
        <w:pStyle w:val="40"/>
        <w:rPr>
          <w:sz w:val="22"/>
          <w:szCs w:val="22"/>
          <w:highlight w:val="none"/>
        </w:rPr>
      </w:pPr>
    </w:p>
    <w:bookmarkEnd w:id="55"/>
    <w:p>
      <w:pPr>
        <w:rPr>
          <w:rFonts w:hint="eastAsia" w:asciiTheme="minorEastAsia" w:hAnsiTheme="minorEastAsia" w:eastAsiaTheme="minorEastAsia" w:cstheme="minorEastAsia"/>
          <w:b/>
          <w:color w:val="000000" w:themeColor="text1"/>
          <w:sz w:val="36"/>
          <w:szCs w:val="36"/>
          <w14:textFill>
            <w14:solidFill>
              <w14:schemeClr w14:val="tx1"/>
            </w14:solidFill>
          </w14:textFill>
        </w:rPr>
      </w:pPr>
    </w:p>
    <w:p>
      <w:pPr>
        <w:spacing w:before="92" w:line="219" w:lineRule="auto"/>
        <w:ind w:left="25"/>
        <w:jc w:val="center"/>
        <w:outlineLvl w:val="0"/>
        <w:rPr>
          <w:rFonts w:ascii="宋体" w:hAnsi="宋体" w:eastAsia="宋体" w:cs="宋体"/>
          <w:sz w:val="28"/>
          <w:szCs w:val="28"/>
        </w:rPr>
      </w:pPr>
      <w:bookmarkStart w:id="56" w:name="_Toc13030"/>
      <w:r>
        <w:rPr>
          <w:rFonts w:hint="eastAsia" w:asciiTheme="minorEastAsia" w:hAnsiTheme="minorEastAsia" w:eastAsiaTheme="minorEastAsia" w:cstheme="minorEastAsia"/>
          <w:b/>
          <w:color w:val="000000" w:themeColor="text1"/>
          <w:sz w:val="36"/>
          <w:szCs w:val="36"/>
          <w14:textFill>
            <w14:solidFill>
              <w14:schemeClr w14:val="tx1"/>
            </w14:solidFill>
          </w14:textFill>
        </w:rPr>
        <w:t>第</w:t>
      </w: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六</w:t>
      </w:r>
      <w:r>
        <w:rPr>
          <w:rFonts w:hint="eastAsia" w:asciiTheme="minorEastAsia" w:hAnsiTheme="minorEastAsia" w:eastAsiaTheme="minorEastAsia" w:cstheme="minorEastAsia"/>
          <w:b/>
          <w:color w:val="000000" w:themeColor="text1"/>
          <w:sz w:val="36"/>
          <w:szCs w:val="36"/>
          <w14:textFill>
            <w14:solidFill>
              <w14:schemeClr w14:val="tx1"/>
            </w14:solidFill>
          </w14:textFill>
        </w:rPr>
        <w:t>章</w:t>
      </w:r>
      <w:r>
        <w:rPr>
          <w:rFonts w:hint="eastAsia" w:asciiTheme="minorEastAsia" w:hAnsiTheme="minorEastAsia" w:eastAsiaTheme="minorEastAsia" w:cstheme="minorEastAsia"/>
          <w:b/>
          <w:color w:val="000000" w:themeColor="text1"/>
          <w:sz w:val="36"/>
          <w:szCs w:val="36"/>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6"/>
          <w:szCs w:val="36"/>
          <w14:textFill>
            <w14:solidFill>
              <w14:schemeClr w14:val="tx1"/>
            </w14:solidFill>
          </w14:textFill>
        </w:rPr>
        <w:t>响应文件格式</w:t>
      </w:r>
      <w:bookmarkEnd w:id="56"/>
    </w:p>
    <w:p>
      <w:pPr>
        <w:pStyle w:val="14"/>
        <w:spacing w:line="272" w:lineRule="auto"/>
      </w:pPr>
    </w:p>
    <w:p>
      <w:pPr>
        <w:spacing w:before="185" w:line="227" w:lineRule="auto"/>
        <w:ind w:left="27"/>
        <w:rPr>
          <w:rFonts w:ascii="宋体" w:hAnsi="宋体" w:eastAsia="宋体" w:cs="宋体"/>
          <w:spacing w:val="8"/>
          <w:sz w:val="23"/>
          <w:szCs w:val="23"/>
        </w:rPr>
      </w:pPr>
    </w:p>
    <w:p>
      <w:pPr>
        <w:spacing w:before="185" w:line="227" w:lineRule="auto"/>
        <w:ind w:left="27"/>
        <w:jc w:val="center"/>
        <w:rPr>
          <w:rFonts w:ascii="宋体" w:hAnsi="宋体" w:eastAsia="宋体" w:cs="宋体"/>
          <w:spacing w:val="8"/>
          <w:sz w:val="23"/>
          <w:szCs w:val="23"/>
        </w:rPr>
      </w:pPr>
      <w:r>
        <w:rPr>
          <w:rFonts w:ascii="宋体" w:hAnsi="宋体" w:eastAsia="宋体" w:cs="宋体"/>
          <w:spacing w:val="8"/>
          <w:sz w:val="23"/>
          <w:szCs w:val="23"/>
        </w:rPr>
        <w:t>目录</w:t>
      </w:r>
    </w:p>
    <w:p>
      <w:pPr>
        <w:pStyle w:val="14"/>
        <w:spacing w:line="440" w:lineRule="auto"/>
      </w:pPr>
    </w:p>
    <w:p>
      <w:pPr>
        <w:spacing w:before="75" w:line="227" w:lineRule="auto"/>
        <w:ind w:left="27"/>
        <w:outlineLvl w:val="1"/>
        <w:rPr>
          <w:rFonts w:ascii="宋体" w:hAnsi="宋体" w:eastAsia="宋体" w:cs="宋体"/>
          <w:sz w:val="23"/>
          <w:szCs w:val="23"/>
        </w:rPr>
      </w:pPr>
      <w:r>
        <w:rPr>
          <w:rFonts w:ascii="宋体" w:hAnsi="宋体" w:eastAsia="宋体" w:cs="宋体"/>
          <w:spacing w:val="7"/>
          <w:sz w:val="23"/>
          <w:szCs w:val="23"/>
        </w:rPr>
        <w:t>一、响应文件封面</w:t>
      </w:r>
    </w:p>
    <w:p>
      <w:pPr>
        <w:spacing w:before="185" w:line="227" w:lineRule="auto"/>
        <w:ind w:left="27"/>
        <w:rPr>
          <w:rFonts w:ascii="宋体" w:hAnsi="宋体" w:eastAsia="宋体" w:cs="宋体"/>
          <w:sz w:val="23"/>
          <w:szCs w:val="23"/>
        </w:rPr>
      </w:pPr>
      <w:r>
        <w:rPr>
          <w:rFonts w:ascii="宋体" w:hAnsi="宋体" w:eastAsia="宋体" w:cs="宋体"/>
          <w:spacing w:val="8"/>
          <w:sz w:val="23"/>
          <w:szCs w:val="23"/>
        </w:rPr>
        <w:t>二、资格审查材料</w:t>
      </w:r>
    </w:p>
    <w:p>
      <w:pPr>
        <w:spacing w:before="185" w:line="468" w:lineRule="exact"/>
        <w:ind w:left="23"/>
        <w:rPr>
          <w:rFonts w:ascii="宋体" w:hAnsi="宋体" w:eastAsia="宋体" w:cs="宋体"/>
          <w:sz w:val="23"/>
          <w:szCs w:val="23"/>
        </w:rPr>
      </w:pPr>
      <w:r>
        <w:rPr>
          <w:rFonts w:ascii="宋体" w:hAnsi="宋体" w:eastAsia="宋体" w:cs="宋体"/>
          <w:spacing w:val="8"/>
          <w:position w:val="17"/>
          <w:sz w:val="23"/>
          <w:szCs w:val="23"/>
        </w:rPr>
        <w:t>三、商务文件</w:t>
      </w:r>
    </w:p>
    <w:p>
      <w:pPr>
        <w:spacing w:before="1" w:line="227" w:lineRule="auto"/>
        <w:ind w:left="46"/>
        <w:rPr>
          <w:rFonts w:ascii="宋体" w:hAnsi="宋体" w:eastAsia="宋体" w:cs="宋体"/>
          <w:sz w:val="23"/>
          <w:szCs w:val="23"/>
        </w:rPr>
      </w:pPr>
      <w:r>
        <w:rPr>
          <w:rFonts w:ascii="宋体" w:hAnsi="宋体" w:eastAsia="宋体" w:cs="宋体"/>
          <w:spacing w:val="4"/>
          <w:sz w:val="23"/>
          <w:szCs w:val="23"/>
        </w:rPr>
        <w:t>四、技术文件</w:t>
      </w:r>
    </w:p>
    <w:p>
      <w:pPr>
        <w:spacing w:before="184" w:line="226" w:lineRule="auto"/>
        <w:ind w:left="27"/>
        <w:rPr>
          <w:rFonts w:ascii="宋体" w:hAnsi="宋体" w:eastAsia="宋体" w:cs="宋体"/>
          <w:sz w:val="23"/>
          <w:szCs w:val="23"/>
        </w:rPr>
      </w:pPr>
      <w:r>
        <w:rPr>
          <w:rFonts w:ascii="宋体" w:hAnsi="宋体" w:eastAsia="宋体" w:cs="宋体"/>
          <w:spacing w:val="7"/>
          <w:sz w:val="23"/>
          <w:szCs w:val="23"/>
        </w:rPr>
        <w:t>五、价格清单</w:t>
      </w:r>
    </w:p>
    <w:p>
      <w:pPr>
        <w:spacing w:line="226" w:lineRule="auto"/>
        <w:rPr>
          <w:rFonts w:ascii="宋体" w:hAnsi="宋体" w:eastAsia="宋体" w:cs="宋体"/>
          <w:sz w:val="23"/>
          <w:szCs w:val="23"/>
        </w:rPr>
        <w:sectPr>
          <w:footerReference r:id="rId9" w:type="default"/>
          <w:pgSz w:w="11906" w:h="16838"/>
          <w:pgMar w:top="1440" w:right="1800" w:bottom="1440" w:left="1800" w:header="1203" w:footer="736" w:gutter="0"/>
          <w:pgNumType w:fmt="decimal" w:start="1"/>
          <w:cols w:space="720" w:num="1"/>
        </w:sectPr>
      </w:pPr>
    </w:p>
    <w:p>
      <w:pPr>
        <w:spacing w:before="75" w:line="229" w:lineRule="auto"/>
        <w:ind w:left="43"/>
        <w:rPr>
          <w:rFonts w:ascii="MS Gothic" w:hAnsi="MS Gothic" w:eastAsia="MS Gothic" w:cs="MS Gothic"/>
          <w:sz w:val="23"/>
          <w:szCs w:val="23"/>
        </w:rPr>
      </w:pPr>
      <w:r>
        <w:rPr>
          <w:rFonts w:ascii="MS Gothic" w:hAnsi="MS Gothic" w:eastAsia="MS Gothic" w:cs="MS Gothic"/>
          <w:spacing w:val="6"/>
          <w:sz w:val="23"/>
          <w:szCs w:val="23"/>
          <w14:textOutline w14:w="4388" w14:cap="flat" w14:cmpd="sng">
            <w14:solidFill>
              <w14:srgbClr w14:val="000000"/>
            </w14:solidFill>
            <w14:prstDash w14:val="solid"/>
            <w14:miter w14:val="0"/>
          </w14:textOutline>
        </w:rPr>
        <w:t>一、</w:t>
      </w:r>
      <w:r>
        <w:rPr>
          <w:rFonts w:ascii="宋体" w:hAnsi="宋体" w:eastAsia="宋体" w:cs="宋体"/>
          <w:spacing w:val="6"/>
          <w:sz w:val="23"/>
          <w:szCs w:val="23"/>
          <w14:textOutline w14:w="4388" w14:cap="flat" w14:cmpd="sng">
            <w14:solidFill>
              <w14:srgbClr w14:val="000000"/>
            </w14:solidFill>
            <w14:prstDash w14:val="solid"/>
            <w14:miter w14:val="0"/>
          </w14:textOutline>
        </w:rPr>
        <w:t>响应</w:t>
      </w:r>
      <w:r>
        <w:rPr>
          <w:rFonts w:ascii="MS Gothic" w:hAnsi="MS Gothic" w:eastAsia="MS Gothic" w:cs="MS Gothic"/>
          <w:spacing w:val="6"/>
          <w:sz w:val="23"/>
          <w:szCs w:val="23"/>
          <w14:textOutline w14:w="4388" w14:cap="flat" w14:cmpd="sng">
            <w14:solidFill>
              <w14:srgbClr w14:val="000000"/>
            </w14:solidFill>
            <w14:prstDash w14:val="solid"/>
            <w14:miter w14:val="0"/>
          </w14:textOutline>
        </w:rPr>
        <w:t>文件封面</w:t>
      </w:r>
    </w:p>
    <w:p>
      <w:pPr>
        <w:pStyle w:val="14"/>
        <w:spacing w:line="286" w:lineRule="auto"/>
      </w:pPr>
    </w:p>
    <w:p>
      <w:pPr>
        <w:pStyle w:val="14"/>
        <w:spacing w:line="286" w:lineRule="auto"/>
      </w:pPr>
    </w:p>
    <w:p>
      <w:pPr>
        <w:pStyle w:val="14"/>
        <w:spacing w:line="287" w:lineRule="auto"/>
      </w:pPr>
    </w:p>
    <w:p>
      <w:pPr>
        <w:pStyle w:val="14"/>
        <w:spacing w:line="287" w:lineRule="auto"/>
      </w:pPr>
    </w:p>
    <w:p>
      <w:pPr>
        <w:tabs>
          <w:tab w:val="left" w:pos="5612"/>
        </w:tabs>
        <w:spacing w:before="91" w:line="221" w:lineRule="auto"/>
        <w:ind w:left="2253"/>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
          <w:sz w:val="28"/>
          <w:szCs w:val="28"/>
        </w:rPr>
        <w:t>（项目名称）</w:t>
      </w:r>
    </w:p>
    <w:p>
      <w:pPr>
        <w:pStyle w:val="14"/>
        <w:spacing w:line="272" w:lineRule="auto"/>
      </w:pPr>
    </w:p>
    <w:p>
      <w:pPr>
        <w:pStyle w:val="14"/>
        <w:spacing w:line="272" w:lineRule="auto"/>
      </w:pPr>
    </w:p>
    <w:p>
      <w:pPr>
        <w:pStyle w:val="14"/>
        <w:spacing w:line="273" w:lineRule="auto"/>
      </w:pPr>
    </w:p>
    <w:p>
      <w:pPr>
        <w:tabs>
          <w:tab w:val="left" w:pos="5192"/>
        </w:tabs>
        <w:spacing w:before="91" w:line="220" w:lineRule="auto"/>
        <w:ind w:left="2394"/>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
          <w:sz w:val="28"/>
          <w:szCs w:val="28"/>
        </w:rPr>
        <w:t>（项目编号）</w:t>
      </w:r>
    </w:p>
    <w:p>
      <w:pPr>
        <w:pStyle w:val="14"/>
        <w:spacing w:line="284" w:lineRule="auto"/>
      </w:pPr>
    </w:p>
    <w:p>
      <w:pPr>
        <w:pStyle w:val="14"/>
        <w:spacing w:line="284" w:lineRule="auto"/>
      </w:pPr>
    </w:p>
    <w:p>
      <w:pPr>
        <w:pStyle w:val="14"/>
        <w:spacing w:line="285" w:lineRule="auto"/>
      </w:pPr>
    </w:p>
    <w:p>
      <w:pPr>
        <w:spacing w:before="305" w:line="189" w:lineRule="auto"/>
        <w:ind w:left="2777"/>
        <w:outlineLvl w:val="2"/>
        <w:rPr>
          <w:rFonts w:ascii="微软雅黑" w:hAnsi="微软雅黑" w:eastAsia="微软雅黑" w:cs="微软雅黑"/>
          <w:sz w:val="71"/>
          <w:szCs w:val="71"/>
        </w:rPr>
      </w:pPr>
      <w:r>
        <w:rPr>
          <w:rFonts w:ascii="微软雅黑" w:hAnsi="微软雅黑" w:eastAsia="微软雅黑" w:cs="微软雅黑"/>
          <w:spacing w:val="-2"/>
          <w:sz w:val="71"/>
          <w:szCs w:val="71"/>
          <w14:textOutline w14:w="13168" w14:cap="flat" w14:cmpd="sng">
            <w14:solidFill>
              <w14:srgbClr w14:val="000000"/>
            </w14:solidFill>
            <w14:prstDash w14:val="solid"/>
            <w14:miter w14:val="0"/>
          </w14:textOutline>
        </w:rPr>
        <w:t>响应文件</w:t>
      </w:r>
    </w:p>
    <w:p>
      <w:pPr>
        <w:pStyle w:val="14"/>
        <w:spacing w:line="242" w:lineRule="auto"/>
      </w:pPr>
    </w:p>
    <w:p>
      <w:pPr>
        <w:pStyle w:val="14"/>
        <w:spacing w:line="242" w:lineRule="auto"/>
      </w:pPr>
    </w:p>
    <w:p>
      <w:pPr>
        <w:pStyle w:val="14"/>
        <w:spacing w:line="242" w:lineRule="auto"/>
      </w:pPr>
    </w:p>
    <w:p>
      <w:pPr>
        <w:pStyle w:val="14"/>
        <w:spacing w:line="242" w:lineRule="auto"/>
      </w:pPr>
    </w:p>
    <w:p>
      <w:pPr>
        <w:pStyle w:val="14"/>
        <w:spacing w:line="242" w:lineRule="auto"/>
      </w:pPr>
    </w:p>
    <w:p>
      <w:pPr>
        <w:pStyle w:val="14"/>
        <w:spacing w:line="242" w:lineRule="auto"/>
      </w:pPr>
    </w:p>
    <w:p>
      <w:pPr>
        <w:pStyle w:val="14"/>
        <w:spacing w:line="243" w:lineRule="auto"/>
      </w:pPr>
    </w:p>
    <w:p>
      <w:pPr>
        <w:pStyle w:val="14"/>
        <w:spacing w:line="243" w:lineRule="auto"/>
      </w:pPr>
    </w:p>
    <w:p>
      <w:pPr>
        <w:pStyle w:val="14"/>
        <w:spacing w:line="243" w:lineRule="auto"/>
      </w:pPr>
    </w:p>
    <w:p>
      <w:pPr>
        <w:pStyle w:val="14"/>
        <w:spacing w:line="243" w:lineRule="auto"/>
      </w:pPr>
    </w:p>
    <w:p>
      <w:pPr>
        <w:pStyle w:val="14"/>
        <w:spacing w:line="243" w:lineRule="auto"/>
      </w:pPr>
    </w:p>
    <w:p>
      <w:pPr>
        <w:pStyle w:val="14"/>
        <w:spacing w:line="243" w:lineRule="auto"/>
      </w:pPr>
    </w:p>
    <w:p>
      <w:pPr>
        <w:pStyle w:val="14"/>
        <w:spacing w:line="243" w:lineRule="auto"/>
      </w:pPr>
    </w:p>
    <w:p>
      <w:pPr>
        <w:pStyle w:val="14"/>
        <w:spacing w:line="243" w:lineRule="auto"/>
      </w:pPr>
    </w:p>
    <w:p>
      <w:pPr>
        <w:pStyle w:val="14"/>
        <w:spacing w:line="243" w:lineRule="auto"/>
      </w:pPr>
    </w:p>
    <w:p>
      <w:pPr>
        <w:spacing w:before="120" w:line="312" w:lineRule="auto"/>
        <w:ind w:left="1706" w:right="1034" w:firstLine="162"/>
        <w:jc w:val="both"/>
        <w:rPr>
          <w:rFonts w:ascii="宋体" w:hAnsi="宋体" w:eastAsia="宋体" w:cs="宋体"/>
          <w:spacing w:val="-11"/>
          <w:sz w:val="28"/>
          <w:szCs w:val="28"/>
        </w:rPr>
      </w:pPr>
      <w:r>
        <w:rPr>
          <w:rFonts w:ascii="宋体" w:hAnsi="宋体" w:eastAsia="宋体" w:cs="宋体"/>
          <w:spacing w:val="-11"/>
          <w:sz w:val="28"/>
          <w:szCs w:val="28"/>
        </w:rPr>
        <w:t>供应商（电子签章）</w:t>
      </w:r>
    </w:p>
    <w:p>
      <w:pPr>
        <w:spacing w:before="120" w:line="312" w:lineRule="auto"/>
        <w:ind w:left="1706" w:right="1034" w:firstLine="162"/>
        <w:jc w:val="both"/>
        <w:rPr>
          <w:rFonts w:ascii="宋体" w:hAnsi="宋体" w:eastAsia="宋体" w:cs="宋体"/>
          <w:spacing w:val="-11"/>
          <w:sz w:val="28"/>
          <w:szCs w:val="28"/>
        </w:rPr>
      </w:pPr>
      <w:r>
        <w:rPr>
          <w:rFonts w:ascii="宋体" w:hAnsi="宋体" w:eastAsia="宋体" w:cs="宋体"/>
          <w:spacing w:val="-11"/>
          <w:sz w:val="28"/>
          <w:szCs w:val="28"/>
        </w:rPr>
        <w:t>法定代表人（电子签名）</w:t>
      </w:r>
    </w:p>
    <w:p>
      <w:pPr>
        <w:spacing w:before="1" w:line="219" w:lineRule="auto"/>
        <w:ind w:left="1753"/>
        <w:rPr>
          <w:rFonts w:ascii="宋体" w:hAnsi="宋体" w:eastAsia="宋体" w:cs="宋体"/>
          <w:spacing w:val="-10"/>
          <w:sz w:val="28"/>
          <w:szCs w:val="28"/>
        </w:rPr>
      </w:pPr>
    </w:p>
    <w:p>
      <w:pPr>
        <w:spacing w:before="1" w:line="219" w:lineRule="auto"/>
        <w:ind w:left="1753" w:firstLine="260" w:firstLineChars="100"/>
        <w:rPr>
          <w:rFonts w:ascii="宋体" w:hAnsi="宋体" w:eastAsia="宋体" w:cs="宋体"/>
          <w:sz w:val="28"/>
          <w:szCs w:val="28"/>
        </w:rPr>
      </w:pPr>
      <w:r>
        <w:rPr>
          <w:rFonts w:ascii="宋体" w:hAnsi="宋体" w:eastAsia="宋体" w:cs="宋体"/>
          <w:spacing w:val="-10"/>
          <w:sz w:val="28"/>
          <w:szCs w:val="28"/>
        </w:rPr>
        <w:t>日期（年/月/日）</w:t>
      </w:r>
    </w:p>
    <w:p>
      <w:pPr>
        <w:spacing w:line="219" w:lineRule="auto"/>
        <w:rPr>
          <w:rFonts w:ascii="宋体" w:hAnsi="宋体" w:eastAsia="宋体" w:cs="宋体"/>
          <w:sz w:val="28"/>
          <w:szCs w:val="28"/>
        </w:rPr>
        <w:sectPr>
          <w:footerReference r:id="rId10" w:type="default"/>
          <w:pgSz w:w="11906" w:h="16838"/>
          <w:pgMar w:top="1440" w:right="1800" w:bottom="1440" w:left="1800" w:header="1203" w:footer="736" w:gutter="0"/>
          <w:pgNumType w:fmt="decimal"/>
          <w:cols w:space="720" w:num="1"/>
        </w:sectPr>
      </w:pPr>
    </w:p>
    <w:p>
      <w:pPr>
        <w:spacing w:before="133" w:line="191" w:lineRule="auto"/>
        <w:ind w:left="31"/>
        <w:outlineLvl w:val="2"/>
        <w:rPr>
          <w:rFonts w:ascii="微软雅黑" w:hAnsi="微软雅黑" w:eastAsia="微软雅黑" w:cs="微软雅黑"/>
          <w:sz w:val="31"/>
          <w:szCs w:val="31"/>
        </w:rPr>
      </w:pPr>
      <w:r>
        <w:rPr>
          <w:rFonts w:ascii="微软雅黑" w:hAnsi="微软雅黑" w:eastAsia="微软雅黑" w:cs="微软雅黑"/>
          <w:spacing w:val="8"/>
          <w:sz w:val="31"/>
          <w:szCs w:val="31"/>
          <w14:textOutline w14:w="5835" w14:cap="flat" w14:cmpd="sng">
            <w14:solidFill>
              <w14:srgbClr w14:val="000000"/>
            </w14:solidFill>
            <w14:prstDash w14:val="solid"/>
            <w14:miter w14:val="0"/>
          </w14:textOutline>
        </w:rPr>
        <w:t>二、资格审查材料</w:t>
      </w:r>
    </w:p>
    <w:p>
      <w:pPr>
        <w:pStyle w:val="14"/>
        <w:spacing w:line="242" w:lineRule="auto"/>
      </w:pPr>
    </w:p>
    <w:p>
      <w:pPr>
        <w:pStyle w:val="14"/>
        <w:spacing w:line="243" w:lineRule="auto"/>
      </w:pPr>
    </w:p>
    <w:p>
      <w:pPr>
        <w:pStyle w:val="14"/>
        <w:spacing w:line="243" w:lineRule="auto"/>
      </w:pPr>
    </w:p>
    <w:p>
      <w:pPr>
        <w:spacing w:before="65" w:line="228" w:lineRule="auto"/>
        <w:ind w:left="32"/>
        <w:rPr>
          <w:rFonts w:ascii="宋体" w:hAnsi="宋体" w:eastAsia="宋体" w:cs="宋体"/>
          <w:sz w:val="20"/>
          <w:szCs w:val="20"/>
        </w:rPr>
      </w:pPr>
      <w:r>
        <w:rPr>
          <w:rFonts w:ascii="宋体" w:hAnsi="宋体" w:eastAsia="宋体" w:cs="宋体"/>
          <w:spacing w:val="7"/>
          <w:sz w:val="20"/>
          <w:szCs w:val="20"/>
          <w14:textOutline w14:w="3823" w14:cap="flat" w14:cmpd="sng">
            <w14:solidFill>
              <w14:srgbClr w14:val="000000"/>
            </w14:solidFill>
            <w14:prstDash w14:val="solid"/>
            <w14:miter w14:val="0"/>
          </w14:textOutline>
        </w:rPr>
        <w:t>（一）具有独立承担民事责任的能力</w:t>
      </w:r>
      <w:r>
        <w:rPr>
          <w:rFonts w:hint="eastAsia" w:ascii="宋体" w:hAnsi="宋体" w:cs="宋体"/>
          <w:spacing w:val="7"/>
          <w:sz w:val="20"/>
          <w:szCs w:val="20"/>
          <w:lang w:eastAsia="zh-CN"/>
          <w14:textOutline w14:w="3823" w14:cap="flat" w14:cmpd="sng">
            <w14:solidFill>
              <w14:srgbClr w14:val="000000"/>
            </w14:solidFill>
            <w14:prstDash w14:val="solid"/>
            <w14:miter w14:val="0"/>
          </w14:textOutline>
        </w:rPr>
        <w:t>（</w:t>
      </w:r>
      <w:r>
        <w:rPr>
          <w:rFonts w:hint="eastAsia" w:ascii="宋体" w:hAnsi="宋体" w:cs="宋体"/>
          <w:spacing w:val="7"/>
          <w:sz w:val="20"/>
          <w:szCs w:val="20"/>
          <w:lang w:val="en-US" w:eastAsia="zh-CN"/>
          <w14:textOutline w14:w="3823" w14:cap="flat" w14:cmpd="sng">
            <w14:solidFill>
              <w14:srgbClr w14:val="000000"/>
            </w14:solidFill>
            <w14:prstDash w14:val="solid"/>
            <w14:miter w14:val="0"/>
          </w14:textOutline>
        </w:rPr>
        <w:t>营业执照）</w:t>
      </w:r>
      <w:r>
        <w:rPr>
          <w:rFonts w:ascii="宋体" w:hAnsi="宋体" w:eastAsia="宋体" w:cs="宋体"/>
          <w:spacing w:val="7"/>
          <w:sz w:val="20"/>
          <w:szCs w:val="20"/>
          <w14:textOutline w14:w="3823" w14:cap="flat" w14:cmpd="sng">
            <w14:solidFill>
              <w14:srgbClr w14:val="000000"/>
            </w14:solidFill>
            <w14:prstDash w14:val="solid"/>
            <w14:miter w14:val="0"/>
          </w14:textOutline>
        </w:rPr>
        <w:t>；</w:t>
      </w:r>
    </w:p>
    <w:p>
      <w:pPr>
        <w:rPr>
          <w:rFonts w:ascii="宋体" w:hAnsi="宋体" w:eastAsia="宋体" w:cs="宋体"/>
          <w:spacing w:val="9"/>
          <w:sz w:val="20"/>
          <w:szCs w:val="20"/>
          <w14:textOutline w14:w="3823" w14:cap="flat" w14:cmpd="sng">
            <w14:solidFill>
              <w14:srgbClr w14:val="000000"/>
            </w14:solidFill>
            <w14:prstDash w14:val="solid"/>
            <w14:miter w14:val="0"/>
          </w14:textOutline>
        </w:rPr>
      </w:pPr>
      <w:r>
        <w:rPr>
          <w:rFonts w:ascii="宋体" w:hAnsi="宋体" w:eastAsia="宋体" w:cs="宋体"/>
          <w:spacing w:val="9"/>
          <w:sz w:val="20"/>
          <w:szCs w:val="20"/>
          <w14:textOutline w14:w="3823" w14:cap="flat" w14:cmpd="sng">
            <w14:solidFill>
              <w14:srgbClr w14:val="000000"/>
            </w14:solidFill>
            <w14:prstDash w14:val="solid"/>
            <w14:miter w14:val="0"/>
          </w14:textOutline>
        </w:rPr>
        <w:br w:type="page"/>
      </w:r>
    </w:p>
    <w:p>
      <w:pPr>
        <w:spacing w:before="65" w:line="227" w:lineRule="auto"/>
        <w:ind w:left="32"/>
        <w:outlineLvl w:val="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（二）具有良好的商业信誉和健全的财务会计制度；</w:t>
      </w:r>
    </w:p>
    <w:p>
      <w:pPr>
        <w:spacing w:line="480" w:lineRule="auto"/>
        <w:ind w:firstLine="436" w:firstLineChars="200"/>
        <w:rPr>
          <w:rFonts w:ascii="宋体" w:hAnsi="宋体" w:eastAsia="宋体" w:cs="宋体"/>
          <w:sz w:val="20"/>
          <w:szCs w:val="20"/>
        </w:rPr>
      </w:pPr>
      <w:r>
        <w:rPr>
          <w:rFonts w:hint="eastAsia" w:ascii="宋体" w:hAnsi="宋体" w:eastAsia="宋体" w:cs="宋体"/>
          <w:spacing w:val="9"/>
          <w:sz w:val="20"/>
          <w:szCs w:val="20"/>
        </w:rPr>
        <w:t>会计师事务所出具的</w:t>
      </w:r>
      <w:r>
        <w:rPr>
          <w:rFonts w:hint="eastAsia" w:ascii="宋体" w:hAnsi="宋体" w:cs="宋体"/>
          <w:spacing w:val="9"/>
          <w:sz w:val="20"/>
          <w:szCs w:val="20"/>
          <w:lang w:eastAsia="zh-CN"/>
        </w:rPr>
        <w:t>2020年至2022年</w:t>
      </w:r>
      <w:r>
        <w:rPr>
          <w:rFonts w:hint="eastAsia" w:ascii="宋体" w:hAnsi="宋体" w:eastAsia="宋体" w:cs="宋体"/>
          <w:spacing w:val="9"/>
          <w:sz w:val="20"/>
          <w:szCs w:val="20"/>
          <w:lang w:val="en-US" w:eastAsia="zh-CN"/>
        </w:rPr>
        <w:t>任意一年的</w:t>
      </w:r>
      <w:r>
        <w:rPr>
          <w:rFonts w:hint="eastAsia" w:ascii="宋体" w:hAnsi="宋体" w:eastAsia="宋体" w:cs="宋体"/>
          <w:spacing w:val="9"/>
          <w:sz w:val="20"/>
          <w:szCs w:val="20"/>
        </w:rPr>
        <w:t>财务审计报告（报告中须包括资产负债表、利润表、现金流量表及财务报表附注）；如供应商无法提供上年度审计报告，则需提供开户银行出具的有效期内的资信证明（对于资信证明文件中写明“复印无效”的应提供原件）。银行资信证明的抬头可以与采购人或采购代理机构名称不同。银行资信证明应能说明该投标人与银行之间业务往来正常，无不良记录，企业信誉良好等。银行出具的存款证明不能作为银行资信证明。</w:t>
      </w:r>
    </w:p>
    <w:p>
      <w:pPr>
        <w:spacing w:line="480" w:lineRule="auto"/>
        <w:rPr>
          <w:rFonts w:ascii="宋体" w:hAnsi="宋体" w:eastAsia="宋体" w:cs="宋体"/>
          <w:sz w:val="20"/>
          <w:szCs w:val="20"/>
        </w:rPr>
        <w:sectPr>
          <w:headerReference r:id="rId11" w:type="default"/>
          <w:footerReference r:id="rId12" w:type="default"/>
          <w:pgSz w:w="11906" w:h="16838"/>
          <w:pgMar w:top="1440" w:right="1800" w:bottom="1440" w:left="1800" w:header="1203" w:footer="736" w:gutter="0"/>
          <w:pgNumType w:fmt="decimal"/>
          <w:cols w:space="720" w:num="1"/>
        </w:sectPr>
      </w:pPr>
    </w:p>
    <w:p>
      <w:pPr>
        <w:spacing w:before="65" w:line="228" w:lineRule="auto"/>
        <w:ind w:left="32"/>
        <w:outlineLvl w:val="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（三）具有履行合同所必需的设备和专业技术能力；</w:t>
      </w:r>
    </w:p>
    <w:p>
      <w:pPr>
        <w:pStyle w:val="14"/>
        <w:spacing w:line="310" w:lineRule="auto"/>
      </w:pPr>
    </w:p>
    <w:p>
      <w:pPr>
        <w:pStyle w:val="14"/>
        <w:spacing w:line="310" w:lineRule="auto"/>
      </w:pPr>
    </w:p>
    <w:p>
      <w:pPr>
        <w:spacing w:before="65" w:line="227" w:lineRule="auto"/>
        <w:ind w:left="231"/>
        <w:rPr>
          <w:rFonts w:ascii="宋体" w:hAnsi="宋体" w:eastAsia="宋体" w:cs="宋体"/>
          <w:sz w:val="20"/>
          <w:szCs w:val="20"/>
        </w:rPr>
      </w:pPr>
      <w:r>
        <w:rPr>
          <w:rFonts w:ascii="宋体" w:hAnsi="宋体" w:eastAsia="宋体" w:cs="宋体"/>
          <w:spacing w:val="7"/>
          <w:sz w:val="20"/>
          <w:szCs w:val="20"/>
          <w14:textOutline w14:w="3823" w14:cap="flat" w14:cmpd="sng">
            <w14:solidFill>
              <w14:srgbClr w14:val="000000"/>
            </w14:solidFill>
            <w14:prstDash w14:val="solid"/>
            <w14:miter w14:val="0"/>
          </w14:textOutline>
        </w:rPr>
        <w:t>提供承诺书：</w:t>
      </w:r>
    </w:p>
    <w:p>
      <w:pPr>
        <w:pStyle w:val="14"/>
        <w:spacing w:line="463" w:lineRule="auto"/>
      </w:pPr>
    </w:p>
    <w:p>
      <w:pPr>
        <w:spacing w:before="65" w:line="228" w:lineRule="auto"/>
        <w:ind w:left="1860"/>
        <w:rPr>
          <w:rFonts w:ascii="宋体" w:hAnsi="宋体" w:eastAsia="宋体" w:cs="宋体"/>
          <w:sz w:val="20"/>
          <w:szCs w:val="20"/>
        </w:rPr>
      </w:pPr>
      <w:r>
        <w:rPr>
          <w:rFonts w:ascii="宋体" w:hAnsi="宋体" w:eastAsia="宋体" w:cs="宋体"/>
          <w:spacing w:val="10"/>
          <w:sz w:val="20"/>
          <w:szCs w:val="20"/>
          <w14:textOutline w14:w="3823" w14:cap="flat" w14:cmpd="sng">
            <w14:solidFill>
              <w14:srgbClr w14:val="000000"/>
            </w14:solidFill>
            <w14:prstDash w14:val="solid"/>
            <w14:miter w14:val="0"/>
          </w14:textOutline>
        </w:rPr>
        <w:t>具备履行合同所必需的设备和专业技术能力的承诺</w:t>
      </w:r>
    </w:p>
    <w:p>
      <w:pPr>
        <w:pStyle w:val="14"/>
        <w:spacing w:line="285" w:lineRule="auto"/>
      </w:pPr>
    </w:p>
    <w:p>
      <w:pPr>
        <w:pStyle w:val="14"/>
        <w:spacing w:line="285" w:lineRule="auto"/>
      </w:pPr>
    </w:p>
    <w:p>
      <w:pPr>
        <w:pStyle w:val="14"/>
        <w:spacing w:line="286" w:lineRule="auto"/>
      </w:pPr>
    </w:p>
    <w:p>
      <w:pPr>
        <w:pStyle w:val="14"/>
        <w:spacing w:line="286" w:lineRule="auto"/>
      </w:pPr>
    </w:p>
    <w:p>
      <w:pPr>
        <w:spacing w:before="65" w:line="227" w:lineRule="auto"/>
        <w:ind w:left="23"/>
        <w:rPr>
          <w:rFonts w:ascii="宋体" w:hAnsi="宋体" w:eastAsia="宋体" w:cs="宋体"/>
          <w:sz w:val="20"/>
          <w:szCs w:val="20"/>
        </w:rPr>
      </w:pPr>
      <w:r>
        <w:rPr>
          <w:rFonts w:ascii="宋体" w:hAnsi="宋体" w:eastAsia="宋体" w:cs="宋体"/>
          <w:spacing w:val="7"/>
          <w:sz w:val="20"/>
          <w:szCs w:val="20"/>
        </w:rPr>
        <w:t>本供应商郑重声明：</w:t>
      </w:r>
    </w:p>
    <w:p>
      <w:pPr>
        <w:spacing w:before="222" w:line="432" w:lineRule="auto"/>
        <w:ind w:left="21" w:right="14" w:firstLine="421"/>
        <w:jc w:val="both"/>
        <w:rPr>
          <w:rFonts w:ascii="宋体" w:hAnsi="宋体" w:eastAsia="宋体" w:cs="宋体"/>
          <w:sz w:val="20"/>
          <w:szCs w:val="20"/>
        </w:rPr>
      </w:pPr>
      <w:r>
        <w:rPr>
          <w:rFonts w:ascii="宋体" w:hAnsi="宋体" w:eastAsia="宋体" w:cs="宋体"/>
          <w:spacing w:val="7"/>
          <w:sz w:val="20"/>
          <w:szCs w:val="20"/>
        </w:rPr>
        <w:t>本公司（或单位）具备本项目履行合同所必需的设备和专业技术能力，并承诺在项目实施过程中，为保证项目顺利实施，可根据实际需要追加（必要时可进行外购租、外协）设备</w:t>
      </w:r>
      <w:r>
        <w:rPr>
          <w:rFonts w:ascii="宋体" w:hAnsi="宋体" w:eastAsia="宋体" w:cs="宋体"/>
          <w:spacing w:val="4"/>
          <w:sz w:val="20"/>
          <w:szCs w:val="20"/>
        </w:rPr>
        <w:t>及专业技术能力，此部分费用已包含在报价中。</w:t>
      </w:r>
    </w:p>
    <w:p>
      <w:pPr>
        <w:spacing w:before="222" w:line="228" w:lineRule="auto"/>
        <w:ind w:left="442"/>
        <w:rPr>
          <w:rFonts w:ascii="宋体" w:hAnsi="宋体" w:eastAsia="宋体" w:cs="宋体"/>
          <w:sz w:val="20"/>
          <w:szCs w:val="20"/>
        </w:rPr>
      </w:pPr>
      <w:r>
        <w:rPr>
          <w:rFonts w:ascii="宋体" w:hAnsi="宋体" w:eastAsia="宋体" w:cs="宋体"/>
          <w:spacing w:val="6"/>
          <w:sz w:val="20"/>
          <w:szCs w:val="20"/>
        </w:rPr>
        <w:t>特此承诺。</w:t>
      </w:r>
    </w:p>
    <w:p>
      <w:pPr>
        <w:pStyle w:val="14"/>
        <w:spacing w:line="241" w:lineRule="auto"/>
      </w:pPr>
    </w:p>
    <w:p>
      <w:pPr>
        <w:pStyle w:val="14"/>
        <w:spacing w:line="241" w:lineRule="auto"/>
      </w:pPr>
    </w:p>
    <w:p>
      <w:pPr>
        <w:pStyle w:val="14"/>
        <w:spacing w:line="242" w:lineRule="auto"/>
      </w:pPr>
    </w:p>
    <w:p>
      <w:pPr>
        <w:pStyle w:val="14"/>
        <w:spacing w:line="242" w:lineRule="auto"/>
      </w:pPr>
    </w:p>
    <w:p>
      <w:pPr>
        <w:spacing w:before="66" w:line="432" w:lineRule="auto"/>
        <w:ind w:left="3526"/>
        <w:rPr>
          <w:rFonts w:hint="eastAsia" w:ascii="宋体" w:hAnsi="宋体" w:eastAsia="宋体" w:cs="宋体"/>
          <w:sz w:val="20"/>
          <w:szCs w:val="20"/>
          <w:lang w:eastAsia="zh-CN"/>
        </w:rPr>
      </w:pPr>
      <w:r>
        <w:rPr>
          <w:rFonts w:ascii="宋体" w:hAnsi="宋体" w:eastAsia="宋体" w:cs="宋体"/>
          <w:spacing w:val="9"/>
          <w:sz w:val="20"/>
          <w:szCs w:val="20"/>
        </w:rPr>
        <w:t>供应商名称（盖单位章</w:t>
      </w:r>
      <w:r>
        <w:rPr>
          <w:rFonts w:ascii="宋体" w:hAnsi="宋体" w:eastAsia="宋体" w:cs="宋体"/>
          <w:spacing w:val="-34"/>
          <w:sz w:val="20"/>
          <w:szCs w:val="20"/>
        </w:rPr>
        <w:t>）：</w:t>
      </w:r>
    </w:p>
    <w:p>
      <w:pPr>
        <w:spacing w:before="1" w:line="227" w:lineRule="auto"/>
        <w:ind w:left="3527"/>
        <w:rPr>
          <w:rFonts w:hint="eastAsia" w:ascii="宋体" w:hAnsi="宋体" w:eastAsia="宋体" w:cs="宋体"/>
          <w:sz w:val="20"/>
          <w:szCs w:val="20"/>
          <w:lang w:eastAsia="zh-CN"/>
        </w:rPr>
      </w:pPr>
      <w:r>
        <w:rPr>
          <w:rFonts w:ascii="宋体" w:hAnsi="宋体" w:eastAsia="宋体" w:cs="宋体"/>
          <w:spacing w:val="8"/>
          <w:sz w:val="20"/>
          <w:szCs w:val="20"/>
        </w:rPr>
        <w:t>法定代表人（签名</w:t>
      </w:r>
      <w:r>
        <w:rPr>
          <w:rFonts w:ascii="宋体" w:hAnsi="宋体" w:eastAsia="宋体" w:cs="宋体"/>
          <w:spacing w:val="-31"/>
          <w:sz w:val="20"/>
          <w:szCs w:val="20"/>
        </w:rPr>
        <w:t>）：</w:t>
      </w:r>
    </w:p>
    <w:p>
      <w:pPr>
        <w:spacing w:before="221" w:line="228" w:lineRule="auto"/>
        <w:ind w:left="3562"/>
        <w:rPr>
          <w:rFonts w:ascii="宋体" w:hAnsi="宋体" w:eastAsia="宋体" w:cs="宋体"/>
          <w:sz w:val="20"/>
          <w:szCs w:val="20"/>
        </w:rPr>
      </w:pPr>
      <w:r>
        <w:rPr>
          <w:rFonts w:ascii="宋体" w:hAnsi="宋体" w:eastAsia="宋体" w:cs="宋体"/>
          <w:spacing w:val="-19"/>
          <w:sz w:val="20"/>
          <w:szCs w:val="20"/>
        </w:rPr>
        <w:t>日期：年月日</w:t>
      </w:r>
    </w:p>
    <w:p>
      <w:pPr>
        <w:spacing w:line="228" w:lineRule="auto"/>
        <w:rPr>
          <w:rFonts w:ascii="宋体" w:hAnsi="宋体" w:eastAsia="宋体" w:cs="宋体"/>
          <w:sz w:val="20"/>
          <w:szCs w:val="20"/>
        </w:rPr>
        <w:sectPr>
          <w:footerReference r:id="rId13" w:type="default"/>
          <w:pgSz w:w="11906" w:h="16838"/>
          <w:pgMar w:top="1440" w:right="1800" w:bottom="1440" w:left="1800" w:header="1203" w:footer="736" w:gutter="0"/>
          <w:pgNumType w:fmt="decimal"/>
          <w:cols w:space="720" w:num="1"/>
        </w:sectPr>
      </w:pPr>
    </w:p>
    <w:p>
      <w:pPr>
        <w:spacing w:before="65" w:line="227" w:lineRule="auto"/>
        <w:ind w:left="32"/>
        <w:outlineLvl w:val="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（四）有依法缴纳税收和社会保障资金的良好记录；</w:t>
      </w:r>
    </w:p>
    <w:p>
      <w:pPr>
        <w:spacing w:line="480" w:lineRule="auto"/>
        <w:ind w:firstLine="440" w:firstLineChars="200"/>
        <w:rPr>
          <w:rFonts w:hint="eastAsia" w:ascii="宋体" w:hAnsi="宋体" w:eastAsia="宋体" w:cs="宋体"/>
          <w:kern w:val="0"/>
          <w:sz w:val="22"/>
          <w:szCs w:val="20"/>
        </w:rPr>
      </w:pPr>
    </w:p>
    <w:p>
      <w:pPr>
        <w:spacing w:line="480" w:lineRule="auto"/>
        <w:ind w:firstLine="440" w:firstLineChars="200"/>
        <w:rPr>
          <w:rFonts w:hint="eastAsia" w:ascii="宋体" w:hAnsi="宋体" w:eastAsia="宋体" w:cs="宋体"/>
          <w:kern w:val="0"/>
          <w:sz w:val="22"/>
          <w:szCs w:val="20"/>
        </w:rPr>
        <w:sectPr>
          <w:headerReference r:id="rId14" w:type="default"/>
          <w:footerReference r:id="rId15" w:type="default"/>
          <w:pgSz w:w="11906" w:h="16838"/>
          <w:pgMar w:top="1440" w:right="1800" w:bottom="1440" w:left="1800" w:header="1203" w:footer="736" w:gutter="0"/>
          <w:pgNumType w:fmt="decimal"/>
          <w:cols w:space="720" w:num="1"/>
        </w:sectPr>
      </w:pPr>
    </w:p>
    <w:p>
      <w:pPr>
        <w:spacing w:before="65" w:line="360" w:lineRule="auto"/>
        <w:ind w:left="32"/>
        <w:outlineLvl w:val="2"/>
        <w:rPr>
          <w:rFonts w:ascii="宋体" w:hAnsi="宋体" w:eastAsia="宋体" w:cs="宋体"/>
          <w:sz w:val="20"/>
          <w:szCs w:val="20"/>
        </w:rPr>
      </w:pPr>
      <w:r>
        <w:rPr>
          <w:rFonts w:ascii="宋体" w:hAnsi="宋体" w:eastAsia="宋体" w:cs="宋体"/>
          <w:spacing w:val="10"/>
          <w:sz w:val="20"/>
          <w:szCs w:val="20"/>
          <w14:textOutline w14:w="3823" w14:cap="flat" w14:cmpd="sng">
            <w14:solidFill>
              <w14:srgbClr w14:val="000000"/>
            </w14:solidFill>
            <w14:prstDash w14:val="solid"/>
            <w14:miter w14:val="0"/>
          </w14:textOutline>
        </w:rPr>
        <w:t>（五）参加政府采购活动前三年内，在经营活动中没有重大</w:t>
      </w:r>
      <w:r>
        <w:rPr>
          <w:rFonts w:ascii="宋体" w:hAnsi="宋体" w:eastAsia="宋体" w:cs="宋体"/>
          <w:spacing w:val="9"/>
          <w:sz w:val="20"/>
          <w:szCs w:val="20"/>
          <w14:textOutline w14:w="3823" w14:cap="flat" w14:cmpd="sng">
            <w14:solidFill>
              <w14:srgbClr w14:val="000000"/>
            </w14:solidFill>
            <w14:prstDash w14:val="solid"/>
            <w14:miter w14:val="0"/>
          </w14:textOutline>
        </w:rPr>
        <w:t>违法记录；</w:t>
      </w:r>
    </w:p>
    <w:p>
      <w:pPr>
        <w:pStyle w:val="14"/>
        <w:spacing w:line="360" w:lineRule="auto"/>
      </w:pPr>
    </w:p>
    <w:p>
      <w:pPr>
        <w:pStyle w:val="14"/>
        <w:spacing w:line="360" w:lineRule="auto"/>
      </w:pPr>
    </w:p>
    <w:p>
      <w:pPr>
        <w:spacing w:before="65" w:line="360" w:lineRule="auto"/>
        <w:ind w:left="23"/>
        <w:outlineLvl w:val="2"/>
        <w:rPr>
          <w:rFonts w:ascii="宋体" w:hAnsi="宋体" w:eastAsia="宋体" w:cs="宋体"/>
          <w:sz w:val="20"/>
          <w:szCs w:val="20"/>
        </w:rPr>
      </w:pPr>
      <w:r>
        <w:rPr>
          <w:rFonts w:ascii="宋体" w:hAnsi="宋体" w:eastAsia="宋体" w:cs="宋体"/>
          <w:spacing w:val="7"/>
          <w:sz w:val="20"/>
          <w:szCs w:val="20"/>
          <w14:textOutline w14:w="3823" w14:cap="flat" w14:cmpd="sng">
            <w14:solidFill>
              <w14:srgbClr w14:val="000000"/>
            </w14:solidFill>
            <w14:prstDash w14:val="solid"/>
            <w14:miter w14:val="0"/>
          </w14:textOutline>
        </w:rPr>
        <w:t>提供承诺书：</w:t>
      </w:r>
    </w:p>
    <w:p>
      <w:pPr>
        <w:pStyle w:val="14"/>
        <w:spacing w:line="360" w:lineRule="auto"/>
      </w:pPr>
    </w:p>
    <w:p>
      <w:pPr>
        <w:pStyle w:val="14"/>
        <w:spacing w:line="360" w:lineRule="auto"/>
      </w:pPr>
    </w:p>
    <w:p>
      <w:pPr>
        <w:spacing w:before="65" w:line="360" w:lineRule="auto"/>
        <w:ind w:left="1749"/>
        <w:rPr>
          <w:rFonts w:ascii="宋体" w:hAnsi="宋体" w:eastAsia="宋体" w:cs="宋体"/>
          <w:sz w:val="20"/>
          <w:szCs w:val="20"/>
        </w:rPr>
      </w:pPr>
      <w:r>
        <w:rPr>
          <w:rFonts w:ascii="宋体" w:hAnsi="宋体" w:eastAsia="宋体" w:cs="宋体"/>
          <w:spacing w:val="10"/>
          <w:sz w:val="20"/>
          <w:szCs w:val="20"/>
          <w14:textOutline w14:w="3823" w14:cap="flat" w14:cmpd="sng">
            <w14:solidFill>
              <w14:srgbClr w14:val="000000"/>
            </w14:solidFill>
            <w14:prstDash w14:val="solid"/>
            <w14:miter w14:val="0"/>
          </w14:textOutline>
        </w:rPr>
        <w:t>近三年内在经营活动中没有重大违法记录的书面声明</w:t>
      </w:r>
    </w:p>
    <w:p>
      <w:pPr>
        <w:spacing w:line="36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我方，（供应商名称）已认真阅读《中华人民共和国政府采购法》、《中华人民共和国政府采购法实施条例》及磋商文件（项目名称：，项目编号：）相关内容，知悉供应商参加政府采购活动应当具备的条件。此次按磋商文件要求提交的供应商资格证明材料，已经认真核对和检查，全部内容真实、合法、准确和完整，我们对此负责，并愿承担由此引起的法律责任。</w:t>
      </w:r>
    </w:p>
    <w:p>
      <w:pPr>
        <w:spacing w:line="48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一、我方在此声明：</w:t>
      </w:r>
    </w:p>
    <w:p>
      <w:pPr>
        <w:spacing w:line="48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（一）我方与采购人或代理机构不存在隶属关系或者其他利害关系。</w:t>
      </w:r>
    </w:p>
    <w:p>
      <w:pPr>
        <w:spacing w:line="48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（二）我方与参加本项目的其他供应商不存在控股、关联关系，或者与其他供应商法定代表人（或者负责人）为同一人。</w:t>
      </w:r>
    </w:p>
    <w:p>
      <w:pPr>
        <w:spacing w:line="48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（三）我方未为本项目前期准备提供设计或技术服务。</w:t>
      </w:r>
    </w:p>
    <w:p>
      <w:pPr>
        <w:spacing w:line="48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二、我方承诺参加政府采购近三年内：</w:t>
      </w:r>
    </w:p>
    <w:p>
      <w:pPr>
        <w:spacing w:line="48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（一）我方依法缴纳了各项税费及各项社会保障资金，没有偷税、漏税及欠缴行为。</w:t>
      </w:r>
    </w:p>
    <w:p>
      <w:pPr>
        <w:spacing w:line="48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（二）我方在经营活动中没有存在下列重大违法记录：</w:t>
      </w:r>
    </w:p>
    <w:p>
      <w:pPr>
        <w:spacing w:line="48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1、受到刑事处罚；</w:t>
      </w:r>
    </w:p>
    <w:p>
      <w:pPr>
        <w:spacing w:line="480" w:lineRule="auto"/>
        <w:ind w:firstLine="440" w:firstLineChars="200"/>
        <w:rPr>
          <w:rFonts w:hint="eastAsia" w:ascii="宋体" w:hAnsi="宋体" w:eastAsia="宋体" w:cs="宋体"/>
          <w:kern w:val="0"/>
          <w:sz w:val="22"/>
          <w:szCs w:val="20"/>
        </w:rPr>
      </w:pPr>
      <w:r>
        <w:rPr>
          <w:rFonts w:hint="eastAsia" w:ascii="宋体" w:hAnsi="宋体" w:eastAsia="宋体" w:cs="宋体"/>
          <w:kern w:val="0"/>
          <w:sz w:val="22"/>
          <w:szCs w:val="20"/>
        </w:rPr>
        <w:t>2、受到三万元以上的罚款、责令停产停业、在一至三年内禁止参加政府采购活动、暂扣或者吊销许可证、暂扣或者吊销执照的行政处罚。</w:t>
      </w:r>
    </w:p>
    <w:p>
      <w:pPr>
        <w:pStyle w:val="14"/>
        <w:spacing w:line="280" w:lineRule="auto"/>
      </w:pPr>
    </w:p>
    <w:p>
      <w:pPr>
        <w:pStyle w:val="14"/>
        <w:spacing w:line="281" w:lineRule="auto"/>
      </w:pPr>
    </w:p>
    <w:p>
      <w:pPr>
        <w:pStyle w:val="14"/>
        <w:spacing w:line="281" w:lineRule="auto"/>
      </w:pPr>
    </w:p>
    <w:p>
      <w:pPr>
        <w:pStyle w:val="14"/>
        <w:spacing w:line="281" w:lineRule="auto"/>
      </w:pPr>
    </w:p>
    <w:p>
      <w:pPr>
        <w:spacing w:before="66" w:line="432" w:lineRule="auto"/>
        <w:ind w:left="3526"/>
        <w:rPr>
          <w:rFonts w:hint="eastAsia" w:ascii="宋体" w:hAnsi="宋体" w:eastAsia="宋体" w:cs="宋体"/>
          <w:sz w:val="20"/>
          <w:szCs w:val="20"/>
          <w:lang w:eastAsia="zh-CN"/>
        </w:rPr>
      </w:pPr>
      <w:r>
        <w:rPr>
          <w:rFonts w:ascii="宋体" w:hAnsi="宋体" w:eastAsia="宋体" w:cs="宋体"/>
          <w:spacing w:val="9"/>
          <w:sz w:val="20"/>
          <w:szCs w:val="20"/>
        </w:rPr>
        <w:t>供应商名称（盖单位章</w:t>
      </w:r>
      <w:r>
        <w:rPr>
          <w:rFonts w:ascii="宋体" w:hAnsi="宋体" w:eastAsia="宋体" w:cs="宋体"/>
          <w:spacing w:val="-34"/>
          <w:sz w:val="20"/>
          <w:szCs w:val="20"/>
        </w:rPr>
        <w:t>）：</w:t>
      </w:r>
    </w:p>
    <w:p>
      <w:pPr>
        <w:spacing w:line="227" w:lineRule="auto"/>
        <w:ind w:left="3527"/>
        <w:rPr>
          <w:rFonts w:hint="eastAsia" w:ascii="宋体" w:hAnsi="宋体" w:eastAsia="宋体" w:cs="宋体"/>
          <w:sz w:val="20"/>
          <w:szCs w:val="20"/>
          <w:lang w:eastAsia="zh-CN"/>
        </w:rPr>
      </w:pPr>
      <w:r>
        <w:rPr>
          <w:rFonts w:ascii="宋体" w:hAnsi="宋体" w:eastAsia="宋体" w:cs="宋体"/>
          <w:spacing w:val="8"/>
          <w:sz w:val="20"/>
          <w:szCs w:val="20"/>
        </w:rPr>
        <w:t>法定代表人（签名</w:t>
      </w:r>
      <w:r>
        <w:rPr>
          <w:rFonts w:ascii="宋体" w:hAnsi="宋体" w:eastAsia="宋体" w:cs="宋体"/>
          <w:spacing w:val="-31"/>
          <w:sz w:val="20"/>
          <w:szCs w:val="20"/>
        </w:rPr>
        <w:t>）：</w:t>
      </w:r>
    </w:p>
    <w:p>
      <w:pPr>
        <w:spacing w:before="221" w:line="228" w:lineRule="auto"/>
        <w:ind w:left="3562"/>
        <w:rPr>
          <w:rFonts w:ascii="宋体" w:hAnsi="宋体" w:eastAsia="宋体" w:cs="宋体"/>
          <w:sz w:val="20"/>
          <w:szCs w:val="20"/>
        </w:rPr>
      </w:pPr>
      <w:r>
        <w:rPr>
          <w:rFonts w:ascii="宋体" w:hAnsi="宋体" w:eastAsia="宋体" w:cs="宋体"/>
          <w:spacing w:val="-19"/>
          <w:sz w:val="20"/>
          <w:szCs w:val="20"/>
        </w:rPr>
        <w:t>日期：</w:t>
      </w:r>
      <w:r>
        <w:rPr>
          <w:rFonts w:hint="eastAsia" w:ascii="宋体" w:hAnsi="宋体" w:cs="宋体"/>
          <w:spacing w:val="-19"/>
          <w:sz w:val="20"/>
          <w:szCs w:val="20"/>
          <w:lang w:val="en-US" w:eastAsia="zh-CN"/>
        </w:rPr>
        <w:t xml:space="preserve">   </w:t>
      </w:r>
      <w:r>
        <w:rPr>
          <w:rFonts w:ascii="宋体" w:hAnsi="宋体" w:eastAsia="宋体" w:cs="宋体"/>
          <w:spacing w:val="-19"/>
          <w:sz w:val="20"/>
          <w:szCs w:val="20"/>
        </w:rPr>
        <w:t>年</w:t>
      </w:r>
      <w:r>
        <w:rPr>
          <w:rFonts w:hint="eastAsia" w:ascii="宋体" w:hAnsi="宋体" w:cs="宋体"/>
          <w:spacing w:val="-19"/>
          <w:sz w:val="20"/>
          <w:szCs w:val="20"/>
          <w:lang w:val="en-US" w:eastAsia="zh-CN"/>
        </w:rPr>
        <w:t xml:space="preserve">   </w:t>
      </w:r>
      <w:r>
        <w:rPr>
          <w:rFonts w:ascii="宋体" w:hAnsi="宋体" w:eastAsia="宋体" w:cs="宋体"/>
          <w:spacing w:val="-19"/>
          <w:sz w:val="20"/>
          <w:szCs w:val="20"/>
        </w:rPr>
        <w:t>月</w:t>
      </w:r>
      <w:r>
        <w:rPr>
          <w:rFonts w:hint="eastAsia" w:ascii="宋体" w:hAnsi="宋体" w:cs="宋体"/>
          <w:spacing w:val="-19"/>
          <w:sz w:val="20"/>
          <w:szCs w:val="20"/>
          <w:lang w:val="en-US" w:eastAsia="zh-CN"/>
        </w:rPr>
        <w:t xml:space="preserve">   </w:t>
      </w:r>
      <w:r>
        <w:rPr>
          <w:rFonts w:ascii="宋体" w:hAnsi="宋体" w:eastAsia="宋体" w:cs="宋体"/>
          <w:spacing w:val="-19"/>
          <w:sz w:val="20"/>
          <w:szCs w:val="20"/>
        </w:rPr>
        <w:t>日</w:t>
      </w:r>
    </w:p>
    <w:p>
      <w:pPr>
        <w:spacing w:line="228" w:lineRule="auto"/>
        <w:rPr>
          <w:rFonts w:ascii="宋体" w:hAnsi="宋体" w:eastAsia="宋体" w:cs="宋体"/>
          <w:sz w:val="20"/>
          <w:szCs w:val="20"/>
        </w:rPr>
        <w:sectPr>
          <w:headerReference r:id="rId16" w:type="default"/>
          <w:footerReference r:id="rId17" w:type="default"/>
          <w:pgSz w:w="11906" w:h="16838"/>
          <w:pgMar w:top="1440" w:right="1800" w:bottom="1440" w:left="1800" w:header="1203" w:footer="736" w:gutter="0"/>
          <w:pgNumType w:fmt="decimal"/>
          <w:cols w:space="720" w:num="1"/>
        </w:sectPr>
      </w:pPr>
    </w:p>
    <w:p>
      <w:pPr>
        <w:spacing w:before="65" w:line="228" w:lineRule="auto"/>
        <w:ind w:left="32"/>
        <w:outlineLvl w:val="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（六）法律、行政法规规定的其他条件。</w:t>
      </w:r>
    </w:p>
    <w:p>
      <w:pPr>
        <w:pStyle w:val="14"/>
        <w:spacing w:line="310" w:lineRule="auto"/>
      </w:pPr>
    </w:p>
    <w:p>
      <w:pPr>
        <w:pStyle w:val="14"/>
        <w:spacing w:line="310" w:lineRule="auto"/>
      </w:pPr>
    </w:p>
    <w:p>
      <w:pPr>
        <w:spacing w:before="65" w:line="228" w:lineRule="auto"/>
        <w:ind w:left="32"/>
        <w:outlineLvl w:val="2"/>
        <w:rPr>
          <w:rFonts w:ascii="宋体" w:hAnsi="宋体" w:eastAsia="宋体" w:cs="宋体"/>
          <w:sz w:val="20"/>
          <w:szCs w:val="20"/>
        </w:rPr>
      </w:pPr>
      <w:r>
        <w:rPr>
          <w:rFonts w:ascii="宋体" w:hAnsi="宋体" w:eastAsia="宋体" w:cs="宋体"/>
          <w:spacing w:val="6"/>
          <w:sz w:val="20"/>
          <w:szCs w:val="20"/>
          <w14:textOutline w14:w="3823" w14:cap="flat" w14:cmpd="sng">
            <w14:solidFill>
              <w14:srgbClr w14:val="000000"/>
            </w14:solidFill>
            <w14:prstDash w14:val="solid"/>
            <w14:miter w14:val="0"/>
          </w14:textOutline>
        </w:rPr>
        <w:t>（1）信用记录查询</w:t>
      </w:r>
    </w:p>
    <w:p>
      <w:pPr>
        <w:spacing w:before="160" w:line="228" w:lineRule="auto"/>
        <w:ind w:left="465"/>
        <w:rPr>
          <w:rFonts w:ascii="宋体" w:hAnsi="宋体" w:eastAsia="宋体" w:cs="宋体"/>
          <w:spacing w:val="14"/>
          <w:sz w:val="20"/>
          <w:szCs w:val="20"/>
        </w:rPr>
      </w:pPr>
      <w:r>
        <w:rPr>
          <w:rFonts w:hint="eastAsia" w:ascii="宋体" w:hAnsi="宋体" w:eastAsia="宋体" w:cs="宋体"/>
          <w:spacing w:val="14"/>
          <w:sz w:val="20"/>
          <w:szCs w:val="20"/>
          <w:lang w:val="en-US" w:eastAsia="zh-CN"/>
        </w:rPr>
        <w:t>“信用中国”网站(www.creditchina.gov.cn）中国政府采购网(www.ccgp.gov.cn）、国家企业信用信息公示系统(http://www.gsxt.gov.cn)等列入失信被执行人、重大税收违法案件当事人名单、政府采购严重违法失信行为记录名单的（至本项目开始报名之时起，经查询尚在处罚期内的）</w:t>
      </w:r>
      <w:r>
        <w:rPr>
          <w:rFonts w:ascii="宋体" w:hAnsi="宋体" w:eastAsia="宋体" w:cs="宋体"/>
          <w:spacing w:val="14"/>
          <w:sz w:val="20"/>
          <w:szCs w:val="20"/>
        </w:rPr>
        <w:t>截图含</w:t>
      </w:r>
    </w:p>
    <w:p>
      <w:pPr>
        <w:spacing w:before="160" w:line="228" w:lineRule="auto"/>
        <w:ind w:firstLine="456" w:firstLineChars="200"/>
        <w:rPr>
          <w:rFonts w:ascii="宋体" w:hAnsi="宋体" w:eastAsia="宋体" w:cs="宋体"/>
          <w:sz w:val="20"/>
          <w:szCs w:val="20"/>
        </w:rPr>
      </w:pPr>
      <w:r>
        <w:rPr>
          <w:rFonts w:ascii="宋体" w:hAnsi="宋体" w:eastAsia="宋体" w:cs="宋体"/>
          <w:spacing w:val="14"/>
          <w:sz w:val="20"/>
          <w:szCs w:val="20"/>
        </w:rPr>
        <w:t>1）被列入失信被执行人</w:t>
      </w:r>
    </w:p>
    <w:p>
      <w:pPr>
        <w:spacing w:before="162" w:line="227" w:lineRule="auto"/>
        <w:ind w:firstLine="476" w:firstLineChars="200"/>
        <w:rPr>
          <w:rFonts w:ascii="宋体" w:hAnsi="宋体" w:eastAsia="宋体" w:cs="宋体"/>
          <w:sz w:val="20"/>
          <w:szCs w:val="20"/>
        </w:rPr>
      </w:pPr>
      <w:r>
        <w:rPr>
          <w:rFonts w:ascii="宋体" w:hAnsi="宋体" w:eastAsia="宋体" w:cs="宋体"/>
          <w:spacing w:val="19"/>
          <w:sz w:val="20"/>
          <w:szCs w:val="20"/>
        </w:rPr>
        <w:t>2）重大税收违法案件当事人名单的供应商</w:t>
      </w:r>
    </w:p>
    <w:p>
      <w:pPr>
        <w:spacing w:before="162" w:line="227" w:lineRule="auto"/>
        <w:ind w:firstLine="476" w:firstLineChars="200"/>
        <w:rPr>
          <w:rFonts w:ascii="宋体" w:hAnsi="宋体" w:eastAsia="宋体" w:cs="宋体"/>
          <w:sz w:val="20"/>
          <w:szCs w:val="20"/>
        </w:rPr>
      </w:pPr>
      <w:r>
        <w:rPr>
          <w:rFonts w:ascii="宋体" w:hAnsi="宋体" w:eastAsia="宋体" w:cs="宋体"/>
          <w:spacing w:val="19"/>
          <w:sz w:val="20"/>
          <w:szCs w:val="20"/>
        </w:rPr>
        <w:t>3）列入政府采购严重违法失信行为记录名单</w:t>
      </w:r>
    </w:p>
    <w:p>
      <w:pPr>
        <w:pStyle w:val="14"/>
        <w:spacing w:line="252" w:lineRule="auto"/>
      </w:pPr>
    </w:p>
    <w:p>
      <w:pPr>
        <w:pStyle w:val="14"/>
        <w:spacing w:line="252" w:lineRule="auto"/>
      </w:pPr>
    </w:p>
    <w:p>
      <w:r>
        <w:br w:type="page"/>
      </w:r>
    </w:p>
    <w:p>
      <w:pPr>
        <w:pStyle w:val="14"/>
        <w:spacing w:line="274" w:lineRule="auto"/>
      </w:pPr>
    </w:p>
    <w:p>
      <w:pPr>
        <w:spacing w:before="65" w:line="228" w:lineRule="auto"/>
        <w:outlineLvl w:val="2"/>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（七）磋商保证金</w:t>
      </w:r>
    </w:p>
    <w:p>
      <w:pPr>
        <w:pStyle w:val="14"/>
        <w:spacing w:line="309" w:lineRule="auto"/>
      </w:pPr>
    </w:p>
    <w:p>
      <w:pPr>
        <w:pStyle w:val="14"/>
        <w:spacing w:line="310" w:lineRule="auto"/>
      </w:pPr>
    </w:p>
    <w:p>
      <w:pPr>
        <w:spacing w:before="65" w:line="227" w:lineRule="auto"/>
        <w:ind w:left="2524"/>
        <w:rPr>
          <w:rFonts w:ascii="宋体" w:hAnsi="宋体" w:eastAsia="宋体" w:cs="宋体"/>
          <w:sz w:val="20"/>
          <w:szCs w:val="20"/>
        </w:rPr>
      </w:pPr>
      <w:r>
        <w:rPr>
          <w:rFonts w:ascii="宋体" w:hAnsi="宋体" w:eastAsia="宋体" w:cs="宋体"/>
          <w:spacing w:val="9"/>
          <w:sz w:val="20"/>
          <w:szCs w:val="20"/>
        </w:rPr>
        <w:t>说明：此处上传磋商保证金缴纳证明文件</w:t>
      </w:r>
    </w:p>
    <w:p>
      <w:pPr>
        <w:spacing w:line="227" w:lineRule="auto"/>
        <w:rPr>
          <w:rFonts w:ascii="宋体" w:hAnsi="宋体" w:eastAsia="宋体" w:cs="宋体"/>
          <w:sz w:val="20"/>
          <w:szCs w:val="20"/>
        </w:rPr>
        <w:sectPr>
          <w:headerReference r:id="rId18" w:type="default"/>
          <w:footerReference r:id="rId19" w:type="default"/>
          <w:pgSz w:w="11906" w:h="16838"/>
          <w:pgMar w:top="1440" w:right="1800" w:bottom="1440" w:left="1800" w:header="0" w:footer="0" w:gutter="0"/>
          <w:pgNumType w:fmt="decimal"/>
          <w:cols w:space="720" w:num="1"/>
        </w:sectPr>
      </w:pPr>
    </w:p>
    <w:p>
      <w:pPr>
        <w:spacing w:before="98" w:line="227" w:lineRule="auto"/>
        <w:ind w:left="64"/>
        <w:outlineLvl w:val="2"/>
        <w:rPr>
          <w:rFonts w:ascii="宋体" w:hAnsi="宋体" w:eastAsia="宋体" w:cs="宋体"/>
          <w:sz w:val="20"/>
          <w:szCs w:val="20"/>
        </w:rPr>
      </w:pPr>
      <w:r>
        <w:rPr>
          <w:rFonts w:ascii="宋体" w:hAnsi="宋体" w:eastAsia="宋体" w:cs="宋体"/>
          <w:spacing w:val="8"/>
          <w:sz w:val="20"/>
          <w:szCs w:val="20"/>
          <w14:textOutline w14:w="3823" w14:cap="flat" w14:cmpd="sng">
            <w14:solidFill>
              <w14:srgbClr w14:val="000000"/>
            </w14:solidFill>
            <w14:prstDash w14:val="solid"/>
            <w14:miter w14:val="0"/>
          </w14:textOutline>
        </w:rPr>
        <w:t>（八）不参与围标串标承诺书</w:t>
      </w:r>
    </w:p>
    <w:p>
      <w:pPr>
        <w:spacing w:before="222" w:line="227" w:lineRule="auto"/>
        <w:ind w:left="3429"/>
        <w:rPr>
          <w:rFonts w:ascii="宋体" w:hAnsi="宋体" w:eastAsia="宋体" w:cs="宋体"/>
          <w:sz w:val="20"/>
          <w:szCs w:val="20"/>
        </w:rPr>
      </w:pPr>
      <w:r>
        <w:rPr>
          <w:rFonts w:ascii="宋体" w:hAnsi="宋体" w:eastAsia="宋体" w:cs="宋体"/>
          <w:spacing w:val="8"/>
          <w:sz w:val="20"/>
          <w:szCs w:val="20"/>
        </w:rPr>
        <w:t>不参与围标串标承诺书</w:t>
      </w:r>
    </w:p>
    <w:p>
      <w:pPr>
        <w:pStyle w:val="14"/>
        <w:spacing w:line="310" w:lineRule="auto"/>
      </w:pPr>
    </w:p>
    <w:p>
      <w:pPr>
        <w:pStyle w:val="14"/>
        <w:spacing w:line="311" w:lineRule="auto"/>
      </w:pPr>
    </w:p>
    <w:p>
      <w:pPr>
        <w:spacing w:before="65" w:line="432" w:lineRule="auto"/>
        <w:ind w:left="475"/>
        <w:rPr>
          <w:rFonts w:ascii="宋体" w:hAnsi="宋体" w:eastAsia="宋体" w:cs="宋体"/>
          <w:sz w:val="20"/>
          <w:szCs w:val="20"/>
        </w:rPr>
      </w:pPr>
      <w:r>
        <w:rPr>
          <w:rFonts w:ascii="宋体" w:hAnsi="宋体" w:eastAsia="宋体" w:cs="宋体"/>
          <w:spacing w:val="6"/>
          <w:sz w:val="20"/>
          <w:szCs w:val="20"/>
        </w:rPr>
        <w:t>本人作为（单位名称）的法人，清楚知晓我公司本项目</w:t>
      </w:r>
      <w:r>
        <w:rPr>
          <w:rFonts w:ascii="宋体" w:hAnsi="宋体" w:eastAsia="宋体" w:cs="宋体"/>
          <w:spacing w:val="5"/>
          <w:sz w:val="20"/>
          <w:szCs w:val="20"/>
        </w:rPr>
        <w:t>投标活动，对以下</w:t>
      </w:r>
    </w:p>
    <w:p>
      <w:pPr>
        <w:spacing w:line="227" w:lineRule="auto"/>
        <w:ind w:left="54"/>
        <w:rPr>
          <w:rFonts w:ascii="宋体" w:hAnsi="宋体" w:eastAsia="宋体" w:cs="宋体"/>
          <w:sz w:val="20"/>
          <w:szCs w:val="20"/>
        </w:rPr>
      </w:pPr>
      <w:r>
        <w:rPr>
          <w:rFonts w:ascii="宋体" w:hAnsi="宋体" w:eastAsia="宋体" w:cs="宋体"/>
          <w:spacing w:val="7"/>
          <w:sz w:val="20"/>
          <w:szCs w:val="20"/>
        </w:rPr>
        <w:t>事项作出承诺：</w:t>
      </w:r>
    </w:p>
    <w:p>
      <w:pPr>
        <w:spacing w:before="221" w:line="468" w:lineRule="exact"/>
        <w:ind w:left="477"/>
        <w:rPr>
          <w:rFonts w:ascii="宋体" w:hAnsi="宋体" w:eastAsia="宋体" w:cs="宋体"/>
          <w:sz w:val="20"/>
          <w:szCs w:val="20"/>
        </w:rPr>
      </w:pPr>
      <w:r>
        <w:rPr>
          <w:rFonts w:ascii="宋体" w:hAnsi="宋体" w:eastAsia="宋体" w:cs="宋体"/>
          <w:spacing w:val="6"/>
          <w:position w:val="20"/>
          <w:sz w:val="20"/>
          <w:szCs w:val="20"/>
        </w:rPr>
        <w:t>一、我单位遵循公开、公平、公正、诚实守信的原则，依法依规参与本项目竞标。</w:t>
      </w:r>
    </w:p>
    <w:p>
      <w:pPr>
        <w:spacing w:before="1" w:line="226" w:lineRule="auto"/>
        <w:ind w:left="477"/>
        <w:rPr>
          <w:rFonts w:ascii="宋体" w:hAnsi="宋体" w:eastAsia="宋体" w:cs="宋体"/>
          <w:sz w:val="20"/>
          <w:szCs w:val="20"/>
        </w:rPr>
      </w:pPr>
      <w:r>
        <w:rPr>
          <w:rFonts w:ascii="宋体" w:hAnsi="宋体" w:eastAsia="宋体" w:cs="宋体"/>
          <w:spacing w:val="9"/>
          <w:sz w:val="20"/>
          <w:szCs w:val="20"/>
        </w:rPr>
        <w:t>二、我单位在本项目招标投标活动中，未参与围标串标。</w:t>
      </w:r>
    </w:p>
    <w:p>
      <w:pPr>
        <w:spacing w:before="221" w:line="468" w:lineRule="exact"/>
        <w:ind w:left="477"/>
        <w:rPr>
          <w:rFonts w:hint="eastAsia" w:ascii="宋体" w:hAnsi="宋体" w:eastAsia="宋体" w:cs="宋体"/>
          <w:spacing w:val="6"/>
          <w:position w:val="20"/>
          <w:sz w:val="20"/>
          <w:szCs w:val="20"/>
        </w:rPr>
      </w:pPr>
      <w:r>
        <w:rPr>
          <w:rFonts w:hint="eastAsia" w:ascii="宋体" w:hAnsi="宋体" w:eastAsia="宋体" w:cs="宋体"/>
          <w:spacing w:val="6"/>
          <w:position w:val="20"/>
          <w:sz w:val="20"/>
          <w:szCs w:val="20"/>
        </w:rPr>
        <w:t>三、我单位如被查实在本项目招标投标活动中存在围标串标的，递交响应文件行为作为实施串通投标违法行为的关键环节，本人承担直接责任人员法律责任，接受相应行政处罚和失信惩戒。</w:t>
      </w:r>
    </w:p>
    <w:p>
      <w:pPr>
        <w:spacing w:before="221" w:line="468" w:lineRule="exact"/>
        <w:ind w:left="477"/>
        <w:rPr>
          <w:rFonts w:hint="eastAsia" w:ascii="宋体" w:hAnsi="宋体" w:eastAsia="宋体" w:cs="宋体"/>
          <w:spacing w:val="6"/>
          <w:position w:val="20"/>
          <w:sz w:val="20"/>
          <w:szCs w:val="20"/>
        </w:rPr>
      </w:pPr>
      <w:r>
        <w:rPr>
          <w:rFonts w:hint="eastAsia" w:ascii="宋体" w:hAnsi="宋体" w:eastAsia="宋体" w:cs="宋体"/>
          <w:spacing w:val="6"/>
          <w:position w:val="20"/>
          <w:sz w:val="20"/>
          <w:szCs w:val="20"/>
        </w:rPr>
        <w:t>项目编号：</w:t>
      </w:r>
    </w:p>
    <w:p>
      <w:pPr>
        <w:spacing w:line="228" w:lineRule="auto"/>
        <w:ind w:left="55" w:firstLine="392" w:firstLineChars="200"/>
        <w:rPr>
          <w:rFonts w:ascii="宋体" w:hAnsi="宋体" w:eastAsia="宋体" w:cs="宋体"/>
          <w:sz w:val="20"/>
          <w:szCs w:val="20"/>
        </w:rPr>
      </w:pPr>
      <w:r>
        <w:rPr>
          <w:rFonts w:ascii="宋体" w:hAnsi="宋体" w:eastAsia="宋体" w:cs="宋体"/>
          <w:spacing w:val="-2"/>
          <w:sz w:val="20"/>
          <w:szCs w:val="20"/>
        </w:rPr>
        <w:t>标段号：</w:t>
      </w:r>
    </w:p>
    <w:p>
      <w:pPr>
        <w:spacing w:before="220" w:line="227" w:lineRule="auto"/>
        <w:ind w:left="54" w:firstLine="416" w:firstLineChars="200"/>
        <w:rPr>
          <w:rFonts w:ascii="宋体" w:hAnsi="宋体" w:eastAsia="宋体" w:cs="宋体"/>
          <w:sz w:val="20"/>
          <w:szCs w:val="20"/>
        </w:rPr>
      </w:pPr>
      <w:r>
        <w:rPr>
          <w:rFonts w:ascii="宋体" w:hAnsi="宋体" w:eastAsia="宋体" w:cs="宋体"/>
          <w:spacing w:val="4"/>
          <w:sz w:val="20"/>
          <w:szCs w:val="20"/>
        </w:rPr>
        <w:t>供应商单位名称：</w:t>
      </w:r>
    </w:p>
    <w:p>
      <w:pPr>
        <w:pStyle w:val="14"/>
        <w:spacing w:line="248" w:lineRule="auto"/>
      </w:pPr>
    </w:p>
    <w:p>
      <w:pPr>
        <w:pStyle w:val="14"/>
        <w:spacing w:line="248" w:lineRule="auto"/>
      </w:pPr>
    </w:p>
    <w:p>
      <w:pPr>
        <w:pStyle w:val="14"/>
        <w:spacing w:line="248" w:lineRule="auto"/>
      </w:pPr>
    </w:p>
    <w:p>
      <w:pPr>
        <w:pStyle w:val="14"/>
        <w:spacing w:line="248" w:lineRule="auto"/>
      </w:pPr>
    </w:p>
    <w:p>
      <w:pPr>
        <w:pStyle w:val="14"/>
        <w:spacing w:line="249" w:lineRule="auto"/>
      </w:pPr>
    </w:p>
    <w:p>
      <w:pPr>
        <w:spacing w:before="66" w:line="432" w:lineRule="auto"/>
        <w:ind w:left="3555"/>
        <w:rPr>
          <w:rFonts w:hint="eastAsia" w:ascii="宋体" w:hAnsi="宋体" w:eastAsia="宋体" w:cs="宋体"/>
          <w:sz w:val="20"/>
          <w:szCs w:val="20"/>
          <w:lang w:eastAsia="zh-CN"/>
        </w:rPr>
      </w:pPr>
      <w:r>
        <w:rPr>
          <w:rFonts w:ascii="宋体" w:hAnsi="宋体" w:eastAsia="宋体" w:cs="宋体"/>
          <w:spacing w:val="9"/>
          <w:sz w:val="20"/>
          <w:szCs w:val="20"/>
        </w:rPr>
        <w:t>供应商名称（盖单位章</w:t>
      </w:r>
      <w:r>
        <w:rPr>
          <w:rFonts w:ascii="宋体" w:hAnsi="宋体" w:eastAsia="宋体" w:cs="宋体"/>
          <w:spacing w:val="-34"/>
          <w:sz w:val="20"/>
          <w:szCs w:val="20"/>
        </w:rPr>
        <w:t>）：</w:t>
      </w:r>
    </w:p>
    <w:p>
      <w:pPr>
        <w:spacing w:before="1" w:line="227" w:lineRule="auto"/>
        <w:ind w:left="3556"/>
        <w:rPr>
          <w:rFonts w:hint="eastAsia" w:ascii="宋体" w:hAnsi="宋体" w:eastAsia="宋体" w:cs="宋体"/>
          <w:sz w:val="20"/>
          <w:szCs w:val="20"/>
          <w:lang w:eastAsia="zh-CN"/>
        </w:rPr>
      </w:pPr>
      <w:r>
        <w:rPr>
          <w:rFonts w:ascii="宋体" w:hAnsi="宋体" w:eastAsia="宋体" w:cs="宋体"/>
          <w:spacing w:val="8"/>
          <w:sz w:val="20"/>
          <w:szCs w:val="20"/>
        </w:rPr>
        <w:t>法定代表人（签名</w:t>
      </w:r>
      <w:r>
        <w:rPr>
          <w:rFonts w:ascii="宋体" w:hAnsi="宋体" w:eastAsia="宋体" w:cs="宋体"/>
          <w:spacing w:val="-31"/>
          <w:sz w:val="20"/>
          <w:szCs w:val="20"/>
        </w:rPr>
        <w:t>）：</w:t>
      </w:r>
    </w:p>
    <w:p>
      <w:pPr>
        <w:spacing w:before="221" w:line="228" w:lineRule="auto"/>
        <w:ind w:left="3591"/>
        <w:rPr>
          <w:rFonts w:ascii="宋体" w:hAnsi="宋体" w:eastAsia="宋体" w:cs="宋体"/>
          <w:sz w:val="20"/>
          <w:szCs w:val="20"/>
        </w:rPr>
        <w:sectPr>
          <w:footerReference r:id="rId20" w:type="default"/>
          <w:pgSz w:w="11906" w:h="16838"/>
          <w:pgMar w:top="1440" w:right="1800" w:bottom="1440" w:left="1800" w:header="0" w:footer="1211" w:gutter="0"/>
          <w:pgNumType w:fmt="decimal"/>
          <w:cols w:space="720" w:num="1"/>
        </w:sectPr>
      </w:pPr>
      <w:r>
        <w:rPr>
          <w:rFonts w:ascii="宋体" w:hAnsi="宋体" w:eastAsia="宋体" w:cs="宋体"/>
          <w:spacing w:val="-19"/>
          <w:sz w:val="20"/>
          <w:szCs w:val="20"/>
        </w:rPr>
        <w:t>日期：</w:t>
      </w:r>
      <w:r>
        <w:rPr>
          <w:rFonts w:hint="eastAsia" w:ascii="宋体" w:hAnsi="宋体" w:cs="宋体"/>
          <w:spacing w:val="-19"/>
          <w:sz w:val="20"/>
          <w:szCs w:val="20"/>
          <w:lang w:val="en-US" w:eastAsia="zh-CN"/>
        </w:rPr>
        <w:t xml:space="preserve">   </w:t>
      </w:r>
      <w:r>
        <w:rPr>
          <w:rFonts w:ascii="宋体" w:hAnsi="宋体" w:eastAsia="宋体" w:cs="宋体"/>
          <w:spacing w:val="-19"/>
          <w:sz w:val="20"/>
          <w:szCs w:val="20"/>
        </w:rPr>
        <w:t>年</w:t>
      </w:r>
      <w:r>
        <w:rPr>
          <w:rFonts w:hint="eastAsia" w:ascii="宋体" w:hAnsi="宋体" w:cs="宋体"/>
          <w:spacing w:val="-19"/>
          <w:sz w:val="20"/>
          <w:szCs w:val="20"/>
          <w:lang w:val="en-US" w:eastAsia="zh-CN"/>
        </w:rPr>
        <w:t xml:space="preserve">   </w:t>
      </w:r>
      <w:r>
        <w:rPr>
          <w:rFonts w:ascii="宋体" w:hAnsi="宋体" w:eastAsia="宋体" w:cs="宋体"/>
          <w:spacing w:val="-19"/>
          <w:sz w:val="20"/>
          <w:szCs w:val="20"/>
        </w:rPr>
        <w:t>月</w:t>
      </w:r>
      <w:r>
        <w:rPr>
          <w:rFonts w:hint="eastAsia" w:ascii="宋体" w:hAnsi="宋体" w:cs="宋体"/>
          <w:spacing w:val="-19"/>
          <w:sz w:val="20"/>
          <w:szCs w:val="20"/>
          <w:lang w:val="en-US" w:eastAsia="zh-CN"/>
        </w:rPr>
        <w:t xml:space="preserve">   </w:t>
      </w:r>
      <w:r>
        <w:rPr>
          <w:rFonts w:ascii="宋体" w:hAnsi="宋体" w:eastAsia="宋体" w:cs="宋体"/>
          <w:spacing w:val="-19"/>
          <w:sz w:val="20"/>
          <w:szCs w:val="20"/>
        </w:rPr>
        <w:t>日</w:t>
      </w:r>
    </w:p>
    <w:p>
      <w:pPr>
        <w:spacing w:before="123" w:line="191" w:lineRule="auto"/>
        <w:jc w:val="center"/>
        <w:rPr>
          <w:rFonts w:ascii="微软雅黑" w:hAnsi="微软雅黑" w:eastAsia="微软雅黑" w:cs="微软雅黑"/>
          <w:sz w:val="31"/>
          <w:szCs w:val="31"/>
        </w:rPr>
      </w:pPr>
      <w:r>
        <w:rPr>
          <w:rFonts w:ascii="微软雅黑" w:hAnsi="微软雅黑" w:eastAsia="微软雅黑" w:cs="微软雅黑"/>
          <w:spacing w:val="7"/>
          <w:sz w:val="31"/>
          <w:szCs w:val="31"/>
          <w14:textOutline w14:w="5835" w14:cap="flat" w14:cmpd="sng">
            <w14:solidFill>
              <w14:srgbClr w14:val="000000"/>
            </w14:solidFill>
            <w14:prstDash w14:val="solid"/>
            <w14:miter w14:val="0"/>
          </w14:textOutline>
        </w:rPr>
        <w:t>三、商务文件</w:t>
      </w:r>
    </w:p>
    <w:p>
      <w:pPr>
        <w:pStyle w:val="14"/>
        <w:spacing w:line="419" w:lineRule="auto"/>
      </w:pPr>
    </w:p>
    <w:p>
      <w:pPr>
        <w:spacing w:before="65" w:line="228" w:lineRule="auto"/>
        <w:ind w:left="64"/>
        <w:outlineLvl w:val="2"/>
        <w:rPr>
          <w:rFonts w:ascii="宋体" w:hAnsi="宋体" w:eastAsia="宋体" w:cs="宋体"/>
          <w:sz w:val="20"/>
          <w:szCs w:val="20"/>
        </w:rPr>
      </w:pPr>
      <w:r>
        <w:rPr>
          <w:rFonts w:ascii="宋体" w:hAnsi="宋体" w:eastAsia="宋体" w:cs="宋体"/>
          <w:spacing w:val="7"/>
          <w:sz w:val="20"/>
          <w:szCs w:val="20"/>
          <w14:textOutline w14:w="3823" w14:cap="flat" w14:cmpd="sng">
            <w14:solidFill>
              <w14:srgbClr w14:val="000000"/>
            </w14:solidFill>
            <w14:prstDash w14:val="solid"/>
            <w14:miter w14:val="0"/>
          </w14:textOutline>
        </w:rPr>
        <w:t>（一）竞争性磋商函</w:t>
      </w:r>
    </w:p>
    <w:p>
      <w:pPr>
        <w:pStyle w:val="14"/>
        <w:spacing w:line="463" w:lineRule="auto"/>
      </w:pPr>
    </w:p>
    <w:p>
      <w:pPr>
        <w:spacing w:before="65" w:line="600" w:lineRule="auto"/>
        <w:ind w:left="54"/>
        <w:rPr>
          <w:rFonts w:ascii="宋体" w:hAnsi="宋体" w:eastAsia="宋体" w:cs="宋体"/>
          <w:sz w:val="20"/>
          <w:szCs w:val="20"/>
        </w:rPr>
      </w:pPr>
      <w:r>
        <w:rPr>
          <w:rFonts w:ascii="宋体" w:hAnsi="宋体" w:eastAsia="宋体" w:cs="宋体"/>
          <w:spacing w:val="3"/>
          <w:sz w:val="20"/>
          <w:szCs w:val="20"/>
        </w:rPr>
        <w:t>致(采购人或代理机构)：</w:t>
      </w:r>
    </w:p>
    <w:p>
      <w:pPr>
        <w:spacing w:before="164" w:line="600" w:lineRule="auto"/>
        <w:ind w:firstLine="424" w:firstLineChars="200"/>
        <w:jc w:val="both"/>
        <w:rPr>
          <w:rFonts w:ascii="宋体" w:hAnsi="宋体" w:eastAsia="宋体" w:cs="宋体"/>
          <w:sz w:val="20"/>
          <w:szCs w:val="20"/>
        </w:rPr>
      </w:pPr>
      <w:r>
        <w:rPr>
          <w:rFonts w:ascii="宋体" w:hAnsi="宋体" w:eastAsia="宋体" w:cs="宋体"/>
          <w:spacing w:val="6"/>
          <w:sz w:val="20"/>
          <w:szCs w:val="20"/>
        </w:rPr>
        <w:t>我方己仔细研究了</w:t>
      </w:r>
      <w:r>
        <w:rPr>
          <w:rFonts w:hint="eastAsia" w:ascii="宋体" w:hAnsi="宋体" w:cs="宋体"/>
          <w:spacing w:val="6"/>
          <w:sz w:val="20"/>
          <w:szCs w:val="20"/>
          <w:u w:val="single"/>
          <w:lang w:val="en-US" w:eastAsia="zh-CN"/>
        </w:rPr>
        <w:t xml:space="preserve">          </w:t>
      </w:r>
      <w:r>
        <w:rPr>
          <w:rFonts w:ascii="宋体" w:hAnsi="宋体" w:eastAsia="宋体" w:cs="宋体"/>
          <w:spacing w:val="6"/>
          <w:sz w:val="20"/>
          <w:szCs w:val="20"/>
          <w:u w:val="none" w:color="auto"/>
        </w:rPr>
        <w:t>(</w:t>
      </w:r>
      <w:r>
        <w:rPr>
          <w:rFonts w:ascii="宋体" w:hAnsi="宋体" w:eastAsia="宋体" w:cs="宋体"/>
          <w:spacing w:val="6"/>
          <w:sz w:val="20"/>
          <w:szCs w:val="20"/>
        </w:rPr>
        <w:t>项目名称)的磋商文件（项目编号</w:t>
      </w:r>
      <w:r>
        <w:rPr>
          <w:rFonts w:ascii="宋体" w:hAnsi="宋体" w:eastAsia="宋体" w:cs="宋体"/>
          <w:spacing w:val="8"/>
          <w:sz w:val="20"/>
          <w:szCs w:val="20"/>
        </w:rPr>
        <w:t>：）</w:t>
      </w:r>
      <w:r>
        <w:rPr>
          <w:rFonts w:ascii="宋体" w:hAnsi="宋体" w:eastAsia="宋体" w:cs="宋体"/>
          <w:spacing w:val="6"/>
          <w:sz w:val="20"/>
          <w:szCs w:val="20"/>
        </w:rPr>
        <w:t>的</w:t>
      </w:r>
      <w:r>
        <w:rPr>
          <w:rFonts w:ascii="宋体" w:hAnsi="宋体" w:eastAsia="宋体" w:cs="宋体"/>
          <w:spacing w:val="10"/>
          <w:sz w:val="20"/>
          <w:szCs w:val="20"/>
        </w:rPr>
        <w:t>全部内容，知悉参加磋商的风险，我方承诺接</w:t>
      </w:r>
      <w:r>
        <w:rPr>
          <w:rFonts w:ascii="宋体" w:hAnsi="宋体" w:eastAsia="宋体" w:cs="宋体"/>
          <w:spacing w:val="9"/>
          <w:sz w:val="20"/>
          <w:szCs w:val="20"/>
        </w:rPr>
        <w:t>受磋商文件的全部条款且无任何异议。</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一、我方同意在磋商文件中规定的提交响应文件截止时间起日内(响应文件有效期)遵守本响应文件中的承诺且在此期限期满之前均具有法律约束力。</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二、我方保证递交的响应文件中提供的数据和材料是真实、准确的。否则，愿承担《政府采购法》第七十七条规定的法律责任。</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三、我方愿意向贵方提供任何与本项采购有关的数据、情况和技术资料。若贵方需要，我方愿意提供我方作出的一切承诺的证明材料。</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四、我方接受磋商文件所列须知中16（条）关于没收投标保证金的约定，并保证将按磋商文件的约定履行合同责任和义务。</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五、我方同意提供按照贵方可能要求的与其磋商响应有关的一切数据或资料。</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四、我方承诺遵守《政府采购法》的有关规定，保证在获得成交资格后，按照磋商文件确定的事项签订政府采购合同，履行双方所签订的合同，并承担合同规定的责任和义务。</w:t>
      </w:r>
    </w:p>
    <w:p>
      <w:pPr>
        <w:pStyle w:val="14"/>
        <w:spacing w:line="263" w:lineRule="auto"/>
        <w:ind w:left="0" w:leftChars="0" w:firstLine="0" w:firstLineChars="0"/>
      </w:pPr>
    </w:p>
    <w:p>
      <w:pPr>
        <w:spacing w:before="65" w:line="227" w:lineRule="auto"/>
        <w:ind w:left="70"/>
        <w:rPr>
          <w:rFonts w:ascii="宋体" w:hAnsi="宋体" w:eastAsia="宋体" w:cs="宋体"/>
          <w:sz w:val="20"/>
          <w:szCs w:val="20"/>
        </w:rPr>
      </w:pPr>
      <w:r>
        <w:rPr>
          <w:rFonts w:ascii="宋体" w:hAnsi="宋体" w:eastAsia="宋体" w:cs="宋体"/>
          <w:spacing w:val="7"/>
          <w:sz w:val="20"/>
          <w:szCs w:val="20"/>
        </w:rPr>
        <w:t>附件1：法定代表人身份证明(法定代表人参加磋商时提供)</w:t>
      </w:r>
    </w:p>
    <w:p>
      <w:pPr>
        <w:spacing w:before="162" w:line="227" w:lineRule="auto"/>
        <w:ind w:left="70"/>
        <w:rPr>
          <w:rFonts w:ascii="宋体" w:hAnsi="宋体" w:eastAsia="宋体" w:cs="宋体"/>
          <w:sz w:val="20"/>
          <w:szCs w:val="20"/>
        </w:rPr>
      </w:pPr>
      <w:r>
        <w:rPr>
          <w:rFonts w:ascii="宋体" w:hAnsi="宋体" w:eastAsia="宋体" w:cs="宋体"/>
          <w:spacing w:val="8"/>
          <w:sz w:val="20"/>
          <w:szCs w:val="20"/>
        </w:rPr>
        <w:t>附件2：法定代表人授权书(委托代理人参加磋商时提</w:t>
      </w:r>
      <w:r>
        <w:rPr>
          <w:rFonts w:ascii="宋体" w:hAnsi="宋体" w:eastAsia="宋体" w:cs="宋体"/>
          <w:spacing w:val="7"/>
          <w:sz w:val="20"/>
          <w:szCs w:val="20"/>
        </w:rPr>
        <w:t>供)</w:t>
      </w:r>
    </w:p>
    <w:p>
      <w:pPr>
        <w:pStyle w:val="14"/>
        <w:spacing w:line="303" w:lineRule="auto"/>
      </w:pPr>
    </w:p>
    <w:p>
      <w:pPr>
        <w:pStyle w:val="14"/>
        <w:spacing w:line="303" w:lineRule="auto"/>
      </w:pPr>
    </w:p>
    <w:p>
      <w:pPr>
        <w:pStyle w:val="14"/>
        <w:spacing w:line="303" w:lineRule="auto"/>
      </w:pPr>
    </w:p>
    <w:p>
      <w:pPr>
        <w:spacing w:before="66" w:line="227" w:lineRule="auto"/>
        <w:ind w:left="54"/>
        <w:rPr>
          <w:rFonts w:ascii="宋体" w:hAnsi="宋体" w:eastAsia="宋体" w:cs="宋体"/>
          <w:sz w:val="20"/>
          <w:szCs w:val="20"/>
        </w:rPr>
      </w:pPr>
      <w:r>
        <w:rPr>
          <w:rFonts w:ascii="宋体" w:hAnsi="宋体" w:eastAsia="宋体" w:cs="宋体"/>
          <w:spacing w:val="7"/>
          <w:sz w:val="20"/>
          <w:szCs w:val="20"/>
        </w:rPr>
        <w:t>供应商名称(盖单位章)：</w:t>
      </w:r>
    </w:p>
    <w:p>
      <w:pPr>
        <w:spacing w:before="162" w:line="228" w:lineRule="auto"/>
        <w:ind w:left="55"/>
        <w:rPr>
          <w:rFonts w:hint="eastAsia" w:ascii="宋体" w:hAnsi="宋体" w:eastAsia="宋体" w:cs="宋体"/>
          <w:sz w:val="20"/>
          <w:szCs w:val="20"/>
          <w:lang w:eastAsia="zh-CN"/>
        </w:rPr>
      </w:pPr>
      <w:r>
        <w:rPr>
          <w:rFonts w:ascii="宋体" w:hAnsi="宋体" w:eastAsia="宋体" w:cs="宋体"/>
          <w:spacing w:val="6"/>
          <w:sz w:val="20"/>
          <w:szCs w:val="20"/>
        </w:rPr>
        <w:t>法定代表人或其委托代理人(签字)：</w:t>
      </w:r>
    </w:p>
    <w:p>
      <w:pPr>
        <w:spacing w:before="161" w:line="228" w:lineRule="auto"/>
        <w:ind w:left="90"/>
        <w:rPr>
          <w:rFonts w:ascii="宋体" w:hAnsi="宋体" w:eastAsia="宋体" w:cs="宋体"/>
          <w:sz w:val="20"/>
          <w:szCs w:val="20"/>
        </w:rPr>
      </w:pPr>
      <w:r>
        <w:rPr>
          <w:rFonts w:ascii="宋体" w:hAnsi="宋体" w:eastAsia="宋体" w:cs="宋体"/>
          <w:spacing w:val="-4"/>
          <w:sz w:val="20"/>
          <w:szCs w:val="20"/>
        </w:rPr>
        <w:t>日期：</w:t>
      </w:r>
      <w:r>
        <w:rPr>
          <w:rFonts w:hint="eastAsia" w:ascii="宋体" w:hAnsi="宋体" w:cs="宋体"/>
          <w:spacing w:val="-4"/>
          <w:sz w:val="20"/>
          <w:szCs w:val="20"/>
          <w:lang w:val="en-US" w:eastAsia="zh-CN"/>
        </w:rPr>
        <w:t xml:space="preserve">  </w:t>
      </w:r>
      <w:r>
        <w:rPr>
          <w:rFonts w:ascii="宋体" w:hAnsi="宋体" w:eastAsia="宋体" w:cs="宋体"/>
          <w:spacing w:val="-4"/>
          <w:sz w:val="20"/>
          <w:szCs w:val="20"/>
        </w:rPr>
        <w:t>年</w:t>
      </w:r>
      <w:r>
        <w:rPr>
          <w:rFonts w:hint="eastAsia" w:ascii="宋体" w:hAnsi="宋体" w:cs="宋体"/>
          <w:spacing w:val="-4"/>
          <w:sz w:val="20"/>
          <w:szCs w:val="20"/>
          <w:lang w:val="en-US" w:eastAsia="zh-CN"/>
        </w:rPr>
        <w:t xml:space="preserve">  </w:t>
      </w:r>
      <w:r>
        <w:rPr>
          <w:rFonts w:ascii="宋体" w:hAnsi="宋体" w:eastAsia="宋体" w:cs="宋体"/>
          <w:spacing w:val="-4"/>
          <w:sz w:val="20"/>
          <w:szCs w:val="20"/>
        </w:rPr>
        <w:t>月</w:t>
      </w:r>
      <w:r>
        <w:rPr>
          <w:rFonts w:hint="eastAsia" w:ascii="宋体" w:hAnsi="宋体" w:cs="宋体"/>
          <w:spacing w:val="-4"/>
          <w:sz w:val="20"/>
          <w:szCs w:val="20"/>
          <w:lang w:val="en-US" w:eastAsia="zh-CN"/>
        </w:rPr>
        <w:t xml:space="preserve">  </w:t>
      </w:r>
      <w:r>
        <w:rPr>
          <w:rFonts w:ascii="宋体" w:hAnsi="宋体" w:eastAsia="宋体" w:cs="宋体"/>
          <w:spacing w:val="-4"/>
          <w:sz w:val="20"/>
          <w:szCs w:val="20"/>
        </w:rPr>
        <w:t>日</w:t>
      </w:r>
    </w:p>
    <w:p>
      <w:pPr>
        <w:spacing w:line="228" w:lineRule="auto"/>
        <w:rPr>
          <w:rFonts w:ascii="宋体" w:hAnsi="宋体" w:eastAsia="宋体" w:cs="宋体"/>
          <w:sz w:val="20"/>
          <w:szCs w:val="20"/>
        </w:rPr>
        <w:sectPr>
          <w:footerReference r:id="rId21" w:type="default"/>
          <w:pgSz w:w="11906" w:h="16838"/>
          <w:pgMar w:top="1440" w:right="1800" w:bottom="1440" w:left="1800" w:header="0" w:footer="1211" w:gutter="0"/>
          <w:pgNumType w:fmt="decimal"/>
          <w:cols w:space="720" w:num="1"/>
        </w:sectPr>
      </w:pPr>
    </w:p>
    <w:p>
      <w:pPr>
        <w:spacing w:line="227" w:lineRule="auto"/>
        <w:ind w:left="70"/>
        <w:rPr>
          <w:rFonts w:ascii="宋体" w:hAnsi="宋体" w:eastAsia="宋体" w:cs="宋体"/>
          <w:sz w:val="20"/>
          <w:szCs w:val="20"/>
        </w:rPr>
      </w:pPr>
      <w:r>
        <w:rPr>
          <w:rFonts w:ascii="宋体" w:hAnsi="宋体" w:eastAsia="宋体" w:cs="宋体"/>
          <w:spacing w:val="-6"/>
          <w:sz w:val="20"/>
          <w:szCs w:val="20"/>
        </w:rPr>
        <w:t>附件1:</w:t>
      </w:r>
    </w:p>
    <w:p>
      <w:pPr>
        <w:spacing w:before="161" w:line="228" w:lineRule="auto"/>
        <w:ind w:left="2462"/>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法定代表人身份证明(法定代表人参加磋商)</w:t>
      </w:r>
    </w:p>
    <w:p>
      <w:pPr>
        <w:pStyle w:val="14"/>
        <w:spacing w:line="264" w:lineRule="auto"/>
      </w:pPr>
    </w:p>
    <w:p>
      <w:pPr>
        <w:pStyle w:val="14"/>
        <w:spacing w:line="265" w:lineRule="auto"/>
      </w:pPr>
    </w:p>
    <w:p>
      <w:pPr>
        <w:pStyle w:val="14"/>
        <w:spacing w:line="265" w:lineRule="auto"/>
      </w:pPr>
    </w:p>
    <w:p>
      <w:pPr>
        <w:spacing w:before="65" w:line="521" w:lineRule="auto"/>
        <w:ind w:left="54"/>
        <w:rPr>
          <w:rFonts w:hint="eastAsia" w:ascii="宋体" w:hAnsi="宋体" w:eastAsia="宋体" w:cs="宋体"/>
          <w:sz w:val="20"/>
          <w:szCs w:val="20"/>
          <w:lang w:eastAsia="zh-CN"/>
        </w:rPr>
      </w:pPr>
      <w:r>
        <w:rPr>
          <w:rFonts w:ascii="宋体" w:hAnsi="宋体" w:eastAsia="宋体" w:cs="宋体"/>
          <w:spacing w:val="8"/>
          <w:sz w:val="20"/>
          <w:szCs w:val="20"/>
        </w:rPr>
        <w:t>供应商名称：</w:t>
      </w:r>
    </w:p>
    <w:p>
      <w:pPr>
        <w:spacing w:line="229" w:lineRule="auto"/>
        <w:ind w:left="54"/>
        <w:rPr>
          <w:rFonts w:hint="eastAsia" w:ascii="宋体" w:hAnsi="宋体" w:eastAsia="宋体" w:cs="宋体"/>
          <w:sz w:val="20"/>
          <w:szCs w:val="20"/>
          <w:lang w:eastAsia="zh-CN"/>
        </w:rPr>
      </w:pPr>
      <w:r>
        <w:rPr>
          <w:rFonts w:ascii="宋体" w:hAnsi="宋体" w:eastAsia="宋体" w:cs="宋体"/>
          <w:spacing w:val="-15"/>
          <w:sz w:val="20"/>
          <w:szCs w:val="20"/>
        </w:rPr>
        <w:t>注册号：</w:t>
      </w:r>
    </w:p>
    <w:p>
      <w:pPr>
        <w:pStyle w:val="14"/>
        <w:spacing w:line="248" w:lineRule="auto"/>
      </w:pPr>
    </w:p>
    <w:p>
      <w:pPr>
        <w:spacing w:before="65" w:line="521" w:lineRule="auto"/>
        <w:ind w:left="54"/>
        <w:rPr>
          <w:rFonts w:hint="eastAsia" w:ascii="宋体" w:hAnsi="宋体" w:eastAsia="宋体" w:cs="宋体"/>
          <w:sz w:val="20"/>
          <w:szCs w:val="20"/>
          <w:lang w:eastAsia="zh-CN"/>
        </w:rPr>
      </w:pPr>
      <w:r>
        <w:rPr>
          <w:rFonts w:ascii="宋体" w:hAnsi="宋体" w:eastAsia="宋体" w:cs="宋体"/>
          <w:spacing w:val="8"/>
          <w:sz w:val="20"/>
          <w:szCs w:val="20"/>
        </w:rPr>
        <w:t>注册地址：</w:t>
      </w:r>
    </w:p>
    <w:p>
      <w:pPr>
        <w:spacing w:before="1" w:line="227" w:lineRule="auto"/>
        <w:ind w:left="56"/>
        <w:rPr>
          <w:rFonts w:ascii="宋体" w:hAnsi="宋体" w:eastAsia="宋体" w:cs="宋体"/>
          <w:sz w:val="20"/>
          <w:szCs w:val="20"/>
        </w:rPr>
      </w:pPr>
      <w:r>
        <w:rPr>
          <w:rFonts w:ascii="宋体" w:hAnsi="宋体" w:eastAsia="宋体" w:cs="宋体"/>
          <w:spacing w:val="4"/>
          <w:sz w:val="20"/>
          <w:szCs w:val="20"/>
        </w:rPr>
        <w:t>成立时间：年月日</w:t>
      </w:r>
    </w:p>
    <w:p>
      <w:pPr>
        <w:pStyle w:val="14"/>
        <w:spacing w:line="250" w:lineRule="auto"/>
      </w:pPr>
    </w:p>
    <w:p>
      <w:pPr>
        <w:spacing w:before="66" w:line="523" w:lineRule="auto"/>
        <w:ind w:left="56"/>
        <w:rPr>
          <w:rFonts w:hint="eastAsia" w:ascii="宋体" w:hAnsi="宋体" w:eastAsia="宋体" w:cs="宋体"/>
          <w:sz w:val="20"/>
          <w:szCs w:val="20"/>
          <w:lang w:eastAsia="zh-CN"/>
        </w:rPr>
      </w:pPr>
      <w:r>
        <w:rPr>
          <w:rFonts w:ascii="宋体" w:hAnsi="宋体" w:eastAsia="宋体" w:cs="宋体"/>
          <w:spacing w:val="7"/>
          <w:sz w:val="20"/>
          <w:szCs w:val="20"/>
        </w:rPr>
        <w:t>经营期限：</w:t>
      </w:r>
    </w:p>
    <w:p>
      <w:pPr>
        <w:spacing w:line="228" w:lineRule="auto"/>
        <w:ind w:left="56"/>
        <w:rPr>
          <w:rFonts w:hint="eastAsia" w:ascii="宋体" w:hAnsi="宋体" w:eastAsia="宋体" w:cs="宋体"/>
          <w:sz w:val="20"/>
          <w:szCs w:val="20"/>
          <w:lang w:eastAsia="zh-CN"/>
        </w:rPr>
      </w:pPr>
      <w:r>
        <w:rPr>
          <w:rFonts w:ascii="宋体" w:hAnsi="宋体" w:eastAsia="宋体" w:cs="宋体"/>
          <w:spacing w:val="7"/>
          <w:sz w:val="20"/>
          <w:szCs w:val="20"/>
        </w:rPr>
        <w:t>经营范围：</w:t>
      </w:r>
    </w:p>
    <w:p>
      <w:pPr>
        <w:pStyle w:val="14"/>
        <w:spacing w:line="249" w:lineRule="auto"/>
      </w:pPr>
    </w:p>
    <w:p>
      <w:pPr>
        <w:spacing w:before="66" w:line="521" w:lineRule="auto"/>
        <w:ind w:left="54"/>
        <w:rPr>
          <w:rFonts w:ascii="宋体" w:hAnsi="宋体" w:eastAsia="宋体" w:cs="宋体"/>
          <w:sz w:val="20"/>
          <w:szCs w:val="20"/>
        </w:rPr>
      </w:pPr>
      <w:r>
        <w:rPr>
          <w:rFonts w:ascii="宋体" w:hAnsi="宋体" w:eastAsia="宋体" w:cs="宋体"/>
          <w:spacing w:val="7"/>
          <w:sz w:val="20"/>
          <w:szCs w:val="20"/>
        </w:rPr>
        <w:t>姓名：性别：</w:t>
      </w:r>
      <w:r>
        <w:rPr>
          <w:rFonts w:ascii="宋体" w:hAnsi="宋体" w:eastAsia="宋体" w:cs="宋体"/>
          <w:spacing w:val="6"/>
          <w:sz w:val="20"/>
          <w:szCs w:val="20"/>
        </w:rPr>
        <w:t>年龄：系（供应商名称）的法定代表人。</w:t>
      </w:r>
    </w:p>
    <w:p>
      <w:pPr>
        <w:spacing w:line="227" w:lineRule="auto"/>
        <w:ind w:left="54"/>
        <w:rPr>
          <w:rFonts w:ascii="宋体" w:hAnsi="宋体" w:eastAsia="宋体" w:cs="宋体"/>
          <w:sz w:val="20"/>
          <w:szCs w:val="20"/>
        </w:rPr>
      </w:pPr>
      <w:r>
        <w:rPr>
          <w:rFonts w:ascii="宋体" w:hAnsi="宋体" w:eastAsia="宋体" w:cs="宋体"/>
          <w:spacing w:val="6"/>
          <w:sz w:val="20"/>
          <w:szCs w:val="20"/>
        </w:rPr>
        <w:t>特此证明。</w:t>
      </w:r>
    </w:p>
    <w:p>
      <w:pPr>
        <w:pStyle w:val="14"/>
        <w:spacing w:line="250" w:lineRule="auto"/>
      </w:pPr>
    </w:p>
    <w:p>
      <w:pPr>
        <w:spacing w:before="66" w:line="227" w:lineRule="auto"/>
        <w:ind w:left="70"/>
        <w:rPr>
          <w:rFonts w:ascii="宋体" w:hAnsi="宋体" w:eastAsia="宋体" w:cs="宋体"/>
          <w:sz w:val="20"/>
          <w:szCs w:val="20"/>
        </w:rPr>
      </w:pPr>
      <w:r>
        <w:rPr>
          <w:rFonts w:ascii="宋体" w:hAnsi="宋体" w:eastAsia="宋体" w:cs="宋体"/>
          <w:spacing w:val="3"/>
          <w:sz w:val="20"/>
          <w:szCs w:val="20"/>
        </w:rPr>
        <w:t>附：法定代表人身份证（正反面）复印件</w:t>
      </w:r>
    </w:p>
    <w:p>
      <w:pPr>
        <w:pStyle w:val="14"/>
        <w:spacing w:line="245" w:lineRule="auto"/>
      </w:pPr>
    </w:p>
    <w:p>
      <w:pPr>
        <w:pStyle w:val="14"/>
        <w:spacing w:line="245" w:lineRule="auto"/>
      </w:pPr>
    </w:p>
    <w:p>
      <w:pPr>
        <w:pStyle w:val="14"/>
        <w:spacing w:line="246" w:lineRule="auto"/>
      </w:pPr>
    </w:p>
    <w:p>
      <w:pPr>
        <w:pStyle w:val="14"/>
        <w:spacing w:line="246" w:lineRule="auto"/>
      </w:pPr>
    </w:p>
    <w:p>
      <w:pPr>
        <w:pStyle w:val="14"/>
        <w:spacing w:line="246" w:lineRule="auto"/>
      </w:pPr>
    </w:p>
    <w:p>
      <w:pPr>
        <w:pStyle w:val="14"/>
        <w:spacing w:line="246" w:lineRule="auto"/>
      </w:pPr>
    </w:p>
    <w:p>
      <w:pPr>
        <w:pStyle w:val="14"/>
        <w:spacing w:line="246" w:lineRule="auto"/>
      </w:pPr>
    </w:p>
    <w:p>
      <w:pPr>
        <w:spacing w:before="66" w:line="227" w:lineRule="auto"/>
        <w:ind w:left="54"/>
        <w:rPr>
          <w:rFonts w:ascii="宋体" w:hAnsi="宋体" w:eastAsia="宋体" w:cs="宋体"/>
          <w:sz w:val="20"/>
          <w:szCs w:val="20"/>
        </w:rPr>
      </w:pPr>
      <w:r>
        <w:rPr>
          <w:rFonts w:ascii="宋体" w:hAnsi="宋体" w:eastAsia="宋体" w:cs="宋体"/>
          <w:spacing w:val="9"/>
          <w:sz w:val="20"/>
          <w:szCs w:val="20"/>
        </w:rPr>
        <w:t>供应商名称（盖单位章</w:t>
      </w:r>
      <w:r>
        <w:rPr>
          <w:rFonts w:ascii="宋体" w:hAnsi="宋体" w:eastAsia="宋体" w:cs="宋体"/>
          <w:spacing w:val="-9"/>
          <w:sz w:val="20"/>
          <w:szCs w:val="20"/>
        </w:rPr>
        <w:t>）：</w:t>
      </w:r>
    </w:p>
    <w:p>
      <w:pPr>
        <w:spacing w:before="162" w:line="379" w:lineRule="auto"/>
        <w:ind w:left="55"/>
        <w:rPr>
          <w:rFonts w:hint="eastAsia" w:ascii="宋体" w:hAnsi="宋体" w:eastAsia="宋体" w:cs="宋体"/>
          <w:sz w:val="20"/>
          <w:szCs w:val="20"/>
          <w:lang w:eastAsia="zh-CN"/>
        </w:rPr>
      </w:pPr>
      <w:r>
        <w:rPr>
          <w:rFonts w:ascii="宋体" w:hAnsi="宋体" w:eastAsia="宋体" w:cs="宋体"/>
          <w:spacing w:val="8"/>
          <w:sz w:val="20"/>
          <w:szCs w:val="20"/>
        </w:rPr>
        <w:t>法定代表人（签字</w:t>
      </w:r>
      <w:r>
        <w:rPr>
          <w:rFonts w:ascii="宋体" w:hAnsi="宋体" w:eastAsia="宋体" w:cs="宋体"/>
          <w:spacing w:val="-31"/>
          <w:sz w:val="20"/>
          <w:szCs w:val="20"/>
        </w:rPr>
        <w:t>）：</w:t>
      </w:r>
    </w:p>
    <w:p>
      <w:pPr>
        <w:spacing w:before="1" w:line="227" w:lineRule="auto"/>
        <w:ind w:left="90"/>
        <w:rPr>
          <w:rFonts w:ascii="宋体" w:hAnsi="宋体" w:eastAsia="宋体" w:cs="宋体"/>
          <w:sz w:val="20"/>
          <w:szCs w:val="20"/>
        </w:rPr>
      </w:pPr>
      <w:r>
        <w:rPr>
          <w:rFonts w:ascii="宋体" w:hAnsi="宋体" w:eastAsia="宋体" w:cs="宋体"/>
          <w:spacing w:val="-4"/>
          <w:sz w:val="20"/>
          <w:szCs w:val="20"/>
        </w:rPr>
        <w:t>日期：</w:t>
      </w:r>
      <w:r>
        <w:rPr>
          <w:rFonts w:hint="eastAsia" w:ascii="宋体" w:hAnsi="宋体" w:cs="宋体"/>
          <w:spacing w:val="-4"/>
          <w:sz w:val="20"/>
          <w:szCs w:val="20"/>
          <w:lang w:val="en-US" w:eastAsia="zh-CN"/>
        </w:rPr>
        <w:t xml:space="preserve">   </w:t>
      </w:r>
      <w:r>
        <w:rPr>
          <w:rFonts w:ascii="宋体" w:hAnsi="宋体" w:eastAsia="宋体" w:cs="宋体"/>
          <w:spacing w:val="-4"/>
          <w:sz w:val="20"/>
          <w:szCs w:val="20"/>
        </w:rPr>
        <w:t>年</w:t>
      </w:r>
      <w:r>
        <w:rPr>
          <w:rFonts w:hint="eastAsia" w:ascii="宋体" w:hAnsi="宋体" w:cs="宋体"/>
          <w:spacing w:val="-4"/>
          <w:sz w:val="20"/>
          <w:szCs w:val="20"/>
          <w:lang w:val="en-US" w:eastAsia="zh-CN"/>
        </w:rPr>
        <w:t xml:space="preserve">   </w:t>
      </w:r>
      <w:r>
        <w:rPr>
          <w:rFonts w:ascii="宋体" w:hAnsi="宋体" w:eastAsia="宋体" w:cs="宋体"/>
          <w:spacing w:val="-4"/>
          <w:sz w:val="20"/>
          <w:szCs w:val="20"/>
        </w:rPr>
        <w:t>月</w:t>
      </w:r>
      <w:r>
        <w:rPr>
          <w:rFonts w:hint="eastAsia" w:ascii="宋体" w:hAnsi="宋体" w:cs="宋体"/>
          <w:spacing w:val="-4"/>
          <w:sz w:val="20"/>
          <w:szCs w:val="20"/>
          <w:lang w:val="en-US" w:eastAsia="zh-CN"/>
        </w:rPr>
        <w:t xml:space="preserve">   </w:t>
      </w:r>
      <w:r>
        <w:rPr>
          <w:rFonts w:ascii="宋体" w:hAnsi="宋体" w:eastAsia="宋体" w:cs="宋体"/>
          <w:spacing w:val="-4"/>
          <w:sz w:val="20"/>
          <w:szCs w:val="20"/>
        </w:rPr>
        <w:t>日</w:t>
      </w:r>
    </w:p>
    <w:p>
      <w:pPr>
        <w:spacing w:line="227" w:lineRule="auto"/>
        <w:rPr>
          <w:rFonts w:ascii="宋体" w:hAnsi="宋体" w:eastAsia="宋体" w:cs="宋体"/>
          <w:sz w:val="20"/>
          <w:szCs w:val="20"/>
        </w:rPr>
        <w:sectPr>
          <w:footerReference r:id="rId22" w:type="default"/>
          <w:pgSz w:w="11906" w:h="16838"/>
          <w:pgMar w:top="1440" w:right="1800" w:bottom="1440" w:left="1800" w:header="0" w:footer="1211" w:gutter="0"/>
          <w:pgNumType w:fmt="decimal"/>
          <w:cols w:space="720" w:num="1"/>
        </w:sectPr>
      </w:pPr>
    </w:p>
    <w:p>
      <w:pPr>
        <w:spacing w:line="227" w:lineRule="auto"/>
        <w:ind w:left="70"/>
        <w:rPr>
          <w:rFonts w:ascii="宋体" w:hAnsi="宋体" w:eastAsia="宋体" w:cs="宋体"/>
          <w:sz w:val="20"/>
          <w:szCs w:val="20"/>
        </w:rPr>
      </w:pPr>
      <w:r>
        <w:rPr>
          <w:rFonts w:ascii="宋体" w:hAnsi="宋体" w:eastAsia="宋体" w:cs="宋体"/>
          <w:spacing w:val="-3"/>
          <w:sz w:val="20"/>
          <w:szCs w:val="20"/>
        </w:rPr>
        <w:t>附件2:</w:t>
      </w:r>
    </w:p>
    <w:p>
      <w:pPr>
        <w:spacing w:before="162" w:line="227" w:lineRule="auto"/>
        <w:ind w:left="2567"/>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法定代表人授权书(委托代理人参加磋商)</w:t>
      </w:r>
    </w:p>
    <w:p>
      <w:pPr>
        <w:pStyle w:val="14"/>
        <w:spacing w:line="330" w:lineRule="auto"/>
      </w:pPr>
    </w:p>
    <w:p>
      <w:pPr>
        <w:pStyle w:val="14"/>
        <w:spacing w:line="330" w:lineRule="auto"/>
      </w:pPr>
    </w:p>
    <w:p>
      <w:pPr>
        <w:spacing w:before="65" w:line="377" w:lineRule="auto"/>
        <w:ind w:left="54" w:firstLine="420"/>
        <w:jc w:val="both"/>
        <w:rPr>
          <w:rFonts w:ascii="宋体" w:hAnsi="宋体" w:eastAsia="宋体" w:cs="宋体"/>
          <w:sz w:val="20"/>
          <w:szCs w:val="20"/>
        </w:rPr>
      </w:pPr>
      <w:r>
        <w:rPr>
          <w:rFonts w:ascii="宋体" w:hAnsi="宋体" w:eastAsia="宋体" w:cs="宋体"/>
          <w:spacing w:val="5"/>
          <w:sz w:val="20"/>
          <w:szCs w:val="20"/>
        </w:rPr>
        <w:t>本人（姓名、职务）系（供应商名称）的法定代表</w:t>
      </w:r>
      <w:r>
        <w:rPr>
          <w:rFonts w:ascii="宋体" w:hAnsi="宋体" w:eastAsia="宋体" w:cs="宋体"/>
          <w:sz w:val="20"/>
          <w:szCs w:val="20"/>
        </w:rPr>
        <w:t>人，现授权（姓名、职务）为我方代理人。代理人根据授</w:t>
      </w:r>
      <w:r>
        <w:rPr>
          <w:rFonts w:ascii="宋体" w:hAnsi="宋体" w:eastAsia="宋体" w:cs="宋体"/>
          <w:spacing w:val="-1"/>
          <w:sz w:val="20"/>
          <w:szCs w:val="20"/>
        </w:rPr>
        <w:t>权，以我方名义：(1)签署、</w:t>
      </w:r>
      <w:r>
        <w:rPr>
          <w:rFonts w:ascii="宋体" w:hAnsi="宋体" w:eastAsia="宋体" w:cs="宋体"/>
          <w:spacing w:val="2"/>
          <w:sz w:val="20"/>
          <w:szCs w:val="20"/>
        </w:rPr>
        <w:t>澄清、补正、修改、撤回、提交（项目名称</w:t>
      </w:r>
      <w:r>
        <w:rPr>
          <w:rFonts w:ascii="宋体" w:hAnsi="宋体" w:eastAsia="宋体" w:cs="宋体"/>
          <w:spacing w:val="1"/>
          <w:sz w:val="20"/>
          <w:szCs w:val="20"/>
        </w:rPr>
        <w:t>、项目编号）响应文件及报价；(2)签订</w:t>
      </w:r>
      <w:r>
        <w:rPr>
          <w:rFonts w:ascii="宋体" w:hAnsi="宋体" w:eastAsia="宋体" w:cs="宋体"/>
          <w:spacing w:val="4"/>
          <w:sz w:val="20"/>
          <w:szCs w:val="20"/>
        </w:rPr>
        <w:t>合同和处理有关事宜，其法律后果由我方承担。</w:t>
      </w:r>
    </w:p>
    <w:p>
      <w:pPr>
        <w:pStyle w:val="14"/>
        <w:spacing w:line="251" w:lineRule="auto"/>
      </w:pPr>
    </w:p>
    <w:p>
      <w:pPr>
        <w:spacing w:before="65" w:line="467" w:lineRule="auto"/>
        <w:ind w:left="473"/>
        <w:rPr>
          <w:rFonts w:ascii="宋体" w:hAnsi="宋体" w:eastAsia="宋体" w:cs="宋体"/>
          <w:sz w:val="20"/>
          <w:szCs w:val="20"/>
        </w:rPr>
      </w:pPr>
      <w:r>
        <w:rPr>
          <w:rFonts w:ascii="宋体" w:hAnsi="宋体" w:eastAsia="宋体" w:cs="宋体"/>
          <w:spacing w:val="6"/>
          <w:sz w:val="20"/>
          <w:szCs w:val="20"/>
        </w:rPr>
        <w:t>委托期限：。</w:t>
      </w:r>
    </w:p>
    <w:p>
      <w:pPr>
        <w:spacing w:before="1" w:line="227" w:lineRule="auto"/>
        <w:ind w:left="487"/>
        <w:rPr>
          <w:rFonts w:ascii="宋体" w:hAnsi="宋体" w:eastAsia="宋体" w:cs="宋体"/>
          <w:sz w:val="20"/>
          <w:szCs w:val="20"/>
        </w:rPr>
      </w:pPr>
      <w:r>
        <w:rPr>
          <w:rFonts w:ascii="宋体" w:hAnsi="宋体" w:eastAsia="宋体" w:cs="宋体"/>
          <w:spacing w:val="7"/>
          <w:sz w:val="20"/>
          <w:szCs w:val="20"/>
        </w:rPr>
        <w:t>代理人无转委托权。</w:t>
      </w:r>
    </w:p>
    <w:p>
      <w:pPr>
        <w:spacing w:before="221" w:line="227" w:lineRule="auto"/>
        <w:ind w:left="489"/>
        <w:rPr>
          <w:rFonts w:ascii="宋体" w:hAnsi="宋体" w:eastAsia="宋体" w:cs="宋体"/>
          <w:sz w:val="20"/>
          <w:szCs w:val="20"/>
        </w:rPr>
      </w:pPr>
      <w:r>
        <w:rPr>
          <w:rFonts w:ascii="宋体" w:hAnsi="宋体" w:eastAsia="宋体" w:cs="宋体"/>
          <w:sz w:val="20"/>
          <w:szCs w:val="20"/>
        </w:rPr>
        <w:t>本授权书于年月日签字生效，特此声明。</w:t>
      </w:r>
    </w:p>
    <w:p>
      <w:pPr>
        <w:pStyle w:val="14"/>
        <w:spacing w:line="257" w:lineRule="auto"/>
      </w:pPr>
    </w:p>
    <w:p>
      <w:pPr>
        <w:pStyle w:val="14"/>
        <w:spacing w:line="258" w:lineRule="auto"/>
      </w:pPr>
    </w:p>
    <w:p>
      <w:pPr>
        <w:pStyle w:val="14"/>
        <w:spacing w:line="258" w:lineRule="auto"/>
      </w:pPr>
    </w:p>
    <w:p>
      <w:pPr>
        <w:spacing w:before="66" w:line="227" w:lineRule="auto"/>
        <w:ind w:left="490"/>
        <w:rPr>
          <w:rFonts w:ascii="宋体" w:hAnsi="宋体" w:eastAsia="宋体" w:cs="宋体"/>
          <w:sz w:val="20"/>
          <w:szCs w:val="20"/>
        </w:rPr>
      </w:pPr>
      <w:r>
        <w:rPr>
          <w:rFonts w:ascii="宋体" w:hAnsi="宋体" w:eastAsia="宋体" w:cs="宋体"/>
          <w:spacing w:val="3"/>
          <w:sz w:val="20"/>
          <w:szCs w:val="20"/>
        </w:rPr>
        <w:t>附：法定代表人身份证（正反面）复印件</w:t>
      </w:r>
    </w:p>
    <w:p>
      <w:pPr>
        <w:pStyle w:val="14"/>
        <w:spacing w:line="271" w:lineRule="auto"/>
      </w:pPr>
    </w:p>
    <w:p>
      <w:pPr>
        <w:pStyle w:val="14"/>
        <w:spacing w:line="271" w:lineRule="auto"/>
      </w:pPr>
    </w:p>
    <w:p>
      <w:pPr>
        <w:pStyle w:val="14"/>
        <w:spacing w:line="272" w:lineRule="auto"/>
      </w:pPr>
    </w:p>
    <w:p>
      <w:pPr>
        <w:spacing w:before="65" w:line="227" w:lineRule="auto"/>
        <w:ind w:left="490"/>
        <w:rPr>
          <w:rFonts w:ascii="宋体" w:hAnsi="宋体" w:eastAsia="宋体" w:cs="宋体"/>
          <w:sz w:val="20"/>
          <w:szCs w:val="20"/>
        </w:rPr>
      </w:pPr>
      <w:r>
        <w:rPr>
          <w:rFonts w:ascii="宋体" w:hAnsi="宋体" w:eastAsia="宋体" w:cs="宋体"/>
          <w:spacing w:val="4"/>
          <w:sz w:val="20"/>
          <w:szCs w:val="20"/>
        </w:rPr>
        <w:t>附：委托代理人身份证（正反面）复印件</w:t>
      </w:r>
    </w:p>
    <w:p>
      <w:pPr>
        <w:pStyle w:val="14"/>
        <w:spacing w:line="244" w:lineRule="auto"/>
      </w:pPr>
    </w:p>
    <w:p>
      <w:pPr>
        <w:pStyle w:val="14"/>
        <w:spacing w:line="244" w:lineRule="auto"/>
      </w:pPr>
    </w:p>
    <w:p>
      <w:pPr>
        <w:pStyle w:val="14"/>
        <w:spacing w:line="245" w:lineRule="auto"/>
      </w:pPr>
    </w:p>
    <w:p>
      <w:pPr>
        <w:pStyle w:val="14"/>
        <w:spacing w:line="245" w:lineRule="auto"/>
      </w:pPr>
    </w:p>
    <w:p>
      <w:pPr>
        <w:pStyle w:val="14"/>
        <w:spacing w:line="245" w:lineRule="auto"/>
      </w:pPr>
    </w:p>
    <w:p>
      <w:pPr>
        <w:pStyle w:val="14"/>
        <w:spacing w:line="245" w:lineRule="auto"/>
      </w:pPr>
    </w:p>
    <w:p>
      <w:pPr>
        <w:spacing w:before="65" w:line="227" w:lineRule="auto"/>
        <w:ind w:left="54"/>
        <w:rPr>
          <w:rFonts w:ascii="宋体" w:hAnsi="宋体" w:eastAsia="宋体" w:cs="宋体"/>
          <w:sz w:val="20"/>
          <w:szCs w:val="20"/>
        </w:rPr>
      </w:pPr>
      <w:r>
        <w:rPr>
          <w:rFonts w:ascii="宋体" w:hAnsi="宋体" w:eastAsia="宋体" w:cs="宋体"/>
          <w:spacing w:val="7"/>
          <w:sz w:val="20"/>
          <w:szCs w:val="20"/>
        </w:rPr>
        <w:t>供应商名称(盖单位章)：</w:t>
      </w:r>
    </w:p>
    <w:p>
      <w:pPr>
        <w:spacing w:before="165" w:line="377" w:lineRule="auto"/>
        <w:ind w:left="55"/>
        <w:rPr>
          <w:rFonts w:hint="eastAsia" w:ascii="宋体" w:hAnsi="宋体" w:eastAsia="宋体" w:cs="宋体"/>
          <w:sz w:val="20"/>
          <w:szCs w:val="20"/>
          <w:lang w:eastAsia="zh-CN"/>
        </w:rPr>
      </w:pPr>
      <w:r>
        <w:rPr>
          <w:rFonts w:ascii="宋体" w:hAnsi="宋体" w:eastAsia="宋体" w:cs="宋体"/>
          <w:spacing w:val="3"/>
          <w:sz w:val="20"/>
          <w:szCs w:val="20"/>
        </w:rPr>
        <w:t>法定代表人（签字或盖章</w:t>
      </w:r>
      <w:r>
        <w:rPr>
          <w:rFonts w:ascii="宋体" w:hAnsi="宋体" w:eastAsia="宋体" w:cs="宋体"/>
          <w:spacing w:val="-6"/>
          <w:sz w:val="20"/>
          <w:szCs w:val="20"/>
        </w:rPr>
        <w:t>）：</w:t>
      </w:r>
    </w:p>
    <w:p>
      <w:pPr>
        <w:spacing w:line="227" w:lineRule="auto"/>
        <w:ind w:left="53"/>
        <w:rPr>
          <w:rFonts w:hint="eastAsia" w:ascii="宋体" w:hAnsi="宋体" w:eastAsia="宋体" w:cs="宋体"/>
          <w:sz w:val="20"/>
          <w:szCs w:val="20"/>
          <w:lang w:eastAsia="zh-CN"/>
        </w:rPr>
      </w:pPr>
      <w:r>
        <w:rPr>
          <w:rFonts w:ascii="宋体" w:hAnsi="宋体" w:eastAsia="宋体" w:cs="宋体"/>
          <w:spacing w:val="8"/>
          <w:sz w:val="20"/>
          <w:szCs w:val="20"/>
        </w:rPr>
        <w:t>委托代理人（签字</w:t>
      </w:r>
      <w:r>
        <w:rPr>
          <w:rFonts w:ascii="宋体" w:hAnsi="宋体" w:eastAsia="宋体" w:cs="宋体"/>
          <w:spacing w:val="-30"/>
          <w:sz w:val="20"/>
          <w:szCs w:val="20"/>
        </w:rPr>
        <w:t>）：</w:t>
      </w:r>
    </w:p>
    <w:p>
      <w:pPr>
        <w:spacing w:before="161" w:line="228" w:lineRule="auto"/>
        <w:ind w:left="90"/>
        <w:rPr>
          <w:rFonts w:ascii="宋体" w:hAnsi="宋体" w:eastAsia="宋体" w:cs="宋体"/>
          <w:sz w:val="20"/>
          <w:szCs w:val="20"/>
        </w:rPr>
      </w:pPr>
      <w:r>
        <w:rPr>
          <w:rFonts w:ascii="宋体" w:hAnsi="宋体" w:eastAsia="宋体" w:cs="宋体"/>
          <w:spacing w:val="-4"/>
          <w:sz w:val="20"/>
          <w:szCs w:val="20"/>
        </w:rPr>
        <w:t>日期：年月日</w:t>
      </w:r>
    </w:p>
    <w:p>
      <w:pPr>
        <w:pStyle w:val="14"/>
        <w:spacing w:line="329" w:lineRule="auto"/>
      </w:pPr>
    </w:p>
    <w:p>
      <w:pPr>
        <w:pStyle w:val="14"/>
        <w:spacing w:line="329" w:lineRule="auto"/>
      </w:pPr>
    </w:p>
    <w:p>
      <w:r>
        <w:br w:type="page"/>
      </w:r>
    </w:p>
    <w:p>
      <w:pPr>
        <w:spacing w:before="83" w:line="226" w:lineRule="auto"/>
        <w:ind w:left="67"/>
        <w:outlineLvl w:val="2"/>
        <w:rPr>
          <w:rFonts w:ascii="宋体" w:hAnsi="宋体" w:eastAsia="宋体" w:cs="宋体"/>
          <w:sz w:val="23"/>
          <w:szCs w:val="23"/>
        </w:rPr>
      </w:pPr>
      <w:r>
        <w:rPr>
          <w:rFonts w:ascii="宋体" w:hAnsi="宋体" w:eastAsia="宋体" w:cs="宋体"/>
          <w:spacing w:val="8"/>
          <w:sz w:val="23"/>
          <w:szCs w:val="23"/>
          <w14:textOutline w14:w="4388" w14:cap="flat" w14:cmpd="sng">
            <w14:solidFill>
              <w14:srgbClr w14:val="000000"/>
            </w14:solidFill>
            <w14:prstDash w14:val="solid"/>
            <w14:miter w14:val="0"/>
          </w14:textOutline>
        </w:rPr>
        <w:t>（二）磋商报价函</w:t>
      </w:r>
    </w:p>
    <w:p>
      <w:pPr>
        <w:pStyle w:val="14"/>
        <w:spacing w:line="300" w:lineRule="auto"/>
      </w:pPr>
    </w:p>
    <w:p>
      <w:pPr>
        <w:pStyle w:val="14"/>
        <w:spacing w:line="300" w:lineRule="auto"/>
      </w:pPr>
    </w:p>
    <w:p>
      <w:pPr>
        <w:spacing w:before="65" w:line="600" w:lineRule="auto"/>
        <w:ind w:left="54"/>
        <w:rPr>
          <w:rFonts w:ascii="宋体" w:hAnsi="宋体" w:eastAsia="宋体" w:cs="宋体"/>
          <w:spacing w:val="3"/>
          <w:sz w:val="20"/>
          <w:szCs w:val="20"/>
        </w:rPr>
      </w:pPr>
      <w:r>
        <w:rPr>
          <w:rFonts w:ascii="宋体" w:hAnsi="宋体" w:eastAsia="宋体" w:cs="宋体"/>
          <w:spacing w:val="3"/>
          <w:sz w:val="20"/>
          <w:szCs w:val="20"/>
        </w:rPr>
        <w:t>致：</w:t>
      </w:r>
      <w:r>
        <w:rPr>
          <w:rFonts w:ascii="宋体" w:hAnsi="宋体" w:eastAsia="宋体" w:cs="宋体"/>
          <w:spacing w:val="3"/>
          <w:sz w:val="20"/>
          <w:szCs w:val="20"/>
          <w:u w:val="single"/>
        </w:rPr>
        <w:t>（项目单位）</w:t>
      </w:r>
    </w:p>
    <w:p>
      <w:pPr>
        <w:pStyle w:val="14"/>
        <w:spacing w:line="309" w:lineRule="auto"/>
      </w:pP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根据贵方项目编号的磋商文件，我方正式提交响应文件。</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据此函，签字人兹同意如下：</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1、总报价为（大写）元人民币。</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2、我们同意提供贵方可能要求的与本次磋商有关的任何证据或资料。</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3、一旦我方成交，我方承诺将根据磋商文件与贵方签订书面合同，并严格履行合同义务。</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4、我方指派（姓名）为项目经理，保证于承诺的时间内完成本次发包范围内的任务，并交付贵方验收、使用。</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5、我方决不提供虚假材料谋取成交，决不采取不正当手段诋毁、排挤其他供应商，决不与采购人、其它供应商恶意串通，决不向采购人及磋商小组进行商业贿赂。如有违反，愿无条件接受贵方及相关管理部门的处罚。</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6、随本申请递交的磋商申请附录是本申请的组成部分，对我方构成约束力。</w:t>
      </w:r>
    </w:p>
    <w:p>
      <w:pPr>
        <w:spacing w:line="600" w:lineRule="auto"/>
        <w:ind w:firstLine="400" w:firstLineChars="200"/>
        <w:rPr>
          <w:rFonts w:hint="eastAsia" w:ascii="宋体" w:hAnsi="宋体" w:eastAsia="宋体" w:cs="宋体"/>
          <w:kern w:val="0"/>
          <w:sz w:val="20"/>
          <w:szCs w:val="16"/>
        </w:rPr>
      </w:pPr>
      <w:r>
        <w:rPr>
          <w:rFonts w:hint="eastAsia" w:ascii="宋体" w:hAnsi="宋体" w:eastAsia="宋体" w:cs="宋体"/>
          <w:kern w:val="0"/>
          <w:sz w:val="20"/>
          <w:szCs w:val="16"/>
        </w:rPr>
        <w:t>7、与本申请有关的正式通讯地址为：</w:t>
      </w:r>
    </w:p>
    <w:p>
      <w:pPr>
        <w:spacing w:line="600" w:lineRule="auto"/>
        <w:ind w:firstLine="400" w:firstLineChars="200"/>
        <w:rPr>
          <w:rFonts w:hint="eastAsia" w:ascii="宋体" w:hAnsi="宋体" w:eastAsia="宋体" w:cs="宋体"/>
          <w:kern w:val="0"/>
          <w:sz w:val="20"/>
          <w:szCs w:val="16"/>
          <w:lang w:eastAsia="zh-CN"/>
        </w:rPr>
      </w:pPr>
      <w:r>
        <w:rPr>
          <w:rFonts w:hint="eastAsia" w:ascii="宋体" w:hAnsi="宋体" w:eastAsia="宋体" w:cs="宋体"/>
          <w:kern w:val="0"/>
          <w:sz w:val="20"/>
          <w:szCs w:val="16"/>
        </w:rPr>
        <w:t>地址：</w:t>
      </w:r>
    </w:p>
    <w:p>
      <w:pPr>
        <w:spacing w:line="600" w:lineRule="auto"/>
        <w:ind w:firstLine="400" w:firstLineChars="200"/>
        <w:rPr>
          <w:rFonts w:hint="eastAsia" w:ascii="宋体" w:hAnsi="宋体" w:eastAsia="宋体" w:cs="宋体"/>
          <w:kern w:val="0"/>
          <w:sz w:val="20"/>
          <w:szCs w:val="16"/>
          <w:lang w:eastAsia="zh-CN"/>
        </w:rPr>
      </w:pPr>
      <w:r>
        <w:rPr>
          <w:rFonts w:hint="eastAsia" w:ascii="宋体" w:hAnsi="宋体" w:eastAsia="宋体" w:cs="宋体"/>
          <w:kern w:val="0"/>
          <w:sz w:val="20"/>
          <w:szCs w:val="16"/>
        </w:rPr>
        <w:t>电话：</w:t>
      </w:r>
    </w:p>
    <w:p>
      <w:pPr>
        <w:pStyle w:val="14"/>
        <w:spacing w:line="334" w:lineRule="auto"/>
      </w:pPr>
    </w:p>
    <w:p>
      <w:pPr>
        <w:pStyle w:val="14"/>
        <w:spacing w:line="334" w:lineRule="auto"/>
      </w:pPr>
    </w:p>
    <w:p>
      <w:pPr>
        <w:spacing w:before="65" w:line="227" w:lineRule="auto"/>
        <w:ind w:left="475"/>
        <w:rPr>
          <w:rFonts w:hint="eastAsia" w:ascii="宋体" w:hAnsi="宋体" w:eastAsia="宋体" w:cs="宋体"/>
          <w:sz w:val="20"/>
          <w:szCs w:val="20"/>
          <w:lang w:eastAsia="zh-CN"/>
        </w:rPr>
      </w:pPr>
      <w:r>
        <w:rPr>
          <w:rFonts w:ascii="宋体" w:hAnsi="宋体" w:eastAsia="宋体" w:cs="宋体"/>
          <w:spacing w:val="6"/>
          <w:sz w:val="20"/>
          <w:szCs w:val="20"/>
        </w:rPr>
        <w:t>法定代表人或其授权代表（签字或盖章</w:t>
      </w:r>
      <w:r>
        <w:rPr>
          <w:rFonts w:ascii="宋体" w:hAnsi="宋体" w:eastAsia="宋体" w:cs="宋体"/>
          <w:spacing w:val="-10"/>
          <w:sz w:val="20"/>
          <w:szCs w:val="20"/>
        </w:rPr>
        <w:t>）：</w:t>
      </w:r>
    </w:p>
    <w:p>
      <w:pPr>
        <w:pStyle w:val="14"/>
        <w:spacing w:line="311" w:lineRule="auto"/>
      </w:pPr>
    </w:p>
    <w:p>
      <w:pPr>
        <w:spacing w:before="66" w:line="432" w:lineRule="auto"/>
        <w:ind w:left="474"/>
        <w:rPr>
          <w:rFonts w:hint="eastAsia" w:ascii="宋体" w:hAnsi="宋体" w:eastAsia="宋体" w:cs="宋体"/>
          <w:sz w:val="20"/>
          <w:szCs w:val="20"/>
          <w:lang w:eastAsia="zh-CN"/>
        </w:rPr>
      </w:pPr>
      <w:r>
        <w:rPr>
          <w:rFonts w:ascii="宋体" w:hAnsi="宋体" w:eastAsia="宋体" w:cs="宋体"/>
          <w:spacing w:val="9"/>
          <w:sz w:val="20"/>
          <w:szCs w:val="20"/>
        </w:rPr>
        <w:t>供应商名称（盖单位章</w:t>
      </w:r>
      <w:r>
        <w:rPr>
          <w:rFonts w:ascii="宋体" w:hAnsi="宋体" w:eastAsia="宋体" w:cs="宋体"/>
          <w:spacing w:val="-34"/>
          <w:sz w:val="20"/>
          <w:szCs w:val="20"/>
        </w:rPr>
        <w:t>）：</w:t>
      </w:r>
    </w:p>
    <w:p>
      <w:pPr>
        <w:spacing w:line="227" w:lineRule="auto"/>
        <w:ind w:left="510"/>
        <w:rPr>
          <w:rFonts w:ascii="宋体" w:hAnsi="宋体" w:eastAsia="宋体" w:cs="宋体"/>
          <w:sz w:val="20"/>
          <w:szCs w:val="20"/>
        </w:rPr>
      </w:pPr>
      <w:r>
        <w:rPr>
          <w:rFonts w:ascii="宋体" w:hAnsi="宋体" w:eastAsia="宋体" w:cs="宋体"/>
          <w:spacing w:val="-19"/>
          <w:sz w:val="20"/>
          <w:szCs w:val="20"/>
        </w:rPr>
        <w:t>日期：</w:t>
      </w:r>
      <w:r>
        <w:rPr>
          <w:rFonts w:hint="eastAsia" w:ascii="宋体" w:hAnsi="宋体" w:cs="宋体"/>
          <w:spacing w:val="-19"/>
          <w:sz w:val="20"/>
          <w:szCs w:val="20"/>
          <w:lang w:val="en-US" w:eastAsia="zh-CN"/>
        </w:rPr>
        <w:t xml:space="preserve">    </w:t>
      </w:r>
      <w:r>
        <w:rPr>
          <w:rFonts w:ascii="宋体" w:hAnsi="宋体" w:eastAsia="宋体" w:cs="宋体"/>
          <w:spacing w:val="-19"/>
          <w:sz w:val="20"/>
          <w:szCs w:val="20"/>
        </w:rPr>
        <w:t>年</w:t>
      </w:r>
      <w:r>
        <w:rPr>
          <w:rFonts w:hint="eastAsia" w:ascii="宋体" w:hAnsi="宋体" w:cs="宋体"/>
          <w:spacing w:val="-19"/>
          <w:sz w:val="20"/>
          <w:szCs w:val="20"/>
          <w:lang w:val="en-US" w:eastAsia="zh-CN"/>
        </w:rPr>
        <w:t xml:space="preserve">    </w:t>
      </w:r>
      <w:r>
        <w:rPr>
          <w:rFonts w:ascii="宋体" w:hAnsi="宋体" w:eastAsia="宋体" w:cs="宋体"/>
          <w:spacing w:val="-19"/>
          <w:sz w:val="20"/>
          <w:szCs w:val="20"/>
        </w:rPr>
        <w:t>月</w:t>
      </w:r>
      <w:r>
        <w:rPr>
          <w:rFonts w:hint="eastAsia" w:ascii="宋体" w:hAnsi="宋体" w:cs="宋体"/>
          <w:spacing w:val="-19"/>
          <w:sz w:val="20"/>
          <w:szCs w:val="20"/>
          <w:lang w:val="en-US" w:eastAsia="zh-CN"/>
        </w:rPr>
        <w:t xml:space="preserve">    </w:t>
      </w:r>
      <w:r>
        <w:rPr>
          <w:rFonts w:ascii="宋体" w:hAnsi="宋体" w:eastAsia="宋体" w:cs="宋体"/>
          <w:spacing w:val="-19"/>
          <w:sz w:val="20"/>
          <w:szCs w:val="20"/>
        </w:rPr>
        <w:t>日</w:t>
      </w:r>
    </w:p>
    <w:p>
      <w:pPr>
        <w:spacing w:line="227" w:lineRule="auto"/>
        <w:rPr>
          <w:rFonts w:ascii="宋体" w:hAnsi="宋体" w:eastAsia="宋体" w:cs="宋体"/>
          <w:sz w:val="20"/>
          <w:szCs w:val="20"/>
        </w:rPr>
        <w:sectPr>
          <w:footerReference r:id="rId23" w:type="default"/>
          <w:pgSz w:w="11906" w:h="16838"/>
          <w:pgMar w:top="1440" w:right="1800" w:bottom="1440" w:left="1800" w:header="0" w:footer="1211" w:gutter="0"/>
          <w:pgNumType w:fmt="decimal"/>
          <w:cols w:space="720" w:num="1"/>
        </w:sectPr>
      </w:pPr>
    </w:p>
    <w:p>
      <w:pPr>
        <w:spacing w:before="7" w:line="221" w:lineRule="auto"/>
        <w:ind w:left="196"/>
        <w:rPr>
          <w:rFonts w:ascii="宋体" w:hAnsi="宋体" w:eastAsia="宋体" w:cs="宋体"/>
          <w:sz w:val="23"/>
          <w:szCs w:val="23"/>
        </w:rPr>
      </w:pPr>
      <w:r>
        <w:rPr>
          <w:rFonts w:hint="eastAsia" w:ascii="宋体" w:hAnsi="宋体" w:eastAsia="宋体" w:cs="宋体"/>
          <w:spacing w:val="8"/>
          <w:sz w:val="23"/>
          <w:szCs w:val="23"/>
          <w:lang w:eastAsia="zh-CN"/>
          <w14:textOutline w14:w="4388" w14:cap="flat" w14:cmpd="sng">
            <w14:solidFill>
              <w14:srgbClr w14:val="000000"/>
            </w14:solidFill>
            <w14:prstDash w14:val="solid"/>
            <w14:miter w14:val="0"/>
          </w14:textOutline>
        </w:rPr>
        <w:t>（</w:t>
      </w:r>
      <w:r>
        <w:rPr>
          <w:rFonts w:ascii="宋体" w:hAnsi="宋体" w:eastAsia="宋体" w:cs="宋体"/>
          <w:spacing w:val="8"/>
          <w:sz w:val="23"/>
          <w:szCs w:val="23"/>
          <w14:textOutline w14:w="4388" w14:cap="flat" w14:cmpd="sng">
            <w14:solidFill>
              <w14:srgbClr w14:val="000000"/>
            </w14:solidFill>
            <w14:prstDash w14:val="solid"/>
            <w14:miter w14:val="0"/>
          </w14:textOutline>
        </w:rPr>
        <w:t>2）磋商报价一览表</w:t>
      </w:r>
    </w:p>
    <w:tbl>
      <w:tblPr>
        <w:tblStyle w:val="76"/>
        <w:tblW w:w="90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34"/>
        <w:gridCol w:w="3671"/>
        <w:gridCol w:w="26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2734" w:type="dxa"/>
            <w:vAlign w:val="top"/>
          </w:tcPr>
          <w:p>
            <w:pPr>
              <w:spacing w:line="420" w:lineRule="auto"/>
              <w:rPr>
                <w:rFonts w:ascii="Arial"/>
                <w:sz w:val="21"/>
              </w:rPr>
            </w:pPr>
          </w:p>
          <w:p>
            <w:pPr>
              <w:pStyle w:val="75"/>
              <w:spacing w:before="65" w:line="228" w:lineRule="auto"/>
              <w:ind w:left="956"/>
              <w:rPr>
                <w:sz w:val="20"/>
                <w:szCs w:val="20"/>
              </w:rPr>
            </w:pPr>
            <w:r>
              <w:rPr>
                <w:spacing w:val="7"/>
                <w:sz w:val="20"/>
                <w:szCs w:val="20"/>
                <w14:textOutline w14:w="3823" w14:cap="flat" w14:cmpd="sng">
                  <w14:solidFill>
                    <w14:srgbClr w14:val="000000"/>
                  </w14:solidFill>
                  <w14:prstDash w14:val="solid"/>
                  <w14:miter w14:val="0"/>
                </w14:textOutline>
              </w:rPr>
              <w:t>项目名称</w:t>
            </w:r>
          </w:p>
        </w:tc>
        <w:tc>
          <w:tcPr>
            <w:tcW w:w="3671" w:type="dxa"/>
            <w:vAlign w:val="top"/>
          </w:tcPr>
          <w:p>
            <w:pPr>
              <w:spacing w:line="420" w:lineRule="auto"/>
              <w:rPr>
                <w:rFonts w:ascii="Arial"/>
                <w:sz w:val="21"/>
              </w:rPr>
            </w:pPr>
          </w:p>
          <w:p>
            <w:pPr>
              <w:pStyle w:val="75"/>
              <w:spacing w:before="65" w:line="226" w:lineRule="auto"/>
              <w:ind w:left="698"/>
              <w:rPr>
                <w:sz w:val="20"/>
                <w:szCs w:val="20"/>
              </w:rPr>
            </w:pPr>
            <w:r>
              <w:rPr>
                <w:spacing w:val="5"/>
                <w:sz w:val="20"/>
                <w:szCs w:val="20"/>
                <w14:textOutline w14:w="3823" w14:cap="flat" w14:cmpd="sng">
                  <w14:solidFill>
                    <w14:srgbClr w14:val="000000"/>
                  </w14:solidFill>
                  <w14:prstDash w14:val="solid"/>
                  <w14:miter w14:val="0"/>
                </w14:textOutline>
              </w:rPr>
              <w:t>总报价（元）</w:t>
            </w:r>
          </w:p>
        </w:tc>
        <w:tc>
          <w:tcPr>
            <w:tcW w:w="2647" w:type="dxa"/>
            <w:vAlign w:val="top"/>
          </w:tcPr>
          <w:p>
            <w:pPr>
              <w:spacing w:line="420" w:lineRule="auto"/>
              <w:rPr>
                <w:rFonts w:ascii="Arial"/>
                <w:sz w:val="21"/>
              </w:rPr>
            </w:pPr>
          </w:p>
          <w:p>
            <w:pPr>
              <w:pStyle w:val="75"/>
              <w:spacing w:before="65" w:line="228" w:lineRule="auto"/>
              <w:ind w:left="1072"/>
              <w:rPr>
                <w:sz w:val="20"/>
                <w:szCs w:val="20"/>
              </w:rPr>
            </w:pPr>
            <w:r>
              <w:rPr>
                <w:spacing w:val="4"/>
                <w:sz w:val="20"/>
                <w:szCs w:val="20"/>
                <w14:textOutline w14:w="3823" w14:cap="flat" w14:cmpd="sng">
                  <w14:solidFill>
                    <w14:srgbClr w14:val="000000"/>
                  </w14:solidFill>
                  <w14:prstDash w14:val="solid"/>
                  <w14:miter w14:val="0"/>
                </w14:textOutline>
              </w:rPr>
              <w:t>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2734" w:type="dxa"/>
            <w:vAlign w:val="top"/>
          </w:tcPr>
          <w:p>
            <w:pPr>
              <w:rPr>
                <w:rFonts w:ascii="Arial"/>
                <w:sz w:val="21"/>
              </w:rPr>
            </w:pPr>
          </w:p>
        </w:tc>
        <w:tc>
          <w:tcPr>
            <w:tcW w:w="3671" w:type="dxa"/>
            <w:vAlign w:val="top"/>
          </w:tcPr>
          <w:p>
            <w:pPr>
              <w:rPr>
                <w:rFonts w:ascii="Arial"/>
                <w:sz w:val="21"/>
              </w:rPr>
            </w:pPr>
          </w:p>
        </w:tc>
        <w:tc>
          <w:tcPr>
            <w:tcW w:w="2647" w:type="dxa"/>
            <w:vAlign w:val="top"/>
          </w:tcPr>
          <w:p>
            <w:pPr>
              <w:rPr>
                <w:rFonts w:ascii="Arial"/>
                <w:sz w:val="21"/>
              </w:rPr>
            </w:pPr>
          </w:p>
        </w:tc>
      </w:tr>
    </w:tbl>
    <w:p>
      <w:pPr>
        <w:pStyle w:val="14"/>
        <w:spacing w:line="267" w:lineRule="auto"/>
      </w:pPr>
      <w:r>
        <w:rPr>
          <w:rFonts w:ascii="宋体" w:hAnsi="宋体" w:eastAsia="宋体" w:cs="宋体"/>
          <w:spacing w:val="2"/>
          <w:sz w:val="23"/>
          <w:szCs w:val="23"/>
        </w:rPr>
        <w:t>注：1、</w:t>
      </w:r>
      <w:r>
        <w:rPr>
          <w:rFonts w:hint="eastAsia" w:ascii="宋体" w:hAnsi="宋体" w:eastAsia="宋体" w:cs="宋体"/>
          <w:spacing w:val="2"/>
          <w:sz w:val="23"/>
          <w:szCs w:val="23"/>
        </w:rPr>
        <w:t>供应商应对上述所有服务进行总价填报，所报总价需包含民丰县天桥人行过道安装廊架项目所有配套服务。</w:t>
      </w:r>
    </w:p>
    <w:p>
      <w:pPr>
        <w:pStyle w:val="14"/>
        <w:spacing w:line="267" w:lineRule="auto"/>
      </w:pPr>
    </w:p>
    <w:p>
      <w:pPr>
        <w:pStyle w:val="14"/>
        <w:spacing w:line="267" w:lineRule="auto"/>
      </w:pPr>
    </w:p>
    <w:p>
      <w:pPr>
        <w:pStyle w:val="14"/>
        <w:spacing w:line="268" w:lineRule="auto"/>
      </w:pPr>
    </w:p>
    <w:p>
      <w:pPr>
        <w:pStyle w:val="14"/>
        <w:spacing w:line="268" w:lineRule="auto"/>
      </w:pPr>
    </w:p>
    <w:p>
      <w:pPr>
        <w:pStyle w:val="14"/>
        <w:spacing w:line="268" w:lineRule="auto"/>
      </w:pPr>
    </w:p>
    <w:p>
      <w:pPr>
        <w:pStyle w:val="14"/>
        <w:spacing w:line="268" w:lineRule="auto"/>
      </w:pPr>
    </w:p>
    <w:p>
      <w:pPr>
        <w:pStyle w:val="14"/>
        <w:spacing w:line="268" w:lineRule="auto"/>
      </w:pPr>
    </w:p>
    <w:p>
      <w:pPr>
        <w:spacing w:before="75" w:line="354" w:lineRule="auto"/>
        <w:ind w:left="196"/>
        <w:rPr>
          <w:rFonts w:ascii="宋体" w:hAnsi="宋体" w:eastAsia="宋体" w:cs="宋体"/>
          <w:sz w:val="23"/>
          <w:szCs w:val="23"/>
        </w:rPr>
      </w:pPr>
      <w:r>
        <w:rPr>
          <w:rFonts w:ascii="宋体" w:hAnsi="宋体" w:eastAsia="宋体" w:cs="宋体"/>
          <w:spacing w:val="-19"/>
          <w:sz w:val="23"/>
          <w:szCs w:val="23"/>
        </w:rPr>
        <w:t>投标人</w:t>
      </w:r>
      <w:r>
        <w:rPr>
          <w:rFonts w:ascii="宋体" w:hAnsi="宋体" w:eastAsia="宋体" w:cs="宋体"/>
          <w:spacing w:val="-8"/>
          <w:sz w:val="23"/>
          <w:szCs w:val="23"/>
        </w:rPr>
        <w:t>：（</w:t>
      </w:r>
      <w:r>
        <w:rPr>
          <w:rFonts w:ascii="宋体" w:hAnsi="宋体" w:eastAsia="宋体" w:cs="宋体"/>
          <w:spacing w:val="-19"/>
          <w:sz w:val="23"/>
          <w:szCs w:val="23"/>
        </w:rPr>
        <w:t>盖单位章）</w:t>
      </w:r>
    </w:p>
    <w:p>
      <w:pPr>
        <w:spacing w:line="226" w:lineRule="auto"/>
        <w:ind w:left="194"/>
        <w:rPr>
          <w:rFonts w:ascii="宋体" w:hAnsi="宋体" w:eastAsia="宋体" w:cs="宋体"/>
          <w:sz w:val="23"/>
          <w:szCs w:val="23"/>
        </w:rPr>
      </w:pPr>
      <w:r>
        <w:rPr>
          <w:rFonts w:ascii="宋体" w:hAnsi="宋体" w:eastAsia="宋体" w:cs="宋体"/>
          <w:spacing w:val="-16"/>
          <w:sz w:val="23"/>
          <w:szCs w:val="23"/>
        </w:rPr>
        <w:t>法定代表人</w:t>
      </w:r>
      <w:r>
        <w:rPr>
          <w:rFonts w:ascii="宋体" w:hAnsi="宋体" w:eastAsia="宋体" w:cs="宋体"/>
          <w:spacing w:val="-13"/>
          <w:sz w:val="23"/>
          <w:szCs w:val="23"/>
        </w:rPr>
        <w:t>：（</w:t>
      </w:r>
      <w:r>
        <w:rPr>
          <w:rFonts w:ascii="宋体" w:hAnsi="宋体" w:eastAsia="宋体" w:cs="宋体"/>
          <w:spacing w:val="-16"/>
          <w:sz w:val="23"/>
          <w:szCs w:val="23"/>
        </w:rPr>
        <w:t>签字或盖章）</w:t>
      </w:r>
    </w:p>
    <w:p>
      <w:pPr>
        <w:pStyle w:val="14"/>
        <w:spacing w:line="259" w:lineRule="auto"/>
      </w:pPr>
    </w:p>
    <w:p>
      <w:pPr>
        <w:spacing w:before="76" w:line="227" w:lineRule="auto"/>
        <w:ind w:left="6194"/>
        <w:rPr>
          <w:rFonts w:ascii="宋体" w:hAnsi="宋体" w:eastAsia="宋体" w:cs="宋体"/>
          <w:spacing w:val="9"/>
          <w:sz w:val="20"/>
          <w:szCs w:val="20"/>
          <w14:textOutline w14:w="3823" w14:cap="flat" w14:cmpd="sng">
            <w14:solidFill>
              <w14:srgbClr w14:val="000000"/>
            </w14:solidFill>
            <w14:prstDash w14:val="solid"/>
            <w14:miter w14:val="0"/>
          </w14:textOutline>
        </w:rPr>
        <w:sectPr>
          <w:footerReference r:id="rId24" w:type="default"/>
          <w:pgSz w:w="11906" w:h="16838"/>
          <w:pgMar w:top="1440" w:right="1800" w:bottom="1440" w:left="1800" w:header="0" w:footer="1211" w:gutter="0"/>
          <w:pgNumType w:fmt="decimal"/>
          <w:cols w:space="720" w:num="1"/>
        </w:sectPr>
      </w:pPr>
      <w:r>
        <w:rPr>
          <w:rFonts w:ascii="宋体" w:hAnsi="宋体" w:eastAsia="宋体" w:cs="宋体"/>
          <w:spacing w:val="-2"/>
          <w:sz w:val="23"/>
          <w:szCs w:val="23"/>
        </w:rPr>
        <w:t>年</w:t>
      </w:r>
      <w:r>
        <w:rPr>
          <w:rFonts w:hint="eastAsia" w:ascii="宋体" w:hAnsi="宋体" w:cs="宋体"/>
          <w:spacing w:val="-2"/>
          <w:sz w:val="23"/>
          <w:szCs w:val="23"/>
          <w:lang w:val="en-US" w:eastAsia="zh-CN"/>
        </w:rPr>
        <w:t xml:space="preserve">  </w:t>
      </w:r>
      <w:r>
        <w:rPr>
          <w:rFonts w:ascii="宋体" w:hAnsi="宋体" w:eastAsia="宋体" w:cs="宋体"/>
          <w:spacing w:val="-2"/>
          <w:sz w:val="23"/>
          <w:szCs w:val="23"/>
        </w:rPr>
        <w:t>月</w:t>
      </w:r>
      <w:r>
        <w:rPr>
          <w:rFonts w:hint="eastAsia" w:ascii="宋体" w:hAnsi="宋体" w:cs="宋体"/>
          <w:spacing w:val="-2"/>
          <w:sz w:val="23"/>
          <w:szCs w:val="23"/>
          <w:lang w:val="en-US" w:eastAsia="zh-CN"/>
        </w:rPr>
        <w:t xml:space="preserve"> </w:t>
      </w:r>
    </w:p>
    <w:p>
      <w:pPr>
        <w:tabs>
          <w:tab w:val="left" w:pos="337"/>
        </w:tabs>
        <w:spacing w:before="237" w:line="228" w:lineRule="auto"/>
        <w:rPr>
          <w:rFonts w:ascii="宋体" w:hAnsi="宋体" w:eastAsia="宋体" w:cs="宋体"/>
          <w:sz w:val="20"/>
          <w:szCs w:val="20"/>
        </w:rPr>
      </w:pPr>
      <w:r>
        <w:rPr>
          <w:rFonts w:ascii="宋体" w:hAnsi="宋体" w:eastAsia="宋体" w:cs="宋体"/>
          <w:spacing w:val="9"/>
          <w:sz w:val="20"/>
          <w:szCs w:val="20"/>
          <w14:textOutline w14:w="3823" w14:cap="flat" w14:cmpd="sng">
            <w14:solidFill>
              <w14:srgbClr w14:val="000000"/>
            </w14:solidFill>
            <w14:prstDash w14:val="solid"/>
            <w14:miter w14:val="0"/>
          </w14:textOutline>
        </w:rPr>
        <w:t>（</w:t>
      </w:r>
      <w:r>
        <w:rPr>
          <w:rFonts w:hint="eastAsia" w:ascii="宋体" w:hAnsi="宋体" w:cs="宋体"/>
          <w:spacing w:val="9"/>
          <w:sz w:val="20"/>
          <w:szCs w:val="20"/>
          <w:lang w:val="en-US" w:eastAsia="zh-CN"/>
          <w14:textOutline w14:w="3823" w14:cap="flat" w14:cmpd="sng">
            <w14:solidFill>
              <w14:srgbClr w14:val="000000"/>
            </w14:solidFill>
            <w14:prstDash w14:val="solid"/>
            <w14:miter w14:val="0"/>
          </w14:textOutline>
        </w:rPr>
        <w:t>三</w:t>
      </w:r>
      <w:r>
        <w:rPr>
          <w:rFonts w:ascii="宋体" w:hAnsi="宋体" w:eastAsia="宋体" w:cs="宋体"/>
          <w:spacing w:val="9"/>
          <w:sz w:val="20"/>
          <w:szCs w:val="20"/>
          <w14:textOutline w14:w="3823" w14:cap="flat" w14:cmpd="sng">
            <w14:solidFill>
              <w14:srgbClr w14:val="000000"/>
            </w14:solidFill>
            <w14:prstDash w14:val="solid"/>
            <w14:miter w14:val="0"/>
          </w14:textOutline>
        </w:rPr>
        <w:t>）近年完成的类似业绩表</w:t>
      </w:r>
    </w:p>
    <w:p>
      <w:pPr>
        <w:spacing w:line="46" w:lineRule="exact"/>
      </w:pPr>
    </w:p>
    <w:tbl>
      <w:tblPr>
        <w:tblStyle w:val="76"/>
        <w:tblW w:w="8912"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17"/>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817" w:type="dxa"/>
            <w:vAlign w:val="top"/>
          </w:tcPr>
          <w:p>
            <w:pPr>
              <w:pStyle w:val="75"/>
              <w:spacing w:before="86" w:line="228" w:lineRule="auto"/>
              <w:ind w:left="998"/>
              <w:rPr>
                <w:sz w:val="20"/>
                <w:szCs w:val="20"/>
              </w:rPr>
            </w:pPr>
            <w:r>
              <w:rPr>
                <w:spacing w:val="6"/>
                <w:sz w:val="20"/>
                <w:szCs w:val="20"/>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817" w:type="dxa"/>
            <w:vAlign w:val="top"/>
          </w:tcPr>
          <w:p>
            <w:pPr>
              <w:pStyle w:val="75"/>
              <w:spacing w:before="120" w:line="228" w:lineRule="auto"/>
              <w:ind w:left="893"/>
              <w:rPr>
                <w:sz w:val="20"/>
                <w:szCs w:val="20"/>
              </w:rPr>
            </w:pPr>
            <w:r>
              <w:rPr>
                <w:spacing w:val="7"/>
                <w:sz w:val="20"/>
                <w:szCs w:val="20"/>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817" w:type="dxa"/>
            <w:vAlign w:val="top"/>
          </w:tcPr>
          <w:p>
            <w:pPr>
              <w:pStyle w:val="75"/>
              <w:spacing w:before="123" w:line="228" w:lineRule="auto"/>
              <w:ind w:left="893"/>
              <w:rPr>
                <w:sz w:val="20"/>
                <w:szCs w:val="20"/>
              </w:rPr>
            </w:pPr>
            <w:r>
              <w:rPr>
                <w:spacing w:val="7"/>
                <w:sz w:val="20"/>
                <w:szCs w:val="20"/>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1" w:hRule="atLeast"/>
        </w:trPr>
        <w:tc>
          <w:tcPr>
            <w:tcW w:w="2817" w:type="dxa"/>
            <w:vAlign w:val="top"/>
          </w:tcPr>
          <w:p>
            <w:pPr>
              <w:pStyle w:val="75"/>
              <w:spacing w:before="119" w:line="228" w:lineRule="auto"/>
              <w:ind w:left="893"/>
              <w:rPr>
                <w:sz w:val="20"/>
                <w:szCs w:val="20"/>
              </w:rPr>
            </w:pPr>
            <w:r>
              <w:rPr>
                <w:spacing w:val="7"/>
                <w:sz w:val="20"/>
                <w:szCs w:val="20"/>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17" w:type="dxa"/>
            <w:vAlign w:val="top"/>
          </w:tcPr>
          <w:p>
            <w:pPr>
              <w:pStyle w:val="75"/>
              <w:spacing w:before="129" w:line="228" w:lineRule="auto"/>
              <w:ind w:left="473"/>
              <w:rPr>
                <w:sz w:val="20"/>
                <w:szCs w:val="20"/>
              </w:rPr>
            </w:pPr>
            <w:r>
              <w:rPr>
                <w:spacing w:val="8"/>
                <w:sz w:val="20"/>
                <w:szCs w:val="20"/>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817" w:type="dxa"/>
            <w:vAlign w:val="top"/>
          </w:tcPr>
          <w:p>
            <w:pPr>
              <w:pStyle w:val="75"/>
              <w:spacing w:before="125" w:line="226" w:lineRule="auto"/>
              <w:ind w:left="996"/>
              <w:rPr>
                <w:sz w:val="20"/>
                <w:szCs w:val="20"/>
              </w:rPr>
            </w:pPr>
            <w:r>
              <w:rPr>
                <w:spacing w:val="7"/>
                <w:sz w:val="20"/>
                <w:szCs w:val="20"/>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817" w:type="dxa"/>
            <w:vAlign w:val="top"/>
          </w:tcPr>
          <w:p>
            <w:pPr>
              <w:pStyle w:val="75"/>
              <w:spacing w:before="129" w:line="228" w:lineRule="auto"/>
              <w:ind w:left="996"/>
              <w:rPr>
                <w:sz w:val="20"/>
                <w:szCs w:val="20"/>
              </w:rPr>
            </w:pPr>
            <w:r>
              <w:rPr>
                <w:spacing w:val="7"/>
                <w:sz w:val="20"/>
                <w:szCs w:val="20"/>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2817" w:type="dxa"/>
            <w:vAlign w:val="top"/>
          </w:tcPr>
          <w:p>
            <w:pPr>
              <w:pStyle w:val="75"/>
              <w:spacing w:before="118" w:line="228" w:lineRule="auto"/>
              <w:ind w:left="996"/>
              <w:rPr>
                <w:sz w:val="20"/>
                <w:szCs w:val="20"/>
              </w:rPr>
            </w:pPr>
            <w:r>
              <w:rPr>
                <w:spacing w:val="7"/>
                <w:sz w:val="20"/>
                <w:szCs w:val="20"/>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817" w:type="dxa"/>
            <w:vAlign w:val="top"/>
          </w:tcPr>
          <w:p>
            <w:pPr>
              <w:pStyle w:val="75"/>
              <w:spacing w:before="128" w:line="228" w:lineRule="auto"/>
              <w:ind w:left="889"/>
              <w:rPr>
                <w:sz w:val="20"/>
                <w:szCs w:val="20"/>
              </w:rPr>
            </w:pPr>
            <w:r>
              <w:rPr>
                <w:spacing w:val="8"/>
                <w:sz w:val="20"/>
                <w:szCs w:val="20"/>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2817" w:type="dxa"/>
            <w:vAlign w:val="top"/>
          </w:tcPr>
          <w:p>
            <w:pPr>
              <w:pStyle w:val="75"/>
              <w:spacing w:before="125" w:line="228" w:lineRule="auto"/>
              <w:ind w:left="997"/>
              <w:rPr>
                <w:sz w:val="20"/>
                <w:szCs w:val="20"/>
              </w:rPr>
            </w:pPr>
            <w:r>
              <w:rPr>
                <w:spacing w:val="6"/>
                <w:sz w:val="20"/>
                <w:szCs w:val="20"/>
              </w:rPr>
              <w:t>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3" w:hRule="atLeast"/>
        </w:trPr>
        <w:tc>
          <w:tcPr>
            <w:tcW w:w="2817"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75"/>
              <w:spacing w:before="65" w:line="228" w:lineRule="auto"/>
              <w:ind w:left="998"/>
              <w:rPr>
                <w:sz w:val="20"/>
                <w:szCs w:val="20"/>
              </w:rPr>
            </w:pPr>
            <w:r>
              <w:rPr>
                <w:spacing w:val="6"/>
                <w:sz w:val="20"/>
                <w:szCs w:val="20"/>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817" w:type="dxa"/>
            <w:vAlign w:val="top"/>
          </w:tcPr>
          <w:p>
            <w:pPr>
              <w:pStyle w:val="75"/>
              <w:spacing w:before="176" w:line="229" w:lineRule="auto"/>
              <w:ind w:left="1206"/>
              <w:rPr>
                <w:sz w:val="20"/>
                <w:szCs w:val="20"/>
              </w:rPr>
            </w:pPr>
            <w:r>
              <w:rPr>
                <w:spacing w:val="3"/>
                <w:sz w:val="20"/>
                <w:szCs w:val="20"/>
              </w:rPr>
              <w:t>备注</w:t>
            </w:r>
          </w:p>
        </w:tc>
        <w:tc>
          <w:tcPr>
            <w:tcW w:w="6095" w:type="dxa"/>
            <w:vAlign w:val="top"/>
          </w:tcPr>
          <w:p>
            <w:pPr>
              <w:rPr>
                <w:rFonts w:ascii="Arial"/>
                <w:sz w:val="21"/>
              </w:rPr>
            </w:pPr>
          </w:p>
        </w:tc>
      </w:tr>
    </w:tbl>
    <w:p>
      <w:pPr>
        <w:spacing w:before="145" w:line="473" w:lineRule="exact"/>
        <w:ind w:left="684"/>
        <w:rPr>
          <w:rFonts w:ascii="宋体" w:hAnsi="宋体" w:eastAsia="宋体" w:cs="宋体"/>
          <w:sz w:val="23"/>
          <w:szCs w:val="23"/>
        </w:rPr>
      </w:pPr>
      <w:r>
        <w:rPr>
          <w:rFonts w:ascii="宋体" w:hAnsi="宋体" w:eastAsia="宋体" w:cs="宋体"/>
          <w:spacing w:val="8"/>
          <w:position w:val="18"/>
          <w:sz w:val="23"/>
          <w:szCs w:val="23"/>
        </w:rPr>
        <w:t>注：后附证明材料（提供中标通知书/成交通知书或合同</w:t>
      </w:r>
      <w:r>
        <w:rPr>
          <w:rFonts w:ascii="宋体" w:hAnsi="宋体" w:eastAsia="宋体" w:cs="宋体"/>
          <w:spacing w:val="7"/>
          <w:position w:val="18"/>
          <w:sz w:val="23"/>
          <w:szCs w:val="23"/>
        </w:rPr>
        <w:t>）。</w:t>
      </w:r>
    </w:p>
    <w:p>
      <w:pPr>
        <w:spacing w:line="226" w:lineRule="auto"/>
        <w:ind w:left="658"/>
        <w:rPr>
          <w:rFonts w:ascii="宋体" w:hAnsi="宋体" w:eastAsia="宋体" w:cs="宋体"/>
          <w:sz w:val="23"/>
          <w:szCs w:val="23"/>
        </w:rPr>
      </w:pPr>
      <w:r>
        <w:rPr>
          <w:rFonts w:ascii="宋体" w:hAnsi="宋体" w:eastAsia="宋体" w:cs="宋体"/>
          <w:spacing w:val="5"/>
          <w:sz w:val="23"/>
          <w:szCs w:val="23"/>
        </w:rPr>
        <w:t>投标人</w:t>
      </w:r>
      <w:r>
        <w:rPr>
          <w:rFonts w:ascii="宋体" w:hAnsi="宋体" w:eastAsia="宋体" w:cs="宋体"/>
          <w:spacing w:val="7"/>
          <w:sz w:val="23"/>
          <w:szCs w:val="23"/>
        </w:rPr>
        <w:t>：（</w:t>
      </w:r>
      <w:r>
        <w:rPr>
          <w:rFonts w:ascii="宋体" w:hAnsi="宋体" w:eastAsia="宋体" w:cs="宋体"/>
          <w:spacing w:val="5"/>
          <w:sz w:val="23"/>
          <w:szCs w:val="23"/>
        </w:rPr>
        <w:t>盖章）</w:t>
      </w:r>
    </w:p>
    <w:p>
      <w:pPr>
        <w:pStyle w:val="14"/>
        <w:spacing w:line="359" w:lineRule="auto"/>
      </w:pPr>
    </w:p>
    <w:p>
      <w:pPr>
        <w:pStyle w:val="14"/>
        <w:spacing w:line="359" w:lineRule="auto"/>
      </w:pPr>
    </w:p>
    <w:p>
      <w:pPr>
        <w:spacing w:before="75" w:line="227" w:lineRule="auto"/>
        <w:ind w:left="476"/>
        <w:rPr>
          <w:rFonts w:ascii="宋体" w:hAnsi="宋体" w:eastAsia="宋体" w:cs="宋体"/>
          <w:sz w:val="23"/>
          <w:szCs w:val="23"/>
        </w:rPr>
      </w:pPr>
      <w:r>
        <w:rPr>
          <w:rFonts w:ascii="宋体" w:hAnsi="宋体" w:eastAsia="宋体" w:cs="宋体"/>
          <w:spacing w:val="6"/>
          <w:sz w:val="23"/>
          <w:szCs w:val="23"/>
        </w:rPr>
        <w:t>法定代表人</w:t>
      </w:r>
      <w:r>
        <w:rPr>
          <w:rFonts w:ascii="宋体" w:hAnsi="宋体" w:eastAsia="宋体" w:cs="宋体"/>
          <w:spacing w:val="9"/>
          <w:sz w:val="23"/>
          <w:szCs w:val="23"/>
        </w:rPr>
        <w:t>：（</w:t>
      </w:r>
      <w:r>
        <w:rPr>
          <w:rFonts w:ascii="宋体" w:hAnsi="宋体" w:eastAsia="宋体" w:cs="宋体"/>
          <w:spacing w:val="6"/>
          <w:sz w:val="23"/>
          <w:szCs w:val="23"/>
        </w:rPr>
        <w:t>盖章）</w:t>
      </w:r>
    </w:p>
    <w:p>
      <w:pPr>
        <w:pStyle w:val="14"/>
        <w:spacing w:line="359" w:lineRule="auto"/>
      </w:pPr>
    </w:p>
    <w:p>
      <w:pPr>
        <w:pStyle w:val="14"/>
        <w:spacing w:line="359" w:lineRule="auto"/>
      </w:pPr>
    </w:p>
    <w:p>
      <w:pPr>
        <w:spacing w:before="76" w:line="227" w:lineRule="auto"/>
        <w:ind w:left="6145"/>
        <w:rPr>
          <w:rFonts w:ascii="宋体" w:hAnsi="宋体" w:eastAsia="宋体" w:cs="宋体"/>
          <w:sz w:val="23"/>
          <w:szCs w:val="23"/>
        </w:rPr>
      </w:pPr>
      <w:r>
        <w:rPr>
          <w:rFonts w:ascii="宋体" w:hAnsi="宋体" w:eastAsia="宋体" w:cs="宋体"/>
          <w:spacing w:val="-2"/>
          <w:sz w:val="23"/>
          <w:szCs w:val="23"/>
        </w:rPr>
        <w:t>年</w:t>
      </w:r>
      <w:r>
        <w:rPr>
          <w:rFonts w:hint="eastAsia" w:ascii="宋体" w:hAnsi="宋体" w:cs="宋体"/>
          <w:spacing w:val="-2"/>
          <w:sz w:val="23"/>
          <w:szCs w:val="23"/>
          <w:lang w:val="en-US" w:eastAsia="zh-CN"/>
        </w:rPr>
        <w:t xml:space="preserve">  </w:t>
      </w:r>
      <w:r>
        <w:rPr>
          <w:rFonts w:ascii="宋体" w:hAnsi="宋体" w:eastAsia="宋体" w:cs="宋体"/>
          <w:spacing w:val="-2"/>
          <w:sz w:val="23"/>
          <w:szCs w:val="23"/>
        </w:rPr>
        <w:t>月</w:t>
      </w:r>
      <w:r>
        <w:rPr>
          <w:rFonts w:hint="eastAsia" w:ascii="宋体" w:hAnsi="宋体" w:cs="宋体"/>
          <w:spacing w:val="-2"/>
          <w:sz w:val="23"/>
          <w:szCs w:val="23"/>
          <w:lang w:val="en-US" w:eastAsia="zh-CN"/>
        </w:rPr>
        <w:t xml:space="preserve">   </w:t>
      </w:r>
      <w:r>
        <w:rPr>
          <w:rFonts w:ascii="宋体" w:hAnsi="宋体" w:eastAsia="宋体" w:cs="宋体"/>
          <w:spacing w:val="-2"/>
          <w:sz w:val="23"/>
          <w:szCs w:val="23"/>
        </w:rPr>
        <w:t>日</w:t>
      </w:r>
    </w:p>
    <w:p>
      <w:pPr>
        <w:spacing w:line="227" w:lineRule="auto"/>
        <w:rPr>
          <w:rFonts w:ascii="宋体" w:hAnsi="宋体" w:eastAsia="宋体" w:cs="宋体"/>
          <w:sz w:val="23"/>
          <w:szCs w:val="23"/>
        </w:rPr>
        <w:sectPr>
          <w:footerReference r:id="rId25" w:type="default"/>
          <w:pgSz w:w="11906" w:h="16838"/>
          <w:pgMar w:top="1440" w:right="1800" w:bottom="1440" w:left="1800" w:header="0" w:footer="1211" w:gutter="0"/>
          <w:pgNumType w:fmt="decimal"/>
          <w:cols w:space="720" w:num="1"/>
        </w:sectPr>
      </w:pPr>
    </w:p>
    <w:p>
      <w:pPr>
        <w:pStyle w:val="24"/>
        <w:tabs>
          <w:tab w:val="left" w:pos="3409"/>
        </w:tabs>
        <w:spacing w:before="120" w:line="360" w:lineRule="auto"/>
        <w:ind w:firstLine="405"/>
        <w:jc w:val="center"/>
        <w:rPr>
          <w:rFonts w:hint="eastAsia" w:ascii="宋体" w:hAnsi="宋体" w:eastAsia="宋体" w:cs="宋体"/>
          <w:b/>
          <w:color w:val="000000"/>
          <w:sz w:val="32"/>
          <w:lang w:val="en-US" w:eastAsia="zh-CN"/>
        </w:rPr>
      </w:pPr>
      <w:r>
        <w:rPr>
          <w:rFonts w:hint="eastAsia" w:ascii="宋体" w:hAnsi="宋体" w:cs="宋体"/>
          <w:b/>
          <w:color w:val="000000"/>
          <w:sz w:val="32"/>
          <w:lang w:val="en-US" w:eastAsia="zh-CN"/>
        </w:rPr>
        <w:t>（四）</w:t>
      </w:r>
      <w:r>
        <w:rPr>
          <w:rFonts w:hint="eastAsia" w:ascii="宋体" w:hAnsi="宋体" w:eastAsia="宋体" w:cs="宋体"/>
          <w:b/>
          <w:color w:val="000000"/>
          <w:sz w:val="32"/>
          <w:lang w:val="en-US" w:eastAsia="zh-CN"/>
        </w:rPr>
        <w:t>中小企业声明函</w:t>
      </w:r>
    </w:p>
    <w:p>
      <w:pPr>
        <w:spacing w:line="360" w:lineRule="auto"/>
        <w:rPr>
          <w:rFonts w:hint="eastAsia" w:asciiTheme="minorEastAsia" w:hAnsiTheme="minorEastAsia" w:eastAsiaTheme="minorEastAsia" w:cstheme="minorEastAsia"/>
          <w:bCs/>
          <w:color w:val="000000"/>
          <w:kern w:val="0"/>
          <w:sz w:val="24"/>
          <w:szCs w:val="22"/>
          <w:u w:val="single"/>
        </w:rPr>
      </w:pPr>
      <w:r>
        <w:rPr>
          <w:rFonts w:hint="eastAsia" w:asciiTheme="minorEastAsia" w:hAnsiTheme="minorEastAsia" w:eastAsiaTheme="minorEastAsia" w:cstheme="minorEastAsia"/>
          <w:color w:val="000000"/>
          <w:kern w:val="0"/>
          <w:sz w:val="24"/>
          <w:szCs w:val="22"/>
        </w:rPr>
        <w:t>项目编号：</w:t>
      </w:r>
      <w:r>
        <w:rPr>
          <w:rFonts w:hint="eastAsia" w:asciiTheme="minorEastAsia" w:hAnsiTheme="minorEastAsia" w:eastAsiaTheme="minorEastAsia" w:cstheme="minorEastAsia"/>
          <w:color w:val="000000"/>
          <w:kern w:val="0"/>
          <w:sz w:val="24"/>
          <w:szCs w:val="22"/>
          <w:u w:val="single"/>
        </w:rPr>
        <w:t xml:space="preserve">                 </w:t>
      </w:r>
    </w:p>
    <w:p>
      <w:pPr>
        <w:spacing w:line="360" w:lineRule="auto"/>
        <w:ind w:firstLine="504" w:firstLineChars="200"/>
        <w:rPr>
          <w:rFonts w:hint="eastAsia" w:asciiTheme="minorEastAsia" w:hAnsiTheme="minorEastAsia" w:eastAsiaTheme="minorEastAsia" w:cstheme="minorEastAsia"/>
          <w:color w:val="000000"/>
          <w:spacing w:val="6"/>
          <w:sz w:val="24"/>
          <w:szCs w:val="22"/>
        </w:rPr>
      </w:pPr>
      <w:r>
        <w:rPr>
          <w:rFonts w:hint="eastAsia" w:asciiTheme="minorEastAsia" w:hAnsiTheme="minorEastAsia" w:eastAsiaTheme="minorEastAsia" w:cstheme="minorEastAsia"/>
          <w:color w:val="000000"/>
          <w:spacing w:val="6"/>
          <w:sz w:val="24"/>
          <w:szCs w:val="22"/>
        </w:rPr>
        <w:t>本公司郑重声明，根据《政府采购促进中小企业发展暂行办法》（财库[2011]181号）的规定，本公司为______（请填写：中型、小型、微型）企业。即，本公司同时满足以下条件：</w:t>
      </w:r>
    </w:p>
    <w:p>
      <w:pPr>
        <w:spacing w:line="360" w:lineRule="auto"/>
        <w:ind w:firstLine="504" w:firstLineChars="200"/>
        <w:rPr>
          <w:rFonts w:hint="eastAsia" w:asciiTheme="minorEastAsia" w:hAnsiTheme="minorEastAsia" w:eastAsiaTheme="minorEastAsia" w:cstheme="minorEastAsia"/>
          <w:color w:val="000000"/>
          <w:spacing w:val="6"/>
          <w:sz w:val="24"/>
          <w:szCs w:val="22"/>
        </w:rPr>
      </w:pPr>
      <w:r>
        <w:rPr>
          <w:rFonts w:hint="eastAsia" w:asciiTheme="minorEastAsia" w:hAnsiTheme="minorEastAsia" w:eastAsiaTheme="minorEastAsia" w:cstheme="minorEastAsia"/>
          <w:color w:val="000000"/>
          <w:spacing w:val="6"/>
          <w:sz w:val="24"/>
          <w:szCs w:val="22"/>
        </w:rPr>
        <w:t>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ind w:firstLine="504" w:firstLineChars="200"/>
        <w:rPr>
          <w:rFonts w:hint="eastAsia" w:asciiTheme="minorEastAsia" w:hAnsiTheme="minorEastAsia" w:eastAsiaTheme="minorEastAsia" w:cstheme="minorEastAsia"/>
          <w:color w:val="000000"/>
          <w:spacing w:val="6"/>
          <w:sz w:val="24"/>
          <w:szCs w:val="22"/>
        </w:rPr>
      </w:pPr>
      <w:r>
        <w:rPr>
          <w:rFonts w:hint="eastAsia" w:asciiTheme="minorEastAsia" w:hAnsiTheme="minorEastAsia" w:eastAsiaTheme="minorEastAsia" w:cstheme="minorEastAsia"/>
          <w:color w:val="000000"/>
          <w:spacing w:val="6"/>
          <w:sz w:val="24"/>
          <w:szCs w:val="22"/>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ind w:firstLine="504" w:firstLineChars="200"/>
        <w:rPr>
          <w:rFonts w:hint="eastAsia" w:asciiTheme="minorEastAsia" w:hAnsiTheme="minorEastAsia" w:eastAsiaTheme="minorEastAsia" w:cstheme="minorEastAsia"/>
          <w:color w:val="000000"/>
          <w:spacing w:val="6"/>
          <w:sz w:val="24"/>
          <w:szCs w:val="22"/>
        </w:rPr>
      </w:pPr>
      <w:r>
        <w:rPr>
          <w:rFonts w:hint="eastAsia" w:asciiTheme="minorEastAsia" w:hAnsiTheme="minorEastAsia" w:eastAsiaTheme="minorEastAsia" w:cstheme="minorEastAsia"/>
          <w:color w:val="000000"/>
          <w:spacing w:val="6"/>
          <w:sz w:val="24"/>
          <w:szCs w:val="22"/>
        </w:rPr>
        <w:t>本公司对上述声明的真实性负责。如有虚假，将依法承担相应责任。</w:t>
      </w:r>
    </w:p>
    <w:p>
      <w:pPr>
        <w:spacing w:line="360" w:lineRule="auto"/>
        <w:ind w:firstLine="6000" w:firstLineChars="2500"/>
        <w:rPr>
          <w:rFonts w:hint="eastAsia" w:asciiTheme="minorEastAsia" w:hAnsiTheme="minorEastAsia" w:eastAsiaTheme="minorEastAsia" w:cstheme="minorEastAsia"/>
          <w:color w:val="000000"/>
          <w:sz w:val="24"/>
          <w:szCs w:val="22"/>
        </w:rPr>
      </w:pPr>
    </w:p>
    <w:p>
      <w:pPr>
        <w:ind w:left="5880" w:firstLine="420"/>
        <w:rPr>
          <w:rFonts w:hint="eastAsia" w:asciiTheme="minorEastAsia" w:hAnsiTheme="minorEastAsia" w:eastAsiaTheme="minorEastAsia" w:cstheme="minorEastAsia"/>
          <w:color w:val="000000"/>
          <w:sz w:val="24"/>
          <w:szCs w:val="22"/>
        </w:rPr>
      </w:pPr>
    </w:p>
    <w:p>
      <w:pPr>
        <w:ind w:firstLine="240" w:firstLineChars="100"/>
        <w:jc w:val="right"/>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投标人名称：                   （公章）</w:t>
      </w:r>
    </w:p>
    <w:p>
      <w:pPr>
        <w:ind w:left="5880" w:firstLine="420"/>
        <w:rPr>
          <w:rFonts w:hint="eastAsia" w:asciiTheme="minorEastAsia" w:hAnsiTheme="minorEastAsia" w:eastAsiaTheme="minorEastAsia" w:cstheme="minorEastAsia"/>
          <w:color w:val="000000"/>
          <w:sz w:val="24"/>
          <w:szCs w:val="22"/>
        </w:rPr>
      </w:pPr>
    </w:p>
    <w:p>
      <w:pPr>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年   月   日</w:t>
      </w:r>
    </w:p>
    <w:p>
      <w:pPr>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br w:type="page"/>
      </w:r>
    </w:p>
    <w:p>
      <w:pPr>
        <w:pStyle w:val="38"/>
      </w:pPr>
    </w:p>
    <w:p>
      <w:pPr>
        <w:spacing w:before="142" w:line="220" w:lineRule="auto"/>
        <w:jc w:val="center"/>
        <w:rPr>
          <w:rFonts w:ascii="宋体" w:hAnsi="宋体" w:eastAsia="宋体" w:cs="宋体"/>
          <w:sz w:val="28"/>
          <w:szCs w:val="28"/>
        </w:rPr>
      </w:pPr>
      <w:r>
        <w:rPr>
          <w:rFonts w:ascii="宋体" w:hAnsi="宋体" w:eastAsia="宋体" w:cs="宋体"/>
          <w:spacing w:val="-5"/>
          <w:sz w:val="28"/>
          <w:szCs w:val="28"/>
          <w14:textOutline w14:w="5137" w14:cap="flat" w14:cmpd="sng">
            <w14:solidFill>
              <w14:srgbClr w14:val="000000"/>
            </w14:solidFill>
            <w14:prstDash w14:val="solid"/>
            <w14:miter w14:val="0"/>
          </w14:textOutline>
        </w:rPr>
        <w:t>四、技术文件</w:t>
      </w:r>
    </w:p>
    <w:p>
      <w:pPr>
        <w:spacing w:before="231" w:line="401" w:lineRule="exact"/>
        <w:ind w:left="59"/>
        <w:rPr>
          <w:rFonts w:ascii="宋体" w:hAnsi="宋体" w:eastAsia="宋体" w:cs="宋体"/>
          <w:sz w:val="23"/>
          <w:szCs w:val="23"/>
        </w:rPr>
      </w:pPr>
      <w:r>
        <w:rPr>
          <w:rFonts w:ascii="宋体" w:hAnsi="宋体" w:eastAsia="宋体" w:cs="宋体"/>
          <w:spacing w:val="7"/>
          <w:position w:val="12"/>
          <w:sz w:val="23"/>
          <w:szCs w:val="23"/>
        </w:rPr>
        <w:t>一、技术参数指标响应程度</w:t>
      </w:r>
    </w:p>
    <w:p>
      <w:pPr>
        <w:spacing w:line="227" w:lineRule="auto"/>
        <w:ind w:left="59"/>
        <w:rPr>
          <w:rFonts w:ascii="宋体" w:hAnsi="宋体" w:eastAsia="宋体" w:cs="宋体"/>
          <w:sz w:val="23"/>
          <w:szCs w:val="23"/>
        </w:rPr>
      </w:pPr>
      <w:r>
        <w:rPr>
          <w:rFonts w:ascii="宋体" w:hAnsi="宋体" w:eastAsia="宋体" w:cs="宋体"/>
          <w:spacing w:val="8"/>
          <w:sz w:val="23"/>
          <w:szCs w:val="23"/>
        </w:rPr>
        <w:t>二、</w:t>
      </w:r>
      <w:r>
        <w:rPr>
          <w:rFonts w:hint="eastAsia" w:ascii="宋体" w:hAnsi="宋体" w:eastAsia="宋体" w:cs="宋体"/>
          <w:spacing w:val="8"/>
          <w:sz w:val="23"/>
          <w:szCs w:val="23"/>
          <w:lang w:val="en-US" w:eastAsia="zh-CN"/>
        </w:rPr>
        <w:t>项目实施方案</w:t>
      </w:r>
    </w:p>
    <w:p>
      <w:pPr>
        <w:spacing w:before="117" w:line="399" w:lineRule="exact"/>
        <w:ind w:left="553"/>
        <w:rPr>
          <w:rFonts w:ascii="宋体" w:hAnsi="宋体" w:eastAsia="宋体" w:cs="宋体"/>
          <w:sz w:val="23"/>
          <w:szCs w:val="23"/>
        </w:rPr>
      </w:pPr>
      <w:r>
        <w:rPr>
          <w:rFonts w:ascii="宋体" w:hAnsi="宋体" w:eastAsia="宋体" w:cs="宋体"/>
          <w:spacing w:val="7"/>
          <w:position w:val="12"/>
          <w:sz w:val="23"/>
          <w:szCs w:val="23"/>
        </w:rPr>
        <w:t>1.</w:t>
      </w:r>
      <w:r>
        <w:rPr>
          <w:rFonts w:hint="eastAsia" w:ascii="宋体" w:hAnsi="宋体" w:eastAsia="宋体" w:cs="宋体"/>
          <w:spacing w:val="7"/>
          <w:position w:val="12"/>
          <w:sz w:val="23"/>
          <w:szCs w:val="23"/>
          <w:lang w:val="en-US" w:eastAsia="zh-CN"/>
        </w:rPr>
        <w:t>项目实施方案</w:t>
      </w:r>
      <w:r>
        <w:rPr>
          <w:rFonts w:ascii="宋体" w:hAnsi="宋体" w:eastAsia="宋体" w:cs="宋体"/>
          <w:spacing w:val="7"/>
          <w:position w:val="12"/>
          <w:sz w:val="23"/>
          <w:szCs w:val="23"/>
        </w:rPr>
        <w:t>科学、可行、技术措施</w:t>
      </w:r>
    </w:p>
    <w:p>
      <w:pPr>
        <w:spacing w:line="228" w:lineRule="auto"/>
        <w:ind w:left="538"/>
        <w:rPr>
          <w:rFonts w:ascii="宋体" w:hAnsi="宋体" w:eastAsia="宋体" w:cs="宋体"/>
          <w:sz w:val="23"/>
          <w:szCs w:val="23"/>
        </w:rPr>
      </w:pPr>
      <w:r>
        <w:rPr>
          <w:rFonts w:ascii="宋体" w:hAnsi="宋体" w:eastAsia="宋体" w:cs="宋体"/>
          <w:spacing w:val="8"/>
          <w:sz w:val="23"/>
          <w:szCs w:val="23"/>
        </w:rPr>
        <w:t>2.进度计划及质量保证措施</w:t>
      </w:r>
    </w:p>
    <w:p>
      <w:pPr>
        <w:spacing w:before="116" w:line="401" w:lineRule="exact"/>
        <w:ind w:left="55"/>
        <w:rPr>
          <w:rFonts w:ascii="宋体" w:hAnsi="宋体" w:eastAsia="宋体" w:cs="宋体"/>
          <w:sz w:val="23"/>
          <w:szCs w:val="23"/>
        </w:rPr>
      </w:pPr>
      <w:r>
        <w:rPr>
          <w:rFonts w:ascii="宋体" w:hAnsi="宋体" w:eastAsia="宋体" w:cs="宋体"/>
          <w:spacing w:val="9"/>
          <w:position w:val="12"/>
          <w:sz w:val="23"/>
          <w:szCs w:val="23"/>
        </w:rPr>
        <w:t>三、施工方案的全面性和可行性</w:t>
      </w:r>
    </w:p>
    <w:p>
      <w:pPr>
        <w:spacing w:before="1" w:line="228" w:lineRule="auto"/>
        <w:ind w:left="553"/>
        <w:rPr>
          <w:rFonts w:ascii="宋体" w:hAnsi="宋体" w:eastAsia="宋体" w:cs="宋体"/>
          <w:sz w:val="23"/>
          <w:szCs w:val="23"/>
        </w:rPr>
      </w:pPr>
      <w:r>
        <w:rPr>
          <w:rFonts w:ascii="宋体" w:hAnsi="宋体" w:eastAsia="宋体" w:cs="宋体"/>
          <w:spacing w:val="2"/>
          <w:sz w:val="23"/>
          <w:szCs w:val="23"/>
        </w:rPr>
        <w:t>1.全面性</w:t>
      </w:r>
    </w:p>
    <w:p>
      <w:pPr>
        <w:spacing w:before="114" w:line="227" w:lineRule="auto"/>
        <w:ind w:left="553"/>
        <w:rPr>
          <w:rFonts w:ascii="宋体" w:hAnsi="宋体" w:eastAsia="宋体" w:cs="宋体"/>
          <w:sz w:val="23"/>
          <w:szCs w:val="23"/>
        </w:rPr>
      </w:pPr>
      <w:r>
        <w:rPr>
          <w:rFonts w:ascii="宋体" w:hAnsi="宋体" w:eastAsia="宋体" w:cs="宋体"/>
          <w:spacing w:val="2"/>
          <w:sz w:val="23"/>
          <w:szCs w:val="23"/>
        </w:rPr>
        <w:t>1.1工程概况、施工组织方案；</w:t>
      </w:r>
    </w:p>
    <w:p>
      <w:pPr>
        <w:spacing w:before="118" w:line="400" w:lineRule="exact"/>
        <w:ind w:left="553"/>
        <w:rPr>
          <w:rFonts w:ascii="宋体" w:hAnsi="宋体" w:eastAsia="宋体" w:cs="宋体"/>
          <w:sz w:val="23"/>
          <w:szCs w:val="23"/>
        </w:rPr>
      </w:pPr>
      <w:r>
        <w:rPr>
          <w:rFonts w:ascii="宋体" w:hAnsi="宋体" w:eastAsia="宋体" w:cs="宋体"/>
          <w:spacing w:val="3"/>
          <w:position w:val="12"/>
          <w:sz w:val="23"/>
          <w:szCs w:val="23"/>
        </w:rPr>
        <w:t>1.2施工机械设备、劳动力投入计划；</w:t>
      </w:r>
    </w:p>
    <w:p>
      <w:pPr>
        <w:spacing w:line="228" w:lineRule="auto"/>
        <w:ind w:left="553"/>
        <w:rPr>
          <w:rFonts w:ascii="宋体" w:hAnsi="宋体" w:eastAsia="宋体" w:cs="宋体"/>
          <w:sz w:val="23"/>
          <w:szCs w:val="23"/>
        </w:rPr>
      </w:pPr>
      <w:r>
        <w:rPr>
          <w:rFonts w:ascii="宋体" w:hAnsi="宋体" w:eastAsia="宋体" w:cs="宋体"/>
          <w:spacing w:val="2"/>
          <w:sz w:val="23"/>
          <w:szCs w:val="23"/>
        </w:rPr>
        <w:t>1.3质量、工期、安全措施方案；</w:t>
      </w:r>
    </w:p>
    <w:p>
      <w:pPr>
        <w:spacing w:before="115" w:line="227" w:lineRule="auto"/>
        <w:ind w:left="553"/>
        <w:rPr>
          <w:rFonts w:ascii="宋体" w:hAnsi="宋体" w:eastAsia="宋体" w:cs="宋体"/>
          <w:sz w:val="23"/>
          <w:szCs w:val="23"/>
        </w:rPr>
      </w:pPr>
      <w:r>
        <w:rPr>
          <w:rFonts w:ascii="宋体" w:hAnsi="宋体" w:eastAsia="宋体" w:cs="宋体"/>
          <w:spacing w:val="-2"/>
          <w:sz w:val="23"/>
          <w:szCs w:val="23"/>
        </w:rPr>
        <w:t>1.4文明施工措施；</w:t>
      </w:r>
    </w:p>
    <w:p>
      <w:pPr>
        <w:spacing w:line="228" w:lineRule="auto"/>
        <w:ind w:left="538"/>
        <w:rPr>
          <w:rFonts w:ascii="宋体" w:hAnsi="宋体" w:eastAsia="宋体" w:cs="宋体"/>
          <w:sz w:val="23"/>
          <w:szCs w:val="23"/>
        </w:rPr>
      </w:pPr>
      <w:r>
        <w:rPr>
          <w:rFonts w:ascii="宋体" w:hAnsi="宋体" w:eastAsia="宋体" w:cs="宋体"/>
          <w:spacing w:val="6"/>
          <w:sz w:val="23"/>
          <w:szCs w:val="23"/>
        </w:rPr>
        <w:t>2．可行性</w:t>
      </w:r>
    </w:p>
    <w:p>
      <w:pPr>
        <w:spacing w:before="117" w:line="228" w:lineRule="auto"/>
        <w:ind w:left="538"/>
        <w:rPr>
          <w:rFonts w:ascii="宋体" w:hAnsi="宋体" w:eastAsia="宋体" w:cs="宋体"/>
          <w:sz w:val="23"/>
          <w:szCs w:val="23"/>
        </w:rPr>
      </w:pPr>
      <w:r>
        <w:rPr>
          <w:rFonts w:ascii="宋体" w:hAnsi="宋体" w:eastAsia="宋体" w:cs="宋体"/>
          <w:sz w:val="23"/>
          <w:szCs w:val="23"/>
        </w:rPr>
        <w:t>2.1施工措施及计划；</w:t>
      </w:r>
    </w:p>
    <w:p>
      <w:pPr>
        <w:spacing w:before="117" w:line="398" w:lineRule="exact"/>
        <w:ind w:left="538"/>
        <w:rPr>
          <w:rFonts w:ascii="宋体" w:hAnsi="宋体" w:eastAsia="宋体" w:cs="宋体"/>
          <w:sz w:val="23"/>
          <w:szCs w:val="23"/>
        </w:rPr>
      </w:pPr>
      <w:r>
        <w:rPr>
          <w:rFonts w:ascii="宋体" w:hAnsi="宋体" w:eastAsia="宋体" w:cs="宋体"/>
          <w:spacing w:val="2"/>
          <w:position w:val="12"/>
          <w:sz w:val="23"/>
          <w:szCs w:val="23"/>
        </w:rPr>
        <w:t>2.2施工现场流水段的划分；</w:t>
      </w:r>
    </w:p>
    <w:p>
      <w:pPr>
        <w:spacing w:line="227" w:lineRule="auto"/>
        <w:ind w:left="538"/>
        <w:rPr>
          <w:rFonts w:ascii="宋体" w:hAnsi="宋体" w:eastAsia="宋体" w:cs="宋体"/>
          <w:sz w:val="23"/>
          <w:szCs w:val="23"/>
        </w:rPr>
      </w:pPr>
      <w:r>
        <w:rPr>
          <w:rFonts w:ascii="宋体" w:hAnsi="宋体" w:eastAsia="宋体" w:cs="宋体"/>
          <w:spacing w:val="1"/>
          <w:sz w:val="23"/>
          <w:szCs w:val="23"/>
        </w:rPr>
        <w:t>2.3施工现场流水作业；</w:t>
      </w:r>
    </w:p>
    <w:p>
      <w:pPr>
        <w:spacing w:before="118" w:line="401" w:lineRule="exact"/>
        <w:ind w:left="538"/>
        <w:rPr>
          <w:rFonts w:ascii="宋体" w:hAnsi="宋体" w:eastAsia="宋体" w:cs="宋体"/>
          <w:sz w:val="23"/>
          <w:szCs w:val="23"/>
        </w:rPr>
      </w:pPr>
      <w:r>
        <w:rPr>
          <w:rFonts w:ascii="宋体" w:hAnsi="宋体" w:eastAsia="宋体" w:cs="宋体"/>
          <w:spacing w:val="1"/>
          <w:position w:val="12"/>
          <w:sz w:val="23"/>
          <w:szCs w:val="23"/>
        </w:rPr>
        <w:t>2.4施工现场交叉作业；</w:t>
      </w:r>
    </w:p>
    <w:p>
      <w:pPr>
        <w:spacing w:line="228" w:lineRule="auto"/>
        <w:ind w:left="78"/>
        <w:rPr>
          <w:rFonts w:ascii="宋体" w:hAnsi="宋体" w:eastAsia="宋体" w:cs="宋体"/>
          <w:sz w:val="23"/>
          <w:szCs w:val="23"/>
        </w:rPr>
      </w:pPr>
      <w:r>
        <w:rPr>
          <w:rFonts w:ascii="宋体" w:hAnsi="宋体" w:eastAsia="宋体" w:cs="宋体"/>
          <w:spacing w:val="2"/>
          <w:sz w:val="23"/>
          <w:szCs w:val="23"/>
        </w:rPr>
        <w:t>四、其他</w:t>
      </w:r>
    </w:p>
    <w:p>
      <w:pPr>
        <w:spacing w:line="228" w:lineRule="auto"/>
        <w:rPr>
          <w:rFonts w:ascii="宋体" w:hAnsi="宋体" w:eastAsia="宋体" w:cs="宋体"/>
          <w:sz w:val="23"/>
          <w:szCs w:val="23"/>
        </w:rPr>
        <w:sectPr>
          <w:footerReference r:id="rId26" w:type="default"/>
          <w:pgSz w:w="11906" w:h="16838"/>
          <w:pgMar w:top="1440" w:right="1800" w:bottom="1440" w:left="1800" w:header="0" w:footer="1211" w:gutter="0"/>
          <w:pgNumType w:fmt="decimal"/>
          <w:cols w:space="720" w:num="1"/>
        </w:sectPr>
      </w:pPr>
    </w:p>
    <w:p>
      <w:pPr>
        <w:spacing w:before="141" w:line="219" w:lineRule="auto"/>
        <w:ind w:left="3639"/>
        <w:outlineLvl w:val="1"/>
        <w:rPr>
          <w:rFonts w:ascii="宋体" w:hAnsi="宋体" w:eastAsia="宋体" w:cs="宋体"/>
          <w:sz w:val="28"/>
          <w:szCs w:val="28"/>
        </w:rPr>
      </w:pPr>
      <w:r>
        <w:rPr>
          <w:rFonts w:ascii="宋体" w:hAnsi="宋体" w:eastAsia="宋体" w:cs="宋体"/>
          <w:spacing w:val="-2"/>
          <w:sz w:val="28"/>
          <w:szCs w:val="28"/>
          <w14:textOutline w14:w="5137" w14:cap="flat" w14:cmpd="sng">
            <w14:solidFill>
              <w14:srgbClr w14:val="000000"/>
            </w14:solidFill>
            <w14:prstDash w14:val="solid"/>
            <w14:miter w14:val="0"/>
          </w14:textOutline>
        </w:rPr>
        <w:t>五、价格清单</w:t>
      </w:r>
    </w:p>
    <w:tbl>
      <w:tblPr>
        <w:tblStyle w:val="31"/>
        <w:tblpPr w:leftFromText="180" w:rightFromText="180" w:vertAnchor="text" w:horzAnchor="page" w:tblpX="1861" w:tblpY="8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335"/>
        <w:gridCol w:w="2068"/>
        <w:gridCol w:w="956"/>
        <w:gridCol w:w="882"/>
        <w:gridCol w:w="996"/>
        <w:gridCol w:w="10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top"/>
          </w:tcPr>
          <w:p>
            <w:pPr>
              <w:pStyle w:val="38"/>
              <w:ind w:left="0" w:leftChars="0" w:firstLine="0" w:firstLineChars="0"/>
              <w:jc w:val="center"/>
              <w:rPr>
                <w:rFonts w:hint="default"/>
                <w:vertAlign w:val="baseline"/>
                <w:lang w:val="en-US" w:eastAsia="zh-CN"/>
              </w:rPr>
            </w:pPr>
            <w:r>
              <w:rPr>
                <w:rFonts w:hint="eastAsia"/>
                <w:vertAlign w:val="baseline"/>
                <w:lang w:val="en-US" w:eastAsia="zh-CN"/>
              </w:rPr>
              <w:t>序号</w:t>
            </w:r>
          </w:p>
        </w:tc>
        <w:tc>
          <w:tcPr>
            <w:tcW w:w="1335" w:type="dxa"/>
            <w:noWrap w:val="0"/>
            <w:vAlign w:val="top"/>
          </w:tcPr>
          <w:p>
            <w:pPr>
              <w:pStyle w:val="38"/>
              <w:ind w:left="0" w:leftChars="0" w:firstLine="0" w:firstLineChars="0"/>
              <w:jc w:val="center"/>
              <w:rPr>
                <w:rFonts w:hint="default"/>
                <w:vertAlign w:val="baseline"/>
                <w:lang w:val="en-US" w:eastAsia="zh-CN"/>
              </w:rPr>
            </w:pPr>
            <w:r>
              <w:rPr>
                <w:rFonts w:hint="eastAsia"/>
                <w:vertAlign w:val="baseline"/>
                <w:lang w:val="en-US" w:eastAsia="zh-CN"/>
              </w:rPr>
              <w:t>项目名称</w:t>
            </w:r>
          </w:p>
        </w:tc>
        <w:tc>
          <w:tcPr>
            <w:tcW w:w="2068" w:type="dxa"/>
            <w:noWrap w:val="0"/>
            <w:vAlign w:val="top"/>
          </w:tcPr>
          <w:p>
            <w:pPr>
              <w:pStyle w:val="38"/>
              <w:ind w:left="0" w:leftChars="0" w:firstLine="0" w:firstLineChars="0"/>
              <w:jc w:val="center"/>
              <w:rPr>
                <w:rFonts w:hint="default"/>
                <w:vertAlign w:val="baseline"/>
                <w:lang w:val="en-US" w:eastAsia="zh-CN"/>
              </w:rPr>
            </w:pPr>
            <w:r>
              <w:rPr>
                <w:rFonts w:hint="eastAsia"/>
                <w:vertAlign w:val="baseline"/>
                <w:lang w:val="en-US" w:eastAsia="zh-CN"/>
              </w:rPr>
              <w:t>参数要求</w:t>
            </w:r>
          </w:p>
        </w:tc>
        <w:tc>
          <w:tcPr>
            <w:tcW w:w="956" w:type="dxa"/>
            <w:noWrap w:val="0"/>
            <w:vAlign w:val="top"/>
          </w:tcPr>
          <w:p>
            <w:pPr>
              <w:pStyle w:val="38"/>
              <w:ind w:left="0" w:leftChars="0" w:firstLine="0" w:firstLineChars="0"/>
              <w:jc w:val="center"/>
              <w:rPr>
                <w:rFonts w:hint="default"/>
                <w:vertAlign w:val="baseline"/>
                <w:lang w:val="en-US" w:eastAsia="zh-CN"/>
              </w:rPr>
            </w:pPr>
            <w:r>
              <w:rPr>
                <w:rFonts w:hint="eastAsia"/>
                <w:vertAlign w:val="baseline"/>
                <w:lang w:val="en-US" w:eastAsia="zh-CN"/>
              </w:rPr>
              <w:t>单位</w:t>
            </w:r>
          </w:p>
        </w:tc>
        <w:tc>
          <w:tcPr>
            <w:tcW w:w="882" w:type="dxa"/>
            <w:noWrap w:val="0"/>
            <w:vAlign w:val="top"/>
          </w:tcPr>
          <w:p>
            <w:pPr>
              <w:pStyle w:val="38"/>
              <w:ind w:left="0" w:leftChars="0" w:firstLine="0" w:firstLineChars="0"/>
              <w:jc w:val="center"/>
              <w:rPr>
                <w:rFonts w:hint="default"/>
                <w:vertAlign w:val="baseline"/>
                <w:lang w:val="en-US" w:eastAsia="zh-CN"/>
              </w:rPr>
            </w:pPr>
            <w:r>
              <w:rPr>
                <w:rFonts w:hint="eastAsia"/>
                <w:vertAlign w:val="baseline"/>
                <w:lang w:val="en-US" w:eastAsia="zh-CN"/>
              </w:rPr>
              <w:t>单价（元）</w:t>
            </w:r>
          </w:p>
        </w:tc>
        <w:tc>
          <w:tcPr>
            <w:tcW w:w="996" w:type="dxa"/>
            <w:noWrap w:val="0"/>
            <w:vAlign w:val="top"/>
          </w:tcPr>
          <w:p>
            <w:pPr>
              <w:pStyle w:val="38"/>
              <w:ind w:left="0" w:leftChars="0" w:firstLine="0" w:firstLineChars="0"/>
              <w:jc w:val="center"/>
              <w:rPr>
                <w:rFonts w:hint="default"/>
                <w:vertAlign w:val="baseline"/>
                <w:lang w:val="en-US" w:eastAsia="zh-CN"/>
              </w:rPr>
            </w:pPr>
            <w:r>
              <w:rPr>
                <w:rFonts w:hint="eastAsia"/>
                <w:vertAlign w:val="baseline"/>
                <w:lang w:val="en-US" w:eastAsia="zh-CN"/>
              </w:rPr>
              <w:t>总价（元）</w:t>
            </w:r>
          </w:p>
        </w:tc>
        <w:tc>
          <w:tcPr>
            <w:tcW w:w="1062" w:type="dxa"/>
            <w:noWrap w:val="0"/>
            <w:vAlign w:val="top"/>
          </w:tcPr>
          <w:p>
            <w:pPr>
              <w:pStyle w:val="38"/>
              <w:ind w:left="0" w:leftChars="0" w:firstLine="0" w:firstLineChars="0"/>
              <w:jc w:val="center"/>
              <w:rPr>
                <w:rFonts w:hint="default"/>
                <w:vertAlign w:val="baseline"/>
                <w:lang w:val="en-US" w:eastAsia="zh-CN"/>
              </w:rPr>
            </w:pPr>
            <w:r>
              <w:rPr>
                <w:rFonts w:hint="eastAsia"/>
                <w:vertAlign w:val="baseline"/>
                <w:lang w:val="en-US" w:eastAsia="zh-CN"/>
              </w:rPr>
              <w:t>备注</w:t>
            </w: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87" w:type="dxa"/>
            <w:noWrap w:val="0"/>
            <w:vAlign w:val="top"/>
          </w:tcPr>
          <w:p>
            <w:pPr>
              <w:pStyle w:val="38"/>
              <w:ind w:left="0" w:leftChars="0" w:firstLine="0" w:firstLineChars="0"/>
              <w:jc w:val="both"/>
              <w:rPr>
                <w:rFonts w:hint="default"/>
                <w:vertAlign w:val="baseline"/>
                <w:lang w:val="en-US" w:eastAsia="zh-CN"/>
              </w:rPr>
            </w:pPr>
            <w:r>
              <w:rPr>
                <w:rFonts w:hint="eastAsia"/>
                <w:vertAlign w:val="baseline"/>
                <w:lang w:val="en-US" w:eastAsia="zh-CN"/>
              </w:rPr>
              <w:t>1</w:t>
            </w:r>
          </w:p>
        </w:tc>
        <w:tc>
          <w:tcPr>
            <w:tcW w:w="1335" w:type="dxa"/>
            <w:noWrap w:val="0"/>
            <w:vAlign w:val="top"/>
          </w:tcPr>
          <w:p>
            <w:pPr>
              <w:pStyle w:val="38"/>
              <w:ind w:left="0" w:leftChars="0" w:firstLine="0" w:firstLineChars="0"/>
              <w:jc w:val="both"/>
              <w:rPr>
                <w:rFonts w:hint="default"/>
                <w:vertAlign w:val="baseline"/>
                <w:lang w:val="en-US" w:eastAsia="zh-CN"/>
              </w:rPr>
            </w:pPr>
            <w:r>
              <w:rPr>
                <w:rFonts w:hint="default"/>
                <w:vertAlign w:val="baseline"/>
                <w:lang w:val="en-US" w:eastAsia="zh-CN"/>
              </w:rPr>
              <w:t>立柱</w:t>
            </w:r>
          </w:p>
        </w:tc>
        <w:tc>
          <w:tcPr>
            <w:tcW w:w="2068" w:type="dxa"/>
            <w:noWrap w:val="0"/>
            <w:vAlign w:val="top"/>
          </w:tcPr>
          <w:p>
            <w:pPr>
              <w:pStyle w:val="38"/>
              <w:jc w:val="center"/>
              <w:rPr>
                <w:rFonts w:hint="default" w:eastAsia="宋体" w:cs="Times New Roman"/>
                <w:vertAlign w:val="baseline"/>
                <w:lang w:val="en-US" w:eastAsia="zh-CN"/>
              </w:rPr>
            </w:pPr>
            <w:r>
              <w:rPr>
                <w:rFonts w:hint="eastAsia" w:eastAsia="宋体" w:cs="Times New Roman"/>
                <w:vertAlign w:val="baseline"/>
                <w:lang w:val="en-US" w:eastAsia="zh-CN"/>
              </w:rPr>
              <w:t>圆200*4000mm（尺寸：柱与柱横向间距3.7米，滴水直径4米，竖向间距3.5米-4米，固定方式：套进圆钢管中，焊接天桥地面）</w:t>
            </w:r>
          </w:p>
        </w:tc>
        <w:tc>
          <w:tcPr>
            <w:tcW w:w="956" w:type="dxa"/>
            <w:noWrap w:val="0"/>
            <w:vAlign w:val="top"/>
          </w:tcPr>
          <w:p>
            <w:pPr>
              <w:pStyle w:val="38"/>
              <w:jc w:val="center"/>
              <w:rPr>
                <w:rFonts w:hint="default"/>
                <w:vertAlign w:val="baseline"/>
                <w:lang w:val="en-US" w:eastAsia="zh-CN"/>
              </w:rPr>
            </w:pPr>
            <w:r>
              <w:rPr>
                <w:rFonts w:hint="eastAsia"/>
                <w:vertAlign w:val="baseline"/>
                <w:lang w:val="en-US" w:eastAsia="zh-CN"/>
              </w:rPr>
              <w:t>mm</w:t>
            </w:r>
          </w:p>
        </w:tc>
        <w:tc>
          <w:tcPr>
            <w:tcW w:w="882" w:type="dxa"/>
            <w:noWrap w:val="0"/>
            <w:vAlign w:val="top"/>
          </w:tcPr>
          <w:p>
            <w:pPr>
              <w:pStyle w:val="38"/>
              <w:jc w:val="center"/>
              <w:rPr>
                <w:rFonts w:hint="default"/>
                <w:vertAlign w:val="baseline"/>
                <w:lang w:val="en-US" w:eastAsia="zh-CN"/>
              </w:rPr>
            </w:pPr>
          </w:p>
        </w:tc>
        <w:tc>
          <w:tcPr>
            <w:tcW w:w="996"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87" w:type="dxa"/>
            <w:noWrap w:val="0"/>
            <w:vAlign w:val="top"/>
          </w:tcPr>
          <w:p>
            <w:pPr>
              <w:pStyle w:val="38"/>
              <w:jc w:val="center"/>
              <w:rPr>
                <w:rFonts w:hint="default"/>
                <w:vertAlign w:val="baseline"/>
                <w:lang w:val="en-US" w:eastAsia="zh-CN"/>
              </w:rPr>
            </w:pPr>
            <w:r>
              <w:rPr>
                <w:rFonts w:hint="eastAsia"/>
                <w:vertAlign w:val="baseline"/>
                <w:lang w:val="en-US" w:eastAsia="zh-CN"/>
              </w:rPr>
              <w:t>2</w:t>
            </w:r>
          </w:p>
        </w:tc>
        <w:tc>
          <w:tcPr>
            <w:tcW w:w="1335" w:type="dxa"/>
            <w:noWrap w:val="0"/>
            <w:vAlign w:val="top"/>
          </w:tcPr>
          <w:p>
            <w:pPr>
              <w:pStyle w:val="38"/>
              <w:ind w:left="0" w:leftChars="0" w:firstLine="0" w:firstLineChars="0"/>
              <w:jc w:val="center"/>
              <w:rPr>
                <w:rFonts w:hint="default"/>
                <w:vertAlign w:val="baseline"/>
                <w:lang w:val="en-US" w:eastAsia="zh-CN"/>
              </w:rPr>
            </w:pPr>
            <w:r>
              <w:rPr>
                <w:rFonts w:hint="eastAsia" w:ascii="宋体" w:hAnsi="宋体" w:eastAsia="宋体" w:cs="宋体"/>
                <w:b w:val="0"/>
                <w:bCs/>
                <w:kern w:val="44"/>
                <w:sz w:val="24"/>
                <w:szCs w:val="24"/>
              </w:rPr>
              <w:t>梁</w:t>
            </w:r>
          </w:p>
        </w:tc>
        <w:tc>
          <w:tcPr>
            <w:tcW w:w="2068" w:type="dxa"/>
            <w:noWrap w:val="0"/>
            <w:vAlign w:val="top"/>
          </w:tcPr>
          <w:p>
            <w:pPr>
              <w:pStyle w:val="38"/>
              <w:jc w:val="center"/>
              <w:rPr>
                <w:rFonts w:hint="default" w:eastAsia="宋体" w:cs="Times New Roman"/>
                <w:vertAlign w:val="baseline"/>
                <w:lang w:val="en-US" w:eastAsia="zh-CN"/>
              </w:rPr>
            </w:pPr>
            <w:r>
              <w:rPr>
                <w:rFonts w:hint="eastAsia" w:eastAsia="宋体" w:cs="Times New Roman"/>
                <w:vertAlign w:val="baseline"/>
                <w:lang w:val="en-US" w:eastAsia="zh-CN"/>
              </w:rPr>
              <w:t>80*180*4000mm（双道）</w:t>
            </w:r>
          </w:p>
        </w:tc>
        <w:tc>
          <w:tcPr>
            <w:tcW w:w="956" w:type="dxa"/>
            <w:noWrap w:val="0"/>
            <w:vAlign w:val="top"/>
          </w:tcPr>
          <w:p>
            <w:pPr>
              <w:pStyle w:val="38"/>
              <w:jc w:val="center"/>
              <w:rPr>
                <w:rFonts w:hint="default"/>
                <w:vertAlign w:val="baseline"/>
                <w:lang w:val="en-US" w:eastAsia="zh-CN"/>
              </w:rPr>
            </w:pPr>
            <w:r>
              <w:rPr>
                <w:rFonts w:hint="eastAsia"/>
                <w:vertAlign w:val="baseline"/>
                <w:lang w:val="en-US" w:eastAsia="zh-CN"/>
              </w:rPr>
              <w:t>mm</w:t>
            </w:r>
          </w:p>
        </w:tc>
        <w:tc>
          <w:tcPr>
            <w:tcW w:w="882" w:type="dxa"/>
            <w:noWrap w:val="0"/>
            <w:vAlign w:val="top"/>
          </w:tcPr>
          <w:p>
            <w:pPr>
              <w:pStyle w:val="38"/>
              <w:jc w:val="center"/>
              <w:rPr>
                <w:rFonts w:hint="default"/>
                <w:vertAlign w:val="baseline"/>
                <w:lang w:val="en-US" w:eastAsia="zh-CN"/>
              </w:rPr>
            </w:pPr>
          </w:p>
        </w:tc>
        <w:tc>
          <w:tcPr>
            <w:tcW w:w="996"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87" w:type="dxa"/>
            <w:noWrap w:val="0"/>
            <w:vAlign w:val="top"/>
          </w:tcPr>
          <w:p>
            <w:pPr>
              <w:pStyle w:val="38"/>
              <w:jc w:val="center"/>
              <w:rPr>
                <w:rFonts w:hint="default"/>
                <w:vertAlign w:val="baseline"/>
                <w:lang w:val="en-US" w:eastAsia="zh-CN"/>
              </w:rPr>
            </w:pPr>
            <w:r>
              <w:rPr>
                <w:rFonts w:hint="eastAsia"/>
                <w:vertAlign w:val="baseline"/>
                <w:lang w:val="en-US" w:eastAsia="zh-CN"/>
              </w:rPr>
              <w:t>3</w:t>
            </w:r>
          </w:p>
        </w:tc>
        <w:tc>
          <w:tcPr>
            <w:tcW w:w="1335" w:type="dxa"/>
            <w:noWrap w:val="0"/>
            <w:vAlign w:val="top"/>
          </w:tcPr>
          <w:p>
            <w:pPr>
              <w:pStyle w:val="38"/>
              <w:ind w:left="0" w:leftChars="0" w:firstLine="0" w:firstLineChars="0"/>
              <w:jc w:val="center"/>
              <w:rPr>
                <w:rFonts w:hint="default"/>
                <w:vertAlign w:val="baseline"/>
                <w:lang w:val="en-US" w:eastAsia="zh-CN"/>
              </w:rPr>
            </w:pPr>
            <w:r>
              <w:rPr>
                <w:rFonts w:hint="eastAsia" w:ascii="宋体" w:hAnsi="宋体" w:eastAsia="宋体" w:cs="宋体"/>
                <w:b w:val="0"/>
                <w:bCs/>
                <w:kern w:val="44"/>
                <w:sz w:val="24"/>
                <w:szCs w:val="24"/>
              </w:rPr>
              <w:t>脊梁</w:t>
            </w:r>
          </w:p>
        </w:tc>
        <w:tc>
          <w:tcPr>
            <w:tcW w:w="2068" w:type="dxa"/>
            <w:noWrap w:val="0"/>
            <w:vAlign w:val="top"/>
          </w:tcPr>
          <w:p>
            <w:pPr>
              <w:pStyle w:val="38"/>
              <w:jc w:val="center"/>
              <w:rPr>
                <w:rFonts w:hint="default" w:eastAsia="宋体" w:cs="Times New Roman"/>
                <w:vertAlign w:val="baseline"/>
                <w:lang w:val="en-US" w:eastAsia="zh-CN"/>
              </w:rPr>
            </w:pPr>
            <w:r>
              <w:rPr>
                <w:rFonts w:hint="eastAsia" w:eastAsia="宋体" w:cs="Times New Roman"/>
                <w:vertAlign w:val="baseline"/>
                <w:lang w:val="en-US" w:eastAsia="zh-CN"/>
              </w:rPr>
              <w:t>62*130*4000mm</w:t>
            </w:r>
          </w:p>
        </w:tc>
        <w:tc>
          <w:tcPr>
            <w:tcW w:w="956" w:type="dxa"/>
            <w:noWrap w:val="0"/>
            <w:vAlign w:val="top"/>
          </w:tcPr>
          <w:p>
            <w:pPr>
              <w:pStyle w:val="38"/>
              <w:jc w:val="center"/>
              <w:rPr>
                <w:rFonts w:hint="default"/>
                <w:vertAlign w:val="baseline"/>
                <w:lang w:val="en-US" w:eastAsia="zh-CN"/>
              </w:rPr>
            </w:pPr>
            <w:r>
              <w:rPr>
                <w:rFonts w:hint="eastAsia"/>
                <w:vertAlign w:val="baseline"/>
                <w:lang w:val="en-US" w:eastAsia="zh-CN"/>
              </w:rPr>
              <w:t>mm</w:t>
            </w:r>
          </w:p>
        </w:tc>
        <w:tc>
          <w:tcPr>
            <w:tcW w:w="882" w:type="dxa"/>
            <w:noWrap w:val="0"/>
            <w:vAlign w:val="top"/>
          </w:tcPr>
          <w:p>
            <w:pPr>
              <w:pStyle w:val="38"/>
              <w:jc w:val="center"/>
              <w:rPr>
                <w:rFonts w:hint="default"/>
                <w:vertAlign w:val="baseline"/>
                <w:lang w:val="en-US" w:eastAsia="zh-CN"/>
              </w:rPr>
            </w:pPr>
          </w:p>
        </w:tc>
        <w:tc>
          <w:tcPr>
            <w:tcW w:w="996"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87" w:type="dxa"/>
            <w:noWrap w:val="0"/>
            <w:vAlign w:val="top"/>
          </w:tcPr>
          <w:p>
            <w:pPr>
              <w:pStyle w:val="38"/>
              <w:jc w:val="center"/>
              <w:rPr>
                <w:rFonts w:hint="default"/>
                <w:vertAlign w:val="baseline"/>
                <w:lang w:val="en-US" w:eastAsia="zh-CN"/>
              </w:rPr>
            </w:pPr>
            <w:r>
              <w:rPr>
                <w:rFonts w:hint="eastAsia"/>
                <w:vertAlign w:val="baseline"/>
                <w:lang w:val="en-US" w:eastAsia="zh-CN"/>
              </w:rPr>
              <w:t>4</w:t>
            </w:r>
          </w:p>
        </w:tc>
        <w:tc>
          <w:tcPr>
            <w:tcW w:w="1335" w:type="dxa"/>
            <w:noWrap w:val="0"/>
            <w:vAlign w:val="top"/>
          </w:tcPr>
          <w:p>
            <w:pPr>
              <w:pStyle w:val="38"/>
              <w:ind w:left="0" w:leftChars="0" w:firstLine="0" w:firstLineChars="0"/>
              <w:jc w:val="center"/>
              <w:rPr>
                <w:rFonts w:hint="default"/>
                <w:vertAlign w:val="baseline"/>
                <w:lang w:val="en-US" w:eastAsia="zh-CN"/>
              </w:rPr>
            </w:pPr>
            <w:r>
              <w:rPr>
                <w:rFonts w:hint="eastAsia" w:ascii="宋体" w:hAnsi="宋体" w:eastAsia="宋体" w:cs="宋体"/>
                <w:b w:val="0"/>
                <w:bCs/>
                <w:kern w:val="44"/>
                <w:sz w:val="24"/>
                <w:szCs w:val="24"/>
              </w:rPr>
              <w:t>龙骨</w:t>
            </w:r>
          </w:p>
        </w:tc>
        <w:tc>
          <w:tcPr>
            <w:tcW w:w="2068" w:type="dxa"/>
            <w:noWrap w:val="0"/>
            <w:vAlign w:val="top"/>
          </w:tcPr>
          <w:p>
            <w:pPr>
              <w:pStyle w:val="38"/>
              <w:jc w:val="center"/>
              <w:rPr>
                <w:rFonts w:hint="default" w:eastAsia="宋体" w:cs="Times New Roman"/>
                <w:vertAlign w:val="baseline"/>
                <w:lang w:val="en-US" w:eastAsia="zh-CN"/>
              </w:rPr>
            </w:pPr>
            <w:r>
              <w:rPr>
                <w:rFonts w:hint="eastAsia" w:eastAsia="宋体" w:cs="Times New Roman"/>
                <w:vertAlign w:val="baseline"/>
                <w:lang w:val="en-US" w:eastAsia="zh-CN"/>
              </w:rPr>
              <w:t>42*102*3000mm（间距600mm）</w:t>
            </w:r>
          </w:p>
        </w:tc>
        <w:tc>
          <w:tcPr>
            <w:tcW w:w="956" w:type="dxa"/>
            <w:noWrap w:val="0"/>
            <w:vAlign w:val="top"/>
          </w:tcPr>
          <w:p>
            <w:pPr>
              <w:pStyle w:val="38"/>
              <w:jc w:val="center"/>
              <w:rPr>
                <w:rFonts w:hint="default"/>
                <w:vertAlign w:val="baseline"/>
                <w:lang w:val="en-US" w:eastAsia="zh-CN"/>
              </w:rPr>
            </w:pPr>
            <w:r>
              <w:rPr>
                <w:rFonts w:hint="eastAsia"/>
                <w:vertAlign w:val="baseline"/>
                <w:lang w:val="en-US" w:eastAsia="zh-CN"/>
              </w:rPr>
              <w:t>mm</w:t>
            </w:r>
          </w:p>
        </w:tc>
        <w:tc>
          <w:tcPr>
            <w:tcW w:w="882" w:type="dxa"/>
            <w:noWrap w:val="0"/>
            <w:vAlign w:val="top"/>
          </w:tcPr>
          <w:p>
            <w:pPr>
              <w:pStyle w:val="38"/>
              <w:jc w:val="center"/>
              <w:rPr>
                <w:rFonts w:hint="default"/>
                <w:vertAlign w:val="baseline"/>
                <w:lang w:val="en-US" w:eastAsia="zh-CN"/>
              </w:rPr>
            </w:pPr>
          </w:p>
        </w:tc>
        <w:tc>
          <w:tcPr>
            <w:tcW w:w="996"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87" w:type="dxa"/>
            <w:noWrap w:val="0"/>
            <w:vAlign w:val="top"/>
          </w:tcPr>
          <w:p>
            <w:pPr>
              <w:pStyle w:val="38"/>
              <w:jc w:val="center"/>
              <w:rPr>
                <w:rFonts w:hint="default"/>
                <w:vertAlign w:val="baseline"/>
                <w:lang w:val="en-US" w:eastAsia="zh-CN"/>
              </w:rPr>
            </w:pPr>
            <w:r>
              <w:rPr>
                <w:rFonts w:hint="eastAsia"/>
                <w:vertAlign w:val="baseline"/>
                <w:lang w:val="en-US" w:eastAsia="zh-CN"/>
              </w:rPr>
              <w:t>5</w:t>
            </w:r>
          </w:p>
        </w:tc>
        <w:tc>
          <w:tcPr>
            <w:tcW w:w="1335" w:type="dxa"/>
            <w:noWrap w:val="0"/>
            <w:vAlign w:val="top"/>
          </w:tcPr>
          <w:p>
            <w:pPr>
              <w:pStyle w:val="38"/>
              <w:ind w:left="0" w:leftChars="0" w:firstLine="0" w:firstLineChars="0"/>
              <w:jc w:val="center"/>
              <w:rPr>
                <w:rFonts w:hint="default"/>
                <w:vertAlign w:val="baseline"/>
                <w:lang w:val="en-US" w:eastAsia="zh-CN"/>
              </w:rPr>
            </w:pPr>
            <w:r>
              <w:rPr>
                <w:rFonts w:hint="eastAsia" w:ascii="宋体" w:hAnsi="宋体" w:eastAsia="宋体" w:cs="宋体"/>
                <w:b w:val="0"/>
                <w:bCs/>
                <w:kern w:val="44"/>
                <w:sz w:val="24"/>
                <w:szCs w:val="24"/>
              </w:rPr>
              <w:t>廊屋面底板</w:t>
            </w:r>
          </w:p>
        </w:tc>
        <w:tc>
          <w:tcPr>
            <w:tcW w:w="2068" w:type="dxa"/>
            <w:noWrap w:val="0"/>
            <w:vAlign w:val="top"/>
          </w:tcPr>
          <w:p>
            <w:pPr>
              <w:pStyle w:val="38"/>
              <w:jc w:val="center"/>
              <w:rPr>
                <w:rFonts w:hint="default" w:eastAsia="宋体" w:cs="Times New Roman"/>
                <w:vertAlign w:val="baseline"/>
                <w:lang w:val="en-US" w:eastAsia="zh-CN"/>
              </w:rPr>
            </w:pPr>
            <w:r>
              <w:rPr>
                <w:rFonts w:hint="eastAsia" w:eastAsia="宋体" w:cs="Times New Roman"/>
                <w:vertAlign w:val="baseline"/>
                <w:lang w:val="en-US" w:eastAsia="zh-CN"/>
              </w:rPr>
              <w:t>10*134*4000mm（平铺）</w:t>
            </w:r>
          </w:p>
        </w:tc>
        <w:tc>
          <w:tcPr>
            <w:tcW w:w="956" w:type="dxa"/>
            <w:noWrap w:val="0"/>
            <w:vAlign w:val="top"/>
          </w:tcPr>
          <w:p>
            <w:pPr>
              <w:pStyle w:val="38"/>
              <w:jc w:val="center"/>
              <w:rPr>
                <w:rFonts w:hint="default"/>
                <w:vertAlign w:val="baseline"/>
                <w:lang w:val="en-US" w:eastAsia="zh-CN"/>
              </w:rPr>
            </w:pPr>
            <w:r>
              <w:rPr>
                <w:rFonts w:hint="eastAsia"/>
                <w:vertAlign w:val="baseline"/>
                <w:lang w:val="en-US" w:eastAsia="zh-CN"/>
              </w:rPr>
              <w:t>mm</w:t>
            </w:r>
          </w:p>
        </w:tc>
        <w:tc>
          <w:tcPr>
            <w:tcW w:w="882" w:type="dxa"/>
            <w:noWrap w:val="0"/>
            <w:vAlign w:val="top"/>
          </w:tcPr>
          <w:p>
            <w:pPr>
              <w:pStyle w:val="38"/>
              <w:jc w:val="center"/>
              <w:rPr>
                <w:rFonts w:hint="default"/>
                <w:vertAlign w:val="baseline"/>
                <w:lang w:val="en-US" w:eastAsia="zh-CN"/>
              </w:rPr>
            </w:pPr>
          </w:p>
        </w:tc>
        <w:tc>
          <w:tcPr>
            <w:tcW w:w="996"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87" w:type="dxa"/>
            <w:noWrap w:val="0"/>
            <w:vAlign w:val="top"/>
          </w:tcPr>
          <w:p>
            <w:pPr>
              <w:pStyle w:val="38"/>
              <w:jc w:val="center"/>
              <w:rPr>
                <w:rFonts w:hint="default"/>
                <w:vertAlign w:val="baseline"/>
                <w:lang w:val="en-US" w:eastAsia="zh-CN"/>
              </w:rPr>
            </w:pPr>
            <w:r>
              <w:rPr>
                <w:rFonts w:hint="eastAsia"/>
                <w:vertAlign w:val="baseline"/>
                <w:lang w:val="en-US" w:eastAsia="zh-CN"/>
              </w:rPr>
              <w:t>6</w:t>
            </w:r>
          </w:p>
        </w:tc>
        <w:tc>
          <w:tcPr>
            <w:tcW w:w="1335" w:type="dxa"/>
            <w:noWrap w:val="0"/>
            <w:vAlign w:val="top"/>
          </w:tcPr>
          <w:p>
            <w:pPr>
              <w:pStyle w:val="38"/>
              <w:ind w:left="0" w:leftChars="0" w:firstLine="0" w:firstLineChars="0"/>
              <w:jc w:val="center"/>
              <w:rPr>
                <w:rFonts w:hint="default"/>
                <w:vertAlign w:val="baseline"/>
                <w:lang w:val="en-US" w:eastAsia="zh-CN"/>
              </w:rPr>
            </w:pPr>
            <w:r>
              <w:rPr>
                <w:rFonts w:hint="eastAsia" w:ascii="宋体" w:hAnsi="宋体" w:eastAsia="宋体" w:cs="宋体"/>
                <w:b w:val="0"/>
                <w:bCs/>
                <w:kern w:val="44"/>
                <w:sz w:val="24"/>
                <w:szCs w:val="24"/>
              </w:rPr>
              <w:t>廊屋面装饰板</w:t>
            </w:r>
          </w:p>
        </w:tc>
        <w:tc>
          <w:tcPr>
            <w:tcW w:w="2068" w:type="dxa"/>
            <w:noWrap w:val="0"/>
            <w:vAlign w:val="top"/>
          </w:tcPr>
          <w:p>
            <w:pPr>
              <w:pStyle w:val="38"/>
              <w:jc w:val="center"/>
              <w:rPr>
                <w:rFonts w:hint="default" w:eastAsia="宋体" w:cs="Times New Roman"/>
                <w:vertAlign w:val="baseline"/>
                <w:lang w:val="en-US" w:eastAsia="zh-CN"/>
              </w:rPr>
            </w:pPr>
            <w:r>
              <w:rPr>
                <w:rFonts w:hint="eastAsia" w:eastAsia="宋体" w:cs="Times New Roman"/>
                <w:vertAlign w:val="baseline"/>
                <w:lang w:val="en-US" w:eastAsia="zh-CN"/>
              </w:rPr>
              <w:t>20厚树脂灰瓦（树脂正脊，树脂滴水）</w:t>
            </w:r>
          </w:p>
        </w:tc>
        <w:tc>
          <w:tcPr>
            <w:tcW w:w="956" w:type="dxa"/>
            <w:noWrap w:val="0"/>
            <w:vAlign w:val="top"/>
          </w:tcPr>
          <w:p>
            <w:pPr>
              <w:pStyle w:val="38"/>
              <w:jc w:val="center"/>
              <w:rPr>
                <w:rFonts w:hint="default"/>
                <w:vertAlign w:val="baseline"/>
                <w:lang w:val="en-US" w:eastAsia="zh-CN"/>
              </w:rPr>
            </w:pPr>
          </w:p>
        </w:tc>
        <w:tc>
          <w:tcPr>
            <w:tcW w:w="882" w:type="dxa"/>
            <w:noWrap w:val="0"/>
            <w:vAlign w:val="top"/>
          </w:tcPr>
          <w:p>
            <w:pPr>
              <w:pStyle w:val="38"/>
              <w:jc w:val="center"/>
              <w:rPr>
                <w:rFonts w:hint="default"/>
                <w:vertAlign w:val="baseline"/>
                <w:lang w:val="en-US" w:eastAsia="zh-CN"/>
              </w:rPr>
            </w:pPr>
          </w:p>
        </w:tc>
        <w:tc>
          <w:tcPr>
            <w:tcW w:w="996"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7" w:type="dxa"/>
            <w:noWrap w:val="0"/>
            <w:vAlign w:val="top"/>
          </w:tcPr>
          <w:p>
            <w:pPr>
              <w:pStyle w:val="38"/>
              <w:jc w:val="center"/>
              <w:rPr>
                <w:rFonts w:hint="default"/>
                <w:vertAlign w:val="baseline"/>
                <w:lang w:val="en-US" w:eastAsia="zh-CN"/>
              </w:rPr>
            </w:pPr>
            <w:r>
              <w:rPr>
                <w:rFonts w:hint="eastAsia"/>
                <w:vertAlign w:val="baseline"/>
                <w:lang w:val="en-US" w:eastAsia="zh-CN"/>
              </w:rPr>
              <w:t>7</w:t>
            </w:r>
          </w:p>
        </w:tc>
        <w:tc>
          <w:tcPr>
            <w:tcW w:w="1335" w:type="dxa"/>
            <w:noWrap w:val="0"/>
            <w:vAlign w:val="top"/>
          </w:tcPr>
          <w:p>
            <w:pPr>
              <w:pStyle w:val="38"/>
              <w:ind w:left="0" w:leftChars="0" w:firstLine="0" w:firstLineChars="0"/>
              <w:jc w:val="center"/>
              <w:rPr>
                <w:rFonts w:hint="default"/>
                <w:vertAlign w:val="baseline"/>
                <w:lang w:val="en-US" w:eastAsia="zh-CN"/>
              </w:rPr>
            </w:pPr>
            <w:r>
              <w:rPr>
                <w:rFonts w:hint="eastAsia" w:ascii="宋体" w:hAnsi="宋体" w:eastAsia="宋体" w:cs="宋体"/>
                <w:b w:val="0"/>
                <w:kern w:val="44"/>
                <w:sz w:val="24"/>
                <w:szCs w:val="24"/>
              </w:rPr>
              <w:t>侧面彩绘版</w:t>
            </w:r>
          </w:p>
        </w:tc>
        <w:tc>
          <w:tcPr>
            <w:tcW w:w="2068" w:type="dxa"/>
            <w:noWrap w:val="0"/>
            <w:vAlign w:val="top"/>
          </w:tcPr>
          <w:p>
            <w:pPr>
              <w:pStyle w:val="38"/>
              <w:jc w:val="center"/>
              <w:rPr>
                <w:rFonts w:hint="default" w:eastAsia="宋体" w:cs="Times New Roman"/>
                <w:vertAlign w:val="baseline"/>
                <w:lang w:val="en-US" w:eastAsia="zh-CN"/>
              </w:rPr>
            </w:pPr>
            <w:r>
              <w:rPr>
                <w:rFonts w:hint="eastAsia" w:eastAsia="宋体" w:cs="Times New Roman"/>
                <w:vertAlign w:val="baseline"/>
                <w:lang w:val="en-US" w:eastAsia="zh-CN"/>
              </w:rPr>
              <w:t>樟子松大板：15*290*3500mm双道，表面彩绘</w:t>
            </w:r>
          </w:p>
        </w:tc>
        <w:tc>
          <w:tcPr>
            <w:tcW w:w="956" w:type="dxa"/>
            <w:noWrap w:val="0"/>
            <w:vAlign w:val="top"/>
          </w:tcPr>
          <w:p>
            <w:pPr>
              <w:pStyle w:val="38"/>
              <w:jc w:val="center"/>
              <w:rPr>
                <w:rFonts w:hint="default"/>
                <w:vertAlign w:val="baseline"/>
                <w:lang w:val="en-US" w:eastAsia="zh-CN"/>
              </w:rPr>
            </w:pPr>
            <w:r>
              <w:rPr>
                <w:rFonts w:hint="eastAsia"/>
                <w:vertAlign w:val="baseline"/>
                <w:lang w:val="en-US" w:eastAsia="zh-CN"/>
              </w:rPr>
              <w:t>mm</w:t>
            </w:r>
          </w:p>
        </w:tc>
        <w:tc>
          <w:tcPr>
            <w:tcW w:w="882" w:type="dxa"/>
            <w:noWrap w:val="0"/>
            <w:vAlign w:val="top"/>
          </w:tcPr>
          <w:p>
            <w:pPr>
              <w:pStyle w:val="38"/>
              <w:jc w:val="center"/>
              <w:rPr>
                <w:rFonts w:hint="default"/>
                <w:vertAlign w:val="baseline"/>
                <w:lang w:val="en-US" w:eastAsia="zh-CN"/>
              </w:rPr>
            </w:pPr>
          </w:p>
        </w:tc>
        <w:tc>
          <w:tcPr>
            <w:tcW w:w="996"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7" w:type="dxa"/>
            <w:noWrap w:val="0"/>
            <w:vAlign w:val="top"/>
          </w:tcPr>
          <w:p>
            <w:pPr>
              <w:pStyle w:val="38"/>
              <w:jc w:val="center"/>
              <w:rPr>
                <w:rFonts w:hint="default"/>
                <w:vertAlign w:val="baseline"/>
                <w:lang w:val="en-US" w:eastAsia="zh-CN"/>
              </w:rPr>
            </w:pPr>
            <w:r>
              <w:rPr>
                <w:rFonts w:hint="eastAsia"/>
                <w:vertAlign w:val="baseline"/>
                <w:lang w:val="en-US" w:eastAsia="zh-CN"/>
              </w:rPr>
              <w:t>8</w:t>
            </w:r>
          </w:p>
        </w:tc>
        <w:tc>
          <w:tcPr>
            <w:tcW w:w="1335" w:type="dxa"/>
            <w:noWrap w:val="0"/>
            <w:vAlign w:val="top"/>
          </w:tcPr>
          <w:p>
            <w:pPr>
              <w:pStyle w:val="38"/>
              <w:ind w:left="0" w:leftChars="0" w:firstLine="0" w:firstLineChars="0"/>
              <w:jc w:val="center"/>
              <w:rPr>
                <w:rFonts w:hint="eastAsia" w:ascii="宋体" w:hAnsi="宋体" w:eastAsia="宋体" w:cs="宋体"/>
                <w:b w:val="0"/>
                <w:kern w:val="44"/>
                <w:sz w:val="24"/>
                <w:szCs w:val="24"/>
              </w:rPr>
            </w:pPr>
            <w:r>
              <w:rPr>
                <w:rFonts w:hint="eastAsia" w:ascii="宋体" w:hAnsi="宋体" w:eastAsia="宋体" w:cs="宋体"/>
                <w:b w:val="0"/>
                <w:kern w:val="44"/>
                <w:sz w:val="24"/>
                <w:szCs w:val="24"/>
              </w:rPr>
              <w:t>花格料</w:t>
            </w:r>
          </w:p>
        </w:tc>
        <w:tc>
          <w:tcPr>
            <w:tcW w:w="2068" w:type="dxa"/>
            <w:noWrap w:val="0"/>
            <w:vAlign w:val="top"/>
          </w:tcPr>
          <w:p>
            <w:pPr>
              <w:pStyle w:val="38"/>
              <w:jc w:val="center"/>
              <w:rPr>
                <w:rFonts w:hint="default" w:eastAsia="宋体" w:cs="Times New Roman"/>
                <w:vertAlign w:val="baseline"/>
                <w:lang w:val="en-US" w:eastAsia="zh-CN"/>
              </w:rPr>
            </w:pPr>
            <w:r>
              <w:rPr>
                <w:rFonts w:hint="eastAsia" w:eastAsia="宋体" w:cs="Times New Roman"/>
                <w:vertAlign w:val="baseline"/>
                <w:lang w:val="en-US" w:eastAsia="zh-CN"/>
              </w:rPr>
              <w:t>主料采用83*83*3000mm（6根一档），辅料采用30*82*4000mm</w:t>
            </w:r>
          </w:p>
        </w:tc>
        <w:tc>
          <w:tcPr>
            <w:tcW w:w="956" w:type="dxa"/>
            <w:noWrap w:val="0"/>
            <w:vAlign w:val="top"/>
          </w:tcPr>
          <w:p>
            <w:pPr>
              <w:pStyle w:val="38"/>
              <w:jc w:val="center"/>
              <w:rPr>
                <w:rFonts w:hint="default"/>
                <w:vertAlign w:val="baseline"/>
                <w:lang w:val="en-US" w:eastAsia="zh-CN"/>
              </w:rPr>
            </w:pPr>
            <w:r>
              <w:rPr>
                <w:rFonts w:hint="eastAsia"/>
                <w:vertAlign w:val="baseline"/>
                <w:lang w:val="en-US" w:eastAsia="zh-CN"/>
              </w:rPr>
              <w:t>mm</w:t>
            </w:r>
          </w:p>
        </w:tc>
        <w:tc>
          <w:tcPr>
            <w:tcW w:w="882" w:type="dxa"/>
            <w:noWrap w:val="0"/>
            <w:vAlign w:val="top"/>
          </w:tcPr>
          <w:p>
            <w:pPr>
              <w:pStyle w:val="38"/>
              <w:jc w:val="center"/>
              <w:rPr>
                <w:rFonts w:hint="default"/>
                <w:vertAlign w:val="baseline"/>
                <w:lang w:val="en-US" w:eastAsia="zh-CN"/>
              </w:rPr>
            </w:pPr>
          </w:p>
        </w:tc>
        <w:tc>
          <w:tcPr>
            <w:tcW w:w="996"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7" w:type="dxa"/>
            <w:noWrap w:val="0"/>
            <w:vAlign w:val="top"/>
          </w:tcPr>
          <w:p>
            <w:pPr>
              <w:pStyle w:val="38"/>
              <w:jc w:val="center"/>
              <w:rPr>
                <w:rFonts w:hint="default"/>
                <w:vertAlign w:val="baseline"/>
                <w:lang w:val="en-US" w:eastAsia="zh-CN"/>
              </w:rPr>
            </w:pPr>
            <w:r>
              <w:rPr>
                <w:rFonts w:hint="eastAsia"/>
                <w:vertAlign w:val="baseline"/>
                <w:lang w:val="en-US" w:eastAsia="zh-CN"/>
              </w:rPr>
              <w:t>9</w:t>
            </w:r>
          </w:p>
        </w:tc>
        <w:tc>
          <w:tcPr>
            <w:tcW w:w="1335" w:type="dxa"/>
            <w:noWrap w:val="0"/>
            <w:vAlign w:val="top"/>
          </w:tcPr>
          <w:p>
            <w:pPr>
              <w:pStyle w:val="38"/>
              <w:ind w:left="0" w:leftChars="0" w:firstLine="0" w:firstLineChars="0"/>
              <w:jc w:val="center"/>
              <w:rPr>
                <w:rFonts w:hint="eastAsia" w:ascii="宋体" w:hAnsi="宋体" w:eastAsia="宋体" w:cs="宋体"/>
                <w:b w:val="0"/>
                <w:kern w:val="44"/>
                <w:sz w:val="24"/>
                <w:szCs w:val="24"/>
              </w:rPr>
            </w:pPr>
            <w:r>
              <w:rPr>
                <w:rFonts w:hint="eastAsia" w:ascii="宋体" w:hAnsi="宋体" w:eastAsia="宋体" w:cs="宋体"/>
                <w:b/>
                <w:bCs w:val="0"/>
                <w:kern w:val="44"/>
                <w:sz w:val="24"/>
                <w:szCs w:val="24"/>
                <w:highlight w:val="none"/>
              </w:rPr>
              <w:t>栏杆扶手</w:t>
            </w:r>
          </w:p>
        </w:tc>
        <w:tc>
          <w:tcPr>
            <w:tcW w:w="2068" w:type="dxa"/>
            <w:noWrap w:val="0"/>
            <w:vAlign w:val="top"/>
          </w:tcPr>
          <w:p>
            <w:pPr>
              <w:pStyle w:val="38"/>
              <w:jc w:val="center"/>
              <w:rPr>
                <w:rFonts w:hint="default"/>
                <w:vertAlign w:val="baseline"/>
                <w:lang w:val="en-US" w:eastAsia="zh-CN"/>
              </w:rPr>
            </w:pPr>
            <w:r>
              <w:rPr>
                <w:rFonts w:hint="default"/>
                <w:vertAlign w:val="baseline"/>
                <w:lang w:val="en-US" w:eastAsia="zh-CN"/>
              </w:rPr>
              <w:t>扶手为不锈钢材质.高度为1.1米</w:t>
            </w:r>
          </w:p>
          <w:p>
            <w:pPr>
              <w:pStyle w:val="38"/>
              <w:jc w:val="center"/>
              <w:rPr>
                <w:rFonts w:hint="default"/>
                <w:vertAlign w:val="baseline"/>
                <w:lang w:val="en-US" w:eastAsia="zh-CN"/>
              </w:rPr>
            </w:pPr>
          </w:p>
        </w:tc>
        <w:tc>
          <w:tcPr>
            <w:tcW w:w="956" w:type="dxa"/>
            <w:noWrap w:val="0"/>
            <w:vAlign w:val="top"/>
          </w:tcPr>
          <w:p>
            <w:pPr>
              <w:pStyle w:val="38"/>
              <w:jc w:val="center"/>
              <w:rPr>
                <w:rFonts w:hint="default"/>
                <w:vertAlign w:val="baseline"/>
                <w:lang w:val="en-US" w:eastAsia="zh-CN"/>
              </w:rPr>
            </w:pPr>
            <w:r>
              <w:rPr>
                <w:rFonts w:hint="eastAsia"/>
                <w:vertAlign w:val="baseline"/>
                <w:lang w:val="en-US" w:eastAsia="zh-CN"/>
              </w:rPr>
              <w:t>米</w:t>
            </w:r>
          </w:p>
        </w:tc>
        <w:tc>
          <w:tcPr>
            <w:tcW w:w="882" w:type="dxa"/>
            <w:noWrap w:val="0"/>
            <w:vAlign w:val="top"/>
          </w:tcPr>
          <w:p>
            <w:pPr>
              <w:pStyle w:val="38"/>
              <w:jc w:val="center"/>
              <w:rPr>
                <w:rFonts w:hint="default"/>
                <w:vertAlign w:val="baseline"/>
                <w:lang w:val="en-US" w:eastAsia="zh-CN"/>
              </w:rPr>
            </w:pPr>
          </w:p>
        </w:tc>
        <w:tc>
          <w:tcPr>
            <w:tcW w:w="996"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c>
          <w:tcPr>
            <w:tcW w:w="1062" w:type="dxa"/>
            <w:noWrap w:val="0"/>
            <w:vAlign w:val="top"/>
          </w:tcPr>
          <w:p>
            <w:pPr>
              <w:pStyle w:val="38"/>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87" w:type="dxa"/>
            <w:noWrap w:val="0"/>
            <w:vAlign w:val="center"/>
          </w:tcPr>
          <w:p>
            <w:pPr>
              <w:pStyle w:val="38"/>
              <w:ind w:left="0" w:leftChars="0" w:firstLine="0" w:firstLineChars="0"/>
              <w:jc w:val="center"/>
              <w:rPr>
                <w:rFonts w:hint="default"/>
                <w:vertAlign w:val="baseline"/>
                <w:lang w:val="en-US" w:eastAsia="zh-CN"/>
              </w:rPr>
            </w:pPr>
            <w:r>
              <w:rPr>
                <w:rFonts w:hint="eastAsia"/>
                <w:vertAlign w:val="baseline"/>
                <w:lang w:val="en-US" w:eastAsia="zh-CN"/>
              </w:rPr>
              <w:t>合计</w:t>
            </w:r>
          </w:p>
        </w:tc>
        <w:tc>
          <w:tcPr>
            <w:tcW w:w="8361" w:type="dxa"/>
            <w:gridSpan w:val="7"/>
            <w:noWrap w:val="0"/>
            <w:vAlign w:val="top"/>
          </w:tcPr>
          <w:p>
            <w:pPr>
              <w:pStyle w:val="38"/>
              <w:ind w:left="0" w:leftChars="0" w:firstLine="0" w:firstLineChars="0"/>
              <w:jc w:val="left"/>
              <w:rPr>
                <w:rFonts w:hint="eastAsia"/>
                <w:vertAlign w:val="baseline"/>
                <w:lang w:val="en-US" w:eastAsia="zh-CN"/>
              </w:rPr>
            </w:pPr>
            <w:r>
              <w:rPr>
                <w:rFonts w:hint="eastAsia"/>
                <w:vertAlign w:val="baseline"/>
                <w:lang w:val="en-US" w:eastAsia="zh-CN"/>
              </w:rPr>
              <w:t>小写：</w:t>
            </w:r>
          </w:p>
          <w:p>
            <w:pPr>
              <w:pStyle w:val="38"/>
              <w:ind w:left="0" w:leftChars="0" w:firstLine="0" w:firstLineChars="0"/>
              <w:jc w:val="left"/>
              <w:rPr>
                <w:rFonts w:hint="default"/>
                <w:u w:val="single"/>
                <w:vertAlign w:val="baseline"/>
                <w:lang w:val="en-US" w:eastAsia="zh-CN"/>
              </w:rPr>
            </w:pPr>
            <w:r>
              <w:rPr>
                <w:rFonts w:hint="eastAsia"/>
                <w:vertAlign w:val="baseline"/>
                <w:lang w:val="en-US" w:eastAsia="zh-CN"/>
              </w:rPr>
              <w:t>大写：</w:t>
            </w:r>
          </w:p>
        </w:tc>
      </w:tr>
    </w:tbl>
    <w:p>
      <w:pPr>
        <w:ind w:firstLine="480" w:firstLineChars="200"/>
        <w:rPr>
          <w:rFonts w:ascii="仿宋" w:hAnsi="仿宋" w:eastAsia="仿宋" w:cs="仿宋"/>
          <w:b w:val="0"/>
          <w:bCs/>
          <w:sz w:val="24"/>
          <w:szCs w:val="24"/>
          <w:highlight w:val="none"/>
        </w:rPr>
      </w:pPr>
    </w:p>
    <w:p>
      <w:pPr>
        <w:ind w:firstLine="480" w:firstLineChars="200"/>
        <w:rPr>
          <w:rFonts w:ascii="仿宋" w:hAnsi="仿宋" w:eastAsia="仿宋" w:cs="仿宋"/>
          <w:b w:val="0"/>
          <w:bCs/>
          <w:sz w:val="24"/>
          <w:szCs w:val="24"/>
          <w:highlight w:val="none"/>
        </w:rPr>
      </w:pPr>
    </w:p>
    <w:p>
      <w:pPr>
        <w:ind w:firstLine="480" w:firstLineChars="200"/>
        <w:rPr>
          <w:rFonts w:ascii="仿宋" w:hAnsi="仿宋" w:eastAsia="仿宋" w:cs="仿宋"/>
          <w:b w:val="0"/>
          <w:bCs/>
          <w:sz w:val="24"/>
          <w:szCs w:val="24"/>
          <w:highlight w:val="none"/>
        </w:rPr>
      </w:pPr>
      <w:r>
        <w:rPr>
          <w:rFonts w:ascii="仿宋" w:hAnsi="仿宋" w:eastAsia="仿宋" w:cs="仿宋"/>
          <w:b w:val="0"/>
          <w:bCs/>
          <w:sz w:val="24"/>
          <w:szCs w:val="24"/>
          <w:highlight w:val="none"/>
        </w:rPr>
        <w:t>供应商根据本磋商文件</w:t>
      </w:r>
      <w:r>
        <w:rPr>
          <w:rFonts w:hint="eastAsia" w:ascii="仿宋" w:hAnsi="仿宋" w:eastAsia="仿宋" w:cs="仿宋"/>
          <w:b w:val="0"/>
          <w:bCs/>
          <w:sz w:val="24"/>
          <w:szCs w:val="24"/>
          <w:highlight w:val="none"/>
          <w:lang w:val="en-US" w:eastAsia="zh-CN"/>
        </w:rPr>
        <w:t>采购需求</w:t>
      </w:r>
      <w:r>
        <w:rPr>
          <w:rFonts w:ascii="仿宋" w:hAnsi="仿宋" w:eastAsia="仿宋" w:cs="仿宋"/>
          <w:b w:val="0"/>
          <w:bCs/>
          <w:sz w:val="24"/>
          <w:szCs w:val="24"/>
          <w:highlight w:val="none"/>
        </w:rPr>
        <w:t>等编制价格清单。</w:t>
      </w:r>
    </w:p>
    <w:p>
      <w:pPr>
        <w:jc w:val="center"/>
        <w:rPr>
          <w:rFonts w:ascii="仿宋" w:hAnsi="仿宋" w:eastAsia="仿宋" w:cs="仿宋"/>
          <w:b/>
          <w:sz w:val="44"/>
          <w:szCs w:val="44"/>
          <w:highlight w:val="none"/>
        </w:rPr>
      </w:pPr>
    </w:p>
    <w:sectPr>
      <w:headerReference r:id="rId27" w:type="default"/>
      <w:footerReference r:id="rId28" w:type="default"/>
      <w:footerReference r:id="rId29" w:type="even"/>
      <w:pgSz w:w="11906" w:h="16838"/>
      <w:pgMar w:top="1701"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45"/>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45"/>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45"/>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45"/>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45"/>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345"/>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0"/>
                            <w:rPr>
                              <w:rStyle w:val="34"/>
                            </w:rPr>
                          </w:pPr>
                          <w:r>
                            <w:fldChar w:fldCharType="begin"/>
                          </w:r>
                          <w:r>
                            <w:rPr>
                              <w:rStyle w:val="34"/>
                            </w:rPr>
                            <w:instrText xml:space="preserve">PAGE  </w:instrText>
                          </w:r>
                          <w:r>
                            <w:fldChar w:fldCharType="separate"/>
                          </w:r>
                          <w:r>
                            <w:rPr>
                              <w:rStyle w:val="34"/>
                            </w:rPr>
                            <w:t>72</w:t>
                          </w:r>
                          <w: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ny/KJucB&#10;AADJAwAADgAAAAAAAAABACAAAAAiAQAAZHJzL2Uyb0RvYy54bWxQSwUGAAAAAAYABgBZAQAAewUA&#10;AAAA&#10;">
              <v:fill on="f" focussize="0,0"/>
              <v:stroke on="f" weight="1.25pt"/>
              <v:imagedata o:title=""/>
              <o:lock v:ext="edit" aspectratio="f"/>
              <v:textbox inset="0mm,0mm,0mm,0mm" style="mso-fit-shape-to-text:t;">
                <w:txbxContent>
                  <w:p>
                    <w:pPr>
                      <w:pStyle w:val="20"/>
                      <w:rPr>
                        <w:rStyle w:val="34"/>
                      </w:rPr>
                    </w:pPr>
                    <w:r>
                      <w:fldChar w:fldCharType="begin"/>
                    </w:r>
                    <w:r>
                      <w:rPr>
                        <w:rStyle w:val="34"/>
                      </w:rPr>
                      <w:instrText xml:space="preserve">PAGE  </w:instrText>
                    </w:r>
                    <w:r>
                      <w:fldChar w:fldCharType="separate"/>
                    </w:r>
                    <w:r>
                      <w:rPr>
                        <w:rStyle w:val="34"/>
                      </w:rPr>
                      <w:t>72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4"/>
      </w:rPr>
    </w:pPr>
    <w:r>
      <w:fldChar w:fldCharType="begin"/>
    </w:r>
    <w:r>
      <w:rPr>
        <w:rStyle w:val="34"/>
      </w:rPr>
      <w:instrText xml:space="preserve">PAGE  </w:instrText>
    </w:r>
    <w:r>
      <w:fldChar w:fldCharType="separate"/>
    </w:r>
    <w:r>
      <w:rPr>
        <w:rStyle w:val="34"/>
      </w:rPr>
      <w:t>22</w:t>
    </w:r>
    <w:r>
      <w:fldChar w:fldCharType="end"/>
    </w:r>
  </w:p>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4"/>
      </w:rPr>
    </w:pPr>
    <w:r>
      <w:fldChar w:fldCharType="begin"/>
    </w:r>
    <w:r>
      <w:rPr>
        <w:rStyle w:val="34"/>
      </w:rPr>
      <w:instrText xml:space="preserve">PAGE  </w:instrText>
    </w:r>
    <w:r>
      <w:fldChar w:fldCharType="separate"/>
    </w:r>
    <w:r>
      <w:rPr>
        <w:rStyle w:val="34"/>
      </w:rPr>
      <w:t>22</w:t>
    </w:r>
    <w:r>
      <w:fldChar w:fldCharType="end"/>
    </w:r>
  </w:p>
  <w:p>
    <w:pPr>
      <w:pStyle w:val="2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Calibri" w:hAnsi="Calibri" w:eastAsia="Calibri" w:cs="Calibri"/>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none" w:color="auto" w:sz="0" w:space="1"/>
        <w:right w:val="none" w:color="auto" w:sz="0" w:space="0"/>
        <w:between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46"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46"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8D5CB"/>
    <w:multiLevelType w:val="singleLevel"/>
    <w:tmpl w:val="8018D5CB"/>
    <w:lvl w:ilvl="0" w:tentative="0">
      <w:start w:val="2"/>
      <w:numFmt w:val="decimal"/>
      <w:suff w:val="nothing"/>
      <w:lvlText w:val="%1、"/>
      <w:lvlJc w:val="left"/>
    </w:lvl>
  </w:abstractNum>
  <w:abstractNum w:abstractNumId="1">
    <w:nsid w:val="AD1DCC70"/>
    <w:multiLevelType w:val="multilevel"/>
    <w:tmpl w:val="AD1DCC70"/>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DF1E46BA"/>
    <w:multiLevelType w:val="multilevel"/>
    <w:tmpl w:val="DF1E46BA"/>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24"/>
    <w:multiLevelType w:val="multilevel"/>
    <w:tmpl w:val="00000024"/>
    <w:lvl w:ilvl="0" w:tentative="0">
      <w:start w:val="1"/>
      <w:numFmt w:val="decimal"/>
      <w:pStyle w:val="8"/>
      <w:lvlText w:val="%1."/>
      <w:lvlJc w:val="left"/>
      <w:pPr>
        <w:tabs>
          <w:tab w:val="left" w:pos="360"/>
        </w:tabs>
        <w:ind w:left="360" w:hanging="360"/>
      </w:pPr>
      <w:rPr>
        <w:rFonts w:hint="default" w:ascii="宋体" w:hAnsi="宋体" w:eastAsia="宋体"/>
        <w:b w:val="0"/>
      </w:rPr>
    </w:lvl>
    <w:lvl w:ilvl="1" w:tentative="0">
      <w:start w:val="1"/>
      <w:numFmt w:val="decimal"/>
      <w:lvlText w:val="6.%2"/>
      <w:lvlJc w:val="left"/>
      <w:pPr>
        <w:tabs>
          <w:tab w:val="left" w:pos="992"/>
        </w:tabs>
        <w:ind w:left="992" w:hanging="567"/>
      </w:pPr>
      <w:rPr>
        <w:rFonts w:hint="eastAsia" w:ascii="宋体" w:hAnsi="宋体" w:eastAsia="宋体"/>
        <w:color w:val="auto"/>
      </w:rPr>
    </w:lvl>
    <w:lvl w:ilvl="2" w:tentative="0">
      <w:start w:val="1"/>
      <w:numFmt w:val="decimal"/>
      <w:lvlText w:val="%1.%2.%3"/>
      <w:lvlJc w:val="left"/>
      <w:pPr>
        <w:tabs>
          <w:tab w:val="left" w:pos="1418"/>
        </w:tabs>
        <w:ind w:left="1418" w:hanging="567"/>
      </w:pPr>
      <w:rPr>
        <w:rFonts w:hint="eastAsia"/>
        <w:color w:val="auto"/>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4">
    <w:nsid w:val="046E2D7F"/>
    <w:multiLevelType w:val="multilevel"/>
    <w:tmpl w:val="046E2D7F"/>
    <w:lvl w:ilvl="0" w:tentative="0">
      <w:start w:val="3"/>
      <w:numFmt w:val="decimal"/>
      <w:pStyle w:val="49"/>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5">
    <w:nsid w:val="420C153B"/>
    <w:multiLevelType w:val="multilevel"/>
    <w:tmpl w:val="420C153B"/>
    <w:lvl w:ilvl="0" w:tentative="0">
      <w:start w:val="1"/>
      <w:numFmt w:val="decimal"/>
      <w:pStyle w:val="4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7D8E95F5"/>
    <w:multiLevelType w:val="multilevel"/>
    <w:tmpl w:val="7D8E95F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MzQyNGVlN2E2MjE0MTRkNmUwNGU2NzBkMjMyMDcifQ=="/>
  </w:docVars>
  <w:rsids>
    <w:rsidRoot w:val="00172A27"/>
    <w:rsid w:val="000E0E08"/>
    <w:rsid w:val="00155619"/>
    <w:rsid w:val="00172A27"/>
    <w:rsid w:val="001C2354"/>
    <w:rsid w:val="001C5838"/>
    <w:rsid w:val="001F79E1"/>
    <w:rsid w:val="0021665A"/>
    <w:rsid w:val="00271461"/>
    <w:rsid w:val="002F0178"/>
    <w:rsid w:val="003025C5"/>
    <w:rsid w:val="00372A77"/>
    <w:rsid w:val="00372F90"/>
    <w:rsid w:val="004A5327"/>
    <w:rsid w:val="00556473"/>
    <w:rsid w:val="005856B9"/>
    <w:rsid w:val="005C40F9"/>
    <w:rsid w:val="005D2354"/>
    <w:rsid w:val="0063622E"/>
    <w:rsid w:val="00735171"/>
    <w:rsid w:val="00744E6C"/>
    <w:rsid w:val="00787C2B"/>
    <w:rsid w:val="007F0A1D"/>
    <w:rsid w:val="00905172"/>
    <w:rsid w:val="00A3405F"/>
    <w:rsid w:val="00A450FF"/>
    <w:rsid w:val="00BF2B89"/>
    <w:rsid w:val="00C13BE0"/>
    <w:rsid w:val="00C75220"/>
    <w:rsid w:val="00CA63D1"/>
    <w:rsid w:val="00D00038"/>
    <w:rsid w:val="00D10B9E"/>
    <w:rsid w:val="00DE0A4C"/>
    <w:rsid w:val="00E07240"/>
    <w:rsid w:val="00EE418A"/>
    <w:rsid w:val="00EE5DDC"/>
    <w:rsid w:val="00EF37E8"/>
    <w:rsid w:val="00F33B20"/>
    <w:rsid w:val="00F54475"/>
    <w:rsid w:val="00F85B0B"/>
    <w:rsid w:val="00F85EB2"/>
    <w:rsid w:val="00FC356B"/>
    <w:rsid w:val="00FD777F"/>
    <w:rsid w:val="017D5894"/>
    <w:rsid w:val="01B400AD"/>
    <w:rsid w:val="02041D8E"/>
    <w:rsid w:val="021A2642"/>
    <w:rsid w:val="02840270"/>
    <w:rsid w:val="02CB2268"/>
    <w:rsid w:val="03010450"/>
    <w:rsid w:val="032A36C8"/>
    <w:rsid w:val="0373742A"/>
    <w:rsid w:val="03E24543"/>
    <w:rsid w:val="03F67248"/>
    <w:rsid w:val="044F5AED"/>
    <w:rsid w:val="05692EC3"/>
    <w:rsid w:val="05FE4B7D"/>
    <w:rsid w:val="06245734"/>
    <w:rsid w:val="062D5FEE"/>
    <w:rsid w:val="069049B8"/>
    <w:rsid w:val="06935BA7"/>
    <w:rsid w:val="069F5282"/>
    <w:rsid w:val="06AB3A89"/>
    <w:rsid w:val="06D45DD6"/>
    <w:rsid w:val="07307E77"/>
    <w:rsid w:val="07AC4B13"/>
    <w:rsid w:val="07B436A2"/>
    <w:rsid w:val="07D2185E"/>
    <w:rsid w:val="08046698"/>
    <w:rsid w:val="081F4263"/>
    <w:rsid w:val="08451740"/>
    <w:rsid w:val="085D5EB1"/>
    <w:rsid w:val="08A404FB"/>
    <w:rsid w:val="08D15B8E"/>
    <w:rsid w:val="08D61475"/>
    <w:rsid w:val="08E02485"/>
    <w:rsid w:val="09305B6C"/>
    <w:rsid w:val="094F50FA"/>
    <w:rsid w:val="09630EDC"/>
    <w:rsid w:val="09700DB9"/>
    <w:rsid w:val="097217D3"/>
    <w:rsid w:val="09A97E66"/>
    <w:rsid w:val="0A1558FF"/>
    <w:rsid w:val="0A3A2074"/>
    <w:rsid w:val="0A41607F"/>
    <w:rsid w:val="0A47555B"/>
    <w:rsid w:val="0A6B304D"/>
    <w:rsid w:val="0ACD28E0"/>
    <w:rsid w:val="0ACE7FBF"/>
    <w:rsid w:val="0ACF113B"/>
    <w:rsid w:val="0AE0788C"/>
    <w:rsid w:val="0AEB2A1D"/>
    <w:rsid w:val="0B2174B0"/>
    <w:rsid w:val="0B686CF8"/>
    <w:rsid w:val="0B756CA4"/>
    <w:rsid w:val="0B801062"/>
    <w:rsid w:val="0BBE4AB4"/>
    <w:rsid w:val="0C2B56C5"/>
    <w:rsid w:val="0C5E2C52"/>
    <w:rsid w:val="0C6E05B4"/>
    <w:rsid w:val="0C7B5776"/>
    <w:rsid w:val="0C975095"/>
    <w:rsid w:val="0CF13B49"/>
    <w:rsid w:val="0CFA3EF2"/>
    <w:rsid w:val="0D047C99"/>
    <w:rsid w:val="0D126698"/>
    <w:rsid w:val="0D1412B7"/>
    <w:rsid w:val="0D2841C5"/>
    <w:rsid w:val="0D2D30AD"/>
    <w:rsid w:val="0D4F2C3C"/>
    <w:rsid w:val="0DA91BC0"/>
    <w:rsid w:val="0E08136F"/>
    <w:rsid w:val="0E2C2F8C"/>
    <w:rsid w:val="0E43150B"/>
    <w:rsid w:val="0E572FD9"/>
    <w:rsid w:val="0E62761C"/>
    <w:rsid w:val="0E8D4171"/>
    <w:rsid w:val="0E956B1B"/>
    <w:rsid w:val="0E9E6512"/>
    <w:rsid w:val="0EA05995"/>
    <w:rsid w:val="0EA41ABA"/>
    <w:rsid w:val="0F0F0D85"/>
    <w:rsid w:val="0F5D3611"/>
    <w:rsid w:val="0F9136CD"/>
    <w:rsid w:val="0FD61361"/>
    <w:rsid w:val="104043CA"/>
    <w:rsid w:val="104F6AFE"/>
    <w:rsid w:val="107D4817"/>
    <w:rsid w:val="11257567"/>
    <w:rsid w:val="112D790F"/>
    <w:rsid w:val="116C37E2"/>
    <w:rsid w:val="116C6D9B"/>
    <w:rsid w:val="11BF3B95"/>
    <w:rsid w:val="12106378"/>
    <w:rsid w:val="12413D84"/>
    <w:rsid w:val="124D0A04"/>
    <w:rsid w:val="12591991"/>
    <w:rsid w:val="127212F9"/>
    <w:rsid w:val="12840A4C"/>
    <w:rsid w:val="129923C2"/>
    <w:rsid w:val="12F42088"/>
    <w:rsid w:val="12F4774C"/>
    <w:rsid w:val="131C20FB"/>
    <w:rsid w:val="137B4287"/>
    <w:rsid w:val="13B33653"/>
    <w:rsid w:val="13C2397B"/>
    <w:rsid w:val="13EE27EF"/>
    <w:rsid w:val="141E3804"/>
    <w:rsid w:val="142147DA"/>
    <w:rsid w:val="1474515F"/>
    <w:rsid w:val="150A2690"/>
    <w:rsid w:val="150F67BF"/>
    <w:rsid w:val="15440D1F"/>
    <w:rsid w:val="15632263"/>
    <w:rsid w:val="15CF1FAE"/>
    <w:rsid w:val="15EA55DE"/>
    <w:rsid w:val="15F17EA4"/>
    <w:rsid w:val="16172C93"/>
    <w:rsid w:val="1638549E"/>
    <w:rsid w:val="163D4BC8"/>
    <w:rsid w:val="1666131E"/>
    <w:rsid w:val="16A2150D"/>
    <w:rsid w:val="16B26575"/>
    <w:rsid w:val="16E93363"/>
    <w:rsid w:val="16EB2510"/>
    <w:rsid w:val="16F325C5"/>
    <w:rsid w:val="171A0164"/>
    <w:rsid w:val="17325EF0"/>
    <w:rsid w:val="176953C3"/>
    <w:rsid w:val="17827870"/>
    <w:rsid w:val="1794670D"/>
    <w:rsid w:val="17A11F25"/>
    <w:rsid w:val="17D41D2E"/>
    <w:rsid w:val="17F26C4F"/>
    <w:rsid w:val="18194E5B"/>
    <w:rsid w:val="18221F62"/>
    <w:rsid w:val="185049B4"/>
    <w:rsid w:val="185D55C0"/>
    <w:rsid w:val="186A1692"/>
    <w:rsid w:val="18A450B7"/>
    <w:rsid w:val="18B3377B"/>
    <w:rsid w:val="18DB7583"/>
    <w:rsid w:val="18F711F5"/>
    <w:rsid w:val="198253AE"/>
    <w:rsid w:val="19F67059"/>
    <w:rsid w:val="1A385C52"/>
    <w:rsid w:val="1A3A2D21"/>
    <w:rsid w:val="1A6B5E42"/>
    <w:rsid w:val="1A861337"/>
    <w:rsid w:val="1A9E33B7"/>
    <w:rsid w:val="1A9F0813"/>
    <w:rsid w:val="1AC1388F"/>
    <w:rsid w:val="1B024789"/>
    <w:rsid w:val="1B053295"/>
    <w:rsid w:val="1B2929DC"/>
    <w:rsid w:val="1B3C333B"/>
    <w:rsid w:val="1B9D6BC5"/>
    <w:rsid w:val="1BB74F44"/>
    <w:rsid w:val="1BE62F02"/>
    <w:rsid w:val="1BF35E31"/>
    <w:rsid w:val="1C14304D"/>
    <w:rsid w:val="1C151D67"/>
    <w:rsid w:val="1C315AE3"/>
    <w:rsid w:val="1C834A65"/>
    <w:rsid w:val="1C8F571A"/>
    <w:rsid w:val="1C9C5761"/>
    <w:rsid w:val="1D4B1F5B"/>
    <w:rsid w:val="1DD82CDE"/>
    <w:rsid w:val="1E02388A"/>
    <w:rsid w:val="1E222EF4"/>
    <w:rsid w:val="1E334045"/>
    <w:rsid w:val="1E7948A6"/>
    <w:rsid w:val="1EA2141D"/>
    <w:rsid w:val="1EF108E0"/>
    <w:rsid w:val="1F026502"/>
    <w:rsid w:val="1F405CA6"/>
    <w:rsid w:val="1F7C58E9"/>
    <w:rsid w:val="1FD4326D"/>
    <w:rsid w:val="20090A33"/>
    <w:rsid w:val="205F798A"/>
    <w:rsid w:val="208A5506"/>
    <w:rsid w:val="20967991"/>
    <w:rsid w:val="20B23E05"/>
    <w:rsid w:val="20D30DB8"/>
    <w:rsid w:val="20F81719"/>
    <w:rsid w:val="211114DB"/>
    <w:rsid w:val="215B5A00"/>
    <w:rsid w:val="21E662D0"/>
    <w:rsid w:val="220D6AC6"/>
    <w:rsid w:val="220E2CF0"/>
    <w:rsid w:val="22616D0D"/>
    <w:rsid w:val="226506AB"/>
    <w:rsid w:val="22BB40ED"/>
    <w:rsid w:val="22C510EA"/>
    <w:rsid w:val="22CD4CEA"/>
    <w:rsid w:val="22D362BB"/>
    <w:rsid w:val="231E74ED"/>
    <w:rsid w:val="2343662A"/>
    <w:rsid w:val="23530CCB"/>
    <w:rsid w:val="23C1627F"/>
    <w:rsid w:val="23C8751E"/>
    <w:rsid w:val="23E20307"/>
    <w:rsid w:val="23EA0B1B"/>
    <w:rsid w:val="24115083"/>
    <w:rsid w:val="243D56CF"/>
    <w:rsid w:val="244A4D1A"/>
    <w:rsid w:val="24561911"/>
    <w:rsid w:val="24BE44C7"/>
    <w:rsid w:val="252B21D0"/>
    <w:rsid w:val="256F0552"/>
    <w:rsid w:val="258230C2"/>
    <w:rsid w:val="25B311EB"/>
    <w:rsid w:val="25DB1A25"/>
    <w:rsid w:val="25E65925"/>
    <w:rsid w:val="25EC303D"/>
    <w:rsid w:val="26414B37"/>
    <w:rsid w:val="268A7650"/>
    <w:rsid w:val="2693295B"/>
    <w:rsid w:val="26FE037B"/>
    <w:rsid w:val="27045EDC"/>
    <w:rsid w:val="27193993"/>
    <w:rsid w:val="27205733"/>
    <w:rsid w:val="2732724A"/>
    <w:rsid w:val="27746AD6"/>
    <w:rsid w:val="277F7641"/>
    <w:rsid w:val="27B03A1B"/>
    <w:rsid w:val="27E41C3C"/>
    <w:rsid w:val="28160AA9"/>
    <w:rsid w:val="28414686"/>
    <w:rsid w:val="28DC72B9"/>
    <w:rsid w:val="290E01AF"/>
    <w:rsid w:val="294715FF"/>
    <w:rsid w:val="295403E9"/>
    <w:rsid w:val="29643817"/>
    <w:rsid w:val="29717FC5"/>
    <w:rsid w:val="299972AE"/>
    <w:rsid w:val="29A542E4"/>
    <w:rsid w:val="29BA39C9"/>
    <w:rsid w:val="29E2615B"/>
    <w:rsid w:val="29EB07D8"/>
    <w:rsid w:val="29FD638B"/>
    <w:rsid w:val="2A066B9C"/>
    <w:rsid w:val="2A067048"/>
    <w:rsid w:val="2B440EAC"/>
    <w:rsid w:val="2B943A19"/>
    <w:rsid w:val="2B9C4A30"/>
    <w:rsid w:val="2BAE3DE1"/>
    <w:rsid w:val="2C0A7E44"/>
    <w:rsid w:val="2C2C34C2"/>
    <w:rsid w:val="2C3438FC"/>
    <w:rsid w:val="2C53296B"/>
    <w:rsid w:val="2C5F4C95"/>
    <w:rsid w:val="2C7B3E28"/>
    <w:rsid w:val="2C7D639B"/>
    <w:rsid w:val="2C813436"/>
    <w:rsid w:val="2C9C1E8B"/>
    <w:rsid w:val="2CBE4572"/>
    <w:rsid w:val="2CFE1A5A"/>
    <w:rsid w:val="2D455F9C"/>
    <w:rsid w:val="2D74711E"/>
    <w:rsid w:val="2D921B52"/>
    <w:rsid w:val="2DBD655D"/>
    <w:rsid w:val="2DCB7BFB"/>
    <w:rsid w:val="2DCF6BB5"/>
    <w:rsid w:val="2DDF0916"/>
    <w:rsid w:val="2E402CEA"/>
    <w:rsid w:val="2E4F5A09"/>
    <w:rsid w:val="2E561C2A"/>
    <w:rsid w:val="2E824BBB"/>
    <w:rsid w:val="2EFF5429"/>
    <w:rsid w:val="2F0C022A"/>
    <w:rsid w:val="2F470353"/>
    <w:rsid w:val="2F54381F"/>
    <w:rsid w:val="2F7A151E"/>
    <w:rsid w:val="2FB432C0"/>
    <w:rsid w:val="2FCC0489"/>
    <w:rsid w:val="2FCD3987"/>
    <w:rsid w:val="2FD10510"/>
    <w:rsid w:val="2FD22068"/>
    <w:rsid w:val="2FD80F0E"/>
    <w:rsid w:val="30506B74"/>
    <w:rsid w:val="30675A9C"/>
    <w:rsid w:val="308807F9"/>
    <w:rsid w:val="30E27814"/>
    <w:rsid w:val="310D565C"/>
    <w:rsid w:val="313875B4"/>
    <w:rsid w:val="315076E8"/>
    <w:rsid w:val="31672B4C"/>
    <w:rsid w:val="31C205E6"/>
    <w:rsid w:val="31C82FCF"/>
    <w:rsid w:val="32070B68"/>
    <w:rsid w:val="32185788"/>
    <w:rsid w:val="3234761C"/>
    <w:rsid w:val="324C4353"/>
    <w:rsid w:val="324F033D"/>
    <w:rsid w:val="32B35F36"/>
    <w:rsid w:val="32BD6FFF"/>
    <w:rsid w:val="32CB13F8"/>
    <w:rsid w:val="32E03B66"/>
    <w:rsid w:val="32F23D0A"/>
    <w:rsid w:val="32F522F5"/>
    <w:rsid w:val="331103CC"/>
    <w:rsid w:val="331C1EFD"/>
    <w:rsid w:val="335E305A"/>
    <w:rsid w:val="336A6781"/>
    <w:rsid w:val="33DB5AFF"/>
    <w:rsid w:val="33F507CE"/>
    <w:rsid w:val="342F346E"/>
    <w:rsid w:val="349340AB"/>
    <w:rsid w:val="34AE4E61"/>
    <w:rsid w:val="34BA30BB"/>
    <w:rsid w:val="35057941"/>
    <w:rsid w:val="352E0148"/>
    <w:rsid w:val="353B63E4"/>
    <w:rsid w:val="35456445"/>
    <w:rsid w:val="35845BB2"/>
    <w:rsid w:val="359130B6"/>
    <w:rsid w:val="35C6307B"/>
    <w:rsid w:val="35E11256"/>
    <w:rsid w:val="35E846EC"/>
    <w:rsid w:val="369332D6"/>
    <w:rsid w:val="36B94AA6"/>
    <w:rsid w:val="36BC3D8B"/>
    <w:rsid w:val="36BD0003"/>
    <w:rsid w:val="36DB06DF"/>
    <w:rsid w:val="370C39F6"/>
    <w:rsid w:val="37541B70"/>
    <w:rsid w:val="37795AA0"/>
    <w:rsid w:val="37920008"/>
    <w:rsid w:val="37A20C8C"/>
    <w:rsid w:val="37C13AA8"/>
    <w:rsid w:val="37D5480C"/>
    <w:rsid w:val="38160499"/>
    <w:rsid w:val="385628CC"/>
    <w:rsid w:val="38BD382A"/>
    <w:rsid w:val="38C0721C"/>
    <w:rsid w:val="390019C7"/>
    <w:rsid w:val="390962FB"/>
    <w:rsid w:val="39102CBA"/>
    <w:rsid w:val="397054E2"/>
    <w:rsid w:val="397A3409"/>
    <w:rsid w:val="397E6E3B"/>
    <w:rsid w:val="39972358"/>
    <w:rsid w:val="39A8471A"/>
    <w:rsid w:val="39AB2B8B"/>
    <w:rsid w:val="39BF365D"/>
    <w:rsid w:val="39E41315"/>
    <w:rsid w:val="39F364AE"/>
    <w:rsid w:val="3A125510"/>
    <w:rsid w:val="3A160B95"/>
    <w:rsid w:val="3A18254A"/>
    <w:rsid w:val="3A425496"/>
    <w:rsid w:val="3A4D6E69"/>
    <w:rsid w:val="3A537D73"/>
    <w:rsid w:val="3A7D599F"/>
    <w:rsid w:val="3A89118D"/>
    <w:rsid w:val="3A8B0EFD"/>
    <w:rsid w:val="3A992100"/>
    <w:rsid w:val="3AB6112C"/>
    <w:rsid w:val="3AD611D0"/>
    <w:rsid w:val="3B396910"/>
    <w:rsid w:val="3B52429F"/>
    <w:rsid w:val="3B566F51"/>
    <w:rsid w:val="3B887E69"/>
    <w:rsid w:val="3B8E6E59"/>
    <w:rsid w:val="3BA65DEC"/>
    <w:rsid w:val="3BBD3DCD"/>
    <w:rsid w:val="3BE74978"/>
    <w:rsid w:val="3C3860AC"/>
    <w:rsid w:val="3C880E85"/>
    <w:rsid w:val="3CBC7E10"/>
    <w:rsid w:val="3CDC2292"/>
    <w:rsid w:val="3D261061"/>
    <w:rsid w:val="3D29211F"/>
    <w:rsid w:val="3D4662D9"/>
    <w:rsid w:val="3DB5026E"/>
    <w:rsid w:val="3DD12874"/>
    <w:rsid w:val="3DD64167"/>
    <w:rsid w:val="3E01673E"/>
    <w:rsid w:val="3E1453F5"/>
    <w:rsid w:val="3E277EE2"/>
    <w:rsid w:val="3E4D00CB"/>
    <w:rsid w:val="3E8872F6"/>
    <w:rsid w:val="3EC35BBC"/>
    <w:rsid w:val="3F6978AA"/>
    <w:rsid w:val="3F6D4BAF"/>
    <w:rsid w:val="3F913467"/>
    <w:rsid w:val="3F9A37E0"/>
    <w:rsid w:val="40090159"/>
    <w:rsid w:val="406311E6"/>
    <w:rsid w:val="40807087"/>
    <w:rsid w:val="40A32121"/>
    <w:rsid w:val="40B57568"/>
    <w:rsid w:val="40E55DD6"/>
    <w:rsid w:val="4103390E"/>
    <w:rsid w:val="4163623E"/>
    <w:rsid w:val="416656FB"/>
    <w:rsid w:val="41FA1ACA"/>
    <w:rsid w:val="42157B5E"/>
    <w:rsid w:val="42380B97"/>
    <w:rsid w:val="423821FE"/>
    <w:rsid w:val="424203E8"/>
    <w:rsid w:val="424B797B"/>
    <w:rsid w:val="42B47119"/>
    <w:rsid w:val="42BD2E06"/>
    <w:rsid w:val="42D72D40"/>
    <w:rsid w:val="43285C89"/>
    <w:rsid w:val="43302100"/>
    <w:rsid w:val="438D2298"/>
    <w:rsid w:val="43BD65BA"/>
    <w:rsid w:val="43BF1E31"/>
    <w:rsid w:val="43E63682"/>
    <w:rsid w:val="44065017"/>
    <w:rsid w:val="44211954"/>
    <w:rsid w:val="44214728"/>
    <w:rsid w:val="4427252A"/>
    <w:rsid w:val="44405A11"/>
    <w:rsid w:val="4469269E"/>
    <w:rsid w:val="448D3902"/>
    <w:rsid w:val="449851D6"/>
    <w:rsid w:val="44A95CEC"/>
    <w:rsid w:val="44C8330E"/>
    <w:rsid w:val="44D437D2"/>
    <w:rsid w:val="44EB1363"/>
    <w:rsid w:val="44F7014F"/>
    <w:rsid w:val="450B7F44"/>
    <w:rsid w:val="455E45F3"/>
    <w:rsid w:val="457C705B"/>
    <w:rsid w:val="45922701"/>
    <w:rsid w:val="459B4162"/>
    <w:rsid w:val="45B63B66"/>
    <w:rsid w:val="45DB039B"/>
    <w:rsid w:val="45FB27BA"/>
    <w:rsid w:val="463217E8"/>
    <w:rsid w:val="46335317"/>
    <w:rsid w:val="464E1EBB"/>
    <w:rsid w:val="46530AF0"/>
    <w:rsid w:val="46554267"/>
    <w:rsid w:val="46590DB9"/>
    <w:rsid w:val="46AF70F5"/>
    <w:rsid w:val="475C70F4"/>
    <w:rsid w:val="47726DDC"/>
    <w:rsid w:val="4781776C"/>
    <w:rsid w:val="47E769C5"/>
    <w:rsid w:val="47E904B8"/>
    <w:rsid w:val="48074B4D"/>
    <w:rsid w:val="48236B39"/>
    <w:rsid w:val="48397FC7"/>
    <w:rsid w:val="483E597A"/>
    <w:rsid w:val="488162EB"/>
    <w:rsid w:val="489D100D"/>
    <w:rsid w:val="48AC4395"/>
    <w:rsid w:val="49750B99"/>
    <w:rsid w:val="498F6E65"/>
    <w:rsid w:val="49A40179"/>
    <w:rsid w:val="49BC5E8E"/>
    <w:rsid w:val="4A251698"/>
    <w:rsid w:val="4A3576EB"/>
    <w:rsid w:val="4AF00461"/>
    <w:rsid w:val="4B1A069C"/>
    <w:rsid w:val="4B266B94"/>
    <w:rsid w:val="4B654FB6"/>
    <w:rsid w:val="4B6A5B83"/>
    <w:rsid w:val="4B716D5D"/>
    <w:rsid w:val="4B954B24"/>
    <w:rsid w:val="4BDA1FB9"/>
    <w:rsid w:val="4C471E8E"/>
    <w:rsid w:val="4CB74895"/>
    <w:rsid w:val="4CDD1CD9"/>
    <w:rsid w:val="4CE1778C"/>
    <w:rsid w:val="4D255CC4"/>
    <w:rsid w:val="4D4A249F"/>
    <w:rsid w:val="4D9000BE"/>
    <w:rsid w:val="4DCB520D"/>
    <w:rsid w:val="4DCE5B71"/>
    <w:rsid w:val="4DDA670D"/>
    <w:rsid w:val="4E110DFC"/>
    <w:rsid w:val="4E471638"/>
    <w:rsid w:val="4E5B5AFC"/>
    <w:rsid w:val="4E643E7E"/>
    <w:rsid w:val="4EC07803"/>
    <w:rsid w:val="4EC51DB7"/>
    <w:rsid w:val="4ECD4BAC"/>
    <w:rsid w:val="4ED2754D"/>
    <w:rsid w:val="4EEF0B69"/>
    <w:rsid w:val="4F4837B7"/>
    <w:rsid w:val="4F601C3B"/>
    <w:rsid w:val="4F6835FE"/>
    <w:rsid w:val="4FB90871"/>
    <w:rsid w:val="4FD806DC"/>
    <w:rsid w:val="50455914"/>
    <w:rsid w:val="508C2093"/>
    <w:rsid w:val="50EF1340"/>
    <w:rsid w:val="514D29C2"/>
    <w:rsid w:val="51752B27"/>
    <w:rsid w:val="51782A54"/>
    <w:rsid w:val="51F842B8"/>
    <w:rsid w:val="521C110E"/>
    <w:rsid w:val="52326C6A"/>
    <w:rsid w:val="528061A5"/>
    <w:rsid w:val="52A1643C"/>
    <w:rsid w:val="52F727E4"/>
    <w:rsid w:val="530028C4"/>
    <w:rsid w:val="531225F7"/>
    <w:rsid w:val="53464982"/>
    <w:rsid w:val="53AA14DC"/>
    <w:rsid w:val="53AD5667"/>
    <w:rsid w:val="53B13B7E"/>
    <w:rsid w:val="53F464BD"/>
    <w:rsid w:val="540E2DBF"/>
    <w:rsid w:val="54AB64BD"/>
    <w:rsid w:val="54DB5F6B"/>
    <w:rsid w:val="55150BCD"/>
    <w:rsid w:val="553E7A7D"/>
    <w:rsid w:val="55563985"/>
    <w:rsid w:val="55A54502"/>
    <w:rsid w:val="55F2591C"/>
    <w:rsid w:val="55F34016"/>
    <w:rsid w:val="562F5193"/>
    <w:rsid w:val="563244E2"/>
    <w:rsid w:val="56372380"/>
    <w:rsid w:val="565E12D9"/>
    <w:rsid w:val="56876E58"/>
    <w:rsid w:val="56B50810"/>
    <w:rsid w:val="57055F55"/>
    <w:rsid w:val="57260F75"/>
    <w:rsid w:val="57571199"/>
    <w:rsid w:val="57986CC2"/>
    <w:rsid w:val="57E64CF0"/>
    <w:rsid w:val="57EE53E1"/>
    <w:rsid w:val="57EE7073"/>
    <w:rsid w:val="57FD3876"/>
    <w:rsid w:val="57FF139C"/>
    <w:rsid w:val="587618AC"/>
    <w:rsid w:val="58AF7D45"/>
    <w:rsid w:val="58BB180B"/>
    <w:rsid w:val="58E45B6A"/>
    <w:rsid w:val="59267F48"/>
    <w:rsid w:val="592A7F03"/>
    <w:rsid w:val="593327A4"/>
    <w:rsid w:val="594A6647"/>
    <w:rsid w:val="59933EE6"/>
    <w:rsid w:val="59973179"/>
    <w:rsid w:val="59D8488B"/>
    <w:rsid w:val="59DD4501"/>
    <w:rsid w:val="5A5D2BCB"/>
    <w:rsid w:val="5A641AC6"/>
    <w:rsid w:val="5AE658B8"/>
    <w:rsid w:val="5AFF2506"/>
    <w:rsid w:val="5B012003"/>
    <w:rsid w:val="5B1C4E82"/>
    <w:rsid w:val="5B3539CB"/>
    <w:rsid w:val="5BAC158E"/>
    <w:rsid w:val="5C0F5E89"/>
    <w:rsid w:val="5C194129"/>
    <w:rsid w:val="5C1C3400"/>
    <w:rsid w:val="5C2804AD"/>
    <w:rsid w:val="5C3C6CB8"/>
    <w:rsid w:val="5CA23634"/>
    <w:rsid w:val="5CA478F0"/>
    <w:rsid w:val="5CA672E1"/>
    <w:rsid w:val="5CD76BD9"/>
    <w:rsid w:val="5CE639D8"/>
    <w:rsid w:val="5CED210B"/>
    <w:rsid w:val="5D0E3AB3"/>
    <w:rsid w:val="5DB021F7"/>
    <w:rsid w:val="5DDA619B"/>
    <w:rsid w:val="5E00477C"/>
    <w:rsid w:val="5E113AEE"/>
    <w:rsid w:val="5E32072B"/>
    <w:rsid w:val="5E435D88"/>
    <w:rsid w:val="5E6B6BB8"/>
    <w:rsid w:val="5E8343A9"/>
    <w:rsid w:val="5EDA20E9"/>
    <w:rsid w:val="5F241E95"/>
    <w:rsid w:val="5F686815"/>
    <w:rsid w:val="5FF65310"/>
    <w:rsid w:val="60177C29"/>
    <w:rsid w:val="60211151"/>
    <w:rsid w:val="60246991"/>
    <w:rsid w:val="60341DFF"/>
    <w:rsid w:val="607A55E1"/>
    <w:rsid w:val="609B3C2C"/>
    <w:rsid w:val="609B4D2A"/>
    <w:rsid w:val="609E371C"/>
    <w:rsid w:val="60C223EF"/>
    <w:rsid w:val="60DD4BA5"/>
    <w:rsid w:val="612727C6"/>
    <w:rsid w:val="614A0876"/>
    <w:rsid w:val="61587C61"/>
    <w:rsid w:val="61B01958"/>
    <w:rsid w:val="61C05174"/>
    <w:rsid w:val="61DB4182"/>
    <w:rsid w:val="61E92CCA"/>
    <w:rsid w:val="62281F4B"/>
    <w:rsid w:val="62342D75"/>
    <w:rsid w:val="625A1317"/>
    <w:rsid w:val="62821504"/>
    <w:rsid w:val="62D3757E"/>
    <w:rsid w:val="62E93FA4"/>
    <w:rsid w:val="62FA7330"/>
    <w:rsid w:val="631D7E23"/>
    <w:rsid w:val="633A7FA4"/>
    <w:rsid w:val="636A4689"/>
    <w:rsid w:val="639916D3"/>
    <w:rsid w:val="63A31776"/>
    <w:rsid w:val="63FD6F73"/>
    <w:rsid w:val="6423627E"/>
    <w:rsid w:val="64436AB5"/>
    <w:rsid w:val="644903C3"/>
    <w:rsid w:val="6463533F"/>
    <w:rsid w:val="64A26BBA"/>
    <w:rsid w:val="64AE6553"/>
    <w:rsid w:val="64B06C0B"/>
    <w:rsid w:val="64BD5EB2"/>
    <w:rsid w:val="64F502BB"/>
    <w:rsid w:val="65136487"/>
    <w:rsid w:val="651F1583"/>
    <w:rsid w:val="655A40B6"/>
    <w:rsid w:val="656B40A0"/>
    <w:rsid w:val="65864EAB"/>
    <w:rsid w:val="65CB6D62"/>
    <w:rsid w:val="65FA5DBC"/>
    <w:rsid w:val="65FD4038"/>
    <w:rsid w:val="662207D5"/>
    <w:rsid w:val="6636323C"/>
    <w:rsid w:val="66435C4A"/>
    <w:rsid w:val="66860D55"/>
    <w:rsid w:val="66E35E10"/>
    <w:rsid w:val="66F81DD8"/>
    <w:rsid w:val="66FA167E"/>
    <w:rsid w:val="67727D2C"/>
    <w:rsid w:val="67E078DF"/>
    <w:rsid w:val="67FD2842"/>
    <w:rsid w:val="67FF2D16"/>
    <w:rsid w:val="682069FD"/>
    <w:rsid w:val="683F0AC4"/>
    <w:rsid w:val="68776E8D"/>
    <w:rsid w:val="688A2124"/>
    <w:rsid w:val="68B74EC8"/>
    <w:rsid w:val="69113E5F"/>
    <w:rsid w:val="69282628"/>
    <w:rsid w:val="69530E9A"/>
    <w:rsid w:val="69801C11"/>
    <w:rsid w:val="69CB06BF"/>
    <w:rsid w:val="6A0D5B9B"/>
    <w:rsid w:val="6A13774D"/>
    <w:rsid w:val="6A5E1C04"/>
    <w:rsid w:val="6A605EE2"/>
    <w:rsid w:val="6A8E7313"/>
    <w:rsid w:val="6A906F95"/>
    <w:rsid w:val="6AA21D1D"/>
    <w:rsid w:val="6ABD6813"/>
    <w:rsid w:val="6ACE5484"/>
    <w:rsid w:val="6AEE0DD2"/>
    <w:rsid w:val="6B342416"/>
    <w:rsid w:val="6B87372B"/>
    <w:rsid w:val="6B9648E2"/>
    <w:rsid w:val="6B97389C"/>
    <w:rsid w:val="6BB04D51"/>
    <w:rsid w:val="6BCA3EE2"/>
    <w:rsid w:val="6BDD524C"/>
    <w:rsid w:val="6C2F6ED2"/>
    <w:rsid w:val="6C4F42F8"/>
    <w:rsid w:val="6C4F730A"/>
    <w:rsid w:val="6C74101A"/>
    <w:rsid w:val="6C78486E"/>
    <w:rsid w:val="6C804E3A"/>
    <w:rsid w:val="6C88654F"/>
    <w:rsid w:val="6CA9178D"/>
    <w:rsid w:val="6CB73CF7"/>
    <w:rsid w:val="6CBB4B08"/>
    <w:rsid w:val="6D47008B"/>
    <w:rsid w:val="6DA077C1"/>
    <w:rsid w:val="6DCD0837"/>
    <w:rsid w:val="6DDE645C"/>
    <w:rsid w:val="6EE132C7"/>
    <w:rsid w:val="6F0068EF"/>
    <w:rsid w:val="6F050D2E"/>
    <w:rsid w:val="6F145A74"/>
    <w:rsid w:val="6F2E5B23"/>
    <w:rsid w:val="6F6C44E9"/>
    <w:rsid w:val="6F7E0BD0"/>
    <w:rsid w:val="6FCF56A0"/>
    <w:rsid w:val="6FE0165C"/>
    <w:rsid w:val="6FEF578F"/>
    <w:rsid w:val="7026168C"/>
    <w:rsid w:val="70380997"/>
    <w:rsid w:val="70786DFB"/>
    <w:rsid w:val="707D6EAA"/>
    <w:rsid w:val="70E21403"/>
    <w:rsid w:val="7190518B"/>
    <w:rsid w:val="71B07212"/>
    <w:rsid w:val="71D965E2"/>
    <w:rsid w:val="71DF0BB3"/>
    <w:rsid w:val="72163D17"/>
    <w:rsid w:val="72283C5B"/>
    <w:rsid w:val="72330264"/>
    <w:rsid w:val="726F778B"/>
    <w:rsid w:val="728E35F1"/>
    <w:rsid w:val="72DC479F"/>
    <w:rsid w:val="73043725"/>
    <w:rsid w:val="73052279"/>
    <w:rsid w:val="731C71CE"/>
    <w:rsid w:val="73395D1E"/>
    <w:rsid w:val="733E7ADA"/>
    <w:rsid w:val="734839D0"/>
    <w:rsid w:val="73580BCD"/>
    <w:rsid w:val="73780A17"/>
    <w:rsid w:val="7395275D"/>
    <w:rsid w:val="739A384D"/>
    <w:rsid w:val="73A66EC1"/>
    <w:rsid w:val="73C500A8"/>
    <w:rsid w:val="73C7188E"/>
    <w:rsid w:val="73D15B52"/>
    <w:rsid w:val="7402791D"/>
    <w:rsid w:val="74063D9D"/>
    <w:rsid w:val="743A7C47"/>
    <w:rsid w:val="74CF33B1"/>
    <w:rsid w:val="74EF22B9"/>
    <w:rsid w:val="74FF23F9"/>
    <w:rsid w:val="7503065E"/>
    <w:rsid w:val="754B0D09"/>
    <w:rsid w:val="75A77531"/>
    <w:rsid w:val="76081125"/>
    <w:rsid w:val="76651C0D"/>
    <w:rsid w:val="768272AF"/>
    <w:rsid w:val="76D82401"/>
    <w:rsid w:val="76EA2DC0"/>
    <w:rsid w:val="76F53AEF"/>
    <w:rsid w:val="77023642"/>
    <w:rsid w:val="77495D38"/>
    <w:rsid w:val="77624E21"/>
    <w:rsid w:val="77F10179"/>
    <w:rsid w:val="77FE6E40"/>
    <w:rsid w:val="78212EB3"/>
    <w:rsid w:val="782A4759"/>
    <w:rsid w:val="782B3649"/>
    <w:rsid w:val="784329C7"/>
    <w:rsid w:val="788F1479"/>
    <w:rsid w:val="78BD1FA7"/>
    <w:rsid w:val="78FA2DA2"/>
    <w:rsid w:val="78FD04CC"/>
    <w:rsid w:val="79703A50"/>
    <w:rsid w:val="798475D4"/>
    <w:rsid w:val="79D36A58"/>
    <w:rsid w:val="79EF5B06"/>
    <w:rsid w:val="7A044199"/>
    <w:rsid w:val="7A11408C"/>
    <w:rsid w:val="7A117F7C"/>
    <w:rsid w:val="7A2807F1"/>
    <w:rsid w:val="7A2939B4"/>
    <w:rsid w:val="7A455D6A"/>
    <w:rsid w:val="7A9D7A99"/>
    <w:rsid w:val="7AD51075"/>
    <w:rsid w:val="7AFD05DF"/>
    <w:rsid w:val="7B566704"/>
    <w:rsid w:val="7B760503"/>
    <w:rsid w:val="7B8E4B24"/>
    <w:rsid w:val="7BEE018A"/>
    <w:rsid w:val="7BF22EBA"/>
    <w:rsid w:val="7C0A3D07"/>
    <w:rsid w:val="7C2D409B"/>
    <w:rsid w:val="7C4C454C"/>
    <w:rsid w:val="7C513D15"/>
    <w:rsid w:val="7C5905B6"/>
    <w:rsid w:val="7C9A6AEA"/>
    <w:rsid w:val="7CB36D3E"/>
    <w:rsid w:val="7CE432B0"/>
    <w:rsid w:val="7CF27FB9"/>
    <w:rsid w:val="7D220CC3"/>
    <w:rsid w:val="7D653255"/>
    <w:rsid w:val="7D667D5C"/>
    <w:rsid w:val="7D9D2CE0"/>
    <w:rsid w:val="7DE33CE3"/>
    <w:rsid w:val="7DF82BBE"/>
    <w:rsid w:val="7E15087E"/>
    <w:rsid w:val="7E163059"/>
    <w:rsid w:val="7E4A543B"/>
    <w:rsid w:val="7E6D2DC5"/>
    <w:rsid w:val="7E7A43B5"/>
    <w:rsid w:val="7EA97FD5"/>
    <w:rsid w:val="7EB03964"/>
    <w:rsid w:val="7EB4661A"/>
    <w:rsid w:val="7EBD21E5"/>
    <w:rsid w:val="7EE527EB"/>
    <w:rsid w:val="7EFD16EC"/>
    <w:rsid w:val="7F1B1084"/>
    <w:rsid w:val="7F6D64CE"/>
    <w:rsid w:val="7F7E3433"/>
    <w:rsid w:val="7FA3761A"/>
    <w:rsid w:val="7FA51F7A"/>
    <w:rsid w:val="7FB94E9E"/>
    <w:rsid w:val="7FFE6B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2"/>
    <w:qFormat/>
    <w:uiPriority w:val="0"/>
    <w:pPr>
      <w:keepNext/>
      <w:outlineLvl w:val="0"/>
    </w:pPr>
    <w:rPr>
      <w:rFonts w:ascii="宋体" w:hAnsi="宋体" w:cs="宋体"/>
      <w:b/>
      <w:sz w:val="52"/>
      <w:szCs w:val="24"/>
    </w:rPr>
  </w:style>
  <w:style w:type="paragraph" w:styleId="4">
    <w:name w:val="heading 2"/>
    <w:basedOn w:val="1"/>
    <w:next w:val="1"/>
    <w:link w:val="57"/>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link w:val="72"/>
    <w:qFormat/>
    <w:uiPriority w:val="0"/>
    <w:pPr>
      <w:keepNext/>
      <w:keepLines/>
      <w:spacing w:line="416" w:lineRule="auto"/>
      <w:outlineLvl w:val="2"/>
    </w:pPr>
    <w:rPr>
      <w:b/>
      <w:bCs/>
      <w:sz w:val="32"/>
      <w:szCs w:val="32"/>
    </w:rPr>
  </w:style>
  <w:style w:type="paragraph" w:styleId="6">
    <w:name w:val="heading 4"/>
    <w:basedOn w:val="1"/>
    <w:next w:val="1"/>
    <w:qFormat/>
    <w:uiPriority w:val="0"/>
    <w:pPr>
      <w:keepNext/>
      <w:keepLines/>
      <w:spacing w:line="376" w:lineRule="auto"/>
      <w:outlineLvl w:val="3"/>
    </w:pPr>
    <w:rPr>
      <w:rFonts w:ascii="Arial" w:hAnsi="Arial" w:eastAsia="黑体"/>
      <w:b/>
      <w:bCs/>
      <w:sz w:val="28"/>
      <w:szCs w:val="28"/>
    </w:rPr>
  </w:style>
  <w:style w:type="paragraph" w:styleId="7">
    <w:name w:val="heading 7"/>
    <w:basedOn w:val="1"/>
    <w:next w:val="1"/>
    <w:link w:val="63"/>
    <w:qFormat/>
    <w:uiPriority w:val="0"/>
    <w:pPr>
      <w:keepNext/>
      <w:keepLines/>
      <w:spacing w:line="320" w:lineRule="auto"/>
      <w:outlineLvl w:val="6"/>
    </w:pPr>
    <w:rPr>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54"/>
    <w:qFormat/>
    <w:uiPriority w:val="0"/>
    <w:rPr>
      <w:rFonts w:ascii="宋体" w:hAnsi="Courier New"/>
    </w:rPr>
  </w:style>
  <w:style w:type="paragraph" w:styleId="8">
    <w:name w:val="List Number"/>
    <w:basedOn w:val="1"/>
    <w:qFormat/>
    <w:uiPriority w:val="0"/>
    <w:pPr>
      <w:widowControl/>
      <w:numPr>
        <w:ilvl w:val="0"/>
        <w:numId w:val="1"/>
      </w:numPr>
      <w:tabs>
        <w:tab w:val="left" w:pos="454"/>
        <w:tab w:val="left" w:pos="720"/>
        <w:tab w:val="clear" w:pos="360"/>
      </w:tabs>
      <w:spacing w:afterLines="50"/>
      <w:ind w:left="454" w:hanging="284"/>
      <w:jc w:val="left"/>
    </w:pPr>
    <w:rPr>
      <w:kern w:val="0"/>
      <w:sz w:val="24"/>
    </w:rPr>
  </w:style>
  <w:style w:type="paragraph" w:styleId="9">
    <w:name w:val="Normal Indent"/>
    <w:basedOn w:val="1"/>
    <w:next w:val="1"/>
    <w:link w:val="56"/>
    <w:qFormat/>
    <w:uiPriority w:val="0"/>
    <w:pPr>
      <w:ind w:firstLine="420" w:firstLineChars="200"/>
    </w:pPr>
  </w:style>
  <w:style w:type="paragraph" w:styleId="10">
    <w:name w:val="caption"/>
    <w:basedOn w:val="1"/>
    <w:next w:val="1"/>
    <w:qFormat/>
    <w:uiPriority w:val="0"/>
    <w:rPr>
      <w:rFonts w:ascii="Arial" w:hAnsi="Arial" w:eastAsia="黑体" w:cs="Arial"/>
      <w:sz w:val="20"/>
    </w:rPr>
  </w:style>
  <w:style w:type="paragraph" w:styleId="11">
    <w:name w:val="index 5"/>
    <w:basedOn w:val="1"/>
    <w:next w:val="1"/>
    <w:qFormat/>
    <w:uiPriority w:val="0"/>
    <w:pPr>
      <w:ind w:left="800" w:leftChars="800"/>
    </w:pPr>
  </w:style>
  <w:style w:type="paragraph" w:styleId="12">
    <w:name w:val="toa heading"/>
    <w:basedOn w:val="1"/>
    <w:next w:val="1"/>
    <w:qFormat/>
    <w:uiPriority w:val="0"/>
    <w:pPr>
      <w:spacing w:before="120"/>
    </w:pPr>
    <w:rPr>
      <w:rFonts w:ascii="Cambria" w:hAnsi="Cambria" w:cs="Times New Roman"/>
      <w:sz w:val="24"/>
    </w:rPr>
  </w:style>
  <w:style w:type="paragraph" w:styleId="13">
    <w:name w:val="annotation text"/>
    <w:basedOn w:val="1"/>
    <w:semiHidden/>
    <w:qFormat/>
    <w:uiPriority w:val="0"/>
    <w:pPr>
      <w:jc w:val="left"/>
    </w:pPr>
  </w:style>
  <w:style w:type="paragraph" w:styleId="14">
    <w:name w:val="Body Text"/>
    <w:basedOn w:val="1"/>
    <w:next w:val="15"/>
    <w:link w:val="60"/>
    <w:semiHidden/>
    <w:qFormat/>
    <w:uiPriority w:val="0"/>
    <w:pPr>
      <w:autoSpaceDE w:val="0"/>
      <w:autoSpaceDN w:val="0"/>
      <w:adjustRightInd w:val="0"/>
      <w:spacing w:line="320" w:lineRule="atLeast"/>
      <w:ind w:firstLine="357"/>
      <w:textAlignment w:val="baseline"/>
    </w:pPr>
    <w:rPr>
      <w:sz w:val="18"/>
    </w:rPr>
  </w:style>
  <w:style w:type="paragraph" w:styleId="15">
    <w:name w:val="Date"/>
    <w:basedOn w:val="1"/>
    <w:next w:val="1"/>
    <w:qFormat/>
    <w:uiPriority w:val="0"/>
    <w:pPr>
      <w:ind w:left="100"/>
    </w:pPr>
    <w:rPr>
      <w:sz w:val="28"/>
    </w:rPr>
  </w:style>
  <w:style w:type="paragraph" w:styleId="16">
    <w:name w:val="Body Text Indent"/>
    <w:basedOn w:val="1"/>
    <w:next w:val="6"/>
    <w:qFormat/>
    <w:uiPriority w:val="0"/>
    <w:pPr>
      <w:ind w:left="420" w:leftChars="200"/>
    </w:pPr>
  </w:style>
  <w:style w:type="paragraph" w:styleId="17">
    <w:name w:val="toc 3"/>
    <w:basedOn w:val="1"/>
    <w:next w:val="1"/>
    <w:unhideWhenUsed/>
    <w:qFormat/>
    <w:uiPriority w:val="0"/>
    <w:pPr>
      <w:autoSpaceDE w:val="0"/>
      <w:autoSpaceDN w:val="0"/>
      <w:adjustRightInd w:val="0"/>
      <w:spacing w:line="312" w:lineRule="atLeast"/>
      <w:ind w:left="840" w:leftChars="400"/>
      <w:textAlignment w:val="baseline"/>
    </w:pPr>
    <w:rPr>
      <w:kern w:val="0"/>
    </w:rPr>
  </w:style>
  <w:style w:type="paragraph" w:styleId="18">
    <w:name w:val="Body Text Indent 2"/>
    <w:basedOn w:val="1"/>
    <w:qFormat/>
    <w:uiPriority w:val="0"/>
    <w:pPr>
      <w:ind w:firstLine="480"/>
    </w:pPr>
    <w:rPr>
      <w:rFonts w:ascii="宋体" w:hAnsi="宋体"/>
      <w:sz w:val="30"/>
      <w:szCs w:val="24"/>
    </w:rPr>
  </w:style>
  <w:style w:type="paragraph" w:styleId="19">
    <w:name w:val="Balloon Text"/>
    <w:basedOn w:val="1"/>
    <w:semiHidden/>
    <w:qFormat/>
    <w:uiPriority w:val="0"/>
    <w:rPr>
      <w:sz w:val="18"/>
      <w:szCs w:val="18"/>
    </w:rPr>
  </w:style>
  <w:style w:type="paragraph" w:styleId="20">
    <w:name w:val="footer"/>
    <w:basedOn w:val="1"/>
    <w:next w:val="1"/>
    <w:link w:val="61"/>
    <w:qFormat/>
    <w:uiPriority w:val="0"/>
    <w:pPr>
      <w:tabs>
        <w:tab w:val="center" w:pos="4153"/>
        <w:tab w:val="right" w:pos="8306"/>
      </w:tabs>
      <w:snapToGrid w:val="0"/>
      <w:jc w:val="left"/>
    </w:pPr>
    <w:rPr>
      <w:sz w:val="18"/>
    </w:rPr>
  </w:style>
  <w:style w:type="paragraph" w:styleId="21">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0"/>
    <w:pPr>
      <w:autoSpaceDE w:val="0"/>
      <w:autoSpaceDN w:val="0"/>
      <w:adjustRightInd w:val="0"/>
      <w:spacing w:line="312" w:lineRule="atLeast"/>
      <w:textAlignment w:val="baseline"/>
    </w:pPr>
    <w:rPr>
      <w:kern w:val="0"/>
    </w:rPr>
  </w:style>
  <w:style w:type="paragraph" w:styleId="23">
    <w:name w:val="List"/>
    <w:basedOn w:val="1"/>
    <w:semiHidden/>
    <w:qFormat/>
    <w:uiPriority w:val="0"/>
    <w:pPr>
      <w:autoSpaceDE w:val="0"/>
      <w:autoSpaceDN w:val="0"/>
      <w:adjustRightInd w:val="0"/>
      <w:ind w:left="420" w:hanging="420"/>
      <w:textAlignment w:val="baseline"/>
    </w:pPr>
  </w:style>
  <w:style w:type="paragraph" w:styleId="24">
    <w:name w:val="footnote text"/>
    <w:basedOn w:val="1"/>
    <w:next w:val="11"/>
    <w:qFormat/>
    <w:uiPriority w:val="0"/>
    <w:pPr>
      <w:adjustRightInd w:val="0"/>
      <w:spacing w:line="312" w:lineRule="atLeast"/>
      <w:jc w:val="left"/>
      <w:textAlignment w:val="baseline"/>
    </w:pPr>
    <w:rPr>
      <w:kern w:val="0"/>
      <w:sz w:val="18"/>
      <w:szCs w:val="20"/>
    </w:rPr>
  </w:style>
  <w:style w:type="paragraph" w:styleId="25">
    <w:name w:val="toc 2"/>
    <w:basedOn w:val="1"/>
    <w:next w:val="1"/>
    <w:unhideWhenUsed/>
    <w:qFormat/>
    <w:uiPriority w:val="0"/>
    <w:pPr>
      <w:autoSpaceDE w:val="0"/>
      <w:autoSpaceDN w:val="0"/>
      <w:adjustRightInd w:val="0"/>
      <w:spacing w:line="312" w:lineRule="atLeast"/>
      <w:ind w:left="420" w:leftChars="200"/>
      <w:textAlignment w:val="baseline"/>
    </w:pPr>
    <w:rPr>
      <w:kern w:val="0"/>
    </w:rPr>
  </w:style>
  <w:style w:type="paragraph" w:styleId="26">
    <w:name w:val="Normal (Web)"/>
    <w:basedOn w:val="1"/>
    <w:qFormat/>
    <w:uiPriority w:val="0"/>
    <w:pPr>
      <w:widowControl/>
      <w:spacing w:beforeAutospacing="1" w:afterAutospacing="1"/>
      <w:jc w:val="left"/>
    </w:pPr>
    <w:rPr>
      <w:rFonts w:ascii="宋体" w:hAnsi="宋体" w:cs="宋体"/>
      <w:kern w:val="0"/>
      <w:sz w:val="24"/>
      <w:szCs w:val="24"/>
    </w:rPr>
  </w:style>
  <w:style w:type="paragraph" w:styleId="27">
    <w:name w:val="annotation subject"/>
    <w:basedOn w:val="13"/>
    <w:next w:val="13"/>
    <w:semiHidden/>
    <w:qFormat/>
    <w:uiPriority w:val="0"/>
    <w:rPr>
      <w:b/>
      <w:bCs/>
    </w:rPr>
  </w:style>
  <w:style w:type="paragraph" w:styleId="28">
    <w:name w:val="Body Text First Indent"/>
    <w:basedOn w:val="14"/>
    <w:link w:val="55"/>
    <w:unhideWhenUsed/>
    <w:qFormat/>
    <w:uiPriority w:val="0"/>
    <w:pPr>
      <w:spacing w:line="312" w:lineRule="atLeast"/>
      <w:ind w:firstLine="420" w:firstLineChars="100"/>
    </w:pPr>
    <w:rPr>
      <w:sz w:val="21"/>
    </w:rPr>
  </w:style>
  <w:style w:type="paragraph" w:styleId="29">
    <w:name w:val="Body Text First Indent 2"/>
    <w:basedOn w:val="16"/>
    <w:next w:val="1"/>
    <w:qFormat/>
    <w:uiPriority w:val="0"/>
    <w:pPr>
      <w:ind w:firstLine="420" w:firstLineChars="200"/>
    </w:pPr>
    <w:rPr>
      <w:rFonts w:eastAsia="宋?"/>
      <w:sz w:val="32"/>
      <w:szCs w:val="3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rPr>
  </w:style>
  <w:style w:type="character" w:styleId="34">
    <w:name w:val="page number"/>
    <w:basedOn w:val="32"/>
    <w:qFormat/>
    <w:uiPriority w:val="0"/>
  </w:style>
  <w:style w:type="character" w:styleId="35">
    <w:name w:val="Hyperlink"/>
    <w:basedOn w:val="32"/>
    <w:qFormat/>
    <w:uiPriority w:val="0"/>
    <w:rPr>
      <w:color w:val="0000FF"/>
      <w:u w:val="single"/>
    </w:rPr>
  </w:style>
  <w:style w:type="character" w:styleId="36">
    <w:name w:val="annotation reference"/>
    <w:basedOn w:val="32"/>
    <w:semiHidden/>
    <w:qFormat/>
    <w:uiPriority w:val="0"/>
    <w:rPr>
      <w:sz w:val="21"/>
      <w:szCs w:val="21"/>
    </w:rPr>
  </w:style>
  <w:style w:type="character" w:styleId="37">
    <w:name w:val="HTML Sample"/>
    <w:basedOn w:val="32"/>
    <w:qFormat/>
    <w:uiPriority w:val="0"/>
    <w:rPr>
      <w:rFonts w:ascii="Courier New" w:hAnsi="Courier New" w:eastAsia="宋体" w:cs="Times New Roman"/>
    </w:rPr>
  </w:style>
  <w:style w:type="paragraph" w:customStyle="1" w:styleId="38">
    <w:name w:val="NormalIndent"/>
    <w:basedOn w:val="1"/>
    <w:next w:val="1"/>
    <w:qFormat/>
    <w:uiPriority w:val="0"/>
    <w:pPr>
      <w:widowControl/>
      <w:ind w:firstLine="420"/>
      <w:jc w:val="left"/>
      <w:textAlignment w:val="baseline"/>
    </w:pPr>
    <w:rPr>
      <w:rFonts w:ascii="Calibri" w:hAnsi="Calibri"/>
      <w:kern w:val="0"/>
      <w:sz w:val="20"/>
      <w:szCs w:val="20"/>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标准中文版式_正文"/>
    <w:basedOn w:val="1"/>
    <w:qFormat/>
    <w:uiPriority w:val="0"/>
    <w:pPr>
      <w:spacing w:line="360" w:lineRule="auto"/>
      <w:ind w:firstLine="200" w:firstLineChars="200"/>
    </w:pPr>
    <w:rPr>
      <w:rFonts w:ascii="Arial" w:hAnsi="Arial"/>
      <w:sz w:val="24"/>
    </w:rPr>
  </w:style>
  <w:style w:type="paragraph" w:customStyle="1" w:styleId="43">
    <w:name w:val="样式 样式 样式 首行缩进 + 首行缩进:  2 字符 + 首行缩进:  2 字符 + 首行缩进:  2 字符"/>
    <w:basedOn w:val="1"/>
    <w:qFormat/>
    <w:uiPriority w:val="0"/>
    <w:pPr>
      <w:snapToGrid w:val="0"/>
      <w:spacing w:line="360" w:lineRule="auto"/>
      <w:ind w:left="-180" w:leftChars="-75" w:firstLine="536" w:firstLineChars="182"/>
    </w:pPr>
    <w:rPr>
      <w:rFonts w:ascii="宋体" w:hAnsi="宋体" w:cs="宋体"/>
      <w:spacing w:val="-6"/>
      <w:sz w:val="24"/>
      <w:szCs w:val="24"/>
    </w:rPr>
  </w:style>
  <w:style w:type="paragraph" w:customStyle="1" w:styleId="44">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样式 样式 样式 左侧:  2 字符1 + 首行缩进:  2 字符1 + 首行缩进:  2 字符"/>
    <w:basedOn w:val="1"/>
    <w:qFormat/>
    <w:uiPriority w:val="0"/>
    <w:pPr>
      <w:widowControl/>
      <w:spacing w:line="440" w:lineRule="atLeast"/>
      <w:ind w:firstLine="480"/>
    </w:pPr>
    <w:rPr>
      <w:rFonts w:hint="eastAsia"/>
      <w:sz w:val="24"/>
    </w:rPr>
  </w:style>
  <w:style w:type="paragraph" w:customStyle="1" w:styleId="46">
    <w:name w:val="图1"/>
    <w:basedOn w:val="1"/>
    <w:next w:val="1"/>
    <w:qFormat/>
    <w:uiPriority w:val="0"/>
    <w:pPr>
      <w:numPr>
        <w:ilvl w:val="0"/>
        <w:numId w:val="2"/>
      </w:numPr>
      <w:tabs>
        <w:tab w:val="left" w:pos="777"/>
        <w:tab w:val="clear" w:pos="709"/>
      </w:tabs>
      <w:spacing w:beforeLines="50" w:afterLines="100" w:line="360" w:lineRule="auto"/>
      <w:ind w:left="2210" w:hanging="748"/>
      <w:jc w:val="center"/>
    </w:pPr>
    <w:rPr>
      <w:kern w:val="0"/>
      <w:sz w:val="24"/>
      <w:szCs w:val="24"/>
    </w:rPr>
  </w:style>
  <w:style w:type="paragraph" w:customStyle="1" w:styleId="47">
    <w:name w:val="正文（首行缩进2字符）"/>
    <w:basedOn w:val="1"/>
    <w:link w:val="58"/>
    <w:qFormat/>
    <w:uiPriority w:val="0"/>
    <w:pPr>
      <w:spacing w:line="360" w:lineRule="auto"/>
      <w:ind w:firstLine="480" w:firstLineChars="200"/>
    </w:pPr>
    <w:rPr>
      <w:sz w:val="24"/>
    </w:rPr>
  </w:style>
  <w:style w:type="paragraph" w:customStyle="1" w:styleId="48">
    <w:name w:val="xl30"/>
    <w:basedOn w:val="1"/>
    <w:qFormat/>
    <w:uiPriority w:val="0"/>
    <w:pPr>
      <w:widowControl/>
      <w:pBdr>
        <w:left w:val="single" w:color="auto" w:sz="4" w:space="0"/>
        <w:bottom w:val="single" w:color="auto" w:sz="4" w:space="0"/>
        <w:right w:val="single" w:color="auto" w:sz="4" w:space="0"/>
      </w:pBdr>
      <w:spacing w:beforeAutospacing="1" w:afterAutospacing="1"/>
      <w:jc w:val="center"/>
    </w:pPr>
    <w:rPr>
      <w:rFonts w:ascii="Arial Unicode MS" w:hAnsi="Arial Unicode MS"/>
      <w:kern w:val="0"/>
      <w:sz w:val="20"/>
    </w:rPr>
  </w:style>
  <w:style w:type="paragraph" w:customStyle="1" w:styleId="4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50">
    <w:name w:val="列出段落1"/>
    <w:basedOn w:val="1"/>
    <w:qFormat/>
    <w:uiPriority w:val="0"/>
    <w:pPr>
      <w:ind w:firstLine="420" w:firstLineChars="200"/>
    </w:pPr>
    <w:rPr>
      <w:rFonts w:ascii="Calibri" w:hAnsi="Calibri"/>
      <w:szCs w:val="22"/>
    </w:rPr>
  </w:style>
  <w:style w:type="paragraph" w:customStyle="1" w:styleId="51">
    <w:name w:val="TOC 标题1"/>
    <w:basedOn w:val="3"/>
    <w:next w:val="1"/>
    <w:qFormat/>
    <w:uiPriority w:val="0"/>
    <w:pPr>
      <w:keepLines/>
      <w:widowControl/>
      <w:spacing w:line="276" w:lineRule="auto"/>
      <w:jc w:val="left"/>
      <w:outlineLvl w:val="9"/>
    </w:pPr>
    <w:rPr>
      <w:rFonts w:ascii="Cambria" w:hAnsi="Cambria" w:cs="Times New Roman"/>
      <w:bCs/>
      <w:color w:val="365F91"/>
      <w:kern w:val="0"/>
      <w:sz w:val="28"/>
      <w:szCs w:val="28"/>
    </w:rPr>
  </w:style>
  <w:style w:type="character" w:customStyle="1" w:styleId="52">
    <w:name w:val="Char Char4"/>
    <w:basedOn w:val="32"/>
    <w:qFormat/>
    <w:uiPriority w:val="0"/>
    <w:rPr>
      <w:rFonts w:eastAsia="宋体"/>
      <w:kern w:val="2"/>
      <w:sz w:val="18"/>
      <w:lang w:val="en-US" w:eastAsia="zh-CN" w:bidi="ar-SA"/>
    </w:rPr>
  </w:style>
  <w:style w:type="character" w:customStyle="1" w:styleId="53">
    <w:name w:val="超链接1"/>
    <w:qFormat/>
    <w:uiPriority w:val="0"/>
    <w:rPr>
      <w:color w:val="0000FF"/>
      <w:sz w:val="20"/>
      <w:u w:val="single"/>
    </w:rPr>
  </w:style>
  <w:style w:type="character" w:customStyle="1" w:styleId="54">
    <w:name w:val="纯文本 Char"/>
    <w:basedOn w:val="32"/>
    <w:link w:val="2"/>
    <w:qFormat/>
    <w:uiPriority w:val="0"/>
    <w:rPr>
      <w:rFonts w:ascii="宋体" w:hAnsi="Courier New" w:eastAsia="宋体"/>
      <w:kern w:val="2"/>
      <w:sz w:val="21"/>
      <w:lang w:val="en-US" w:eastAsia="zh-CN" w:bidi="ar-SA"/>
    </w:rPr>
  </w:style>
  <w:style w:type="character" w:customStyle="1" w:styleId="55">
    <w:name w:val="正文首行缩进 Char"/>
    <w:link w:val="28"/>
    <w:semiHidden/>
    <w:qFormat/>
    <w:uiPriority w:val="0"/>
    <w:rPr>
      <w:rFonts w:eastAsia="宋体"/>
      <w:kern w:val="2"/>
      <w:sz w:val="21"/>
      <w:lang w:val="en-US" w:eastAsia="zh-CN" w:bidi="ar-SA"/>
    </w:rPr>
  </w:style>
  <w:style w:type="character" w:customStyle="1" w:styleId="56">
    <w:name w:val="正文缩进 Char"/>
    <w:link w:val="9"/>
    <w:qFormat/>
    <w:uiPriority w:val="0"/>
    <w:rPr>
      <w:rFonts w:eastAsia="宋体"/>
      <w:kern w:val="2"/>
      <w:sz w:val="21"/>
      <w:lang w:val="en-US" w:eastAsia="zh-CN" w:bidi="ar-SA"/>
    </w:rPr>
  </w:style>
  <w:style w:type="character" w:customStyle="1" w:styleId="57">
    <w:name w:val="标题 2 Char"/>
    <w:link w:val="4"/>
    <w:semiHidden/>
    <w:qFormat/>
    <w:uiPriority w:val="0"/>
    <w:rPr>
      <w:rFonts w:ascii="Arial" w:hAnsi="Arial" w:eastAsia="黑体"/>
      <w:b/>
      <w:bCs/>
      <w:kern w:val="2"/>
      <w:sz w:val="32"/>
      <w:szCs w:val="32"/>
      <w:lang w:val="en-US" w:eastAsia="zh-CN" w:bidi="ar-SA"/>
    </w:rPr>
  </w:style>
  <w:style w:type="character" w:customStyle="1" w:styleId="58">
    <w:name w:val="正文（首行缩进2字符） Char"/>
    <w:link w:val="47"/>
    <w:qFormat/>
    <w:uiPriority w:val="0"/>
    <w:rPr>
      <w:rFonts w:eastAsia="宋体"/>
      <w:kern w:val="2"/>
      <w:sz w:val="24"/>
      <w:lang w:bidi="ar-SA"/>
    </w:rPr>
  </w:style>
  <w:style w:type="character" w:customStyle="1" w:styleId="59">
    <w:name w:val="1page sec3 Char"/>
    <w:basedOn w:val="32"/>
    <w:semiHidden/>
    <w:qFormat/>
    <w:uiPriority w:val="0"/>
    <w:rPr>
      <w:rFonts w:eastAsia="宋体"/>
      <w:kern w:val="2"/>
      <w:sz w:val="18"/>
      <w:szCs w:val="18"/>
      <w:lang w:val="en-US" w:eastAsia="zh-CN" w:bidi="ar-SA"/>
    </w:rPr>
  </w:style>
  <w:style w:type="character" w:customStyle="1" w:styleId="60">
    <w:name w:val="正文文本 Char"/>
    <w:basedOn w:val="32"/>
    <w:link w:val="14"/>
    <w:qFormat/>
    <w:uiPriority w:val="0"/>
    <w:rPr>
      <w:rFonts w:eastAsia="宋体"/>
      <w:kern w:val="2"/>
      <w:sz w:val="18"/>
      <w:lang w:val="en-US" w:eastAsia="zh-CN" w:bidi="ar-SA"/>
    </w:rPr>
  </w:style>
  <w:style w:type="character" w:customStyle="1" w:styleId="61">
    <w:name w:val="页脚 Char"/>
    <w:link w:val="20"/>
    <w:qFormat/>
    <w:locked/>
    <w:uiPriority w:val="0"/>
    <w:rPr>
      <w:rFonts w:eastAsia="宋体"/>
      <w:kern w:val="2"/>
      <w:sz w:val="18"/>
      <w:lang w:val="en-US" w:eastAsia="zh-CN" w:bidi="ar-SA"/>
    </w:rPr>
  </w:style>
  <w:style w:type="character" w:customStyle="1" w:styleId="62">
    <w:name w:val="标题 1 Char"/>
    <w:basedOn w:val="32"/>
    <w:link w:val="3"/>
    <w:qFormat/>
    <w:locked/>
    <w:uiPriority w:val="0"/>
    <w:rPr>
      <w:rFonts w:ascii="宋体" w:hAnsi="宋体" w:eastAsia="宋体" w:cs="宋体"/>
      <w:b/>
      <w:kern w:val="2"/>
      <w:sz w:val="52"/>
      <w:szCs w:val="24"/>
      <w:lang w:val="en-US" w:eastAsia="zh-CN" w:bidi="ar-SA"/>
    </w:rPr>
  </w:style>
  <w:style w:type="character" w:customStyle="1" w:styleId="63">
    <w:name w:val="标题 7 Char"/>
    <w:link w:val="7"/>
    <w:qFormat/>
    <w:uiPriority w:val="0"/>
    <w:rPr>
      <w:rFonts w:eastAsia="宋体"/>
      <w:b/>
      <w:bCs/>
      <w:kern w:val="2"/>
      <w:sz w:val="24"/>
      <w:szCs w:val="24"/>
      <w:lang w:val="en-US" w:eastAsia="zh-CN" w:bidi="ar-SA"/>
    </w:rPr>
  </w:style>
  <w:style w:type="character" w:customStyle="1" w:styleId="64">
    <w:name w:val="页眉 Char"/>
    <w:link w:val="21"/>
    <w:qFormat/>
    <w:uiPriority w:val="0"/>
    <w:rPr>
      <w:rFonts w:eastAsia="宋体"/>
      <w:kern w:val="2"/>
      <w:sz w:val="18"/>
      <w:szCs w:val="18"/>
      <w:lang w:val="en-US" w:eastAsia="zh-CN" w:bidi="ar-SA"/>
    </w:rPr>
  </w:style>
  <w:style w:type="paragraph" w:customStyle="1" w:styleId="65">
    <w:name w:val="UserStyle_146"/>
    <w:basedOn w:val="1"/>
    <w:qFormat/>
    <w:uiPriority w:val="0"/>
    <w:pPr>
      <w:jc w:val="left"/>
    </w:pPr>
    <w:rPr>
      <w:rFonts w:ascii="宋体" w:hAnsi="宋体"/>
      <w:kern w:val="0"/>
      <w:sz w:val="22"/>
      <w:lang w:eastAsia="en-US"/>
    </w:rPr>
  </w:style>
  <w:style w:type="character" w:customStyle="1" w:styleId="66">
    <w:name w:val="font41"/>
    <w:basedOn w:val="32"/>
    <w:qFormat/>
    <w:uiPriority w:val="0"/>
    <w:rPr>
      <w:rFonts w:hint="eastAsia" w:ascii="宋体" w:hAnsi="宋体" w:eastAsia="宋体" w:cs="宋体"/>
      <w:color w:val="000000"/>
      <w:sz w:val="32"/>
      <w:szCs w:val="32"/>
      <w:u w:val="single"/>
    </w:rPr>
  </w:style>
  <w:style w:type="character" w:customStyle="1" w:styleId="67">
    <w:name w:val="font11"/>
    <w:basedOn w:val="32"/>
    <w:qFormat/>
    <w:uiPriority w:val="0"/>
    <w:rPr>
      <w:rFonts w:hint="eastAsia" w:ascii="宋体" w:hAnsi="宋体" w:eastAsia="宋体" w:cs="宋体"/>
      <w:color w:val="000000"/>
      <w:sz w:val="32"/>
      <w:szCs w:val="32"/>
      <w:u w:val="none"/>
    </w:rPr>
  </w:style>
  <w:style w:type="character" w:customStyle="1" w:styleId="68">
    <w:name w:val="font31"/>
    <w:basedOn w:val="32"/>
    <w:qFormat/>
    <w:uiPriority w:val="0"/>
    <w:rPr>
      <w:rFonts w:hint="eastAsia" w:ascii="宋体" w:hAnsi="宋体" w:eastAsia="宋体" w:cs="宋体"/>
      <w:color w:val="000000"/>
      <w:sz w:val="32"/>
      <w:szCs w:val="32"/>
      <w:u w:val="single"/>
    </w:rPr>
  </w:style>
  <w:style w:type="character" w:customStyle="1" w:styleId="69">
    <w:name w:val="NormalCharacter"/>
    <w:link w:val="70"/>
    <w:qFormat/>
    <w:uiPriority w:val="0"/>
  </w:style>
  <w:style w:type="paragraph" w:customStyle="1" w:styleId="70">
    <w:name w:val="UserStyle_5"/>
    <w:basedOn w:val="1"/>
    <w:link w:val="69"/>
    <w:qFormat/>
    <w:uiPriority w:val="0"/>
    <w:pPr>
      <w:widowControl/>
      <w:spacing w:after="160" w:line="240" w:lineRule="exact"/>
      <w:jc w:val="left"/>
      <w:textAlignment w:val="baseline"/>
    </w:pPr>
  </w:style>
  <w:style w:type="paragraph" w:customStyle="1" w:styleId="71">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character" w:customStyle="1" w:styleId="72">
    <w:name w:val="标题 3 Char"/>
    <w:link w:val="5"/>
    <w:qFormat/>
    <w:uiPriority w:val="0"/>
    <w:rPr>
      <w:b/>
      <w:bCs/>
      <w:sz w:val="32"/>
      <w:szCs w:val="32"/>
    </w:rPr>
  </w:style>
  <w:style w:type="paragraph" w:customStyle="1" w:styleId="73">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Normal_0"/>
    <w:qFormat/>
    <w:uiPriority w:val="0"/>
    <w:rPr>
      <w:rFonts w:ascii="Times New Roman" w:hAnsi="Times New Roman" w:eastAsia="Times New Roman" w:cs="Times New Roman"/>
      <w:sz w:val="24"/>
      <w:szCs w:val="24"/>
      <w:lang w:val="en-US" w:eastAsia="zh-CN" w:bidi="ar-SA"/>
    </w:rPr>
  </w:style>
  <w:style w:type="paragraph" w:customStyle="1" w:styleId="75">
    <w:name w:val="Table Text"/>
    <w:basedOn w:val="1"/>
    <w:semiHidden/>
    <w:qFormat/>
    <w:uiPriority w:val="0"/>
    <w:rPr>
      <w:rFonts w:ascii="宋体" w:hAnsi="宋体" w:eastAsia="宋体" w:cs="宋体"/>
      <w:sz w:val="23"/>
      <w:szCs w:val="23"/>
      <w:lang w:val="en-US" w:eastAsia="en-US" w:bidi="ar-SA"/>
    </w:rPr>
  </w:style>
  <w:style w:type="table" w:customStyle="1" w:styleId="76">
    <w:name w:val="Table Normal"/>
    <w:semiHidden/>
    <w:unhideWhenUsed/>
    <w:qFormat/>
    <w:uiPriority w:val="0"/>
    <w:tblPr>
      <w:tblCellMar>
        <w:top w:w="0" w:type="dxa"/>
        <w:left w:w="0" w:type="dxa"/>
        <w:bottom w:w="0" w:type="dxa"/>
        <w:right w:w="0" w:type="dxa"/>
      </w:tblCellMar>
    </w:tblPr>
  </w:style>
  <w:style w:type="paragraph" w:customStyle="1" w:styleId="77">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header" Target="header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25190</Words>
  <Characters>26124</Characters>
  <Lines>345</Lines>
  <Paragraphs>97</Paragraphs>
  <TotalTime>5</TotalTime>
  <ScaleCrop>false</ScaleCrop>
  <LinksUpToDate>false</LinksUpToDate>
  <CharactersWithSpaces>26912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2016-12-21T01:46:00Z</dcterms:created>
  <dc:creator>User</dc:creator>
  <cp:lastModifiedBy>昔年。</cp:lastModifiedBy>
  <cp:lastPrinted>2020-11-10T10:45:00Z</cp:lastPrinted>
  <dcterms:modified xsi:type="dcterms:W3CDTF">2023-10-31T10:36:47Z</dcterms:modified>
  <dc:title>阿克苏市某单位平安城市附属技防设施项目(竞争性谈判)</dc:title>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D4460D79299946E38102D286C81E8AE8_13</vt:lpwstr>
  </property>
</Properties>
</file>