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adjustRightInd w:val="0"/>
        <w:snapToGrid w:val="0"/>
        <w:spacing w:line="360" w:lineRule="auto"/>
        <w:rPr>
          <w:rFonts w:hint="eastAsia" w:ascii="宋体" w:hAnsi="宋体" w:cs="宋体"/>
          <w:b/>
          <w:bCs/>
          <w:sz w:val="36"/>
          <w:szCs w:val="36"/>
          <w:lang w:eastAsia="zh-CN"/>
        </w:rPr>
      </w:pPr>
      <w:bookmarkStart w:id="0" w:name="_Toc196041027"/>
    </w:p>
    <w:p>
      <w:pPr>
        <w:adjustRightInd w:val="0"/>
        <w:snapToGrid w:val="0"/>
        <w:spacing w:line="360" w:lineRule="auto"/>
        <w:jc w:val="center"/>
        <w:rPr>
          <w:rFonts w:hint="eastAsia" w:ascii="宋体" w:hAnsi="宋体" w:eastAsia="宋体"/>
          <w:bCs/>
          <w:sz w:val="36"/>
          <w:szCs w:val="36"/>
          <w:lang w:eastAsia="zh-CN"/>
        </w:rPr>
      </w:pPr>
      <w:r>
        <w:rPr>
          <w:rFonts w:hint="eastAsia" w:ascii="宋体" w:hAnsi="宋体" w:cs="宋体"/>
          <w:b/>
          <w:bCs/>
          <w:sz w:val="36"/>
          <w:szCs w:val="36"/>
          <w:lang w:eastAsia="zh-CN"/>
        </w:rPr>
        <w:t>库尔勒第二人民医院信息化能力提升项目（二标段）</w:t>
      </w:r>
    </w:p>
    <w:p>
      <w:pPr>
        <w:adjustRightInd w:val="0"/>
        <w:snapToGrid w:val="0"/>
        <w:spacing w:line="360" w:lineRule="auto"/>
        <w:jc w:val="center"/>
        <w:rPr>
          <w:rFonts w:ascii="宋体" w:hAnsi="宋体"/>
          <w:bCs/>
          <w:sz w:val="52"/>
          <w:szCs w:val="52"/>
        </w:rPr>
      </w:pPr>
    </w:p>
    <w:p>
      <w:pPr>
        <w:adjustRightInd w:val="0"/>
        <w:snapToGrid w:val="0"/>
        <w:spacing w:line="360" w:lineRule="auto"/>
        <w:jc w:val="center"/>
        <w:rPr>
          <w:rFonts w:ascii="宋体" w:hAnsi="宋体"/>
          <w:bCs/>
          <w:sz w:val="52"/>
          <w:szCs w:val="52"/>
        </w:rPr>
      </w:pPr>
    </w:p>
    <w:p>
      <w:pPr>
        <w:adjustRightInd w:val="0"/>
        <w:snapToGrid w:val="0"/>
        <w:spacing w:line="360" w:lineRule="auto"/>
        <w:rPr>
          <w:rFonts w:ascii="宋体" w:hAnsi="宋体"/>
          <w:bCs/>
          <w:sz w:val="52"/>
          <w:szCs w:val="52"/>
        </w:rPr>
      </w:pPr>
    </w:p>
    <w:p>
      <w:pPr>
        <w:adjustRightInd w:val="0"/>
        <w:snapToGrid w:val="0"/>
        <w:spacing w:line="360" w:lineRule="auto"/>
        <w:jc w:val="center"/>
        <w:rPr>
          <w:rFonts w:ascii="宋体" w:hAnsi="宋体"/>
          <w:bCs/>
          <w:sz w:val="52"/>
          <w:szCs w:val="52"/>
        </w:rPr>
      </w:pPr>
    </w:p>
    <w:p>
      <w:pPr>
        <w:pStyle w:val="45"/>
        <w:spacing w:line="360" w:lineRule="auto"/>
        <w:ind w:firstLine="2610" w:firstLineChars="500"/>
        <w:rPr>
          <w:rFonts w:hAnsi="宋体" w:cs="宋体"/>
          <w:b/>
          <w:bCs/>
          <w:sz w:val="52"/>
          <w:szCs w:val="52"/>
        </w:rPr>
      </w:pPr>
      <w:r>
        <w:rPr>
          <w:rFonts w:hint="eastAsia" w:hAnsi="宋体" w:cs="宋体"/>
          <w:b/>
          <w:bCs/>
          <w:sz w:val="52"/>
          <w:szCs w:val="52"/>
        </w:rPr>
        <w:t>竞争性磋商文件</w:t>
      </w:r>
    </w:p>
    <w:p>
      <w:pPr>
        <w:spacing w:line="360" w:lineRule="auto"/>
        <w:jc w:val="center"/>
        <w:rPr>
          <w:rFonts w:hint="eastAsia" w:ascii="宋体" w:hAnsi="宋体" w:eastAsia="宋体"/>
          <w:sz w:val="36"/>
          <w:szCs w:val="36"/>
          <w:lang w:eastAsia="zh-CN"/>
        </w:rPr>
      </w:pPr>
      <w:r>
        <w:rPr>
          <w:rFonts w:hint="eastAsia" w:ascii="宋体" w:hAnsi="宋体"/>
          <w:b/>
          <w:bCs/>
          <w:sz w:val="32"/>
          <w:szCs w:val="32"/>
        </w:rPr>
        <w:t>项目编号：</w:t>
      </w:r>
      <w:r>
        <w:rPr>
          <w:rFonts w:hint="eastAsia" w:ascii="宋体" w:hAnsi="宋体" w:cs="宋体"/>
          <w:b/>
          <w:sz w:val="36"/>
          <w:szCs w:val="36"/>
          <w:lang w:eastAsia="zh-CN"/>
        </w:rPr>
        <w:t>XJJMEYY-001（2）</w:t>
      </w:r>
    </w:p>
    <w:p>
      <w:pPr>
        <w:adjustRightInd w:val="0"/>
        <w:snapToGrid w:val="0"/>
        <w:spacing w:line="360" w:lineRule="auto"/>
        <w:jc w:val="center"/>
        <w:rPr>
          <w:rFonts w:ascii="宋体" w:hAnsi="宋体"/>
          <w:b/>
          <w:bCs/>
          <w:sz w:val="32"/>
        </w:rPr>
      </w:pPr>
    </w:p>
    <w:p>
      <w:pPr>
        <w:adjustRightInd w:val="0"/>
        <w:snapToGrid w:val="0"/>
        <w:spacing w:line="360" w:lineRule="auto"/>
        <w:jc w:val="center"/>
        <w:rPr>
          <w:rFonts w:ascii="宋体" w:hAnsi="宋体"/>
          <w:b/>
          <w:bCs/>
          <w:sz w:val="32"/>
        </w:rPr>
      </w:pPr>
    </w:p>
    <w:p>
      <w:pPr>
        <w:adjustRightInd w:val="0"/>
        <w:snapToGrid w:val="0"/>
        <w:spacing w:line="360" w:lineRule="auto"/>
        <w:jc w:val="center"/>
        <w:rPr>
          <w:rFonts w:ascii="宋体" w:hAnsi="宋体"/>
          <w:b/>
          <w:bCs/>
          <w:sz w:val="32"/>
        </w:rPr>
      </w:pPr>
    </w:p>
    <w:p>
      <w:pPr>
        <w:spacing w:line="360" w:lineRule="auto"/>
        <w:rPr>
          <w:rFonts w:ascii="宋体" w:hAnsi="宋体"/>
          <w:b/>
          <w:bCs/>
          <w:sz w:val="32"/>
        </w:rPr>
      </w:pPr>
    </w:p>
    <w:p>
      <w:pPr>
        <w:pStyle w:val="27"/>
        <w:spacing w:line="360" w:lineRule="auto"/>
        <w:rPr>
          <w:rFonts w:ascii="宋体" w:hAnsi="宋体"/>
          <w:b/>
          <w:bCs/>
          <w:sz w:val="32"/>
        </w:rPr>
      </w:pPr>
    </w:p>
    <w:tbl>
      <w:tblPr>
        <w:tblStyle w:val="88"/>
        <w:tblW w:w="0" w:type="auto"/>
        <w:jc w:val="center"/>
        <w:tblLayout w:type="fixed"/>
        <w:tblCellMar>
          <w:top w:w="0" w:type="dxa"/>
          <w:left w:w="108" w:type="dxa"/>
          <w:bottom w:w="0" w:type="dxa"/>
          <w:right w:w="108" w:type="dxa"/>
        </w:tblCellMar>
      </w:tblPr>
      <w:tblGrid>
        <w:gridCol w:w="2150"/>
        <w:gridCol w:w="6126"/>
      </w:tblGrid>
      <w:tr>
        <w:tblPrEx>
          <w:tblCellMar>
            <w:top w:w="0" w:type="dxa"/>
            <w:left w:w="108" w:type="dxa"/>
            <w:bottom w:w="0" w:type="dxa"/>
            <w:right w:w="108" w:type="dxa"/>
          </w:tblCellMar>
        </w:tblPrEx>
        <w:trPr>
          <w:trHeight w:val="487" w:hRule="atLeast"/>
          <w:jc w:val="center"/>
        </w:trPr>
        <w:tc>
          <w:tcPr>
            <w:tcW w:w="2150" w:type="dxa"/>
          </w:tcPr>
          <w:p>
            <w:pPr>
              <w:tabs>
                <w:tab w:val="left" w:pos="8504"/>
              </w:tabs>
              <w:spacing w:line="360" w:lineRule="auto"/>
              <w:jc w:val="distribute"/>
              <w:rPr>
                <w:rFonts w:ascii="宋体" w:hAnsi="宋体"/>
                <w:b/>
                <w:bCs/>
                <w:sz w:val="30"/>
                <w:szCs w:val="30"/>
              </w:rPr>
            </w:pPr>
            <w:r>
              <w:rPr>
                <w:rFonts w:hint="eastAsia" w:ascii="宋体" w:hAnsi="宋体"/>
                <w:b/>
                <w:bCs/>
                <w:sz w:val="30"/>
                <w:szCs w:val="30"/>
              </w:rPr>
              <w:t>采 购 人：</w:t>
            </w:r>
          </w:p>
          <w:p>
            <w:pPr>
              <w:tabs>
                <w:tab w:val="left" w:pos="8504"/>
              </w:tabs>
              <w:spacing w:line="360" w:lineRule="auto"/>
              <w:jc w:val="distribute"/>
              <w:rPr>
                <w:rFonts w:ascii="宋体" w:hAnsi="宋体"/>
                <w:b/>
                <w:spacing w:val="14"/>
                <w:sz w:val="30"/>
                <w:szCs w:val="30"/>
              </w:rPr>
            </w:pPr>
            <w:r>
              <w:rPr>
                <w:rFonts w:hint="eastAsia" w:ascii="宋体" w:hAnsi="宋体"/>
                <w:b/>
                <w:bCs/>
                <w:sz w:val="30"/>
                <w:szCs w:val="30"/>
              </w:rPr>
              <w:t>采购代理：</w:t>
            </w:r>
          </w:p>
        </w:tc>
        <w:tc>
          <w:tcPr>
            <w:tcW w:w="6126" w:type="dxa"/>
            <w:vAlign w:val="center"/>
          </w:tcPr>
          <w:p>
            <w:pPr>
              <w:tabs>
                <w:tab w:val="left" w:pos="8504"/>
              </w:tabs>
              <w:spacing w:line="360" w:lineRule="auto"/>
              <w:jc w:val="distribute"/>
              <w:rPr>
                <w:rFonts w:ascii="宋体" w:hAnsi="宋体"/>
                <w:b/>
                <w:bCs/>
                <w:spacing w:val="20"/>
                <w:sz w:val="30"/>
                <w:szCs w:val="30"/>
              </w:rPr>
            </w:pPr>
            <w:r>
              <w:rPr>
                <w:rFonts w:hint="eastAsia" w:ascii="宋体" w:hAnsi="宋体" w:cs="仿宋_GB2312"/>
                <w:b/>
                <w:sz w:val="28"/>
                <w:szCs w:val="28"/>
              </w:rPr>
              <w:t>库尔勒第二人民医院</w:t>
            </w:r>
            <w:r>
              <w:rPr>
                <w:rFonts w:hint="eastAsia" w:ascii="宋体" w:hAnsi="宋体"/>
                <w:b/>
                <w:bCs/>
                <w:spacing w:val="20"/>
                <w:sz w:val="30"/>
                <w:szCs w:val="30"/>
              </w:rPr>
              <w:t xml:space="preserve">     </w:t>
            </w:r>
          </w:p>
          <w:p>
            <w:pPr>
              <w:tabs>
                <w:tab w:val="left" w:pos="8504"/>
              </w:tabs>
              <w:spacing w:line="360" w:lineRule="auto"/>
              <w:jc w:val="distribute"/>
              <w:rPr>
                <w:rFonts w:ascii="宋体" w:hAnsi="宋体"/>
                <w:b/>
                <w:sz w:val="30"/>
                <w:szCs w:val="30"/>
              </w:rPr>
            </w:pPr>
            <w:r>
              <w:rPr>
                <w:rFonts w:hint="eastAsia" w:ascii="宋体" w:hAnsi="宋体"/>
                <w:b/>
                <w:bCs/>
                <w:sz w:val="30"/>
                <w:szCs w:val="30"/>
              </w:rPr>
              <w:t>新疆军脉项目管理咨询有限公司</w:t>
            </w:r>
          </w:p>
        </w:tc>
      </w:tr>
    </w:tbl>
    <w:p>
      <w:pPr>
        <w:spacing w:line="360" w:lineRule="auto"/>
        <w:jc w:val="center"/>
        <w:rPr>
          <w:rFonts w:ascii="宋体" w:hAnsi="宋体"/>
          <w:b/>
          <w:sz w:val="32"/>
          <w:szCs w:val="32"/>
        </w:rPr>
      </w:pPr>
    </w:p>
    <w:p>
      <w:pPr>
        <w:spacing w:line="360" w:lineRule="auto"/>
        <w:jc w:val="center"/>
        <w:rPr>
          <w:rFonts w:ascii="宋体" w:hAnsi="宋体"/>
          <w:b/>
          <w:sz w:val="32"/>
          <w:szCs w:val="32"/>
        </w:rPr>
      </w:pPr>
      <w:r>
        <w:rPr>
          <w:rFonts w:hint="eastAsia" w:ascii="宋体" w:hAnsi="宋体"/>
          <w:b/>
          <w:sz w:val="32"/>
          <w:szCs w:val="32"/>
        </w:rPr>
        <w:t>二〇二三年九月</w:t>
      </w:r>
    </w:p>
    <w:p>
      <w:pPr>
        <w:spacing w:line="360" w:lineRule="auto"/>
        <w:rPr>
          <w:rFonts w:ascii="宋体" w:hAnsi="宋体"/>
          <w:kern w:val="0"/>
          <w:sz w:val="44"/>
          <w:szCs w:val="44"/>
        </w:rPr>
        <w:sectPr>
          <w:headerReference r:id="rId4" w:type="first"/>
          <w:footerReference r:id="rId7" w:type="first"/>
          <w:headerReference r:id="rId3" w:type="default"/>
          <w:footerReference r:id="rId5" w:type="default"/>
          <w:footerReference r:id="rId6" w:type="even"/>
          <w:pgSz w:w="11906" w:h="16838"/>
          <w:pgMar w:top="1418" w:right="1701" w:bottom="1531" w:left="1474" w:header="851" w:footer="794" w:gutter="0"/>
          <w:pgNumType w:start="0"/>
          <w:cols w:space="720" w:num="1"/>
          <w:titlePg/>
          <w:docGrid w:linePitch="312" w:charSpace="0"/>
        </w:sectPr>
      </w:pPr>
    </w:p>
    <w:p>
      <w:pPr>
        <w:spacing w:line="360" w:lineRule="auto"/>
        <w:jc w:val="center"/>
        <w:rPr>
          <w:rFonts w:ascii="宋体" w:hAnsi="宋体"/>
          <w:sz w:val="44"/>
          <w:szCs w:val="44"/>
        </w:rPr>
      </w:pPr>
      <w:r>
        <w:rPr>
          <w:rFonts w:ascii="宋体" w:hAnsi="宋体"/>
          <w:sz w:val="44"/>
          <w:szCs w:val="44"/>
        </w:rPr>
        <w:t>目    录</w:t>
      </w:r>
    </w:p>
    <w:p>
      <w:pPr>
        <w:spacing w:line="360" w:lineRule="auto"/>
        <w:ind w:firstLine="3960" w:firstLineChars="900"/>
        <w:rPr>
          <w:rFonts w:ascii="宋体" w:hAnsi="宋体"/>
          <w:sz w:val="44"/>
          <w:szCs w:val="44"/>
        </w:rPr>
      </w:pPr>
    </w:p>
    <w:p>
      <w:pPr>
        <w:pStyle w:val="285"/>
        <w:spacing w:line="360" w:lineRule="auto"/>
        <w:ind w:firstLine="315" w:firstLineChars="98"/>
        <w:rPr>
          <w:rFonts w:ascii="宋体" w:hAnsi="宋体"/>
          <w:b/>
          <w:bCs/>
          <w:color w:val="auto"/>
          <w:sz w:val="32"/>
          <w:szCs w:val="36"/>
        </w:rPr>
      </w:pPr>
      <w:r>
        <w:rPr>
          <w:rFonts w:ascii="宋体" w:hAnsi="宋体"/>
          <w:b/>
          <w:bCs/>
          <w:color w:val="auto"/>
          <w:sz w:val="32"/>
          <w:szCs w:val="36"/>
        </w:rPr>
        <w:t>第一部分  招标公告</w:t>
      </w:r>
    </w:p>
    <w:p>
      <w:pPr>
        <w:pStyle w:val="285"/>
        <w:spacing w:line="360" w:lineRule="auto"/>
        <w:ind w:firstLine="315" w:firstLineChars="98"/>
        <w:rPr>
          <w:rFonts w:ascii="宋体" w:hAnsi="宋体"/>
          <w:b/>
          <w:bCs/>
          <w:color w:val="auto"/>
          <w:sz w:val="32"/>
          <w:szCs w:val="36"/>
        </w:rPr>
      </w:pPr>
      <w:r>
        <w:rPr>
          <w:rFonts w:ascii="宋体" w:hAnsi="宋体"/>
          <w:b/>
          <w:bCs/>
          <w:color w:val="auto"/>
          <w:sz w:val="32"/>
          <w:szCs w:val="36"/>
        </w:rPr>
        <w:t>第二部分  投标人须知</w:t>
      </w:r>
    </w:p>
    <w:p>
      <w:pPr>
        <w:pStyle w:val="285"/>
        <w:spacing w:line="360" w:lineRule="auto"/>
        <w:ind w:firstLine="840" w:firstLineChars="300"/>
        <w:rPr>
          <w:rFonts w:ascii="宋体" w:hAnsi="宋体"/>
          <w:color w:val="auto"/>
          <w:sz w:val="28"/>
          <w:szCs w:val="36"/>
        </w:rPr>
      </w:pPr>
      <w:r>
        <w:rPr>
          <w:rFonts w:ascii="宋体" w:hAnsi="宋体"/>
          <w:color w:val="auto"/>
          <w:sz w:val="28"/>
          <w:szCs w:val="36"/>
        </w:rPr>
        <w:t>第一章  投标人须知</w:t>
      </w:r>
    </w:p>
    <w:p>
      <w:pPr>
        <w:pStyle w:val="285"/>
        <w:spacing w:line="360" w:lineRule="auto"/>
        <w:ind w:firstLine="840" w:firstLineChars="300"/>
        <w:rPr>
          <w:rFonts w:ascii="宋体" w:hAnsi="宋体"/>
          <w:bCs/>
          <w:color w:val="auto"/>
          <w:sz w:val="28"/>
        </w:rPr>
      </w:pPr>
      <w:r>
        <w:rPr>
          <w:rFonts w:ascii="宋体" w:hAnsi="宋体"/>
          <w:bCs/>
          <w:color w:val="auto"/>
          <w:sz w:val="28"/>
        </w:rPr>
        <w:t>第二章  招标文件的编写</w:t>
      </w:r>
    </w:p>
    <w:p>
      <w:pPr>
        <w:pStyle w:val="285"/>
        <w:spacing w:line="360" w:lineRule="auto"/>
        <w:ind w:firstLine="840" w:firstLineChars="300"/>
        <w:rPr>
          <w:rFonts w:ascii="宋体" w:hAnsi="宋体"/>
          <w:bCs/>
          <w:color w:val="auto"/>
          <w:sz w:val="28"/>
          <w:szCs w:val="32"/>
        </w:rPr>
      </w:pPr>
      <w:r>
        <w:rPr>
          <w:rFonts w:ascii="宋体" w:hAnsi="宋体"/>
          <w:bCs/>
          <w:color w:val="auto"/>
          <w:sz w:val="28"/>
          <w:szCs w:val="32"/>
        </w:rPr>
        <w:t>第三章  投标文件的编写</w:t>
      </w:r>
    </w:p>
    <w:p>
      <w:pPr>
        <w:pStyle w:val="285"/>
        <w:spacing w:line="360" w:lineRule="auto"/>
        <w:ind w:firstLine="840" w:firstLineChars="300"/>
        <w:rPr>
          <w:rFonts w:ascii="宋体" w:hAnsi="宋体"/>
          <w:bCs/>
          <w:color w:val="auto"/>
          <w:sz w:val="28"/>
          <w:szCs w:val="32"/>
        </w:rPr>
      </w:pPr>
      <w:r>
        <w:rPr>
          <w:rFonts w:ascii="宋体" w:hAnsi="宋体"/>
          <w:bCs/>
          <w:color w:val="auto"/>
          <w:sz w:val="28"/>
          <w:szCs w:val="32"/>
        </w:rPr>
        <w:t>第四章  投标文件的递交</w:t>
      </w:r>
    </w:p>
    <w:p>
      <w:pPr>
        <w:pStyle w:val="285"/>
        <w:spacing w:line="360" w:lineRule="auto"/>
        <w:ind w:firstLine="840" w:firstLineChars="300"/>
        <w:rPr>
          <w:rFonts w:ascii="宋体" w:hAnsi="宋体"/>
          <w:bCs/>
          <w:color w:val="auto"/>
          <w:sz w:val="28"/>
          <w:szCs w:val="32"/>
        </w:rPr>
      </w:pPr>
      <w:r>
        <w:rPr>
          <w:rFonts w:ascii="宋体" w:hAnsi="宋体"/>
          <w:bCs/>
          <w:color w:val="auto"/>
          <w:sz w:val="28"/>
          <w:szCs w:val="32"/>
        </w:rPr>
        <w:t>第五章  开　标</w:t>
      </w:r>
    </w:p>
    <w:p>
      <w:pPr>
        <w:pStyle w:val="285"/>
        <w:spacing w:line="360" w:lineRule="auto"/>
        <w:ind w:firstLine="840" w:firstLineChars="300"/>
        <w:rPr>
          <w:rFonts w:ascii="宋体" w:hAnsi="宋体"/>
          <w:bCs/>
          <w:color w:val="auto"/>
          <w:sz w:val="28"/>
          <w:szCs w:val="32"/>
        </w:rPr>
      </w:pPr>
      <w:r>
        <w:rPr>
          <w:rFonts w:ascii="宋体" w:hAnsi="宋体"/>
          <w:bCs/>
          <w:color w:val="auto"/>
          <w:sz w:val="28"/>
          <w:szCs w:val="32"/>
        </w:rPr>
        <w:t>第六章  评  标</w:t>
      </w:r>
    </w:p>
    <w:p>
      <w:pPr>
        <w:pStyle w:val="285"/>
        <w:spacing w:line="360" w:lineRule="auto"/>
        <w:ind w:firstLine="840" w:firstLineChars="300"/>
        <w:rPr>
          <w:rFonts w:ascii="宋体" w:hAnsi="宋体"/>
          <w:bCs/>
          <w:color w:val="auto"/>
          <w:sz w:val="28"/>
          <w:szCs w:val="32"/>
        </w:rPr>
      </w:pPr>
      <w:r>
        <w:rPr>
          <w:rFonts w:ascii="宋体" w:hAnsi="宋体"/>
          <w:bCs/>
          <w:color w:val="auto"/>
          <w:sz w:val="28"/>
          <w:szCs w:val="32"/>
        </w:rPr>
        <w:t>第七章  授予合同</w:t>
      </w:r>
    </w:p>
    <w:p>
      <w:pPr>
        <w:pStyle w:val="285"/>
        <w:spacing w:line="360" w:lineRule="auto"/>
        <w:ind w:firstLine="840" w:firstLineChars="300"/>
        <w:rPr>
          <w:rFonts w:ascii="宋体" w:hAnsi="宋体"/>
          <w:bCs/>
          <w:color w:val="auto"/>
          <w:sz w:val="28"/>
          <w:szCs w:val="32"/>
        </w:rPr>
      </w:pPr>
      <w:r>
        <w:rPr>
          <w:rFonts w:ascii="宋体" w:hAnsi="宋体"/>
          <w:bCs/>
          <w:color w:val="auto"/>
          <w:sz w:val="28"/>
          <w:szCs w:val="32"/>
        </w:rPr>
        <w:t>第八章  其他</w:t>
      </w:r>
    </w:p>
    <w:p>
      <w:pPr>
        <w:pStyle w:val="285"/>
        <w:spacing w:line="360" w:lineRule="auto"/>
        <w:ind w:firstLine="840" w:firstLineChars="300"/>
        <w:rPr>
          <w:rFonts w:ascii="宋体" w:hAnsi="宋体"/>
          <w:bCs/>
          <w:color w:val="auto"/>
          <w:sz w:val="28"/>
        </w:rPr>
      </w:pPr>
      <w:r>
        <w:rPr>
          <w:rFonts w:ascii="宋体" w:hAnsi="宋体"/>
          <w:bCs/>
          <w:color w:val="auto"/>
          <w:sz w:val="28"/>
        </w:rPr>
        <w:t>第九章  质疑的提出及处理</w:t>
      </w:r>
    </w:p>
    <w:p>
      <w:pPr>
        <w:pStyle w:val="285"/>
        <w:spacing w:line="360" w:lineRule="auto"/>
        <w:ind w:firstLine="321" w:firstLineChars="100"/>
        <w:rPr>
          <w:rFonts w:ascii="宋体" w:hAnsi="宋体"/>
          <w:b/>
          <w:bCs/>
          <w:color w:val="auto"/>
          <w:sz w:val="32"/>
          <w:szCs w:val="36"/>
        </w:rPr>
      </w:pPr>
      <w:r>
        <w:rPr>
          <w:rFonts w:ascii="宋体" w:hAnsi="宋体"/>
          <w:b/>
          <w:bCs/>
          <w:color w:val="auto"/>
          <w:sz w:val="32"/>
          <w:szCs w:val="36"/>
        </w:rPr>
        <w:t>第三部分  采购内容及技术参数要求</w:t>
      </w:r>
    </w:p>
    <w:p>
      <w:pPr>
        <w:pStyle w:val="285"/>
        <w:spacing w:line="360" w:lineRule="auto"/>
        <w:ind w:firstLine="321" w:firstLineChars="100"/>
        <w:rPr>
          <w:rFonts w:ascii="宋体" w:hAnsi="宋体"/>
          <w:bCs/>
          <w:color w:val="auto"/>
          <w:sz w:val="28"/>
        </w:rPr>
      </w:pPr>
      <w:r>
        <w:rPr>
          <w:rFonts w:ascii="宋体" w:hAnsi="宋体"/>
          <w:b/>
          <w:bCs/>
          <w:color w:val="auto"/>
          <w:sz w:val="32"/>
          <w:szCs w:val="36"/>
        </w:rPr>
        <w:t>第四部分  合同条款</w:t>
      </w:r>
    </w:p>
    <w:p>
      <w:pPr>
        <w:pStyle w:val="285"/>
        <w:spacing w:line="360" w:lineRule="auto"/>
        <w:ind w:firstLine="321" w:firstLineChars="100"/>
        <w:rPr>
          <w:rFonts w:ascii="宋体" w:hAnsi="宋体"/>
          <w:b/>
          <w:bCs/>
          <w:color w:val="auto"/>
          <w:sz w:val="32"/>
          <w:szCs w:val="36"/>
        </w:rPr>
      </w:pPr>
      <w:r>
        <w:rPr>
          <w:rFonts w:ascii="宋体" w:hAnsi="宋体"/>
          <w:b/>
          <w:bCs/>
          <w:color w:val="auto"/>
          <w:sz w:val="32"/>
          <w:szCs w:val="36"/>
        </w:rPr>
        <w:t>第五部分  附件</w:t>
      </w:r>
    </w:p>
    <w:p>
      <w:pPr>
        <w:spacing w:line="360" w:lineRule="auto"/>
        <w:ind w:firstLine="840" w:firstLineChars="300"/>
        <w:rPr>
          <w:rFonts w:ascii="宋体" w:hAnsi="宋体"/>
          <w:bCs/>
          <w:sz w:val="28"/>
        </w:rPr>
      </w:pPr>
      <w:r>
        <w:rPr>
          <w:rFonts w:ascii="宋体" w:hAnsi="宋体"/>
          <w:bCs/>
          <w:sz w:val="28"/>
        </w:rPr>
        <w:t>投标文件编制顺序</w:t>
      </w:r>
    </w:p>
    <w:p>
      <w:pPr>
        <w:spacing w:line="360" w:lineRule="auto"/>
        <w:ind w:firstLine="840" w:firstLineChars="300"/>
        <w:rPr>
          <w:rFonts w:ascii="宋体" w:hAnsi="宋体"/>
          <w:bCs/>
          <w:sz w:val="28"/>
        </w:rPr>
      </w:pPr>
      <w:r>
        <w:rPr>
          <w:rFonts w:ascii="宋体" w:hAnsi="宋体"/>
          <w:bCs/>
          <w:sz w:val="28"/>
        </w:rPr>
        <w:t>其他有关附件格式范本</w:t>
      </w:r>
    </w:p>
    <w:p>
      <w:pPr>
        <w:spacing w:line="360" w:lineRule="auto"/>
        <w:rPr>
          <w:rStyle w:val="95"/>
          <w:rFonts w:ascii="宋体" w:hAnsi="宋体"/>
          <w:color w:val="auto"/>
          <w:sz w:val="28"/>
          <w:szCs w:val="28"/>
          <w:lang w:eastAsia="zh-CN"/>
        </w:rPr>
      </w:pPr>
    </w:p>
    <w:bookmarkEnd w:id="0"/>
    <w:p>
      <w:pPr>
        <w:adjustRightInd w:val="0"/>
        <w:snapToGrid w:val="0"/>
        <w:spacing w:line="360" w:lineRule="auto"/>
        <w:rPr>
          <w:rFonts w:ascii="宋体" w:hAnsi="宋体"/>
          <w:sz w:val="32"/>
          <w:szCs w:val="32"/>
        </w:rPr>
      </w:pPr>
      <w:bookmarkStart w:id="1" w:name="_Toc438371743"/>
      <w:bookmarkStart w:id="2" w:name="_Toc438371374"/>
      <w:bookmarkStart w:id="3" w:name="_Toc438370521"/>
      <w:bookmarkStart w:id="4" w:name="_Toc438371191"/>
      <w:bookmarkStart w:id="5" w:name="_Toc438371556"/>
      <w:bookmarkStart w:id="6" w:name="_Toc438354292"/>
    </w:p>
    <w:p>
      <w:pPr>
        <w:adjustRightInd w:val="0"/>
        <w:snapToGrid w:val="0"/>
        <w:spacing w:line="360" w:lineRule="auto"/>
        <w:rPr>
          <w:rFonts w:ascii="宋体" w:hAnsi="宋体"/>
          <w:sz w:val="32"/>
          <w:szCs w:val="32"/>
        </w:rPr>
      </w:pPr>
    </w:p>
    <w:p>
      <w:pPr>
        <w:adjustRightInd w:val="0"/>
        <w:snapToGrid w:val="0"/>
        <w:spacing w:line="360" w:lineRule="auto"/>
        <w:rPr>
          <w:rFonts w:ascii="宋体" w:hAnsi="宋体"/>
          <w:sz w:val="32"/>
          <w:szCs w:val="32"/>
        </w:rPr>
      </w:pPr>
    </w:p>
    <w:p>
      <w:pPr>
        <w:adjustRightInd w:val="0"/>
        <w:snapToGrid w:val="0"/>
        <w:spacing w:line="360" w:lineRule="auto"/>
        <w:ind w:firstLine="281" w:firstLineChars="100"/>
        <w:jc w:val="center"/>
        <w:rPr>
          <w:rFonts w:hint="eastAsia" w:ascii="宋体" w:hAnsi="宋体" w:cs="宋体"/>
          <w:b/>
          <w:bCs/>
          <w:sz w:val="28"/>
          <w:szCs w:val="28"/>
          <w:lang w:eastAsia="zh-CN"/>
        </w:rPr>
      </w:pPr>
    </w:p>
    <w:p>
      <w:pPr>
        <w:adjustRightInd w:val="0"/>
        <w:snapToGrid w:val="0"/>
        <w:spacing w:line="360" w:lineRule="auto"/>
        <w:ind w:firstLine="281" w:firstLineChars="100"/>
        <w:jc w:val="center"/>
        <w:rPr>
          <w:rFonts w:ascii="宋体" w:hAnsi="宋体" w:cs="宋体"/>
          <w:b/>
          <w:bCs/>
          <w:sz w:val="28"/>
          <w:szCs w:val="28"/>
        </w:rPr>
      </w:pPr>
      <w:r>
        <w:rPr>
          <w:rFonts w:hint="eastAsia" w:ascii="宋体" w:hAnsi="宋体" w:cs="宋体"/>
          <w:b/>
          <w:bCs/>
          <w:sz w:val="28"/>
          <w:szCs w:val="28"/>
          <w:lang w:eastAsia="zh-CN"/>
        </w:rPr>
        <w:t>库尔勒第二人民医院信息化能力提升项目（二标段）</w:t>
      </w:r>
      <w:r>
        <w:rPr>
          <w:rFonts w:hint="eastAsia" w:ascii="宋体" w:hAnsi="宋体" w:cs="宋体"/>
          <w:b/>
          <w:bCs/>
          <w:sz w:val="28"/>
          <w:szCs w:val="28"/>
        </w:rPr>
        <w:t>竞争性</w:t>
      </w:r>
      <w:r>
        <w:rPr>
          <w:rFonts w:hint="eastAsia" w:ascii="宋体" w:hAnsi="宋体" w:cs="宋体"/>
          <w:b/>
          <w:bCs/>
          <w:sz w:val="28"/>
          <w:szCs w:val="28"/>
          <w:u w:val="single"/>
        </w:rPr>
        <w:t>磋商</w:t>
      </w:r>
      <w:r>
        <w:rPr>
          <w:rFonts w:hint="eastAsia" w:ascii="宋体" w:hAnsi="宋体" w:cs="宋体"/>
          <w:b/>
          <w:bCs/>
          <w:sz w:val="28"/>
          <w:szCs w:val="28"/>
        </w:rPr>
        <w:t>公告</w:t>
      </w:r>
    </w:p>
    <w:p>
      <w:pPr>
        <w:adjustRightInd w:val="0"/>
        <w:snapToGrid w:val="0"/>
        <w:spacing w:line="360" w:lineRule="auto"/>
        <w:jc w:val="left"/>
        <w:rPr>
          <w:rFonts w:ascii="宋体" w:hAnsi="宋体" w:cs="宋体"/>
          <w:sz w:val="24"/>
        </w:rPr>
      </w:pPr>
    </w:p>
    <w:p>
      <w:pPr>
        <w:adjustRightInd w:val="0"/>
        <w:snapToGrid w:val="0"/>
        <w:spacing w:line="360" w:lineRule="auto"/>
        <w:ind w:firstLine="480" w:firstLineChars="200"/>
        <w:jc w:val="left"/>
        <w:rPr>
          <w:rFonts w:ascii="宋体" w:hAnsi="宋体" w:cs="宋体"/>
          <w:sz w:val="24"/>
        </w:rPr>
      </w:pPr>
      <w:r>
        <w:rPr>
          <w:rFonts w:hint="eastAsia" w:ascii="宋体" w:hAnsi="宋体" w:cs="宋体"/>
          <w:sz w:val="24"/>
        </w:rPr>
        <w:t>新疆军脉项目管理咨询有限公司受库尔勒第二人民医院的委托，根据《中华人民共和国政府采购法》及其相关法律、法规等，对其</w:t>
      </w:r>
      <w:r>
        <w:rPr>
          <w:rFonts w:hint="eastAsia" w:ascii="宋体" w:hAnsi="宋体" w:cs="宋体"/>
          <w:sz w:val="24"/>
          <w:lang w:eastAsia="zh-CN"/>
        </w:rPr>
        <w:t>库尔勒第二人民医院信息化能力提升项目（二标段）</w:t>
      </w:r>
      <w:r>
        <w:rPr>
          <w:rFonts w:hint="eastAsia" w:ascii="宋体" w:hAnsi="宋体" w:cs="宋体"/>
          <w:sz w:val="24"/>
        </w:rPr>
        <w:t>采购，采购方式为竞争性磋商，资金来源为自筹资金；诚邀符合资格要求的供应商报名，参与投标。</w:t>
      </w:r>
    </w:p>
    <w:p>
      <w:pPr>
        <w:widowControl/>
        <w:shd w:val="clear" w:color="auto" w:fill="FEFEFE"/>
        <w:spacing w:line="360" w:lineRule="auto"/>
        <w:ind w:firstLine="480" w:firstLineChars="200"/>
        <w:jc w:val="left"/>
        <w:rPr>
          <w:rFonts w:ascii="宋体" w:hAnsi="宋体" w:cs="宋体"/>
          <w:kern w:val="0"/>
          <w:sz w:val="24"/>
          <w:shd w:val="clear" w:color="auto" w:fill="FEFEFE"/>
        </w:rPr>
      </w:pPr>
      <w:r>
        <w:rPr>
          <w:rFonts w:hint="eastAsia" w:ascii="宋体" w:hAnsi="宋体" w:cs="宋体"/>
          <w:kern w:val="0"/>
          <w:sz w:val="24"/>
          <w:shd w:val="clear" w:color="auto" w:fill="FEFEFE"/>
        </w:rPr>
        <w:t>一、项目基本情况：</w:t>
      </w:r>
    </w:p>
    <w:p>
      <w:pPr>
        <w:widowControl/>
        <w:shd w:val="clear" w:color="auto" w:fill="FEFEFE"/>
        <w:spacing w:line="360" w:lineRule="auto"/>
        <w:ind w:firstLine="480" w:firstLineChars="200"/>
        <w:jc w:val="left"/>
        <w:rPr>
          <w:rFonts w:hint="eastAsia" w:ascii="宋体" w:hAnsi="宋体" w:eastAsia="宋体" w:cs="宋体"/>
          <w:sz w:val="24"/>
          <w:lang w:eastAsia="zh-CN"/>
        </w:rPr>
      </w:pPr>
      <w:r>
        <w:rPr>
          <w:rFonts w:hint="eastAsia" w:ascii="宋体" w:hAnsi="宋体" w:cs="宋体"/>
          <w:kern w:val="0"/>
          <w:sz w:val="24"/>
          <w:shd w:val="clear" w:color="auto" w:fill="FEFEFE"/>
        </w:rPr>
        <w:t>1、项</w:t>
      </w:r>
      <w:r>
        <w:rPr>
          <w:rFonts w:hint="eastAsia" w:ascii="宋体" w:hAnsi="宋体" w:cs="宋体"/>
          <w:sz w:val="24"/>
        </w:rPr>
        <w:t>目编号：</w:t>
      </w:r>
      <w:r>
        <w:rPr>
          <w:rFonts w:hint="eastAsia" w:ascii="宋体" w:hAnsi="宋体" w:cs="宋体"/>
          <w:sz w:val="24"/>
          <w:lang w:eastAsia="zh-CN"/>
        </w:rPr>
        <w:t>XJJMEYY-001（2）</w:t>
      </w:r>
    </w:p>
    <w:p>
      <w:pPr>
        <w:widowControl/>
        <w:shd w:val="clear" w:color="auto" w:fill="FEFEFE"/>
        <w:spacing w:line="360" w:lineRule="auto"/>
        <w:ind w:firstLine="480" w:firstLineChars="200"/>
        <w:jc w:val="left"/>
        <w:rPr>
          <w:rFonts w:hint="eastAsia" w:ascii="宋体" w:hAnsi="宋体" w:eastAsia="宋体" w:cs="宋体"/>
          <w:kern w:val="0"/>
          <w:sz w:val="24"/>
          <w:shd w:val="clear" w:color="auto" w:fill="FEFEFE"/>
          <w:lang w:eastAsia="zh-CN"/>
        </w:rPr>
      </w:pPr>
      <w:r>
        <w:rPr>
          <w:rFonts w:hint="eastAsia" w:ascii="宋体" w:hAnsi="宋体" w:cs="宋体"/>
          <w:kern w:val="0"/>
          <w:sz w:val="24"/>
          <w:shd w:val="clear" w:color="auto" w:fill="FEFEFE"/>
        </w:rPr>
        <w:t>2、项目名称：</w:t>
      </w:r>
      <w:r>
        <w:rPr>
          <w:rFonts w:hint="eastAsia" w:ascii="宋体" w:hAnsi="宋体" w:cs="宋体"/>
          <w:kern w:val="0"/>
          <w:sz w:val="24"/>
          <w:shd w:val="clear" w:color="auto" w:fill="FEFEFE"/>
          <w:lang w:eastAsia="zh-CN"/>
        </w:rPr>
        <w:t>库尔勒第二人民医院信息化能力提升项目（二标段）</w:t>
      </w:r>
    </w:p>
    <w:p>
      <w:pPr>
        <w:widowControl/>
        <w:shd w:val="clear" w:color="auto" w:fill="FEFEFE"/>
        <w:spacing w:line="360" w:lineRule="auto"/>
        <w:ind w:firstLine="480" w:firstLineChars="200"/>
        <w:jc w:val="left"/>
        <w:rPr>
          <w:rFonts w:ascii="宋体" w:hAnsi="宋体" w:cs="宋体"/>
          <w:sz w:val="24"/>
        </w:rPr>
      </w:pPr>
      <w:r>
        <w:rPr>
          <w:rFonts w:hint="eastAsia" w:ascii="宋体" w:hAnsi="宋体" w:cs="宋体"/>
          <w:sz w:val="24"/>
        </w:rPr>
        <w:t>3、采购方式：竞争性磋商</w:t>
      </w:r>
    </w:p>
    <w:p>
      <w:pPr>
        <w:widowControl/>
        <w:shd w:val="clear" w:color="auto" w:fill="FEFEFE"/>
        <w:spacing w:line="360" w:lineRule="auto"/>
        <w:ind w:firstLine="480" w:firstLineChars="200"/>
        <w:jc w:val="left"/>
        <w:rPr>
          <w:rFonts w:ascii="宋体" w:hAnsi="宋体" w:cs="宋体"/>
          <w:kern w:val="0"/>
          <w:sz w:val="24"/>
          <w:shd w:val="clear" w:color="auto" w:fill="FEFEFE"/>
        </w:rPr>
      </w:pPr>
      <w:r>
        <w:rPr>
          <w:rFonts w:hint="eastAsia" w:ascii="宋体" w:hAnsi="宋体" w:cs="宋体"/>
          <w:kern w:val="0"/>
          <w:sz w:val="24"/>
          <w:shd w:val="clear" w:color="auto" w:fill="FEFEFE"/>
        </w:rPr>
        <w:t>4、采购内容：</w:t>
      </w:r>
    </w:p>
    <w:tbl>
      <w:tblPr>
        <w:tblStyle w:val="8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32"/>
        <w:gridCol w:w="2370"/>
        <w:gridCol w:w="1265"/>
        <w:gridCol w:w="3144"/>
        <w:gridCol w:w="11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1232" w:type="dxa"/>
            <w:vAlign w:val="center"/>
          </w:tcPr>
          <w:p>
            <w:pPr>
              <w:pStyle w:val="45"/>
              <w:tabs>
                <w:tab w:val="left" w:pos="4305"/>
              </w:tabs>
              <w:spacing w:line="360" w:lineRule="auto"/>
              <w:jc w:val="both"/>
              <w:rPr>
                <w:rFonts w:hint="eastAsia" w:hAnsi="宋体" w:eastAsia="宋体"/>
                <w:bCs/>
                <w:sz w:val="24"/>
                <w:szCs w:val="24"/>
                <w:lang w:eastAsia="zh-CN"/>
              </w:rPr>
            </w:pPr>
            <w:r>
              <w:rPr>
                <w:rFonts w:hint="eastAsia" w:hAnsi="宋体"/>
                <w:bCs/>
                <w:sz w:val="24"/>
                <w:szCs w:val="24"/>
              </w:rPr>
              <w:t>标项号</w:t>
            </w:r>
          </w:p>
        </w:tc>
        <w:tc>
          <w:tcPr>
            <w:tcW w:w="2370" w:type="dxa"/>
            <w:vAlign w:val="center"/>
          </w:tcPr>
          <w:p>
            <w:pPr>
              <w:pStyle w:val="45"/>
              <w:tabs>
                <w:tab w:val="left" w:pos="4305"/>
              </w:tabs>
              <w:spacing w:line="360" w:lineRule="auto"/>
              <w:jc w:val="center"/>
              <w:rPr>
                <w:rFonts w:hAnsi="宋体"/>
                <w:bCs/>
                <w:sz w:val="24"/>
                <w:szCs w:val="24"/>
              </w:rPr>
            </w:pPr>
            <w:r>
              <w:rPr>
                <w:rFonts w:hint="eastAsia" w:hAnsi="宋体"/>
                <w:bCs/>
                <w:sz w:val="24"/>
                <w:szCs w:val="24"/>
              </w:rPr>
              <w:t>标项名称</w:t>
            </w:r>
          </w:p>
        </w:tc>
        <w:tc>
          <w:tcPr>
            <w:tcW w:w="1265" w:type="dxa"/>
            <w:vAlign w:val="center"/>
          </w:tcPr>
          <w:p>
            <w:pPr>
              <w:pStyle w:val="45"/>
              <w:tabs>
                <w:tab w:val="left" w:pos="4305"/>
              </w:tabs>
              <w:spacing w:line="360" w:lineRule="auto"/>
              <w:jc w:val="center"/>
              <w:rPr>
                <w:rFonts w:hAnsi="宋体"/>
                <w:bCs/>
                <w:sz w:val="24"/>
                <w:szCs w:val="24"/>
              </w:rPr>
            </w:pPr>
            <w:r>
              <w:rPr>
                <w:rFonts w:hint="eastAsia" w:hAnsi="宋体"/>
                <w:bCs/>
                <w:sz w:val="24"/>
                <w:szCs w:val="24"/>
              </w:rPr>
              <w:t>预算金额（元）</w:t>
            </w:r>
          </w:p>
        </w:tc>
        <w:tc>
          <w:tcPr>
            <w:tcW w:w="0" w:type="auto"/>
            <w:vAlign w:val="center"/>
          </w:tcPr>
          <w:p>
            <w:pPr>
              <w:pStyle w:val="45"/>
              <w:tabs>
                <w:tab w:val="left" w:pos="4305"/>
              </w:tabs>
              <w:spacing w:line="360" w:lineRule="auto"/>
              <w:jc w:val="center"/>
              <w:rPr>
                <w:rFonts w:hAnsi="宋体"/>
                <w:bCs/>
                <w:sz w:val="24"/>
                <w:szCs w:val="24"/>
              </w:rPr>
            </w:pPr>
            <w:r>
              <w:rPr>
                <w:rFonts w:hint="eastAsia" w:hAnsi="宋体"/>
                <w:bCs/>
                <w:sz w:val="24"/>
                <w:szCs w:val="24"/>
              </w:rPr>
              <w:t>采购内容</w:t>
            </w:r>
          </w:p>
        </w:tc>
        <w:tc>
          <w:tcPr>
            <w:tcW w:w="0" w:type="auto"/>
            <w:vAlign w:val="center"/>
          </w:tcPr>
          <w:p>
            <w:pPr>
              <w:pStyle w:val="45"/>
              <w:tabs>
                <w:tab w:val="left" w:pos="4305"/>
              </w:tabs>
              <w:spacing w:line="360" w:lineRule="auto"/>
              <w:jc w:val="center"/>
              <w:rPr>
                <w:rFonts w:hAnsi="宋体"/>
                <w:bCs/>
                <w:sz w:val="24"/>
                <w:szCs w:val="24"/>
              </w:rPr>
            </w:pPr>
            <w:r>
              <w:rPr>
                <w:rFonts w:hint="eastAsia" w:hAnsi="宋体"/>
                <w:bCs/>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0" w:hRule="atLeast"/>
          <w:jc w:val="center"/>
        </w:trPr>
        <w:tc>
          <w:tcPr>
            <w:tcW w:w="1232" w:type="dxa"/>
            <w:vAlign w:val="center"/>
          </w:tcPr>
          <w:p>
            <w:pPr>
              <w:pStyle w:val="45"/>
              <w:tabs>
                <w:tab w:val="left" w:pos="4305"/>
              </w:tabs>
              <w:spacing w:line="360" w:lineRule="auto"/>
              <w:jc w:val="center"/>
              <w:rPr>
                <w:rFonts w:hint="eastAsia" w:hAnsi="宋体" w:eastAsia="宋体"/>
                <w:bCs/>
                <w:sz w:val="24"/>
                <w:szCs w:val="24"/>
                <w:lang w:val="en-US" w:eastAsia="zh-CN"/>
              </w:rPr>
            </w:pPr>
            <w:bookmarkStart w:id="7" w:name="_Toc32551"/>
            <w:bookmarkStart w:id="8" w:name="_Toc4504"/>
            <w:bookmarkStart w:id="9" w:name="_Toc5628"/>
            <w:bookmarkStart w:id="10" w:name="_Toc5825"/>
            <w:r>
              <w:rPr>
                <w:rFonts w:hint="eastAsia" w:hAnsi="宋体"/>
                <w:bCs/>
                <w:sz w:val="24"/>
                <w:szCs w:val="24"/>
                <w:lang w:val="en-US" w:eastAsia="zh-CN"/>
              </w:rPr>
              <w:t>2</w:t>
            </w:r>
          </w:p>
          <w:bookmarkEnd w:id="7"/>
          <w:bookmarkEnd w:id="8"/>
          <w:bookmarkEnd w:id="9"/>
          <w:bookmarkEnd w:id="10"/>
        </w:tc>
        <w:tc>
          <w:tcPr>
            <w:tcW w:w="2370" w:type="dxa"/>
            <w:vAlign w:val="center"/>
          </w:tcPr>
          <w:p>
            <w:pPr>
              <w:pStyle w:val="45"/>
              <w:tabs>
                <w:tab w:val="left" w:pos="4305"/>
              </w:tabs>
              <w:spacing w:line="360" w:lineRule="auto"/>
              <w:jc w:val="center"/>
              <w:rPr>
                <w:rFonts w:hAnsi="宋体"/>
                <w:bCs/>
                <w:sz w:val="24"/>
                <w:szCs w:val="24"/>
              </w:rPr>
            </w:pPr>
            <w:r>
              <w:rPr>
                <w:rFonts w:hint="eastAsia" w:ascii="宋体" w:hAnsi="宋体" w:cs="宋体"/>
                <w:kern w:val="0"/>
                <w:sz w:val="24"/>
                <w:shd w:val="clear" w:color="auto" w:fill="FEFEFE"/>
                <w:lang w:eastAsia="zh-CN"/>
              </w:rPr>
              <w:t>库尔勒第二人民医院信息化能力提升项目（二标段）</w:t>
            </w:r>
          </w:p>
        </w:tc>
        <w:tc>
          <w:tcPr>
            <w:tcW w:w="1265" w:type="dxa"/>
            <w:vAlign w:val="center"/>
          </w:tcPr>
          <w:p>
            <w:pPr>
              <w:pStyle w:val="45"/>
              <w:tabs>
                <w:tab w:val="left" w:pos="4305"/>
              </w:tabs>
              <w:spacing w:line="360" w:lineRule="auto"/>
              <w:jc w:val="center"/>
              <w:rPr>
                <w:rFonts w:hAnsi="宋体"/>
                <w:bCs/>
                <w:sz w:val="24"/>
                <w:szCs w:val="24"/>
              </w:rPr>
            </w:pPr>
            <w:r>
              <w:rPr>
                <w:rFonts w:hint="eastAsia" w:hAnsi="宋体"/>
                <w:bCs/>
                <w:sz w:val="24"/>
                <w:szCs w:val="24"/>
              </w:rPr>
              <w:t>360000</w:t>
            </w:r>
          </w:p>
        </w:tc>
        <w:tc>
          <w:tcPr>
            <w:tcW w:w="0" w:type="auto"/>
            <w:vAlign w:val="center"/>
          </w:tcPr>
          <w:p>
            <w:pPr>
              <w:pStyle w:val="45"/>
              <w:tabs>
                <w:tab w:val="left" w:pos="4305"/>
              </w:tabs>
              <w:spacing w:line="360" w:lineRule="auto"/>
              <w:jc w:val="center"/>
              <w:rPr>
                <w:rFonts w:hAnsi="宋体"/>
                <w:bCs/>
                <w:szCs w:val="22"/>
              </w:rPr>
            </w:pPr>
            <w:r>
              <w:rPr>
                <w:rFonts w:hint="eastAsia" w:hAnsi="宋体"/>
                <w:bCs/>
                <w:sz w:val="24"/>
                <w:szCs w:val="24"/>
              </w:rPr>
              <w:t>库尔勒市第二人民医院智慧在线监测预警系统</w:t>
            </w:r>
          </w:p>
        </w:tc>
        <w:tc>
          <w:tcPr>
            <w:tcW w:w="0" w:type="auto"/>
            <w:vAlign w:val="center"/>
          </w:tcPr>
          <w:p>
            <w:pPr>
              <w:pStyle w:val="45"/>
              <w:tabs>
                <w:tab w:val="left" w:pos="4305"/>
              </w:tabs>
              <w:spacing w:line="360" w:lineRule="auto"/>
              <w:jc w:val="center"/>
              <w:rPr>
                <w:rFonts w:hAnsi="宋体"/>
                <w:bCs/>
                <w:sz w:val="24"/>
                <w:szCs w:val="24"/>
              </w:rPr>
            </w:pPr>
            <w:r>
              <w:rPr>
                <w:rFonts w:hint="eastAsia" w:hAnsi="宋体"/>
                <w:bCs/>
                <w:sz w:val="24"/>
                <w:szCs w:val="24"/>
              </w:rPr>
              <w:t>详见磋商文件</w:t>
            </w:r>
          </w:p>
        </w:tc>
      </w:tr>
    </w:tbl>
    <w:p>
      <w:pPr>
        <w:widowControl/>
        <w:shd w:val="clear" w:color="auto" w:fill="FEFEFE"/>
        <w:spacing w:line="360" w:lineRule="auto"/>
        <w:ind w:firstLine="480" w:firstLineChars="200"/>
        <w:jc w:val="left"/>
        <w:rPr>
          <w:rFonts w:ascii="宋体" w:hAnsi="宋体" w:cs="宋体"/>
          <w:kern w:val="0"/>
          <w:sz w:val="24"/>
          <w:shd w:val="clear" w:color="auto" w:fill="FEFEFE"/>
        </w:rPr>
      </w:pPr>
    </w:p>
    <w:p>
      <w:pPr>
        <w:widowControl/>
        <w:shd w:val="clear" w:color="auto" w:fill="FEFEFE"/>
        <w:spacing w:line="360" w:lineRule="auto"/>
        <w:ind w:firstLine="480" w:firstLineChars="200"/>
        <w:jc w:val="left"/>
        <w:rPr>
          <w:rFonts w:ascii="宋体" w:hAnsi="宋体" w:cs="宋体"/>
          <w:kern w:val="0"/>
          <w:sz w:val="24"/>
          <w:shd w:val="clear" w:color="auto" w:fill="FEFEFE"/>
        </w:rPr>
      </w:pPr>
      <w:r>
        <w:rPr>
          <w:rFonts w:hint="eastAsia" w:ascii="宋体" w:hAnsi="宋体" w:cs="宋体"/>
          <w:kern w:val="0"/>
          <w:sz w:val="24"/>
          <w:shd w:val="clear" w:color="auto" w:fill="FEFEFE"/>
        </w:rPr>
        <w:t>二、投标人资格要求：</w:t>
      </w:r>
    </w:p>
    <w:p>
      <w:pPr>
        <w:pStyle w:val="45"/>
        <w:tabs>
          <w:tab w:val="left" w:pos="4305"/>
        </w:tabs>
        <w:spacing w:line="360" w:lineRule="auto"/>
        <w:ind w:firstLine="480" w:firstLineChars="200"/>
        <w:rPr>
          <w:rFonts w:hAnsi="宋体" w:cs="宋体"/>
          <w:sz w:val="24"/>
          <w:szCs w:val="24"/>
        </w:rPr>
      </w:pPr>
      <w:r>
        <w:rPr>
          <w:rFonts w:hint="eastAsia" w:hAnsi="宋体" w:cs="宋体"/>
          <w:sz w:val="24"/>
          <w:szCs w:val="24"/>
        </w:rPr>
        <w:t>1、须符合《中华人民共和国政府采购法》第二十二条规定，具有有效的营业执照，有能力提供合同项下全部采购内容的供应商。</w:t>
      </w:r>
    </w:p>
    <w:p>
      <w:pPr>
        <w:pStyle w:val="45"/>
        <w:tabs>
          <w:tab w:val="left" w:pos="4305"/>
        </w:tabs>
        <w:spacing w:line="360" w:lineRule="auto"/>
        <w:ind w:firstLine="480" w:firstLineChars="200"/>
        <w:rPr>
          <w:rFonts w:hAnsi="宋体" w:cs="宋体"/>
          <w:sz w:val="24"/>
          <w:szCs w:val="24"/>
        </w:rPr>
      </w:pPr>
      <w:r>
        <w:rPr>
          <w:rFonts w:hint="eastAsia" w:hAnsi="宋体" w:cs="宋体"/>
          <w:sz w:val="24"/>
          <w:szCs w:val="24"/>
        </w:rPr>
        <w:t>2、在“信用中国”及“中国政府采购网”网站上未被列入失信被执行人、重大税收违法案件当事人名单以及政府采购严重违法失信行为记录名单的投标供应商。</w:t>
      </w:r>
    </w:p>
    <w:p>
      <w:pPr>
        <w:pStyle w:val="45"/>
        <w:tabs>
          <w:tab w:val="left" w:pos="4305"/>
        </w:tabs>
        <w:spacing w:line="360" w:lineRule="auto"/>
        <w:ind w:firstLine="480" w:firstLineChars="200"/>
        <w:rPr>
          <w:rFonts w:hAnsi="宋体" w:cs="宋体"/>
          <w:sz w:val="24"/>
          <w:szCs w:val="24"/>
        </w:rPr>
      </w:pPr>
      <w:r>
        <w:rPr>
          <w:rFonts w:hint="eastAsia" w:hAnsi="宋体" w:cs="宋体"/>
          <w:sz w:val="24"/>
          <w:szCs w:val="24"/>
        </w:rPr>
        <w:t>3、投标人应有良好的信誉，具有相应的货物供货能力。</w:t>
      </w:r>
    </w:p>
    <w:p>
      <w:pPr>
        <w:pStyle w:val="45"/>
        <w:tabs>
          <w:tab w:val="left" w:pos="4305"/>
        </w:tabs>
        <w:spacing w:line="360" w:lineRule="auto"/>
        <w:ind w:firstLine="480" w:firstLineChars="200"/>
        <w:rPr>
          <w:rFonts w:hAnsi="宋体" w:cs="宋体"/>
          <w:sz w:val="24"/>
          <w:szCs w:val="24"/>
        </w:rPr>
      </w:pPr>
      <w:r>
        <w:rPr>
          <w:rFonts w:hint="eastAsia" w:hAnsi="宋体" w:cs="宋体"/>
          <w:sz w:val="24"/>
          <w:szCs w:val="24"/>
        </w:rPr>
        <w:t>4、单位负责人为同一人或者存在直接控股、管理关系的不同供应商，不得参加同一合同项下的政府采购活动。</w:t>
      </w:r>
    </w:p>
    <w:p>
      <w:pPr>
        <w:pStyle w:val="45"/>
        <w:tabs>
          <w:tab w:val="left" w:pos="4305"/>
        </w:tabs>
        <w:spacing w:line="360" w:lineRule="auto"/>
        <w:ind w:firstLine="480" w:firstLineChars="200"/>
        <w:rPr>
          <w:rFonts w:hAnsi="宋体" w:cs="宋体"/>
          <w:sz w:val="24"/>
          <w:szCs w:val="24"/>
        </w:rPr>
      </w:pPr>
      <w:r>
        <w:rPr>
          <w:rFonts w:hint="eastAsia" w:hAnsi="宋体" w:cs="宋体"/>
          <w:sz w:val="24"/>
          <w:szCs w:val="24"/>
        </w:rPr>
        <w:t>5、遵守国家法律、行政法规，具有良好的商业信誉和诚实的商业道德，财务状况良好，没有违反有关法律、法规的记录；认真做到同质同价、货真价实。</w:t>
      </w:r>
    </w:p>
    <w:p>
      <w:pPr>
        <w:pStyle w:val="45"/>
        <w:tabs>
          <w:tab w:val="left" w:pos="4305"/>
        </w:tabs>
        <w:spacing w:line="360" w:lineRule="auto"/>
        <w:ind w:firstLine="480" w:firstLineChars="200"/>
        <w:rPr>
          <w:rFonts w:hAnsi="宋体" w:cs="宋体"/>
          <w:sz w:val="24"/>
          <w:szCs w:val="24"/>
        </w:rPr>
      </w:pPr>
      <w:r>
        <w:rPr>
          <w:rFonts w:hint="eastAsia" w:hAnsi="宋体" w:cs="宋体"/>
          <w:sz w:val="24"/>
          <w:szCs w:val="24"/>
        </w:rPr>
        <w:t>6、不接受联合体投标。</w:t>
      </w:r>
    </w:p>
    <w:p>
      <w:pPr>
        <w:pStyle w:val="45"/>
        <w:tabs>
          <w:tab w:val="left" w:pos="4305"/>
        </w:tabs>
        <w:spacing w:line="360" w:lineRule="auto"/>
        <w:ind w:firstLine="480" w:firstLineChars="200"/>
        <w:rPr>
          <w:rFonts w:hAnsi="宋体" w:cs="宋体"/>
          <w:sz w:val="24"/>
          <w:szCs w:val="24"/>
        </w:rPr>
      </w:pPr>
      <w:r>
        <w:rPr>
          <w:rFonts w:hint="eastAsia" w:hAnsi="宋体" w:cs="宋体"/>
          <w:sz w:val="24"/>
          <w:szCs w:val="24"/>
        </w:rPr>
        <w:t>三、政府采购政策：</w:t>
      </w:r>
    </w:p>
    <w:p>
      <w:pPr>
        <w:pStyle w:val="45"/>
        <w:tabs>
          <w:tab w:val="left" w:pos="4305"/>
        </w:tabs>
        <w:spacing w:line="360" w:lineRule="auto"/>
        <w:ind w:firstLine="480" w:firstLineChars="200"/>
        <w:rPr>
          <w:rFonts w:hAnsi="宋体" w:cs="宋体"/>
          <w:sz w:val="24"/>
          <w:szCs w:val="24"/>
        </w:rPr>
      </w:pPr>
      <w:r>
        <w:rPr>
          <w:rFonts w:hint="eastAsia" w:hAnsi="宋体" w:cs="宋体"/>
          <w:sz w:val="24"/>
          <w:szCs w:val="24"/>
        </w:rPr>
        <w:t>本项目为专门面向中小企业采购的项目，不再执行价格评审优惠的扶持政策；</w:t>
      </w:r>
    </w:p>
    <w:p>
      <w:pPr>
        <w:pStyle w:val="45"/>
        <w:tabs>
          <w:tab w:val="left" w:pos="4305"/>
        </w:tabs>
        <w:spacing w:line="360" w:lineRule="auto"/>
        <w:ind w:firstLine="480" w:firstLineChars="200"/>
        <w:rPr>
          <w:rFonts w:hAnsi="宋体" w:cs="宋体"/>
          <w:sz w:val="24"/>
          <w:szCs w:val="24"/>
        </w:rPr>
      </w:pPr>
      <w:r>
        <w:rPr>
          <w:rFonts w:hint="eastAsia" w:hAnsi="宋体" w:cs="宋体"/>
          <w:sz w:val="24"/>
          <w:szCs w:val="24"/>
        </w:rPr>
        <w:t>四、招标文件的获取：</w:t>
      </w:r>
    </w:p>
    <w:p>
      <w:pPr>
        <w:widowControl/>
        <w:shd w:val="clear" w:color="auto" w:fill="FEFEFE"/>
        <w:spacing w:line="360" w:lineRule="auto"/>
        <w:ind w:firstLine="480" w:firstLineChars="200"/>
        <w:jc w:val="left"/>
        <w:rPr>
          <w:rFonts w:ascii="宋体" w:hAnsi="宋体" w:cs="宋体"/>
          <w:sz w:val="24"/>
        </w:rPr>
      </w:pPr>
      <w:r>
        <w:rPr>
          <w:rFonts w:hint="eastAsia" w:ascii="宋体" w:hAnsi="宋体" w:cs="宋体"/>
          <w:sz w:val="24"/>
        </w:rPr>
        <w:t>4.1、报名时间：2023年</w:t>
      </w:r>
      <w:r>
        <w:rPr>
          <w:rFonts w:hint="eastAsia" w:ascii="宋体" w:hAnsi="宋体" w:cs="宋体"/>
          <w:sz w:val="24"/>
          <w:lang w:val="en-US" w:eastAsia="zh-CN"/>
        </w:rPr>
        <w:t>11</w:t>
      </w:r>
      <w:r>
        <w:rPr>
          <w:rFonts w:hint="eastAsia" w:ascii="宋体" w:hAnsi="宋体" w:cs="宋体"/>
          <w:sz w:val="24"/>
        </w:rPr>
        <w:t>月</w:t>
      </w:r>
      <w:r>
        <w:rPr>
          <w:rFonts w:hint="eastAsia" w:ascii="宋体" w:hAnsi="宋体" w:cs="宋体"/>
          <w:sz w:val="24"/>
          <w:lang w:val="en-US" w:eastAsia="zh-CN"/>
        </w:rPr>
        <w:t>02</w:t>
      </w:r>
      <w:r>
        <w:rPr>
          <w:rFonts w:hint="eastAsia" w:ascii="宋体" w:hAnsi="宋体" w:cs="宋体"/>
          <w:sz w:val="24"/>
        </w:rPr>
        <w:t>日至2023年1</w:t>
      </w:r>
      <w:r>
        <w:rPr>
          <w:rFonts w:hint="eastAsia" w:ascii="宋体" w:hAnsi="宋体" w:cs="宋体"/>
          <w:sz w:val="24"/>
          <w:lang w:val="en-US" w:eastAsia="zh-CN"/>
        </w:rPr>
        <w:t>1</w:t>
      </w:r>
      <w:r>
        <w:rPr>
          <w:rFonts w:hint="eastAsia" w:ascii="宋体" w:hAnsi="宋体" w:cs="宋体"/>
          <w:sz w:val="24"/>
        </w:rPr>
        <w:t>月</w:t>
      </w:r>
      <w:r>
        <w:rPr>
          <w:rFonts w:hint="eastAsia" w:ascii="宋体" w:hAnsi="宋体" w:cs="宋体"/>
          <w:sz w:val="24"/>
          <w:lang w:val="en-US" w:eastAsia="zh-CN"/>
        </w:rPr>
        <w:t>10</w:t>
      </w:r>
      <w:r>
        <w:rPr>
          <w:rFonts w:hint="eastAsia" w:ascii="宋体" w:hAnsi="宋体" w:cs="宋体"/>
          <w:sz w:val="24"/>
        </w:rPr>
        <w:t>日（每天10：00至13：30，下午16:00-</w:t>
      </w:r>
      <w:r>
        <w:rPr>
          <w:rFonts w:hint="eastAsia" w:ascii="宋体" w:hAnsi="宋体" w:cs="宋体"/>
          <w:sz w:val="24"/>
          <w:lang w:val="en-US" w:eastAsia="zh-CN"/>
        </w:rPr>
        <w:t>19</w:t>
      </w:r>
      <w:r>
        <w:rPr>
          <w:rFonts w:hint="eastAsia" w:ascii="宋体" w:hAnsi="宋体" w:cs="宋体"/>
          <w:sz w:val="24"/>
        </w:rPr>
        <w:t>:</w:t>
      </w:r>
      <w:r>
        <w:rPr>
          <w:rFonts w:hint="eastAsia" w:ascii="宋体" w:hAnsi="宋体" w:cs="宋体"/>
          <w:sz w:val="24"/>
          <w:lang w:val="en-US" w:eastAsia="zh-CN"/>
        </w:rPr>
        <w:t>3</w:t>
      </w:r>
      <w:r>
        <w:rPr>
          <w:rFonts w:hint="eastAsia" w:ascii="宋体" w:hAnsi="宋体" w:cs="宋体"/>
          <w:sz w:val="24"/>
        </w:rPr>
        <w:t>0节假日除外）</w:t>
      </w:r>
      <w:bookmarkStart w:id="33" w:name="_GoBack"/>
      <w:bookmarkEnd w:id="33"/>
    </w:p>
    <w:p>
      <w:pPr>
        <w:widowControl/>
        <w:shd w:val="clear" w:color="auto" w:fill="FEFEFE"/>
        <w:spacing w:line="360" w:lineRule="auto"/>
        <w:ind w:firstLine="480" w:firstLineChars="200"/>
        <w:jc w:val="left"/>
        <w:rPr>
          <w:rFonts w:ascii="宋体" w:hAnsi="宋体" w:cs="宋体"/>
          <w:kern w:val="0"/>
          <w:sz w:val="24"/>
          <w:shd w:val="clear" w:color="auto" w:fill="FEFEFE"/>
        </w:rPr>
      </w:pPr>
      <w:r>
        <w:rPr>
          <w:rFonts w:hint="eastAsia" w:ascii="宋体" w:hAnsi="宋体" w:cs="宋体"/>
          <w:kern w:val="0"/>
          <w:sz w:val="24"/>
          <w:shd w:val="clear" w:color="auto" w:fill="FEFEFE"/>
        </w:rPr>
        <w:t>4.2报名时需上传：</w:t>
      </w:r>
    </w:p>
    <w:p>
      <w:pPr>
        <w:widowControl/>
        <w:shd w:val="clear" w:color="auto" w:fill="FEFEFE"/>
        <w:spacing w:line="360" w:lineRule="auto"/>
        <w:ind w:firstLine="480" w:firstLineChars="200"/>
        <w:jc w:val="left"/>
        <w:rPr>
          <w:rFonts w:ascii="宋体" w:hAnsi="宋体" w:cs="宋体"/>
          <w:kern w:val="0"/>
          <w:sz w:val="24"/>
          <w:shd w:val="clear" w:color="auto" w:fill="FEFEFE"/>
        </w:rPr>
      </w:pPr>
      <w:r>
        <w:rPr>
          <w:rFonts w:hint="eastAsia" w:ascii="宋体" w:hAnsi="宋体" w:cs="宋体"/>
          <w:kern w:val="0"/>
          <w:sz w:val="24"/>
          <w:shd w:val="clear" w:color="auto" w:fill="FEFEFE"/>
        </w:rPr>
        <w:t>（1）营业执照复印件并加盖单位公章扫描件；（2）法定代表人身份证明原件或法人授权委托书原件；（3）法定代表人身份证复印件授权代理人身份证复印件并加盖公章。</w:t>
      </w:r>
    </w:p>
    <w:p>
      <w:pPr>
        <w:spacing w:line="360" w:lineRule="auto"/>
        <w:ind w:firstLine="480" w:firstLineChars="200"/>
        <w:rPr>
          <w:rFonts w:ascii="宋体" w:hAnsi="宋体" w:cs="宋体"/>
          <w:b/>
          <w:sz w:val="24"/>
        </w:rPr>
      </w:pPr>
      <w:r>
        <w:rPr>
          <w:rFonts w:hint="eastAsia" w:ascii="宋体" w:hAnsi="宋体" w:cs="宋体"/>
          <w:sz w:val="24"/>
        </w:rPr>
        <w:t>4.3磋商文件获取地址：供应商登陆政采云平台https://www.zcygov.cn/在线申请获取采购文件（进入“项目采购”应用，在获取采购文件菜单中选择项目，申请获取采购文件）</w:t>
      </w:r>
    </w:p>
    <w:p>
      <w:pPr>
        <w:widowControl/>
        <w:shd w:val="clear" w:color="auto" w:fill="FEFEFE"/>
        <w:spacing w:line="360" w:lineRule="auto"/>
        <w:ind w:firstLine="480" w:firstLineChars="200"/>
        <w:jc w:val="left"/>
        <w:rPr>
          <w:rFonts w:ascii="宋体" w:hAnsi="宋体" w:cs="宋体"/>
          <w:b/>
          <w:sz w:val="24"/>
        </w:rPr>
      </w:pPr>
      <w:r>
        <w:rPr>
          <w:rFonts w:hint="eastAsia" w:ascii="宋体" w:hAnsi="宋体" w:cs="宋体"/>
          <w:kern w:val="0"/>
          <w:sz w:val="24"/>
          <w:shd w:val="clear" w:color="auto" w:fill="FEFEFE"/>
        </w:rPr>
        <w:t>五、响应文件的递交及相关事宜：</w:t>
      </w:r>
    </w:p>
    <w:p>
      <w:pPr>
        <w:autoSpaceDE w:val="0"/>
        <w:spacing w:line="360" w:lineRule="auto"/>
        <w:ind w:firstLine="480" w:firstLineChars="200"/>
        <w:rPr>
          <w:rFonts w:ascii="宋体" w:hAnsi="宋体" w:cs="宋体"/>
          <w:sz w:val="24"/>
        </w:rPr>
      </w:pPr>
      <w:r>
        <w:rPr>
          <w:rFonts w:hint="eastAsia" w:ascii="宋体" w:hAnsi="宋体" w:cs="宋体"/>
          <w:sz w:val="24"/>
        </w:rPr>
        <w:t>5.1响应文件递交的截止时间及开标时间：2023年</w:t>
      </w:r>
      <w:r>
        <w:rPr>
          <w:rFonts w:hint="eastAsia" w:ascii="宋体" w:hAnsi="宋体" w:cs="宋体"/>
          <w:sz w:val="24"/>
          <w:lang w:val="en-US" w:eastAsia="zh-CN"/>
        </w:rPr>
        <w:t>11</w:t>
      </w:r>
      <w:r>
        <w:rPr>
          <w:rFonts w:hint="eastAsia" w:ascii="宋体" w:hAnsi="宋体" w:cs="宋体"/>
          <w:sz w:val="24"/>
        </w:rPr>
        <w:t>月</w:t>
      </w:r>
      <w:r>
        <w:rPr>
          <w:rFonts w:hint="eastAsia" w:ascii="宋体" w:hAnsi="宋体" w:cs="宋体"/>
          <w:sz w:val="24"/>
          <w:lang w:val="en-US" w:eastAsia="zh-CN"/>
        </w:rPr>
        <w:t>14</w:t>
      </w:r>
      <w:r>
        <w:rPr>
          <w:rFonts w:hint="eastAsia" w:ascii="宋体" w:hAnsi="宋体" w:cs="宋体"/>
          <w:sz w:val="24"/>
        </w:rPr>
        <w:t>日</w:t>
      </w:r>
      <w:r>
        <w:rPr>
          <w:rFonts w:ascii="宋体" w:hAnsi="宋体" w:cs="宋体"/>
          <w:sz w:val="24"/>
        </w:rPr>
        <w:t>1</w:t>
      </w:r>
      <w:r>
        <w:rPr>
          <w:rFonts w:hint="eastAsia" w:ascii="宋体" w:hAnsi="宋体" w:cs="宋体"/>
          <w:sz w:val="24"/>
        </w:rPr>
        <w:t>0：30，投标人应在投标截止时间之前将加密的投标文件上传至政府采购云平台对应位置(逾期未上传的或不符合规定的投标文件将被拒绝接收)，投标结束后将纸质响应文件递交至库尔勒市福润德大厦A-15-1506室。</w:t>
      </w:r>
    </w:p>
    <w:p>
      <w:pPr>
        <w:spacing w:line="360" w:lineRule="auto"/>
        <w:ind w:firstLine="480" w:firstLineChars="200"/>
        <w:rPr>
          <w:rFonts w:ascii="宋体" w:hAnsi="宋体" w:cs="宋体"/>
          <w:sz w:val="24"/>
        </w:rPr>
      </w:pPr>
      <w:r>
        <w:rPr>
          <w:rFonts w:hint="eastAsia" w:ascii="宋体" w:hAnsi="宋体" w:cs="宋体"/>
          <w:sz w:val="24"/>
        </w:rPr>
        <w:t>5.2逾期未上传的或不符合规定的投标文件将被拒绝接收，采购人不予受理。</w:t>
      </w:r>
    </w:p>
    <w:p>
      <w:pPr>
        <w:pStyle w:val="45"/>
        <w:tabs>
          <w:tab w:val="left" w:pos="4305"/>
        </w:tabs>
        <w:spacing w:line="360" w:lineRule="auto"/>
        <w:ind w:firstLine="480" w:firstLineChars="200"/>
        <w:rPr>
          <w:rFonts w:hAnsi="宋体" w:cs="宋体"/>
          <w:sz w:val="24"/>
          <w:szCs w:val="24"/>
        </w:rPr>
      </w:pPr>
      <w:r>
        <w:rPr>
          <w:rFonts w:hint="eastAsia" w:hAnsi="宋体" w:cs="宋体"/>
          <w:sz w:val="24"/>
          <w:szCs w:val="24"/>
        </w:rPr>
        <w:t>六、发布公告的媒介：</w:t>
      </w:r>
    </w:p>
    <w:p>
      <w:pPr>
        <w:pStyle w:val="45"/>
        <w:tabs>
          <w:tab w:val="left" w:pos="4305"/>
        </w:tabs>
        <w:spacing w:line="360" w:lineRule="auto"/>
        <w:ind w:firstLine="480" w:firstLineChars="200"/>
        <w:rPr>
          <w:rFonts w:hAnsi="宋体" w:cs="宋体"/>
          <w:sz w:val="24"/>
          <w:szCs w:val="24"/>
        </w:rPr>
      </w:pPr>
      <w:r>
        <w:rPr>
          <w:rFonts w:hint="eastAsia" w:hAnsi="宋体" w:cs="宋体"/>
          <w:sz w:val="24"/>
          <w:szCs w:val="24"/>
        </w:rPr>
        <w:t>新疆维吾尔自治区政府采购网（</w:t>
      </w:r>
      <w:r>
        <w:fldChar w:fldCharType="begin"/>
      </w:r>
      <w:r>
        <w:instrText xml:space="preserve"> HYPERLINK "http://www.ccgp-xinjiang.gov.cn" </w:instrText>
      </w:r>
      <w:r>
        <w:fldChar w:fldCharType="separate"/>
      </w:r>
      <w:r>
        <w:rPr>
          <w:rFonts w:hint="eastAsia" w:hAnsi="宋体" w:cs="宋体"/>
          <w:sz w:val="24"/>
          <w:szCs w:val="24"/>
        </w:rPr>
        <w:t>http://www.ccgp-xinjiang.gov.cn</w:t>
      </w:r>
      <w:r>
        <w:rPr>
          <w:rFonts w:hint="eastAsia" w:hAnsi="宋体" w:cs="宋体"/>
          <w:sz w:val="24"/>
          <w:szCs w:val="24"/>
        </w:rPr>
        <w:fldChar w:fldCharType="end"/>
      </w:r>
      <w:r>
        <w:rPr>
          <w:rFonts w:hint="eastAsia" w:hAnsi="宋体" w:cs="宋体"/>
          <w:sz w:val="24"/>
          <w:szCs w:val="24"/>
        </w:rPr>
        <w:t>）。</w:t>
      </w:r>
    </w:p>
    <w:p>
      <w:pPr>
        <w:pStyle w:val="45"/>
        <w:numPr>
          <w:ilvl w:val="0"/>
          <w:numId w:val="10"/>
        </w:numPr>
        <w:tabs>
          <w:tab w:val="left" w:pos="4305"/>
        </w:tabs>
        <w:spacing w:line="360" w:lineRule="auto"/>
        <w:ind w:firstLine="480" w:firstLineChars="200"/>
        <w:rPr>
          <w:rFonts w:hAnsi="宋体" w:cs="宋体"/>
          <w:sz w:val="24"/>
          <w:szCs w:val="24"/>
        </w:rPr>
      </w:pPr>
      <w:r>
        <w:rPr>
          <w:rFonts w:hint="eastAsia" w:hAnsi="宋体" w:cs="宋体"/>
          <w:sz w:val="24"/>
          <w:szCs w:val="24"/>
        </w:rPr>
        <w:t>联系方式：</w:t>
      </w:r>
    </w:p>
    <w:p>
      <w:pPr>
        <w:spacing w:line="360" w:lineRule="auto"/>
        <w:ind w:firstLine="480" w:firstLineChars="200"/>
        <w:rPr>
          <w:rFonts w:ascii="宋体" w:hAnsi="宋体" w:cs="宋体"/>
          <w:kern w:val="0"/>
          <w:sz w:val="24"/>
          <w:shd w:val="clear" w:color="auto" w:fill="FEFEFE"/>
        </w:rPr>
      </w:pPr>
      <w:r>
        <w:rPr>
          <w:rFonts w:hint="eastAsia" w:ascii="宋体" w:hAnsi="宋体" w:cs="宋体"/>
          <w:kern w:val="0"/>
          <w:sz w:val="24"/>
          <w:shd w:val="clear" w:color="auto" w:fill="FEFEFE"/>
        </w:rPr>
        <w:t>招标人名称：库尔勒第二人民医院</w:t>
      </w:r>
    </w:p>
    <w:p>
      <w:pPr>
        <w:spacing w:line="360" w:lineRule="auto"/>
        <w:ind w:firstLine="480" w:firstLineChars="200"/>
        <w:rPr>
          <w:rFonts w:ascii="宋体" w:hAnsi="宋体" w:cs="宋体"/>
          <w:kern w:val="0"/>
          <w:sz w:val="24"/>
          <w:shd w:val="clear" w:color="auto" w:fill="FEFEFE"/>
        </w:rPr>
      </w:pPr>
      <w:r>
        <w:rPr>
          <w:rFonts w:hint="eastAsia" w:ascii="宋体" w:hAnsi="宋体" w:cs="宋体"/>
          <w:kern w:val="0"/>
          <w:sz w:val="24"/>
          <w:shd w:val="clear" w:color="auto" w:fill="FEFEFE"/>
        </w:rPr>
        <w:t>地    址：库尔勒市</w:t>
      </w:r>
    </w:p>
    <w:p>
      <w:pPr>
        <w:spacing w:line="360" w:lineRule="auto"/>
        <w:ind w:firstLine="480" w:firstLineChars="200"/>
        <w:rPr>
          <w:rFonts w:ascii="宋体" w:hAnsi="宋体" w:cs="宋体"/>
          <w:kern w:val="0"/>
          <w:sz w:val="24"/>
          <w:shd w:val="clear" w:color="auto" w:fill="FEFEFE"/>
        </w:rPr>
      </w:pPr>
      <w:r>
        <w:rPr>
          <w:rFonts w:hint="eastAsia" w:ascii="宋体" w:hAnsi="宋体" w:cs="宋体"/>
          <w:kern w:val="0"/>
          <w:sz w:val="24"/>
          <w:shd w:val="clear" w:color="auto" w:fill="FEFEFE"/>
        </w:rPr>
        <w:t>联 系 人：汪先生      电话：15199917351</w:t>
      </w:r>
    </w:p>
    <w:p>
      <w:pPr>
        <w:spacing w:line="360" w:lineRule="auto"/>
        <w:ind w:firstLine="480" w:firstLineChars="200"/>
        <w:rPr>
          <w:rFonts w:ascii="宋体" w:hAnsi="宋体" w:cs="宋体"/>
          <w:kern w:val="0"/>
          <w:sz w:val="24"/>
          <w:shd w:val="clear" w:color="auto" w:fill="FEFEFE"/>
        </w:rPr>
      </w:pPr>
      <w:r>
        <w:rPr>
          <w:rFonts w:hint="eastAsia" w:ascii="宋体" w:hAnsi="宋体" w:cs="宋体"/>
          <w:kern w:val="0"/>
          <w:sz w:val="24"/>
          <w:shd w:val="clear" w:color="auto" w:fill="FEFEFE"/>
        </w:rPr>
        <w:t>采购代理：新疆军脉项目管理咨询有限公司</w:t>
      </w:r>
    </w:p>
    <w:p>
      <w:pPr>
        <w:spacing w:line="360" w:lineRule="auto"/>
        <w:ind w:firstLine="480" w:firstLineChars="200"/>
        <w:rPr>
          <w:rFonts w:ascii="宋体" w:hAnsi="宋体" w:cs="宋体"/>
          <w:kern w:val="0"/>
          <w:sz w:val="24"/>
          <w:shd w:val="clear" w:color="auto" w:fill="FEFEFE"/>
        </w:rPr>
      </w:pPr>
      <w:r>
        <w:rPr>
          <w:rFonts w:hint="eastAsia" w:ascii="宋体" w:hAnsi="宋体" w:cs="宋体"/>
          <w:kern w:val="0"/>
          <w:sz w:val="24"/>
          <w:shd w:val="clear" w:color="auto" w:fill="FEFEFE"/>
        </w:rPr>
        <w:t>地    址：库尔勒市福润德大厦A-15-1506室</w:t>
      </w:r>
    </w:p>
    <w:p>
      <w:pPr>
        <w:spacing w:line="360" w:lineRule="auto"/>
        <w:ind w:firstLine="480" w:firstLineChars="200"/>
        <w:rPr>
          <w:rFonts w:ascii="宋体" w:hAnsi="宋体" w:cs="宋体"/>
          <w:kern w:val="0"/>
          <w:sz w:val="24"/>
          <w:shd w:val="clear" w:color="auto" w:fill="FEFEFE"/>
        </w:rPr>
      </w:pPr>
      <w:r>
        <w:rPr>
          <w:rFonts w:hint="eastAsia" w:ascii="宋体" w:hAnsi="宋体" w:cs="宋体"/>
          <w:kern w:val="0"/>
          <w:sz w:val="24"/>
          <w:shd w:val="clear" w:color="auto" w:fill="FEFEFE"/>
        </w:rPr>
        <w:t>联 系 人：胡先生   联系电话：13699342041</w:t>
      </w:r>
    </w:p>
    <w:p>
      <w:pPr>
        <w:adjustRightInd w:val="0"/>
        <w:snapToGrid w:val="0"/>
        <w:spacing w:line="360" w:lineRule="auto"/>
        <w:jc w:val="center"/>
        <w:rPr>
          <w:rFonts w:ascii="宋体" w:hAnsi="宋体"/>
          <w:b/>
          <w:sz w:val="36"/>
        </w:rPr>
      </w:pPr>
      <w:r>
        <w:rPr>
          <w:rFonts w:ascii="宋体" w:hAnsi="宋体"/>
          <w:b/>
          <w:sz w:val="36"/>
        </w:rPr>
        <w:t>第二部分  投标人须知</w:t>
      </w:r>
    </w:p>
    <w:p>
      <w:pPr>
        <w:pStyle w:val="45"/>
        <w:spacing w:line="360" w:lineRule="auto"/>
        <w:jc w:val="center"/>
        <w:outlineLvl w:val="0"/>
        <w:rPr>
          <w:rFonts w:hAnsi="宋体"/>
          <w:b/>
          <w:sz w:val="36"/>
        </w:rPr>
      </w:pPr>
      <w:r>
        <w:rPr>
          <w:rFonts w:hAnsi="宋体"/>
          <w:b/>
          <w:sz w:val="36"/>
        </w:rPr>
        <w:t>投标人须知前附表</w:t>
      </w:r>
    </w:p>
    <w:tbl>
      <w:tblPr>
        <w:tblStyle w:val="88"/>
        <w:tblW w:w="9356" w:type="dxa"/>
        <w:tblInd w:w="-3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851"/>
        <w:gridCol w:w="797"/>
        <w:gridCol w:w="1210"/>
        <w:gridCol w:w="6498"/>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20" w:hRule="atLeast"/>
          <w:tblHeader/>
        </w:trPr>
        <w:tc>
          <w:tcPr>
            <w:tcW w:w="1648" w:type="dxa"/>
            <w:gridSpan w:val="2"/>
            <w:tcBorders>
              <w:top w:val="single" w:color="auto" w:sz="12" w:space="0"/>
            </w:tcBorders>
            <w:noWrap/>
            <w:vAlign w:val="center"/>
          </w:tcPr>
          <w:p>
            <w:pPr>
              <w:pStyle w:val="45"/>
              <w:spacing w:line="360" w:lineRule="auto"/>
              <w:jc w:val="center"/>
              <w:rPr>
                <w:rFonts w:hAnsi="宋体"/>
              </w:rPr>
            </w:pPr>
            <w:r>
              <w:rPr>
                <w:rFonts w:hint="eastAsia" w:hAnsi="宋体"/>
              </w:rPr>
              <w:t>条款号</w:t>
            </w:r>
          </w:p>
        </w:tc>
        <w:tc>
          <w:tcPr>
            <w:tcW w:w="1210" w:type="dxa"/>
            <w:tcBorders>
              <w:top w:val="single" w:color="auto" w:sz="12" w:space="0"/>
            </w:tcBorders>
            <w:noWrap/>
            <w:vAlign w:val="center"/>
          </w:tcPr>
          <w:p>
            <w:pPr>
              <w:pStyle w:val="45"/>
              <w:spacing w:line="360" w:lineRule="auto"/>
              <w:jc w:val="center"/>
              <w:rPr>
                <w:rFonts w:hAnsi="宋体"/>
              </w:rPr>
            </w:pPr>
            <w:r>
              <w:rPr>
                <w:rFonts w:hint="eastAsia" w:hAnsi="宋体"/>
              </w:rPr>
              <w:t>条款名称</w:t>
            </w:r>
          </w:p>
        </w:tc>
        <w:tc>
          <w:tcPr>
            <w:tcW w:w="6498" w:type="dxa"/>
            <w:tcBorders>
              <w:top w:val="single" w:color="auto" w:sz="12" w:space="0"/>
            </w:tcBorders>
            <w:noWrap/>
            <w:vAlign w:val="center"/>
          </w:tcPr>
          <w:p>
            <w:pPr>
              <w:spacing w:line="360" w:lineRule="auto"/>
              <w:jc w:val="center"/>
              <w:rPr>
                <w:rFonts w:ascii="宋体" w:hAnsi="宋体"/>
                <w:szCs w:val="21"/>
              </w:rPr>
            </w:pPr>
            <w:r>
              <w:rPr>
                <w:rFonts w:hint="eastAsia" w:ascii="宋体" w:hAnsi="宋体"/>
                <w:szCs w:val="21"/>
              </w:rPr>
              <w:t>编列内容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1648" w:type="dxa"/>
            <w:gridSpan w:val="2"/>
            <w:noWrap/>
            <w:vAlign w:val="center"/>
          </w:tcPr>
          <w:p>
            <w:pPr>
              <w:pStyle w:val="45"/>
              <w:spacing w:line="360" w:lineRule="auto"/>
              <w:jc w:val="center"/>
              <w:rPr>
                <w:rFonts w:hAnsi="宋体"/>
              </w:rPr>
            </w:pPr>
            <w:r>
              <w:rPr>
                <w:rFonts w:hint="eastAsia" w:hAnsi="宋体"/>
              </w:rPr>
              <w:t>第一章</w:t>
            </w:r>
            <w:r>
              <w:rPr>
                <w:rFonts w:hAnsi="宋体"/>
              </w:rPr>
              <w:t>1.1</w:t>
            </w:r>
            <w:r>
              <w:rPr>
                <w:rFonts w:hint="eastAsia" w:hAnsi="宋体"/>
              </w:rPr>
              <w:t>款</w:t>
            </w:r>
          </w:p>
        </w:tc>
        <w:tc>
          <w:tcPr>
            <w:tcW w:w="1210" w:type="dxa"/>
            <w:noWrap/>
            <w:vAlign w:val="center"/>
          </w:tcPr>
          <w:p>
            <w:pPr>
              <w:pStyle w:val="45"/>
              <w:spacing w:line="360" w:lineRule="auto"/>
              <w:jc w:val="center"/>
              <w:rPr>
                <w:rFonts w:hAnsi="宋体"/>
              </w:rPr>
            </w:pPr>
            <w:r>
              <w:rPr>
                <w:rFonts w:hint="eastAsia" w:hAnsi="宋体"/>
              </w:rPr>
              <w:t>项目名称</w:t>
            </w:r>
          </w:p>
        </w:tc>
        <w:tc>
          <w:tcPr>
            <w:tcW w:w="6498" w:type="dxa"/>
            <w:noWrap/>
            <w:vAlign w:val="center"/>
          </w:tcPr>
          <w:p>
            <w:pPr>
              <w:spacing w:line="360" w:lineRule="auto"/>
              <w:rPr>
                <w:rFonts w:hint="eastAsia" w:ascii="宋体" w:hAnsi="宋体" w:eastAsia="宋体"/>
                <w:szCs w:val="21"/>
                <w:lang w:eastAsia="zh-CN"/>
              </w:rPr>
            </w:pPr>
            <w:r>
              <w:rPr>
                <w:rFonts w:hint="eastAsia" w:ascii="宋体" w:hAnsi="宋体"/>
                <w:szCs w:val="21"/>
                <w:lang w:eastAsia="zh-CN"/>
              </w:rPr>
              <w:t>库尔勒第二人民医院信息化能力提升项目（二标段）</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1648" w:type="dxa"/>
            <w:gridSpan w:val="2"/>
            <w:noWrap/>
            <w:vAlign w:val="center"/>
          </w:tcPr>
          <w:p>
            <w:pPr>
              <w:pStyle w:val="45"/>
              <w:spacing w:line="360" w:lineRule="auto"/>
              <w:jc w:val="center"/>
              <w:rPr>
                <w:rFonts w:hAnsi="宋体"/>
              </w:rPr>
            </w:pPr>
            <w:r>
              <w:rPr>
                <w:rFonts w:hint="eastAsia" w:hAnsi="宋体"/>
              </w:rPr>
              <w:t>第一章</w:t>
            </w:r>
            <w:r>
              <w:rPr>
                <w:rFonts w:hAnsi="宋体"/>
              </w:rPr>
              <w:t>1.2</w:t>
            </w:r>
            <w:r>
              <w:rPr>
                <w:rFonts w:hint="eastAsia" w:hAnsi="宋体"/>
              </w:rPr>
              <w:t>款</w:t>
            </w:r>
          </w:p>
        </w:tc>
        <w:tc>
          <w:tcPr>
            <w:tcW w:w="1210" w:type="dxa"/>
            <w:noWrap/>
            <w:vAlign w:val="center"/>
          </w:tcPr>
          <w:p>
            <w:pPr>
              <w:pStyle w:val="45"/>
              <w:spacing w:line="360" w:lineRule="auto"/>
              <w:jc w:val="center"/>
              <w:rPr>
                <w:rFonts w:hAnsi="宋体"/>
              </w:rPr>
            </w:pPr>
            <w:r>
              <w:rPr>
                <w:rFonts w:hint="eastAsia" w:hAnsi="宋体"/>
              </w:rPr>
              <w:t>采购方式</w:t>
            </w:r>
          </w:p>
        </w:tc>
        <w:tc>
          <w:tcPr>
            <w:tcW w:w="6498" w:type="dxa"/>
            <w:noWrap/>
            <w:vAlign w:val="center"/>
          </w:tcPr>
          <w:p>
            <w:pPr>
              <w:pStyle w:val="45"/>
              <w:spacing w:line="360" w:lineRule="auto"/>
              <w:rPr>
                <w:rFonts w:hAnsi="宋体" w:cs="宋体"/>
              </w:rPr>
            </w:pPr>
            <w:r>
              <w:rPr>
                <w:rFonts w:hint="eastAsia" w:hAnsi="宋体" w:cs="宋体"/>
                <w:sz w:val="24"/>
                <w:szCs w:val="24"/>
              </w:rPr>
              <w:t>竞争性磋商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293" w:hRule="atLeast"/>
        </w:trPr>
        <w:tc>
          <w:tcPr>
            <w:tcW w:w="1648" w:type="dxa"/>
            <w:gridSpan w:val="2"/>
            <w:noWrap/>
            <w:vAlign w:val="center"/>
          </w:tcPr>
          <w:p>
            <w:pPr>
              <w:pStyle w:val="45"/>
              <w:spacing w:line="360" w:lineRule="auto"/>
              <w:jc w:val="center"/>
              <w:rPr>
                <w:rFonts w:hAnsi="宋体"/>
              </w:rPr>
            </w:pPr>
            <w:r>
              <w:rPr>
                <w:rFonts w:hint="eastAsia" w:hAnsi="宋体"/>
              </w:rPr>
              <w:t>第一章</w:t>
            </w:r>
            <w:r>
              <w:rPr>
                <w:rFonts w:hAnsi="宋体"/>
              </w:rPr>
              <w:t>1.3</w:t>
            </w:r>
            <w:r>
              <w:rPr>
                <w:rFonts w:hint="eastAsia" w:hAnsi="宋体"/>
              </w:rPr>
              <w:t>款</w:t>
            </w:r>
          </w:p>
        </w:tc>
        <w:tc>
          <w:tcPr>
            <w:tcW w:w="1210" w:type="dxa"/>
            <w:noWrap/>
            <w:vAlign w:val="center"/>
          </w:tcPr>
          <w:p>
            <w:pPr>
              <w:pStyle w:val="45"/>
              <w:spacing w:line="360" w:lineRule="auto"/>
              <w:jc w:val="center"/>
              <w:rPr>
                <w:rFonts w:hAnsi="宋体"/>
              </w:rPr>
            </w:pPr>
            <w:r>
              <w:rPr>
                <w:rFonts w:hint="eastAsia" w:hAnsi="宋体"/>
              </w:rPr>
              <w:t>采购内容</w:t>
            </w:r>
          </w:p>
        </w:tc>
        <w:tc>
          <w:tcPr>
            <w:tcW w:w="6498" w:type="dxa"/>
            <w:noWrap/>
            <w:vAlign w:val="center"/>
          </w:tcPr>
          <w:p>
            <w:pPr>
              <w:adjustRightInd w:val="0"/>
              <w:snapToGrid w:val="0"/>
              <w:spacing w:line="360" w:lineRule="auto"/>
              <w:jc w:val="left"/>
              <w:rPr>
                <w:rFonts w:ascii="宋体" w:hAnsi="宋体"/>
                <w:szCs w:val="21"/>
              </w:rPr>
            </w:pPr>
            <w:r>
              <w:rPr>
                <w:rFonts w:hint="eastAsia" w:ascii="宋体" w:hAnsi="宋体"/>
                <w:szCs w:val="21"/>
              </w:rPr>
              <w:t>详见招标文件。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420" w:hRule="atLeast"/>
        </w:trPr>
        <w:tc>
          <w:tcPr>
            <w:tcW w:w="1648" w:type="dxa"/>
            <w:gridSpan w:val="2"/>
            <w:noWrap/>
            <w:vAlign w:val="center"/>
          </w:tcPr>
          <w:p>
            <w:pPr>
              <w:pStyle w:val="45"/>
              <w:spacing w:line="360" w:lineRule="auto"/>
              <w:jc w:val="center"/>
              <w:rPr>
                <w:rFonts w:hAnsi="宋体"/>
              </w:rPr>
            </w:pPr>
            <w:r>
              <w:rPr>
                <w:rFonts w:hint="eastAsia" w:hAnsi="宋体"/>
              </w:rPr>
              <w:t>第一章</w:t>
            </w:r>
            <w:r>
              <w:rPr>
                <w:rFonts w:hAnsi="宋体"/>
              </w:rPr>
              <w:t>1.4</w:t>
            </w:r>
            <w:r>
              <w:rPr>
                <w:rFonts w:hint="eastAsia" w:hAnsi="宋体"/>
              </w:rPr>
              <w:t>款</w:t>
            </w:r>
          </w:p>
        </w:tc>
        <w:tc>
          <w:tcPr>
            <w:tcW w:w="1210" w:type="dxa"/>
            <w:noWrap/>
            <w:vAlign w:val="center"/>
          </w:tcPr>
          <w:p>
            <w:pPr>
              <w:pStyle w:val="45"/>
              <w:spacing w:line="360" w:lineRule="auto"/>
              <w:jc w:val="center"/>
              <w:rPr>
                <w:rFonts w:hAnsi="宋体"/>
              </w:rPr>
            </w:pPr>
            <w:r>
              <w:rPr>
                <w:rFonts w:hint="eastAsia" w:hAnsi="宋体"/>
              </w:rPr>
              <w:t>资金来源</w:t>
            </w:r>
          </w:p>
        </w:tc>
        <w:tc>
          <w:tcPr>
            <w:tcW w:w="6498" w:type="dxa"/>
            <w:noWrap/>
            <w:vAlign w:val="center"/>
          </w:tcPr>
          <w:p>
            <w:pPr>
              <w:adjustRightInd w:val="0"/>
              <w:snapToGrid w:val="0"/>
              <w:spacing w:line="360" w:lineRule="auto"/>
              <w:jc w:val="left"/>
              <w:rPr>
                <w:rFonts w:ascii="宋体" w:hAnsi="宋体"/>
                <w:szCs w:val="21"/>
              </w:rPr>
            </w:pPr>
            <w:r>
              <w:rPr>
                <w:rFonts w:hint="eastAsia" w:ascii="宋体" w:hAnsi="宋体"/>
                <w:szCs w:val="21"/>
              </w:rPr>
              <w:t>自筹资金</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1648" w:type="dxa"/>
            <w:gridSpan w:val="2"/>
            <w:noWrap/>
            <w:vAlign w:val="center"/>
          </w:tcPr>
          <w:p>
            <w:pPr>
              <w:pStyle w:val="45"/>
              <w:spacing w:line="360" w:lineRule="auto"/>
              <w:jc w:val="center"/>
              <w:rPr>
                <w:rFonts w:hAnsi="宋体"/>
              </w:rPr>
            </w:pPr>
            <w:r>
              <w:rPr>
                <w:rFonts w:hint="eastAsia" w:hAnsi="宋体"/>
              </w:rPr>
              <w:t>第一章</w:t>
            </w:r>
            <w:r>
              <w:rPr>
                <w:rFonts w:hAnsi="宋体"/>
              </w:rPr>
              <w:t>1.5</w:t>
            </w:r>
            <w:r>
              <w:rPr>
                <w:rFonts w:hint="eastAsia" w:hAnsi="宋体"/>
              </w:rPr>
              <w:t>款</w:t>
            </w:r>
          </w:p>
        </w:tc>
        <w:tc>
          <w:tcPr>
            <w:tcW w:w="1210" w:type="dxa"/>
            <w:noWrap/>
            <w:vAlign w:val="center"/>
          </w:tcPr>
          <w:p>
            <w:pPr>
              <w:pStyle w:val="45"/>
              <w:spacing w:line="360" w:lineRule="auto"/>
              <w:jc w:val="center"/>
              <w:rPr>
                <w:rFonts w:hAnsi="宋体"/>
              </w:rPr>
            </w:pPr>
            <w:r>
              <w:rPr>
                <w:rFonts w:hint="eastAsia" w:hAnsi="宋体"/>
              </w:rPr>
              <w:t>项目地点</w:t>
            </w:r>
          </w:p>
        </w:tc>
        <w:tc>
          <w:tcPr>
            <w:tcW w:w="6498" w:type="dxa"/>
            <w:noWrap/>
            <w:vAlign w:val="center"/>
          </w:tcPr>
          <w:p>
            <w:pPr>
              <w:adjustRightInd w:val="0"/>
              <w:snapToGrid w:val="0"/>
              <w:spacing w:line="360" w:lineRule="auto"/>
              <w:jc w:val="left"/>
              <w:rPr>
                <w:rFonts w:ascii="宋体" w:hAnsi="宋体"/>
                <w:szCs w:val="21"/>
              </w:rPr>
            </w:pPr>
            <w:r>
              <w:rPr>
                <w:rFonts w:hint="eastAsia" w:ascii="宋体" w:hAnsi="宋体"/>
                <w:szCs w:val="21"/>
              </w:rPr>
              <w:t>库尔勒</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59" w:hRule="atLeast"/>
        </w:trPr>
        <w:tc>
          <w:tcPr>
            <w:tcW w:w="1648" w:type="dxa"/>
            <w:gridSpan w:val="2"/>
            <w:noWrap/>
            <w:vAlign w:val="center"/>
          </w:tcPr>
          <w:p>
            <w:pPr>
              <w:pStyle w:val="45"/>
              <w:spacing w:line="360" w:lineRule="auto"/>
              <w:jc w:val="center"/>
              <w:rPr>
                <w:rFonts w:hAnsi="宋体"/>
              </w:rPr>
            </w:pPr>
            <w:r>
              <w:rPr>
                <w:rFonts w:hint="eastAsia" w:hAnsi="宋体"/>
              </w:rPr>
              <w:t>第一章</w:t>
            </w:r>
            <w:r>
              <w:rPr>
                <w:rFonts w:hAnsi="宋体"/>
              </w:rPr>
              <w:t>1.6</w:t>
            </w:r>
            <w:r>
              <w:rPr>
                <w:rFonts w:hint="eastAsia" w:hAnsi="宋体"/>
              </w:rPr>
              <w:t>款</w:t>
            </w:r>
          </w:p>
        </w:tc>
        <w:tc>
          <w:tcPr>
            <w:tcW w:w="1210" w:type="dxa"/>
            <w:noWrap/>
            <w:vAlign w:val="center"/>
          </w:tcPr>
          <w:p>
            <w:pPr>
              <w:pStyle w:val="45"/>
              <w:spacing w:line="360" w:lineRule="auto"/>
              <w:jc w:val="center"/>
              <w:rPr>
                <w:rFonts w:hAnsi="宋体"/>
              </w:rPr>
            </w:pPr>
            <w:r>
              <w:rPr>
                <w:rFonts w:hint="eastAsia" w:hAnsi="宋体"/>
              </w:rPr>
              <w:t>交货期</w:t>
            </w:r>
          </w:p>
        </w:tc>
        <w:tc>
          <w:tcPr>
            <w:tcW w:w="6498" w:type="dxa"/>
            <w:noWrap/>
            <w:vAlign w:val="center"/>
          </w:tcPr>
          <w:p>
            <w:pPr>
              <w:adjustRightInd w:val="0"/>
              <w:snapToGrid w:val="0"/>
              <w:spacing w:line="360" w:lineRule="auto"/>
              <w:jc w:val="left"/>
              <w:rPr>
                <w:rFonts w:ascii="宋体" w:hAnsi="宋体"/>
                <w:szCs w:val="21"/>
              </w:rPr>
            </w:pPr>
            <w:r>
              <w:rPr>
                <w:rFonts w:hint="eastAsia" w:ascii="宋体" w:hAnsi="宋体"/>
                <w:szCs w:val="21"/>
              </w:rPr>
              <w:t>自成交之日起30天内完成</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1648" w:type="dxa"/>
            <w:gridSpan w:val="2"/>
            <w:noWrap/>
            <w:vAlign w:val="center"/>
          </w:tcPr>
          <w:p>
            <w:pPr>
              <w:pStyle w:val="45"/>
              <w:spacing w:line="360" w:lineRule="auto"/>
              <w:jc w:val="center"/>
              <w:rPr>
                <w:rFonts w:hAnsi="宋体"/>
              </w:rPr>
            </w:pPr>
            <w:r>
              <w:rPr>
                <w:rFonts w:hint="eastAsia" w:hAnsi="宋体"/>
              </w:rPr>
              <w:t>第一章</w:t>
            </w:r>
            <w:r>
              <w:rPr>
                <w:rFonts w:hAnsi="宋体"/>
              </w:rPr>
              <w:t>1.</w:t>
            </w:r>
            <w:r>
              <w:rPr>
                <w:rFonts w:hint="eastAsia" w:hAnsi="宋体"/>
              </w:rPr>
              <w:t>7款</w:t>
            </w:r>
          </w:p>
        </w:tc>
        <w:tc>
          <w:tcPr>
            <w:tcW w:w="1210" w:type="dxa"/>
            <w:noWrap/>
            <w:vAlign w:val="center"/>
          </w:tcPr>
          <w:p>
            <w:pPr>
              <w:pStyle w:val="45"/>
              <w:spacing w:line="360" w:lineRule="auto"/>
              <w:jc w:val="center"/>
              <w:rPr>
                <w:rFonts w:hAnsi="宋体"/>
              </w:rPr>
            </w:pPr>
            <w:r>
              <w:rPr>
                <w:rFonts w:hint="eastAsia" w:hAnsi="宋体"/>
              </w:rPr>
              <w:t>质保期</w:t>
            </w:r>
          </w:p>
        </w:tc>
        <w:tc>
          <w:tcPr>
            <w:tcW w:w="6498" w:type="dxa"/>
            <w:noWrap/>
            <w:vAlign w:val="center"/>
          </w:tcPr>
          <w:p>
            <w:pPr>
              <w:adjustRightInd w:val="0"/>
              <w:snapToGrid w:val="0"/>
              <w:spacing w:line="360" w:lineRule="auto"/>
              <w:jc w:val="left"/>
              <w:rPr>
                <w:rFonts w:ascii="宋体" w:hAnsi="宋体"/>
                <w:szCs w:val="21"/>
              </w:rPr>
            </w:pPr>
            <w:r>
              <w:rPr>
                <w:rFonts w:hint="eastAsia" w:ascii="宋体" w:hAnsi="宋体"/>
                <w:szCs w:val="21"/>
              </w:rPr>
              <w:t>详见磋商文件。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0" w:hRule="atLeast"/>
        </w:trPr>
        <w:tc>
          <w:tcPr>
            <w:tcW w:w="1648" w:type="dxa"/>
            <w:gridSpan w:val="2"/>
            <w:noWrap/>
            <w:vAlign w:val="center"/>
          </w:tcPr>
          <w:p>
            <w:pPr>
              <w:pStyle w:val="45"/>
              <w:spacing w:line="360" w:lineRule="auto"/>
              <w:jc w:val="center"/>
              <w:rPr>
                <w:rFonts w:hAnsi="宋体"/>
              </w:rPr>
            </w:pPr>
            <w:r>
              <w:rPr>
                <w:rFonts w:hint="eastAsia" w:hAnsi="宋体"/>
              </w:rPr>
              <w:t>第一章</w:t>
            </w:r>
            <w:r>
              <w:rPr>
                <w:rFonts w:hAnsi="宋体"/>
              </w:rPr>
              <w:t>2.1</w:t>
            </w:r>
            <w:r>
              <w:rPr>
                <w:rFonts w:hint="eastAsia" w:hAnsi="宋体"/>
              </w:rPr>
              <w:t>款</w:t>
            </w:r>
          </w:p>
        </w:tc>
        <w:tc>
          <w:tcPr>
            <w:tcW w:w="1210" w:type="dxa"/>
            <w:noWrap/>
            <w:vAlign w:val="center"/>
          </w:tcPr>
          <w:p>
            <w:pPr>
              <w:pStyle w:val="45"/>
              <w:spacing w:line="360" w:lineRule="auto"/>
              <w:jc w:val="center"/>
              <w:rPr>
                <w:rFonts w:hAnsi="宋体"/>
              </w:rPr>
            </w:pPr>
            <w:r>
              <w:rPr>
                <w:rFonts w:hint="eastAsia" w:hAnsi="宋体"/>
              </w:rPr>
              <w:t>采购人</w:t>
            </w:r>
          </w:p>
        </w:tc>
        <w:tc>
          <w:tcPr>
            <w:tcW w:w="6498" w:type="dxa"/>
            <w:noWrap/>
            <w:vAlign w:val="center"/>
          </w:tcPr>
          <w:p>
            <w:pPr>
              <w:pStyle w:val="45"/>
              <w:spacing w:line="360" w:lineRule="auto"/>
              <w:rPr>
                <w:rFonts w:hAnsi="宋体"/>
              </w:rPr>
            </w:pPr>
            <w:r>
              <w:rPr>
                <w:rFonts w:hint="eastAsia" w:hAnsi="宋体"/>
              </w:rPr>
              <w:t>招标人名称：库尔勒第二人民医院</w:t>
            </w:r>
          </w:p>
          <w:p>
            <w:pPr>
              <w:pStyle w:val="45"/>
              <w:spacing w:line="360" w:lineRule="auto"/>
              <w:rPr>
                <w:rFonts w:hAnsi="宋体"/>
              </w:rPr>
            </w:pPr>
            <w:r>
              <w:rPr>
                <w:rFonts w:hint="eastAsia" w:hAnsi="宋体"/>
              </w:rPr>
              <w:t>地    址：库尔勒市</w:t>
            </w:r>
          </w:p>
          <w:p>
            <w:pPr>
              <w:spacing w:line="360" w:lineRule="auto"/>
              <w:rPr>
                <w:rFonts w:ascii="宋体" w:hAnsi="宋体"/>
              </w:rPr>
            </w:pPr>
            <w:r>
              <w:rPr>
                <w:rFonts w:hint="eastAsia" w:ascii="宋体" w:hAnsi="宋体" w:cs="宋体"/>
                <w:kern w:val="0"/>
                <w:sz w:val="24"/>
                <w:shd w:val="clear" w:color="auto" w:fill="FEFEFE"/>
              </w:rPr>
              <w:t>联 系 人：汪先生      电话：15199917351</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50" w:hRule="atLeast"/>
        </w:trPr>
        <w:tc>
          <w:tcPr>
            <w:tcW w:w="1648" w:type="dxa"/>
            <w:gridSpan w:val="2"/>
            <w:noWrap/>
            <w:vAlign w:val="center"/>
          </w:tcPr>
          <w:p>
            <w:pPr>
              <w:pStyle w:val="45"/>
              <w:spacing w:line="360" w:lineRule="auto"/>
              <w:jc w:val="center"/>
              <w:rPr>
                <w:rFonts w:hAnsi="宋体"/>
              </w:rPr>
            </w:pPr>
            <w:r>
              <w:rPr>
                <w:rFonts w:hint="eastAsia" w:hAnsi="宋体"/>
              </w:rPr>
              <w:t>第一章</w:t>
            </w:r>
            <w:r>
              <w:rPr>
                <w:rFonts w:hAnsi="宋体"/>
              </w:rPr>
              <w:t>2.2</w:t>
            </w:r>
            <w:r>
              <w:rPr>
                <w:rFonts w:hint="eastAsia" w:hAnsi="宋体"/>
              </w:rPr>
              <w:t>款</w:t>
            </w:r>
          </w:p>
        </w:tc>
        <w:tc>
          <w:tcPr>
            <w:tcW w:w="1210" w:type="dxa"/>
            <w:noWrap/>
            <w:vAlign w:val="center"/>
          </w:tcPr>
          <w:p>
            <w:pPr>
              <w:pStyle w:val="45"/>
              <w:spacing w:line="360" w:lineRule="auto"/>
              <w:jc w:val="center"/>
              <w:rPr>
                <w:rFonts w:hAnsi="宋体"/>
              </w:rPr>
            </w:pPr>
            <w:r>
              <w:rPr>
                <w:rFonts w:hint="eastAsia" w:hAnsi="宋体"/>
              </w:rPr>
              <w:t>代理机构</w:t>
            </w:r>
          </w:p>
        </w:tc>
        <w:tc>
          <w:tcPr>
            <w:tcW w:w="6498" w:type="dxa"/>
            <w:noWrap/>
            <w:vAlign w:val="center"/>
          </w:tcPr>
          <w:p>
            <w:pPr>
              <w:pStyle w:val="45"/>
              <w:spacing w:line="360" w:lineRule="auto"/>
              <w:rPr>
                <w:rFonts w:hAnsi="宋体"/>
              </w:rPr>
            </w:pPr>
            <w:r>
              <w:rPr>
                <w:rFonts w:hint="eastAsia" w:hAnsi="宋体"/>
              </w:rPr>
              <w:t>采购代理：新疆军脉项目管理咨询有限公司</w:t>
            </w:r>
          </w:p>
          <w:p>
            <w:pPr>
              <w:pStyle w:val="45"/>
              <w:spacing w:line="360" w:lineRule="auto"/>
              <w:rPr>
                <w:rFonts w:hAnsi="宋体"/>
              </w:rPr>
            </w:pPr>
            <w:r>
              <w:rPr>
                <w:rFonts w:hint="eastAsia" w:hAnsi="宋体"/>
              </w:rPr>
              <w:t>地    址：库尔勒市福润德大厦A-15-1506室</w:t>
            </w:r>
          </w:p>
          <w:p>
            <w:pPr>
              <w:pStyle w:val="45"/>
              <w:spacing w:line="360" w:lineRule="auto"/>
              <w:rPr>
                <w:rFonts w:hAnsi="宋体"/>
              </w:rPr>
            </w:pPr>
            <w:r>
              <w:rPr>
                <w:rFonts w:hint="eastAsia" w:hAnsi="宋体"/>
              </w:rPr>
              <w:t>联 系 人：胡先生   联系电话：13699342041</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1648" w:type="dxa"/>
            <w:gridSpan w:val="2"/>
            <w:noWrap/>
            <w:vAlign w:val="center"/>
          </w:tcPr>
          <w:p>
            <w:pPr>
              <w:pStyle w:val="45"/>
              <w:spacing w:line="360" w:lineRule="auto"/>
              <w:jc w:val="center"/>
              <w:rPr>
                <w:rFonts w:hAnsi="宋体"/>
              </w:rPr>
            </w:pPr>
            <w:r>
              <w:rPr>
                <w:rFonts w:hint="eastAsia" w:hAnsi="宋体"/>
              </w:rPr>
              <w:t>第一章</w:t>
            </w:r>
            <w:r>
              <w:rPr>
                <w:rFonts w:hAnsi="宋体"/>
              </w:rPr>
              <w:t>2.9</w:t>
            </w:r>
            <w:r>
              <w:rPr>
                <w:rFonts w:hint="eastAsia" w:hAnsi="宋体"/>
              </w:rPr>
              <w:t>款</w:t>
            </w:r>
          </w:p>
        </w:tc>
        <w:tc>
          <w:tcPr>
            <w:tcW w:w="1210" w:type="dxa"/>
            <w:noWrap/>
            <w:vAlign w:val="center"/>
          </w:tcPr>
          <w:p>
            <w:pPr>
              <w:pStyle w:val="45"/>
              <w:spacing w:line="360" w:lineRule="auto"/>
              <w:jc w:val="center"/>
              <w:rPr>
                <w:rFonts w:hAnsi="宋体"/>
              </w:rPr>
            </w:pPr>
            <w:r>
              <w:rPr>
                <w:rFonts w:hint="eastAsia" w:hAnsi="宋体"/>
              </w:rPr>
              <w:t>偏离</w:t>
            </w:r>
          </w:p>
        </w:tc>
        <w:tc>
          <w:tcPr>
            <w:tcW w:w="6498" w:type="dxa"/>
            <w:noWrap/>
            <w:vAlign w:val="center"/>
          </w:tcPr>
          <w:p>
            <w:pPr>
              <w:spacing w:line="360" w:lineRule="auto"/>
              <w:rPr>
                <w:rFonts w:hint="eastAsia" w:ascii="宋体" w:hAnsi="宋体" w:eastAsia="宋体"/>
                <w:szCs w:val="21"/>
                <w:lang w:eastAsia="zh-CN"/>
              </w:rPr>
            </w:pPr>
            <w:r>
              <w:rPr>
                <w:rFonts w:hint="eastAsia" w:ascii="宋体" w:hAnsi="宋体" w:cs="宋体"/>
                <w:sz w:val="21"/>
                <w:szCs w:val="21"/>
                <w:lang w:eastAsia="zh-Hans"/>
              </w:rPr>
              <w:t>★</w:t>
            </w:r>
            <w:r>
              <w:rPr>
                <w:rFonts w:hint="eastAsia" w:ascii="宋体" w:hAnsi="宋体"/>
                <w:sz w:val="21"/>
                <w:szCs w:val="21"/>
                <w:lang w:eastAsia="zh-CN"/>
              </w:rPr>
              <w:t>重要参数</w:t>
            </w:r>
            <w:r>
              <w:rPr>
                <w:rFonts w:hint="eastAsia" w:ascii="宋体" w:hAnsi="宋体"/>
                <w:sz w:val="21"/>
                <w:szCs w:val="21"/>
              </w:rPr>
              <w:t>不接受</w:t>
            </w:r>
            <w:r>
              <w:rPr>
                <w:rFonts w:hint="eastAsia" w:ascii="宋体" w:hAnsi="宋体"/>
                <w:sz w:val="21"/>
                <w:szCs w:val="21"/>
                <w:lang w:eastAsia="zh-CN"/>
              </w:rPr>
              <w:t>偏离</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50" w:hRule="atLeast"/>
        </w:trPr>
        <w:tc>
          <w:tcPr>
            <w:tcW w:w="1648" w:type="dxa"/>
            <w:gridSpan w:val="2"/>
            <w:noWrap/>
            <w:vAlign w:val="center"/>
          </w:tcPr>
          <w:p>
            <w:pPr>
              <w:pStyle w:val="45"/>
              <w:spacing w:line="360" w:lineRule="auto"/>
              <w:jc w:val="center"/>
              <w:rPr>
                <w:rFonts w:hAnsi="宋体"/>
              </w:rPr>
            </w:pPr>
            <w:r>
              <w:rPr>
                <w:rFonts w:hint="eastAsia" w:hAnsi="宋体"/>
              </w:rPr>
              <w:t>第一章</w:t>
            </w:r>
            <w:r>
              <w:rPr>
                <w:rFonts w:hAnsi="宋体"/>
              </w:rPr>
              <w:t>3.1</w:t>
            </w:r>
            <w:r>
              <w:rPr>
                <w:rFonts w:hint="eastAsia" w:hAnsi="宋体"/>
              </w:rPr>
              <w:t>款</w:t>
            </w:r>
          </w:p>
        </w:tc>
        <w:tc>
          <w:tcPr>
            <w:tcW w:w="1210" w:type="dxa"/>
            <w:noWrap/>
            <w:vAlign w:val="center"/>
          </w:tcPr>
          <w:p>
            <w:pPr>
              <w:pStyle w:val="45"/>
              <w:spacing w:line="360" w:lineRule="auto"/>
              <w:jc w:val="center"/>
              <w:rPr>
                <w:rFonts w:hAnsi="宋体"/>
              </w:rPr>
            </w:pPr>
            <w:r>
              <w:rPr>
                <w:rFonts w:hint="eastAsia" w:hAnsi="宋体"/>
              </w:rPr>
              <w:t>供应商</w:t>
            </w:r>
          </w:p>
          <w:p>
            <w:pPr>
              <w:pStyle w:val="45"/>
              <w:spacing w:line="360" w:lineRule="auto"/>
              <w:jc w:val="center"/>
              <w:rPr>
                <w:rFonts w:hAnsi="宋体"/>
              </w:rPr>
            </w:pPr>
            <w:r>
              <w:rPr>
                <w:rFonts w:hint="eastAsia" w:hAnsi="宋体"/>
              </w:rPr>
              <w:t>资格</w:t>
            </w:r>
          </w:p>
        </w:tc>
        <w:tc>
          <w:tcPr>
            <w:tcW w:w="6498" w:type="dxa"/>
            <w:noWrap/>
            <w:vAlign w:val="center"/>
          </w:tcPr>
          <w:p>
            <w:pPr>
              <w:tabs>
                <w:tab w:val="left" w:pos="1440"/>
                <w:tab w:val="left" w:pos="2100"/>
              </w:tabs>
              <w:spacing w:line="360" w:lineRule="auto"/>
              <w:rPr>
                <w:rFonts w:ascii="宋体" w:hAnsi="宋体"/>
                <w:szCs w:val="21"/>
              </w:rPr>
            </w:pPr>
            <w:r>
              <w:rPr>
                <w:rFonts w:hint="eastAsia" w:ascii="宋体" w:hAnsi="宋体"/>
                <w:szCs w:val="21"/>
              </w:rPr>
              <w:t>详见磋商公告。</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50" w:hRule="atLeast"/>
        </w:trPr>
        <w:tc>
          <w:tcPr>
            <w:tcW w:w="1648" w:type="dxa"/>
            <w:gridSpan w:val="2"/>
            <w:noWrap/>
            <w:vAlign w:val="center"/>
          </w:tcPr>
          <w:p>
            <w:pPr>
              <w:pStyle w:val="45"/>
              <w:spacing w:line="360" w:lineRule="auto"/>
              <w:jc w:val="center"/>
              <w:rPr>
                <w:rFonts w:hAnsi="宋体"/>
              </w:rPr>
            </w:pPr>
            <w:r>
              <w:rPr>
                <w:rFonts w:hint="eastAsia" w:hAnsi="宋体"/>
              </w:rPr>
              <w:t>第一章</w:t>
            </w:r>
            <w:r>
              <w:rPr>
                <w:rFonts w:hAnsi="宋体"/>
              </w:rPr>
              <w:t>5.1</w:t>
            </w:r>
            <w:r>
              <w:rPr>
                <w:rFonts w:hint="eastAsia" w:hAnsi="宋体"/>
              </w:rPr>
              <w:t>款</w:t>
            </w:r>
          </w:p>
        </w:tc>
        <w:tc>
          <w:tcPr>
            <w:tcW w:w="1210" w:type="dxa"/>
            <w:noWrap/>
            <w:vAlign w:val="center"/>
          </w:tcPr>
          <w:p>
            <w:pPr>
              <w:pStyle w:val="45"/>
              <w:spacing w:line="360" w:lineRule="auto"/>
              <w:jc w:val="center"/>
              <w:rPr>
                <w:rFonts w:hAnsi="宋体"/>
              </w:rPr>
            </w:pPr>
            <w:r>
              <w:rPr>
                <w:rFonts w:hint="eastAsia" w:hAnsi="宋体"/>
              </w:rPr>
              <w:t>是否接受联合体投标</w:t>
            </w:r>
          </w:p>
        </w:tc>
        <w:tc>
          <w:tcPr>
            <w:tcW w:w="6498" w:type="dxa"/>
            <w:noWrap/>
            <w:vAlign w:val="center"/>
          </w:tcPr>
          <w:p>
            <w:pPr>
              <w:spacing w:line="360" w:lineRule="auto"/>
              <w:rPr>
                <w:rFonts w:ascii="宋体" w:hAnsi="宋体"/>
                <w:b/>
                <w:szCs w:val="21"/>
              </w:rPr>
            </w:pPr>
            <w:r>
              <w:rPr>
                <w:rFonts w:hint="eastAsia" w:ascii="宋体" w:hAnsi="宋体"/>
                <w:b/>
                <w:szCs w:val="21"/>
                <w:bdr w:val="single" w:color="auto" w:sz="4" w:space="0"/>
              </w:rPr>
              <w:t>√</w:t>
            </w:r>
            <w:r>
              <w:rPr>
                <w:rFonts w:hint="eastAsia" w:ascii="宋体" w:hAnsi="宋体"/>
                <w:b/>
                <w:szCs w:val="21"/>
              </w:rPr>
              <w:t>不接受</w:t>
            </w:r>
          </w:p>
          <w:p>
            <w:pPr>
              <w:tabs>
                <w:tab w:val="left" w:pos="1440"/>
                <w:tab w:val="left" w:pos="2100"/>
              </w:tabs>
              <w:spacing w:line="360" w:lineRule="auto"/>
              <w:rPr>
                <w:rFonts w:ascii="宋体" w:hAnsi="宋体"/>
                <w:szCs w:val="21"/>
              </w:rPr>
            </w:pPr>
            <w:r>
              <w:rPr>
                <w:rFonts w:ascii="宋体" w:hAnsi="宋体"/>
                <w:szCs w:val="21"/>
                <w:bdr w:val="single" w:color="auto" w:sz="4" w:space="0"/>
              </w:rPr>
              <w:t xml:space="preserve">  </w:t>
            </w:r>
            <w:r>
              <w:rPr>
                <w:rFonts w:hint="eastAsia" w:ascii="宋体" w:hAnsi="宋体"/>
                <w:szCs w:val="21"/>
              </w:rPr>
              <w:t>接受，但联合体所有成员数量不得超过</w:t>
            </w:r>
            <w:r>
              <w:rPr>
                <w:rFonts w:ascii="宋体" w:hAnsi="宋体"/>
                <w:szCs w:val="21"/>
                <w:u w:val="single"/>
              </w:rPr>
              <w:t xml:space="preserve">  </w:t>
            </w:r>
            <w:r>
              <w:rPr>
                <w:rFonts w:hint="eastAsia" w:ascii="宋体" w:hAnsi="宋体"/>
                <w:szCs w:val="21"/>
              </w:rPr>
              <w:t>家；还应满足下列要求：</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65" w:hRule="atLeast"/>
        </w:trPr>
        <w:tc>
          <w:tcPr>
            <w:tcW w:w="1648" w:type="dxa"/>
            <w:gridSpan w:val="2"/>
            <w:noWrap/>
            <w:vAlign w:val="center"/>
          </w:tcPr>
          <w:p>
            <w:pPr>
              <w:pStyle w:val="45"/>
              <w:spacing w:line="360" w:lineRule="auto"/>
              <w:jc w:val="center"/>
              <w:rPr>
                <w:rFonts w:hAnsi="宋体"/>
              </w:rPr>
            </w:pPr>
            <w:r>
              <w:rPr>
                <w:rFonts w:hint="eastAsia" w:hAnsi="宋体"/>
              </w:rPr>
              <w:t>第一章</w:t>
            </w:r>
            <w:r>
              <w:rPr>
                <w:rFonts w:hAnsi="宋体"/>
              </w:rPr>
              <w:t>6.1</w:t>
            </w:r>
            <w:r>
              <w:rPr>
                <w:rFonts w:hint="eastAsia" w:hAnsi="宋体"/>
              </w:rPr>
              <w:t>款</w:t>
            </w:r>
          </w:p>
        </w:tc>
        <w:tc>
          <w:tcPr>
            <w:tcW w:w="1210" w:type="dxa"/>
            <w:noWrap/>
            <w:vAlign w:val="center"/>
          </w:tcPr>
          <w:p>
            <w:pPr>
              <w:pStyle w:val="45"/>
              <w:spacing w:line="360" w:lineRule="auto"/>
              <w:jc w:val="center"/>
              <w:rPr>
                <w:rFonts w:hAnsi="宋体"/>
              </w:rPr>
            </w:pPr>
            <w:r>
              <w:rPr>
                <w:rFonts w:hint="eastAsia" w:hAnsi="宋体"/>
              </w:rPr>
              <w:t>踏勘现场</w:t>
            </w:r>
          </w:p>
        </w:tc>
        <w:tc>
          <w:tcPr>
            <w:tcW w:w="6498" w:type="dxa"/>
            <w:noWrap/>
            <w:vAlign w:val="center"/>
          </w:tcPr>
          <w:p>
            <w:pPr>
              <w:spacing w:line="360" w:lineRule="auto"/>
              <w:rPr>
                <w:rFonts w:ascii="宋体" w:hAnsi="宋体"/>
              </w:rPr>
            </w:pPr>
            <w:r>
              <w:rPr>
                <w:rFonts w:hint="eastAsia" w:ascii="宋体" w:hAnsi="宋体"/>
                <w:szCs w:val="21"/>
              </w:rPr>
              <w:t>不组织，</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1648" w:type="dxa"/>
            <w:gridSpan w:val="2"/>
            <w:noWrap/>
            <w:vAlign w:val="center"/>
          </w:tcPr>
          <w:p>
            <w:pPr>
              <w:pStyle w:val="45"/>
              <w:spacing w:line="360" w:lineRule="auto"/>
              <w:jc w:val="center"/>
              <w:rPr>
                <w:rFonts w:hAnsi="宋体"/>
              </w:rPr>
            </w:pPr>
            <w:r>
              <w:rPr>
                <w:rFonts w:hint="eastAsia" w:hAnsi="宋体"/>
              </w:rPr>
              <w:t>第一章</w:t>
            </w:r>
            <w:r>
              <w:rPr>
                <w:rFonts w:hAnsi="宋体"/>
              </w:rPr>
              <w:t>7.1</w:t>
            </w:r>
            <w:r>
              <w:rPr>
                <w:rFonts w:hint="eastAsia" w:hAnsi="宋体"/>
              </w:rPr>
              <w:t>款</w:t>
            </w:r>
          </w:p>
        </w:tc>
        <w:tc>
          <w:tcPr>
            <w:tcW w:w="1210" w:type="dxa"/>
            <w:noWrap/>
            <w:vAlign w:val="center"/>
          </w:tcPr>
          <w:p>
            <w:pPr>
              <w:pStyle w:val="45"/>
              <w:spacing w:line="360" w:lineRule="auto"/>
              <w:jc w:val="center"/>
              <w:rPr>
                <w:rFonts w:hAnsi="宋体"/>
              </w:rPr>
            </w:pPr>
            <w:r>
              <w:rPr>
                <w:rFonts w:hint="eastAsia" w:hAnsi="宋体"/>
              </w:rPr>
              <w:t>进口产品</w:t>
            </w:r>
          </w:p>
        </w:tc>
        <w:tc>
          <w:tcPr>
            <w:tcW w:w="6498" w:type="dxa"/>
            <w:noWrap/>
            <w:vAlign w:val="center"/>
          </w:tcPr>
          <w:p>
            <w:pPr>
              <w:spacing w:line="360" w:lineRule="auto"/>
              <w:jc w:val="left"/>
              <w:rPr>
                <w:rFonts w:ascii="宋体" w:hAnsi="宋体"/>
                <w:b/>
                <w:szCs w:val="21"/>
                <w:bdr w:val="single" w:color="auto" w:sz="4" w:space="0"/>
              </w:rPr>
            </w:pPr>
            <w:r>
              <w:rPr>
                <w:rFonts w:hint="eastAsia" w:ascii="宋体" w:hAnsi="宋体"/>
                <w:szCs w:val="21"/>
              </w:rPr>
              <w:t>不接受</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6" w:hRule="atLeast"/>
        </w:trPr>
        <w:tc>
          <w:tcPr>
            <w:tcW w:w="1648" w:type="dxa"/>
            <w:gridSpan w:val="2"/>
            <w:noWrap/>
            <w:vAlign w:val="center"/>
          </w:tcPr>
          <w:p>
            <w:pPr>
              <w:pStyle w:val="45"/>
              <w:spacing w:line="360" w:lineRule="auto"/>
              <w:jc w:val="center"/>
              <w:rPr>
                <w:rFonts w:hAnsi="宋体"/>
              </w:rPr>
            </w:pPr>
            <w:r>
              <w:rPr>
                <w:rFonts w:hint="eastAsia" w:hAnsi="宋体"/>
              </w:rPr>
              <w:t>第三章</w:t>
            </w:r>
            <w:r>
              <w:rPr>
                <w:rFonts w:hAnsi="宋体"/>
              </w:rPr>
              <w:t>16.3</w:t>
            </w:r>
            <w:r>
              <w:rPr>
                <w:rFonts w:hint="eastAsia" w:hAnsi="宋体"/>
              </w:rPr>
              <w:t>款</w:t>
            </w:r>
          </w:p>
        </w:tc>
        <w:tc>
          <w:tcPr>
            <w:tcW w:w="1210" w:type="dxa"/>
            <w:noWrap/>
            <w:vAlign w:val="center"/>
          </w:tcPr>
          <w:p>
            <w:pPr>
              <w:pStyle w:val="45"/>
              <w:spacing w:line="360" w:lineRule="auto"/>
              <w:ind w:left="-59" w:leftChars="-28" w:right="-84" w:rightChars="-40" w:firstLine="58" w:firstLineChars="28"/>
              <w:jc w:val="center"/>
              <w:rPr>
                <w:rFonts w:hAnsi="宋体"/>
              </w:rPr>
            </w:pPr>
            <w:r>
              <w:rPr>
                <w:rFonts w:hint="eastAsia" w:hAnsi="宋体"/>
              </w:rPr>
              <w:t>最高投标限价（采购预算）</w:t>
            </w:r>
          </w:p>
        </w:tc>
        <w:tc>
          <w:tcPr>
            <w:tcW w:w="6498" w:type="dxa"/>
            <w:noWrap/>
            <w:vAlign w:val="center"/>
          </w:tcPr>
          <w:p>
            <w:pPr>
              <w:pStyle w:val="45"/>
              <w:spacing w:line="360" w:lineRule="auto"/>
              <w:rPr>
                <w:rFonts w:hAnsi="宋体" w:cs="宋体"/>
              </w:rPr>
            </w:pPr>
            <w:r>
              <w:rPr>
                <w:rFonts w:hint="eastAsia" w:hAnsi="宋体" w:cs="宋体"/>
                <w:b/>
                <w:bCs/>
              </w:rPr>
              <w:t>本项目的最高投标限价(即采购预算)为：预算金额：360000元</w:t>
            </w:r>
            <w:r>
              <w:rPr>
                <w:rFonts w:hint="eastAsia" w:hAnsi="宋体" w:cs="宋体"/>
              </w:rPr>
              <w:t>。超过最高投标限价的，其投标文件将被否决。</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1648" w:type="dxa"/>
            <w:gridSpan w:val="2"/>
            <w:noWrap/>
            <w:vAlign w:val="center"/>
          </w:tcPr>
          <w:p>
            <w:pPr>
              <w:pStyle w:val="45"/>
              <w:spacing w:line="360" w:lineRule="auto"/>
              <w:jc w:val="center"/>
              <w:rPr>
                <w:rFonts w:hAnsi="宋体"/>
              </w:rPr>
            </w:pPr>
            <w:r>
              <w:rPr>
                <w:rFonts w:hint="eastAsia" w:hAnsi="宋体"/>
              </w:rPr>
              <w:t>第三章</w:t>
            </w:r>
            <w:r>
              <w:rPr>
                <w:rFonts w:hAnsi="宋体"/>
              </w:rPr>
              <w:t>17.1</w:t>
            </w:r>
            <w:r>
              <w:rPr>
                <w:rFonts w:hint="eastAsia" w:hAnsi="宋体"/>
              </w:rPr>
              <w:t>款</w:t>
            </w:r>
          </w:p>
        </w:tc>
        <w:tc>
          <w:tcPr>
            <w:tcW w:w="1210" w:type="dxa"/>
            <w:noWrap/>
            <w:vAlign w:val="center"/>
          </w:tcPr>
          <w:p>
            <w:pPr>
              <w:pStyle w:val="45"/>
              <w:spacing w:line="360" w:lineRule="auto"/>
              <w:ind w:left="-44" w:leftChars="-21" w:right="-50" w:rightChars="-24"/>
              <w:rPr>
                <w:rFonts w:hAnsi="宋体" w:cs="宋体"/>
              </w:rPr>
            </w:pPr>
            <w:r>
              <w:rPr>
                <w:rFonts w:hint="eastAsia" w:hAnsi="宋体" w:cs="宋体"/>
              </w:rPr>
              <w:t>投标有效期</w:t>
            </w:r>
          </w:p>
        </w:tc>
        <w:tc>
          <w:tcPr>
            <w:tcW w:w="6498" w:type="dxa"/>
            <w:noWrap/>
            <w:vAlign w:val="center"/>
          </w:tcPr>
          <w:p>
            <w:pPr>
              <w:pStyle w:val="45"/>
              <w:spacing w:line="360" w:lineRule="auto"/>
              <w:rPr>
                <w:rFonts w:hAnsi="宋体" w:cs="宋体"/>
              </w:rPr>
            </w:pPr>
            <w:r>
              <w:rPr>
                <w:rFonts w:hAnsi="宋体" w:cs="宋体"/>
              </w:rPr>
              <w:t xml:space="preserve">90 </w:t>
            </w:r>
            <w:r>
              <w:rPr>
                <w:rFonts w:hint="eastAsia" w:hAnsi="宋体" w:cs="宋体"/>
              </w:rPr>
              <w:t>日历天（从投标截止之日算起）。</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9" w:hRule="atLeast"/>
        </w:trPr>
        <w:tc>
          <w:tcPr>
            <w:tcW w:w="1648" w:type="dxa"/>
            <w:gridSpan w:val="2"/>
            <w:noWrap/>
            <w:vAlign w:val="center"/>
          </w:tcPr>
          <w:p>
            <w:pPr>
              <w:pStyle w:val="45"/>
              <w:spacing w:line="360" w:lineRule="auto"/>
              <w:jc w:val="center"/>
              <w:rPr>
                <w:rFonts w:hAnsi="宋体"/>
              </w:rPr>
            </w:pPr>
            <w:r>
              <w:rPr>
                <w:rFonts w:hint="eastAsia" w:hAnsi="宋体"/>
              </w:rPr>
              <w:t>第三章</w:t>
            </w:r>
            <w:r>
              <w:rPr>
                <w:rFonts w:hAnsi="宋体"/>
              </w:rPr>
              <w:t>18.1</w:t>
            </w:r>
            <w:r>
              <w:rPr>
                <w:rFonts w:hint="eastAsia" w:hAnsi="宋体"/>
              </w:rPr>
              <w:t>款</w:t>
            </w:r>
          </w:p>
        </w:tc>
        <w:tc>
          <w:tcPr>
            <w:tcW w:w="1210" w:type="dxa"/>
            <w:noWrap/>
            <w:vAlign w:val="center"/>
          </w:tcPr>
          <w:p>
            <w:pPr>
              <w:pStyle w:val="45"/>
              <w:spacing w:line="360" w:lineRule="auto"/>
              <w:jc w:val="center"/>
              <w:rPr>
                <w:rFonts w:hAnsi="宋体"/>
              </w:rPr>
            </w:pPr>
            <w:r>
              <w:rPr>
                <w:rFonts w:hint="eastAsia" w:hAnsi="宋体"/>
              </w:rPr>
              <w:t>投标保证金</w:t>
            </w:r>
          </w:p>
        </w:tc>
        <w:tc>
          <w:tcPr>
            <w:tcW w:w="6498" w:type="dxa"/>
            <w:noWrap/>
            <w:vAlign w:val="center"/>
          </w:tcPr>
          <w:p>
            <w:pPr>
              <w:autoSpaceDE w:val="0"/>
              <w:spacing w:line="360" w:lineRule="auto"/>
              <w:rPr>
                <w:rFonts w:ascii="宋体" w:hAnsi="宋体" w:cs="宋体"/>
                <w:b/>
                <w:bCs/>
                <w:szCs w:val="21"/>
              </w:rPr>
            </w:pPr>
            <w:r>
              <w:rPr>
                <w:rFonts w:hint="eastAsia" w:ascii="宋体" w:hAnsi="宋体" w:cs="宋体"/>
                <w:b/>
                <w:bCs/>
                <w:szCs w:val="21"/>
              </w:rPr>
              <w:t>投标保证金的金额：</w:t>
            </w:r>
            <w:r>
              <w:rPr>
                <w:rFonts w:hint="eastAsia" w:ascii="宋体" w:hAnsi="宋体" w:cs="宋体"/>
                <w:b/>
                <w:bCs/>
                <w:szCs w:val="21"/>
                <w:u w:val="single"/>
              </w:rPr>
              <w:t>7000元；</w:t>
            </w:r>
          </w:p>
          <w:p>
            <w:pPr>
              <w:spacing w:line="360" w:lineRule="auto"/>
              <w:rPr>
                <w:rFonts w:ascii="宋体" w:hAnsi="宋体"/>
                <w:szCs w:val="21"/>
              </w:rPr>
            </w:pPr>
            <w:r>
              <w:rPr>
                <w:rFonts w:hint="eastAsia" w:ascii="宋体" w:hAnsi="宋体"/>
                <w:szCs w:val="21"/>
              </w:rPr>
              <w:t>磋商保证金的形式：以支票、汇票、本票、保函等非现金形式缴纳或采用电汇保证金形式。</w:t>
            </w:r>
          </w:p>
          <w:p>
            <w:pPr>
              <w:spacing w:line="360" w:lineRule="auto"/>
              <w:rPr>
                <w:rFonts w:ascii="宋体" w:hAnsi="宋体"/>
                <w:spacing w:val="-2"/>
                <w:szCs w:val="21"/>
              </w:rPr>
            </w:pPr>
            <w:r>
              <w:rPr>
                <w:rFonts w:hint="eastAsia" w:ascii="宋体" w:hAnsi="宋体"/>
                <w:spacing w:val="-2"/>
                <w:szCs w:val="21"/>
              </w:rPr>
              <w:t>收款单位： 新疆军脉项目管理咨询有限公司</w:t>
            </w:r>
          </w:p>
          <w:p>
            <w:pPr>
              <w:spacing w:line="360" w:lineRule="auto"/>
              <w:rPr>
                <w:rFonts w:ascii="宋体" w:hAnsi="宋体"/>
                <w:spacing w:val="-2"/>
                <w:szCs w:val="21"/>
              </w:rPr>
            </w:pPr>
            <w:r>
              <w:rPr>
                <w:rFonts w:hint="eastAsia" w:ascii="宋体" w:hAnsi="宋体"/>
                <w:spacing w:val="-2"/>
                <w:szCs w:val="21"/>
              </w:rPr>
              <w:t>开户银行：库尔勒银行股份有限公司文化路支行</w:t>
            </w:r>
          </w:p>
          <w:p>
            <w:pPr>
              <w:spacing w:line="360" w:lineRule="auto"/>
              <w:rPr>
                <w:rFonts w:ascii="宋体" w:hAnsi="宋体"/>
                <w:b/>
                <w:bCs/>
                <w:szCs w:val="21"/>
              </w:rPr>
            </w:pPr>
            <w:r>
              <w:rPr>
                <w:rFonts w:hint="eastAsia" w:ascii="宋体" w:hAnsi="宋体"/>
                <w:b/>
                <w:bCs/>
                <w:szCs w:val="21"/>
              </w:rPr>
              <w:t>账户：736150100100070307</w:t>
            </w:r>
          </w:p>
          <w:p>
            <w:pPr>
              <w:spacing w:line="360" w:lineRule="auto"/>
              <w:rPr>
                <w:rFonts w:ascii="宋体" w:hAnsi="宋体"/>
                <w:b/>
                <w:bCs/>
                <w:szCs w:val="21"/>
              </w:rPr>
            </w:pPr>
            <w:r>
              <w:rPr>
                <w:rFonts w:hint="eastAsia" w:ascii="宋体" w:hAnsi="宋体"/>
                <w:b/>
                <w:bCs/>
                <w:szCs w:val="21"/>
              </w:rPr>
              <w:t>行号：313888000169</w:t>
            </w:r>
          </w:p>
          <w:p>
            <w:pPr>
              <w:spacing w:line="360" w:lineRule="auto"/>
              <w:rPr>
                <w:rFonts w:ascii="宋体" w:hAnsi="宋体"/>
                <w:b/>
                <w:bCs/>
                <w:szCs w:val="21"/>
              </w:rPr>
            </w:pPr>
            <w:r>
              <w:rPr>
                <w:rFonts w:hint="eastAsia" w:ascii="宋体" w:hAnsi="宋体"/>
                <w:b/>
                <w:bCs/>
                <w:szCs w:val="21"/>
              </w:rPr>
              <w:t>附注：XXX项目XXX标段投标保证金</w:t>
            </w:r>
          </w:p>
          <w:p>
            <w:pPr>
              <w:spacing w:line="360" w:lineRule="auto"/>
              <w:rPr>
                <w:rFonts w:ascii="宋体" w:hAnsi="宋体" w:cs="宋体"/>
                <w:szCs w:val="21"/>
              </w:rPr>
            </w:pPr>
            <w:r>
              <w:rPr>
                <w:rFonts w:hint="eastAsia" w:ascii="宋体" w:hAnsi="宋体"/>
                <w:szCs w:val="21"/>
              </w:rPr>
              <w:t>投标保证金必须在响应文件递交截止时间前确保到帐；投标人未按招标文件要求提交投标保证金的，响应文件无效。</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1" w:hRule="atLeast"/>
        </w:trPr>
        <w:tc>
          <w:tcPr>
            <w:tcW w:w="1648" w:type="dxa"/>
            <w:gridSpan w:val="2"/>
            <w:noWrap/>
            <w:vAlign w:val="center"/>
          </w:tcPr>
          <w:p>
            <w:pPr>
              <w:pStyle w:val="45"/>
              <w:spacing w:line="360" w:lineRule="auto"/>
              <w:jc w:val="center"/>
              <w:rPr>
                <w:rFonts w:hAnsi="宋体"/>
              </w:rPr>
            </w:pPr>
            <w:r>
              <w:rPr>
                <w:rFonts w:hint="eastAsia" w:hAnsi="宋体"/>
              </w:rPr>
              <w:t>第三章</w:t>
            </w:r>
            <w:r>
              <w:rPr>
                <w:rFonts w:hAnsi="宋体"/>
              </w:rPr>
              <w:t>18.2</w:t>
            </w:r>
            <w:r>
              <w:rPr>
                <w:rFonts w:hint="eastAsia" w:hAnsi="宋体"/>
              </w:rPr>
              <w:t>款</w:t>
            </w:r>
          </w:p>
        </w:tc>
        <w:tc>
          <w:tcPr>
            <w:tcW w:w="1210" w:type="dxa"/>
            <w:noWrap/>
            <w:vAlign w:val="center"/>
          </w:tcPr>
          <w:p>
            <w:pPr>
              <w:pStyle w:val="45"/>
              <w:spacing w:line="360" w:lineRule="auto"/>
              <w:rPr>
                <w:rFonts w:hAnsi="宋体"/>
              </w:rPr>
            </w:pPr>
            <w:r>
              <w:rPr>
                <w:rFonts w:hint="eastAsia" w:hAnsi="宋体" w:cs="宋体"/>
              </w:rPr>
              <w:t>投标保证金的退还</w:t>
            </w:r>
          </w:p>
        </w:tc>
        <w:tc>
          <w:tcPr>
            <w:tcW w:w="6498" w:type="dxa"/>
            <w:noWrap/>
            <w:vAlign w:val="center"/>
          </w:tcPr>
          <w:p>
            <w:pPr>
              <w:pStyle w:val="45"/>
              <w:spacing w:line="360" w:lineRule="auto"/>
              <w:rPr>
                <w:rFonts w:hAnsi="宋体"/>
              </w:rPr>
            </w:pPr>
            <w:r>
              <w:rPr>
                <w:rFonts w:hint="eastAsia" w:hAnsi="宋体"/>
              </w:rPr>
              <w:t>（</w:t>
            </w:r>
            <w:r>
              <w:rPr>
                <w:rFonts w:hAnsi="宋体"/>
              </w:rPr>
              <w:t>1</w:t>
            </w:r>
            <w:r>
              <w:rPr>
                <w:rFonts w:hint="eastAsia" w:hAnsi="宋体"/>
              </w:rPr>
              <w:t>）投标人在投标截止时间前撤回已提交的投标文件的，采购人或者采购代理机构应当自收到投标人书面撤回通知之日起</w:t>
            </w:r>
            <w:r>
              <w:rPr>
                <w:rFonts w:hAnsi="宋体"/>
              </w:rPr>
              <w:t>5</w:t>
            </w:r>
            <w:r>
              <w:rPr>
                <w:rFonts w:hint="eastAsia" w:hAnsi="宋体"/>
              </w:rPr>
              <w:t>个工作日内，退还已收取的投标保证金，但因投标人自身原因导致无法及时退还的除外。</w:t>
            </w:r>
          </w:p>
          <w:p>
            <w:pPr>
              <w:spacing w:line="360" w:lineRule="auto"/>
              <w:rPr>
                <w:rFonts w:ascii="宋体" w:hAnsi="宋体"/>
                <w:szCs w:val="21"/>
              </w:rPr>
            </w:pPr>
            <w:r>
              <w:rPr>
                <w:rFonts w:hint="eastAsia" w:ascii="宋体" w:hAnsi="宋体"/>
                <w:szCs w:val="21"/>
              </w:rPr>
              <w:t>（</w:t>
            </w:r>
            <w:r>
              <w:rPr>
                <w:rFonts w:ascii="宋体" w:hAnsi="宋体"/>
                <w:szCs w:val="21"/>
              </w:rPr>
              <w:t>2</w:t>
            </w:r>
            <w:r>
              <w:rPr>
                <w:rFonts w:hint="eastAsia" w:ascii="宋体" w:hAnsi="宋体"/>
                <w:szCs w:val="21"/>
              </w:rPr>
              <w:t>）采购人或者采购代理机构应当自中标通知书发出之日起</w:t>
            </w:r>
            <w:r>
              <w:rPr>
                <w:rFonts w:ascii="宋体" w:hAnsi="宋体"/>
                <w:szCs w:val="21"/>
              </w:rPr>
              <w:t>5</w:t>
            </w:r>
            <w:r>
              <w:rPr>
                <w:rFonts w:hint="eastAsia" w:ascii="宋体" w:hAnsi="宋体"/>
                <w:szCs w:val="21"/>
              </w:rPr>
              <w:t>个工作日内退还未中标人的投标保证金，自采购合同签订之日起</w:t>
            </w:r>
            <w:r>
              <w:rPr>
                <w:rFonts w:ascii="宋体" w:hAnsi="宋体"/>
                <w:szCs w:val="21"/>
              </w:rPr>
              <w:t>5</w:t>
            </w:r>
            <w:r>
              <w:rPr>
                <w:rFonts w:hint="eastAsia" w:ascii="宋体" w:hAnsi="宋体"/>
                <w:szCs w:val="21"/>
              </w:rPr>
              <w:t>个工作日内退还中标人的投标保证金或者转为中标人的履约保证金。</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1648" w:type="dxa"/>
            <w:gridSpan w:val="2"/>
            <w:noWrap/>
            <w:vAlign w:val="center"/>
          </w:tcPr>
          <w:p>
            <w:pPr>
              <w:pStyle w:val="45"/>
              <w:spacing w:line="360" w:lineRule="auto"/>
              <w:jc w:val="center"/>
              <w:rPr>
                <w:rFonts w:hAnsi="宋体"/>
              </w:rPr>
            </w:pPr>
            <w:r>
              <w:rPr>
                <w:rFonts w:hint="eastAsia" w:hAnsi="宋体"/>
              </w:rPr>
              <w:t>第三章</w:t>
            </w:r>
            <w:r>
              <w:rPr>
                <w:rFonts w:hAnsi="宋体"/>
              </w:rPr>
              <w:t>18.3</w:t>
            </w:r>
            <w:r>
              <w:rPr>
                <w:rFonts w:hint="eastAsia" w:hAnsi="宋体"/>
              </w:rPr>
              <w:t>款</w:t>
            </w:r>
          </w:p>
        </w:tc>
        <w:tc>
          <w:tcPr>
            <w:tcW w:w="1210" w:type="dxa"/>
            <w:noWrap/>
            <w:vAlign w:val="center"/>
          </w:tcPr>
          <w:p>
            <w:pPr>
              <w:pStyle w:val="45"/>
              <w:spacing w:line="360" w:lineRule="auto"/>
              <w:jc w:val="center"/>
              <w:rPr>
                <w:rFonts w:hAnsi="宋体"/>
              </w:rPr>
            </w:pPr>
            <w:r>
              <w:rPr>
                <w:rFonts w:hint="eastAsia" w:hAnsi="宋体" w:cs="宋体"/>
              </w:rPr>
              <w:t>不予退还保证金的情形</w:t>
            </w:r>
          </w:p>
        </w:tc>
        <w:tc>
          <w:tcPr>
            <w:tcW w:w="6498" w:type="dxa"/>
            <w:noWrap/>
            <w:vAlign w:val="center"/>
          </w:tcPr>
          <w:p>
            <w:pPr>
              <w:pStyle w:val="45"/>
              <w:spacing w:line="360" w:lineRule="auto"/>
              <w:rPr>
                <w:rFonts w:hAnsi="宋体"/>
              </w:rPr>
            </w:pPr>
            <w:r>
              <w:rPr>
                <w:rFonts w:hint="eastAsia" w:hAnsi="宋体"/>
              </w:rPr>
              <w:t>有下列情形之一的，保证金不予退还：</w:t>
            </w:r>
          </w:p>
          <w:p>
            <w:pPr>
              <w:pStyle w:val="45"/>
              <w:spacing w:line="360" w:lineRule="auto"/>
              <w:rPr>
                <w:rFonts w:hAnsi="宋体"/>
              </w:rPr>
            </w:pPr>
            <w:r>
              <w:rPr>
                <w:rFonts w:hint="eastAsia" w:hAnsi="宋体"/>
              </w:rPr>
              <w:t>（</w:t>
            </w:r>
            <w:r>
              <w:rPr>
                <w:rFonts w:hAnsi="宋体"/>
              </w:rPr>
              <w:t>1</w:t>
            </w:r>
            <w:r>
              <w:rPr>
                <w:rFonts w:hint="eastAsia" w:hAnsi="宋体"/>
              </w:rPr>
              <w:t>）供应商在提交投标文件截止时间后撤回投标文件的；</w:t>
            </w:r>
          </w:p>
          <w:p>
            <w:pPr>
              <w:pStyle w:val="45"/>
              <w:spacing w:line="360" w:lineRule="auto"/>
              <w:rPr>
                <w:rFonts w:hAnsi="宋体"/>
              </w:rPr>
            </w:pPr>
            <w:r>
              <w:rPr>
                <w:rFonts w:hint="eastAsia" w:hAnsi="宋体"/>
              </w:rPr>
              <w:t>（</w:t>
            </w:r>
            <w:r>
              <w:rPr>
                <w:rFonts w:hAnsi="宋体"/>
              </w:rPr>
              <w:t>2</w:t>
            </w:r>
            <w:r>
              <w:rPr>
                <w:rFonts w:hint="eastAsia" w:hAnsi="宋体"/>
              </w:rPr>
              <w:t>）供应商在投标文件中提供虚假材料的；</w:t>
            </w:r>
          </w:p>
          <w:p>
            <w:pPr>
              <w:pStyle w:val="45"/>
              <w:spacing w:line="360" w:lineRule="auto"/>
              <w:rPr>
                <w:rFonts w:hAnsi="宋体"/>
              </w:rPr>
            </w:pPr>
            <w:r>
              <w:rPr>
                <w:rFonts w:hint="eastAsia" w:hAnsi="宋体"/>
              </w:rPr>
              <w:t>（</w:t>
            </w:r>
            <w:r>
              <w:rPr>
                <w:rFonts w:hAnsi="宋体"/>
              </w:rPr>
              <w:t>3</w:t>
            </w:r>
            <w:r>
              <w:rPr>
                <w:rFonts w:hint="eastAsia" w:hAnsi="宋体"/>
              </w:rPr>
              <w:t>）除因不可抗力或招标文件认可的情形以外，成交供应商不与采购人签订合同的；</w:t>
            </w:r>
          </w:p>
          <w:p>
            <w:pPr>
              <w:pStyle w:val="45"/>
              <w:spacing w:line="360" w:lineRule="auto"/>
              <w:rPr>
                <w:rFonts w:hAnsi="宋体"/>
              </w:rPr>
            </w:pPr>
            <w:r>
              <w:rPr>
                <w:rFonts w:hint="eastAsia" w:hAnsi="宋体"/>
              </w:rPr>
              <w:t>（</w:t>
            </w:r>
            <w:r>
              <w:rPr>
                <w:rFonts w:hAnsi="宋体"/>
              </w:rPr>
              <w:t>4</w:t>
            </w:r>
            <w:r>
              <w:rPr>
                <w:rFonts w:hint="eastAsia" w:hAnsi="宋体"/>
              </w:rPr>
              <w:t>）供应商与采购人、其他供应商或者采购代理机构恶意串通的；</w:t>
            </w:r>
          </w:p>
          <w:p>
            <w:pPr>
              <w:spacing w:line="360" w:lineRule="auto"/>
              <w:rPr>
                <w:rFonts w:ascii="宋体" w:hAnsi="宋体"/>
                <w:szCs w:val="21"/>
              </w:rPr>
            </w:pPr>
            <w:r>
              <w:rPr>
                <w:rFonts w:hint="eastAsia" w:ascii="宋体" w:hAnsi="宋体"/>
                <w:szCs w:val="21"/>
              </w:rPr>
              <w:t>（</w:t>
            </w:r>
            <w:r>
              <w:rPr>
                <w:rFonts w:ascii="宋体" w:hAnsi="宋体"/>
                <w:szCs w:val="21"/>
              </w:rPr>
              <w:t>5</w:t>
            </w:r>
            <w:r>
              <w:rPr>
                <w:rFonts w:hint="eastAsia" w:ascii="宋体" w:hAnsi="宋体"/>
                <w:szCs w:val="21"/>
              </w:rPr>
              <w:t>）招标文件规定的其他情形。</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5" w:hRule="atLeast"/>
        </w:trPr>
        <w:tc>
          <w:tcPr>
            <w:tcW w:w="1648" w:type="dxa"/>
            <w:gridSpan w:val="2"/>
            <w:noWrap/>
            <w:vAlign w:val="center"/>
          </w:tcPr>
          <w:p>
            <w:pPr>
              <w:pStyle w:val="45"/>
              <w:spacing w:line="360" w:lineRule="auto"/>
              <w:jc w:val="center"/>
              <w:rPr>
                <w:rFonts w:hAnsi="宋体"/>
              </w:rPr>
            </w:pPr>
            <w:r>
              <w:rPr>
                <w:rFonts w:hint="eastAsia" w:hAnsi="宋体"/>
              </w:rPr>
              <w:t>第三章</w:t>
            </w:r>
            <w:r>
              <w:rPr>
                <w:rFonts w:hAnsi="宋体"/>
              </w:rPr>
              <w:t>19.1</w:t>
            </w:r>
            <w:r>
              <w:rPr>
                <w:rFonts w:hint="eastAsia" w:hAnsi="宋体"/>
              </w:rPr>
              <w:t>款</w:t>
            </w:r>
          </w:p>
        </w:tc>
        <w:tc>
          <w:tcPr>
            <w:tcW w:w="1210" w:type="dxa"/>
            <w:noWrap/>
            <w:vAlign w:val="center"/>
          </w:tcPr>
          <w:p>
            <w:pPr>
              <w:pStyle w:val="45"/>
              <w:spacing w:line="360" w:lineRule="auto"/>
              <w:jc w:val="center"/>
              <w:rPr>
                <w:rFonts w:hAnsi="宋体"/>
              </w:rPr>
            </w:pPr>
            <w:r>
              <w:rPr>
                <w:rFonts w:hint="eastAsia" w:hAnsi="宋体"/>
              </w:rPr>
              <w:t>投标文件份数</w:t>
            </w:r>
          </w:p>
        </w:tc>
        <w:tc>
          <w:tcPr>
            <w:tcW w:w="6498" w:type="dxa"/>
            <w:noWrap/>
            <w:vAlign w:val="center"/>
          </w:tcPr>
          <w:p>
            <w:pPr>
              <w:pStyle w:val="45"/>
              <w:spacing w:line="360" w:lineRule="auto"/>
              <w:rPr>
                <w:rFonts w:hAnsi="宋体"/>
              </w:rPr>
            </w:pPr>
            <w:r>
              <w:rPr>
                <w:rFonts w:hint="eastAsia" w:hAnsi="宋体"/>
                <w:b/>
                <w:bCs/>
              </w:rPr>
              <w:t>纸质版文件：一份正本，二份副本。</w:t>
            </w:r>
            <w:r>
              <w:rPr>
                <w:rFonts w:hint="eastAsia" w:hAnsi="宋体"/>
              </w:rPr>
              <w:t>在开标结束后五日内送达.</w:t>
            </w:r>
          </w:p>
          <w:p>
            <w:pPr>
              <w:widowControl/>
              <w:spacing w:line="360" w:lineRule="auto"/>
              <w:jc w:val="left"/>
              <w:rPr>
                <w:rFonts w:ascii="宋体" w:hAnsi="宋体"/>
                <w:szCs w:val="21"/>
              </w:rPr>
            </w:pPr>
            <w:r>
              <w:rPr>
                <w:rFonts w:hint="eastAsia" w:ascii="宋体" w:hAnsi="宋体"/>
                <w:szCs w:val="21"/>
              </w:rPr>
              <w:t>特别提示：为了便于存档，投标文件请用</w:t>
            </w:r>
            <w:r>
              <w:rPr>
                <w:rFonts w:ascii="宋体" w:hAnsi="宋体"/>
                <w:szCs w:val="21"/>
              </w:rPr>
              <w:t>A4</w:t>
            </w:r>
            <w:r>
              <w:rPr>
                <w:rFonts w:hint="eastAsia" w:ascii="宋体" w:hAnsi="宋体"/>
                <w:szCs w:val="21"/>
              </w:rPr>
              <w:t>纸张制作，必须采用胶装，不得采用活页装订。</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305" w:hRule="atLeast"/>
        </w:trPr>
        <w:tc>
          <w:tcPr>
            <w:tcW w:w="1648" w:type="dxa"/>
            <w:gridSpan w:val="2"/>
            <w:noWrap/>
            <w:vAlign w:val="center"/>
          </w:tcPr>
          <w:p>
            <w:pPr>
              <w:pStyle w:val="45"/>
              <w:spacing w:line="360" w:lineRule="auto"/>
              <w:jc w:val="center"/>
              <w:rPr>
                <w:rFonts w:hAnsi="宋体"/>
              </w:rPr>
            </w:pPr>
            <w:r>
              <w:rPr>
                <w:rFonts w:hint="eastAsia" w:hAnsi="宋体"/>
              </w:rPr>
              <w:t>第四章</w:t>
            </w:r>
            <w:r>
              <w:rPr>
                <w:rFonts w:hAnsi="宋体"/>
              </w:rPr>
              <w:t>20.1</w:t>
            </w:r>
            <w:r>
              <w:rPr>
                <w:rFonts w:hint="eastAsia" w:hAnsi="宋体"/>
              </w:rPr>
              <w:t>款</w:t>
            </w:r>
          </w:p>
        </w:tc>
        <w:tc>
          <w:tcPr>
            <w:tcW w:w="1210" w:type="dxa"/>
            <w:noWrap/>
            <w:vAlign w:val="center"/>
          </w:tcPr>
          <w:p>
            <w:pPr>
              <w:widowControl/>
              <w:spacing w:line="360" w:lineRule="auto"/>
              <w:jc w:val="center"/>
              <w:rPr>
                <w:rFonts w:ascii="宋体" w:hAnsi="宋体" w:cs="宋体"/>
                <w:szCs w:val="21"/>
              </w:rPr>
            </w:pPr>
            <w:r>
              <w:rPr>
                <w:rFonts w:hint="eastAsia" w:ascii="宋体" w:hAnsi="宋体" w:cs="宋体"/>
                <w:kern w:val="1"/>
                <w:szCs w:val="21"/>
              </w:rPr>
              <w:t>投标文件密封</w:t>
            </w:r>
          </w:p>
        </w:tc>
        <w:tc>
          <w:tcPr>
            <w:tcW w:w="6498" w:type="dxa"/>
            <w:noWrap/>
            <w:vAlign w:val="center"/>
          </w:tcPr>
          <w:p>
            <w:pPr>
              <w:spacing w:line="360" w:lineRule="auto"/>
              <w:ind w:firstLine="396"/>
              <w:rPr>
                <w:rFonts w:ascii="宋体" w:hAnsi="宋体" w:cs="宋体"/>
              </w:rPr>
            </w:pPr>
            <w:r>
              <w:rPr>
                <w:rFonts w:hint="eastAsia" w:ascii="宋体" w:hAnsi="宋体" w:cs="宋体"/>
                <w:kern w:val="1"/>
                <w:szCs w:val="21"/>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47" w:hRule="atLeast"/>
        </w:trPr>
        <w:tc>
          <w:tcPr>
            <w:tcW w:w="1648" w:type="dxa"/>
            <w:gridSpan w:val="2"/>
            <w:noWrap/>
            <w:vAlign w:val="center"/>
          </w:tcPr>
          <w:p>
            <w:pPr>
              <w:pStyle w:val="45"/>
              <w:spacing w:line="360" w:lineRule="auto"/>
              <w:jc w:val="center"/>
              <w:rPr>
                <w:rFonts w:hAnsi="宋体"/>
              </w:rPr>
            </w:pPr>
            <w:r>
              <w:rPr>
                <w:rFonts w:hint="eastAsia" w:hAnsi="宋体"/>
              </w:rPr>
              <w:t>第四章</w:t>
            </w:r>
            <w:r>
              <w:rPr>
                <w:rFonts w:hAnsi="宋体"/>
              </w:rPr>
              <w:t>21.1</w:t>
            </w:r>
            <w:r>
              <w:rPr>
                <w:rFonts w:hint="eastAsia" w:hAnsi="宋体"/>
              </w:rPr>
              <w:t>款</w:t>
            </w:r>
          </w:p>
        </w:tc>
        <w:tc>
          <w:tcPr>
            <w:tcW w:w="1210" w:type="dxa"/>
            <w:noWrap/>
            <w:vAlign w:val="center"/>
          </w:tcPr>
          <w:p>
            <w:pPr>
              <w:pStyle w:val="45"/>
              <w:spacing w:line="360" w:lineRule="auto"/>
              <w:jc w:val="center"/>
              <w:rPr>
                <w:rFonts w:hAnsi="宋体"/>
              </w:rPr>
            </w:pPr>
            <w:r>
              <w:rPr>
                <w:rFonts w:hint="eastAsia" w:hAnsi="宋体"/>
              </w:rPr>
              <w:t>投标文件递交截止时间及地点</w:t>
            </w:r>
          </w:p>
        </w:tc>
        <w:tc>
          <w:tcPr>
            <w:tcW w:w="6498" w:type="dxa"/>
            <w:noWrap/>
            <w:vAlign w:val="center"/>
          </w:tcPr>
          <w:p>
            <w:pPr>
              <w:spacing w:line="360" w:lineRule="auto"/>
              <w:rPr>
                <w:rFonts w:ascii="宋体" w:hAnsi="宋体"/>
                <w:szCs w:val="21"/>
                <w:u w:val="single"/>
              </w:rPr>
            </w:pPr>
            <w:r>
              <w:rPr>
                <w:rFonts w:hint="eastAsia" w:ascii="宋体" w:hAnsi="宋体"/>
              </w:rPr>
              <w:t>详见招标公告</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2" w:hRule="atLeast"/>
        </w:trPr>
        <w:tc>
          <w:tcPr>
            <w:tcW w:w="1648" w:type="dxa"/>
            <w:gridSpan w:val="2"/>
            <w:noWrap/>
            <w:vAlign w:val="center"/>
          </w:tcPr>
          <w:p>
            <w:pPr>
              <w:pStyle w:val="45"/>
              <w:spacing w:line="360" w:lineRule="auto"/>
              <w:jc w:val="center"/>
              <w:rPr>
                <w:rFonts w:hAnsi="宋体"/>
              </w:rPr>
            </w:pPr>
            <w:r>
              <w:rPr>
                <w:rFonts w:hint="eastAsia" w:hAnsi="宋体"/>
              </w:rPr>
              <w:t>第五章</w:t>
            </w:r>
            <w:r>
              <w:rPr>
                <w:rFonts w:hAnsi="宋体"/>
              </w:rPr>
              <w:t>23.1</w:t>
            </w:r>
            <w:r>
              <w:rPr>
                <w:rFonts w:hint="eastAsia" w:hAnsi="宋体"/>
              </w:rPr>
              <w:t>款</w:t>
            </w:r>
          </w:p>
        </w:tc>
        <w:tc>
          <w:tcPr>
            <w:tcW w:w="1210" w:type="dxa"/>
            <w:noWrap/>
            <w:vAlign w:val="center"/>
          </w:tcPr>
          <w:p>
            <w:pPr>
              <w:pStyle w:val="45"/>
              <w:spacing w:line="360" w:lineRule="auto"/>
              <w:jc w:val="center"/>
              <w:rPr>
                <w:rFonts w:hAnsi="宋体"/>
              </w:rPr>
            </w:pPr>
            <w:r>
              <w:rPr>
                <w:rFonts w:hint="eastAsia" w:hAnsi="宋体"/>
              </w:rPr>
              <w:t>开标时间及地点</w:t>
            </w:r>
          </w:p>
        </w:tc>
        <w:tc>
          <w:tcPr>
            <w:tcW w:w="6498" w:type="dxa"/>
            <w:noWrap/>
            <w:vAlign w:val="center"/>
          </w:tcPr>
          <w:p>
            <w:pPr>
              <w:spacing w:line="360" w:lineRule="auto"/>
              <w:rPr>
                <w:rFonts w:ascii="宋体" w:hAnsi="宋体"/>
                <w:szCs w:val="21"/>
              </w:rPr>
            </w:pPr>
            <w:r>
              <w:rPr>
                <w:rFonts w:hint="eastAsia" w:ascii="宋体" w:hAnsi="宋体"/>
                <w:szCs w:val="21"/>
              </w:rPr>
              <w:t>开标时间：同投标文件递交截止时间</w:t>
            </w:r>
          </w:p>
          <w:p>
            <w:pPr>
              <w:spacing w:line="360" w:lineRule="auto"/>
              <w:rPr>
                <w:rFonts w:ascii="宋体" w:hAnsi="宋体"/>
                <w:szCs w:val="21"/>
              </w:rPr>
            </w:pPr>
            <w:r>
              <w:rPr>
                <w:rFonts w:hint="eastAsia" w:ascii="宋体" w:hAnsi="宋体"/>
                <w:szCs w:val="21"/>
              </w:rPr>
              <w:t>开标地点：同投标文件递交地点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2" w:hRule="atLeast"/>
        </w:trPr>
        <w:tc>
          <w:tcPr>
            <w:tcW w:w="1648" w:type="dxa"/>
            <w:gridSpan w:val="2"/>
            <w:noWrap/>
            <w:vAlign w:val="center"/>
          </w:tcPr>
          <w:p>
            <w:pPr>
              <w:pStyle w:val="45"/>
              <w:spacing w:line="360" w:lineRule="auto"/>
              <w:jc w:val="center"/>
              <w:rPr>
                <w:rFonts w:hAnsi="宋体"/>
              </w:rPr>
            </w:pPr>
            <w:r>
              <w:rPr>
                <w:rFonts w:hint="eastAsia" w:hAnsi="宋体"/>
              </w:rPr>
              <w:t>第五章</w:t>
            </w:r>
            <w:r>
              <w:rPr>
                <w:rFonts w:hAnsi="宋体"/>
              </w:rPr>
              <w:t>23.4</w:t>
            </w:r>
            <w:r>
              <w:rPr>
                <w:rFonts w:hint="eastAsia" w:hAnsi="宋体"/>
              </w:rPr>
              <w:t>款</w:t>
            </w:r>
          </w:p>
        </w:tc>
        <w:tc>
          <w:tcPr>
            <w:tcW w:w="1210" w:type="dxa"/>
            <w:noWrap/>
            <w:vAlign w:val="center"/>
          </w:tcPr>
          <w:p>
            <w:pPr>
              <w:pStyle w:val="45"/>
              <w:spacing w:line="360" w:lineRule="auto"/>
              <w:jc w:val="center"/>
              <w:rPr>
                <w:rFonts w:hAnsi="宋体"/>
              </w:rPr>
            </w:pPr>
            <w:r>
              <w:rPr>
                <w:rFonts w:hint="eastAsia" w:hAnsi="宋体"/>
              </w:rPr>
              <w:t>开标现场须查验的证件</w:t>
            </w:r>
          </w:p>
        </w:tc>
        <w:tc>
          <w:tcPr>
            <w:tcW w:w="6498" w:type="dxa"/>
            <w:noWrap/>
            <w:vAlign w:val="center"/>
          </w:tcPr>
          <w:p>
            <w:pPr>
              <w:spacing w:line="360" w:lineRule="auto"/>
              <w:rPr>
                <w:rFonts w:ascii="宋体" w:hAnsi="宋体"/>
                <w:szCs w:val="21"/>
              </w:rPr>
            </w:pPr>
            <w:r>
              <w:rPr>
                <w:rFonts w:hint="eastAsia" w:ascii="宋体" w:hAnsi="宋体"/>
                <w:szCs w:val="21"/>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420" w:hRule="atLeast"/>
        </w:trPr>
        <w:tc>
          <w:tcPr>
            <w:tcW w:w="1648" w:type="dxa"/>
            <w:gridSpan w:val="2"/>
            <w:noWrap/>
            <w:vAlign w:val="center"/>
          </w:tcPr>
          <w:p>
            <w:pPr>
              <w:pStyle w:val="45"/>
              <w:spacing w:line="360" w:lineRule="auto"/>
              <w:jc w:val="center"/>
              <w:rPr>
                <w:rFonts w:hAnsi="宋体"/>
              </w:rPr>
            </w:pPr>
            <w:r>
              <w:rPr>
                <w:rFonts w:hint="eastAsia" w:hAnsi="宋体"/>
              </w:rPr>
              <w:t>第六章</w:t>
            </w:r>
            <w:r>
              <w:rPr>
                <w:rFonts w:hAnsi="宋体"/>
              </w:rPr>
              <w:t>26.2</w:t>
            </w:r>
            <w:r>
              <w:rPr>
                <w:rFonts w:hint="eastAsia" w:hAnsi="宋体"/>
              </w:rPr>
              <w:t>款</w:t>
            </w:r>
          </w:p>
        </w:tc>
        <w:tc>
          <w:tcPr>
            <w:tcW w:w="1210" w:type="dxa"/>
            <w:noWrap/>
            <w:vAlign w:val="center"/>
          </w:tcPr>
          <w:p>
            <w:pPr>
              <w:pStyle w:val="45"/>
              <w:spacing w:line="360" w:lineRule="auto"/>
              <w:jc w:val="center"/>
              <w:rPr>
                <w:rFonts w:hAnsi="宋体"/>
              </w:rPr>
            </w:pPr>
            <w:r>
              <w:rPr>
                <w:rFonts w:hint="eastAsia" w:hAnsi="宋体"/>
              </w:rPr>
              <w:t>评标方法</w:t>
            </w:r>
          </w:p>
        </w:tc>
        <w:tc>
          <w:tcPr>
            <w:tcW w:w="6498" w:type="dxa"/>
            <w:noWrap/>
            <w:vAlign w:val="center"/>
          </w:tcPr>
          <w:p>
            <w:pPr>
              <w:spacing w:line="360" w:lineRule="auto"/>
              <w:rPr>
                <w:rFonts w:ascii="宋体" w:hAnsi="宋体"/>
                <w:szCs w:val="21"/>
              </w:rPr>
            </w:pPr>
            <w:r>
              <w:rPr>
                <w:rFonts w:hint="eastAsia" w:ascii="宋体" w:hAnsi="宋体"/>
                <w:szCs w:val="21"/>
              </w:rPr>
              <w:t>综合评分法</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424" w:hRule="atLeast"/>
        </w:trPr>
        <w:tc>
          <w:tcPr>
            <w:tcW w:w="1648" w:type="dxa"/>
            <w:gridSpan w:val="2"/>
            <w:noWrap/>
            <w:vAlign w:val="center"/>
          </w:tcPr>
          <w:p>
            <w:pPr>
              <w:pStyle w:val="45"/>
              <w:spacing w:line="360" w:lineRule="auto"/>
              <w:jc w:val="center"/>
              <w:rPr>
                <w:rFonts w:hAnsi="宋体"/>
              </w:rPr>
            </w:pPr>
            <w:r>
              <w:rPr>
                <w:rFonts w:hint="eastAsia" w:hAnsi="宋体"/>
              </w:rPr>
              <w:t>第六章</w:t>
            </w:r>
            <w:r>
              <w:rPr>
                <w:rFonts w:hAnsi="宋体"/>
              </w:rPr>
              <w:t>30.1</w:t>
            </w:r>
            <w:r>
              <w:rPr>
                <w:rFonts w:hint="eastAsia" w:hAnsi="宋体"/>
              </w:rPr>
              <w:t>款</w:t>
            </w:r>
          </w:p>
        </w:tc>
        <w:tc>
          <w:tcPr>
            <w:tcW w:w="1210" w:type="dxa"/>
            <w:noWrap/>
            <w:vAlign w:val="center"/>
          </w:tcPr>
          <w:p>
            <w:pPr>
              <w:pStyle w:val="45"/>
              <w:spacing w:line="360" w:lineRule="auto"/>
              <w:jc w:val="center"/>
              <w:rPr>
                <w:rFonts w:hAnsi="宋体"/>
              </w:rPr>
            </w:pPr>
            <w:r>
              <w:rPr>
                <w:rFonts w:hint="eastAsia" w:hAnsi="宋体"/>
              </w:rPr>
              <w:t>推荐的中标候选人数量</w:t>
            </w:r>
          </w:p>
        </w:tc>
        <w:tc>
          <w:tcPr>
            <w:tcW w:w="6498" w:type="dxa"/>
            <w:noWrap/>
            <w:vAlign w:val="center"/>
          </w:tcPr>
          <w:p>
            <w:pPr>
              <w:spacing w:line="360" w:lineRule="auto"/>
              <w:ind w:firstLine="105" w:firstLineChars="50"/>
              <w:jc w:val="left"/>
              <w:rPr>
                <w:rFonts w:ascii="宋体" w:hAnsi="宋体"/>
                <w:szCs w:val="21"/>
              </w:rPr>
            </w:pPr>
            <w:r>
              <w:rPr>
                <w:rFonts w:ascii="宋体" w:hAnsi="宋体"/>
                <w:szCs w:val="21"/>
                <w:u w:val="single"/>
              </w:rPr>
              <w:t xml:space="preserve">   3  </w:t>
            </w:r>
            <w:r>
              <w:rPr>
                <w:rFonts w:ascii="宋体" w:hAnsi="宋体"/>
                <w:szCs w:val="21"/>
              </w:rPr>
              <w:t>人。</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6" w:hRule="atLeast"/>
        </w:trPr>
        <w:tc>
          <w:tcPr>
            <w:tcW w:w="1648" w:type="dxa"/>
            <w:gridSpan w:val="2"/>
            <w:noWrap/>
            <w:vAlign w:val="center"/>
          </w:tcPr>
          <w:p>
            <w:pPr>
              <w:pStyle w:val="45"/>
              <w:spacing w:line="360" w:lineRule="auto"/>
              <w:jc w:val="center"/>
              <w:rPr>
                <w:rFonts w:hAnsi="宋体"/>
              </w:rPr>
            </w:pPr>
            <w:r>
              <w:rPr>
                <w:rFonts w:hint="eastAsia" w:hAnsi="宋体"/>
              </w:rPr>
              <w:t>第七章</w:t>
            </w:r>
            <w:r>
              <w:rPr>
                <w:rFonts w:hAnsi="宋体"/>
              </w:rPr>
              <w:t>34.1</w:t>
            </w:r>
            <w:r>
              <w:rPr>
                <w:rFonts w:hint="eastAsia" w:hAnsi="宋体"/>
              </w:rPr>
              <w:t>款</w:t>
            </w:r>
          </w:p>
        </w:tc>
        <w:tc>
          <w:tcPr>
            <w:tcW w:w="1210" w:type="dxa"/>
            <w:noWrap/>
            <w:vAlign w:val="center"/>
          </w:tcPr>
          <w:p>
            <w:pPr>
              <w:pStyle w:val="45"/>
              <w:spacing w:line="360" w:lineRule="auto"/>
              <w:jc w:val="center"/>
              <w:rPr>
                <w:rFonts w:hAnsi="宋体" w:cs="宋体"/>
              </w:rPr>
            </w:pPr>
            <w:r>
              <w:rPr>
                <w:rFonts w:hint="eastAsia" w:hAnsi="宋体" w:cs="宋体"/>
              </w:rPr>
              <w:t>履约担保</w:t>
            </w:r>
          </w:p>
        </w:tc>
        <w:tc>
          <w:tcPr>
            <w:tcW w:w="6498" w:type="dxa"/>
            <w:noWrap/>
            <w:vAlign w:val="center"/>
          </w:tcPr>
          <w:p>
            <w:pPr>
              <w:pStyle w:val="45"/>
              <w:spacing w:line="360" w:lineRule="auto"/>
              <w:rPr>
                <w:rFonts w:hAnsi="宋体" w:cs="宋体"/>
              </w:rPr>
            </w:pPr>
            <w:r>
              <w:rPr>
                <w:rFonts w:hint="eastAsia" w:hAnsi="宋体" w:cs="宋体"/>
                <w:bCs/>
              </w:rPr>
              <w:t>合同总金额的10%或签订合同时由双方自行约定。</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9356" w:type="dxa"/>
            <w:gridSpan w:val="4"/>
            <w:noWrap/>
            <w:vAlign w:val="center"/>
          </w:tcPr>
          <w:p>
            <w:pPr>
              <w:pStyle w:val="45"/>
              <w:spacing w:line="360" w:lineRule="auto"/>
              <w:rPr>
                <w:rFonts w:hAnsi="宋体" w:cs="宋体"/>
              </w:rPr>
            </w:pPr>
            <w:r>
              <w:rPr>
                <w:rFonts w:hint="eastAsia" w:hAnsi="宋体"/>
              </w:rPr>
              <w:t>第八章</w:t>
            </w:r>
            <w:r>
              <w:rPr>
                <w:rFonts w:hAnsi="宋体"/>
              </w:rPr>
              <w:t>37.1</w:t>
            </w:r>
            <w:r>
              <w:rPr>
                <w:rFonts w:hint="eastAsia" w:hAnsi="宋体"/>
              </w:rPr>
              <w:t>款需要补充的其他内容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305" w:hRule="atLeast"/>
        </w:trPr>
        <w:tc>
          <w:tcPr>
            <w:tcW w:w="851" w:type="dxa"/>
            <w:noWrap/>
            <w:vAlign w:val="center"/>
          </w:tcPr>
          <w:p>
            <w:pPr>
              <w:pStyle w:val="45"/>
              <w:spacing w:line="360" w:lineRule="auto"/>
              <w:jc w:val="center"/>
              <w:rPr>
                <w:rFonts w:hAnsi="宋体"/>
              </w:rPr>
            </w:pPr>
            <w:r>
              <w:rPr>
                <w:rFonts w:hAnsi="宋体"/>
              </w:rPr>
              <w:t>37.1.1</w:t>
            </w:r>
          </w:p>
        </w:tc>
        <w:tc>
          <w:tcPr>
            <w:tcW w:w="8505" w:type="dxa"/>
            <w:gridSpan w:val="3"/>
            <w:noWrap/>
            <w:vAlign w:val="center"/>
          </w:tcPr>
          <w:p>
            <w:pPr>
              <w:pStyle w:val="45"/>
              <w:spacing w:line="360" w:lineRule="auto"/>
              <w:rPr>
                <w:rFonts w:hAnsi="宋体" w:cs="宋体"/>
              </w:rPr>
            </w:pPr>
            <w:r>
              <w:rPr>
                <w:rFonts w:hint="eastAsia" w:hAnsi="宋体" w:cs="宋体"/>
              </w:rPr>
              <w:t>自购买招标文件之日起，投标人应保证其提供的联系方式</w:t>
            </w:r>
            <w:r>
              <w:rPr>
                <w:rFonts w:hAnsi="宋体" w:cs="宋体"/>
              </w:rPr>
              <w:t>(</w:t>
            </w:r>
            <w:r>
              <w:rPr>
                <w:rFonts w:hint="eastAsia" w:hAnsi="宋体" w:cs="宋体"/>
              </w:rPr>
              <w:t>电话、传真、电子邮件</w:t>
            </w:r>
            <w:r>
              <w:rPr>
                <w:rFonts w:hAnsi="宋体" w:cs="宋体"/>
              </w:rPr>
              <w:t>)</w:t>
            </w:r>
            <w:r>
              <w:rPr>
                <w:rFonts w:hint="eastAsia" w:hAnsi="宋体" w:cs="宋体"/>
              </w:rPr>
              <w:t>一直有效，以保证往来函件</w:t>
            </w:r>
            <w:r>
              <w:rPr>
                <w:rFonts w:hAnsi="宋体" w:cs="宋体"/>
              </w:rPr>
              <w:t>(</w:t>
            </w:r>
            <w:r>
              <w:rPr>
                <w:rFonts w:hint="eastAsia" w:hAnsi="宋体" w:cs="宋体"/>
              </w:rPr>
              <w:t>招标文件的澄清、修改等</w:t>
            </w:r>
            <w:r>
              <w:rPr>
                <w:rFonts w:hAnsi="宋体" w:cs="宋体"/>
              </w:rPr>
              <w:t>)</w:t>
            </w:r>
            <w:r>
              <w:rPr>
                <w:rFonts w:hint="eastAsia" w:hAnsi="宋体" w:cs="宋体"/>
              </w:rPr>
              <w:t>能及时通知投标人，并能及时反馈信息，否则招标人不承担由此引起的一切后果。</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45" w:hRule="atLeast"/>
        </w:trPr>
        <w:tc>
          <w:tcPr>
            <w:tcW w:w="851" w:type="dxa"/>
            <w:noWrap/>
            <w:vAlign w:val="center"/>
          </w:tcPr>
          <w:p>
            <w:pPr>
              <w:pStyle w:val="45"/>
              <w:spacing w:line="360" w:lineRule="auto"/>
              <w:jc w:val="center"/>
              <w:rPr>
                <w:rFonts w:hAnsi="宋体"/>
              </w:rPr>
            </w:pPr>
            <w:r>
              <w:rPr>
                <w:rFonts w:hAnsi="宋体"/>
              </w:rPr>
              <w:t>37.1.</w:t>
            </w:r>
            <w:r>
              <w:rPr>
                <w:rFonts w:hint="eastAsia" w:hAnsi="宋体"/>
              </w:rPr>
              <w:t>2</w:t>
            </w:r>
          </w:p>
        </w:tc>
        <w:tc>
          <w:tcPr>
            <w:tcW w:w="8505" w:type="dxa"/>
            <w:gridSpan w:val="3"/>
            <w:noWrap/>
            <w:vAlign w:val="center"/>
          </w:tcPr>
          <w:p>
            <w:pPr>
              <w:pStyle w:val="45"/>
              <w:spacing w:line="360" w:lineRule="auto"/>
              <w:rPr>
                <w:rFonts w:hAnsi="宋体" w:cs="宋体"/>
              </w:rPr>
            </w:pPr>
            <w:r>
              <w:rPr>
                <w:rFonts w:hint="eastAsia" w:hAnsi="宋体" w:cs="宋体"/>
                <w:kern w:val="0"/>
              </w:rPr>
              <w:t>付款方式：项目终验通过稳定试运行100天后支付</w:t>
            </w:r>
            <w:r>
              <w:rPr>
                <w:rFonts w:hint="eastAsia" w:hAnsi="宋体" w:cs="宋体"/>
                <w:kern w:val="0"/>
                <w:lang w:val="en-US" w:eastAsia="zh-CN"/>
              </w:rPr>
              <w:t>9</w:t>
            </w:r>
            <w:r>
              <w:rPr>
                <w:rFonts w:hint="eastAsia" w:hAnsi="宋体" w:cs="宋体"/>
                <w:kern w:val="0"/>
              </w:rPr>
              <w:t>0%</w:t>
            </w:r>
            <w:r>
              <w:rPr>
                <w:rFonts w:hint="eastAsia" w:hAnsi="宋体" w:cs="宋体"/>
                <w:kern w:val="0"/>
                <w:lang w:eastAsia="zh-CN"/>
              </w:rPr>
              <w:t>（</w:t>
            </w:r>
            <w:r>
              <w:rPr>
                <w:rFonts w:hint="eastAsia" w:ascii="宋体" w:hAnsi="宋体" w:eastAsia="宋体" w:cs="宋体"/>
                <w:spacing w:val="-4"/>
                <w:sz w:val="21"/>
                <w:szCs w:val="21"/>
                <w:lang w:val="zh-CN" w:eastAsia="zh-CN"/>
              </w:rPr>
              <w:t>供应商提供所投产品</w:t>
            </w:r>
            <w:r>
              <w:rPr>
                <w:rFonts w:hint="eastAsia" w:ascii="宋体" w:hAnsi="宋体" w:eastAsia="宋体" w:cs="宋体"/>
                <w:spacing w:val="-4"/>
                <w:sz w:val="21"/>
                <w:szCs w:val="21"/>
                <w:lang w:val="en-US" w:eastAsia="zh-CN"/>
              </w:rPr>
              <w:t>需</w:t>
            </w:r>
            <w:r>
              <w:rPr>
                <w:rFonts w:hint="eastAsia" w:ascii="宋体" w:hAnsi="宋体" w:eastAsia="宋体" w:cs="宋体"/>
                <w:spacing w:val="-4"/>
                <w:sz w:val="21"/>
                <w:szCs w:val="21"/>
                <w:lang w:val="zh-CN" w:eastAsia="zh-CN"/>
              </w:rPr>
              <w:t>对接自治区《智慧卫监在线监测预警系统平台》</w:t>
            </w:r>
            <w:r>
              <w:rPr>
                <w:rFonts w:hint="eastAsia" w:ascii="宋体" w:hAnsi="宋体" w:eastAsia="宋体" w:cs="宋体"/>
                <w:spacing w:val="-4"/>
                <w:sz w:val="21"/>
                <w:szCs w:val="21"/>
                <w:lang w:val="en-US" w:eastAsia="zh-CN"/>
              </w:rPr>
              <w:t>并保证数据上传</w:t>
            </w:r>
            <w:r>
              <w:rPr>
                <w:rFonts w:hint="eastAsia" w:hAnsi="宋体" w:cs="宋体"/>
                <w:kern w:val="0"/>
              </w:rPr>
              <w:t>。</w:t>
            </w:r>
            <w:r>
              <w:rPr>
                <w:rFonts w:hint="eastAsia" w:hAnsi="宋体" w:cs="宋体"/>
                <w:kern w:val="0"/>
                <w:lang w:val="en-US" w:eastAsia="zh-CN"/>
              </w:rPr>
              <w:t>剩余%10一年后支付。</w:t>
            </w:r>
            <w:r>
              <w:rPr>
                <w:rFonts w:hint="eastAsia" w:hAnsi="宋体" w:cs="宋体"/>
                <w:bCs/>
              </w:rPr>
              <w:t>最终付款方式以中标方和甲方单位签订的合同为主。</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6" w:hRule="atLeast"/>
        </w:trPr>
        <w:tc>
          <w:tcPr>
            <w:tcW w:w="851" w:type="dxa"/>
            <w:noWrap/>
            <w:vAlign w:val="center"/>
          </w:tcPr>
          <w:p>
            <w:pPr>
              <w:pStyle w:val="45"/>
              <w:spacing w:line="360" w:lineRule="auto"/>
              <w:jc w:val="center"/>
              <w:rPr>
                <w:rFonts w:hAnsi="宋体"/>
              </w:rPr>
            </w:pPr>
            <w:r>
              <w:rPr>
                <w:rFonts w:hAnsi="宋体"/>
              </w:rPr>
              <w:t>37.1.</w:t>
            </w:r>
            <w:r>
              <w:rPr>
                <w:rFonts w:hint="eastAsia" w:hAnsi="宋体"/>
              </w:rPr>
              <w:t>3</w:t>
            </w:r>
          </w:p>
        </w:tc>
        <w:tc>
          <w:tcPr>
            <w:tcW w:w="8505" w:type="dxa"/>
            <w:gridSpan w:val="3"/>
            <w:noWrap/>
            <w:vAlign w:val="center"/>
          </w:tcPr>
          <w:p>
            <w:pPr>
              <w:pStyle w:val="45"/>
              <w:spacing w:line="360" w:lineRule="auto"/>
              <w:rPr>
                <w:rFonts w:hAnsi="宋体" w:cs="宋体"/>
                <w:bCs/>
              </w:rPr>
            </w:pPr>
            <w:r>
              <w:rPr>
                <w:rFonts w:hint="eastAsia" w:hAnsi="宋体" w:cs="宋体"/>
              </w:rPr>
              <w:t>特</w:t>
            </w:r>
            <w:r>
              <w:rPr>
                <w:rFonts w:hint="eastAsia" w:hAnsi="宋体" w:cs="宋体"/>
                <w:bCs/>
              </w:rPr>
              <w:t>别提示：投标人须提供信用记录查询资料；</w:t>
            </w:r>
          </w:p>
          <w:p>
            <w:pPr>
              <w:pStyle w:val="45"/>
              <w:spacing w:line="360" w:lineRule="auto"/>
              <w:rPr>
                <w:rFonts w:hAnsi="宋体" w:cs="宋体"/>
                <w:bCs/>
              </w:rPr>
            </w:pPr>
            <w:r>
              <w:rPr>
                <w:rFonts w:hint="eastAsia" w:hAnsi="宋体" w:cs="宋体"/>
                <w:bCs/>
              </w:rPr>
              <w:t>查询时间为：自公告发布之日起至投标文件递交截止时间止（该时间段内任一时间）。</w:t>
            </w:r>
          </w:p>
          <w:p>
            <w:pPr>
              <w:pStyle w:val="45"/>
              <w:spacing w:line="360" w:lineRule="auto"/>
              <w:rPr>
                <w:rFonts w:hAnsi="宋体" w:cs="宋体"/>
                <w:bCs/>
              </w:rPr>
            </w:pPr>
            <w:r>
              <w:rPr>
                <w:rFonts w:hint="eastAsia" w:hAnsi="宋体" w:cs="宋体"/>
                <w:bCs/>
              </w:rPr>
              <w:t>查询渠道为：“信用中国”网站及“中国政府采购网”。</w:t>
            </w:r>
          </w:p>
          <w:p>
            <w:pPr>
              <w:pStyle w:val="45"/>
              <w:spacing w:line="360" w:lineRule="auto"/>
              <w:rPr>
                <w:rFonts w:hAnsi="宋体" w:cs="宋体"/>
                <w:bCs/>
              </w:rPr>
            </w:pPr>
            <w:r>
              <w:rPr>
                <w:rFonts w:hint="eastAsia" w:hAnsi="宋体" w:cs="宋体"/>
                <w:bCs/>
              </w:rPr>
              <w:t>查询结果：附网页截图</w:t>
            </w:r>
            <w:r>
              <w:rPr>
                <w:rFonts w:hint="eastAsia" w:hAnsi="宋体"/>
              </w:rPr>
              <w:t>（需体现出查询的相关结果）</w:t>
            </w:r>
            <w:r>
              <w:rPr>
                <w:rFonts w:hint="eastAsia" w:hAnsi="宋体" w:cs="宋体"/>
                <w:bCs/>
              </w:rPr>
              <w:t>。</w:t>
            </w:r>
          </w:p>
          <w:p>
            <w:pPr>
              <w:pStyle w:val="45"/>
              <w:spacing w:line="360" w:lineRule="auto"/>
              <w:rPr>
                <w:rFonts w:hAnsi="宋体" w:cs="宋体"/>
              </w:rPr>
            </w:pPr>
            <w:r>
              <w:rPr>
                <w:rFonts w:hint="eastAsia" w:hAnsi="宋体" w:cs="宋体"/>
                <w:bCs/>
              </w:rPr>
              <w:t>对列入失信被执行人、重大税收违法案件当事人名单、政府采购严重违法失信行为记录名单及其他不符合《中华人民共和国政府采购法》第二十二条规定条件的供应商，其投标文件将被拒绝。</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8" w:hRule="atLeast"/>
        </w:trPr>
        <w:tc>
          <w:tcPr>
            <w:tcW w:w="851" w:type="dxa"/>
            <w:noWrap/>
            <w:vAlign w:val="center"/>
          </w:tcPr>
          <w:p>
            <w:pPr>
              <w:pStyle w:val="45"/>
              <w:spacing w:line="360" w:lineRule="auto"/>
              <w:jc w:val="center"/>
              <w:rPr>
                <w:rFonts w:hAnsi="宋体"/>
              </w:rPr>
            </w:pPr>
            <w:r>
              <w:rPr>
                <w:rFonts w:hAnsi="宋体"/>
              </w:rPr>
              <w:t>37.1.4</w:t>
            </w:r>
          </w:p>
        </w:tc>
        <w:tc>
          <w:tcPr>
            <w:tcW w:w="8505" w:type="dxa"/>
            <w:gridSpan w:val="3"/>
            <w:noWrap/>
            <w:vAlign w:val="center"/>
          </w:tcPr>
          <w:p>
            <w:pPr>
              <w:pStyle w:val="45"/>
              <w:spacing w:line="360" w:lineRule="auto"/>
              <w:rPr>
                <w:rFonts w:hAnsi="宋体"/>
                <w:kern w:val="1"/>
              </w:rPr>
            </w:pPr>
            <w:r>
              <w:rPr>
                <w:rFonts w:hint="eastAsia" w:hAnsi="宋体" w:cs="宋体"/>
                <w:kern w:val="1"/>
              </w:rPr>
              <w:t>特别提示1：若该产品必须具有国家强制性认证的，则投标供应商必须附相关的证明材料，否则，其投标文件将被否决。</w:t>
            </w:r>
            <w:r>
              <w:rPr>
                <w:rFonts w:hAnsi="宋体"/>
                <w:bCs/>
              </w:rPr>
              <w:t>特别提示2：提供相同品牌（特指核心产品）（如有）产品且通过资格审查、符合性审查的不同投标人参加同一合同项下投标的，按一家投标人计算，评审后得分最高的同品牌投标人获得中标人推荐资格；评审得分相同的，由采购人或者采购人委托评标委员会采取随机抽取的方式确定一个投标人获得中标人推荐资格，其他同品牌投标人不作为中标候选人。</w:t>
            </w:r>
            <w:r>
              <w:rPr>
                <w:rFonts w:hint="eastAsia" w:hAnsi="宋体" w:cs="宋体"/>
                <w:kern w:val="1"/>
              </w:rPr>
              <w:t>特别提示3</w:t>
            </w:r>
            <w:r>
              <w:rPr>
                <w:rFonts w:hAnsi="宋体"/>
              </w:rPr>
              <w:t>投标人应保证在本项目使用的任何产品和服务（包括部分使用）时，不会产生因第三方提出侵犯其专利权、商标权或其它知识产权而引起的法律和经济纠纷，如因专利权、商标权或其它知识产权而引起法律和经济纠纷，由投标人承担所有相关责任的同时不得耽误本项目供货和服务。</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408" w:hRule="atLeast"/>
        </w:trPr>
        <w:tc>
          <w:tcPr>
            <w:tcW w:w="851" w:type="dxa"/>
            <w:noWrap/>
            <w:vAlign w:val="center"/>
          </w:tcPr>
          <w:p>
            <w:pPr>
              <w:pStyle w:val="45"/>
              <w:spacing w:line="360" w:lineRule="auto"/>
              <w:jc w:val="center"/>
              <w:rPr>
                <w:rFonts w:hAnsi="宋体"/>
              </w:rPr>
            </w:pPr>
            <w:r>
              <w:rPr>
                <w:rFonts w:hint="eastAsia" w:hAnsi="宋体"/>
              </w:rPr>
              <w:t>37.1.</w:t>
            </w:r>
            <w:r>
              <w:rPr>
                <w:rFonts w:hAnsi="宋体"/>
              </w:rPr>
              <w:t>5</w:t>
            </w:r>
          </w:p>
        </w:tc>
        <w:tc>
          <w:tcPr>
            <w:tcW w:w="8505" w:type="dxa"/>
            <w:gridSpan w:val="3"/>
            <w:noWrap/>
            <w:vAlign w:val="center"/>
          </w:tcPr>
          <w:p>
            <w:pPr>
              <w:pStyle w:val="45"/>
              <w:spacing w:line="360" w:lineRule="auto"/>
              <w:rPr>
                <w:rFonts w:hAnsi="宋体"/>
              </w:rPr>
            </w:pPr>
            <w:r>
              <w:rPr>
                <w:rFonts w:hAnsi="宋体"/>
                <w:kern w:val="1"/>
              </w:rPr>
              <w:t>注：如本《投标人须知前附表》相关内容与招标文件中的相关内容如有不一致处，则以本《投标人须知前附表》相关内容为准。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408" w:hRule="atLeast"/>
        </w:trPr>
        <w:tc>
          <w:tcPr>
            <w:tcW w:w="851" w:type="dxa"/>
            <w:noWrap/>
            <w:vAlign w:val="center"/>
          </w:tcPr>
          <w:p>
            <w:pPr>
              <w:pStyle w:val="45"/>
              <w:spacing w:line="360" w:lineRule="auto"/>
              <w:jc w:val="center"/>
              <w:rPr>
                <w:rFonts w:hAnsi="宋体"/>
              </w:rPr>
            </w:pPr>
            <w:r>
              <w:rPr>
                <w:rFonts w:hAnsi="宋体"/>
              </w:rPr>
              <w:t>37.1.6</w:t>
            </w:r>
            <w:r>
              <w:rPr>
                <w:rFonts w:hint="eastAsia" w:hAnsi="宋体"/>
              </w:rPr>
              <w:t xml:space="preserve"> </w:t>
            </w:r>
          </w:p>
        </w:tc>
        <w:tc>
          <w:tcPr>
            <w:tcW w:w="8505" w:type="dxa"/>
            <w:gridSpan w:val="3"/>
            <w:noWrap/>
            <w:vAlign w:val="center"/>
          </w:tcPr>
          <w:p>
            <w:pPr>
              <w:pStyle w:val="45"/>
              <w:spacing w:line="360" w:lineRule="auto"/>
              <w:rPr>
                <w:rFonts w:hAnsi="宋体"/>
                <w:kern w:val="1"/>
              </w:rPr>
            </w:pPr>
            <w:r>
              <w:rPr>
                <w:rFonts w:hint="eastAsia" w:hAnsi="宋体"/>
                <w:kern w:val="1"/>
              </w:rPr>
              <w:t>采购人委托了专业的采购代理机构实施本次招标工作。采购代理服务费的计算执行“《国家发展改革委关于进一步放开建设项目专业服务价格的通知》</w:t>
            </w:r>
            <w:r>
              <w:rPr>
                <w:rFonts w:hAnsi="宋体"/>
                <w:kern w:val="1"/>
              </w:rPr>
              <w:t xml:space="preserve"> [2015] 299</w:t>
            </w:r>
            <w:r>
              <w:rPr>
                <w:rFonts w:hint="eastAsia" w:hAnsi="宋体"/>
                <w:kern w:val="1"/>
              </w:rPr>
              <w:t>号文件”、“国家发展改革委办公厅关于采购代理服务收费有关问题的通知（</w:t>
            </w:r>
            <w:r>
              <w:rPr>
                <w:rFonts w:hAnsi="宋体"/>
                <w:kern w:val="1"/>
              </w:rPr>
              <w:t xml:space="preserve"> </w:t>
            </w:r>
            <w:r>
              <w:rPr>
                <w:rFonts w:hint="eastAsia" w:hAnsi="宋体"/>
                <w:kern w:val="1"/>
              </w:rPr>
              <w:t>发改价格</w:t>
            </w:r>
            <w:r>
              <w:rPr>
                <w:rFonts w:hAnsi="宋体"/>
                <w:kern w:val="1"/>
              </w:rPr>
              <w:t>[2011]534</w:t>
            </w:r>
            <w:r>
              <w:rPr>
                <w:rFonts w:hint="eastAsia" w:hAnsi="宋体"/>
                <w:kern w:val="1"/>
              </w:rPr>
              <w:t>号）文件”及计价格</w:t>
            </w:r>
            <w:r>
              <w:rPr>
                <w:rFonts w:hAnsi="宋体"/>
                <w:kern w:val="1"/>
              </w:rPr>
              <w:t>[2002]1980</w:t>
            </w:r>
            <w:r>
              <w:rPr>
                <w:rFonts w:hint="eastAsia" w:hAnsi="宋体"/>
                <w:kern w:val="1"/>
              </w:rPr>
              <w:t>号的规定。</w:t>
            </w:r>
          </w:p>
          <w:p>
            <w:pPr>
              <w:pStyle w:val="45"/>
              <w:spacing w:line="360" w:lineRule="auto"/>
              <w:rPr>
                <w:rFonts w:hAnsi="宋体"/>
                <w:kern w:val="1"/>
              </w:rPr>
            </w:pPr>
            <w:r>
              <w:rPr>
                <w:rFonts w:hint="eastAsia" w:hAnsi="宋体"/>
                <w:kern w:val="1"/>
              </w:rPr>
              <w:t>本次采购代理服务费由中标单位支付。</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90" w:hRule="atLeast"/>
        </w:trPr>
        <w:tc>
          <w:tcPr>
            <w:tcW w:w="9356" w:type="dxa"/>
            <w:gridSpan w:val="4"/>
            <w:noWrap/>
            <w:vAlign w:val="center"/>
          </w:tcPr>
          <w:p>
            <w:pPr>
              <w:pStyle w:val="45"/>
              <w:spacing w:line="360" w:lineRule="auto"/>
              <w:rPr>
                <w:rFonts w:hAnsi="宋体"/>
              </w:rPr>
            </w:pPr>
            <w:r>
              <w:rPr>
                <w:rFonts w:hint="eastAsia" w:hAnsi="宋体"/>
              </w:rPr>
              <w:t>备注：</w:t>
            </w:r>
            <w:r>
              <w:rPr>
                <w:rFonts w:hAnsi="宋体" w:cs="微软雅黑"/>
                <w:shd w:val="clear" w:color="auto" w:fill="FFFFFF"/>
              </w:rPr>
              <w:t>1. 本项目实行网上投标，采用电子响应文件，若供应商参与投标，自行承担投标一切费用。  2. 各供应商应在开标前应确保成为新疆维吾尔自治区政府采购网正式注册入库供应商，并完成CA数字证书申领。因未注册入库、未办理CA数字证书等原因造成无法响应或响应失败等后果由供应商自行承担。  3. 未办理CA的供应商可自主通过新疆CA申领渠道“新疆政务通”申请政采云平台可使用的CA设备，如原有兵团或公共资源使用的CA，可与新疆CA联系，申请增加电子证书即可，无需重复申领。  4. 供应商将政采云电子交易客户端下载、安装完成后，可通过账号密码或CA登录客户端进行响应文件制作。在使用政采云投标客户端时，建议使用WIN7及以上操作系统。客户端请至新疆政府采购网（www.ccgp-xinjiang.gov.cn）下载专区查看，如有问题可拨打政采云客户服务热线400-881-7190进行咨询。 5. 逾期未上传的或不符合规定的响应文件将被拒绝接收，采购人不予受理。</w:t>
            </w:r>
          </w:p>
        </w:tc>
      </w:tr>
      <w:bookmarkEnd w:id="1"/>
      <w:bookmarkEnd w:id="2"/>
      <w:bookmarkEnd w:id="3"/>
      <w:bookmarkEnd w:id="4"/>
      <w:bookmarkEnd w:id="5"/>
      <w:bookmarkEnd w:id="6"/>
    </w:tbl>
    <w:p>
      <w:pPr>
        <w:pStyle w:val="285"/>
        <w:spacing w:line="360" w:lineRule="auto"/>
        <w:jc w:val="center"/>
        <w:outlineLvl w:val="0"/>
        <w:rPr>
          <w:rFonts w:ascii="宋体" w:hAnsi="宋体"/>
          <w:b/>
          <w:color w:val="auto"/>
          <w:kern w:val="2"/>
          <w:sz w:val="32"/>
          <w:szCs w:val="32"/>
        </w:rPr>
      </w:pPr>
      <w:bookmarkStart w:id="11" w:name="_Toc196041029"/>
      <w:r>
        <w:rPr>
          <w:rFonts w:ascii="宋体" w:hAnsi="宋体"/>
          <w:b/>
          <w:color w:val="auto"/>
          <w:kern w:val="2"/>
          <w:sz w:val="32"/>
          <w:szCs w:val="32"/>
        </w:rPr>
        <w:br w:type="page"/>
      </w:r>
      <w:r>
        <w:rPr>
          <w:rFonts w:ascii="宋体" w:hAnsi="宋体"/>
          <w:b/>
          <w:color w:val="auto"/>
          <w:kern w:val="2"/>
          <w:sz w:val="32"/>
          <w:szCs w:val="32"/>
        </w:rPr>
        <w:t>第一章 投标人须知</w:t>
      </w:r>
    </w:p>
    <w:p>
      <w:pPr>
        <w:pStyle w:val="285"/>
        <w:spacing w:line="360" w:lineRule="auto"/>
        <w:jc w:val="center"/>
        <w:rPr>
          <w:rFonts w:ascii="宋体" w:hAnsi="宋体"/>
          <w:b/>
          <w:color w:val="auto"/>
          <w:kern w:val="2"/>
          <w:sz w:val="36"/>
          <w:szCs w:val="20"/>
        </w:rPr>
      </w:pPr>
    </w:p>
    <w:p>
      <w:pPr>
        <w:spacing w:line="360" w:lineRule="auto"/>
        <w:ind w:firstLine="482" w:firstLineChars="200"/>
        <w:rPr>
          <w:rFonts w:ascii="宋体" w:hAnsi="宋体"/>
          <w:b/>
          <w:sz w:val="24"/>
        </w:rPr>
      </w:pPr>
      <w:r>
        <w:rPr>
          <w:rFonts w:ascii="宋体" w:hAnsi="宋体"/>
          <w:b/>
          <w:sz w:val="24"/>
        </w:rPr>
        <w:t>1. 项目概况</w:t>
      </w:r>
    </w:p>
    <w:p>
      <w:pPr>
        <w:spacing w:line="360" w:lineRule="auto"/>
        <w:ind w:firstLine="480" w:firstLineChars="200"/>
        <w:rPr>
          <w:rFonts w:ascii="宋体" w:hAnsi="宋体"/>
          <w:kern w:val="0"/>
          <w:sz w:val="24"/>
        </w:rPr>
      </w:pPr>
      <w:r>
        <w:rPr>
          <w:rFonts w:ascii="宋体" w:hAnsi="宋体"/>
          <w:kern w:val="0"/>
          <w:sz w:val="24"/>
        </w:rPr>
        <w:t>1.1项目名称：详见投标人须知前附表；</w:t>
      </w:r>
    </w:p>
    <w:p>
      <w:pPr>
        <w:spacing w:line="360" w:lineRule="auto"/>
        <w:ind w:firstLine="480" w:firstLineChars="200"/>
        <w:rPr>
          <w:rFonts w:ascii="宋体" w:hAnsi="宋体"/>
          <w:kern w:val="0"/>
          <w:sz w:val="24"/>
        </w:rPr>
      </w:pPr>
      <w:r>
        <w:rPr>
          <w:rFonts w:ascii="宋体" w:hAnsi="宋体"/>
          <w:kern w:val="0"/>
          <w:sz w:val="24"/>
        </w:rPr>
        <w:t>1.2 招标方式：详见投标人须知前附表；</w:t>
      </w:r>
    </w:p>
    <w:p>
      <w:pPr>
        <w:spacing w:line="360" w:lineRule="auto"/>
        <w:ind w:firstLine="480" w:firstLineChars="200"/>
        <w:rPr>
          <w:rFonts w:ascii="宋体" w:hAnsi="宋体"/>
          <w:kern w:val="0"/>
          <w:sz w:val="24"/>
        </w:rPr>
      </w:pPr>
      <w:r>
        <w:rPr>
          <w:rFonts w:ascii="宋体" w:hAnsi="宋体"/>
          <w:kern w:val="0"/>
          <w:sz w:val="24"/>
        </w:rPr>
        <w:t>1.3 采购内容：详见投标人须知前附表；</w:t>
      </w:r>
    </w:p>
    <w:p>
      <w:pPr>
        <w:spacing w:line="360" w:lineRule="auto"/>
        <w:ind w:firstLine="480" w:firstLineChars="200"/>
        <w:rPr>
          <w:rFonts w:ascii="宋体" w:hAnsi="宋体"/>
          <w:kern w:val="0"/>
          <w:sz w:val="24"/>
        </w:rPr>
      </w:pPr>
      <w:r>
        <w:rPr>
          <w:rFonts w:ascii="宋体" w:hAnsi="宋体"/>
          <w:kern w:val="0"/>
          <w:sz w:val="24"/>
        </w:rPr>
        <w:t>1.4资金来源：详见投标人须知前附表；</w:t>
      </w:r>
    </w:p>
    <w:p>
      <w:pPr>
        <w:spacing w:line="360" w:lineRule="auto"/>
        <w:ind w:firstLine="456" w:firstLineChars="200"/>
        <w:rPr>
          <w:rFonts w:ascii="宋体" w:hAnsi="宋体"/>
          <w:kern w:val="0"/>
          <w:sz w:val="24"/>
        </w:rPr>
      </w:pPr>
      <w:r>
        <w:rPr>
          <w:rFonts w:ascii="宋体" w:hAnsi="宋体"/>
          <w:spacing w:val="-6"/>
          <w:sz w:val="24"/>
        </w:rPr>
        <w:t>1.5 项目地点：</w:t>
      </w:r>
      <w:r>
        <w:rPr>
          <w:rFonts w:ascii="宋体" w:hAnsi="宋体"/>
          <w:kern w:val="0"/>
          <w:sz w:val="24"/>
        </w:rPr>
        <w:t>详见投标人须知前附表；</w:t>
      </w:r>
    </w:p>
    <w:p>
      <w:pPr>
        <w:spacing w:line="360" w:lineRule="auto"/>
        <w:ind w:firstLine="456" w:firstLineChars="200"/>
        <w:rPr>
          <w:rFonts w:ascii="宋体" w:hAnsi="宋体"/>
          <w:kern w:val="0"/>
          <w:sz w:val="24"/>
        </w:rPr>
      </w:pPr>
      <w:r>
        <w:rPr>
          <w:rFonts w:ascii="宋体" w:hAnsi="宋体"/>
          <w:spacing w:val="-6"/>
          <w:sz w:val="24"/>
        </w:rPr>
        <w:t>1.6供货期：</w:t>
      </w:r>
      <w:r>
        <w:rPr>
          <w:rFonts w:ascii="宋体" w:hAnsi="宋体"/>
          <w:kern w:val="0"/>
          <w:sz w:val="24"/>
        </w:rPr>
        <w:t>详见投标人须知前附表；</w:t>
      </w:r>
    </w:p>
    <w:p>
      <w:pPr>
        <w:spacing w:line="360" w:lineRule="auto"/>
        <w:ind w:firstLine="480" w:firstLineChars="200"/>
        <w:rPr>
          <w:rFonts w:ascii="宋体" w:hAnsi="宋体"/>
          <w:kern w:val="0"/>
          <w:sz w:val="24"/>
        </w:rPr>
      </w:pPr>
      <w:r>
        <w:rPr>
          <w:rFonts w:ascii="宋体" w:hAnsi="宋体"/>
          <w:kern w:val="0"/>
          <w:sz w:val="24"/>
        </w:rPr>
        <w:t>1.7质保期：详见投标人须知前附表。</w:t>
      </w:r>
    </w:p>
    <w:p>
      <w:pPr>
        <w:spacing w:line="360" w:lineRule="auto"/>
        <w:ind w:firstLine="482" w:firstLineChars="200"/>
        <w:rPr>
          <w:rFonts w:ascii="宋体" w:hAnsi="宋体"/>
          <w:b/>
          <w:sz w:val="24"/>
        </w:rPr>
      </w:pPr>
      <w:r>
        <w:rPr>
          <w:rStyle w:val="400"/>
          <w:rFonts w:ascii="宋体" w:hAnsi="宋体"/>
          <w:b/>
          <w:sz w:val="24"/>
          <w:szCs w:val="24"/>
          <w:lang w:eastAsia="zh-CN"/>
        </w:rPr>
        <w:t>2. 定义</w:t>
      </w:r>
    </w:p>
    <w:p>
      <w:pPr>
        <w:spacing w:line="360" w:lineRule="auto"/>
        <w:ind w:firstLine="480" w:firstLineChars="200"/>
        <w:rPr>
          <w:rFonts w:ascii="宋体" w:hAnsi="宋体"/>
          <w:sz w:val="24"/>
        </w:rPr>
      </w:pPr>
      <w:r>
        <w:rPr>
          <w:rFonts w:ascii="宋体" w:hAnsi="宋体"/>
          <w:sz w:val="24"/>
        </w:rPr>
        <w:t>下述术语和缩写的定义为：</w:t>
      </w:r>
    </w:p>
    <w:p>
      <w:pPr>
        <w:tabs>
          <w:tab w:val="left" w:pos="1185"/>
        </w:tabs>
        <w:spacing w:line="360" w:lineRule="auto"/>
        <w:ind w:firstLine="480" w:firstLineChars="200"/>
        <w:rPr>
          <w:rFonts w:ascii="宋体" w:hAnsi="宋体"/>
          <w:sz w:val="24"/>
        </w:rPr>
      </w:pPr>
      <w:r>
        <w:rPr>
          <w:rFonts w:ascii="宋体" w:hAnsi="宋体"/>
          <w:sz w:val="24"/>
        </w:rPr>
        <w:t>2.1“招标人”“采购人”系指</w:t>
      </w:r>
      <w:r>
        <w:rPr>
          <w:rFonts w:ascii="宋体" w:hAnsi="宋体"/>
          <w:kern w:val="0"/>
          <w:sz w:val="24"/>
          <w:shd w:val="clear" w:color="auto" w:fill="FEFEFE"/>
        </w:rPr>
        <w:t>依法进行政府采购的国家机关、事业单位、团体组织。本次政府采购的采购人名称、地址、联系人、电话详见投标人须知前附表</w:t>
      </w:r>
      <w:r>
        <w:rPr>
          <w:rFonts w:ascii="宋体" w:hAnsi="宋体"/>
          <w:sz w:val="24"/>
        </w:rPr>
        <w:t>。</w:t>
      </w:r>
    </w:p>
    <w:p>
      <w:pPr>
        <w:spacing w:line="360" w:lineRule="auto"/>
        <w:ind w:firstLine="480" w:firstLineChars="200"/>
        <w:rPr>
          <w:rFonts w:ascii="宋体" w:hAnsi="宋体"/>
          <w:sz w:val="24"/>
        </w:rPr>
      </w:pPr>
      <w:r>
        <w:rPr>
          <w:rFonts w:ascii="宋体" w:hAnsi="宋体"/>
          <w:sz w:val="24"/>
        </w:rPr>
        <w:t>2.2“采购代理机构”“招标代理机构”系指接受采购人委托，代理采购项目的采购代理机构。本次政府采购的采购代理机构名称、地址、联系人、电话详见投标人须知前附表。</w:t>
      </w:r>
    </w:p>
    <w:p>
      <w:pPr>
        <w:spacing w:line="360" w:lineRule="auto"/>
        <w:ind w:firstLine="480" w:firstLineChars="200"/>
        <w:rPr>
          <w:rFonts w:ascii="宋体" w:hAnsi="宋体"/>
          <w:sz w:val="24"/>
        </w:rPr>
      </w:pPr>
      <w:r>
        <w:rPr>
          <w:rFonts w:ascii="宋体" w:hAnsi="宋体"/>
          <w:sz w:val="24"/>
        </w:rPr>
        <w:t>2.3“投标人”、“供应商”系指向采购人提供货物、工程或者服务的法人、其他组织或者自然人。</w:t>
      </w:r>
    </w:p>
    <w:p>
      <w:pPr>
        <w:spacing w:line="360" w:lineRule="auto"/>
        <w:ind w:firstLine="480" w:firstLineChars="200"/>
        <w:rPr>
          <w:rFonts w:ascii="宋体" w:hAnsi="宋体"/>
          <w:sz w:val="24"/>
        </w:rPr>
      </w:pPr>
      <w:r>
        <w:rPr>
          <w:rFonts w:ascii="宋体" w:hAnsi="宋体"/>
          <w:sz w:val="24"/>
        </w:rPr>
        <w:t>2.4“货物”系指各种形态和种类的物品，包括原材料、设备、产品等。</w:t>
      </w:r>
    </w:p>
    <w:p>
      <w:pPr>
        <w:spacing w:line="360" w:lineRule="auto"/>
        <w:ind w:firstLine="480" w:firstLineChars="200"/>
        <w:rPr>
          <w:rFonts w:ascii="宋体" w:hAnsi="宋体"/>
          <w:sz w:val="24"/>
        </w:rPr>
      </w:pPr>
      <w:r>
        <w:rPr>
          <w:rFonts w:ascii="宋体" w:hAnsi="宋体"/>
          <w:sz w:val="24"/>
        </w:rPr>
        <w:t>2.5 “工程”系指建设工程，包括建筑物和构筑物的新建、改建、扩建，装修、拆除，修缮等。</w:t>
      </w:r>
    </w:p>
    <w:p>
      <w:pPr>
        <w:spacing w:line="360" w:lineRule="auto"/>
        <w:ind w:firstLine="480" w:firstLineChars="200"/>
        <w:rPr>
          <w:rFonts w:ascii="宋体" w:hAnsi="宋体"/>
          <w:sz w:val="24"/>
        </w:rPr>
      </w:pPr>
      <w:r>
        <w:rPr>
          <w:rFonts w:ascii="宋体" w:hAnsi="宋体"/>
          <w:sz w:val="24"/>
        </w:rPr>
        <w:t>2.6 “服务”系指除货物和工程以外的其他政府采购对象。</w:t>
      </w:r>
    </w:p>
    <w:p>
      <w:pPr>
        <w:spacing w:line="360" w:lineRule="auto"/>
        <w:ind w:firstLine="480" w:firstLineChars="200"/>
        <w:rPr>
          <w:rFonts w:ascii="宋体" w:hAnsi="宋体"/>
          <w:sz w:val="24"/>
        </w:rPr>
      </w:pPr>
      <w:r>
        <w:rPr>
          <w:rFonts w:ascii="宋体" w:hAnsi="宋体"/>
          <w:sz w:val="24"/>
        </w:rPr>
        <w:t>2.7 “节能产品”或者“环保产品”系指对财政部发布的《节能产品政府采购清单》或者《环境标志产品政府采购清单》的产品。</w:t>
      </w:r>
    </w:p>
    <w:p>
      <w:pPr>
        <w:spacing w:line="360" w:lineRule="auto"/>
        <w:ind w:firstLine="480" w:firstLineChars="200"/>
        <w:rPr>
          <w:rFonts w:ascii="宋体" w:hAnsi="宋体"/>
          <w:sz w:val="24"/>
        </w:rPr>
      </w:pPr>
      <w:r>
        <w:rPr>
          <w:rFonts w:ascii="宋体" w:hAnsi="宋体"/>
          <w:sz w:val="24"/>
        </w:rPr>
        <w:t>2.8“进口产品”系指通过中国海关报关验收进入中国境内且产自境外的产品。详见《关于政府采购进口产品管理有关问题的通知》（财库［2007］119号）。</w:t>
      </w:r>
    </w:p>
    <w:p>
      <w:pPr>
        <w:spacing w:line="360" w:lineRule="auto"/>
        <w:ind w:firstLine="480" w:firstLineChars="200"/>
        <w:rPr>
          <w:rFonts w:ascii="宋体" w:hAnsi="宋体"/>
          <w:sz w:val="24"/>
        </w:rPr>
      </w:pPr>
      <w:r>
        <w:rPr>
          <w:rFonts w:ascii="宋体" w:hAnsi="宋体"/>
          <w:sz w:val="24"/>
        </w:rPr>
        <w:t>2.9 偏离</w:t>
      </w:r>
    </w:p>
    <w:p>
      <w:pPr>
        <w:spacing w:line="360" w:lineRule="auto"/>
        <w:ind w:firstLine="480" w:firstLineChars="200"/>
        <w:rPr>
          <w:rFonts w:ascii="宋体" w:hAnsi="宋体"/>
          <w:sz w:val="24"/>
        </w:rPr>
      </w:pPr>
      <w:r>
        <w:rPr>
          <w:rFonts w:ascii="宋体" w:hAnsi="宋体"/>
          <w:sz w:val="24"/>
        </w:rPr>
        <w:t>2.9.1 本条所称偏离为响应文件对招标文件的偏离，即不满足、或不响应招标文件的要求。偏离分为对招标文件的实质性要求条款偏离和对招标文件的一般商务和技术条款偏离。</w:t>
      </w:r>
    </w:p>
    <w:p>
      <w:pPr>
        <w:spacing w:line="360" w:lineRule="auto"/>
        <w:ind w:firstLine="480" w:firstLineChars="200"/>
        <w:rPr>
          <w:rFonts w:ascii="宋体" w:hAnsi="宋体"/>
          <w:sz w:val="24"/>
        </w:rPr>
      </w:pPr>
      <w:r>
        <w:rPr>
          <w:rFonts w:ascii="宋体" w:hAnsi="宋体"/>
          <w:sz w:val="24"/>
        </w:rPr>
        <w:t>2.9.2</w:t>
      </w:r>
      <w:r>
        <w:rPr>
          <w:rFonts w:hint="eastAsia" w:ascii="宋体" w:hAnsi="宋体"/>
          <w:sz w:val="24"/>
        </w:rPr>
        <w:t>除法律、法规和规章规定外。竞争性磋商文件中加下划线、“拒绝”“不接受”“无效”“不得”“投标被否决”等文字规定的条款为实质性要求条款（即重要条款），未用上述文字规定或符号标注的条款为非实质性要求条款（即一般条款）。着重提醒各投标人注意，并认真查看竞争性磋商文件中的每一个条款及要求，因误读竞争性磋商文件而造成的后果，招标人概不负责。</w:t>
      </w:r>
    </w:p>
    <w:p>
      <w:pPr>
        <w:spacing w:line="360" w:lineRule="auto"/>
        <w:ind w:firstLine="480" w:firstLineChars="200"/>
        <w:rPr>
          <w:rFonts w:ascii="宋体" w:hAnsi="宋体"/>
          <w:sz w:val="24"/>
        </w:rPr>
      </w:pPr>
      <w:r>
        <w:rPr>
          <w:rFonts w:ascii="宋体" w:hAnsi="宋体"/>
          <w:sz w:val="24"/>
        </w:rPr>
        <w:t>2.10 特别说明</w:t>
      </w:r>
    </w:p>
    <w:p>
      <w:pPr>
        <w:spacing w:line="360" w:lineRule="auto"/>
        <w:ind w:firstLine="480" w:firstLineChars="200"/>
        <w:rPr>
          <w:rFonts w:ascii="宋体" w:hAnsi="宋体"/>
          <w:sz w:val="24"/>
        </w:rPr>
      </w:pPr>
      <w:r>
        <w:rPr>
          <w:rFonts w:ascii="宋体" w:hAnsi="宋体"/>
          <w:sz w:val="24"/>
        </w:rPr>
        <w:t>2.10.1供应商所使用的资格、信誉、荣誉、业绩与企业认证等必须为供应商所拥有。</w:t>
      </w:r>
    </w:p>
    <w:p>
      <w:pPr>
        <w:spacing w:line="360" w:lineRule="auto"/>
        <w:ind w:firstLine="480" w:firstLineChars="200"/>
        <w:rPr>
          <w:rFonts w:ascii="宋体" w:hAnsi="宋体"/>
          <w:sz w:val="24"/>
        </w:rPr>
      </w:pPr>
      <w:r>
        <w:rPr>
          <w:rFonts w:ascii="宋体" w:hAnsi="宋体"/>
          <w:sz w:val="24"/>
        </w:rPr>
        <w:t>2.10.2 供应商应仔细阅读招标文件中的所有内容，按照招标文件的要求编制、提交响应文件，并对其所提供的全部资料的真实性承担法律责任。</w:t>
      </w:r>
    </w:p>
    <w:p>
      <w:pPr>
        <w:spacing w:line="360" w:lineRule="auto"/>
        <w:ind w:firstLine="480" w:firstLineChars="200"/>
        <w:rPr>
          <w:rFonts w:ascii="宋体" w:hAnsi="宋体"/>
          <w:sz w:val="24"/>
        </w:rPr>
      </w:pPr>
      <w:r>
        <w:rPr>
          <w:rFonts w:ascii="宋体" w:hAnsi="宋体"/>
          <w:sz w:val="24"/>
        </w:rPr>
        <w:t>2.10.3 招标文件所提供的资料，是采购人现有的能被供应商利用的资料，采购人对供应商做出的任何推论、理解和结论均不负任何责任。</w:t>
      </w:r>
    </w:p>
    <w:p>
      <w:pPr>
        <w:spacing w:line="360" w:lineRule="auto"/>
        <w:ind w:firstLine="482" w:firstLineChars="200"/>
        <w:rPr>
          <w:rFonts w:ascii="宋体" w:hAnsi="宋体"/>
          <w:sz w:val="24"/>
        </w:rPr>
      </w:pPr>
      <w:r>
        <w:rPr>
          <w:rFonts w:ascii="宋体" w:hAnsi="宋体"/>
          <w:b/>
          <w:sz w:val="24"/>
        </w:rPr>
        <w:t>3. 供应商资格</w:t>
      </w:r>
    </w:p>
    <w:p>
      <w:pPr>
        <w:tabs>
          <w:tab w:val="left" w:pos="252"/>
          <w:tab w:val="left" w:pos="360"/>
        </w:tabs>
        <w:spacing w:line="360" w:lineRule="auto"/>
        <w:ind w:firstLine="480" w:firstLineChars="200"/>
        <w:rPr>
          <w:rFonts w:ascii="宋体" w:hAnsi="宋体"/>
          <w:kern w:val="0"/>
          <w:sz w:val="24"/>
        </w:rPr>
      </w:pPr>
      <w:r>
        <w:rPr>
          <w:rFonts w:ascii="宋体" w:hAnsi="宋体"/>
          <w:sz w:val="24"/>
        </w:rPr>
        <w:t>3.1</w:t>
      </w:r>
      <w:r>
        <w:rPr>
          <w:rFonts w:ascii="宋体" w:hAnsi="宋体"/>
          <w:spacing w:val="-4"/>
          <w:sz w:val="24"/>
        </w:rPr>
        <w:t>供应商资格：</w:t>
      </w:r>
      <w:r>
        <w:rPr>
          <w:rFonts w:ascii="宋体" w:hAnsi="宋体"/>
          <w:kern w:val="0"/>
          <w:sz w:val="24"/>
        </w:rPr>
        <w:t>详见投标人须知前附表。</w:t>
      </w:r>
    </w:p>
    <w:p>
      <w:pPr>
        <w:tabs>
          <w:tab w:val="left" w:pos="1440"/>
          <w:tab w:val="left" w:pos="2100"/>
        </w:tabs>
        <w:spacing w:line="360" w:lineRule="auto"/>
        <w:ind w:firstLine="480" w:firstLineChars="200"/>
        <w:rPr>
          <w:rFonts w:ascii="宋体" w:hAnsi="宋体"/>
          <w:sz w:val="24"/>
        </w:rPr>
      </w:pPr>
      <w:r>
        <w:rPr>
          <w:rFonts w:ascii="宋体" w:hAnsi="宋体"/>
          <w:kern w:val="0"/>
          <w:sz w:val="24"/>
        </w:rPr>
        <w:t>3.2 投标人应遵守中华人民共</w:t>
      </w:r>
      <w:r>
        <w:rPr>
          <w:rFonts w:ascii="宋体" w:hAnsi="宋体"/>
          <w:sz w:val="24"/>
        </w:rPr>
        <w:t>和国法律、法规和行政规章。</w:t>
      </w:r>
    </w:p>
    <w:p>
      <w:pPr>
        <w:spacing w:line="360" w:lineRule="auto"/>
        <w:ind w:firstLine="480" w:firstLineChars="200"/>
        <w:rPr>
          <w:rFonts w:ascii="宋体" w:hAnsi="宋体"/>
          <w:sz w:val="24"/>
        </w:rPr>
      </w:pPr>
      <w:r>
        <w:rPr>
          <w:rFonts w:ascii="宋体" w:hAnsi="宋体"/>
          <w:sz w:val="24"/>
        </w:rPr>
        <w:t>3.3供应商不得存在下列情形之一：</w:t>
      </w:r>
    </w:p>
    <w:p>
      <w:pPr>
        <w:spacing w:line="360" w:lineRule="auto"/>
        <w:ind w:firstLine="480" w:firstLineChars="200"/>
        <w:rPr>
          <w:rFonts w:ascii="宋体" w:hAnsi="宋体"/>
          <w:sz w:val="24"/>
        </w:rPr>
      </w:pPr>
      <w:r>
        <w:rPr>
          <w:rFonts w:ascii="宋体" w:hAnsi="宋体"/>
          <w:sz w:val="24"/>
        </w:rPr>
        <w:t>（1）与采购人、代理机构存在利害关系。</w:t>
      </w:r>
    </w:p>
    <w:p>
      <w:pPr>
        <w:spacing w:line="360" w:lineRule="auto"/>
        <w:ind w:firstLine="480" w:firstLineChars="200"/>
        <w:rPr>
          <w:rFonts w:ascii="宋体" w:hAnsi="宋体"/>
          <w:sz w:val="24"/>
        </w:rPr>
      </w:pPr>
      <w:r>
        <w:rPr>
          <w:rFonts w:ascii="宋体" w:hAnsi="宋体"/>
          <w:sz w:val="24"/>
        </w:rPr>
        <w:t>（2）单位负责人为同一人或者存在控股、管理关系的不同供应商，不得参加同一合同项下的政府采购活动。</w:t>
      </w:r>
    </w:p>
    <w:p>
      <w:pPr>
        <w:spacing w:line="360" w:lineRule="auto"/>
        <w:ind w:firstLine="482" w:firstLineChars="200"/>
        <w:rPr>
          <w:rFonts w:ascii="宋体" w:hAnsi="宋体"/>
          <w:b/>
          <w:sz w:val="24"/>
        </w:rPr>
      </w:pPr>
      <w:r>
        <w:rPr>
          <w:rFonts w:ascii="宋体" w:hAnsi="宋体"/>
          <w:b/>
          <w:sz w:val="24"/>
        </w:rPr>
        <w:t>4. 投标费用</w:t>
      </w:r>
    </w:p>
    <w:p>
      <w:pPr>
        <w:adjustRightInd w:val="0"/>
        <w:snapToGrid w:val="0"/>
        <w:spacing w:line="360" w:lineRule="auto"/>
        <w:ind w:firstLine="480" w:firstLineChars="200"/>
        <w:rPr>
          <w:rFonts w:ascii="宋体" w:hAnsi="宋体"/>
          <w:sz w:val="24"/>
        </w:rPr>
      </w:pPr>
      <w:r>
        <w:rPr>
          <w:rFonts w:ascii="宋体" w:hAnsi="宋体"/>
          <w:sz w:val="24"/>
        </w:rPr>
        <w:t>4.1无论投标过程中的做法和结果如何，投标人将自行承担所有与参加投标有关的费用。</w:t>
      </w:r>
    </w:p>
    <w:p>
      <w:pPr>
        <w:adjustRightInd w:val="0"/>
        <w:snapToGrid w:val="0"/>
        <w:spacing w:line="360" w:lineRule="auto"/>
        <w:ind w:firstLine="482" w:firstLineChars="200"/>
        <w:rPr>
          <w:rFonts w:ascii="宋体" w:hAnsi="宋体"/>
          <w:b/>
          <w:sz w:val="24"/>
        </w:rPr>
      </w:pPr>
      <w:r>
        <w:rPr>
          <w:rFonts w:ascii="宋体" w:hAnsi="宋体"/>
          <w:b/>
          <w:sz w:val="24"/>
        </w:rPr>
        <w:t>5.联合体形式</w:t>
      </w:r>
    </w:p>
    <w:p>
      <w:pPr>
        <w:adjustRightInd w:val="0"/>
        <w:snapToGrid w:val="0"/>
        <w:spacing w:line="360" w:lineRule="auto"/>
        <w:ind w:firstLine="480" w:firstLineChars="200"/>
        <w:rPr>
          <w:rFonts w:ascii="宋体" w:hAnsi="宋体"/>
          <w:sz w:val="24"/>
        </w:rPr>
      </w:pPr>
      <w:r>
        <w:rPr>
          <w:rFonts w:ascii="宋体" w:hAnsi="宋体"/>
          <w:sz w:val="24"/>
        </w:rPr>
        <w:t>5.1 除投标人须知前附表中另有规定，本次招标不接受为联合体形式的供应商。</w:t>
      </w:r>
    </w:p>
    <w:p>
      <w:pPr>
        <w:adjustRightInd w:val="0"/>
        <w:snapToGrid w:val="0"/>
        <w:spacing w:line="360" w:lineRule="auto"/>
        <w:ind w:firstLine="480" w:firstLineChars="200"/>
        <w:rPr>
          <w:rFonts w:ascii="宋体" w:hAnsi="宋体"/>
          <w:sz w:val="24"/>
        </w:rPr>
      </w:pPr>
      <w:r>
        <w:rPr>
          <w:rFonts w:ascii="宋体" w:hAnsi="宋体"/>
          <w:sz w:val="24"/>
        </w:rPr>
        <w:t>5.2供应商为联合体形式的，除应符合本章第3条规定外，还应遵守以下规定：</w:t>
      </w:r>
    </w:p>
    <w:p>
      <w:pPr>
        <w:adjustRightInd w:val="0"/>
        <w:snapToGrid w:val="0"/>
        <w:spacing w:line="360" w:lineRule="auto"/>
        <w:ind w:firstLine="480" w:firstLineChars="200"/>
        <w:rPr>
          <w:rFonts w:ascii="宋体" w:hAnsi="宋体"/>
          <w:sz w:val="24"/>
        </w:rPr>
      </w:pPr>
      <w:r>
        <w:rPr>
          <w:rFonts w:ascii="宋体" w:hAnsi="宋体"/>
          <w:sz w:val="24"/>
        </w:rPr>
        <w:t>（1）联合体各方必须签订联合体协议书，明确联合体牵头人和各方的义务、工作、合同工作量比例；</w:t>
      </w:r>
    </w:p>
    <w:p>
      <w:pPr>
        <w:adjustRightInd w:val="0"/>
        <w:snapToGrid w:val="0"/>
        <w:spacing w:line="360" w:lineRule="auto"/>
        <w:ind w:firstLine="480" w:firstLineChars="200"/>
        <w:rPr>
          <w:rFonts w:ascii="宋体" w:hAnsi="宋体"/>
          <w:sz w:val="24"/>
        </w:rPr>
      </w:pPr>
      <w:r>
        <w:rPr>
          <w:rFonts w:ascii="宋体" w:hAnsi="宋体"/>
          <w:sz w:val="24"/>
        </w:rPr>
        <w:t>（2）联合体各方均应当符合本章第3.1款规定的供应商基本资格条件；</w:t>
      </w:r>
    </w:p>
    <w:p>
      <w:pPr>
        <w:adjustRightInd w:val="0"/>
        <w:snapToGrid w:val="0"/>
        <w:spacing w:line="360" w:lineRule="auto"/>
        <w:ind w:firstLine="480" w:firstLineChars="200"/>
        <w:rPr>
          <w:rFonts w:ascii="宋体" w:hAnsi="宋体"/>
          <w:sz w:val="24"/>
        </w:rPr>
      </w:pPr>
      <w:r>
        <w:rPr>
          <w:rFonts w:ascii="宋体" w:hAnsi="宋体"/>
          <w:sz w:val="24"/>
        </w:rPr>
        <w:t>（3）除投标人须知前附表中另有规定，联合体各方中至少有一方应当符合本章第3.1款规定的供应商特定资格条件；</w:t>
      </w:r>
    </w:p>
    <w:p>
      <w:pPr>
        <w:adjustRightInd w:val="0"/>
        <w:snapToGrid w:val="0"/>
        <w:spacing w:line="360" w:lineRule="auto"/>
        <w:ind w:firstLine="480" w:firstLineChars="200"/>
        <w:rPr>
          <w:rFonts w:ascii="宋体" w:hAnsi="宋体"/>
          <w:sz w:val="24"/>
        </w:rPr>
      </w:pPr>
      <w:r>
        <w:rPr>
          <w:rFonts w:ascii="宋体" w:hAnsi="宋体"/>
          <w:sz w:val="24"/>
        </w:rPr>
        <w:t>（4）联合体各方不得再单独或与其他供应商组成新的联合体参加同一项目的采购活动。</w:t>
      </w:r>
    </w:p>
    <w:p>
      <w:pPr>
        <w:adjustRightInd w:val="0"/>
        <w:snapToGrid w:val="0"/>
        <w:spacing w:line="360" w:lineRule="auto"/>
        <w:ind w:firstLine="482" w:firstLineChars="200"/>
        <w:rPr>
          <w:rFonts w:ascii="宋体" w:hAnsi="宋体"/>
          <w:b/>
          <w:sz w:val="24"/>
        </w:rPr>
      </w:pPr>
      <w:r>
        <w:rPr>
          <w:rFonts w:ascii="宋体" w:hAnsi="宋体"/>
          <w:b/>
          <w:sz w:val="24"/>
        </w:rPr>
        <w:t>6．现场勘察</w:t>
      </w:r>
    </w:p>
    <w:p>
      <w:pPr>
        <w:adjustRightInd w:val="0"/>
        <w:snapToGrid w:val="0"/>
        <w:spacing w:line="360" w:lineRule="auto"/>
        <w:ind w:firstLine="480" w:firstLineChars="200"/>
        <w:rPr>
          <w:rFonts w:ascii="宋体" w:hAnsi="宋体"/>
          <w:sz w:val="24"/>
        </w:rPr>
      </w:pPr>
      <w:r>
        <w:rPr>
          <w:rFonts w:ascii="宋体" w:hAnsi="宋体"/>
          <w:sz w:val="24"/>
        </w:rPr>
        <w:t>6.1 供应商应按投标人须知前附表中规定对采购项目现场和周围环境进行考察。</w:t>
      </w:r>
    </w:p>
    <w:p>
      <w:pPr>
        <w:adjustRightInd w:val="0"/>
        <w:snapToGrid w:val="0"/>
        <w:spacing w:line="360" w:lineRule="auto"/>
        <w:ind w:firstLine="480" w:firstLineChars="200"/>
        <w:rPr>
          <w:rFonts w:ascii="宋体" w:hAnsi="宋体"/>
          <w:sz w:val="24"/>
        </w:rPr>
      </w:pPr>
      <w:r>
        <w:rPr>
          <w:rFonts w:ascii="宋体" w:hAnsi="宋体"/>
          <w:sz w:val="24"/>
        </w:rPr>
        <w:t>6.2勘察现场的费用由供应商自己承担，勘察期间所发生的人身伤害及财产损失由供应商自己负责。</w:t>
      </w:r>
    </w:p>
    <w:p>
      <w:pPr>
        <w:adjustRightInd w:val="0"/>
        <w:snapToGrid w:val="0"/>
        <w:spacing w:line="360" w:lineRule="auto"/>
        <w:ind w:firstLine="480" w:firstLineChars="200"/>
        <w:rPr>
          <w:rFonts w:ascii="宋体" w:hAnsi="宋体"/>
          <w:sz w:val="24"/>
        </w:rPr>
      </w:pPr>
      <w:r>
        <w:rPr>
          <w:rFonts w:ascii="宋体" w:hAnsi="宋体"/>
          <w:sz w:val="24"/>
        </w:rPr>
        <w:t>6.3 采购人不对供应商据此而做出的推论、理解和结论负责。一旦成交，供应商不得以任何借口，而提出额外补偿，或延长合同期限的要求。</w:t>
      </w:r>
    </w:p>
    <w:p>
      <w:pPr>
        <w:adjustRightInd w:val="0"/>
        <w:snapToGrid w:val="0"/>
        <w:spacing w:line="360" w:lineRule="auto"/>
        <w:ind w:firstLine="482" w:firstLineChars="200"/>
        <w:rPr>
          <w:rFonts w:ascii="宋体" w:hAnsi="宋体"/>
          <w:b/>
          <w:sz w:val="24"/>
        </w:rPr>
      </w:pPr>
      <w:r>
        <w:rPr>
          <w:rFonts w:ascii="宋体" w:hAnsi="宋体"/>
          <w:b/>
          <w:sz w:val="24"/>
        </w:rPr>
        <w:t>7.采购进口产品</w:t>
      </w:r>
    </w:p>
    <w:p>
      <w:pPr>
        <w:adjustRightInd w:val="0"/>
        <w:snapToGrid w:val="0"/>
        <w:spacing w:line="360" w:lineRule="auto"/>
        <w:ind w:firstLine="480" w:firstLineChars="200"/>
        <w:rPr>
          <w:rFonts w:ascii="宋体" w:hAnsi="宋体"/>
          <w:sz w:val="24"/>
        </w:rPr>
      </w:pPr>
      <w:r>
        <w:rPr>
          <w:rFonts w:ascii="宋体" w:hAnsi="宋体"/>
          <w:sz w:val="24"/>
        </w:rPr>
        <w:t>7.1除投标人须知前附表另有规定外，本项目不接受进口产品参加采购活动。</w:t>
      </w:r>
    </w:p>
    <w:p>
      <w:pPr>
        <w:adjustRightInd w:val="0"/>
        <w:snapToGrid w:val="0"/>
        <w:spacing w:line="360" w:lineRule="auto"/>
        <w:ind w:firstLine="482" w:firstLineChars="200"/>
        <w:rPr>
          <w:rFonts w:ascii="宋体" w:hAnsi="宋体"/>
          <w:b/>
          <w:sz w:val="24"/>
        </w:rPr>
      </w:pPr>
      <w:r>
        <w:rPr>
          <w:rFonts w:ascii="宋体" w:hAnsi="宋体"/>
          <w:b/>
          <w:sz w:val="24"/>
        </w:rPr>
        <w:t>8.政府采购政策的支持</w:t>
      </w:r>
    </w:p>
    <w:p>
      <w:pPr>
        <w:adjustRightInd w:val="0"/>
        <w:snapToGrid w:val="0"/>
        <w:spacing w:line="360" w:lineRule="auto"/>
        <w:ind w:firstLine="480" w:firstLineChars="200"/>
        <w:rPr>
          <w:rFonts w:ascii="宋体" w:hAnsi="宋体"/>
          <w:sz w:val="24"/>
        </w:rPr>
      </w:pPr>
      <w:r>
        <w:rPr>
          <w:rFonts w:hint="eastAsia" w:ascii="宋体" w:hAnsi="宋体"/>
          <w:sz w:val="24"/>
        </w:rPr>
        <w:t>8.1 落实的政策如下：</w:t>
      </w:r>
    </w:p>
    <w:p>
      <w:pPr>
        <w:adjustRightInd w:val="0"/>
        <w:snapToGrid w:val="0"/>
        <w:spacing w:line="360" w:lineRule="auto"/>
        <w:ind w:firstLine="480" w:firstLineChars="200"/>
        <w:rPr>
          <w:rFonts w:ascii="宋体" w:hAnsi="宋体"/>
          <w:sz w:val="24"/>
        </w:rPr>
      </w:pPr>
      <w:r>
        <w:rPr>
          <w:rFonts w:hint="eastAsia" w:ascii="宋体" w:hAnsi="宋体"/>
          <w:sz w:val="24"/>
        </w:rPr>
        <w:t xml:space="preserve">（1）《政府采购促进中小企业发展管理办法》（财库〔2020〕46号）； </w:t>
      </w:r>
    </w:p>
    <w:p>
      <w:pPr>
        <w:adjustRightInd w:val="0"/>
        <w:snapToGrid w:val="0"/>
        <w:spacing w:line="360" w:lineRule="auto"/>
        <w:ind w:firstLine="480" w:firstLineChars="200"/>
        <w:rPr>
          <w:rFonts w:ascii="宋体" w:hAnsi="宋体"/>
          <w:sz w:val="24"/>
        </w:rPr>
      </w:pPr>
      <w:r>
        <w:rPr>
          <w:rFonts w:hint="eastAsia" w:ascii="宋体" w:hAnsi="宋体"/>
          <w:sz w:val="24"/>
        </w:rPr>
        <w:t>（2）《财政部、司法部关于政府采购支持监狱企业发展有关问题的通知》（财库〔2014〕68号）；</w:t>
      </w:r>
    </w:p>
    <w:p>
      <w:pPr>
        <w:adjustRightInd w:val="0"/>
        <w:snapToGrid w:val="0"/>
        <w:spacing w:line="360" w:lineRule="auto"/>
        <w:ind w:firstLine="480" w:firstLineChars="200"/>
        <w:rPr>
          <w:rFonts w:ascii="宋体" w:hAnsi="宋体"/>
          <w:sz w:val="24"/>
        </w:rPr>
      </w:pPr>
      <w:r>
        <w:rPr>
          <w:rFonts w:hint="eastAsia" w:ascii="宋体" w:hAnsi="宋体"/>
          <w:sz w:val="24"/>
        </w:rPr>
        <w:t>（3）《财政部 民政部 中国残疾人联合会关于促进残疾人就业政府采购政策的通知》财库〔2017〕141号。</w:t>
      </w:r>
    </w:p>
    <w:p>
      <w:pPr>
        <w:adjustRightInd w:val="0"/>
        <w:snapToGrid w:val="0"/>
        <w:spacing w:line="360" w:lineRule="auto"/>
        <w:ind w:firstLine="480" w:firstLineChars="200"/>
        <w:rPr>
          <w:rFonts w:ascii="宋体" w:hAnsi="宋体"/>
          <w:sz w:val="24"/>
        </w:rPr>
      </w:pPr>
      <w:r>
        <w:rPr>
          <w:rFonts w:hint="eastAsia" w:ascii="宋体" w:hAnsi="宋体"/>
          <w:sz w:val="24"/>
        </w:rPr>
        <w:t>8.2依据品目清单和认证证书实施政府优先采购和强制采购（财库［2019］9号）。</w:t>
      </w:r>
    </w:p>
    <w:p>
      <w:pPr>
        <w:adjustRightInd w:val="0"/>
        <w:snapToGrid w:val="0"/>
        <w:spacing w:line="360" w:lineRule="auto"/>
        <w:ind w:firstLine="480" w:firstLineChars="200"/>
        <w:rPr>
          <w:rFonts w:ascii="宋体" w:hAnsi="宋体"/>
          <w:sz w:val="24"/>
        </w:rPr>
      </w:pPr>
      <w:r>
        <w:rPr>
          <w:rFonts w:hint="eastAsia" w:ascii="宋体" w:hAnsi="宋体"/>
          <w:sz w:val="24"/>
        </w:rPr>
        <w:t>8.3供应商在签署相关承诺、提供相关信息前，应当认真阅读财政部门的相关政策规定。符合本章第8.1-8.2款规定的，应当提供相关的证明材料。</w:t>
      </w:r>
    </w:p>
    <w:p>
      <w:pPr>
        <w:adjustRightInd w:val="0"/>
        <w:snapToGrid w:val="0"/>
        <w:spacing w:line="360" w:lineRule="auto"/>
        <w:ind w:firstLine="480" w:firstLineChars="200"/>
        <w:rPr>
          <w:rFonts w:ascii="宋体" w:hAnsi="宋体"/>
          <w:sz w:val="24"/>
        </w:rPr>
      </w:pPr>
    </w:p>
    <w:p>
      <w:pPr>
        <w:adjustRightInd w:val="0"/>
        <w:snapToGrid w:val="0"/>
        <w:spacing w:line="360" w:lineRule="auto"/>
        <w:ind w:firstLine="480" w:firstLineChars="200"/>
        <w:rPr>
          <w:rFonts w:ascii="宋体" w:hAnsi="宋体"/>
          <w:sz w:val="24"/>
        </w:rPr>
      </w:pPr>
    </w:p>
    <w:p>
      <w:pPr>
        <w:pStyle w:val="285"/>
        <w:spacing w:line="360" w:lineRule="auto"/>
        <w:jc w:val="center"/>
        <w:rPr>
          <w:rFonts w:ascii="宋体" w:hAnsi="宋体"/>
          <w:b/>
          <w:color w:val="auto"/>
          <w:kern w:val="2"/>
          <w:sz w:val="32"/>
          <w:szCs w:val="32"/>
        </w:rPr>
      </w:pPr>
    </w:p>
    <w:p>
      <w:pPr>
        <w:pStyle w:val="285"/>
        <w:spacing w:line="360" w:lineRule="auto"/>
        <w:jc w:val="center"/>
        <w:rPr>
          <w:rFonts w:ascii="宋体" w:hAnsi="宋体"/>
          <w:b/>
          <w:color w:val="auto"/>
          <w:kern w:val="2"/>
          <w:sz w:val="32"/>
          <w:szCs w:val="32"/>
        </w:rPr>
      </w:pPr>
    </w:p>
    <w:p>
      <w:pPr>
        <w:pStyle w:val="285"/>
        <w:spacing w:line="360" w:lineRule="auto"/>
        <w:jc w:val="center"/>
        <w:outlineLvl w:val="0"/>
        <w:rPr>
          <w:rFonts w:ascii="宋体" w:hAnsi="宋体"/>
          <w:b/>
          <w:color w:val="auto"/>
          <w:kern w:val="2"/>
          <w:sz w:val="32"/>
          <w:szCs w:val="32"/>
        </w:rPr>
      </w:pPr>
      <w:r>
        <w:rPr>
          <w:rFonts w:ascii="宋体" w:hAnsi="宋体"/>
          <w:b/>
          <w:color w:val="auto"/>
          <w:kern w:val="2"/>
          <w:sz w:val="32"/>
          <w:szCs w:val="32"/>
        </w:rPr>
        <w:t>第二章 招标文件的编写</w:t>
      </w:r>
    </w:p>
    <w:p>
      <w:pPr>
        <w:tabs>
          <w:tab w:val="left" w:pos="1185"/>
        </w:tabs>
        <w:spacing w:line="360" w:lineRule="auto"/>
        <w:ind w:firstLine="482" w:firstLineChars="200"/>
        <w:rPr>
          <w:rFonts w:ascii="宋体" w:hAnsi="宋体"/>
          <w:b/>
          <w:sz w:val="24"/>
        </w:rPr>
      </w:pPr>
      <w:r>
        <w:rPr>
          <w:rFonts w:ascii="宋体" w:hAnsi="宋体"/>
          <w:b/>
          <w:sz w:val="24"/>
        </w:rPr>
        <w:t>9. 招标文件的构成</w:t>
      </w:r>
    </w:p>
    <w:p>
      <w:pPr>
        <w:tabs>
          <w:tab w:val="left" w:pos="1185"/>
        </w:tabs>
        <w:spacing w:line="360" w:lineRule="auto"/>
        <w:ind w:firstLine="480" w:firstLineChars="200"/>
        <w:rPr>
          <w:rFonts w:ascii="宋体" w:hAnsi="宋体"/>
          <w:b/>
          <w:sz w:val="24"/>
        </w:rPr>
      </w:pPr>
      <w:bookmarkStart w:id="12" w:name="_Toc268426410"/>
      <w:bookmarkStart w:id="13" w:name="第三部分第二章"/>
      <w:r>
        <w:rPr>
          <w:rFonts w:ascii="宋体" w:hAnsi="宋体"/>
          <w:sz w:val="24"/>
        </w:rPr>
        <w:t>9.1  招标文件由下述部分组成：</w:t>
      </w:r>
    </w:p>
    <w:p>
      <w:pPr>
        <w:spacing w:line="360" w:lineRule="auto"/>
        <w:ind w:firstLine="480" w:firstLineChars="200"/>
        <w:rPr>
          <w:rFonts w:ascii="宋体" w:hAnsi="宋体"/>
          <w:sz w:val="24"/>
        </w:rPr>
      </w:pPr>
      <w:r>
        <w:rPr>
          <w:rFonts w:ascii="宋体" w:hAnsi="宋体"/>
          <w:sz w:val="24"/>
        </w:rPr>
        <w:t>第一部分 招标公告</w:t>
      </w:r>
    </w:p>
    <w:p>
      <w:pPr>
        <w:spacing w:line="360" w:lineRule="auto"/>
        <w:ind w:firstLine="480" w:firstLineChars="200"/>
        <w:rPr>
          <w:rFonts w:ascii="宋体" w:hAnsi="宋体"/>
          <w:sz w:val="24"/>
        </w:rPr>
      </w:pPr>
      <w:r>
        <w:rPr>
          <w:rFonts w:ascii="宋体" w:hAnsi="宋体"/>
          <w:sz w:val="24"/>
        </w:rPr>
        <w:t>第二部分 投标人须知</w:t>
      </w:r>
    </w:p>
    <w:p>
      <w:pPr>
        <w:spacing w:line="360" w:lineRule="auto"/>
        <w:ind w:firstLine="480" w:firstLineChars="200"/>
        <w:rPr>
          <w:rFonts w:ascii="宋体" w:hAnsi="宋体"/>
          <w:sz w:val="24"/>
        </w:rPr>
      </w:pPr>
      <w:r>
        <w:rPr>
          <w:rFonts w:ascii="宋体" w:hAnsi="宋体"/>
          <w:sz w:val="24"/>
        </w:rPr>
        <w:t>第三部分 采购内容及技术参数要求</w:t>
      </w:r>
    </w:p>
    <w:p>
      <w:pPr>
        <w:spacing w:line="360" w:lineRule="auto"/>
        <w:ind w:firstLine="480" w:firstLineChars="200"/>
        <w:rPr>
          <w:rFonts w:ascii="宋体" w:hAnsi="宋体"/>
          <w:sz w:val="24"/>
        </w:rPr>
      </w:pPr>
      <w:r>
        <w:rPr>
          <w:rFonts w:ascii="宋体" w:hAnsi="宋体"/>
          <w:sz w:val="24"/>
        </w:rPr>
        <w:t>第四部分 合同条款</w:t>
      </w:r>
    </w:p>
    <w:p>
      <w:pPr>
        <w:spacing w:line="360" w:lineRule="auto"/>
        <w:ind w:firstLine="480" w:firstLineChars="200"/>
        <w:rPr>
          <w:rFonts w:ascii="宋体" w:hAnsi="宋体"/>
          <w:sz w:val="24"/>
        </w:rPr>
      </w:pPr>
      <w:r>
        <w:rPr>
          <w:rFonts w:ascii="宋体" w:hAnsi="宋体"/>
          <w:sz w:val="24"/>
        </w:rPr>
        <w:t>第五部分 附  件</w:t>
      </w:r>
    </w:p>
    <w:p>
      <w:pPr>
        <w:spacing w:line="360" w:lineRule="auto"/>
        <w:ind w:firstLine="480" w:firstLineChars="200"/>
        <w:rPr>
          <w:rFonts w:ascii="宋体" w:hAnsi="宋体"/>
          <w:sz w:val="24"/>
        </w:rPr>
      </w:pPr>
      <w:r>
        <w:rPr>
          <w:rFonts w:ascii="宋体" w:hAnsi="宋体"/>
          <w:sz w:val="24"/>
        </w:rPr>
        <w:t>9.2 招标文件以中文书写。</w:t>
      </w:r>
    </w:p>
    <w:p>
      <w:pPr>
        <w:spacing w:line="360" w:lineRule="auto"/>
        <w:ind w:firstLine="480" w:firstLineChars="200"/>
        <w:rPr>
          <w:rFonts w:ascii="宋体" w:hAnsi="宋体"/>
          <w:sz w:val="24"/>
        </w:rPr>
      </w:pPr>
      <w:r>
        <w:rPr>
          <w:rFonts w:ascii="宋体" w:hAnsi="宋体"/>
          <w:sz w:val="24"/>
        </w:rPr>
        <w:t>9.3 投标人被视为熟悉本招标项目的各种情况以及与履行合同有关的一切其他情况。</w:t>
      </w:r>
    </w:p>
    <w:p>
      <w:pPr>
        <w:spacing w:line="360" w:lineRule="auto"/>
        <w:ind w:firstLine="480" w:firstLineChars="200"/>
        <w:rPr>
          <w:rFonts w:ascii="宋体" w:hAnsi="宋体"/>
          <w:sz w:val="24"/>
        </w:rPr>
      </w:pPr>
      <w:r>
        <w:rPr>
          <w:rFonts w:ascii="宋体" w:hAnsi="宋体"/>
          <w:sz w:val="24"/>
        </w:rPr>
        <w:t>9.4投标人获取招标文件后，应仔细检查招标文件的所有内容，如有残缺应在领到招标文件后1日内向招标人提出，否则，由此引起的投标损失自负；投标人同时应认真审阅招标文件中所有的事项、格式、条款和规范要求等，如果投标人编制的投标文件，没有按照招标文件要求提交全部资料或者没有对招标文件做出实质性响应，其风险应由投标人自行承担，并根据有关条款规定，其投标有可能被拒绝。</w:t>
      </w:r>
    </w:p>
    <w:p>
      <w:pPr>
        <w:spacing w:line="360" w:lineRule="auto"/>
        <w:ind w:firstLine="482" w:firstLineChars="200"/>
        <w:rPr>
          <w:rFonts w:ascii="宋体" w:hAnsi="宋体"/>
          <w:b/>
          <w:sz w:val="24"/>
        </w:rPr>
      </w:pPr>
      <w:r>
        <w:rPr>
          <w:rFonts w:ascii="宋体" w:hAnsi="宋体"/>
          <w:b/>
          <w:sz w:val="24"/>
        </w:rPr>
        <w:t>10. 招标文件的澄清、标前会议</w:t>
      </w:r>
    </w:p>
    <w:p>
      <w:pPr>
        <w:spacing w:line="360" w:lineRule="auto"/>
        <w:ind w:firstLine="480" w:firstLineChars="200"/>
        <w:rPr>
          <w:rFonts w:ascii="宋体" w:hAnsi="宋体"/>
          <w:spacing w:val="-4"/>
          <w:sz w:val="24"/>
        </w:rPr>
      </w:pPr>
      <w:r>
        <w:rPr>
          <w:rFonts w:ascii="宋体" w:hAnsi="宋体"/>
          <w:sz w:val="24"/>
        </w:rPr>
        <w:t>10.1</w:t>
      </w:r>
      <w:r>
        <w:rPr>
          <w:rFonts w:ascii="宋体" w:hAnsi="宋体"/>
          <w:spacing w:val="-4"/>
          <w:sz w:val="24"/>
        </w:rPr>
        <w:t>投标人对招标文件如有疑点，可在投标截止期15日前按招标文件中载明的地址以书面形式（包括信函、电报或传真，下同）通知招标人要求澄清。招标人将视情况确定采用适当方式予以澄清或以书面形式予以答复。招标人认为有必要时，可将答复内容（包括原提出问题，但不包括问题的来源）分发给所有投标人。</w:t>
      </w:r>
    </w:p>
    <w:p>
      <w:pPr>
        <w:spacing w:line="360" w:lineRule="auto"/>
        <w:ind w:firstLine="482" w:firstLineChars="200"/>
        <w:jc w:val="left"/>
        <w:rPr>
          <w:rFonts w:ascii="宋体" w:hAnsi="宋体"/>
          <w:b/>
          <w:sz w:val="24"/>
        </w:rPr>
      </w:pPr>
      <w:r>
        <w:rPr>
          <w:rFonts w:ascii="宋体" w:hAnsi="宋体"/>
          <w:b/>
          <w:sz w:val="24"/>
        </w:rPr>
        <w:t>11. 招标文件的修改或补充</w:t>
      </w:r>
    </w:p>
    <w:p>
      <w:pPr>
        <w:spacing w:line="360" w:lineRule="auto"/>
        <w:ind w:firstLine="480" w:firstLineChars="200"/>
        <w:jc w:val="left"/>
        <w:rPr>
          <w:rFonts w:ascii="宋体" w:hAnsi="宋体"/>
          <w:sz w:val="24"/>
        </w:rPr>
      </w:pPr>
      <w:r>
        <w:rPr>
          <w:rFonts w:ascii="宋体" w:hAnsi="宋体"/>
          <w:sz w:val="24"/>
        </w:rPr>
        <w:t>11.1 在投标截止期15日前的任何时间，招标人可主动或依据投标人要求澄清的问题而修改或补充招标文件，并以书面形式通知所有投标人，投标人在收到该通知后应立即以电报或传真的形式予以确认。</w:t>
      </w:r>
    </w:p>
    <w:p>
      <w:pPr>
        <w:spacing w:line="360" w:lineRule="auto"/>
        <w:ind w:firstLine="480" w:firstLineChars="200"/>
        <w:jc w:val="left"/>
        <w:rPr>
          <w:rFonts w:ascii="宋体" w:hAnsi="宋体"/>
          <w:sz w:val="24"/>
        </w:rPr>
      </w:pPr>
      <w:r>
        <w:rPr>
          <w:rFonts w:ascii="宋体" w:hAnsi="宋体"/>
          <w:sz w:val="24"/>
        </w:rPr>
        <w:t>11.2为使投标人在准备投标时有适当的时间考虑投标文件的修改，招标人有权决定推迟投标截止日期和开标日期，并将此变更通知所有的投标人。</w:t>
      </w:r>
    </w:p>
    <w:p>
      <w:pPr>
        <w:adjustRightInd w:val="0"/>
        <w:snapToGrid w:val="0"/>
        <w:spacing w:line="360" w:lineRule="auto"/>
        <w:ind w:firstLine="480" w:firstLineChars="200"/>
        <w:rPr>
          <w:rFonts w:ascii="宋体" w:hAnsi="宋体"/>
          <w:b/>
          <w:sz w:val="32"/>
          <w:szCs w:val="32"/>
        </w:rPr>
      </w:pPr>
      <w:r>
        <w:rPr>
          <w:rFonts w:ascii="宋体" w:hAnsi="宋体"/>
          <w:sz w:val="24"/>
        </w:rPr>
        <w:t>11.3招标文件的修改书和补充文件将构成招标文件的一部分，并且比招标文件对投标人具有优先的约束力。</w:t>
      </w:r>
    </w:p>
    <w:p>
      <w:pPr>
        <w:pStyle w:val="285"/>
        <w:spacing w:line="360" w:lineRule="auto"/>
        <w:jc w:val="center"/>
        <w:outlineLvl w:val="0"/>
        <w:rPr>
          <w:rFonts w:ascii="宋体" w:hAnsi="宋体"/>
          <w:b/>
          <w:color w:val="auto"/>
          <w:kern w:val="2"/>
          <w:sz w:val="32"/>
          <w:szCs w:val="32"/>
        </w:rPr>
      </w:pPr>
      <w:r>
        <w:rPr>
          <w:rFonts w:ascii="宋体" w:hAnsi="宋体"/>
          <w:b/>
          <w:color w:val="auto"/>
          <w:kern w:val="2"/>
          <w:sz w:val="32"/>
          <w:szCs w:val="32"/>
        </w:rPr>
        <w:t>第三章 投标文件的编写</w:t>
      </w:r>
      <w:bookmarkEnd w:id="12"/>
    </w:p>
    <w:p>
      <w:pPr>
        <w:spacing w:line="360" w:lineRule="auto"/>
        <w:rPr>
          <w:rFonts w:ascii="宋体" w:hAnsi="宋体"/>
          <w:b/>
          <w:sz w:val="32"/>
          <w:szCs w:val="32"/>
        </w:rPr>
      </w:pPr>
    </w:p>
    <w:bookmarkEnd w:id="13"/>
    <w:p>
      <w:pPr>
        <w:spacing w:line="360" w:lineRule="auto"/>
        <w:ind w:firstLine="482" w:firstLineChars="200"/>
        <w:rPr>
          <w:rFonts w:ascii="宋体" w:hAnsi="宋体"/>
          <w:b/>
          <w:sz w:val="24"/>
        </w:rPr>
      </w:pPr>
      <w:r>
        <w:rPr>
          <w:rFonts w:ascii="宋体" w:hAnsi="宋体"/>
          <w:b/>
          <w:sz w:val="24"/>
        </w:rPr>
        <w:t>12.要求</w:t>
      </w:r>
    </w:p>
    <w:p>
      <w:pPr>
        <w:spacing w:line="360" w:lineRule="auto"/>
        <w:ind w:firstLine="480" w:firstLineChars="200"/>
        <w:rPr>
          <w:rFonts w:ascii="宋体" w:hAnsi="宋体"/>
          <w:b/>
          <w:sz w:val="24"/>
        </w:rPr>
      </w:pPr>
      <w:r>
        <w:rPr>
          <w:rFonts w:ascii="宋体" w:hAnsi="宋体"/>
          <w:sz w:val="24"/>
        </w:rPr>
        <w:t>12.1供应商应详细阅读招标文件中的条款、格式、表示、条件和规范等所有内容，按招标文件的要求份数提供投标文件，并保证所提供的全部材料的真实性，以使其投标对招标文件做出实质性响应。否则，其投标可能被拒绝。</w:t>
      </w:r>
    </w:p>
    <w:p>
      <w:pPr>
        <w:spacing w:line="360" w:lineRule="auto"/>
        <w:ind w:firstLine="482" w:firstLineChars="200"/>
        <w:rPr>
          <w:rFonts w:ascii="宋体" w:hAnsi="宋体"/>
          <w:b/>
          <w:sz w:val="24"/>
        </w:rPr>
      </w:pPr>
      <w:r>
        <w:rPr>
          <w:rFonts w:ascii="宋体" w:hAnsi="宋体"/>
          <w:b/>
          <w:sz w:val="24"/>
        </w:rPr>
        <w:t>13.投标文件语言和度量单位</w:t>
      </w:r>
    </w:p>
    <w:p>
      <w:pPr>
        <w:spacing w:line="360" w:lineRule="auto"/>
        <w:ind w:firstLine="480" w:firstLineChars="200"/>
        <w:rPr>
          <w:rFonts w:ascii="宋体" w:hAnsi="宋体"/>
          <w:sz w:val="24"/>
        </w:rPr>
      </w:pPr>
      <w:r>
        <w:rPr>
          <w:rFonts w:ascii="宋体" w:hAnsi="宋体"/>
          <w:sz w:val="24"/>
        </w:rPr>
        <w:t>13.1投标文件及投标人和招标人就招标、投标交换的文件和往来信件，须以中文书写。供应商可提交其他语言的资料，但应附中文注释，在有差异时，以中文为主。</w:t>
      </w:r>
    </w:p>
    <w:p>
      <w:pPr>
        <w:spacing w:line="360" w:lineRule="auto"/>
        <w:ind w:firstLine="480" w:firstLineChars="200"/>
        <w:rPr>
          <w:rFonts w:ascii="宋体" w:hAnsi="宋体"/>
          <w:sz w:val="24"/>
        </w:rPr>
      </w:pPr>
      <w:r>
        <w:rPr>
          <w:rFonts w:ascii="宋体" w:hAnsi="宋体"/>
          <w:sz w:val="24"/>
        </w:rPr>
        <w:t>13.2除在招标文件的技术规格中另有规定外，计量单位应使用中华人民共和国法定计量单位（国际单位制和国家选定的其它计量单位）。</w:t>
      </w:r>
    </w:p>
    <w:p>
      <w:pPr>
        <w:spacing w:line="360" w:lineRule="auto"/>
        <w:ind w:firstLine="482" w:firstLineChars="200"/>
        <w:rPr>
          <w:rFonts w:ascii="宋体" w:hAnsi="宋体"/>
          <w:b/>
          <w:sz w:val="24"/>
        </w:rPr>
      </w:pPr>
      <w:r>
        <w:rPr>
          <w:rFonts w:ascii="宋体" w:hAnsi="宋体"/>
          <w:b/>
          <w:sz w:val="24"/>
        </w:rPr>
        <w:t>14.投标文件的组成</w:t>
      </w:r>
    </w:p>
    <w:p>
      <w:pPr>
        <w:spacing w:line="360" w:lineRule="auto"/>
        <w:ind w:firstLine="480" w:firstLineChars="200"/>
        <w:rPr>
          <w:rFonts w:ascii="宋体" w:hAnsi="宋体"/>
          <w:sz w:val="24"/>
        </w:rPr>
      </w:pPr>
      <w:r>
        <w:rPr>
          <w:rFonts w:ascii="宋体" w:hAnsi="宋体"/>
          <w:sz w:val="24"/>
        </w:rPr>
        <w:t>14.1 投标文件包括（但不仅限于）下列内容：</w:t>
      </w:r>
    </w:p>
    <w:p>
      <w:pPr>
        <w:spacing w:line="360" w:lineRule="auto"/>
        <w:ind w:firstLine="480" w:firstLineChars="200"/>
        <w:rPr>
          <w:rFonts w:ascii="宋体" w:hAnsi="宋体"/>
          <w:sz w:val="24"/>
        </w:rPr>
      </w:pPr>
      <w:r>
        <w:rPr>
          <w:rFonts w:ascii="宋体" w:hAnsi="宋体"/>
          <w:sz w:val="24"/>
        </w:rPr>
        <w:t>（1）投标函；</w:t>
      </w:r>
    </w:p>
    <w:p>
      <w:pPr>
        <w:spacing w:line="360" w:lineRule="auto"/>
        <w:ind w:firstLine="480" w:firstLineChars="200"/>
        <w:rPr>
          <w:rFonts w:ascii="宋体" w:hAnsi="宋体"/>
          <w:sz w:val="24"/>
        </w:rPr>
      </w:pPr>
      <w:r>
        <w:rPr>
          <w:rFonts w:ascii="宋体" w:hAnsi="宋体"/>
          <w:sz w:val="24"/>
        </w:rPr>
        <w:t>（2）法定代表人身份证明或法定代表人授权委托书；</w:t>
      </w:r>
    </w:p>
    <w:p>
      <w:pPr>
        <w:spacing w:line="360" w:lineRule="auto"/>
        <w:ind w:firstLine="480" w:firstLineChars="200"/>
        <w:rPr>
          <w:rFonts w:ascii="宋体" w:hAnsi="宋体"/>
          <w:sz w:val="24"/>
        </w:rPr>
      </w:pPr>
      <w:r>
        <w:rPr>
          <w:rFonts w:ascii="宋体" w:hAnsi="宋体"/>
          <w:sz w:val="24"/>
        </w:rPr>
        <w:t>（3）开标一览表；</w:t>
      </w:r>
    </w:p>
    <w:p>
      <w:pPr>
        <w:spacing w:line="360" w:lineRule="auto"/>
        <w:ind w:firstLine="480" w:firstLineChars="200"/>
        <w:rPr>
          <w:rFonts w:ascii="宋体" w:hAnsi="宋体"/>
          <w:sz w:val="24"/>
        </w:rPr>
      </w:pPr>
      <w:r>
        <w:rPr>
          <w:rFonts w:ascii="宋体" w:hAnsi="宋体"/>
          <w:sz w:val="24"/>
        </w:rPr>
        <w:t>（4）投标保证金提交证明；</w:t>
      </w:r>
    </w:p>
    <w:p>
      <w:pPr>
        <w:spacing w:line="360" w:lineRule="auto"/>
        <w:ind w:firstLine="480" w:firstLineChars="200"/>
        <w:rPr>
          <w:rFonts w:ascii="宋体" w:hAnsi="宋体"/>
          <w:sz w:val="24"/>
        </w:rPr>
      </w:pPr>
      <w:r>
        <w:rPr>
          <w:rFonts w:ascii="宋体" w:hAnsi="宋体"/>
          <w:sz w:val="24"/>
        </w:rPr>
        <w:t xml:space="preserve">（5）投标人资格证明文件，包括： </w:t>
      </w:r>
    </w:p>
    <w:p>
      <w:pPr>
        <w:spacing w:line="360" w:lineRule="auto"/>
        <w:ind w:firstLine="720" w:firstLineChars="300"/>
        <w:rPr>
          <w:rFonts w:ascii="宋体" w:hAnsi="宋体" w:cs="宋体"/>
          <w:sz w:val="24"/>
        </w:rPr>
      </w:pPr>
      <w:r>
        <w:rPr>
          <w:rFonts w:hint="eastAsia" w:ascii="宋体" w:hAnsi="宋体" w:cs="宋体"/>
          <w:sz w:val="24"/>
        </w:rPr>
        <w:t>① 关于资格的声明函；</w:t>
      </w:r>
    </w:p>
    <w:p>
      <w:pPr>
        <w:spacing w:line="360" w:lineRule="auto"/>
        <w:ind w:firstLine="720" w:firstLineChars="300"/>
        <w:rPr>
          <w:rFonts w:ascii="宋体" w:hAnsi="宋体" w:cs="宋体"/>
          <w:sz w:val="24"/>
        </w:rPr>
      </w:pPr>
      <w:r>
        <w:rPr>
          <w:rFonts w:hint="eastAsia" w:ascii="宋体" w:hAnsi="宋体" w:cs="宋体"/>
          <w:sz w:val="24"/>
        </w:rPr>
        <w:t>② 投标人基本情况表；</w:t>
      </w:r>
    </w:p>
    <w:p>
      <w:pPr>
        <w:spacing w:line="360" w:lineRule="auto"/>
        <w:ind w:firstLine="720" w:firstLineChars="300"/>
        <w:rPr>
          <w:rFonts w:ascii="宋体" w:hAnsi="宋体" w:cs="宋体"/>
          <w:sz w:val="24"/>
        </w:rPr>
      </w:pPr>
      <w:r>
        <w:rPr>
          <w:rFonts w:hint="eastAsia" w:ascii="宋体" w:hAnsi="宋体" w:cs="宋体"/>
          <w:sz w:val="24"/>
        </w:rPr>
        <w:t>③ 投标人关联企业情况表；</w:t>
      </w:r>
    </w:p>
    <w:p>
      <w:pPr>
        <w:spacing w:line="360" w:lineRule="auto"/>
        <w:ind w:firstLine="720" w:firstLineChars="300"/>
        <w:rPr>
          <w:rFonts w:ascii="宋体" w:hAnsi="宋体" w:cs="宋体"/>
          <w:sz w:val="24"/>
        </w:rPr>
      </w:pPr>
      <w:r>
        <w:rPr>
          <w:rFonts w:hint="eastAsia" w:ascii="宋体" w:hAnsi="宋体" w:cs="宋体"/>
          <w:sz w:val="24"/>
        </w:rPr>
        <w:t>④ 中小微企业证明文件等（如有）；</w:t>
      </w:r>
    </w:p>
    <w:p>
      <w:pPr>
        <w:spacing w:line="360" w:lineRule="auto"/>
        <w:ind w:firstLine="720" w:firstLineChars="300"/>
        <w:rPr>
          <w:rFonts w:ascii="宋体" w:hAnsi="宋体" w:cs="宋体"/>
          <w:sz w:val="24"/>
        </w:rPr>
      </w:pPr>
      <w:r>
        <w:rPr>
          <w:rFonts w:hint="eastAsia" w:ascii="宋体" w:hAnsi="宋体" w:cs="宋体"/>
          <w:sz w:val="24"/>
        </w:rPr>
        <w:t>⑤信用查询记录；</w:t>
      </w:r>
    </w:p>
    <w:p>
      <w:pPr>
        <w:spacing w:line="360" w:lineRule="auto"/>
        <w:ind w:firstLine="720" w:firstLineChars="300"/>
        <w:rPr>
          <w:rFonts w:ascii="宋体" w:hAnsi="宋体" w:cs="宋体"/>
          <w:sz w:val="24"/>
        </w:rPr>
      </w:pPr>
      <w:r>
        <w:rPr>
          <w:rFonts w:hint="eastAsia" w:ascii="宋体" w:hAnsi="宋体" w:cs="宋体"/>
          <w:sz w:val="24"/>
        </w:rPr>
        <w:t>⑥ 正品产品的证明（根据需要提供）；</w:t>
      </w:r>
    </w:p>
    <w:p>
      <w:pPr>
        <w:spacing w:line="360" w:lineRule="auto"/>
        <w:ind w:firstLine="720" w:firstLineChars="300"/>
        <w:rPr>
          <w:rFonts w:ascii="宋体" w:hAnsi="宋体" w:cs="宋体"/>
          <w:sz w:val="24"/>
        </w:rPr>
      </w:pPr>
      <w:r>
        <w:rPr>
          <w:rFonts w:hint="eastAsia" w:ascii="宋体" w:hAnsi="宋体" w:cs="宋体"/>
          <w:sz w:val="24"/>
        </w:rPr>
        <w:t>⑦ 对所投产品制造厂商的简介；</w:t>
      </w:r>
    </w:p>
    <w:p>
      <w:pPr>
        <w:spacing w:line="360" w:lineRule="auto"/>
        <w:ind w:firstLine="720" w:firstLineChars="300"/>
        <w:rPr>
          <w:rFonts w:ascii="宋体" w:hAnsi="宋体"/>
          <w:sz w:val="24"/>
        </w:rPr>
      </w:pPr>
      <w:r>
        <w:rPr>
          <w:rFonts w:hint="eastAsia" w:ascii="宋体" w:hAnsi="宋体" w:cs="宋体"/>
          <w:sz w:val="24"/>
        </w:rPr>
        <w:t>⑧ 近三年内已完成的类似项目业绩；</w:t>
      </w:r>
    </w:p>
    <w:p>
      <w:pPr>
        <w:spacing w:line="360" w:lineRule="auto"/>
        <w:ind w:firstLine="480" w:firstLineChars="200"/>
        <w:rPr>
          <w:rFonts w:ascii="宋体" w:hAnsi="宋体"/>
          <w:bCs/>
          <w:sz w:val="24"/>
        </w:rPr>
      </w:pPr>
      <w:r>
        <w:rPr>
          <w:rFonts w:ascii="宋体" w:hAnsi="宋体"/>
          <w:bCs/>
          <w:sz w:val="24"/>
        </w:rPr>
        <w:t>(6) 项目实施方案；</w:t>
      </w:r>
    </w:p>
    <w:p>
      <w:pPr>
        <w:spacing w:line="360" w:lineRule="auto"/>
        <w:ind w:firstLine="480" w:firstLineChars="200"/>
        <w:rPr>
          <w:rFonts w:ascii="宋体" w:hAnsi="宋体"/>
          <w:bCs/>
          <w:sz w:val="24"/>
        </w:rPr>
      </w:pPr>
      <w:r>
        <w:rPr>
          <w:rFonts w:ascii="宋体" w:hAnsi="宋体"/>
          <w:sz w:val="24"/>
        </w:rPr>
        <w:t xml:space="preserve">(7) </w:t>
      </w:r>
      <w:r>
        <w:rPr>
          <w:rFonts w:ascii="宋体" w:hAnsi="宋体"/>
          <w:bCs/>
          <w:sz w:val="24"/>
        </w:rPr>
        <w:t>有关投标产品结构、技术性能详述；</w:t>
      </w:r>
    </w:p>
    <w:p>
      <w:pPr>
        <w:spacing w:line="360" w:lineRule="auto"/>
        <w:ind w:firstLine="480" w:firstLineChars="200"/>
        <w:rPr>
          <w:rFonts w:ascii="宋体" w:hAnsi="宋体"/>
          <w:sz w:val="24"/>
        </w:rPr>
      </w:pPr>
      <w:r>
        <w:rPr>
          <w:rFonts w:ascii="宋体" w:hAnsi="宋体"/>
          <w:sz w:val="24"/>
        </w:rPr>
        <w:t xml:space="preserve">(8) </w:t>
      </w:r>
      <w:r>
        <w:rPr>
          <w:rFonts w:ascii="宋体" w:hAnsi="宋体"/>
          <w:bCs/>
          <w:sz w:val="24"/>
        </w:rPr>
        <w:t>有关投标产品的检测证书或检测报告或产品鉴定证书等；</w:t>
      </w:r>
    </w:p>
    <w:p>
      <w:pPr>
        <w:spacing w:line="360" w:lineRule="auto"/>
        <w:ind w:firstLine="480" w:firstLineChars="200"/>
        <w:rPr>
          <w:rFonts w:ascii="宋体" w:hAnsi="宋体"/>
          <w:sz w:val="24"/>
        </w:rPr>
      </w:pPr>
      <w:r>
        <w:rPr>
          <w:rFonts w:ascii="宋体" w:hAnsi="宋体"/>
          <w:sz w:val="24"/>
        </w:rPr>
        <w:t>(9) 技术参数、功能偏离表；</w:t>
      </w:r>
    </w:p>
    <w:p>
      <w:pPr>
        <w:spacing w:line="360" w:lineRule="auto"/>
        <w:ind w:firstLine="480" w:firstLineChars="200"/>
        <w:rPr>
          <w:rFonts w:ascii="宋体" w:hAnsi="宋体"/>
          <w:sz w:val="24"/>
        </w:rPr>
      </w:pPr>
      <w:r>
        <w:rPr>
          <w:rFonts w:ascii="宋体" w:hAnsi="宋体"/>
          <w:sz w:val="24"/>
        </w:rPr>
        <w:t>(10) 商务条款偏离表；</w:t>
      </w:r>
    </w:p>
    <w:p>
      <w:pPr>
        <w:spacing w:line="360" w:lineRule="auto"/>
        <w:ind w:firstLine="480" w:firstLineChars="200"/>
        <w:rPr>
          <w:rFonts w:ascii="宋体" w:hAnsi="宋体"/>
          <w:sz w:val="24"/>
        </w:rPr>
      </w:pPr>
      <w:r>
        <w:rPr>
          <w:rFonts w:ascii="宋体" w:hAnsi="宋体"/>
          <w:sz w:val="24"/>
        </w:rPr>
        <w:t>(11) 售后服务及质保期承诺书（含优惠条件）及维修、培训等计划（详述）；</w:t>
      </w:r>
    </w:p>
    <w:p>
      <w:pPr>
        <w:spacing w:line="360" w:lineRule="auto"/>
        <w:ind w:firstLine="480" w:firstLineChars="200"/>
        <w:rPr>
          <w:rFonts w:ascii="宋体" w:hAnsi="宋体"/>
          <w:sz w:val="24"/>
        </w:rPr>
      </w:pPr>
      <w:r>
        <w:rPr>
          <w:rFonts w:ascii="宋体" w:hAnsi="宋体"/>
          <w:sz w:val="24"/>
        </w:rPr>
        <w:t>(12) 质量保证书；</w:t>
      </w:r>
    </w:p>
    <w:p>
      <w:pPr>
        <w:spacing w:line="360" w:lineRule="auto"/>
        <w:ind w:firstLine="480" w:firstLineChars="200"/>
        <w:rPr>
          <w:rFonts w:ascii="宋体" w:hAnsi="宋体"/>
          <w:sz w:val="24"/>
        </w:rPr>
      </w:pPr>
      <w:r>
        <w:rPr>
          <w:rFonts w:hint="eastAsia" w:ascii="宋体" w:hAnsi="宋体"/>
          <w:sz w:val="24"/>
        </w:rPr>
        <w:t>(13) 投标单位反商业贿赂承诺书；</w:t>
      </w:r>
    </w:p>
    <w:p>
      <w:pPr>
        <w:spacing w:line="360" w:lineRule="auto"/>
        <w:ind w:firstLine="480" w:firstLineChars="200"/>
        <w:rPr>
          <w:rFonts w:ascii="宋体" w:hAnsi="宋体"/>
          <w:bCs/>
          <w:sz w:val="24"/>
        </w:rPr>
      </w:pPr>
      <w:r>
        <w:rPr>
          <w:rFonts w:ascii="宋体" w:hAnsi="宋体"/>
          <w:bCs/>
          <w:sz w:val="24"/>
        </w:rPr>
        <w:t>投标文件包括但不仅限于上述内容，如有不足，请自行补充提供。</w:t>
      </w:r>
    </w:p>
    <w:p>
      <w:pPr>
        <w:spacing w:line="360" w:lineRule="auto"/>
        <w:ind w:firstLine="480" w:firstLineChars="200"/>
        <w:rPr>
          <w:rFonts w:ascii="宋体" w:hAnsi="宋体"/>
          <w:bCs/>
          <w:sz w:val="24"/>
        </w:rPr>
      </w:pPr>
      <w:r>
        <w:rPr>
          <w:rFonts w:ascii="宋体" w:hAnsi="宋体"/>
          <w:bCs/>
          <w:sz w:val="24"/>
        </w:rPr>
        <w:t>14.2所有资格证明文件，正本中的资格证明文件（如业绩、资质证书等）均须为加盖投标人公章的复印件或扫描件，以备开标时与原件核对（有特别说明的除外），副本为正本的复印件；开标结束后，可根据投标人的需要退回原件（针对本招标项目的特定授权原件不予退还）。</w:t>
      </w:r>
    </w:p>
    <w:p>
      <w:pPr>
        <w:spacing w:line="360" w:lineRule="auto"/>
        <w:ind w:firstLine="480" w:firstLineChars="200"/>
        <w:rPr>
          <w:rFonts w:ascii="宋体" w:hAnsi="宋体"/>
          <w:b/>
          <w:sz w:val="24"/>
        </w:rPr>
      </w:pPr>
      <w:r>
        <w:rPr>
          <w:rFonts w:ascii="宋体" w:hAnsi="宋体"/>
          <w:sz w:val="24"/>
        </w:rPr>
        <w:t>14.3</w:t>
      </w:r>
      <w:r>
        <w:rPr>
          <w:rFonts w:ascii="宋体" w:hAnsi="宋体"/>
          <w:bCs/>
          <w:sz w:val="24"/>
        </w:rPr>
        <w:t>所有资格证明文件必须满足招标文件的要求，否则将导致投标被否决。</w:t>
      </w:r>
    </w:p>
    <w:p>
      <w:pPr>
        <w:spacing w:line="360" w:lineRule="auto"/>
        <w:ind w:firstLine="480" w:firstLineChars="200"/>
        <w:rPr>
          <w:rFonts w:ascii="宋体" w:hAnsi="宋体"/>
          <w:bCs/>
          <w:sz w:val="24"/>
        </w:rPr>
      </w:pPr>
      <w:r>
        <w:rPr>
          <w:rFonts w:ascii="宋体" w:hAnsi="宋体"/>
          <w:sz w:val="24"/>
        </w:rPr>
        <w:t>14.4投标人可按招标文件的范本格式中提供的投标文件格式填写投标文件；如提供的范本格式有不完善之处，请自行补充完善</w:t>
      </w:r>
      <w:r>
        <w:rPr>
          <w:rFonts w:ascii="宋体" w:hAnsi="宋体"/>
          <w:bCs/>
          <w:sz w:val="24"/>
        </w:rPr>
        <w:t>。</w:t>
      </w:r>
    </w:p>
    <w:p>
      <w:pPr>
        <w:spacing w:line="360" w:lineRule="auto"/>
        <w:ind w:firstLine="482" w:firstLineChars="200"/>
        <w:rPr>
          <w:rFonts w:ascii="宋体" w:hAnsi="宋体"/>
          <w:b/>
          <w:sz w:val="24"/>
        </w:rPr>
      </w:pPr>
      <w:r>
        <w:rPr>
          <w:rFonts w:ascii="宋体" w:hAnsi="宋体"/>
          <w:b/>
          <w:sz w:val="24"/>
        </w:rPr>
        <w:t>15. 符合招标文件规定的证明文件</w:t>
      </w:r>
    </w:p>
    <w:p>
      <w:pPr>
        <w:spacing w:line="360" w:lineRule="auto"/>
        <w:ind w:firstLine="480" w:firstLineChars="200"/>
        <w:rPr>
          <w:rFonts w:ascii="宋体" w:hAnsi="宋体"/>
          <w:sz w:val="24"/>
        </w:rPr>
      </w:pPr>
      <w:r>
        <w:rPr>
          <w:rFonts w:ascii="宋体" w:hAnsi="宋体"/>
          <w:sz w:val="24"/>
        </w:rPr>
        <w:t>15.1 供应商提供的资格证明材料，须满足投标人须知前附表的要求。</w:t>
      </w:r>
    </w:p>
    <w:p>
      <w:pPr>
        <w:spacing w:line="360" w:lineRule="auto"/>
        <w:ind w:firstLine="480" w:firstLineChars="200"/>
        <w:rPr>
          <w:rFonts w:ascii="宋体" w:hAnsi="宋体"/>
          <w:sz w:val="24"/>
        </w:rPr>
      </w:pPr>
      <w:r>
        <w:rPr>
          <w:rFonts w:ascii="宋体" w:hAnsi="宋体"/>
          <w:sz w:val="24"/>
        </w:rPr>
        <w:t>15.2 供应商为联合体形式的，则应提交联合体各方的资格文件，否则将视为未实质性响应条款而被拒绝。</w:t>
      </w:r>
    </w:p>
    <w:p>
      <w:pPr>
        <w:spacing w:line="360" w:lineRule="auto"/>
        <w:ind w:firstLine="480" w:firstLineChars="200"/>
        <w:rPr>
          <w:rFonts w:ascii="宋体" w:hAnsi="宋体"/>
          <w:sz w:val="24"/>
        </w:rPr>
      </w:pPr>
      <w:r>
        <w:rPr>
          <w:rFonts w:ascii="宋体" w:hAnsi="宋体"/>
          <w:sz w:val="24"/>
        </w:rPr>
        <w:t>15.3投标人确保所提供货物（或服务），其质量满足中华人民共和国国家相关标准，使用的原辅材料要符合质量要求，拟投入的设备完好率足以胜任本项目的工作。</w:t>
      </w:r>
    </w:p>
    <w:p>
      <w:pPr>
        <w:spacing w:line="360" w:lineRule="auto"/>
        <w:ind w:firstLine="480" w:firstLineChars="200"/>
        <w:rPr>
          <w:rFonts w:ascii="宋体" w:hAnsi="宋体"/>
          <w:sz w:val="24"/>
        </w:rPr>
      </w:pPr>
      <w:r>
        <w:rPr>
          <w:rFonts w:ascii="宋体" w:hAnsi="宋体"/>
          <w:sz w:val="24"/>
        </w:rPr>
        <w:t>15.4 投标人须提交证明拟供货物（或服务）符合招标文件规定的技术响应文件，作为投标文件的一部分。</w:t>
      </w:r>
    </w:p>
    <w:p>
      <w:pPr>
        <w:spacing w:line="360" w:lineRule="auto"/>
        <w:ind w:firstLine="480" w:firstLineChars="200"/>
        <w:rPr>
          <w:rFonts w:ascii="宋体" w:hAnsi="宋体"/>
          <w:sz w:val="24"/>
        </w:rPr>
      </w:pPr>
      <w:r>
        <w:rPr>
          <w:rFonts w:ascii="宋体" w:hAnsi="宋体"/>
          <w:sz w:val="24"/>
        </w:rPr>
        <w:t>15.5 提供的货物（或服务）符合规定的相应技术标准、环保及节能标准等。</w:t>
      </w:r>
    </w:p>
    <w:p>
      <w:pPr>
        <w:spacing w:line="360" w:lineRule="auto"/>
        <w:ind w:firstLine="480" w:firstLineChars="200"/>
        <w:rPr>
          <w:rFonts w:ascii="宋体" w:hAnsi="宋体"/>
          <w:sz w:val="24"/>
        </w:rPr>
      </w:pPr>
      <w:r>
        <w:rPr>
          <w:rFonts w:ascii="宋体" w:hAnsi="宋体"/>
          <w:sz w:val="24"/>
        </w:rPr>
        <w:t>15.6 对照招标人的采购内容及技术要求，逐条确定，指出所提供的货物（或服务）是否实质性响应招标文件的要求，如有偏离，须填报偏离表（见附件）。</w:t>
      </w:r>
    </w:p>
    <w:p>
      <w:pPr>
        <w:spacing w:line="360" w:lineRule="auto"/>
        <w:ind w:firstLine="480" w:firstLineChars="200"/>
        <w:rPr>
          <w:rFonts w:ascii="宋体" w:hAnsi="宋体"/>
          <w:sz w:val="24"/>
        </w:rPr>
      </w:pPr>
      <w:r>
        <w:rPr>
          <w:rFonts w:ascii="宋体" w:hAnsi="宋体"/>
          <w:sz w:val="24"/>
        </w:rPr>
        <w:t>15.7 投标人应当提交符合招标文件规定的业绩证明文件，该证明文件作为投标文件的一部分，业绩证明文件的要求详见投标人须知前附表</w:t>
      </w:r>
    </w:p>
    <w:p>
      <w:pPr>
        <w:spacing w:line="360" w:lineRule="auto"/>
        <w:ind w:firstLine="480" w:firstLineChars="200"/>
        <w:rPr>
          <w:rFonts w:ascii="宋体" w:hAnsi="宋体"/>
          <w:sz w:val="24"/>
        </w:rPr>
      </w:pPr>
      <w:r>
        <w:rPr>
          <w:rFonts w:ascii="宋体" w:hAnsi="宋体"/>
          <w:sz w:val="24"/>
        </w:rPr>
        <w:t>没有按要求提供资料或提供资料不完全，其风险由投标人自行承担。</w:t>
      </w:r>
    </w:p>
    <w:p>
      <w:pPr>
        <w:spacing w:line="360" w:lineRule="auto"/>
        <w:ind w:firstLine="482" w:firstLineChars="200"/>
        <w:rPr>
          <w:rFonts w:ascii="宋体" w:hAnsi="宋体"/>
          <w:b/>
          <w:sz w:val="24"/>
        </w:rPr>
      </w:pPr>
      <w:r>
        <w:rPr>
          <w:rFonts w:ascii="宋体" w:hAnsi="宋体"/>
          <w:b/>
          <w:sz w:val="24"/>
        </w:rPr>
        <w:t>16. 投标报价</w:t>
      </w:r>
    </w:p>
    <w:p>
      <w:pPr>
        <w:spacing w:line="360" w:lineRule="auto"/>
        <w:ind w:firstLine="480" w:firstLineChars="200"/>
        <w:rPr>
          <w:rFonts w:ascii="宋体" w:hAnsi="宋体"/>
          <w:sz w:val="24"/>
        </w:rPr>
      </w:pPr>
      <w:r>
        <w:rPr>
          <w:rFonts w:ascii="宋体" w:hAnsi="宋体"/>
          <w:sz w:val="24"/>
        </w:rPr>
        <w:t>16.1投标人应在投标报价表中标明其提供的所有货物及其完成本项目相关工作范围内所有费用的总价，招标人不接受有任何选择性报价。供应商漏报的单价或单价中漏报、少报的费用，均视为此项费用已隐含在其他报价中，中标后不予调整。</w:t>
      </w:r>
    </w:p>
    <w:p>
      <w:pPr>
        <w:spacing w:line="360" w:lineRule="auto"/>
        <w:ind w:firstLine="480" w:firstLineChars="200"/>
        <w:rPr>
          <w:rFonts w:ascii="宋体" w:hAnsi="宋体"/>
          <w:sz w:val="24"/>
        </w:rPr>
      </w:pPr>
      <w:r>
        <w:rPr>
          <w:rFonts w:ascii="宋体" w:hAnsi="宋体"/>
          <w:sz w:val="24"/>
        </w:rPr>
        <w:t>16.2其报价须保证在投标有效期及服务期内固定不变。招标人不接受有任何选择性报价。</w:t>
      </w:r>
    </w:p>
    <w:p>
      <w:pPr>
        <w:spacing w:line="360" w:lineRule="auto"/>
        <w:ind w:firstLine="480" w:firstLineChars="200"/>
        <w:rPr>
          <w:rFonts w:ascii="宋体" w:hAnsi="宋体"/>
          <w:sz w:val="24"/>
        </w:rPr>
      </w:pPr>
      <w:r>
        <w:rPr>
          <w:rFonts w:ascii="宋体" w:hAnsi="宋体"/>
          <w:sz w:val="24"/>
        </w:rPr>
        <w:t>16.3为了防止本次招标的投标报价过高，超出招标人为本次采购项目的资金支付能力，招标人依据主管部门的批复为本次招标项目的设定了</w:t>
      </w:r>
      <w:bookmarkStart w:id="14" w:name="OLE_LINK11"/>
      <w:r>
        <w:rPr>
          <w:rFonts w:ascii="宋体" w:hAnsi="宋体"/>
          <w:sz w:val="24"/>
        </w:rPr>
        <w:t>最高投标限价</w:t>
      </w:r>
      <w:bookmarkEnd w:id="14"/>
      <w:r>
        <w:rPr>
          <w:rFonts w:ascii="宋体" w:hAnsi="宋体"/>
          <w:sz w:val="24"/>
        </w:rPr>
        <w:t xml:space="preserve">（即采购预算），如果投标人的投标报价高于本项目的最高投标限价，其投标文件将被拒绝；如果所有投标人的投标报价均超出最高投标限价，招标人有权重新组织招标。 </w:t>
      </w:r>
    </w:p>
    <w:p>
      <w:pPr>
        <w:spacing w:line="360" w:lineRule="auto"/>
        <w:rPr>
          <w:rFonts w:ascii="宋体" w:hAnsi="宋体"/>
          <w:sz w:val="24"/>
        </w:rPr>
      </w:pPr>
      <w:r>
        <w:rPr>
          <w:rFonts w:ascii="宋体" w:hAnsi="宋体"/>
          <w:sz w:val="24"/>
        </w:rPr>
        <w:t xml:space="preserve">    16.4 投标报价货币单位：人民币。</w:t>
      </w:r>
    </w:p>
    <w:p>
      <w:pPr>
        <w:spacing w:line="360" w:lineRule="auto"/>
        <w:ind w:firstLine="482" w:firstLineChars="200"/>
        <w:rPr>
          <w:rFonts w:ascii="宋体" w:hAnsi="宋体"/>
          <w:b/>
          <w:sz w:val="24"/>
        </w:rPr>
      </w:pPr>
      <w:r>
        <w:rPr>
          <w:rFonts w:ascii="宋体" w:hAnsi="宋体"/>
          <w:b/>
          <w:sz w:val="24"/>
        </w:rPr>
        <w:t>17. 投标有效期</w:t>
      </w:r>
    </w:p>
    <w:p>
      <w:pPr>
        <w:spacing w:line="360" w:lineRule="auto"/>
        <w:ind w:firstLine="480" w:firstLineChars="200"/>
        <w:rPr>
          <w:rFonts w:ascii="宋体" w:hAnsi="宋体"/>
          <w:sz w:val="24"/>
        </w:rPr>
      </w:pPr>
      <w:r>
        <w:rPr>
          <w:rFonts w:ascii="宋体" w:hAnsi="宋体"/>
          <w:sz w:val="24"/>
        </w:rPr>
        <w:t>17.1投标有效期详见投标人须知前附表，如不满足其投标将被否决。</w:t>
      </w:r>
    </w:p>
    <w:p>
      <w:pPr>
        <w:spacing w:line="360" w:lineRule="auto"/>
        <w:ind w:firstLine="480" w:firstLineChars="200"/>
        <w:rPr>
          <w:rFonts w:ascii="宋体" w:hAnsi="宋体"/>
          <w:sz w:val="24"/>
        </w:rPr>
      </w:pPr>
      <w:r>
        <w:rPr>
          <w:rFonts w:ascii="宋体" w:hAnsi="宋体"/>
          <w:sz w:val="24"/>
        </w:rPr>
        <w:t>17.2特殊情况下，招标人可于投标有效期期满之前，要求投标人同意延长投标有效期。投标人可以拒绝或同意上述要求，但要求与答复均须是书面文件。对于同意该要求的投标人，招标人既不要求也不允许其修改投标文件。</w:t>
      </w:r>
    </w:p>
    <w:p>
      <w:pPr>
        <w:spacing w:line="360" w:lineRule="auto"/>
        <w:ind w:firstLine="482" w:firstLineChars="200"/>
        <w:rPr>
          <w:rFonts w:ascii="宋体" w:hAnsi="宋体"/>
          <w:b/>
          <w:sz w:val="24"/>
        </w:rPr>
      </w:pPr>
      <w:r>
        <w:rPr>
          <w:rFonts w:ascii="宋体" w:hAnsi="宋体"/>
          <w:b/>
          <w:sz w:val="24"/>
        </w:rPr>
        <w:t>18．投标保证金</w:t>
      </w:r>
    </w:p>
    <w:p>
      <w:pPr>
        <w:spacing w:line="360" w:lineRule="auto"/>
        <w:ind w:firstLine="480" w:firstLineChars="200"/>
        <w:rPr>
          <w:rFonts w:ascii="宋体" w:hAnsi="宋体"/>
          <w:sz w:val="24"/>
        </w:rPr>
      </w:pPr>
      <w:r>
        <w:rPr>
          <w:rFonts w:ascii="宋体" w:hAnsi="宋体"/>
          <w:sz w:val="24"/>
        </w:rPr>
        <w:t>18.1 投标保证金的缴纳详见投标人须知前附表。未按规定提交投标保证金的投标，将被视为投标无效。</w:t>
      </w:r>
    </w:p>
    <w:p>
      <w:pPr>
        <w:spacing w:line="360" w:lineRule="auto"/>
        <w:ind w:firstLine="480" w:firstLineChars="200"/>
        <w:rPr>
          <w:rFonts w:ascii="宋体" w:hAnsi="宋体"/>
          <w:sz w:val="24"/>
        </w:rPr>
      </w:pPr>
      <w:r>
        <w:rPr>
          <w:rFonts w:ascii="宋体" w:hAnsi="宋体"/>
          <w:sz w:val="24"/>
        </w:rPr>
        <w:t>18.2 投标保证金的退还详见投标人须知前附表。</w:t>
      </w:r>
    </w:p>
    <w:p>
      <w:pPr>
        <w:spacing w:line="360" w:lineRule="auto"/>
        <w:ind w:firstLine="482" w:firstLineChars="200"/>
        <w:rPr>
          <w:rFonts w:ascii="宋体" w:hAnsi="宋体"/>
          <w:b/>
          <w:sz w:val="24"/>
        </w:rPr>
      </w:pPr>
      <w:r>
        <w:rPr>
          <w:rFonts w:hint="eastAsia" w:ascii="宋体" w:hAnsi="宋体"/>
          <w:b/>
          <w:sz w:val="24"/>
        </w:rPr>
        <w:t>特别提示：退还投标保证金的投标人办理退款业务时需提供以下资料</w:t>
      </w:r>
      <w:r>
        <w:rPr>
          <w:rFonts w:ascii="宋体" w:hAnsi="宋体"/>
          <w:b/>
          <w:sz w:val="24"/>
        </w:rPr>
        <w:t>:</w:t>
      </w:r>
    </w:p>
    <w:p>
      <w:pPr>
        <w:spacing w:line="360" w:lineRule="auto"/>
        <w:ind w:firstLine="482" w:firstLineChars="200"/>
        <w:rPr>
          <w:rFonts w:ascii="宋体" w:hAnsi="宋体"/>
          <w:b/>
          <w:sz w:val="24"/>
        </w:rPr>
      </w:pPr>
      <w:r>
        <w:rPr>
          <w:rFonts w:hint="eastAsia" w:ascii="宋体" w:hAnsi="宋体"/>
          <w:b/>
          <w:sz w:val="24"/>
        </w:rPr>
        <w:t>①采购代理机构财务部门开具的投标保证金《财务收据》原件（以便核查）。</w:t>
      </w:r>
    </w:p>
    <w:p>
      <w:pPr>
        <w:spacing w:line="360" w:lineRule="auto"/>
        <w:ind w:firstLine="482" w:firstLineChars="200"/>
        <w:rPr>
          <w:rFonts w:ascii="宋体" w:hAnsi="宋体"/>
          <w:b/>
          <w:sz w:val="24"/>
        </w:rPr>
      </w:pPr>
      <w:r>
        <w:rPr>
          <w:rFonts w:hint="eastAsia" w:ascii="宋体" w:hAnsi="宋体"/>
          <w:b/>
          <w:sz w:val="24"/>
        </w:rPr>
        <w:t>②投标单位给代理机构开具的收款收据（收款单位开具并加盖收款单位财务章）。同时必须提供清晰的开户银行名称、账号及收款单位名称（加盖单位章）。</w:t>
      </w:r>
    </w:p>
    <w:p>
      <w:pPr>
        <w:spacing w:line="360" w:lineRule="auto"/>
        <w:ind w:firstLine="482" w:firstLineChars="200"/>
        <w:rPr>
          <w:rFonts w:ascii="宋体" w:hAnsi="宋体"/>
          <w:b/>
          <w:sz w:val="24"/>
        </w:rPr>
      </w:pPr>
      <w:r>
        <w:rPr>
          <w:rFonts w:hint="eastAsia" w:ascii="宋体" w:hAnsi="宋体"/>
          <w:b/>
          <w:sz w:val="24"/>
        </w:rPr>
        <w:t>③退还中标方投标保证金时，中标方须提供与招标人签订的合同原件一份（原件核查无误后退还）及已加盖中标方公章的合同全本复印件一份（由代理机构存档备查）。</w:t>
      </w:r>
    </w:p>
    <w:p>
      <w:pPr>
        <w:spacing w:line="360" w:lineRule="auto"/>
        <w:ind w:firstLine="480" w:firstLineChars="200"/>
        <w:rPr>
          <w:rFonts w:ascii="宋体" w:hAnsi="宋体"/>
          <w:sz w:val="24"/>
        </w:rPr>
      </w:pPr>
      <w:r>
        <w:rPr>
          <w:rFonts w:ascii="宋体" w:hAnsi="宋体"/>
          <w:sz w:val="24"/>
        </w:rPr>
        <w:t>18.3 不予退还保证金的情形，详见投标人须知前附表。</w:t>
      </w:r>
    </w:p>
    <w:p>
      <w:pPr>
        <w:spacing w:line="360" w:lineRule="auto"/>
        <w:ind w:firstLine="482" w:firstLineChars="200"/>
        <w:rPr>
          <w:rFonts w:ascii="宋体" w:hAnsi="宋体"/>
          <w:b/>
          <w:sz w:val="24"/>
        </w:rPr>
      </w:pPr>
      <w:r>
        <w:rPr>
          <w:rFonts w:ascii="宋体" w:hAnsi="宋体"/>
          <w:b/>
          <w:sz w:val="24"/>
        </w:rPr>
        <w:t>19. 投标文件的签署及规定</w:t>
      </w:r>
    </w:p>
    <w:p>
      <w:pPr>
        <w:spacing w:line="360" w:lineRule="auto"/>
        <w:ind w:firstLine="480" w:firstLineChars="200"/>
        <w:rPr>
          <w:rFonts w:ascii="宋体" w:hAnsi="宋体"/>
          <w:sz w:val="24"/>
        </w:rPr>
      </w:pPr>
      <w:r>
        <w:rPr>
          <w:rFonts w:ascii="宋体" w:hAnsi="宋体"/>
          <w:sz w:val="24"/>
        </w:rPr>
        <w:t>19.1投标文件正本须打印或用不褪色的墨水书写，副本可为正本的复印件。</w:t>
      </w:r>
    </w:p>
    <w:p>
      <w:pPr>
        <w:spacing w:line="360" w:lineRule="auto"/>
        <w:ind w:firstLine="480" w:firstLineChars="200"/>
        <w:rPr>
          <w:rFonts w:ascii="宋体" w:hAnsi="宋体"/>
          <w:sz w:val="24"/>
        </w:rPr>
      </w:pPr>
      <w:r>
        <w:rPr>
          <w:rFonts w:ascii="宋体" w:hAnsi="宋体"/>
          <w:sz w:val="24"/>
        </w:rPr>
        <w:t>19.2 投标文件应清楚工整，修改处应由投标单位法定代表人或授权代理人签章。</w:t>
      </w:r>
    </w:p>
    <w:p>
      <w:pPr>
        <w:spacing w:line="360" w:lineRule="auto"/>
        <w:ind w:firstLine="480" w:firstLineChars="200"/>
        <w:rPr>
          <w:rFonts w:ascii="宋体" w:hAnsi="宋体"/>
          <w:sz w:val="24"/>
        </w:rPr>
      </w:pPr>
      <w:r>
        <w:rPr>
          <w:rFonts w:ascii="宋体" w:hAnsi="宋体"/>
          <w:sz w:val="24"/>
        </w:rPr>
        <w:t>19.3投标人的法定代表人或授权代理人在凡规定签章处逐一签署并加盖单位公章。</w:t>
      </w:r>
    </w:p>
    <w:p>
      <w:pPr>
        <w:spacing w:line="360" w:lineRule="auto"/>
        <w:ind w:firstLine="480" w:firstLineChars="200"/>
        <w:rPr>
          <w:rFonts w:ascii="宋体" w:hAnsi="宋体"/>
          <w:sz w:val="24"/>
        </w:rPr>
      </w:pPr>
      <w:r>
        <w:rPr>
          <w:rFonts w:ascii="宋体" w:hAnsi="宋体"/>
          <w:sz w:val="24"/>
        </w:rPr>
        <w:t>19.4投标文件的份数详见投标人须知前附表。正本和副本应分别胶装成册，并在封面上标记“正本”和“副本”的字样，不得采用活页装订；投标文件应编制目录，并且逐页连续标注页码。</w:t>
      </w:r>
    </w:p>
    <w:p>
      <w:pPr>
        <w:spacing w:line="360" w:lineRule="auto"/>
        <w:ind w:firstLine="480" w:firstLineChars="200"/>
        <w:rPr>
          <w:rFonts w:ascii="宋体" w:hAnsi="宋体"/>
          <w:sz w:val="24"/>
        </w:rPr>
      </w:pPr>
      <w:r>
        <w:rPr>
          <w:rFonts w:ascii="宋体" w:hAnsi="宋体"/>
          <w:sz w:val="24"/>
        </w:rPr>
        <w:t>19.5 当正本和副本之间出现差异时，以正本为准。</w:t>
      </w:r>
    </w:p>
    <w:p>
      <w:pPr>
        <w:spacing w:line="360" w:lineRule="auto"/>
        <w:ind w:firstLine="480" w:firstLineChars="200"/>
        <w:rPr>
          <w:rFonts w:ascii="宋体" w:hAnsi="宋体"/>
          <w:sz w:val="24"/>
        </w:rPr>
      </w:pPr>
      <w:r>
        <w:rPr>
          <w:rFonts w:ascii="宋体" w:hAnsi="宋体"/>
          <w:sz w:val="24"/>
        </w:rPr>
        <w:t>19.6 电报、电话、传真形式的投标概不接受。</w:t>
      </w:r>
    </w:p>
    <w:p>
      <w:pPr>
        <w:spacing w:line="360" w:lineRule="auto"/>
        <w:ind w:firstLine="480" w:firstLineChars="200"/>
        <w:rPr>
          <w:rFonts w:ascii="宋体" w:hAnsi="宋体"/>
          <w:sz w:val="24"/>
        </w:rPr>
      </w:pPr>
      <w:r>
        <w:rPr>
          <w:rFonts w:ascii="宋体" w:hAnsi="宋体"/>
          <w:sz w:val="24"/>
        </w:rPr>
        <w:t>19.7 所有已进入评审程序的投标文件，招标人及招标代理机构有权不予退还投标单位递交的投标文件。</w:t>
      </w:r>
    </w:p>
    <w:p>
      <w:pPr>
        <w:pStyle w:val="285"/>
        <w:spacing w:line="360" w:lineRule="auto"/>
        <w:jc w:val="both"/>
        <w:rPr>
          <w:rFonts w:ascii="宋体" w:hAnsi="宋体"/>
          <w:b/>
          <w:color w:val="auto"/>
          <w:kern w:val="2"/>
          <w:sz w:val="32"/>
          <w:szCs w:val="32"/>
        </w:rPr>
      </w:pPr>
      <w:bookmarkStart w:id="15" w:name="_Toc268426411"/>
      <w:bookmarkStart w:id="16" w:name="第三部分第三章"/>
    </w:p>
    <w:p>
      <w:pPr>
        <w:pStyle w:val="285"/>
        <w:spacing w:line="360" w:lineRule="auto"/>
        <w:jc w:val="center"/>
        <w:rPr>
          <w:rFonts w:ascii="宋体" w:hAnsi="宋体"/>
          <w:b/>
          <w:color w:val="auto"/>
          <w:kern w:val="2"/>
          <w:sz w:val="32"/>
          <w:szCs w:val="32"/>
        </w:rPr>
      </w:pPr>
    </w:p>
    <w:p>
      <w:pPr>
        <w:pStyle w:val="285"/>
        <w:spacing w:line="360" w:lineRule="auto"/>
        <w:jc w:val="center"/>
        <w:outlineLvl w:val="0"/>
        <w:rPr>
          <w:rFonts w:ascii="宋体" w:hAnsi="宋体"/>
          <w:b/>
          <w:color w:val="auto"/>
          <w:kern w:val="2"/>
          <w:sz w:val="32"/>
          <w:szCs w:val="32"/>
        </w:rPr>
      </w:pPr>
      <w:r>
        <w:rPr>
          <w:rFonts w:ascii="宋体" w:hAnsi="宋体"/>
          <w:b/>
          <w:color w:val="auto"/>
          <w:kern w:val="2"/>
          <w:sz w:val="32"/>
          <w:szCs w:val="32"/>
        </w:rPr>
        <w:t>第四章 投标文件的递交</w:t>
      </w:r>
      <w:bookmarkEnd w:id="15"/>
    </w:p>
    <w:p>
      <w:pPr>
        <w:pStyle w:val="285"/>
        <w:spacing w:line="360" w:lineRule="auto"/>
        <w:jc w:val="center"/>
        <w:rPr>
          <w:rFonts w:ascii="宋体" w:hAnsi="宋体"/>
          <w:b/>
          <w:color w:val="auto"/>
          <w:kern w:val="2"/>
          <w:sz w:val="32"/>
          <w:szCs w:val="32"/>
        </w:rPr>
      </w:pPr>
    </w:p>
    <w:bookmarkEnd w:id="16"/>
    <w:p>
      <w:pPr>
        <w:spacing w:line="360" w:lineRule="auto"/>
        <w:ind w:firstLine="482" w:firstLineChars="200"/>
        <w:rPr>
          <w:rFonts w:ascii="宋体" w:hAnsi="宋体"/>
          <w:b/>
          <w:sz w:val="24"/>
        </w:rPr>
      </w:pPr>
      <w:r>
        <w:rPr>
          <w:rFonts w:ascii="宋体" w:hAnsi="宋体"/>
          <w:b/>
          <w:sz w:val="24"/>
        </w:rPr>
        <w:t>20. 响应性文件的密封与标记</w:t>
      </w:r>
    </w:p>
    <w:p>
      <w:pPr>
        <w:spacing w:line="360" w:lineRule="auto"/>
        <w:ind w:firstLine="480" w:firstLineChars="200"/>
        <w:jc w:val="left"/>
        <w:rPr>
          <w:rFonts w:ascii="宋体" w:hAnsi="宋体"/>
          <w:sz w:val="24"/>
        </w:rPr>
      </w:pPr>
      <w:r>
        <w:rPr>
          <w:rFonts w:ascii="宋体" w:hAnsi="宋体"/>
          <w:sz w:val="24"/>
        </w:rPr>
        <w:t>20.1 投标文件的密封：详见投标人须知前附表。</w:t>
      </w:r>
    </w:p>
    <w:p>
      <w:pPr>
        <w:spacing w:line="360" w:lineRule="auto"/>
        <w:ind w:firstLine="480" w:firstLineChars="200"/>
        <w:jc w:val="left"/>
        <w:rPr>
          <w:rFonts w:ascii="宋体" w:hAnsi="宋体"/>
          <w:sz w:val="24"/>
        </w:rPr>
      </w:pPr>
      <w:r>
        <w:rPr>
          <w:rFonts w:ascii="宋体" w:hAnsi="宋体"/>
          <w:sz w:val="24"/>
        </w:rPr>
        <w:t>20.2如果投标人未按上述要求对投标文件密封及加写标记，招标代理机构对由此造成的文件的误投或过早启封概不负责，招标代理机构有权予以拒绝，并退回投标人。</w:t>
      </w:r>
    </w:p>
    <w:p>
      <w:pPr>
        <w:spacing w:line="360" w:lineRule="auto"/>
        <w:ind w:firstLine="480" w:firstLineChars="200"/>
        <w:jc w:val="left"/>
        <w:rPr>
          <w:rFonts w:ascii="宋体" w:hAnsi="宋体"/>
          <w:sz w:val="24"/>
        </w:rPr>
      </w:pPr>
      <w:r>
        <w:rPr>
          <w:rFonts w:ascii="宋体" w:hAnsi="宋体"/>
          <w:sz w:val="24"/>
        </w:rPr>
        <w:t>20.3 由于不可抗拒的原因或无法控制的事件而导致丢失或损坏投标包装体内的投标文件，招标人将不负责任。</w:t>
      </w:r>
    </w:p>
    <w:p>
      <w:pPr>
        <w:spacing w:line="360" w:lineRule="auto"/>
        <w:ind w:firstLine="482" w:firstLineChars="200"/>
        <w:rPr>
          <w:rFonts w:ascii="宋体" w:hAnsi="宋体"/>
          <w:b/>
          <w:sz w:val="24"/>
        </w:rPr>
      </w:pPr>
      <w:r>
        <w:rPr>
          <w:rFonts w:ascii="宋体" w:hAnsi="宋体"/>
          <w:b/>
          <w:sz w:val="24"/>
        </w:rPr>
        <w:t>21. 投标文件递交截止时间</w:t>
      </w:r>
    </w:p>
    <w:p>
      <w:pPr>
        <w:spacing w:line="360" w:lineRule="auto"/>
        <w:ind w:firstLine="480" w:firstLineChars="200"/>
        <w:rPr>
          <w:rFonts w:ascii="宋体" w:hAnsi="宋体"/>
          <w:sz w:val="24"/>
        </w:rPr>
      </w:pPr>
      <w:r>
        <w:rPr>
          <w:rFonts w:ascii="宋体" w:hAnsi="宋体"/>
          <w:sz w:val="24"/>
        </w:rPr>
        <w:t>21.1 投标文件的递交截止时间为招标公告所规定的时间。投标文件以密封形式递交至指定的投标地点，采购人或者采购代理机构收到投标文件后，应当如实记载投标文件的送达时间和密封情况，签收保存，并向投标人出具签收回执。任何单位和个人不得在开标前开启投标文件。</w:t>
      </w:r>
    </w:p>
    <w:p>
      <w:pPr>
        <w:spacing w:line="360" w:lineRule="auto"/>
        <w:ind w:firstLine="480" w:firstLineChars="200"/>
        <w:rPr>
          <w:rFonts w:ascii="宋体" w:hAnsi="宋体"/>
          <w:sz w:val="24"/>
        </w:rPr>
      </w:pPr>
      <w:r>
        <w:rPr>
          <w:rFonts w:ascii="宋体" w:hAnsi="宋体"/>
          <w:sz w:val="24"/>
        </w:rPr>
        <w:t>逾期送达或者未按照招标文件要求密封的投标文件，采购人、采购代理机构应当拒收。</w:t>
      </w:r>
    </w:p>
    <w:p>
      <w:pPr>
        <w:spacing w:line="360" w:lineRule="auto"/>
        <w:ind w:firstLine="480" w:firstLineChars="200"/>
        <w:rPr>
          <w:rFonts w:ascii="宋体" w:hAnsi="宋体"/>
          <w:sz w:val="24"/>
        </w:rPr>
      </w:pPr>
      <w:r>
        <w:rPr>
          <w:rFonts w:ascii="宋体" w:hAnsi="宋体"/>
          <w:sz w:val="24"/>
        </w:rPr>
        <w:t>21.2 出现因招标文件的修改推迟投标截止时间时，则按招标人修改通知规定的时间递交。</w:t>
      </w:r>
    </w:p>
    <w:p>
      <w:pPr>
        <w:spacing w:line="360" w:lineRule="auto"/>
        <w:ind w:firstLine="482" w:firstLineChars="200"/>
        <w:rPr>
          <w:rFonts w:ascii="宋体" w:hAnsi="宋体"/>
          <w:b/>
          <w:sz w:val="24"/>
        </w:rPr>
      </w:pPr>
      <w:r>
        <w:rPr>
          <w:rFonts w:ascii="宋体" w:hAnsi="宋体"/>
          <w:b/>
          <w:sz w:val="24"/>
        </w:rPr>
        <w:t>22. 投标文件的修改和撤回</w:t>
      </w:r>
    </w:p>
    <w:p>
      <w:pPr>
        <w:spacing w:line="360" w:lineRule="auto"/>
        <w:ind w:firstLine="480" w:firstLineChars="200"/>
        <w:rPr>
          <w:rFonts w:ascii="宋体" w:hAnsi="宋体"/>
          <w:sz w:val="24"/>
        </w:rPr>
      </w:pPr>
      <w:r>
        <w:rPr>
          <w:rFonts w:ascii="宋体" w:hAnsi="宋体"/>
          <w:sz w:val="24"/>
        </w:rPr>
        <w:t>22.1投标人在投标截止时间前，可以对所递交的投标文件进行补充、修改或者撤回，并书面通知采购人或者采购代理机构。补充、修改的内容应当按照招标文件要求签署、盖章、密封后，作为投标文件的组成部分。补充、修改的内容与投标文件不一致的，以补充、修改的内容为准。</w:t>
      </w:r>
    </w:p>
    <w:p>
      <w:pPr>
        <w:spacing w:line="360" w:lineRule="auto"/>
        <w:ind w:firstLine="480" w:firstLineChars="200"/>
        <w:rPr>
          <w:rFonts w:ascii="宋体" w:hAnsi="宋体"/>
          <w:sz w:val="24"/>
        </w:rPr>
      </w:pPr>
      <w:r>
        <w:rPr>
          <w:rFonts w:ascii="宋体" w:hAnsi="宋体"/>
          <w:sz w:val="24"/>
        </w:rPr>
        <w:t>22.2对投标文件修改的书面材料应于投标截止日前送达招标人，投标截止时间以后不得修改投标文件。</w:t>
      </w:r>
    </w:p>
    <w:p>
      <w:pPr>
        <w:spacing w:line="360" w:lineRule="auto"/>
        <w:ind w:firstLine="480" w:firstLineChars="200"/>
        <w:rPr>
          <w:rFonts w:ascii="宋体" w:hAnsi="宋体"/>
          <w:sz w:val="24"/>
        </w:rPr>
      </w:pPr>
      <w:r>
        <w:rPr>
          <w:rFonts w:ascii="宋体" w:hAnsi="宋体"/>
          <w:sz w:val="24"/>
        </w:rPr>
        <w:t>22.3 投标人不得在开标时间起至投标有效期期满前撤回投标文件。</w:t>
      </w:r>
    </w:p>
    <w:p>
      <w:pPr>
        <w:pStyle w:val="285"/>
        <w:spacing w:line="360" w:lineRule="auto"/>
        <w:jc w:val="center"/>
        <w:rPr>
          <w:rFonts w:ascii="宋体" w:hAnsi="宋体"/>
          <w:b/>
          <w:color w:val="auto"/>
          <w:kern w:val="2"/>
          <w:sz w:val="32"/>
          <w:szCs w:val="32"/>
        </w:rPr>
      </w:pPr>
      <w:bookmarkStart w:id="17" w:name="_Toc287996705"/>
    </w:p>
    <w:p>
      <w:pPr>
        <w:pStyle w:val="285"/>
        <w:spacing w:line="360" w:lineRule="auto"/>
        <w:jc w:val="center"/>
        <w:outlineLvl w:val="9"/>
        <w:rPr>
          <w:rFonts w:ascii="宋体" w:hAnsi="宋体"/>
          <w:b/>
          <w:color w:val="auto"/>
          <w:kern w:val="2"/>
          <w:sz w:val="32"/>
          <w:szCs w:val="32"/>
        </w:rPr>
      </w:pPr>
      <w:r>
        <w:rPr>
          <w:rFonts w:ascii="宋体" w:hAnsi="宋体"/>
          <w:b/>
          <w:color w:val="auto"/>
          <w:kern w:val="2"/>
          <w:sz w:val="32"/>
          <w:szCs w:val="32"/>
        </w:rPr>
        <w:br w:type="page"/>
      </w:r>
    </w:p>
    <w:p>
      <w:pPr>
        <w:pStyle w:val="285"/>
        <w:spacing w:line="360" w:lineRule="auto"/>
        <w:jc w:val="center"/>
        <w:outlineLvl w:val="0"/>
        <w:rPr>
          <w:rFonts w:ascii="宋体" w:hAnsi="宋体"/>
          <w:b/>
          <w:color w:val="auto"/>
          <w:kern w:val="2"/>
          <w:sz w:val="32"/>
          <w:szCs w:val="32"/>
        </w:rPr>
      </w:pPr>
      <w:r>
        <w:rPr>
          <w:rFonts w:ascii="宋体" w:hAnsi="宋体"/>
          <w:b/>
          <w:color w:val="auto"/>
          <w:kern w:val="2"/>
          <w:sz w:val="32"/>
          <w:szCs w:val="32"/>
        </w:rPr>
        <w:t>第五章 开 标</w:t>
      </w:r>
      <w:bookmarkEnd w:id="17"/>
    </w:p>
    <w:p>
      <w:pPr>
        <w:spacing w:line="360" w:lineRule="auto"/>
        <w:ind w:firstLine="482" w:firstLineChars="200"/>
        <w:rPr>
          <w:rFonts w:ascii="宋体" w:hAnsi="宋体"/>
          <w:b/>
          <w:sz w:val="24"/>
        </w:rPr>
      </w:pPr>
    </w:p>
    <w:p>
      <w:pPr>
        <w:spacing w:line="360" w:lineRule="auto"/>
        <w:ind w:firstLine="482" w:firstLineChars="200"/>
        <w:rPr>
          <w:rFonts w:ascii="宋体" w:hAnsi="宋体"/>
          <w:b/>
          <w:sz w:val="24"/>
        </w:rPr>
      </w:pPr>
      <w:r>
        <w:rPr>
          <w:rFonts w:ascii="宋体" w:hAnsi="宋体"/>
          <w:b/>
          <w:sz w:val="24"/>
        </w:rPr>
        <w:t>23．开标</w:t>
      </w:r>
    </w:p>
    <w:p>
      <w:pPr>
        <w:spacing w:line="360" w:lineRule="auto"/>
        <w:ind w:firstLine="480" w:firstLineChars="200"/>
        <w:rPr>
          <w:rFonts w:ascii="宋体" w:hAnsi="宋体"/>
          <w:sz w:val="24"/>
        </w:rPr>
      </w:pPr>
      <w:r>
        <w:rPr>
          <w:rFonts w:ascii="宋体" w:hAnsi="宋体"/>
          <w:sz w:val="24"/>
        </w:rPr>
        <w:t>23.1 本次招标将按招标公告中规定的时间地点进行公开开标，将邀请所有投标人的法定代表人或其授权代理人参加开标会。</w:t>
      </w:r>
    </w:p>
    <w:p>
      <w:pPr>
        <w:spacing w:line="360" w:lineRule="auto"/>
        <w:ind w:firstLine="480" w:firstLineChars="200"/>
        <w:rPr>
          <w:rFonts w:ascii="宋体" w:hAnsi="宋体"/>
          <w:sz w:val="24"/>
        </w:rPr>
      </w:pPr>
      <w:r>
        <w:rPr>
          <w:rFonts w:ascii="宋体" w:hAnsi="宋体"/>
          <w:sz w:val="24"/>
        </w:rPr>
        <w:t>23.2开标由采购人或招标代理机构主持，邀请投标人参加，并做好录音、录像工作；录音录像应当清晰可辨，音像资料作为采购文件一并存档。</w:t>
      </w:r>
    </w:p>
    <w:p>
      <w:pPr>
        <w:spacing w:line="360" w:lineRule="auto"/>
        <w:ind w:firstLine="480" w:firstLineChars="200"/>
        <w:rPr>
          <w:rFonts w:ascii="宋体" w:hAnsi="宋体"/>
          <w:sz w:val="24"/>
        </w:rPr>
      </w:pPr>
      <w:r>
        <w:rPr>
          <w:rFonts w:ascii="宋体" w:hAnsi="宋体"/>
          <w:sz w:val="24"/>
        </w:rPr>
        <w:t>23.3开标和唱标的顺序，按照递交投标文件的先后顺序进行。</w:t>
      </w:r>
    </w:p>
    <w:p>
      <w:pPr>
        <w:spacing w:line="360" w:lineRule="auto"/>
        <w:ind w:firstLine="482" w:firstLineChars="200"/>
        <w:jc w:val="left"/>
        <w:rPr>
          <w:rFonts w:ascii="宋体" w:hAnsi="宋体"/>
          <w:b/>
          <w:sz w:val="24"/>
        </w:rPr>
      </w:pPr>
      <w:r>
        <w:rPr>
          <w:rFonts w:ascii="宋体" w:hAnsi="宋体"/>
          <w:b/>
          <w:sz w:val="24"/>
        </w:rPr>
        <w:t>23.4 开标现场须查验的证件详见投标人须知前附表。</w:t>
      </w:r>
    </w:p>
    <w:p>
      <w:pPr>
        <w:spacing w:line="360" w:lineRule="auto"/>
        <w:ind w:firstLine="480" w:firstLineChars="200"/>
        <w:rPr>
          <w:rFonts w:ascii="宋体" w:hAnsi="宋体"/>
          <w:sz w:val="24"/>
        </w:rPr>
      </w:pPr>
      <w:r>
        <w:rPr>
          <w:rFonts w:ascii="宋体" w:hAnsi="宋体"/>
          <w:bCs/>
          <w:sz w:val="24"/>
        </w:rPr>
        <w:t>23.5</w:t>
      </w:r>
      <w:r>
        <w:rPr>
          <w:rFonts w:ascii="宋体" w:hAnsi="宋体"/>
          <w:sz w:val="24"/>
        </w:rPr>
        <w:t xml:space="preserve"> 查验证件结束后，由投标人或者其推选的代表检查投标文件的密封情况，确认无误后，由采购人或者采购代理机构工作人员当众拆封，宣读投标人的名称、投标价格和招标文件规定的需要宣布的其他内容并记录。</w:t>
      </w:r>
    </w:p>
    <w:p>
      <w:pPr>
        <w:spacing w:line="360" w:lineRule="auto"/>
        <w:ind w:firstLine="480" w:firstLineChars="200"/>
        <w:rPr>
          <w:rFonts w:ascii="宋体" w:hAnsi="宋体"/>
          <w:sz w:val="24"/>
        </w:rPr>
      </w:pPr>
      <w:r>
        <w:rPr>
          <w:rFonts w:ascii="宋体" w:hAnsi="宋体"/>
          <w:sz w:val="24"/>
        </w:rPr>
        <w:t>23.6开标过程应当由采购人或者采购代理机构负责记录，由参加开标的各投标人代表和相关工作人员签字确认后随采购文件一并存档。</w:t>
      </w:r>
    </w:p>
    <w:p>
      <w:pPr>
        <w:spacing w:line="360" w:lineRule="auto"/>
        <w:ind w:firstLine="480" w:firstLineChars="200"/>
        <w:rPr>
          <w:rFonts w:ascii="宋体" w:hAnsi="宋体"/>
          <w:sz w:val="24"/>
        </w:rPr>
      </w:pPr>
      <w:r>
        <w:rPr>
          <w:rFonts w:ascii="宋体" w:hAnsi="宋体"/>
          <w:sz w:val="24"/>
        </w:rPr>
        <w:t>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p>
    <w:p>
      <w:pPr>
        <w:spacing w:line="360" w:lineRule="auto"/>
        <w:ind w:firstLine="480" w:firstLineChars="200"/>
        <w:rPr>
          <w:rFonts w:ascii="宋体" w:hAnsi="宋体"/>
          <w:sz w:val="24"/>
        </w:rPr>
      </w:pPr>
      <w:r>
        <w:rPr>
          <w:rFonts w:ascii="宋体" w:hAnsi="宋体"/>
          <w:sz w:val="24"/>
        </w:rPr>
        <w:t>投标人未参加开标的，视同认可开标结果。</w:t>
      </w:r>
    </w:p>
    <w:p>
      <w:pPr>
        <w:spacing w:line="360" w:lineRule="auto"/>
        <w:ind w:firstLine="482" w:firstLineChars="200"/>
        <w:rPr>
          <w:rFonts w:ascii="宋体" w:hAnsi="宋体"/>
          <w:b/>
          <w:sz w:val="24"/>
        </w:rPr>
      </w:pPr>
    </w:p>
    <w:p>
      <w:pPr>
        <w:spacing w:line="360" w:lineRule="auto"/>
        <w:ind w:firstLine="643" w:firstLineChars="200"/>
        <w:jc w:val="center"/>
        <w:rPr>
          <w:rFonts w:ascii="宋体" w:hAnsi="宋体"/>
          <w:b/>
          <w:sz w:val="32"/>
          <w:szCs w:val="32"/>
        </w:rPr>
      </w:pPr>
    </w:p>
    <w:p>
      <w:pPr>
        <w:pStyle w:val="285"/>
        <w:spacing w:line="360" w:lineRule="auto"/>
        <w:jc w:val="center"/>
        <w:outlineLvl w:val="0"/>
        <w:rPr>
          <w:rFonts w:ascii="宋体" w:hAnsi="宋体"/>
          <w:b/>
          <w:color w:val="auto"/>
          <w:kern w:val="2"/>
          <w:sz w:val="32"/>
          <w:szCs w:val="32"/>
        </w:rPr>
      </w:pPr>
      <w:r>
        <w:rPr>
          <w:rFonts w:ascii="宋体" w:hAnsi="宋体"/>
          <w:b/>
          <w:color w:val="auto"/>
          <w:kern w:val="2"/>
          <w:sz w:val="32"/>
          <w:szCs w:val="32"/>
        </w:rPr>
        <w:t>第六章 评 标</w:t>
      </w:r>
    </w:p>
    <w:p>
      <w:pPr>
        <w:spacing w:line="360" w:lineRule="auto"/>
        <w:ind w:firstLine="643" w:firstLineChars="200"/>
        <w:jc w:val="center"/>
        <w:rPr>
          <w:rFonts w:ascii="宋体" w:hAnsi="宋体"/>
          <w:b/>
          <w:sz w:val="32"/>
          <w:szCs w:val="32"/>
        </w:rPr>
      </w:pPr>
    </w:p>
    <w:p>
      <w:pPr>
        <w:spacing w:line="360" w:lineRule="auto"/>
        <w:ind w:firstLine="482" w:firstLineChars="200"/>
        <w:rPr>
          <w:rFonts w:ascii="宋体" w:hAnsi="宋体"/>
          <w:b/>
          <w:sz w:val="24"/>
        </w:rPr>
      </w:pPr>
      <w:r>
        <w:rPr>
          <w:rFonts w:ascii="宋体" w:hAnsi="宋体"/>
          <w:b/>
          <w:sz w:val="24"/>
        </w:rPr>
        <w:t>24.评标委员会</w:t>
      </w:r>
    </w:p>
    <w:p>
      <w:pPr>
        <w:spacing w:line="360" w:lineRule="auto"/>
        <w:ind w:firstLine="472" w:firstLineChars="200"/>
        <w:rPr>
          <w:rFonts w:ascii="宋体" w:hAnsi="宋体"/>
          <w:spacing w:val="-2"/>
          <w:sz w:val="24"/>
        </w:rPr>
      </w:pPr>
      <w:r>
        <w:rPr>
          <w:rFonts w:ascii="宋体" w:hAnsi="宋体"/>
          <w:spacing w:val="-2"/>
          <w:sz w:val="24"/>
        </w:rPr>
        <w:t>24.1 招标人将根据《中华人民共和国政府采购法》及相关的法律、法规等，依法组建本次招标的评标委员会，负责本次招标的评审、评标等活动。评标委员会负责向招标人推荐中标候选人或者根据招标人的授权直接确定中标人。</w:t>
      </w:r>
    </w:p>
    <w:p>
      <w:pPr>
        <w:spacing w:line="360" w:lineRule="auto"/>
        <w:ind w:firstLine="472" w:firstLineChars="200"/>
        <w:rPr>
          <w:rFonts w:ascii="宋体" w:hAnsi="宋体"/>
          <w:spacing w:val="-2"/>
          <w:sz w:val="24"/>
        </w:rPr>
      </w:pPr>
      <w:r>
        <w:rPr>
          <w:rFonts w:ascii="宋体" w:hAnsi="宋体"/>
          <w:spacing w:val="-2"/>
          <w:sz w:val="24"/>
        </w:rPr>
        <w:t>24.2 评标委员会成员名单在评标结果公告前应当保密。</w:t>
      </w:r>
    </w:p>
    <w:p>
      <w:pPr>
        <w:spacing w:line="360" w:lineRule="auto"/>
        <w:ind w:firstLine="472" w:firstLineChars="200"/>
        <w:rPr>
          <w:rFonts w:ascii="宋体" w:hAnsi="宋体"/>
          <w:spacing w:val="-2"/>
          <w:sz w:val="24"/>
        </w:rPr>
      </w:pPr>
      <w:r>
        <w:rPr>
          <w:rFonts w:ascii="宋体" w:hAnsi="宋体"/>
          <w:spacing w:val="-2"/>
          <w:sz w:val="24"/>
        </w:rPr>
        <w:t>24.3 评标委员会由采购人代表和评审专家组成，成员人数应当为5人或以上单数，其中评审专家不得少于成员总数的三分之二。</w:t>
      </w:r>
    </w:p>
    <w:p>
      <w:pPr>
        <w:spacing w:line="360" w:lineRule="auto"/>
        <w:ind w:firstLine="472" w:firstLineChars="200"/>
        <w:rPr>
          <w:rFonts w:ascii="宋体" w:hAnsi="宋体"/>
          <w:spacing w:val="-2"/>
          <w:sz w:val="24"/>
        </w:rPr>
      </w:pPr>
      <w:r>
        <w:rPr>
          <w:rFonts w:ascii="宋体" w:hAnsi="宋体"/>
          <w:spacing w:val="-2"/>
          <w:sz w:val="24"/>
        </w:rPr>
        <w:t>24.4采购人或者采购代理机构应当从省级以上财政部门设立的政府采购评审专家库中，通过随机方式抽取评审专家。</w:t>
      </w:r>
    </w:p>
    <w:p>
      <w:pPr>
        <w:spacing w:line="360" w:lineRule="auto"/>
        <w:ind w:firstLine="472" w:firstLineChars="200"/>
        <w:rPr>
          <w:rFonts w:ascii="宋体" w:hAnsi="宋体"/>
          <w:spacing w:val="-2"/>
          <w:sz w:val="24"/>
        </w:rPr>
      </w:pPr>
      <w:r>
        <w:rPr>
          <w:rFonts w:ascii="宋体" w:hAnsi="宋体"/>
          <w:spacing w:val="-2"/>
          <w:sz w:val="24"/>
        </w:rPr>
        <w:t>对技术复杂、专业性强的采购项目，通过随机方式难以确定合适评审专家的，经主管预算单位同意，采购人可以自行选定相应专业领域的评审专家。</w:t>
      </w:r>
    </w:p>
    <w:p>
      <w:pPr>
        <w:spacing w:line="360" w:lineRule="auto"/>
        <w:ind w:firstLine="472" w:firstLineChars="200"/>
        <w:rPr>
          <w:rFonts w:ascii="宋体" w:hAnsi="宋体"/>
          <w:spacing w:val="-2"/>
          <w:sz w:val="24"/>
        </w:rPr>
      </w:pPr>
      <w:r>
        <w:rPr>
          <w:rFonts w:ascii="宋体" w:hAnsi="宋体"/>
          <w:spacing w:val="-2"/>
          <w:sz w:val="24"/>
        </w:rPr>
        <w:t>24.5评标中因评审成员缺席、回避或者健康等特殊原因导致评标委员会组成不符合相关规定的，采购人或者采购代理机构应当依法补足后继续评标。被更换的评标委员会成员所作出的评标意见无效。</w:t>
      </w:r>
    </w:p>
    <w:p>
      <w:pPr>
        <w:spacing w:line="360" w:lineRule="auto"/>
        <w:ind w:firstLine="472" w:firstLineChars="200"/>
        <w:rPr>
          <w:rFonts w:ascii="宋体" w:hAnsi="宋体"/>
          <w:spacing w:val="-2"/>
          <w:sz w:val="24"/>
        </w:rPr>
      </w:pPr>
      <w:r>
        <w:rPr>
          <w:rFonts w:ascii="宋体" w:hAnsi="宋体"/>
          <w:spacing w:val="-2"/>
          <w:sz w:val="24"/>
        </w:rPr>
        <w:t>无法及时补足评标委员会成员的，采购人或者采购代理机构应当停止评标活动，封存所有投标文件和开标、评标资料，依法重新组建评标委员会进行评标。原评标委员会所作出的评标意见无效。</w:t>
      </w:r>
    </w:p>
    <w:p>
      <w:pPr>
        <w:spacing w:line="360" w:lineRule="auto"/>
        <w:ind w:firstLine="472" w:firstLineChars="200"/>
        <w:rPr>
          <w:rFonts w:ascii="宋体" w:hAnsi="宋体"/>
          <w:spacing w:val="-2"/>
          <w:sz w:val="24"/>
        </w:rPr>
      </w:pPr>
      <w:r>
        <w:rPr>
          <w:rFonts w:ascii="宋体" w:hAnsi="宋体"/>
          <w:spacing w:val="-2"/>
          <w:sz w:val="24"/>
        </w:rPr>
        <w:t>采购人或者采购代理机构应当将变更、重新组建评标委员会的情况予以记录，并随采购文件一并存档。</w:t>
      </w:r>
    </w:p>
    <w:p>
      <w:pPr>
        <w:spacing w:line="360" w:lineRule="auto"/>
        <w:ind w:firstLine="472" w:firstLineChars="200"/>
        <w:rPr>
          <w:rFonts w:ascii="宋体" w:hAnsi="宋体"/>
          <w:spacing w:val="-2"/>
          <w:sz w:val="24"/>
        </w:rPr>
      </w:pPr>
      <w:r>
        <w:rPr>
          <w:rFonts w:ascii="宋体" w:hAnsi="宋体"/>
          <w:spacing w:val="-2"/>
          <w:sz w:val="24"/>
        </w:rPr>
        <w:t>24.6评标专家应符合下列条件：</w:t>
      </w:r>
    </w:p>
    <w:p>
      <w:pPr>
        <w:spacing w:line="360" w:lineRule="auto"/>
        <w:ind w:firstLine="472" w:firstLineChars="200"/>
        <w:rPr>
          <w:rFonts w:ascii="宋体" w:hAnsi="宋体"/>
          <w:spacing w:val="-2"/>
          <w:sz w:val="24"/>
        </w:rPr>
      </w:pPr>
      <w:r>
        <w:rPr>
          <w:rFonts w:ascii="宋体" w:hAnsi="宋体"/>
          <w:spacing w:val="-2"/>
          <w:sz w:val="24"/>
        </w:rPr>
        <w:t>24.6.1具有良好的职业道德，廉洁自律，遵纪守法，无行贿、受贿、欺诈等不良信用记录；</w:t>
      </w:r>
    </w:p>
    <w:p>
      <w:pPr>
        <w:spacing w:line="360" w:lineRule="auto"/>
        <w:ind w:firstLine="472" w:firstLineChars="200"/>
        <w:rPr>
          <w:rFonts w:ascii="宋体" w:hAnsi="宋体"/>
          <w:spacing w:val="-2"/>
          <w:sz w:val="24"/>
        </w:rPr>
      </w:pPr>
      <w:r>
        <w:rPr>
          <w:rFonts w:ascii="宋体" w:hAnsi="宋体"/>
          <w:spacing w:val="-2"/>
          <w:sz w:val="24"/>
        </w:rPr>
        <w:t>24.6.2具有中级专业技术职称或同等专业水平且从事相关领域工作满8年，或者具有高级专业技术职称或同等专业水平；</w:t>
      </w:r>
    </w:p>
    <w:p>
      <w:pPr>
        <w:spacing w:line="360" w:lineRule="auto"/>
        <w:ind w:firstLine="472" w:firstLineChars="200"/>
        <w:rPr>
          <w:rFonts w:ascii="宋体" w:hAnsi="宋体"/>
          <w:spacing w:val="-2"/>
          <w:sz w:val="24"/>
        </w:rPr>
      </w:pPr>
      <w:r>
        <w:rPr>
          <w:rFonts w:ascii="宋体" w:hAnsi="宋体"/>
          <w:spacing w:val="-2"/>
          <w:sz w:val="24"/>
        </w:rPr>
        <w:t>24.6.3 熟悉政府采购相关政策法规；</w:t>
      </w:r>
    </w:p>
    <w:p>
      <w:pPr>
        <w:spacing w:line="360" w:lineRule="auto"/>
        <w:ind w:firstLine="472" w:firstLineChars="200"/>
        <w:rPr>
          <w:rFonts w:ascii="宋体" w:hAnsi="宋体"/>
          <w:spacing w:val="-2"/>
          <w:sz w:val="24"/>
        </w:rPr>
      </w:pPr>
      <w:r>
        <w:rPr>
          <w:rFonts w:ascii="宋体" w:hAnsi="宋体"/>
          <w:spacing w:val="-2"/>
          <w:sz w:val="24"/>
        </w:rPr>
        <w:t>24.6.4承诺以独立身份参加评审工作，依法履行评审专家工作职责并承担相应法律责任的中国公民；</w:t>
      </w:r>
    </w:p>
    <w:p>
      <w:pPr>
        <w:spacing w:line="360" w:lineRule="auto"/>
        <w:ind w:firstLine="472" w:firstLineChars="200"/>
        <w:rPr>
          <w:rFonts w:ascii="宋体" w:hAnsi="宋体"/>
          <w:spacing w:val="-2"/>
          <w:sz w:val="24"/>
        </w:rPr>
      </w:pPr>
      <w:r>
        <w:rPr>
          <w:rFonts w:ascii="宋体" w:hAnsi="宋体"/>
          <w:spacing w:val="-2"/>
          <w:sz w:val="24"/>
        </w:rPr>
        <w:t>24.6.5 身体健康，能够承担评审工作；</w:t>
      </w:r>
    </w:p>
    <w:p>
      <w:pPr>
        <w:spacing w:line="360" w:lineRule="auto"/>
        <w:ind w:firstLine="472" w:firstLineChars="200"/>
        <w:rPr>
          <w:rFonts w:ascii="宋体" w:hAnsi="宋体"/>
          <w:spacing w:val="-2"/>
          <w:sz w:val="24"/>
        </w:rPr>
      </w:pPr>
      <w:r>
        <w:rPr>
          <w:rFonts w:ascii="宋体" w:hAnsi="宋体"/>
          <w:spacing w:val="-2"/>
          <w:sz w:val="24"/>
        </w:rPr>
        <w:t>24.6.6 申请成为评审专家前三年内，无《政府采购评审专家管理办法》中规定的不良行为记录。</w:t>
      </w:r>
    </w:p>
    <w:p>
      <w:pPr>
        <w:spacing w:line="360" w:lineRule="auto"/>
        <w:ind w:firstLine="472" w:firstLineChars="200"/>
        <w:rPr>
          <w:rFonts w:ascii="宋体" w:hAnsi="宋体"/>
          <w:spacing w:val="-2"/>
          <w:sz w:val="24"/>
        </w:rPr>
      </w:pPr>
      <w:r>
        <w:rPr>
          <w:rFonts w:ascii="宋体" w:hAnsi="宋体"/>
          <w:spacing w:val="-2"/>
          <w:sz w:val="24"/>
        </w:rPr>
        <w:t>有下列情形之一的，不得担任评标委员会成员：</w:t>
      </w:r>
    </w:p>
    <w:p>
      <w:pPr>
        <w:spacing w:line="360" w:lineRule="auto"/>
        <w:ind w:firstLine="472" w:firstLineChars="200"/>
        <w:rPr>
          <w:rFonts w:ascii="宋体" w:hAnsi="宋体"/>
          <w:spacing w:val="-2"/>
          <w:sz w:val="24"/>
        </w:rPr>
      </w:pPr>
      <w:r>
        <w:rPr>
          <w:rFonts w:ascii="宋体" w:hAnsi="宋体"/>
          <w:spacing w:val="-2"/>
          <w:sz w:val="24"/>
        </w:rPr>
        <w:t>(1)参加采购活动前三年内，与供应商存在劳动关系，或者担任过供应商的董事、监事,或者是供应商的控股股东或实际控制人；</w:t>
      </w:r>
    </w:p>
    <w:p>
      <w:pPr>
        <w:spacing w:line="360" w:lineRule="auto"/>
        <w:ind w:firstLine="472" w:firstLineChars="200"/>
        <w:rPr>
          <w:rFonts w:ascii="宋体" w:hAnsi="宋体"/>
          <w:spacing w:val="-2"/>
          <w:sz w:val="24"/>
        </w:rPr>
      </w:pPr>
      <w:r>
        <w:rPr>
          <w:rFonts w:ascii="宋体" w:hAnsi="宋体"/>
          <w:spacing w:val="-2"/>
          <w:sz w:val="24"/>
        </w:rPr>
        <w:t>(2)与供应商的法定代表人或者负责人有夫妻、直系血亲、三代以内旁系血亲或者近姻亲关系；</w:t>
      </w:r>
    </w:p>
    <w:p>
      <w:pPr>
        <w:spacing w:line="360" w:lineRule="auto"/>
        <w:ind w:firstLine="472" w:firstLineChars="200"/>
        <w:rPr>
          <w:rFonts w:ascii="宋体" w:hAnsi="宋体"/>
          <w:spacing w:val="-2"/>
          <w:sz w:val="24"/>
        </w:rPr>
      </w:pPr>
      <w:r>
        <w:rPr>
          <w:rFonts w:ascii="宋体" w:hAnsi="宋体"/>
          <w:spacing w:val="-2"/>
          <w:sz w:val="24"/>
        </w:rPr>
        <w:t>(3)与供应商有其他可能影响政府采购活动公平、公正进行的关系。</w:t>
      </w:r>
    </w:p>
    <w:p>
      <w:pPr>
        <w:spacing w:line="360" w:lineRule="auto"/>
        <w:ind w:firstLine="472" w:firstLineChars="200"/>
        <w:rPr>
          <w:rFonts w:ascii="宋体" w:hAnsi="宋体"/>
          <w:spacing w:val="-2"/>
          <w:sz w:val="24"/>
        </w:rPr>
      </w:pPr>
      <w:r>
        <w:rPr>
          <w:rFonts w:ascii="宋体" w:hAnsi="宋体"/>
          <w:spacing w:val="-2"/>
          <w:sz w:val="24"/>
        </w:rPr>
        <w:t>24.7 评标委员会负责具体评标事务，并独立履行下列职责：</w:t>
      </w:r>
    </w:p>
    <w:p>
      <w:pPr>
        <w:spacing w:line="360" w:lineRule="auto"/>
        <w:ind w:firstLine="472" w:firstLineChars="200"/>
        <w:rPr>
          <w:rFonts w:ascii="宋体" w:hAnsi="宋体"/>
          <w:spacing w:val="-2"/>
          <w:sz w:val="24"/>
        </w:rPr>
      </w:pPr>
      <w:r>
        <w:rPr>
          <w:rFonts w:ascii="宋体" w:hAnsi="宋体"/>
          <w:spacing w:val="-2"/>
          <w:sz w:val="24"/>
        </w:rPr>
        <w:t>(1)审查、评价投标文件是否符合招标文件的商务、技术等实质性要求；</w:t>
      </w:r>
    </w:p>
    <w:p>
      <w:pPr>
        <w:spacing w:line="360" w:lineRule="auto"/>
        <w:ind w:firstLine="472" w:firstLineChars="200"/>
        <w:rPr>
          <w:rFonts w:ascii="宋体" w:hAnsi="宋体"/>
          <w:spacing w:val="-2"/>
          <w:sz w:val="24"/>
        </w:rPr>
      </w:pPr>
      <w:r>
        <w:rPr>
          <w:rFonts w:ascii="宋体" w:hAnsi="宋体"/>
          <w:spacing w:val="-2"/>
          <w:sz w:val="24"/>
        </w:rPr>
        <w:t>(2)要求投标人对投标文件的有关事项作出澄清或者说明；</w:t>
      </w:r>
    </w:p>
    <w:p>
      <w:pPr>
        <w:spacing w:line="360" w:lineRule="auto"/>
        <w:ind w:firstLine="472" w:firstLineChars="200"/>
        <w:rPr>
          <w:rFonts w:ascii="宋体" w:hAnsi="宋体"/>
          <w:spacing w:val="-2"/>
          <w:sz w:val="24"/>
        </w:rPr>
      </w:pPr>
      <w:r>
        <w:rPr>
          <w:rFonts w:ascii="宋体" w:hAnsi="宋体"/>
          <w:spacing w:val="-2"/>
          <w:sz w:val="24"/>
        </w:rPr>
        <w:t>(3)对投标文件进行比较和评价；</w:t>
      </w:r>
    </w:p>
    <w:p>
      <w:pPr>
        <w:spacing w:line="360" w:lineRule="auto"/>
        <w:ind w:firstLine="472" w:firstLineChars="200"/>
        <w:rPr>
          <w:rFonts w:ascii="宋体" w:hAnsi="宋体"/>
          <w:spacing w:val="-2"/>
          <w:sz w:val="24"/>
        </w:rPr>
      </w:pPr>
      <w:r>
        <w:rPr>
          <w:rFonts w:ascii="宋体" w:hAnsi="宋体"/>
          <w:spacing w:val="-2"/>
          <w:sz w:val="24"/>
        </w:rPr>
        <w:t>(4)确定中标候选人名单，以及根据采购人委托直接确定中标人；</w:t>
      </w:r>
    </w:p>
    <w:p>
      <w:pPr>
        <w:spacing w:line="360" w:lineRule="auto"/>
        <w:ind w:firstLine="472" w:firstLineChars="200"/>
        <w:rPr>
          <w:rFonts w:ascii="宋体" w:hAnsi="宋体"/>
          <w:spacing w:val="-2"/>
          <w:sz w:val="24"/>
        </w:rPr>
      </w:pPr>
      <w:r>
        <w:rPr>
          <w:rFonts w:ascii="宋体" w:hAnsi="宋体"/>
          <w:spacing w:val="-2"/>
          <w:sz w:val="24"/>
        </w:rPr>
        <w:t>(5)向采购人、采购代理机构或者有关部门报告评标中发现的违法行为。</w:t>
      </w:r>
    </w:p>
    <w:p>
      <w:pPr>
        <w:spacing w:line="360" w:lineRule="auto"/>
        <w:ind w:firstLine="472" w:firstLineChars="200"/>
        <w:rPr>
          <w:rFonts w:ascii="宋体" w:hAnsi="宋体"/>
          <w:spacing w:val="-2"/>
          <w:sz w:val="24"/>
        </w:rPr>
      </w:pPr>
      <w:r>
        <w:rPr>
          <w:rFonts w:ascii="宋体" w:hAnsi="宋体"/>
          <w:spacing w:val="-2"/>
          <w:sz w:val="24"/>
        </w:rPr>
        <w:t>24.8评标委员会及其成员不得有下列行为：</w:t>
      </w:r>
    </w:p>
    <w:p>
      <w:pPr>
        <w:spacing w:line="360" w:lineRule="auto"/>
        <w:ind w:firstLine="472" w:firstLineChars="200"/>
        <w:rPr>
          <w:rFonts w:ascii="宋体" w:hAnsi="宋体"/>
          <w:spacing w:val="-2"/>
          <w:sz w:val="24"/>
        </w:rPr>
      </w:pPr>
      <w:r>
        <w:rPr>
          <w:rFonts w:ascii="宋体" w:hAnsi="宋体"/>
          <w:spacing w:val="-2"/>
          <w:sz w:val="24"/>
        </w:rPr>
        <w:t>(1)确定参与评标至评标结束前私自接触投标人；</w:t>
      </w:r>
    </w:p>
    <w:p>
      <w:pPr>
        <w:spacing w:line="360" w:lineRule="auto"/>
        <w:ind w:firstLine="472" w:firstLineChars="200"/>
        <w:rPr>
          <w:rFonts w:ascii="宋体" w:hAnsi="宋体"/>
          <w:spacing w:val="-2"/>
          <w:sz w:val="24"/>
        </w:rPr>
      </w:pPr>
      <w:r>
        <w:rPr>
          <w:rFonts w:ascii="宋体" w:hAnsi="宋体"/>
          <w:spacing w:val="-2"/>
          <w:sz w:val="24"/>
        </w:rPr>
        <w:t>(2)接受投标人提出的与投标文件不一致的澄清或者说明，本招标文件第27.1款规定的情形除外；</w:t>
      </w:r>
    </w:p>
    <w:p>
      <w:pPr>
        <w:spacing w:line="360" w:lineRule="auto"/>
        <w:ind w:firstLine="472" w:firstLineChars="200"/>
        <w:rPr>
          <w:rFonts w:ascii="宋体" w:hAnsi="宋体"/>
          <w:spacing w:val="-2"/>
          <w:sz w:val="24"/>
        </w:rPr>
      </w:pPr>
      <w:r>
        <w:rPr>
          <w:rFonts w:ascii="宋体" w:hAnsi="宋体"/>
          <w:spacing w:val="-2"/>
          <w:sz w:val="24"/>
        </w:rPr>
        <w:t>(3)违反评标纪律发表倾向性意见或者征询采购人的倾向性意见；</w:t>
      </w:r>
    </w:p>
    <w:p>
      <w:pPr>
        <w:spacing w:line="360" w:lineRule="auto"/>
        <w:ind w:firstLine="472" w:firstLineChars="200"/>
        <w:rPr>
          <w:rFonts w:ascii="宋体" w:hAnsi="宋体"/>
          <w:spacing w:val="-2"/>
          <w:sz w:val="24"/>
        </w:rPr>
      </w:pPr>
      <w:r>
        <w:rPr>
          <w:rFonts w:ascii="宋体" w:hAnsi="宋体"/>
          <w:spacing w:val="-2"/>
          <w:sz w:val="24"/>
        </w:rPr>
        <w:t>(4)对需要专业判断的主观评审因素协商评分；</w:t>
      </w:r>
    </w:p>
    <w:p>
      <w:pPr>
        <w:spacing w:line="360" w:lineRule="auto"/>
        <w:ind w:firstLine="472" w:firstLineChars="200"/>
        <w:rPr>
          <w:rFonts w:ascii="宋体" w:hAnsi="宋体"/>
          <w:spacing w:val="-2"/>
          <w:sz w:val="24"/>
        </w:rPr>
      </w:pPr>
      <w:r>
        <w:rPr>
          <w:rFonts w:ascii="宋体" w:hAnsi="宋体"/>
          <w:spacing w:val="-2"/>
          <w:sz w:val="24"/>
        </w:rPr>
        <w:t>(5)在评标过程中擅离职守，影响评标程序正常进行的；</w:t>
      </w:r>
    </w:p>
    <w:p>
      <w:pPr>
        <w:spacing w:line="360" w:lineRule="auto"/>
        <w:ind w:firstLine="472" w:firstLineChars="200"/>
        <w:rPr>
          <w:rFonts w:ascii="宋体" w:hAnsi="宋体"/>
          <w:spacing w:val="-2"/>
          <w:sz w:val="24"/>
        </w:rPr>
      </w:pPr>
      <w:r>
        <w:rPr>
          <w:rFonts w:ascii="宋体" w:hAnsi="宋体"/>
          <w:spacing w:val="-2"/>
          <w:sz w:val="24"/>
        </w:rPr>
        <w:t>(6)记录、复制或者带走任何评标资料；</w:t>
      </w:r>
    </w:p>
    <w:p>
      <w:pPr>
        <w:spacing w:line="360" w:lineRule="auto"/>
        <w:ind w:firstLine="472" w:firstLineChars="200"/>
        <w:rPr>
          <w:rFonts w:ascii="宋体" w:hAnsi="宋体"/>
          <w:spacing w:val="-2"/>
          <w:sz w:val="24"/>
        </w:rPr>
      </w:pPr>
      <w:r>
        <w:rPr>
          <w:rFonts w:ascii="宋体" w:hAnsi="宋体"/>
          <w:spacing w:val="-2"/>
          <w:sz w:val="24"/>
        </w:rPr>
        <w:t>(7)其他不遵守评标纪律的行为。</w:t>
      </w:r>
    </w:p>
    <w:p>
      <w:pPr>
        <w:spacing w:line="360" w:lineRule="auto"/>
        <w:ind w:firstLine="472" w:firstLineChars="200"/>
        <w:rPr>
          <w:rFonts w:ascii="宋体" w:hAnsi="宋体"/>
          <w:spacing w:val="-2"/>
          <w:sz w:val="24"/>
        </w:rPr>
      </w:pPr>
      <w:r>
        <w:rPr>
          <w:rFonts w:ascii="宋体" w:hAnsi="宋体"/>
          <w:spacing w:val="-2"/>
          <w:sz w:val="24"/>
        </w:rPr>
        <w:t>评标委员会成员有前款第(1)至(5)项行为之一的，其评审意见无效，并不得获取评审劳务报酬和报销异地评审差旅费。</w:t>
      </w:r>
    </w:p>
    <w:p>
      <w:pPr>
        <w:spacing w:line="360" w:lineRule="auto"/>
        <w:ind w:firstLine="482" w:firstLineChars="200"/>
        <w:rPr>
          <w:rFonts w:ascii="宋体" w:hAnsi="宋体"/>
          <w:b/>
          <w:sz w:val="24"/>
        </w:rPr>
      </w:pPr>
      <w:r>
        <w:rPr>
          <w:rFonts w:ascii="宋体" w:hAnsi="宋体"/>
          <w:b/>
          <w:sz w:val="24"/>
        </w:rPr>
        <w:t>25.评审过程的保密性</w:t>
      </w:r>
    </w:p>
    <w:p>
      <w:pPr>
        <w:spacing w:line="360" w:lineRule="auto"/>
        <w:ind w:firstLine="472" w:firstLineChars="200"/>
        <w:rPr>
          <w:rFonts w:ascii="宋体" w:hAnsi="宋体"/>
          <w:spacing w:val="-2"/>
          <w:sz w:val="24"/>
        </w:rPr>
      </w:pPr>
      <w:r>
        <w:rPr>
          <w:rFonts w:ascii="宋体" w:hAnsi="宋体"/>
          <w:spacing w:val="-2"/>
          <w:sz w:val="24"/>
        </w:rPr>
        <w:t>25.1采购人、采购代理机构应当采取必要措施，保证评审在严格保密的情况下进行。除采购人代表、评审现场组织人员外，采购人的其他工作人员以及与评审工作无关的人员不得进入评审现场。</w:t>
      </w:r>
    </w:p>
    <w:p>
      <w:pPr>
        <w:spacing w:line="360" w:lineRule="auto"/>
        <w:ind w:firstLine="472" w:firstLineChars="200"/>
        <w:rPr>
          <w:rFonts w:ascii="宋体" w:hAnsi="宋体"/>
          <w:spacing w:val="-2"/>
          <w:sz w:val="24"/>
        </w:rPr>
      </w:pPr>
      <w:r>
        <w:rPr>
          <w:rFonts w:ascii="宋体" w:hAnsi="宋体"/>
          <w:spacing w:val="-2"/>
          <w:sz w:val="24"/>
        </w:rPr>
        <w:t>25.2开标后，直到授予中标人合同为止，凡属于对投标文件的审查、澄清、评价和比较的有关资料以及中标候选人的推荐情况和授标建议等内容、与评标有关的其他任何情况均应严格保密；评标委员会成员及参与评标的有关工作人员均不得向投标人或其他无关的人员透露，违者给予警告、取消担任评标委员会成员的资格。</w:t>
      </w:r>
    </w:p>
    <w:p>
      <w:pPr>
        <w:spacing w:line="360" w:lineRule="auto"/>
        <w:ind w:firstLine="472" w:firstLineChars="200"/>
        <w:rPr>
          <w:rFonts w:ascii="宋体" w:hAnsi="宋体"/>
          <w:spacing w:val="-2"/>
          <w:sz w:val="24"/>
        </w:rPr>
      </w:pPr>
      <w:r>
        <w:rPr>
          <w:rFonts w:ascii="宋体" w:hAnsi="宋体"/>
          <w:spacing w:val="-2"/>
          <w:sz w:val="24"/>
        </w:rPr>
        <w:t>25.3投标供应商在评审过程中，所进行的力图影响评审结果的、以及不符合</w:t>
      </w:r>
      <w:r>
        <w:rPr>
          <w:rFonts w:ascii="宋体" w:hAnsi="宋体"/>
          <w:kern w:val="0"/>
          <w:sz w:val="24"/>
        </w:rPr>
        <w:t>《中华人民共和国政府采购法》及其相关法律、法规的、</w:t>
      </w:r>
      <w:r>
        <w:rPr>
          <w:rFonts w:ascii="宋体" w:hAnsi="宋体"/>
          <w:spacing w:val="-2"/>
          <w:sz w:val="24"/>
        </w:rPr>
        <w:t>以及不符合本次招标的有关规定的活动，将被取消其中标资格。</w:t>
      </w:r>
    </w:p>
    <w:p>
      <w:pPr>
        <w:spacing w:line="360" w:lineRule="auto"/>
        <w:ind w:firstLine="482" w:firstLineChars="200"/>
        <w:rPr>
          <w:rFonts w:ascii="宋体" w:hAnsi="宋体"/>
          <w:b/>
          <w:sz w:val="24"/>
        </w:rPr>
      </w:pPr>
      <w:r>
        <w:rPr>
          <w:rFonts w:ascii="宋体" w:hAnsi="宋体"/>
          <w:b/>
          <w:sz w:val="24"/>
        </w:rPr>
        <w:t>26. 评审依据及评标办法</w:t>
      </w:r>
    </w:p>
    <w:p>
      <w:pPr>
        <w:spacing w:line="360" w:lineRule="auto"/>
        <w:ind w:left="60" w:firstLine="420"/>
        <w:rPr>
          <w:rFonts w:ascii="宋体" w:hAnsi="宋体"/>
          <w:sz w:val="24"/>
        </w:rPr>
      </w:pPr>
      <w:r>
        <w:rPr>
          <w:rFonts w:ascii="宋体" w:hAnsi="宋体"/>
          <w:sz w:val="24"/>
        </w:rPr>
        <w:t>26.1 评审的依据为招标文件及各供应商的投标文件。</w:t>
      </w:r>
    </w:p>
    <w:p>
      <w:pPr>
        <w:spacing w:line="360" w:lineRule="auto"/>
        <w:ind w:firstLine="480" w:firstLineChars="200"/>
        <w:rPr>
          <w:rFonts w:ascii="宋体" w:hAnsi="宋体"/>
          <w:b/>
          <w:spacing w:val="-2"/>
          <w:sz w:val="24"/>
        </w:rPr>
      </w:pPr>
      <w:r>
        <w:rPr>
          <w:rFonts w:ascii="宋体" w:hAnsi="宋体"/>
          <w:sz w:val="24"/>
        </w:rPr>
        <w:t>26.2 评标办法：</w:t>
      </w:r>
      <w:r>
        <w:rPr>
          <w:rFonts w:ascii="宋体" w:hAnsi="宋体"/>
          <w:b/>
          <w:spacing w:val="-2"/>
          <w:sz w:val="24"/>
        </w:rPr>
        <w:t>综合评分法</w:t>
      </w:r>
    </w:p>
    <w:p>
      <w:pPr>
        <w:spacing w:line="360" w:lineRule="auto"/>
        <w:ind w:firstLine="480" w:firstLineChars="200"/>
        <w:rPr>
          <w:rFonts w:ascii="宋体" w:hAnsi="宋体"/>
          <w:sz w:val="24"/>
        </w:rPr>
      </w:pPr>
      <w:r>
        <w:rPr>
          <w:rFonts w:ascii="宋体" w:hAnsi="宋体"/>
          <w:sz w:val="24"/>
        </w:rPr>
        <w:t>综合评分法，是指投标文件满足招标文件全部实质性要求，且按照评审因素的量化指标评审得分最高的投标人为中标候选人的评标方法。</w:t>
      </w:r>
    </w:p>
    <w:p>
      <w:pPr>
        <w:spacing w:line="360" w:lineRule="auto"/>
        <w:ind w:left="62" w:firstLine="420"/>
        <w:rPr>
          <w:rFonts w:ascii="宋体" w:hAnsi="宋体"/>
          <w:sz w:val="24"/>
        </w:rPr>
      </w:pPr>
      <w:r>
        <w:rPr>
          <w:rFonts w:ascii="宋体" w:hAnsi="宋体"/>
          <w:sz w:val="24"/>
        </w:rPr>
        <w:t>26.3 评审程序：</w:t>
      </w:r>
      <w:r>
        <w:rPr>
          <w:rFonts w:ascii="宋体" w:hAnsi="宋体"/>
          <w:sz w:val="24"/>
        </w:rPr>
        <w:tab/>
      </w:r>
    </w:p>
    <w:p>
      <w:pPr>
        <w:spacing w:line="360" w:lineRule="auto"/>
        <w:ind w:firstLine="480" w:firstLineChars="200"/>
        <w:jc w:val="left"/>
        <w:rPr>
          <w:rFonts w:ascii="宋体" w:hAnsi="宋体"/>
          <w:bCs/>
          <w:sz w:val="24"/>
        </w:rPr>
      </w:pPr>
      <w:r>
        <w:rPr>
          <w:rFonts w:ascii="宋体" w:hAnsi="宋体"/>
          <w:bCs/>
          <w:sz w:val="24"/>
        </w:rPr>
        <w:t>成立评标委员会→初步评审（符合性审查）→错误性修正→详细评审（商务、技术部分评审</w:t>
      </w:r>
      <w:r>
        <w:rPr>
          <w:rFonts w:hint="eastAsia" w:ascii="宋体" w:hAnsi="宋体"/>
          <w:bCs/>
          <w:sz w:val="24"/>
        </w:rPr>
        <w:t>，报价得分计算</w:t>
      </w:r>
      <w:r>
        <w:rPr>
          <w:rFonts w:ascii="宋体" w:hAnsi="宋体"/>
          <w:bCs/>
          <w:sz w:val="24"/>
        </w:rPr>
        <w:t>）→推荐中标候选人→完成评标报告</w:t>
      </w:r>
    </w:p>
    <w:p>
      <w:pPr>
        <w:spacing w:line="360" w:lineRule="auto"/>
        <w:ind w:firstLine="480" w:firstLineChars="200"/>
        <w:rPr>
          <w:rFonts w:ascii="宋体" w:hAnsi="宋体"/>
          <w:bCs/>
          <w:sz w:val="24"/>
        </w:rPr>
      </w:pPr>
      <w:r>
        <w:rPr>
          <w:rFonts w:ascii="宋体" w:hAnsi="宋体"/>
          <w:bCs/>
          <w:sz w:val="24"/>
        </w:rPr>
        <w:t>通过初步评审的投标文件，方可进入下一环节的评审。</w:t>
      </w:r>
    </w:p>
    <w:p>
      <w:pPr>
        <w:spacing w:line="360" w:lineRule="auto"/>
        <w:ind w:firstLine="482" w:firstLineChars="200"/>
        <w:rPr>
          <w:rFonts w:ascii="宋体" w:hAnsi="宋体"/>
          <w:b/>
          <w:sz w:val="24"/>
        </w:rPr>
      </w:pPr>
      <w:r>
        <w:rPr>
          <w:rFonts w:ascii="宋体" w:hAnsi="宋体"/>
          <w:b/>
          <w:sz w:val="24"/>
        </w:rPr>
        <w:t>27. 初步评审</w:t>
      </w:r>
    </w:p>
    <w:p>
      <w:pPr>
        <w:spacing w:line="360" w:lineRule="auto"/>
        <w:ind w:firstLine="472" w:firstLineChars="200"/>
        <w:rPr>
          <w:rFonts w:ascii="宋体" w:hAnsi="宋体"/>
          <w:spacing w:val="-2"/>
          <w:sz w:val="24"/>
        </w:rPr>
      </w:pPr>
      <w:r>
        <w:rPr>
          <w:rFonts w:ascii="宋体" w:hAnsi="宋体"/>
          <w:spacing w:val="-2"/>
          <w:sz w:val="24"/>
        </w:rPr>
        <w:t>27.1  评标委员会对投标文件的有效性、完整性和响应程度进行审查时，应当以书面方式要求投标人对投标文件中含义不明确、对同类问题表述不一致或者有明显文字和计算错误的内容作必要的澄清、说明或补正。</w:t>
      </w:r>
    </w:p>
    <w:p>
      <w:pPr>
        <w:spacing w:line="360" w:lineRule="auto"/>
        <w:ind w:firstLine="472" w:firstLineChars="200"/>
        <w:rPr>
          <w:rFonts w:ascii="宋体" w:hAnsi="宋体"/>
          <w:spacing w:val="-2"/>
          <w:sz w:val="24"/>
        </w:rPr>
      </w:pPr>
      <w:r>
        <w:rPr>
          <w:rFonts w:ascii="宋体" w:hAnsi="宋体"/>
          <w:spacing w:val="-2"/>
          <w:sz w:val="24"/>
        </w:rPr>
        <w:t xml:space="preserve">投标人的澄清、说明或补正应以书面方式进行，并加盖公章，或者由法定代表人或其授权的代表签字。投标人的澄清、说明或者补正不得超出投标文件的范围或者改变招标文件的实质性内容。 </w:t>
      </w:r>
    </w:p>
    <w:p>
      <w:pPr>
        <w:spacing w:line="360" w:lineRule="auto"/>
        <w:ind w:firstLine="472" w:firstLineChars="200"/>
        <w:rPr>
          <w:rFonts w:ascii="宋体" w:hAnsi="宋体"/>
          <w:spacing w:val="-2"/>
          <w:sz w:val="24"/>
        </w:rPr>
      </w:pPr>
      <w:r>
        <w:rPr>
          <w:rFonts w:ascii="宋体" w:hAnsi="宋体"/>
          <w:spacing w:val="-2"/>
          <w:sz w:val="24"/>
        </w:rPr>
        <w:t>按上述规定，经投标人确认后，对投标人起约束作用。如果投标人不确认的，则其投标无效。</w:t>
      </w:r>
    </w:p>
    <w:p>
      <w:pPr>
        <w:spacing w:line="360" w:lineRule="auto"/>
        <w:ind w:firstLine="472" w:firstLineChars="200"/>
        <w:rPr>
          <w:rFonts w:ascii="宋体" w:hAnsi="宋体"/>
          <w:spacing w:val="-2"/>
          <w:sz w:val="24"/>
        </w:rPr>
      </w:pPr>
      <w:r>
        <w:rPr>
          <w:rFonts w:ascii="宋体" w:hAnsi="宋体"/>
          <w:spacing w:val="-2"/>
          <w:sz w:val="24"/>
        </w:rPr>
        <w:t>27.2  采购方不接受不符合国家有关部门相关规定的投标报价或优惠方案。</w:t>
      </w:r>
    </w:p>
    <w:p>
      <w:pPr>
        <w:spacing w:line="360" w:lineRule="auto"/>
        <w:ind w:firstLine="472" w:firstLineChars="200"/>
        <w:rPr>
          <w:rFonts w:ascii="宋体" w:hAnsi="宋体"/>
          <w:spacing w:val="-2"/>
          <w:sz w:val="24"/>
        </w:rPr>
      </w:pPr>
      <w:r>
        <w:rPr>
          <w:rFonts w:ascii="宋体" w:hAnsi="宋体"/>
          <w:spacing w:val="-2"/>
          <w:sz w:val="24"/>
        </w:rPr>
        <w:t>27.3  在评审过程中，评标委员会发现投标人以他人名义投标、串通投标、以行贿手段谋取中标或者以其他弄虚作假方式投标的，该投标人的投标将被否决。</w:t>
      </w:r>
    </w:p>
    <w:p>
      <w:pPr>
        <w:spacing w:line="360" w:lineRule="auto"/>
        <w:ind w:firstLine="480" w:firstLineChars="200"/>
        <w:jc w:val="left"/>
        <w:rPr>
          <w:rFonts w:ascii="宋体" w:hAnsi="宋体"/>
          <w:sz w:val="24"/>
        </w:rPr>
      </w:pPr>
      <w:r>
        <w:rPr>
          <w:rFonts w:ascii="宋体" w:hAnsi="宋体"/>
          <w:sz w:val="24"/>
        </w:rPr>
        <w:t>27.4  有下列情形之一的，视为投标人串通投标，其投标无效：</w:t>
      </w:r>
    </w:p>
    <w:p>
      <w:pPr>
        <w:spacing w:line="360" w:lineRule="auto"/>
        <w:ind w:firstLine="480" w:firstLineChars="200"/>
        <w:jc w:val="left"/>
        <w:rPr>
          <w:rFonts w:ascii="宋体" w:hAnsi="宋体"/>
          <w:sz w:val="24"/>
        </w:rPr>
      </w:pPr>
      <w:r>
        <w:rPr>
          <w:rFonts w:ascii="宋体" w:hAnsi="宋体"/>
          <w:sz w:val="24"/>
        </w:rPr>
        <w:t>(1)不同投标人的投标文件由同一单位或者个人编制；</w:t>
      </w:r>
    </w:p>
    <w:p>
      <w:pPr>
        <w:spacing w:line="360" w:lineRule="auto"/>
        <w:ind w:firstLine="480" w:firstLineChars="200"/>
        <w:jc w:val="left"/>
        <w:rPr>
          <w:rFonts w:ascii="宋体" w:hAnsi="宋体"/>
          <w:sz w:val="24"/>
        </w:rPr>
      </w:pPr>
      <w:r>
        <w:rPr>
          <w:rFonts w:ascii="宋体" w:hAnsi="宋体"/>
          <w:sz w:val="24"/>
        </w:rPr>
        <w:t>(2)不同投标人委托同一单位或者个人办理投标事宜；</w:t>
      </w:r>
    </w:p>
    <w:p>
      <w:pPr>
        <w:spacing w:line="360" w:lineRule="auto"/>
        <w:ind w:firstLine="480" w:firstLineChars="200"/>
        <w:jc w:val="left"/>
        <w:rPr>
          <w:rFonts w:ascii="宋体" w:hAnsi="宋体"/>
          <w:sz w:val="24"/>
        </w:rPr>
      </w:pPr>
      <w:r>
        <w:rPr>
          <w:rFonts w:ascii="宋体" w:hAnsi="宋体"/>
          <w:sz w:val="24"/>
        </w:rPr>
        <w:t>(3)不同投标人的投标文件载明的项目管理成员或者联系人员为同一人；</w:t>
      </w:r>
    </w:p>
    <w:p>
      <w:pPr>
        <w:spacing w:line="360" w:lineRule="auto"/>
        <w:ind w:firstLine="480" w:firstLineChars="200"/>
        <w:jc w:val="left"/>
        <w:rPr>
          <w:rFonts w:ascii="宋体" w:hAnsi="宋体"/>
          <w:sz w:val="24"/>
        </w:rPr>
      </w:pPr>
      <w:r>
        <w:rPr>
          <w:rFonts w:ascii="宋体" w:hAnsi="宋体"/>
          <w:sz w:val="24"/>
        </w:rPr>
        <w:t>(4)不同投标人的投标文件异常一致或者投标报价呈规律性差异；</w:t>
      </w:r>
    </w:p>
    <w:p>
      <w:pPr>
        <w:spacing w:line="360" w:lineRule="auto"/>
        <w:ind w:firstLine="480" w:firstLineChars="200"/>
        <w:jc w:val="left"/>
        <w:rPr>
          <w:rFonts w:ascii="宋体" w:hAnsi="宋体"/>
          <w:sz w:val="24"/>
        </w:rPr>
      </w:pPr>
      <w:r>
        <w:rPr>
          <w:rFonts w:ascii="宋体" w:hAnsi="宋体"/>
          <w:sz w:val="24"/>
        </w:rPr>
        <w:t>(5)不同投标人的投标文件相互混装；</w:t>
      </w:r>
    </w:p>
    <w:p>
      <w:pPr>
        <w:spacing w:line="360" w:lineRule="auto"/>
        <w:ind w:firstLine="480" w:firstLineChars="200"/>
        <w:jc w:val="left"/>
        <w:rPr>
          <w:rFonts w:ascii="宋体" w:hAnsi="宋体"/>
          <w:sz w:val="24"/>
        </w:rPr>
      </w:pPr>
      <w:r>
        <w:rPr>
          <w:rFonts w:ascii="宋体" w:hAnsi="宋体"/>
          <w:sz w:val="24"/>
        </w:rPr>
        <w:t>(6)不同投标人的投标保证金从同一单位或者个人的账户转出。</w:t>
      </w:r>
    </w:p>
    <w:p>
      <w:pPr>
        <w:spacing w:line="360" w:lineRule="auto"/>
        <w:ind w:firstLine="472" w:firstLineChars="200"/>
        <w:rPr>
          <w:rFonts w:ascii="宋体" w:hAnsi="宋体"/>
          <w:sz w:val="24"/>
        </w:rPr>
      </w:pPr>
      <w:r>
        <w:rPr>
          <w:rFonts w:ascii="宋体" w:hAnsi="宋体"/>
          <w:spacing w:val="-2"/>
          <w:sz w:val="24"/>
        </w:rPr>
        <w:t xml:space="preserve">27.5  </w:t>
      </w:r>
      <w:r>
        <w:rPr>
          <w:rFonts w:ascii="宋体" w:hAnsi="宋体"/>
          <w:sz w:val="24"/>
        </w:rPr>
        <w:t>投标人存在下列情况之一的，投标无效：</w:t>
      </w:r>
    </w:p>
    <w:p>
      <w:pPr>
        <w:spacing w:line="360" w:lineRule="auto"/>
        <w:ind w:firstLine="472" w:firstLineChars="200"/>
        <w:rPr>
          <w:rFonts w:ascii="宋体" w:hAnsi="宋体"/>
          <w:spacing w:val="-2"/>
          <w:sz w:val="24"/>
        </w:rPr>
      </w:pPr>
      <w:r>
        <w:rPr>
          <w:rFonts w:ascii="宋体" w:hAnsi="宋体"/>
          <w:spacing w:val="-2"/>
          <w:sz w:val="24"/>
        </w:rPr>
        <w:t>(1)未按照招标文件的规定提交投标保证金的；</w:t>
      </w:r>
    </w:p>
    <w:p>
      <w:pPr>
        <w:spacing w:line="360" w:lineRule="auto"/>
        <w:ind w:firstLine="472" w:firstLineChars="200"/>
        <w:rPr>
          <w:rFonts w:ascii="宋体" w:hAnsi="宋体"/>
          <w:spacing w:val="-2"/>
          <w:sz w:val="24"/>
        </w:rPr>
      </w:pPr>
      <w:r>
        <w:rPr>
          <w:rFonts w:ascii="宋体" w:hAnsi="宋体"/>
          <w:spacing w:val="-2"/>
          <w:sz w:val="24"/>
        </w:rPr>
        <w:t>(2)投标文件未按招标文件要求签署、盖章的；</w:t>
      </w:r>
    </w:p>
    <w:p>
      <w:pPr>
        <w:spacing w:line="360" w:lineRule="auto"/>
        <w:ind w:firstLine="472" w:firstLineChars="200"/>
        <w:rPr>
          <w:rFonts w:ascii="宋体" w:hAnsi="宋体"/>
          <w:spacing w:val="-2"/>
          <w:sz w:val="24"/>
        </w:rPr>
      </w:pPr>
      <w:r>
        <w:rPr>
          <w:rFonts w:ascii="宋体" w:hAnsi="宋体"/>
          <w:spacing w:val="-2"/>
          <w:sz w:val="24"/>
        </w:rPr>
        <w:t>(3)不具备招标文件中规定的资格要求的；</w:t>
      </w:r>
    </w:p>
    <w:p>
      <w:pPr>
        <w:spacing w:line="360" w:lineRule="auto"/>
        <w:ind w:firstLine="472" w:firstLineChars="200"/>
        <w:rPr>
          <w:rFonts w:ascii="宋体" w:hAnsi="宋体"/>
          <w:spacing w:val="-2"/>
          <w:sz w:val="24"/>
        </w:rPr>
      </w:pPr>
      <w:r>
        <w:rPr>
          <w:rFonts w:ascii="宋体" w:hAnsi="宋体"/>
          <w:spacing w:val="-2"/>
          <w:sz w:val="24"/>
        </w:rPr>
        <w:t>(4)报价超过招标文件中规定的预算金额或者最高限价的；</w:t>
      </w:r>
    </w:p>
    <w:p>
      <w:pPr>
        <w:spacing w:line="360" w:lineRule="auto"/>
        <w:ind w:firstLine="472" w:firstLineChars="200"/>
        <w:rPr>
          <w:rFonts w:ascii="宋体" w:hAnsi="宋体"/>
          <w:spacing w:val="-2"/>
          <w:sz w:val="24"/>
        </w:rPr>
      </w:pPr>
      <w:r>
        <w:rPr>
          <w:rFonts w:ascii="宋体" w:hAnsi="宋体"/>
          <w:spacing w:val="-2"/>
          <w:sz w:val="24"/>
        </w:rPr>
        <w:t>(5)投标文件含有采购人不能接受的附加条件的；</w:t>
      </w:r>
    </w:p>
    <w:p>
      <w:pPr>
        <w:spacing w:line="360" w:lineRule="auto"/>
        <w:ind w:firstLine="472" w:firstLineChars="200"/>
        <w:rPr>
          <w:rFonts w:ascii="宋体" w:hAnsi="宋体"/>
          <w:spacing w:val="-2"/>
          <w:sz w:val="24"/>
        </w:rPr>
      </w:pPr>
      <w:r>
        <w:rPr>
          <w:rFonts w:ascii="宋体" w:hAnsi="宋体"/>
          <w:spacing w:val="-2"/>
          <w:sz w:val="24"/>
        </w:rPr>
        <w:t>(6)法律、法规和招标文件规定的其他无效情形。</w:t>
      </w:r>
    </w:p>
    <w:p>
      <w:pPr>
        <w:spacing w:line="360" w:lineRule="auto"/>
        <w:ind w:firstLine="472" w:firstLineChars="200"/>
        <w:rPr>
          <w:rFonts w:ascii="宋体" w:hAnsi="宋体"/>
          <w:spacing w:val="-2"/>
          <w:sz w:val="24"/>
        </w:rPr>
      </w:pPr>
      <w:r>
        <w:rPr>
          <w:rFonts w:ascii="宋体" w:hAnsi="宋体"/>
          <w:spacing w:val="-2"/>
          <w:sz w:val="24"/>
        </w:rPr>
        <w:t>27.6  评标委员会应当审查每一投标文件是否对招标文件提出的所有实质性要求和条件做出响应。未能在实质上响应的投标，其投标将被否决。</w:t>
      </w:r>
    </w:p>
    <w:p>
      <w:pPr>
        <w:spacing w:line="360" w:lineRule="auto"/>
        <w:ind w:firstLine="472" w:firstLineChars="200"/>
        <w:rPr>
          <w:rFonts w:ascii="宋体" w:hAnsi="宋体"/>
          <w:spacing w:val="-2"/>
          <w:sz w:val="24"/>
        </w:rPr>
      </w:pPr>
      <w:r>
        <w:rPr>
          <w:rFonts w:ascii="宋体" w:hAnsi="宋体"/>
          <w:spacing w:val="-2"/>
          <w:sz w:val="24"/>
        </w:rPr>
        <w:t>27.7　投标人不得误导、干扰采购方的评审活动，否则将废除其投标。</w:t>
      </w:r>
    </w:p>
    <w:p>
      <w:pPr>
        <w:spacing w:line="360" w:lineRule="auto"/>
        <w:ind w:firstLine="472" w:firstLineChars="200"/>
        <w:rPr>
          <w:rFonts w:ascii="宋体" w:hAnsi="宋体"/>
          <w:spacing w:val="-2"/>
          <w:sz w:val="24"/>
        </w:rPr>
      </w:pPr>
      <w:r>
        <w:rPr>
          <w:rFonts w:ascii="宋体" w:hAnsi="宋体"/>
          <w:spacing w:val="-2"/>
          <w:sz w:val="24"/>
        </w:rPr>
        <w:t>27.8 评标委员会根据上述规定否决不合格投标，因有效投标不足本次评审办法规定数量而使得投标明显缺乏竞争性时，根据《中华人民共和国政府采购法》的相关规定，将作流标处理。</w:t>
      </w:r>
    </w:p>
    <w:p>
      <w:pPr>
        <w:spacing w:line="360" w:lineRule="auto"/>
        <w:ind w:firstLine="474" w:firstLineChars="200"/>
        <w:rPr>
          <w:rFonts w:ascii="宋体" w:hAnsi="宋体"/>
          <w:b/>
          <w:spacing w:val="-2"/>
          <w:sz w:val="24"/>
        </w:rPr>
      </w:pPr>
      <w:r>
        <w:rPr>
          <w:rFonts w:ascii="宋体" w:hAnsi="宋体"/>
          <w:b/>
          <w:spacing w:val="-2"/>
          <w:sz w:val="24"/>
        </w:rPr>
        <w:t>初步评审的标准详见附表1。</w:t>
      </w:r>
    </w:p>
    <w:p>
      <w:pPr>
        <w:spacing w:line="360" w:lineRule="auto"/>
        <w:ind w:firstLine="474" w:firstLineChars="200"/>
        <w:rPr>
          <w:rFonts w:ascii="宋体" w:hAnsi="宋体"/>
          <w:b/>
          <w:bCs/>
          <w:sz w:val="24"/>
        </w:rPr>
      </w:pPr>
      <w:r>
        <w:rPr>
          <w:rFonts w:ascii="宋体" w:hAnsi="宋体"/>
          <w:b/>
          <w:spacing w:val="-2"/>
          <w:sz w:val="24"/>
        </w:rPr>
        <w:t xml:space="preserve">28. </w:t>
      </w:r>
      <w:r>
        <w:rPr>
          <w:rFonts w:ascii="宋体" w:hAnsi="宋体"/>
          <w:b/>
          <w:bCs/>
          <w:sz w:val="24"/>
        </w:rPr>
        <w:t>投标文件计算错误的修正</w:t>
      </w:r>
    </w:p>
    <w:p>
      <w:pPr>
        <w:spacing w:line="360" w:lineRule="auto"/>
        <w:ind w:firstLine="480" w:firstLineChars="200"/>
        <w:rPr>
          <w:rFonts w:ascii="宋体" w:hAnsi="宋体"/>
          <w:sz w:val="24"/>
        </w:rPr>
      </w:pPr>
      <w:r>
        <w:rPr>
          <w:rFonts w:ascii="宋体" w:hAnsi="宋体"/>
          <w:sz w:val="24"/>
        </w:rPr>
        <w:t>28.1 投标文件中报价出现前后不一致的，评标委员会按以下原则对投标报价进行修正：</w:t>
      </w:r>
    </w:p>
    <w:p>
      <w:pPr>
        <w:spacing w:line="360" w:lineRule="auto"/>
        <w:ind w:firstLine="480" w:firstLineChars="200"/>
        <w:rPr>
          <w:rFonts w:ascii="宋体" w:hAnsi="宋体"/>
          <w:sz w:val="24"/>
        </w:rPr>
      </w:pPr>
      <w:r>
        <w:rPr>
          <w:rFonts w:ascii="宋体" w:hAnsi="宋体"/>
          <w:sz w:val="24"/>
        </w:rPr>
        <w:t>a.投标文件中开标一览表（报价表）内容与投标文件中相应内容不一致的，以开标一览表（报价表）为准；</w:t>
      </w:r>
    </w:p>
    <w:p>
      <w:pPr>
        <w:spacing w:line="360" w:lineRule="auto"/>
        <w:ind w:firstLine="480" w:firstLineChars="200"/>
        <w:rPr>
          <w:rFonts w:ascii="宋体" w:hAnsi="宋体"/>
          <w:sz w:val="24"/>
        </w:rPr>
      </w:pPr>
      <w:r>
        <w:rPr>
          <w:rFonts w:ascii="宋体" w:hAnsi="宋体"/>
          <w:sz w:val="24"/>
        </w:rPr>
        <w:t>b.大写金额和小写金额不一致的，以大写金额为准；</w:t>
      </w:r>
    </w:p>
    <w:p>
      <w:pPr>
        <w:spacing w:line="360" w:lineRule="auto"/>
        <w:ind w:firstLine="480" w:firstLineChars="200"/>
        <w:rPr>
          <w:rFonts w:ascii="宋体" w:hAnsi="宋体"/>
          <w:sz w:val="24"/>
        </w:rPr>
      </w:pPr>
      <w:r>
        <w:rPr>
          <w:rFonts w:ascii="宋体" w:hAnsi="宋体"/>
          <w:sz w:val="24"/>
        </w:rPr>
        <w:t>c.单价金额小数点或者百分比有明显错位的，以开标一览表的总价为准，并修改单价；</w:t>
      </w:r>
    </w:p>
    <w:p>
      <w:pPr>
        <w:spacing w:line="360" w:lineRule="auto"/>
        <w:ind w:firstLine="480" w:firstLineChars="200"/>
        <w:rPr>
          <w:rFonts w:ascii="宋体" w:hAnsi="宋体"/>
          <w:sz w:val="24"/>
        </w:rPr>
      </w:pPr>
      <w:r>
        <w:rPr>
          <w:rFonts w:ascii="宋体" w:hAnsi="宋体"/>
          <w:sz w:val="24"/>
        </w:rPr>
        <w:t>d.总价金额与按单价汇总金额不一致的，以单价金额计算结果为准。</w:t>
      </w:r>
    </w:p>
    <w:p>
      <w:pPr>
        <w:spacing w:line="360" w:lineRule="auto"/>
        <w:ind w:firstLine="480" w:firstLineChars="200"/>
        <w:rPr>
          <w:rFonts w:ascii="宋体" w:hAnsi="宋体"/>
          <w:sz w:val="24"/>
        </w:rPr>
      </w:pPr>
      <w:r>
        <w:rPr>
          <w:rFonts w:ascii="宋体" w:hAnsi="宋体"/>
          <w:sz w:val="24"/>
        </w:rPr>
        <w:t>同时出现两种以上不一致的，按照前款规定的顺序修正。</w:t>
      </w:r>
    </w:p>
    <w:p>
      <w:pPr>
        <w:spacing w:line="360" w:lineRule="auto"/>
        <w:ind w:firstLine="480" w:firstLineChars="200"/>
        <w:rPr>
          <w:rFonts w:ascii="宋体" w:hAnsi="宋体"/>
          <w:sz w:val="24"/>
        </w:rPr>
      </w:pPr>
      <w:r>
        <w:rPr>
          <w:rFonts w:ascii="宋体" w:hAnsi="宋体"/>
          <w:sz w:val="24"/>
        </w:rPr>
        <w:t>28.2 修正后的最终投标报价若超过最高投标限价（如有），评标委员会应当否决其投标。</w:t>
      </w:r>
    </w:p>
    <w:p>
      <w:pPr>
        <w:spacing w:line="360" w:lineRule="auto"/>
        <w:ind w:firstLine="480" w:firstLineChars="200"/>
        <w:jc w:val="left"/>
        <w:rPr>
          <w:rFonts w:ascii="宋体" w:hAnsi="宋体"/>
          <w:sz w:val="24"/>
        </w:rPr>
      </w:pPr>
      <w:r>
        <w:rPr>
          <w:rFonts w:ascii="宋体" w:hAnsi="宋体"/>
          <w:sz w:val="24"/>
        </w:rPr>
        <w:t>28.3按上述修正错误的原则及方法调整或修正投标文件的投标报价，经投标人确认后，对投标人起约束作用。如果投标人不确认的，则其投标无效。</w:t>
      </w:r>
    </w:p>
    <w:p>
      <w:pPr>
        <w:spacing w:line="360" w:lineRule="auto"/>
        <w:ind w:firstLine="474" w:firstLineChars="200"/>
        <w:rPr>
          <w:rFonts w:ascii="宋体" w:hAnsi="宋体"/>
          <w:b/>
          <w:bCs/>
          <w:sz w:val="24"/>
        </w:rPr>
      </w:pPr>
      <w:r>
        <w:rPr>
          <w:rFonts w:ascii="宋体" w:hAnsi="宋体"/>
          <w:b/>
          <w:spacing w:val="-2"/>
          <w:sz w:val="24"/>
        </w:rPr>
        <w:t xml:space="preserve">29. </w:t>
      </w:r>
      <w:r>
        <w:rPr>
          <w:rFonts w:ascii="宋体" w:hAnsi="宋体"/>
          <w:b/>
          <w:bCs/>
          <w:sz w:val="24"/>
        </w:rPr>
        <w:t>详细评审</w:t>
      </w:r>
    </w:p>
    <w:p>
      <w:pPr>
        <w:spacing w:line="360" w:lineRule="auto"/>
        <w:ind w:firstLine="472" w:firstLineChars="200"/>
        <w:rPr>
          <w:rFonts w:ascii="宋体" w:hAnsi="宋体"/>
          <w:spacing w:val="-2"/>
          <w:sz w:val="24"/>
        </w:rPr>
      </w:pPr>
      <w:r>
        <w:rPr>
          <w:rFonts w:ascii="宋体" w:hAnsi="宋体"/>
          <w:spacing w:val="-2"/>
          <w:sz w:val="24"/>
        </w:rPr>
        <w:t>29.1  经符合性审查合格的投标文件，评标委员会应当根据招标文件确定的评审标准和方法，对其技术和商务部分进行综合比较与评价。</w:t>
      </w:r>
    </w:p>
    <w:p>
      <w:pPr>
        <w:spacing w:line="360" w:lineRule="auto"/>
        <w:ind w:firstLine="472" w:firstLineChars="200"/>
        <w:rPr>
          <w:rFonts w:ascii="宋体" w:hAnsi="宋体"/>
          <w:spacing w:val="-2"/>
          <w:sz w:val="24"/>
        </w:rPr>
      </w:pPr>
      <w:r>
        <w:rPr>
          <w:rFonts w:ascii="宋体" w:hAnsi="宋体"/>
          <w:spacing w:val="-2"/>
          <w:sz w:val="24"/>
        </w:rPr>
        <w:t>29.2 评标时，评标委员会各成员应当独立对每个投标人的投标文件进行评价，并汇总每个投标人的得分。</w:t>
      </w:r>
    </w:p>
    <w:p>
      <w:pPr>
        <w:spacing w:line="360" w:lineRule="auto"/>
        <w:ind w:firstLine="472" w:firstLineChars="200"/>
        <w:rPr>
          <w:rFonts w:ascii="宋体" w:hAnsi="宋体"/>
          <w:spacing w:val="-2"/>
          <w:sz w:val="24"/>
        </w:rPr>
      </w:pPr>
      <w:r>
        <w:rPr>
          <w:rFonts w:ascii="宋体" w:hAnsi="宋体"/>
          <w:spacing w:val="-2"/>
          <w:sz w:val="24"/>
        </w:rPr>
        <w:t>29.3  评审和定标一般应当在开标后7个工作日内完成，项目金额较大、技术较为复杂等特殊项目的评审工作应当在30个工作日内完成。不能在开标后30个工作日内完成评审和定标的，招标人应当提前3天通知所有投标人延长投标有效期。同意延长投标有效期的投标人应当相应延长投标保证金的有效期，但不得修改投标文件的实质性内容。</w:t>
      </w:r>
    </w:p>
    <w:p>
      <w:pPr>
        <w:spacing w:line="360" w:lineRule="auto"/>
        <w:ind w:firstLine="464" w:firstLineChars="197"/>
        <w:rPr>
          <w:rFonts w:ascii="宋体" w:hAnsi="宋体"/>
          <w:spacing w:val="-2"/>
          <w:sz w:val="24"/>
        </w:rPr>
      </w:pPr>
      <w:r>
        <w:rPr>
          <w:rFonts w:ascii="宋体" w:hAnsi="宋体"/>
          <w:spacing w:val="-2"/>
          <w:sz w:val="24"/>
        </w:rPr>
        <w:t>29.4评审因素及标准(详见评分细则)</w:t>
      </w:r>
    </w:p>
    <w:p>
      <w:pPr>
        <w:spacing w:line="360" w:lineRule="auto"/>
        <w:ind w:firstLine="472" w:firstLineChars="200"/>
        <w:rPr>
          <w:rFonts w:ascii="宋体" w:hAnsi="宋体"/>
          <w:spacing w:val="-2"/>
          <w:sz w:val="24"/>
        </w:rPr>
      </w:pPr>
      <w:r>
        <w:rPr>
          <w:rFonts w:ascii="宋体" w:hAnsi="宋体"/>
          <w:spacing w:val="-2"/>
          <w:sz w:val="24"/>
        </w:rPr>
        <w:t>评审因素：与投标人所提供货物服务的质量相关，包括投标报价、技术或者服务水平、履约能力、售后服务等。</w:t>
      </w:r>
    </w:p>
    <w:p>
      <w:pPr>
        <w:spacing w:line="360" w:lineRule="auto"/>
        <w:ind w:firstLine="482"/>
        <w:rPr>
          <w:rFonts w:ascii="宋体" w:hAnsi="宋体"/>
          <w:b/>
          <w:sz w:val="24"/>
        </w:rPr>
      </w:pPr>
      <w:r>
        <w:rPr>
          <w:rFonts w:ascii="宋体" w:hAnsi="宋体"/>
          <w:b/>
          <w:sz w:val="24"/>
        </w:rPr>
        <w:t>（1） 商务技术部分  70分；</w:t>
      </w:r>
    </w:p>
    <w:p>
      <w:pPr>
        <w:spacing w:line="360" w:lineRule="auto"/>
        <w:ind w:firstLine="482"/>
        <w:rPr>
          <w:rFonts w:ascii="宋体" w:hAnsi="宋体"/>
          <w:b/>
          <w:sz w:val="24"/>
        </w:rPr>
      </w:pPr>
      <w:r>
        <w:rPr>
          <w:rFonts w:ascii="宋体" w:hAnsi="宋体"/>
          <w:b/>
          <w:sz w:val="24"/>
        </w:rPr>
        <w:t>（2） 投标报价部分  30分。</w:t>
      </w:r>
    </w:p>
    <w:p>
      <w:pPr>
        <w:spacing w:line="360" w:lineRule="auto"/>
        <w:ind w:firstLine="482"/>
        <w:rPr>
          <w:rFonts w:ascii="宋体" w:hAnsi="宋体"/>
          <w:b/>
          <w:sz w:val="24"/>
        </w:rPr>
      </w:pPr>
      <w:r>
        <w:rPr>
          <w:rFonts w:ascii="宋体" w:hAnsi="宋体"/>
          <w:sz w:val="24"/>
        </w:rPr>
        <w:t>计算各项分值时，按四舍五入的原则，保留小数点后二位。</w:t>
      </w:r>
    </w:p>
    <w:p>
      <w:pPr>
        <w:spacing w:line="360" w:lineRule="auto"/>
        <w:ind w:left="420" w:leftChars="200" w:firstLine="60" w:firstLineChars="25"/>
        <w:rPr>
          <w:rFonts w:ascii="宋体" w:hAnsi="宋体"/>
          <w:b/>
          <w:sz w:val="24"/>
        </w:rPr>
      </w:pPr>
      <w:r>
        <w:rPr>
          <w:rFonts w:ascii="宋体" w:hAnsi="宋体"/>
          <w:b/>
          <w:sz w:val="24"/>
        </w:rPr>
        <w:t>29.5报价</w:t>
      </w:r>
    </w:p>
    <w:p>
      <w:pPr>
        <w:spacing w:line="360" w:lineRule="auto"/>
        <w:ind w:firstLine="472" w:firstLineChars="200"/>
        <w:rPr>
          <w:rFonts w:ascii="宋体" w:hAnsi="宋体"/>
          <w:spacing w:val="-2"/>
          <w:sz w:val="24"/>
        </w:rPr>
      </w:pPr>
      <w:r>
        <w:rPr>
          <w:rFonts w:ascii="宋体" w:hAnsi="宋体"/>
          <w:spacing w:val="-2"/>
          <w:sz w:val="24"/>
        </w:rPr>
        <w:t>29.5.1本项目为</w:t>
      </w:r>
      <w:r>
        <w:rPr>
          <w:rFonts w:hint="eastAsia" w:ascii="宋体" w:hAnsi="宋体" w:cs="宋体"/>
          <w:sz w:val="24"/>
        </w:rPr>
        <w:t>竞争性磋商</w:t>
      </w:r>
      <w:r>
        <w:rPr>
          <w:rFonts w:hint="eastAsia" w:ascii="宋体" w:hAnsi="宋体"/>
          <w:spacing w:val="-2"/>
          <w:sz w:val="24"/>
        </w:rPr>
        <w:t>;</w:t>
      </w:r>
    </w:p>
    <w:p>
      <w:pPr>
        <w:spacing w:line="360" w:lineRule="auto"/>
        <w:ind w:firstLine="472" w:firstLineChars="200"/>
        <w:rPr>
          <w:rFonts w:ascii="宋体" w:hAnsi="宋体"/>
          <w:spacing w:val="-2"/>
          <w:sz w:val="24"/>
        </w:rPr>
      </w:pPr>
      <w:r>
        <w:rPr>
          <w:rFonts w:ascii="宋体" w:hAnsi="宋体"/>
          <w:spacing w:val="-2"/>
          <w:sz w:val="24"/>
        </w:rPr>
        <w:t>报价得分计算说明：</w:t>
      </w:r>
    </w:p>
    <w:p>
      <w:pPr>
        <w:spacing w:line="360" w:lineRule="auto"/>
        <w:ind w:firstLine="472" w:firstLineChars="200"/>
        <w:rPr>
          <w:rFonts w:ascii="宋体" w:hAnsi="宋体"/>
          <w:spacing w:val="-2"/>
          <w:sz w:val="24"/>
        </w:rPr>
      </w:pPr>
      <w:r>
        <w:rPr>
          <w:rFonts w:ascii="宋体" w:hAnsi="宋体"/>
          <w:spacing w:val="-2"/>
          <w:sz w:val="24"/>
        </w:rPr>
        <w:t>本次评标采用综合评分法；价格分采用低价优先法计算，即满足招标文件要求且投标价格最低的投标报价为评标基准价，其价格分为满分。其他投标人的价格分统一按照下列公式计算：</w:t>
      </w:r>
    </w:p>
    <w:p>
      <w:pPr>
        <w:spacing w:line="360" w:lineRule="auto"/>
        <w:ind w:firstLine="472" w:firstLineChars="200"/>
        <w:rPr>
          <w:rFonts w:ascii="宋体" w:hAnsi="宋体"/>
          <w:spacing w:val="-2"/>
          <w:sz w:val="24"/>
        </w:rPr>
      </w:pPr>
      <w:r>
        <w:rPr>
          <w:rFonts w:ascii="宋体" w:hAnsi="宋体"/>
          <w:spacing w:val="-2"/>
          <w:sz w:val="24"/>
        </w:rPr>
        <w:t>投标报价得分=（评标基准价/投标报价）×价格权值×100</w:t>
      </w:r>
    </w:p>
    <w:p>
      <w:pPr>
        <w:spacing w:line="360" w:lineRule="auto"/>
        <w:ind w:firstLine="472" w:firstLineChars="200"/>
        <w:rPr>
          <w:rFonts w:ascii="宋体" w:hAnsi="宋体"/>
          <w:spacing w:val="-2"/>
          <w:sz w:val="24"/>
        </w:rPr>
      </w:pPr>
      <w:r>
        <w:rPr>
          <w:rFonts w:ascii="宋体" w:hAnsi="宋体"/>
          <w:spacing w:val="-2"/>
          <w:sz w:val="24"/>
        </w:rPr>
        <w:t>本项目的价格权重为</w:t>
      </w:r>
      <w:r>
        <w:rPr>
          <w:rFonts w:ascii="宋体" w:hAnsi="宋体"/>
          <w:b/>
          <w:bCs/>
          <w:spacing w:val="-2"/>
          <w:sz w:val="24"/>
        </w:rPr>
        <w:t>30%</w:t>
      </w:r>
    </w:p>
    <w:p>
      <w:pPr>
        <w:spacing w:line="360" w:lineRule="auto"/>
        <w:ind w:firstLine="482"/>
        <w:rPr>
          <w:rFonts w:ascii="宋体" w:hAnsi="宋体"/>
          <w:sz w:val="24"/>
        </w:rPr>
      </w:pPr>
      <w:r>
        <w:rPr>
          <w:rFonts w:ascii="宋体" w:hAnsi="宋体"/>
          <w:sz w:val="24"/>
        </w:rPr>
        <w:t>评标过程中，不得去掉报价中的最高报价和最低报价。</w:t>
      </w:r>
    </w:p>
    <w:p>
      <w:pPr>
        <w:spacing w:line="360" w:lineRule="auto"/>
        <w:ind w:firstLine="480" w:firstLineChars="200"/>
        <w:rPr>
          <w:rFonts w:ascii="宋体" w:hAnsi="宋体"/>
          <w:sz w:val="24"/>
        </w:rPr>
      </w:pPr>
      <w:r>
        <w:rPr>
          <w:rFonts w:hint="eastAsia" w:ascii="宋体" w:hAnsi="宋体"/>
          <w:sz w:val="24"/>
        </w:rPr>
        <w:t>29.5.2产品符合促进中小企业（监狱企业、残疾人福利性单位）发展政策的，对小型和微型企业（监狱企业、残疾人福利性单位）产品的价格给予6%的扣除，用扣除后的价格参与评审打分。若投标人和小微企业的产品/服务制造商有一个符合小微企业条件，并且提供了《中小企业声明函》及加盖单位公章的声明函附件（须说明投标人和产品/服务制造商的从业人员、营业收入、资产总额、应纳税所得额等相关情况）的，则其评标价=投标人报价中属于小型和微型企业产品/服务的价格部分×（100%-6%）+投标人报价中不属于小型和微型企业产品/服务的价格部分；否则，其评标价=投标人报价。</w:t>
      </w:r>
    </w:p>
    <w:p>
      <w:pPr>
        <w:spacing w:line="360" w:lineRule="auto"/>
        <w:ind w:firstLine="480" w:firstLineChars="200"/>
        <w:rPr>
          <w:rFonts w:ascii="宋体" w:hAnsi="宋体"/>
          <w:sz w:val="24"/>
        </w:rPr>
      </w:pPr>
      <w:r>
        <w:rPr>
          <w:rFonts w:ascii="宋体" w:hAnsi="宋体"/>
          <w:sz w:val="24"/>
        </w:rPr>
        <w:t>29.5.</w:t>
      </w:r>
      <w:r>
        <w:rPr>
          <w:rFonts w:hint="eastAsia" w:ascii="宋体" w:hAnsi="宋体"/>
          <w:sz w:val="24"/>
        </w:rPr>
        <w:t>3</w:t>
      </w:r>
      <w:r>
        <w:rPr>
          <w:rFonts w:ascii="宋体" w:hAnsi="宋体"/>
          <w:sz w:val="24"/>
        </w:rPr>
        <w:t xml:space="preserve"> </w:t>
      </w:r>
      <w:r>
        <w:rPr>
          <w:rFonts w:hint="eastAsia" w:ascii="宋体" w:hAnsi="宋体"/>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spacing w:line="360" w:lineRule="auto"/>
        <w:ind w:firstLine="472" w:firstLineChars="200"/>
        <w:rPr>
          <w:rFonts w:ascii="宋体" w:hAnsi="宋体"/>
          <w:spacing w:val="-2"/>
          <w:sz w:val="24"/>
        </w:rPr>
      </w:pPr>
      <w:r>
        <w:rPr>
          <w:rFonts w:ascii="宋体" w:hAnsi="宋体"/>
          <w:spacing w:val="-2"/>
          <w:sz w:val="24"/>
        </w:rPr>
        <w:t xml:space="preserve">29.6 </w:t>
      </w:r>
      <w:r>
        <w:rPr>
          <w:rFonts w:hint="eastAsia" w:ascii="宋体" w:hAnsi="宋体"/>
          <w:spacing w:val="-2"/>
          <w:sz w:val="24"/>
        </w:rPr>
        <w:t>综合得分</w:t>
      </w:r>
    </w:p>
    <w:p>
      <w:pPr>
        <w:spacing w:line="360" w:lineRule="auto"/>
        <w:ind w:firstLine="472" w:firstLineChars="200"/>
        <w:rPr>
          <w:rFonts w:ascii="宋体" w:hAnsi="宋体"/>
          <w:spacing w:val="-2"/>
          <w:sz w:val="24"/>
        </w:rPr>
      </w:pPr>
      <w:r>
        <w:rPr>
          <w:rFonts w:hint="eastAsia" w:ascii="宋体" w:hAnsi="宋体"/>
          <w:spacing w:val="-2"/>
          <w:sz w:val="24"/>
        </w:rPr>
        <w:t>综合得分</w:t>
      </w:r>
      <w:r>
        <w:rPr>
          <w:rFonts w:ascii="宋体" w:hAnsi="宋体"/>
          <w:spacing w:val="-2"/>
          <w:sz w:val="24"/>
        </w:rPr>
        <w:t>=</w:t>
      </w:r>
      <w:r>
        <w:rPr>
          <w:rFonts w:hint="eastAsia" w:ascii="宋体" w:hAnsi="宋体"/>
          <w:spacing w:val="-2"/>
          <w:sz w:val="24"/>
        </w:rPr>
        <w:t>商务技术部分得分</w:t>
      </w:r>
      <w:r>
        <w:rPr>
          <w:rFonts w:ascii="宋体" w:hAnsi="宋体"/>
          <w:spacing w:val="-2"/>
          <w:sz w:val="24"/>
        </w:rPr>
        <w:t xml:space="preserve">+ </w:t>
      </w:r>
      <w:r>
        <w:rPr>
          <w:rFonts w:hint="eastAsia" w:ascii="宋体" w:hAnsi="宋体"/>
          <w:spacing w:val="-2"/>
          <w:sz w:val="24"/>
        </w:rPr>
        <w:t>投标报价部分得分。</w:t>
      </w:r>
    </w:p>
    <w:p>
      <w:pPr>
        <w:spacing w:line="360" w:lineRule="auto"/>
        <w:ind w:firstLine="474" w:firstLineChars="200"/>
        <w:rPr>
          <w:rFonts w:ascii="宋体" w:hAnsi="宋体"/>
          <w:b/>
          <w:spacing w:val="-2"/>
          <w:sz w:val="24"/>
        </w:rPr>
      </w:pPr>
      <w:r>
        <w:rPr>
          <w:rFonts w:ascii="宋体" w:hAnsi="宋体"/>
          <w:b/>
          <w:spacing w:val="-2"/>
          <w:sz w:val="24"/>
        </w:rPr>
        <w:t>详细评审的标准详见附表。</w:t>
      </w:r>
    </w:p>
    <w:p>
      <w:pPr>
        <w:widowControl/>
        <w:spacing w:line="360" w:lineRule="auto"/>
        <w:rPr>
          <w:rFonts w:ascii="宋体" w:hAnsi="宋体"/>
          <w:b/>
          <w:sz w:val="28"/>
          <w:szCs w:val="28"/>
        </w:rPr>
      </w:pPr>
    </w:p>
    <w:p>
      <w:pPr>
        <w:pStyle w:val="27"/>
        <w:spacing w:line="360" w:lineRule="auto"/>
        <w:rPr>
          <w:rFonts w:ascii="宋体" w:hAnsi="宋体"/>
          <w:b/>
          <w:sz w:val="28"/>
          <w:szCs w:val="28"/>
        </w:rPr>
      </w:pPr>
    </w:p>
    <w:p>
      <w:pPr>
        <w:spacing w:line="360" w:lineRule="auto"/>
        <w:rPr>
          <w:rFonts w:ascii="宋体" w:hAnsi="宋体"/>
          <w:b/>
          <w:sz w:val="28"/>
          <w:szCs w:val="28"/>
        </w:rPr>
      </w:pPr>
    </w:p>
    <w:p>
      <w:pPr>
        <w:pStyle w:val="27"/>
        <w:spacing w:line="360" w:lineRule="auto"/>
        <w:rPr>
          <w:rFonts w:ascii="宋体" w:hAnsi="宋体"/>
        </w:rPr>
      </w:pPr>
    </w:p>
    <w:p>
      <w:pPr>
        <w:widowControl/>
        <w:spacing w:line="360" w:lineRule="auto"/>
        <w:rPr>
          <w:rFonts w:ascii="宋体" w:hAnsi="宋体"/>
          <w:b/>
          <w:sz w:val="28"/>
          <w:szCs w:val="28"/>
        </w:rPr>
      </w:pPr>
    </w:p>
    <w:p>
      <w:pPr>
        <w:widowControl/>
        <w:jc w:val="left"/>
        <w:rPr>
          <w:rFonts w:ascii="宋体" w:hAnsi="宋体"/>
          <w:b/>
          <w:kern w:val="0"/>
          <w:sz w:val="28"/>
          <w:szCs w:val="28"/>
        </w:rPr>
      </w:pPr>
      <w:r>
        <w:rPr>
          <w:rFonts w:ascii="宋体" w:hAnsi="宋体"/>
          <w:sz w:val="28"/>
          <w:szCs w:val="28"/>
        </w:rPr>
        <w:br w:type="page"/>
      </w:r>
    </w:p>
    <w:p>
      <w:pPr>
        <w:pStyle w:val="5"/>
        <w:spacing w:before="0" w:after="0" w:line="360" w:lineRule="auto"/>
        <w:rPr>
          <w:rFonts w:ascii="宋体" w:hAnsi="宋体" w:eastAsia="宋体"/>
          <w:b w:val="0"/>
          <w:sz w:val="28"/>
          <w:szCs w:val="28"/>
        </w:rPr>
      </w:pPr>
      <w:r>
        <w:rPr>
          <w:rFonts w:ascii="宋体" w:hAnsi="宋体" w:eastAsia="宋体"/>
          <w:sz w:val="28"/>
          <w:szCs w:val="28"/>
        </w:rPr>
        <w:t>附表：初步评审-符合性审查表</w:t>
      </w:r>
    </w:p>
    <w:tbl>
      <w:tblPr>
        <w:tblStyle w:val="88"/>
        <w:tblW w:w="8966" w:type="dxa"/>
        <w:tblInd w:w="-147" w:type="dxa"/>
        <w:tblLayout w:type="fixed"/>
        <w:tblCellMar>
          <w:top w:w="0" w:type="dxa"/>
          <w:left w:w="57" w:type="dxa"/>
          <w:bottom w:w="0" w:type="dxa"/>
          <w:right w:w="0" w:type="dxa"/>
        </w:tblCellMar>
      </w:tblPr>
      <w:tblGrid>
        <w:gridCol w:w="568"/>
        <w:gridCol w:w="6945"/>
        <w:gridCol w:w="629"/>
        <w:gridCol w:w="824"/>
      </w:tblGrid>
      <w:tr>
        <w:tblPrEx>
          <w:tblCellMar>
            <w:top w:w="0" w:type="dxa"/>
            <w:left w:w="57" w:type="dxa"/>
            <w:bottom w:w="0" w:type="dxa"/>
            <w:right w:w="0" w:type="dxa"/>
          </w:tblCellMar>
        </w:tblPrEx>
        <w:trPr>
          <w:trHeight w:val="326" w:hRule="atLeast"/>
        </w:trPr>
        <w:tc>
          <w:tcPr>
            <w:tcW w:w="568" w:type="dxa"/>
            <w:vMerge w:val="restart"/>
            <w:tcBorders>
              <w:top w:val="single" w:color="auto" w:sz="4" w:space="0"/>
              <w:left w:val="single" w:color="auto" w:sz="4" w:space="0"/>
              <w:right w:val="single" w:color="auto" w:sz="4" w:space="0"/>
            </w:tcBorders>
            <w:noWrap/>
            <w:vAlign w:val="center"/>
          </w:tcPr>
          <w:p>
            <w:pPr>
              <w:widowControl/>
              <w:spacing w:line="360" w:lineRule="auto"/>
              <w:jc w:val="center"/>
              <w:rPr>
                <w:rFonts w:ascii="宋体" w:hAnsi="宋体" w:cs="宋体"/>
                <w:kern w:val="0"/>
                <w:szCs w:val="21"/>
              </w:rPr>
            </w:pPr>
            <w:r>
              <w:rPr>
                <w:rFonts w:hint="eastAsia" w:ascii="宋体" w:hAnsi="宋体" w:cs="宋体"/>
                <w:kern w:val="0"/>
                <w:szCs w:val="21"/>
              </w:rPr>
              <w:t>序号</w:t>
            </w:r>
          </w:p>
        </w:tc>
        <w:tc>
          <w:tcPr>
            <w:tcW w:w="6945" w:type="dxa"/>
            <w:vMerge w:val="restart"/>
            <w:tcBorders>
              <w:top w:val="single" w:color="auto" w:sz="4" w:space="0"/>
              <w:left w:val="single" w:color="auto" w:sz="4" w:space="0"/>
              <w:right w:val="single" w:color="auto" w:sz="4" w:space="0"/>
            </w:tcBorders>
            <w:noWrap/>
            <w:vAlign w:val="center"/>
          </w:tcPr>
          <w:p>
            <w:pPr>
              <w:widowControl/>
              <w:spacing w:line="360" w:lineRule="auto"/>
              <w:jc w:val="center"/>
              <w:rPr>
                <w:rFonts w:ascii="宋体" w:hAnsi="宋体" w:cs="宋体"/>
                <w:kern w:val="0"/>
                <w:szCs w:val="21"/>
              </w:rPr>
            </w:pPr>
            <w:r>
              <w:rPr>
                <w:rFonts w:hint="eastAsia" w:ascii="宋体" w:hAnsi="宋体" w:cs="宋体"/>
                <w:kern w:val="0"/>
                <w:szCs w:val="21"/>
              </w:rPr>
              <w:t>投标文件符合性审查内容</w:t>
            </w:r>
          </w:p>
        </w:tc>
        <w:tc>
          <w:tcPr>
            <w:tcW w:w="1453" w:type="dxa"/>
            <w:gridSpan w:val="2"/>
            <w:tcBorders>
              <w:top w:val="single" w:color="auto" w:sz="4" w:space="0"/>
              <w:left w:val="nil"/>
              <w:bottom w:val="single" w:color="auto" w:sz="4" w:space="0"/>
              <w:right w:val="single" w:color="auto" w:sz="4" w:space="0"/>
            </w:tcBorders>
            <w:noWrap/>
            <w:vAlign w:val="center"/>
          </w:tcPr>
          <w:p>
            <w:pPr>
              <w:widowControl/>
              <w:spacing w:line="360" w:lineRule="auto"/>
              <w:jc w:val="center"/>
              <w:rPr>
                <w:rFonts w:ascii="宋体" w:hAnsi="宋体" w:cs="宋体"/>
                <w:kern w:val="0"/>
                <w:szCs w:val="21"/>
              </w:rPr>
            </w:pPr>
            <w:r>
              <w:rPr>
                <w:rFonts w:hint="eastAsia" w:ascii="宋体" w:hAnsi="宋体" w:cs="宋体"/>
                <w:kern w:val="0"/>
                <w:szCs w:val="21"/>
              </w:rPr>
              <w:t>评审意见</w:t>
            </w:r>
          </w:p>
        </w:tc>
      </w:tr>
      <w:tr>
        <w:tblPrEx>
          <w:tblCellMar>
            <w:top w:w="0" w:type="dxa"/>
            <w:left w:w="57" w:type="dxa"/>
            <w:bottom w:w="0" w:type="dxa"/>
            <w:right w:w="0" w:type="dxa"/>
          </w:tblCellMar>
        </w:tblPrEx>
        <w:trPr>
          <w:trHeight w:val="458" w:hRule="atLeast"/>
        </w:trPr>
        <w:tc>
          <w:tcPr>
            <w:tcW w:w="568" w:type="dxa"/>
            <w:vMerge w:val="continue"/>
            <w:tcBorders>
              <w:left w:val="single" w:color="auto" w:sz="4" w:space="0"/>
              <w:bottom w:val="single" w:color="000000" w:sz="4" w:space="0"/>
              <w:right w:val="single" w:color="auto" w:sz="4" w:space="0"/>
            </w:tcBorders>
            <w:noWrap/>
            <w:vAlign w:val="center"/>
          </w:tcPr>
          <w:p>
            <w:pPr>
              <w:widowControl/>
              <w:spacing w:line="360" w:lineRule="auto"/>
              <w:jc w:val="center"/>
              <w:rPr>
                <w:rFonts w:ascii="宋体" w:hAnsi="宋体" w:cs="宋体"/>
                <w:kern w:val="0"/>
                <w:szCs w:val="21"/>
              </w:rPr>
            </w:pPr>
          </w:p>
        </w:tc>
        <w:tc>
          <w:tcPr>
            <w:tcW w:w="6945" w:type="dxa"/>
            <w:vMerge w:val="continue"/>
            <w:tcBorders>
              <w:left w:val="single" w:color="auto" w:sz="4" w:space="0"/>
              <w:bottom w:val="single" w:color="000000" w:sz="4" w:space="0"/>
              <w:right w:val="single" w:color="auto" w:sz="4" w:space="0"/>
            </w:tcBorders>
            <w:noWrap/>
            <w:vAlign w:val="center"/>
          </w:tcPr>
          <w:p>
            <w:pPr>
              <w:widowControl/>
              <w:spacing w:line="360" w:lineRule="auto"/>
              <w:jc w:val="center"/>
              <w:rPr>
                <w:rFonts w:ascii="宋体" w:hAnsi="宋体" w:cs="宋体"/>
                <w:kern w:val="0"/>
                <w:szCs w:val="21"/>
              </w:rPr>
            </w:pPr>
          </w:p>
        </w:tc>
        <w:tc>
          <w:tcPr>
            <w:tcW w:w="629" w:type="dxa"/>
            <w:tcBorders>
              <w:top w:val="single" w:color="auto" w:sz="4" w:space="0"/>
              <w:left w:val="nil"/>
              <w:bottom w:val="single" w:color="auto" w:sz="4" w:space="0"/>
              <w:right w:val="single" w:color="auto" w:sz="4" w:space="0"/>
            </w:tcBorders>
            <w:noWrap/>
            <w:vAlign w:val="center"/>
          </w:tcPr>
          <w:p>
            <w:pPr>
              <w:widowControl/>
              <w:spacing w:line="360" w:lineRule="auto"/>
              <w:jc w:val="center"/>
              <w:rPr>
                <w:rFonts w:ascii="宋体" w:hAnsi="宋体" w:cs="宋体"/>
                <w:kern w:val="0"/>
                <w:szCs w:val="21"/>
              </w:rPr>
            </w:pPr>
            <w:r>
              <w:rPr>
                <w:rFonts w:hint="eastAsia" w:ascii="宋体" w:hAnsi="宋体" w:cs="宋体"/>
                <w:kern w:val="0"/>
                <w:szCs w:val="21"/>
              </w:rPr>
              <w:t>是</w:t>
            </w:r>
          </w:p>
        </w:tc>
        <w:tc>
          <w:tcPr>
            <w:tcW w:w="824" w:type="dxa"/>
            <w:tcBorders>
              <w:top w:val="single" w:color="auto" w:sz="4" w:space="0"/>
              <w:left w:val="nil"/>
              <w:bottom w:val="single" w:color="auto" w:sz="4" w:space="0"/>
              <w:right w:val="single" w:color="auto" w:sz="4" w:space="0"/>
            </w:tcBorders>
            <w:noWrap/>
            <w:vAlign w:val="center"/>
          </w:tcPr>
          <w:p>
            <w:pPr>
              <w:widowControl/>
              <w:spacing w:line="360" w:lineRule="auto"/>
              <w:jc w:val="center"/>
              <w:rPr>
                <w:rFonts w:ascii="宋体" w:hAnsi="宋体" w:cs="宋体"/>
                <w:kern w:val="0"/>
                <w:szCs w:val="21"/>
              </w:rPr>
            </w:pPr>
            <w:r>
              <w:rPr>
                <w:rFonts w:hint="eastAsia" w:ascii="宋体" w:hAnsi="宋体" w:cs="宋体"/>
                <w:kern w:val="0"/>
                <w:szCs w:val="21"/>
              </w:rPr>
              <w:t>否</w:t>
            </w:r>
          </w:p>
        </w:tc>
      </w:tr>
      <w:tr>
        <w:tblPrEx>
          <w:tblCellMar>
            <w:top w:w="0" w:type="dxa"/>
            <w:left w:w="57" w:type="dxa"/>
            <w:bottom w:w="0" w:type="dxa"/>
            <w:right w:w="0" w:type="dxa"/>
          </w:tblCellMar>
        </w:tblPrEx>
        <w:trPr>
          <w:trHeight w:val="570" w:hRule="atLeast"/>
        </w:trPr>
        <w:tc>
          <w:tcPr>
            <w:tcW w:w="568" w:type="dxa"/>
            <w:tcBorders>
              <w:top w:val="nil"/>
              <w:left w:val="single" w:color="auto" w:sz="4" w:space="0"/>
              <w:bottom w:val="single" w:color="000000" w:sz="4" w:space="0"/>
              <w:right w:val="single" w:color="auto" w:sz="4" w:space="0"/>
            </w:tcBorders>
            <w:noWrap/>
            <w:vAlign w:val="center"/>
          </w:tcPr>
          <w:p>
            <w:pPr>
              <w:widowControl/>
              <w:spacing w:line="360" w:lineRule="auto"/>
              <w:jc w:val="center"/>
              <w:rPr>
                <w:rFonts w:ascii="宋体" w:hAnsi="宋体" w:cs="宋体"/>
                <w:kern w:val="0"/>
                <w:szCs w:val="21"/>
              </w:rPr>
            </w:pPr>
            <w:r>
              <w:rPr>
                <w:rFonts w:hint="eastAsia" w:ascii="宋体" w:hAnsi="宋体" w:cs="宋体"/>
                <w:kern w:val="0"/>
                <w:szCs w:val="21"/>
              </w:rPr>
              <w:t>1</w:t>
            </w:r>
          </w:p>
        </w:tc>
        <w:tc>
          <w:tcPr>
            <w:tcW w:w="6945" w:type="dxa"/>
            <w:tcBorders>
              <w:top w:val="nil"/>
              <w:left w:val="single" w:color="auto" w:sz="4" w:space="0"/>
              <w:bottom w:val="single" w:color="000000" w:sz="4" w:space="0"/>
              <w:right w:val="single" w:color="auto" w:sz="4" w:space="0"/>
            </w:tcBorders>
            <w:noWrap/>
            <w:vAlign w:val="center"/>
          </w:tcPr>
          <w:p>
            <w:pPr>
              <w:widowControl/>
              <w:spacing w:line="360" w:lineRule="auto"/>
              <w:ind w:right="141" w:rightChars="67"/>
              <w:jc w:val="left"/>
              <w:rPr>
                <w:rFonts w:ascii="宋体" w:hAnsi="宋体" w:cs="宋体"/>
                <w:kern w:val="0"/>
                <w:szCs w:val="21"/>
              </w:rPr>
            </w:pPr>
            <w:r>
              <w:rPr>
                <w:rFonts w:hint="eastAsia" w:ascii="宋体" w:hAnsi="宋体" w:cs="宋体"/>
                <w:kern w:val="0"/>
                <w:szCs w:val="21"/>
              </w:rPr>
              <w:t>凡招标文件中要求盖章或</w:t>
            </w:r>
            <w:r>
              <w:rPr>
                <w:rFonts w:hint="eastAsia" w:ascii="宋体" w:hAnsi="宋体" w:cs="宋体"/>
                <w:szCs w:val="21"/>
                <w:lang w:val="zh-CN"/>
              </w:rPr>
              <w:t>签字</w:t>
            </w:r>
            <w:r>
              <w:rPr>
                <w:rFonts w:hint="eastAsia" w:ascii="宋体" w:hAnsi="宋体" w:cs="宋体"/>
                <w:kern w:val="0"/>
                <w:szCs w:val="21"/>
              </w:rPr>
              <w:t>处，是否按要求加盖单位公章、法定代表人或被授权委托人签字或盖章的；　</w:t>
            </w:r>
          </w:p>
        </w:tc>
        <w:tc>
          <w:tcPr>
            <w:tcW w:w="629" w:type="dxa"/>
            <w:tcBorders>
              <w:top w:val="nil"/>
              <w:left w:val="nil"/>
              <w:bottom w:val="single" w:color="auto" w:sz="4" w:space="0"/>
              <w:right w:val="single" w:color="auto" w:sz="4" w:space="0"/>
            </w:tcBorders>
            <w:noWrap/>
          </w:tcPr>
          <w:p>
            <w:pPr>
              <w:widowControl/>
              <w:spacing w:line="360" w:lineRule="auto"/>
              <w:jc w:val="center"/>
              <w:rPr>
                <w:rFonts w:ascii="宋体" w:hAnsi="宋体" w:cs="宋体"/>
                <w:kern w:val="0"/>
                <w:szCs w:val="21"/>
              </w:rPr>
            </w:pPr>
          </w:p>
        </w:tc>
        <w:tc>
          <w:tcPr>
            <w:tcW w:w="824" w:type="dxa"/>
            <w:tcBorders>
              <w:top w:val="nil"/>
              <w:left w:val="nil"/>
              <w:bottom w:val="single" w:color="auto" w:sz="4" w:space="0"/>
              <w:right w:val="single" w:color="auto" w:sz="4" w:space="0"/>
            </w:tcBorders>
            <w:noWrap/>
          </w:tcPr>
          <w:p>
            <w:pPr>
              <w:widowControl/>
              <w:spacing w:line="360" w:lineRule="auto"/>
              <w:jc w:val="center"/>
              <w:rPr>
                <w:rFonts w:ascii="宋体" w:hAnsi="宋体" w:cs="宋体"/>
                <w:kern w:val="0"/>
                <w:szCs w:val="21"/>
              </w:rPr>
            </w:pPr>
          </w:p>
        </w:tc>
      </w:tr>
      <w:tr>
        <w:tblPrEx>
          <w:tblCellMar>
            <w:top w:w="0" w:type="dxa"/>
            <w:left w:w="57" w:type="dxa"/>
            <w:bottom w:w="0" w:type="dxa"/>
            <w:right w:w="0" w:type="dxa"/>
          </w:tblCellMar>
        </w:tblPrEx>
        <w:trPr>
          <w:trHeight w:val="573" w:hRule="atLeast"/>
        </w:trPr>
        <w:tc>
          <w:tcPr>
            <w:tcW w:w="568" w:type="dxa"/>
            <w:tcBorders>
              <w:top w:val="nil"/>
              <w:left w:val="single" w:color="auto" w:sz="4" w:space="0"/>
              <w:bottom w:val="single" w:color="000000" w:sz="4" w:space="0"/>
              <w:right w:val="single" w:color="auto" w:sz="4" w:space="0"/>
            </w:tcBorders>
            <w:noWrap/>
            <w:vAlign w:val="center"/>
          </w:tcPr>
          <w:p>
            <w:pPr>
              <w:widowControl/>
              <w:spacing w:line="360" w:lineRule="auto"/>
              <w:jc w:val="center"/>
              <w:rPr>
                <w:rFonts w:ascii="宋体" w:hAnsi="宋体" w:cs="宋体"/>
                <w:kern w:val="0"/>
                <w:szCs w:val="21"/>
              </w:rPr>
            </w:pPr>
            <w:r>
              <w:rPr>
                <w:rFonts w:hint="eastAsia" w:ascii="宋体" w:hAnsi="宋体" w:cs="宋体"/>
                <w:kern w:val="0"/>
                <w:szCs w:val="21"/>
              </w:rPr>
              <w:t>2</w:t>
            </w:r>
          </w:p>
        </w:tc>
        <w:tc>
          <w:tcPr>
            <w:tcW w:w="6945" w:type="dxa"/>
            <w:tcBorders>
              <w:top w:val="nil"/>
              <w:left w:val="single" w:color="auto" w:sz="4" w:space="0"/>
              <w:bottom w:val="single" w:color="000000" w:sz="4" w:space="0"/>
              <w:right w:val="single" w:color="auto" w:sz="4" w:space="0"/>
            </w:tcBorders>
            <w:noWrap/>
            <w:vAlign w:val="center"/>
          </w:tcPr>
          <w:p>
            <w:pPr>
              <w:widowControl/>
              <w:spacing w:line="360" w:lineRule="auto"/>
              <w:ind w:right="141" w:rightChars="67"/>
              <w:jc w:val="left"/>
              <w:rPr>
                <w:rFonts w:ascii="宋体" w:hAnsi="宋体" w:cs="宋体"/>
                <w:kern w:val="0"/>
                <w:szCs w:val="21"/>
              </w:rPr>
            </w:pPr>
            <w:r>
              <w:rPr>
                <w:rFonts w:hint="eastAsia" w:ascii="宋体" w:hAnsi="宋体" w:cs="宋体"/>
                <w:kern w:val="0"/>
                <w:szCs w:val="21"/>
              </w:rPr>
              <w:t>投标文件组成齐全完整，内容均按规定填写；投标文件的关键内容是否有字迹模糊，无法辨认的；　</w:t>
            </w:r>
          </w:p>
        </w:tc>
        <w:tc>
          <w:tcPr>
            <w:tcW w:w="629" w:type="dxa"/>
            <w:tcBorders>
              <w:top w:val="nil"/>
              <w:left w:val="nil"/>
              <w:bottom w:val="single" w:color="auto" w:sz="4" w:space="0"/>
              <w:right w:val="single" w:color="auto" w:sz="4" w:space="0"/>
            </w:tcBorders>
            <w:noWrap/>
          </w:tcPr>
          <w:p>
            <w:pPr>
              <w:widowControl/>
              <w:spacing w:line="360" w:lineRule="auto"/>
              <w:jc w:val="center"/>
              <w:rPr>
                <w:rFonts w:ascii="宋体" w:hAnsi="宋体" w:cs="宋体"/>
                <w:kern w:val="0"/>
                <w:szCs w:val="21"/>
              </w:rPr>
            </w:pPr>
          </w:p>
        </w:tc>
        <w:tc>
          <w:tcPr>
            <w:tcW w:w="824" w:type="dxa"/>
            <w:tcBorders>
              <w:top w:val="nil"/>
              <w:left w:val="nil"/>
              <w:bottom w:val="single" w:color="auto" w:sz="4" w:space="0"/>
              <w:right w:val="single" w:color="auto" w:sz="4" w:space="0"/>
            </w:tcBorders>
            <w:noWrap/>
          </w:tcPr>
          <w:p>
            <w:pPr>
              <w:widowControl/>
              <w:spacing w:line="360" w:lineRule="auto"/>
              <w:jc w:val="center"/>
              <w:rPr>
                <w:rFonts w:ascii="宋体" w:hAnsi="宋体" w:cs="宋体"/>
                <w:kern w:val="0"/>
                <w:szCs w:val="21"/>
              </w:rPr>
            </w:pPr>
          </w:p>
        </w:tc>
      </w:tr>
      <w:tr>
        <w:tblPrEx>
          <w:tblCellMar>
            <w:top w:w="0" w:type="dxa"/>
            <w:left w:w="57" w:type="dxa"/>
            <w:bottom w:w="0" w:type="dxa"/>
            <w:right w:w="0" w:type="dxa"/>
          </w:tblCellMar>
        </w:tblPrEx>
        <w:trPr>
          <w:trHeight w:val="379" w:hRule="atLeast"/>
        </w:trPr>
        <w:tc>
          <w:tcPr>
            <w:tcW w:w="568" w:type="dxa"/>
            <w:tcBorders>
              <w:top w:val="nil"/>
              <w:left w:val="single" w:color="auto" w:sz="4" w:space="0"/>
              <w:bottom w:val="single" w:color="000000" w:sz="4" w:space="0"/>
              <w:right w:val="single" w:color="auto" w:sz="4" w:space="0"/>
            </w:tcBorders>
            <w:noWrap/>
            <w:vAlign w:val="center"/>
          </w:tcPr>
          <w:p>
            <w:pPr>
              <w:widowControl/>
              <w:spacing w:line="360" w:lineRule="auto"/>
              <w:jc w:val="center"/>
              <w:rPr>
                <w:rFonts w:ascii="宋体" w:hAnsi="宋体" w:cs="宋体"/>
                <w:kern w:val="0"/>
                <w:szCs w:val="21"/>
              </w:rPr>
            </w:pPr>
            <w:r>
              <w:rPr>
                <w:rFonts w:hint="eastAsia" w:ascii="宋体" w:hAnsi="宋体" w:cs="宋体"/>
                <w:kern w:val="0"/>
                <w:szCs w:val="21"/>
              </w:rPr>
              <w:t>3</w:t>
            </w:r>
          </w:p>
        </w:tc>
        <w:tc>
          <w:tcPr>
            <w:tcW w:w="6945" w:type="dxa"/>
            <w:tcBorders>
              <w:top w:val="nil"/>
              <w:left w:val="single" w:color="auto" w:sz="4" w:space="0"/>
              <w:bottom w:val="single" w:color="000000" w:sz="4" w:space="0"/>
              <w:right w:val="single" w:color="auto" w:sz="4" w:space="0"/>
            </w:tcBorders>
            <w:noWrap/>
            <w:vAlign w:val="center"/>
          </w:tcPr>
          <w:p>
            <w:pPr>
              <w:widowControl/>
              <w:spacing w:line="360" w:lineRule="auto"/>
              <w:jc w:val="left"/>
              <w:rPr>
                <w:rFonts w:ascii="宋体" w:hAnsi="宋体" w:cs="宋体"/>
                <w:kern w:val="0"/>
                <w:szCs w:val="21"/>
              </w:rPr>
            </w:pPr>
            <w:r>
              <w:rPr>
                <w:rFonts w:hint="eastAsia" w:ascii="宋体" w:hAnsi="宋体" w:cs="宋体"/>
                <w:kern w:val="0"/>
                <w:szCs w:val="21"/>
              </w:rPr>
              <w:t>投标文件是否满足招标文件的实质性要求和条件；　</w:t>
            </w:r>
          </w:p>
        </w:tc>
        <w:tc>
          <w:tcPr>
            <w:tcW w:w="629" w:type="dxa"/>
            <w:tcBorders>
              <w:top w:val="nil"/>
              <w:left w:val="nil"/>
              <w:bottom w:val="single" w:color="auto" w:sz="4" w:space="0"/>
              <w:right w:val="single" w:color="auto" w:sz="4" w:space="0"/>
            </w:tcBorders>
            <w:noWrap/>
          </w:tcPr>
          <w:p>
            <w:pPr>
              <w:widowControl/>
              <w:spacing w:line="360" w:lineRule="auto"/>
              <w:jc w:val="center"/>
              <w:rPr>
                <w:rFonts w:ascii="宋体" w:hAnsi="宋体" w:cs="宋体"/>
                <w:kern w:val="0"/>
                <w:szCs w:val="21"/>
              </w:rPr>
            </w:pPr>
          </w:p>
        </w:tc>
        <w:tc>
          <w:tcPr>
            <w:tcW w:w="824" w:type="dxa"/>
            <w:tcBorders>
              <w:top w:val="nil"/>
              <w:left w:val="nil"/>
              <w:bottom w:val="single" w:color="auto" w:sz="4" w:space="0"/>
              <w:right w:val="single" w:color="auto" w:sz="4" w:space="0"/>
            </w:tcBorders>
            <w:noWrap/>
          </w:tcPr>
          <w:p>
            <w:pPr>
              <w:widowControl/>
              <w:spacing w:line="360" w:lineRule="auto"/>
              <w:jc w:val="center"/>
              <w:rPr>
                <w:rFonts w:ascii="宋体" w:hAnsi="宋体" w:cs="宋体"/>
                <w:kern w:val="0"/>
                <w:szCs w:val="21"/>
              </w:rPr>
            </w:pPr>
          </w:p>
        </w:tc>
      </w:tr>
      <w:tr>
        <w:tblPrEx>
          <w:tblCellMar>
            <w:top w:w="0" w:type="dxa"/>
            <w:left w:w="57" w:type="dxa"/>
            <w:bottom w:w="0" w:type="dxa"/>
            <w:right w:w="0" w:type="dxa"/>
          </w:tblCellMar>
        </w:tblPrEx>
        <w:trPr>
          <w:trHeight w:val="379" w:hRule="atLeast"/>
        </w:trPr>
        <w:tc>
          <w:tcPr>
            <w:tcW w:w="568" w:type="dxa"/>
            <w:tcBorders>
              <w:top w:val="nil"/>
              <w:left w:val="single" w:color="auto" w:sz="4" w:space="0"/>
              <w:bottom w:val="single" w:color="auto" w:sz="4" w:space="0"/>
              <w:right w:val="single" w:color="auto" w:sz="4" w:space="0"/>
            </w:tcBorders>
            <w:noWrap/>
            <w:vAlign w:val="center"/>
          </w:tcPr>
          <w:p>
            <w:pPr>
              <w:widowControl/>
              <w:spacing w:line="360" w:lineRule="auto"/>
              <w:jc w:val="center"/>
              <w:rPr>
                <w:rFonts w:ascii="宋体" w:hAnsi="宋体" w:cs="宋体"/>
                <w:kern w:val="0"/>
                <w:szCs w:val="21"/>
              </w:rPr>
            </w:pPr>
            <w:r>
              <w:rPr>
                <w:rFonts w:hint="eastAsia" w:ascii="宋体" w:hAnsi="宋体" w:cs="宋体"/>
                <w:kern w:val="0"/>
                <w:szCs w:val="21"/>
              </w:rPr>
              <w:t>4</w:t>
            </w:r>
          </w:p>
        </w:tc>
        <w:tc>
          <w:tcPr>
            <w:tcW w:w="6945" w:type="dxa"/>
            <w:tcBorders>
              <w:top w:val="single" w:color="auto" w:sz="4" w:space="0"/>
              <w:left w:val="nil"/>
              <w:bottom w:val="single" w:color="auto" w:sz="4" w:space="0"/>
              <w:right w:val="single" w:color="auto" w:sz="4" w:space="0"/>
            </w:tcBorders>
            <w:noWrap/>
            <w:vAlign w:val="center"/>
          </w:tcPr>
          <w:p>
            <w:pPr>
              <w:widowControl/>
              <w:spacing w:line="360" w:lineRule="auto"/>
              <w:jc w:val="left"/>
              <w:rPr>
                <w:rFonts w:ascii="宋体" w:hAnsi="宋体" w:cs="宋体"/>
                <w:kern w:val="0"/>
                <w:szCs w:val="21"/>
              </w:rPr>
            </w:pPr>
            <w:r>
              <w:rPr>
                <w:rFonts w:hint="eastAsia" w:ascii="宋体" w:hAnsi="宋体" w:cs="宋体"/>
                <w:kern w:val="0"/>
                <w:szCs w:val="21"/>
              </w:rPr>
              <w:t>投标人按照招标文件规定的金额、形式、时效和内容提供了投标担保；　</w:t>
            </w:r>
          </w:p>
        </w:tc>
        <w:tc>
          <w:tcPr>
            <w:tcW w:w="629" w:type="dxa"/>
            <w:tcBorders>
              <w:top w:val="nil"/>
              <w:left w:val="nil"/>
              <w:bottom w:val="single" w:color="auto" w:sz="4" w:space="0"/>
              <w:right w:val="single" w:color="auto" w:sz="4" w:space="0"/>
            </w:tcBorders>
            <w:noWrap/>
          </w:tcPr>
          <w:p>
            <w:pPr>
              <w:widowControl/>
              <w:spacing w:line="360" w:lineRule="auto"/>
              <w:jc w:val="center"/>
              <w:rPr>
                <w:rFonts w:ascii="宋体" w:hAnsi="宋体" w:cs="宋体"/>
                <w:kern w:val="0"/>
                <w:szCs w:val="21"/>
              </w:rPr>
            </w:pPr>
          </w:p>
        </w:tc>
        <w:tc>
          <w:tcPr>
            <w:tcW w:w="824" w:type="dxa"/>
            <w:tcBorders>
              <w:top w:val="nil"/>
              <w:left w:val="nil"/>
              <w:bottom w:val="single" w:color="auto" w:sz="4" w:space="0"/>
              <w:right w:val="single" w:color="auto" w:sz="4" w:space="0"/>
            </w:tcBorders>
            <w:noWrap/>
          </w:tcPr>
          <w:p>
            <w:pPr>
              <w:widowControl/>
              <w:spacing w:line="360" w:lineRule="auto"/>
              <w:jc w:val="center"/>
              <w:rPr>
                <w:rFonts w:ascii="宋体" w:hAnsi="宋体" w:cs="宋体"/>
                <w:kern w:val="0"/>
                <w:szCs w:val="21"/>
              </w:rPr>
            </w:pPr>
          </w:p>
        </w:tc>
      </w:tr>
      <w:tr>
        <w:tblPrEx>
          <w:tblCellMar>
            <w:top w:w="0" w:type="dxa"/>
            <w:left w:w="57" w:type="dxa"/>
            <w:bottom w:w="0" w:type="dxa"/>
            <w:right w:w="0" w:type="dxa"/>
          </w:tblCellMar>
        </w:tblPrEx>
        <w:trPr>
          <w:trHeight w:val="585" w:hRule="atLeast"/>
        </w:trPr>
        <w:tc>
          <w:tcPr>
            <w:tcW w:w="568" w:type="dxa"/>
            <w:tcBorders>
              <w:top w:val="nil"/>
              <w:left w:val="single" w:color="auto" w:sz="4" w:space="0"/>
              <w:bottom w:val="single" w:color="auto" w:sz="4" w:space="0"/>
              <w:right w:val="single" w:color="auto" w:sz="4" w:space="0"/>
            </w:tcBorders>
            <w:noWrap/>
            <w:vAlign w:val="center"/>
          </w:tcPr>
          <w:p>
            <w:pPr>
              <w:widowControl/>
              <w:spacing w:line="360" w:lineRule="auto"/>
              <w:jc w:val="center"/>
              <w:rPr>
                <w:rFonts w:ascii="宋体" w:hAnsi="宋体" w:cs="宋体"/>
                <w:kern w:val="0"/>
                <w:szCs w:val="21"/>
              </w:rPr>
            </w:pPr>
            <w:r>
              <w:rPr>
                <w:rFonts w:hint="eastAsia" w:ascii="宋体" w:hAnsi="宋体" w:cs="宋体"/>
                <w:kern w:val="0"/>
                <w:szCs w:val="21"/>
              </w:rPr>
              <w:t>5</w:t>
            </w:r>
          </w:p>
        </w:tc>
        <w:tc>
          <w:tcPr>
            <w:tcW w:w="6945" w:type="dxa"/>
            <w:tcBorders>
              <w:top w:val="single" w:color="auto" w:sz="4" w:space="0"/>
              <w:left w:val="nil"/>
              <w:bottom w:val="single" w:color="auto" w:sz="4" w:space="0"/>
              <w:right w:val="single" w:color="auto" w:sz="4" w:space="0"/>
            </w:tcBorders>
            <w:noWrap/>
            <w:vAlign w:val="center"/>
          </w:tcPr>
          <w:p>
            <w:pPr>
              <w:widowControl/>
              <w:spacing w:line="360" w:lineRule="auto"/>
              <w:ind w:right="141" w:rightChars="67"/>
              <w:jc w:val="left"/>
              <w:rPr>
                <w:rFonts w:ascii="宋体" w:hAnsi="宋体" w:cs="宋体"/>
                <w:kern w:val="0"/>
                <w:szCs w:val="21"/>
              </w:rPr>
            </w:pPr>
            <w:r>
              <w:rPr>
                <w:rFonts w:hint="eastAsia" w:ascii="宋体" w:hAnsi="宋体" w:cs="宋体"/>
                <w:kern w:val="0"/>
                <w:szCs w:val="21"/>
              </w:rPr>
              <w:t>投标文件是否实质上响应了招标文件的要求。实质上响应的投标应该是与招标文件要求的全部条款、条件等相符，没有重大偏离或保留的投标；　</w:t>
            </w:r>
          </w:p>
        </w:tc>
        <w:tc>
          <w:tcPr>
            <w:tcW w:w="629" w:type="dxa"/>
            <w:tcBorders>
              <w:top w:val="nil"/>
              <w:left w:val="nil"/>
              <w:bottom w:val="single" w:color="auto" w:sz="4" w:space="0"/>
              <w:right w:val="single" w:color="auto" w:sz="4" w:space="0"/>
            </w:tcBorders>
            <w:noWrap/>
          </w:tcPr>
          <w:p>
            <w:pPr>
              <w:widowControl/>
              <w:spacing w:line="360" w:lineRule="auto"/>
              <w:jc w:val="center"/>
              <w:rPr>
                <w:rFonts w:ascii="宋体" w:hAnsi="宋体" w:cs="宋体"/>
                <w:kern w:val="0"/>
                <w:szCs w:val="21"/>
              </w:rPr>
            </w:pPr>
          </w:p>
        </w:tc>
        <w:tc>
          <w:tcPr>
            <w:tcW w:w="824" w:type="dxa"/>
            <w:tcBorders>
              <w:top w:val="nil"/>
              <w:left w:val="nil"/>
              <w:bottom w:val="single" w:color="auto" w:sz="4" w:space="0"/>
              <w:right w:val="single" w:color="auto" w:sz="4" w:space="0"/>
            </w:tcBorders>
            <w:noWrap/>
          </w:tcPr>
          <w:p>
            <w:pPr>
              <w:widowControl/>
              <w:spacing w:line="360" w:lineRule="auto"/>
              <w:jc w:val="center"/>
              <w:rPr>
                <w:rFonts w:ascii="宋体" w:hAnsi="宋体" w:cs="宋体"/>
                <w:kern w:val="0"/>
                <w:szCs w:val="21"/>
              </w:rPr>
            </w:pPr>
          </w:p>
        </w:tc>
      </w:tr>
      <w:tr>
        <w:tblPrEx>
          <w:tblCellMar>
            <w:top w:w="0" w:type="dxa"/>
            <w:left w:w="57" w:type="dxa"/>
            <w:bottom w:w="0" w:type="dxa"/>
            <w:right w:w="0" w:type="dxa"/>
          </w:tblCellMar>
        </w:tblPrEx>
        <w:trPr>
          <w:trHeight w:val="590" w:hRule="atLeast"/>
        </w:trPr>
        <w:tc>
          <w:tcPr>
            <w:tcW w:w="568" w:type="dxa"/>
            <w:tcBorders>
              <w:top w:val="nil"/>
              <w:left w:val="single" w:color="auto" w:sz="4" w:space="0"/>
              <w:bottom w:val="single" w:color="auto" w:sz="4" w:space="0"/>
              <w:right w:val="single" w:color="auto" w:sz="4" w:space="0"/>
            </w:tcBorders>
            <w:noWrap/>
            <w:vAlign w:val="center"/>
          </w:tcPr>
          <w:p>
            <w:pPr>
              <w:widowControl/>
              <w:spacing w:line="360" w:lineRule="auto"/>
              <w:jc w:val="center"/>
              <w:rPr>
                <w:rFonts w:ascii="宋体" w:hAnsi="宋体" w:cs="宋体"/>
                <w:kern w:val="0"/>
                <w:szCs w:val="21"/>
              </w:rPr>
            </w:pPr>
            <w:r>
              <w:rPr>
                <w:rFonts w:hint="eastAsia" w:ascii="宋体" w:hAnsi="宋体" w:cs="宋体"/>
                <w:kern w:val="0"/>
                <w:szCs w:val="21"/>
              </w:rPr>
              <w:t>6</w:t>
            </w:r>
          </w:p>
        </w:tc>
        <w:tc>
          <w:tcPr>
            <w:tcW w:w="6945" w:type="dxa"/>
            <w:tcBorders>
              <w:top w:val="single" w:color="auto" w:sz="4" w:space="0"/>
              <w:left w:val="nil"/>
              <w:bottom w:val="single" w:color="auto" w:sz="4" w:space="0"/>
              <w:right w:val="single" w:color="auto" w:sz="4" w:space="0"/>
            </w:tcBorders>
            <w:noWrap/>
            <w:vAlign w:val="center"/>
          </w:tcPr>
          <w:p>
            <w:pPr>
              <w:widowControl/>
              <w:spacing w:line="360" w:lineRule="auto"/>
              <w:ind w:right="141" w:rightChars="67"/>
              <w:jc w:val="left"/>
              <w:rPr>
                <w:rFonts w:ascii="宋体" w:hAnsi="宋体" w:cs="宋体"/>
                <w:kern w:val="0"/>
                <w:szCs w:val="21"/>
              </w:rPr>
            </w:pPr>
            <w:r>
              <w:rPr>
                <w:rFonts w:hint="eastAsia" w:ascii="宋体" w:hAnsi="宋体" w:cs="宋体"/>
                <w:kern w:val="0"/>
                <w:szCs w:val="21"/>
              </w:rPr>
              <w:t>一份投标文件应只有一个投标报价，在招标文件没有规定的情况下，未提交选择性的报价；</w:t>
            </w:r>
          </w:p>
        </w:tc>
        <w:tc>
          <w:tcPr>
            <w:tcW w:w="629" w:type="dxa"/>
            <w:tcBorders>
              <w:top w:val="nil"/>
              <w:left w:val="nil"/>
              <w:bottom w:val="single" w:color="auto" w:sz="4" w:space="0"/>
              <w:right w:val="single" w:color="auto" w:sz="4" w:space="0"/>
            </w:tcBorders>
            <w:noWrap/>
          </w:tcPr>
          <w:p>
            <w:pPr>
              <w:widowControl/>
              <w:spacing w:line="360" w:lineRule="auto"/>
              <w:jc w:val="center"/>
              <w:rPr>
                <w:rFonts w:ascii="宋体" w:hAnsi="宋体" w:cs="宋体"/>
                <w:kern w:val="0"/>
                <w:szCs w:val="21"/>
              </w:rPr>
            </w:pPr>
          </w:p>
        </w:tc>
        <w:tc>
          <w:tcPr>
            <w:tcW w:w="824" w:type="dxa"/>
            <w:tcBorders>
              <w:top w:val="nil"/>
              <w:left w:val="nil"/>
              <w:bottom w:val="single" w:color="auto" w:sz="4" w:space="0"/>
              <w:right w:val="single" w:color="auto" w:sz="4" w:space="0"/>
            </w:tcBorders>
            <w:noWrap/>
          </w:tcPr>
          <w:p>
            <w:pPr>
              <w:widowControl/>
              <w:spacing w:line="360" w:lineRule="auto"/>
              <w:jc w:val="center"/>
              <w:rPr>
                <w:rFonts w:ascii="宋体" w:hAnsi="宋体" w:cs="宋体"/>
                <w:kern w:val="0"/>
                <w:szCs w:val="21"/>
              </w:rPr>
            </w:pPr>
          </w:p>
        </w:tc>
      </w:tr>
      <w:tr>
        <w:tblPrEx>
          <w:tblCellMar>
            <w:top w:w="0" w:type="dxa"/>
            <w:left w:w="57" w:type="dxa"/>
            <w:bottom w:w="0" w:type="dxa"/>
            <w:right w:w="0" w:type="dxa"/>
          </w:tblCellMar>
        </w:tblPrEx>
        <w:trPr>
          <w:trHeight w:val="496" w:hRule="atLeast"/>
        </w:trPr>
        <w:tc>
          <w:tcPr>
            <w:tcW w:w="568" w:type="dxa"/>
            <w:tcBorders>
              <w:top w:val="nil"/>
              <w:left w:val="single" w:color="auto" w:sz="4" w:space="0"/>
              <w:bottom w:val="single" w:color="auto" w:sz="4" w:space="0"/>
              <w:right w:val="single" w:color="auto" w:sz="4" w:space="0"/>
            </w:tcBorders>
            <w:noWrap/>
            <w:vAlign w:val="center"/>
          </w:tcPr>
          <w:p>
            <w:pPr>
              <w:widowControl/>
              <w:spacing w:line="360" w:lineRule="auto"/>
              <w:jc w:val="center"/>
              <w:rPr>
                <w:rFonts w:ascii="宋体" w:hAnsi="宋体" w:cs="宋体"/>
                <w:kern w:val="0"/>
                <w:szCs w:val="21"/>
              </w:rPr>
            </w:pPr>
            <w:r>
              <w:rPr>
                <w:rFonts w:hint="eastAsia" w:ascii="宋体" w:hAnsi="宋体" w:cs="宋体"/>
                <w:kern w:val="0"/>
                <w:szCs w:val="21"/>
              </w:rPr>
              <w:t>7</w:t>
            </w:r>
          </w:p>
        </w:tc>
        <w:tc>
          <w:tcPr>
            <w:tcW w:w="6945" w:type="dxa"/>
            <w:tcBorders>
              <w:top w:val="single" w:color="auto" w:sz="4" w:space="0"/>
              <w:left w:val="nil"/>
              <w:bottom w:val="single" w:color="auto" w:sz="4" w:space="0"/>
              <w:right w:val="single" w:color="auto" w:sz="4" w:space="0"/>
            </w:tcBorders>
            <w:noWrap/>
            <w:vAlign w:val="center"/>
          </w:tcPr>
          <w:p>
            <w:pPr>
              <w:widowControl/>
              <w:spacing w:line="360" w:lineRule="auto"/>
              <w:jc w:val="left"/>
              <w:rPr>
                <w:rFonts w:ascii="宋体" w:hAnsi="宋体" w:cs="宋体"/>
                <w:kern w:val="0"/>
                <w:szCs w:val="21"/>
              </w:rPr>
            </w:pPr>
            <w:r>
              <w:rPr>
                <w:rFonts w:hint="eastAsia" w:ascii="宋体" w:hAnsi="宋体" w:cs="宋体"/>
                <w:kern w:val="0"/>
                <w:szCs w:val="21"/>
              </w:rPr>
              <w:t xml:space="preserve">投标人的投标报价未超出最高投标限价； </w:t>
            </w:r>
          </w:p>
        </w:tc>
        <w:tc>
          <w:tcPr>
            <w:tcW w:w="629" w:type="dxa"/>
            <w:tcBorders>
              <w:top w:val="nil"/>
              <w:left w:val="nil"/>
              <w:bottom w:val="single" w:color="auto" w:sz="4" w:space="0"/>
              <w:right w:val="single" w:color="auto" w:sz="4" w:space="0"/>
            </w:tcBorders>
            <w:noWrap/>
          </w:tcPr>
          <w:p>
            <w:pPr>
              <w:widowControl/>
              <w:spacing w:line="360" w:lineRule="auto"/>
              <w:jc w:val="center"/>
              <w:rPr>
                <w:rFonts w:ascii="宋体" w:hAnsi="宋体" w:cs="宋体"/>
                <w:kern w:val="0"/>
                <w:szCs w:val="21"/>
              </w:rPr>
            </w:pPr>
          </w:p>
        </w:tc>
        <w:tc>
          <w:tcPr>
            <w:tcW w:w="824" w:type="dxa"/>
            <w:tcBorders>
              <w:top w:val="nil"/>
              <w:left w:val="nil"/>
              <w:bottom w:val="single" w:color="auto" w:sz="4" w:space="0"/>
              <w:right w:val="single" w:color="auto" w:sz="4" w:space="0"/>
            </w:tcBorders>
            <w:noWrap/>
          </w:tcPr>
          <w:p>
            <w:pPr>
              <w:widowControl/>
              <w:spacing w:line="360" w:lineRule="auto"/>
              <w:jc w:val="center"/>
              <w:rPr>
                <w:rFonts w:ascii="宋体" w:hAnsi="宋体" w:cs="宋体"/>
                <w:kern w:val="0"/>
                <w:szCs w:val="21"/>
              </w:rPr>
            </w:pPr>
          </w:p>
        </w:tc>
      </w:tr>
      <w:tr>
        <w:tblPrEx>
          <w:tblCellMar>
            <w:top w:w="0" w:type="dxa"/>
            <w:left w:w="57" w:type="dxa"/>
            <w:bottom w:w="0" w:type="dxa"/>
            <w:right w:w="0" w:type="dxa"/>
          </w:tblCellMar>
        </w:tblPrEx>
        <w:trPr>
          <w:trHeight w:val="496" w:hRule="atLeast"/>
        </w:trPr>
        <w:tc>
          <w:tcPr>
            <w:tcW w:w="568" w:type="dxa"/>
            <w:tcBorders>
              <w:top w:val="nil"/>
              <w:left w:val="single" w:color="auto" w:sz="4" w:space="0"/>
              <w:bottom w:val="single" w:color="auto" w:sz="4" w:space="0"/>
              <w:right w:val="single" w:color="auto" w:sz="4" w:space="0"/>
            </w:tcBorders>
            <w:noWrap/>
            <w:vAlign w:val="center"/>
          </w:tcPr>
          <w:p>
            <w:pPr>
              <w:widowControl/>
              <w:spacing w:line="360" w:lineRule="auto"/>
              <w:jc w:val="center"/>
              <w:rPr>
                <w:rFonts w:ascii="宋体" w:hAnsi="宋体" w:cs="宋体"/>
                <w:kern w:val="0"/>
                <w:szCs w:val="21"/>
              </w:rPr>
            </w:pPr>
            <w:r>
              <w:rPr>
                <w:rFonts w:hint="eastAsia" w:ascii="宋体" w:hAnsi="宋体" w:cs="宋体"/>
                <w:kern w:val="0"/>
                <w:szCs w:val="21"/>
              </w:rPr>
              <w:t>8</w:t>
            </w:r>
          </w:p>
        </w:tc>
        <w:tc>
          <w:tcPr>
            <w:tcW w:w="6945" w:type="dxa"/>
            <w:tcBorders>
              <w:top w:val="single" w:color="auto" w:sz="4" w:space="0"/>
              <w:left w:val="nil"/>
              <w:bottom w:val="single" w:color="auto" w:sz="4" w:space="0"/>
              <w:right w:val="single" w:color="auto" w:sz="4" w:space="0"/>
            </w:tcBorders>
            <w:noWrap/>
            <w:vAlign w:val="center"/>
          </w:tcPr>
          <w:p>
            <w:pPr>
              <w:widowControl/>
              <w:spacing w:line="360" w:lineRule="auto"/>
              <w:jc w:val="left"/>
              <w:rPr>
                <w:rFonts w:ascii="宋体" w:hAnsi="宋体" w:cs="宋体"/>
                <w:kern w:val="0"/>
                <w:szCs w:val="21"/>
              </w:rPr>
            </w:pPr>
            <w:r>
              <w:rPr>
                <w:rFonts w:hint="eastAsia" w:ascii="宋体" w:hAnsi="宋体" w:cs="宋体"/>
                <w:kern w:val="0"/>
                <w:szCs w:val="21"/>
              </w:rPr>
              <w:t>投标文件载明的交货期限未超出招标文件规定的期限；</w:t>
            </w:r>
          </w:p>
        </w:tc>
        <w:tc>
          <w:tcPr>
            <w:tcW w:w="629" w:type="dxa"/>
            <w:tcBorders>
              <w:top w:val="nil"/>
              <w:left w:val="nil"/>
              <w:bottom w:val="single" w:color="auto" w:sz="4" w:space="0"/>
              <w:right w:val="single" w:color="auto" w:sz="4" w:space="0"/>
            </w:tcBorders>
            <w:noWrap/>
          </w:tcPr>
          <w:p>
            <w:pPr>
              <w:widowControl/>
              <w:spacing w:line="360" w:lineRule="auto"/>
              <w:jc w:val="center"/>
              <w:rPr>
                <w:rFonts w:ascii="宋体" w:hAnsi="宋体" w:cs="宋体"/>
                <w:kern w:val="0"/>
                <w:szCs w:val="21"/>
              </w:rPr>
            </w:pPr>
          </w:p>
        </w:tc>
        <w:tc>
          <w:tcPr>
            <w:tcW w:w="824" w:type="dxa"/>
            <w:tcBorders>
              <w:top w:val="nil"/>
              <w:left w:val="nil"/>
              <w:bottom w:val="single" w:color="auto" w:sz="4" w:space="0"/>
              <w:right w:val="single" w:color="auto" w:sz="4" w:space="0"/>
            </w:tcBorders>
            <w:noWrap/>
          </w:tcPr>
          <w:p>
            <w:pPr>
              <w:widowControl/>
              <w:spacing w:line="360" w:lineRule="auto"/>
              <w:jc w:val="center"/>
              <w:rPr>
                <w:rFonts w:ascii="宋体" w:hAnsi="宋体" w:cs="宋体"/>
                <w:kern w:val="0"/>
                <w:szCs w:val="21"/>
              </w:rPr>
            </w:pPr>
          </w:p>
        </w:tc>
      </w:tr>
      <w:tr>
        <w:tblPrEx>
          <w:tblCellMar>
            <w:top w:w="0" w:type="dxa"/>
            <w:left w:w="57" w:type="dxa"/>
            <w:bottom w:w="0" w:type="dxa"/>
            <w:right w:w="0" w:type="dxa"/>
          </w:tblCellMar>
        </w:tblPrEx>
        <w:trPr>
          <w:trHeight w:val="662" w:hRule="atLeast"/>
        </w:trPr>
        <w:tc>
          <w:tcPr>
            <w:tcW w:w="568" w:type="dxa"/>
            <w:tcBorders>
              <w:top w:val="nil"/>
              <w:left w:val="single" w:color="auto" w:sz="4" w:space="0"/>
              <w:bottom w:val="single" w:color="auto" w:sz="4" w:space="0"/>
              <w:right w:val="single" w:color="auto" w:sz="4" w:space="0"/>
            </w:tcBorders>
            <w:noWrap/>
            <w:vAlign w:val="center"/>
          </w:tcPr>
          <w:p>
            <w:pPr>
              <w:widowControl/>
              <w:spacing w:line="360" w:lineRule="auto"/>
              <w:jc w:val="center"/>
              <w:rPr>
                <w:rFonts w:ascii="宋体" w:hAnsi="宋体" w:cs="宋体"/>
                <w:kern w:val="0"/>
                <w:szCs w:val="21"/>
              </w:rPr>
            </w:pPr>
            <w:r>
              <w:rPr>
                <w:rFonts w:hint="eastAsia" w:ascii="宋体" w:hAnsi="宋体" w:cs="宋体"/>
                <w:kern w:val="0"/>
                <w:szCs w:val="21"/>
              </w:rPr>
              <w:t>9</w:t>
            </w:r>
          </w:p>
        </w:tc>
        <w:tc>
          <w:tcPr>
            <w:tcW w:w="6945" w:type="dxa"/>
            <w:tcBorders>
              <w:top w:val="single" w:color="auto" w:sz="4" w:space="0"/>
              <w:left w:val="nil"/>
              <w:bottom w:val="single" w:color="auto" w:sz="4" w:space="0"/>
              <w:right w:val="single" w:color="auto" w:sz="4" w:space="0"/>
            </w:tcBorders>
            <w:noWrap/>
            <w:vAlign w:val="center"/>
          </w:tcPr>
          <w:p>
            <w:pPr>
              <w:widowControl/>
              <w:spacing w:line="360" w:lineRule="auto"/>
              <w:jc w:val="left"/>
              <w:rPr>
                <w:rFonts w:ascii="宋体" w:hAnsi="宋体" w:cs="宋体"/>
                <w:kern w:val="0"/>
                <w:szCs w:val="21"/>
              </w:rPr>
            </w:pPr>
            <w:r>
              <w:rPr>
                <w:rFonts w:hint="eastAsia" w:ascii="宋体" w:hAnsi="宋体" w:cs="宋体"/>
                <w:kern w:val="0"/>
                <w:szCs w:val="21"/>
              </w:rPr>
              <w:t>提供了信用记录查询资料，且信用记录满足本文件投标供应商须知前附表的规定；</w:t>
            </w:r>
          </w:p>
        </w:tc>
        <w:tc>
          <w:tcPr>
            <w:tcW w:w="629" w:type="dxa"/>
            <w:tcBorders>
              <w:top w:val="nil"/>
              <w:left w:val="nil"/>
              <w:bottom w:val="single" w:color="auto" w:sz="4" w:space="0"/>
              <w:right w:val="single" w:color="auto" w:sz="4" w:space="0"/>
            </w:tcBorders>
            <w:noWrap/>
          </w:tcPr>
          <w:p>
            <w:pPr>
              <w:widowControl/>
              <w:spacing w:line="360" w:lineRule="auto"/>
              <w:jc w:val="center"/>
              <w:rPr>
                <w:rFonts w:ascii="宋体" w:hAnsi="宋体" w:cs="宋体"/>
                <w:kern w:val="0"/>
                <w:szCs w:val="21"/>
              </w:rPr>
            </w:pPr>
          </w:p>
        </w:tc>
        <w:tc>
          <w:tcPr>
            <w:tcW w:w="824" w:type="dxa"/>
            <w:tcBorders>
              <w:top w:val="nil"/>
              <w:left w:val="nil"/>
              <w:bottom w:val="single" w:color="auto" w:sz="4" w:space="0"/>
              <w:right w:val="single" w:color="auto" w:sz="4" w:space="0"/>
            </w:tcBorders>
            <w:noWrap/>
          </w:tcPr>
          <w:p>
            <w:pPr>
              <w:widowControl/>
              <w:spacing w:line="360" w:lineRule="auto"/>
              <w:jc w:val="center"/>
              <w:rPr>
                <w:rFonts w:ascii="宋体" w:hAnsi="宋体" w:cs="宋体"/>
                <w:kern w:val="0"/>
                <w:szCs w:val="21"/>
              </w:rPr>
            </w:pPr>
          </w:p>
        </w:tc>
      </w:tr>
      <w:tr>
        <w:tblPrEx>
          <w:tblCellMar>
            <w:top w:w="0" w:type="dxa"/>
            <w:left w:w="57" w:type="dxa"/>
            <w:bottom w:w="0" w:type="dxa"/>
            <w:right w:w="0" w:type="dxa"/>
          </w:tblCellMar>
        </w:tblPrEx>
        <w:trPr>
          <w:trHeight w:val="496" w:hRule="atLeast"/>
        </w:trPr>
        <w:tc>
          <w:tcPr>
            <w:tcW w:w="568" w:type="dxa"/>
            <w:tcBorders>
              <w:top w:val="nil"/>
              <w:left w:val="single" w:color="auto" w:sz="4" w:space="0"/>
              <w:bottom w:val="single" w:color="auto" w:sz="4" w:space="0"/>
              <w:right w:val="single" w:color="auto" w:sz="4" w:space="0"/>
            </w:tcBorders>
            <w:noWrap/>
            <w:vAlign w:val="center"/>
          </w:tcPr>
          <w:p>
            <w:pPr>
              <w:widowControl/>
              <w:spacing w:line="360" w:lineRule="auto"/>
              <w:jc w:val="center"/>
              <w:rPr>
                <w:rFonts w:ascii="宋体" w:hAnsi="宋体" w:cs="宋体"/>
                <w:kern w:val="0"/>
                <w:szCs w:val="21"/>
              </w:rPr>
            </w:pPr>
            <w:r>
              <w:rPr>
                <w:rFonts w:hint="eastAsia" w:ascii="宋体" w:hAnsi="宋体" w:cs="宋体"/>
                <w:kern w:val="0"/>
                <w:szCs w:val="21"/>
              </w:rPr>
              <w:t>10</w:t>
            </w:r>
          </w:p>
        </w:tc>
        <w:tc>
          <w:tcPr>
            <w:tcW w:w="6945" w:type="dxa"/>
            <w:tcBorders>
              <w:top w:val="single" w:color="auto" w:sz="4" w:space="0"/>
              <w:left w:val="nil"/>
              <w:bottom w:val="single" w:color="auto" w:sz="4" w:space="0"/>
              <w:right w:val="single" w:color="auto" w:sz="4" w:space="0"/>
            </w:tcBorders>
            <w:noWrap/>
            <w:vAlign w:val="center"/>
          </w:tcPr>
          <w:p>
            <w:pPr>
              <w:widowControl/>
              <w:spacing w:line="360" w:lineRule="auto"/>
              <w:jc w:val="left"/>
              <w:rPr>
                <w:rFonts w:ascii="宋体" w:hAnsi="宋体" w:cs="宋体"/>
                <w:kern w:val="0"/>
                <w:szCs w:val="21"/>
              </w:rPr>
            </w:pPr>
            <w:r>
              <w:rPr>
                <w:rFonts w:hint="eastAsia" w:ascii="宋体" w:hAnsi="宋体" w:cs="宋体"/>
                <w:kern w:val="0"/>
                <w:szCs w:val="21"/>
              </w:rPr>
              <w:t>投标人未提出不同的验收、计量、支付办法；　</w:t>
            </w:r>
          </w:p>
        </w:tc>
        <w:tc>
          <w:tcPr>
            <w:tcW w:w="629" w:type="dxa"/>
            <w:tcBorders>
              <w:top w:val="nil"/>
              <w:left w:val="nil"/>
              <w:bottom w:val="single" w:color="auto" w:sz="4" w:space="0"/>
              <w:right w:val="single" w:color="auto" w:sz="4" w:space="0"/>
            </w:tcBorders>
            <w:noWrap/>
          </w:tcPr>
          <w:p>
            <w:pPr>
              <w:widowControl/>
              <w:spacing w:line="360" w:lineRule="auto"/>
              <w:jc w:val="center"/>
              <w:rPr>
                <w:rFonts w:ascii="宋体" w:hAnsi="宋体" w:cs="宋体"/>
                <w:kern w:val="0"/>
                <w:szCs w:val="21"/>
              </w:rPr>
            </w:pPr>
          </w:p>
        </w:tc>
        <w:tc>
          <w:tcPr>
            <w:tcW w:w="824" w:type="dxa"/>
            <w:tcBorders>
              <w:top w:val="nil"/>
              <w:left w:val="nil"/>
              <w:bottom w:val="single" w:color="auto" w:sz="4" w:space="0"/>
              <w:right w:val="single" w:color="auto" w:sz="4" w:space="0"/>
            </w:tcBorders>
            <w:noWrap/>
          </w:tcPr>
          <w:p>
            <w:pPr>
              <w:widowControl/>
              <w:spacing w:line="360" w:lineRule="auto"/>
              <w:jc w:val="center"/>
              <w:rPr>
                <w:rFonts w:ascii="宋体" w:hAnsi="宋体" w:cs="宋体"/>
                <w:kern w:val="0"/>
                <w:szCs w:val="21"/>
              </w:rPr>
            </w:pPr>
          </w:p>
        </w:tc>
      </w:tr>
      <w:tr>
        <w:trPr>
          <w:trHeight w:val="396" w:hRule="atLeast"/>
        </w:trPr>
        <w:tc>
          <w:tcPr>
            <w:tcW w:w="568" w:type="dxa"/>
            <w:tcBorders>
              <w:top w:val="nil"/>
              <w:left w:val="single" w:color="auto" w:sz="4" w:space="0"/>
              <w:bottom w:val="single" w:color="auto" w:sz="4" w:space="0"/>
              <w:right w:val="single" w:color="auto" w:sz="4" w:space="0"/>
            </w:tcBorders>
            <w:noWrap/>
            <w:vAlign w:val="center"/>
          </w:tcPr>
          <w:p>
            <w:pPr>
              <w:widowControl/>
              <w:spacing w:line="360" w:lineRule="auto"/>
              <w:jc w:val="center"/>
              <w:rPr>
                <w:rFonts w:ascii="宋体" w:hAnsi="宋体" w:cs="宋体"/>
                <w:kern w:val="0"/>
                <w:szCs w:val="21"/>
              </w:rPr>
            </w:pPr>
            <w:r>
              <w:rPr>
                <w:rFonts w:hint="eastAsia" w:ascii="宋体" w:hAnsi="宋体" w:cs="宋体"/>
                <w:kern w:val="0"/>
                <w:szCs w:val="21"/>
              </w:rPr>
              <w:t>11</w:t>
            </w:r>
          </w:p>
        </w:tc>
        <w:tc>
          <w:tcPr>
            <w:tcW w:w="6945" w:type="dxa"/>
            <w:tcBorders>
              <w:top w:val="single" w:color="auto" w:sz="4" w:space="0"/>
              <w:left w:val="nil"/>
              <w:bottom w:val="single" w:color="auto" w:sz="4" w:space="0"/>
              <w:right w:val="single" w:color="auto" w:sz="4" w:space="0"/>
            </w:tcBorders>
            <w:noWrap/>
            <w:vAlign w:val="center"/>
          </w:tcPr>
          <w:p>
            <w:pPr>
              <w:widowControl/>
              <w:spacing w:line="360" w:lineRule="auto"/>
              <w:rPr>
                <w:rFonts w:ascii="宋体" w:hAnsi="宋体" w:cs="宋体"/>
                <w:kern w:val="0"/>
                <w:szCs w:val="21"/>
              </w:rPr>
            </w:pPr>
            <w:r>
              <w:rPr>
                <w:rFonts w:hint="eastAsia" w:ascii="宋体" w:hAnsi="宋体" w:cs="宋体"/>
                <w:kern w:val="0"/>
                <w:szCs w:val="21"/>
              </w:rPr>
              <w:t>投标文件未附有招标人不能接受的附加条件的；</w:t>
            </w:r>
          </w:p>
        </w:tc>
        <w:tc>
          <w:tcPr>
            <w:tcW w:w="629" w:type="dxa"/>
            <w:tcBorders>
              <w:top w:val="nil"/>
              <w:left w:val="nil"/>
              <w:bottom w:val="single" w:color="auto" w:sz="4" w:space="0"/>
              <w:right w:val="single" w:color="auto" w:sz="4" w:space="0"/>
            </w:tcBorders>
            <w:noWrap/>
          </w:tcPr>
          <w:p>
            <w:pPr>
              <w:widowControl/>
              <w:spacing w:line="360" w:lineRule="auto"/>
              <w:jc w:val="center"/>
              <w:rPr>
                <w:rFonts w:ascii="宋体" w:hAnsi="宋体" w:cs="宋体"/>
                <w:kern w:val="0"/>
                <w:szCs w:val="21"/>
              </w:rPr>
            </w:pPr>
          </w:p>
        </w:tc>
        <w:tc>
          <w:tcPr>
            <w:tcW w:w="824" w:type="dxa"/>
            <w:tcBorders>
              <w:top w:val="nil"/>
              <w:left w:val="nil"/>
              <w:bottom w:val="single" w:color="auto" w:sz="4" w:space="0"/>
              <w:right w:val="single" w:color="auto" w:sz="4" w:space="0"/>
            </w:tcBorders>
            <w:noWrap/>
          </w:tcPr>
          <w:p>
            <w:pPr>
              <w:widowControl/>
              <w:spacing w:line="360" w:lineRule="auto"/>
              <w:jc w:val="center"/>
              <w:rPr>
                <w:rFonts w:ascii="宋体" w:hAnsi="宋体" w:cs="宋体"/>
                <w:kern w:val="0"/>
                <w:szCs w:val="21"/>
              </w:rPr>
            </w:pPr>
          </w:p>
        </w:tc>
      </w:tr>
      <w:tr>
        <w:tblPrEx>
          <w:tblCellMar>
            <w:top w:w="0" w:type="dxa"/>
            <w:left w:w="57" w:type="dxa"/>
            <w:bottom w:w="0" w:type="dxa"/>
            <w:right w:w="0" w:type="dxa"/>
          </w:tblCellMar>
        </w:tblPrEx>
        <w:trPr>
          <w:trHeight w:val="379" w:hRule="atLeast"/>
        </w:trPr>
        <w:tc>
          <w:tcPr>
            <w:tcW w:w="568" w:type="dxa"/>
            <w:tcBorders>
              <w:top w:val="single" w:color="auto" w:sz="4" w:space="0"/>
              <w:left w:val="single" w:color="auto" w:sz="4" w:space="0"/>
              <w:bottom w:val="single" w:color="auto" w:sz="4" w:space="0"/>
              <w:right w:val="single" w:color="auto" w:sz="4" w:space="0"/>
            </w:tcBorders>
            <w:noWrap/>
            <w:vAlign w:val="center"/>
          </w:tcPr>
          <w:p>
            <w:pPr>
              <w:widowControl/>
              <w:spacing w:line="360" w:lineRule="auto"/>
              <w:jc w:val="center"/>
              <w:rPr>
                <w:rFonts w:ascii="宋体" w:hAnsi="宋体" w:cs="宋体"/>
                <w:kern w:val="0"/>
                <w:szCs w:val="21"/>
              </w:rPr>
            </w:pPr>
            <w:r>
              <w:rPr>
                <w:rFonts w:hint="eastAsia" w:ascii="宋体" w:hAnsi="宋体" w:cs="宋体"/>
                <w:kern w:val="0"/>
                <w:szCs w:val="21"/>
              </w:rPr>
              <w:t>12</w:t>
            </w:r>
          </w:p>
        </w:tc>
        <w:tc>
          <w:tcPr>
            <w:tcW w:w="6945" w:type="dxa"/>
            <w:tcBorders>
              <w:top w:val="single" w:color="auto" w:sz="4" w:space="0"/>
              <w:left w:val="nil"/>
              <w:bottom w:val="single" w:color="auto" w:sz="4" w:space="0"/>
              <w:right w:val="single" w:color="auto" w:sz="4" w:space="0"/>
            </w:tcBorders>
            <w:noWrap/>
            <w:vAlign w:val="center"/>
          </w:tcPr>
          <w:p>
            <w:pPr>
              <w:widowControl/>
              <w:spacing w:line="360" w:lineRule="auto"/>
              <w:rPr>
                <w:rFonts w:ascii="宋体" w:hAnsi="宋体" w:cs="宋体"/>
                <w:kern w:val="0"/>
                <w:szCs w:val="21"/>
              </w:rPr>
            </w:pPr>
            <w:r>
              <w:rPr>
                <w:rFonts w:hint="eastAsia" w:ascii="宋体" w:hAnsi="宋体" w:cs="宋体"/>
                <w:kern w:val="0"/>
                <w:szCs w:val="21"/>
              </w:rPr>
              <w:t>未与其他投标人相互串通报价，或者与招标人串通投标的；</w:t>
            </w:r>
          </w:p>
        </w:tc>
        <w:tc>
          <w:tcPr>
            <w:tcW w:w="629" w:type="dxa"/>
            <w:tcBorders>
              <w:top w:val="single" w:color="auto" w:sz="4" w:space="0"/>
              <w:left w:val="nil"/>
              <w:bottom w:val="single" w:color="auto" w:sz="4" w:space="0"/>
              <w:right w:val="single" w:color="auto" w:sz="4" w:space="0"/>
            </w:tcBorders>
            <w:noWrap/>
          </w:tcPr>
          <w:p>
            <w:pPr>
              <w:widowControl/>
              <w:spacing w:line="360" w:lineRule="auto"/>
              <w:jc w:val="center"/>
              <w:rPr>
                <w:rFonts w:ascii="宋体" w:hAnsi="宋体" w:cs="宋体"/>
                <w:kern w:val="0"/>
                <w:szCs w:val="21"/>
              </w:rPr>
            </w:pPr>
          </w:p>
        </w:tc>
        <w:tc>
          <w:tcPr>
            <w:tcW w:w="824" w:type="dxa"/>
            <w:tcBorders>
              <w:top w:val="single" w:color="auto" w:sz="4" w:space="0"/>
              <w:left w:val="nil"/>
              <w:bottom w:val="single" w:color="auto" w:sz="4" w:space="0"/>
              <w:right w:val="single" w:color="auto" w:sz="4" w:space="0"/>
            </w:tcBorders>
            <w:noWrap/>
          </w:tcPr>
          <w:p>
            <w:pPr>
              <w:widowControl/>
              <w:spacing w:line="360" w:lineRule="auto"/>
              <w:jc w:val="center"/>
              <w:rPr>
                <w:rFonts w:ascii="宋体" w:hAnsi="宋体" w:cs="宋体"/>
                <w:kern w:val="0"/>
                <w:szCs w:val="21"/>
              </w:rPr>
            </w:pPr>
          </w:p>
        </w:tc>
      </w:tr>
      <w:tr>
        <w:tblPrEx>
          <w:tblCellMar>
            <w:top w:w="0" w:type="dxa"/>
            <w:left w:w="57" w:type="dxa"/>
            <w:bottom w:w="0" w:type="dxa"/>
            <w:right w:w="0" w:type="dxa"/>
          </w:tblCellMar>
        </w:tblPrEx>
        <w:trPr>
          <w:trHeight w:val="434" w:hRule="atLeast"/>
        </w:trPr>
        <w:tc>
          <w:tcPr>
            <w:tcW w:w="568" w:type="dxa"/>
            <w:tcBorders>
              <w:top w:val="single" w:color="auto" w:sz="4" w:space="0"/>
              <w:left w:val="single" w:color="auto" w:sz="4" w:space="0"/>
              <w:bottom w:val="single" w:color="auto" w:sz="4" w:space="0"/>
              <w:right w:val="single" w:color="auto" w:sz="4" w:space="0"/>
            </w:tcBorders>
            <w:noWrap/>
            <w:vAlign w:val="center"/>
          </w:tcPr>
          <w:p>
            <w:pPr>
              <w:widowControl/>
              <w:spacing w:line="360" w:lineRule="auto"/>
              <w:jc w:val="center"/>
              <w:rPr>
                <w:rFonts w:ascii="宋体" w:hAnsi="宋体" w:cs="宋体"/>
                <w:kern w:val="0"/>
                <w:szCs w:val="21"/>
              </w:rPr>
            </w:pPr>
            <w:r>
              <w:rPr>
                <w:rFonts w:hint="eastAsia" w:ascii="宋体" w:hAnsi="宋体" w:cs="宋体"/>
                <w:kern w:val="0"/>
                <w:szCs w:val="21"/>
              </w:rPr>
              <w:t>13</w:t>
            </w:r>
          </w:p>
        </w:tc>
        <w:tc>
          <w:tcPr>
            <w:tcW w:w="6945" w:type="dxa"/>
            <w:tcBorders>
              <w:top w:val="single" w:color="auto" w:sz="4" w:space="0"/>
              <w:left w:val="nil"/>
              <w:bottom w:val="single" w:color="auto" w:sz="4" w:space="0"/>
              <w:right w:val="single" w:color="auto" w:sz="4" w:space="0"/>
            </w:tcBorders>
            <w:noWrap/>
            <w:vAlign w:val="center"/>
          </w:tcPr>
          <w:p>
            <w:pPr>
              <w:widowControl/>
              <w:spacing w:line="360" w:lineRule="auto"/>
              <w:rPr>
                <w:rFonts w:ascii="宋体" w:hAnsi="宋体" w:cs="宋体"/>
                <w:kern w:val="0"/>
                <w:szCs w:val="21"/>
              </w:rPr>
            </w:pPr>
            <w:r>
              <w:rPr>
                <w:rFonts w:hint="eastAsia" w:ascii="宋体" w:hAnsi="宋体" w:cs="宋体"/>
                <w:kern w:val="0"/>
                <w:szCs w:val="21"/>
              </w:rPr>
              <w:t>法律、法规和招标文件规定的其他无效情形。</w:t>
            </w:r>
          </w:p>
        </w:tc>
        <w:tc>
          <w:tcPr>
            <w:tcW w:w="629" w:type="dxa"/>
            <w:tcBorders>
              <w:top w:val="single" w:color="auto" w:sz="4" w:space="0"/>
              <w:left w:val="nil"/>
              <w:bottom w:val="single" w:color="auto" w:sz="4" w:space="0"/>
              <w:right w:val="single" w:color="auto" w:sz="4" w:space="0"/>
            </w:tcBorders>
            <w:noWrap/>
          </w:tcPr>
          <w:p>
            <w:pPr>
              <w:widowControl/>
              <w:spacing w:line="360" w:lineRule="auto"/>
              <w:jc w:val="center"/>
              <w:rPr>
                <w:rFonts w:ascii="宋体" w:hAnsi="宋体" w:cs="宋体"/>
                <w:kern w:val="0"/>
                <w:szCs w:val="21"/>
              </w:rPr>
            </w:pPr>
          </w:p>
        </w:tc>
        <w:tc>
          <w:tcPr>
            <w:tcW w:w="824" w:type="dxa"/>
            <w:tcBorders>
              <w:top w:val="single" w:color="auto" w:sz="4" w:space="0"/>
              <w:left w:val="nil"/>
              <w:bottom w:val="single" w:color="auto" w:sz="4" w:space="0"/>
              <w:right w:val="single" w:color="auto" w:sz="4" w:space="0"/>
            </w:tcBorders>
            <w:noWrap/>
          </w:tcPr>
          <w:p>
            <w:pPr>
              <w:widowControl/>
              <w:spacing w:line="360" w:lineRule="auto"/>
              <w:jc w:val="center"/>
              <w:rPr>
                <w:rFonts w:ascii="宋体" w:hAnsi="宋体" w:cs="宋体"/>
                <w:kern w:val="0"/>
                <w:szCs w:val="21"/>
              </w:rPr>
            </w:pPr>
          </w:p>
        </w:tc>
      </w:tr>
      <w:tr>
        <w:tblPrEx>
          <w:tblCellMar>
            <w:top w:w="0" w:type="dxa"/>
            <w:left w:w="57" w:type="dxa"/>
            <w:bottom w:w="0" w:type="dxa"/>
            <w:right w:w="0" w:type="dxa"/>
          </w:tblCellMar>
        </w:tblPrEx>
        <w:trPr>
          <w:trHeight w:val="390" w:hRule="atLeast"/>
        </w:trPr>
        <w:tc>
          <w:tcPr>
            <w:tcW w:w="568" w:type="dxa"/>
            <w:tcBorders>
              <w:top w:val="nil"/>
              <w:left w:val="single" w:color="auto" w:sz="4" w:space="0"/>
              <w:bottom w:val="single" w:color="auto" w:sz="4" w:space="0"/>
              <w:right w:val="single" w:color="auto" w:sz="4" w:space="0"/>
            </w:tcBorders>
            <w:noWrap/>
            <w:vAlign w:val="center"/>
          </w:tcPr>
          <w:p>
            <w:pPr>
              <w:widowControl/>
              <w:spacing w:line="360" w:lineRule="auto"/>
              <w:jc w:val="center"/>
              <w:rPr>
                <w:rFonts w:ascii="宋体" w:hAnsi="宋体" w:cs="宋体"/>
                <w:kern w:val="0"/>
                <w:szCs w:val="21"/>
              </w:rPr>
            </w:pPr>
          </w:p>
        </w:tc>
        <w:tc>
          <w:tcPr>
            <w:tcW w:w="6945" w:type="dxa"/>
            <w:tcBorders>
              <w:top w:val="single" w:color="auto" w:sz="4" w:space="0"/>
              <w:left w:val="nil"/>
              <w:bottom w:val="single" w:color="auto" w:sz="4" w:space="0"/>
              <w:right w:val="single" w:color="auto" w:sz="4" w:space="0"/>
            </w:tcBorders>
            <w:noWrap/>
            <w:vAlign w:val="center"/>
          </w:tcPr>
          <w:p>
            <w:pPr>
              <w:widowControl/>
              <w:spacing w:line="360" w:lineRule="auto"/>
              <w:jc w:val="center"/>
              <w:rPr>
                <w:rFonts w:ascii="宋体" w:hAnsi="宋体" w:cs="宋体"/>
                <w:kern w:val="0"/>
                <w:szCs w:val="21"/>
              </w:rPr>
            </w:pPr>
            <w:r>
              <w:rPr>
                <w:rFonts w:hint="eastAsia" w:ascii="宋体" w:hAnsi="宋体" w:cs="宋体"/>
                <w:kern w:val="0"/>
                <w:szCs w:val="21"/>
              </w:rPr>
              <w:t>结    论</w:t>
            </w:r>
          </w:p>
        </w:tc>
        <w:tc>
          <w:tcPr>
            <w:tcW w:w="629" w:type="dxa"/>
            <w:tcBorders>
              <w:top w:val="nil"/>
              <w:left w:val="nil"/>
              <w:bottom w:val="single" w:color="auto" w:sz="4" w:space="0"/>
              <w:right w:val="single" w:color="auto" w:sz="4" w:space="0"/>
            </w:tcBorders>
            <w:noWrap/>
          </w:tcPr>
          <w:p>
            <w:pPr>
              <w:widowControl/>
              <w:spacing w:line="360" w:lineRule="auto"/>
              <w:jc w:val="center"/>
              <w:rPr>
                <w:rFonts w:ascii="宋体" w:hAnsi="宋体" w:cs="宋体"/>
                <w:kern w:val="0"/>
                <w:szCs w:val="21"/>
              </w:rPr>
            </w:pPr>
          </w:p>
        </w:tc>
        <w:tc>
          <w:tcPr>
            <w:tcW w:w="824" w:type="dxa"/>
            <w:tcBorders>
              <w:top w:val="nil"/>
              <w:left w:val="nil"/>
              <w:bottom w:val="single" w:color="auto" w:sz="4" w:space="0"/>
              <w:right w:val="single" w:color="auto" w:sz="4" w:space="0"/>
            </w:tcBorders>
            <w:noWrap/>
          </w:tcPr>
          <w:p>
            <w:pPr>
              <w:widowControl/>
              <w:spacing w:line="360" w:lineRule="auto"/>
              <w:jc w:val="center"/>
              <w:rPr>
                <w:rFonts w:ascii="宋体" w:hAnsi="宋体" w:cs="宋体"/>
                <w:kern w:val="0"/>
                <w:szCs w:val="21"/>
              </w:rPr>
            </w:pPr>
          </w:p>
        </w:tc>
      </w:tr>
    </w:tbl>
    <w:p>
      <w:pPr>
        <w:autoSpaceDE w:val="0"/>
        <w:autoSpaceDN w:val="0"/>
        <w:adjustRightInd w:val="0"/>
        <w:spacing w:line="360" w:lineRule="auto"/>
        <w:jc w:val="left"/>
        <w:rPr>
          <w:rFonts w:ascii="宋体" w:hAnsi="宋体"/>
          <w:sz w:val="18"/>
          <w:szCs w:val="18"/>
        </w:rPr>
      </w:pPr>
      <w:r>
        <w:rPr>
          <w:rFonts w:hint="eastAsia" w:ascii="宋体" w:hAnsi="宋体"/>
          <w:sz w:val="18"/>
          <w:szCs w:val="18"/>
        </w:rPr>
        <w:t>说明：</w:t>
      </w:r>
    </w:p>
    <w:p>
      <w:pPr>
        <w:autoSpaceDE w:val="0"/>
        <w:autoSpaceDN w:val="0"/>
        <w:adjustRightInd w:val="0"/>
        <w:spacing w:line="360" w:lineRule="auto"/>
        <w:jc w:val="left"/>
        <w:rPr>
          <w:rFonts w:ascii="宋体" w:hAnsi="宋体"/>
          <w:sz w:val="18"/>
          <w:szCs w:val="18"/>
        </w:rPr>
      </w:pPr>
      <w:r>
        <w:rPr>
          <w:rFonts w:hint="eastAsia" w:ascii="宋体" w:hAnsi="宋体"/>
          <w:sz w:val="18"/>
          <w:szCs w:val="18"/>
        </w:rPr>
        <w:t>（1）上述各项中用“√”表示通过，“×”表示不通过；</w:t>
      </w:r>
    </w:p>
    <w:p>
      <w:pPr>
        <w:autoSpaceDE w:val="0"/>
        <w:autoSpaceDN w:val="0"/>
        <w:adjustRightInd w:val="0"/>
        <w:spacing w:line="360" w:lineRule="auto"/>
        <w:jc w:val="left"/>
        <w:rPr>
          <w:rFonts w:ascii="宋体" w:hAnsi="宋体"/>
          <w:sz w:val="18"/>
          <w:szCs w:val="18"/>
        </w:rPr>
      </w:pPr>
      <w:r>
        <w:rPr>
          <w:rFonts w:hint="eastAsia" w:ascii="宋体" w:hAnsi="宋体"/>
          <w:sz w:val="18"/>
          <w:szCs w:val="18"/>
        </w:rPr>
        <w:t>（2）上述各项中如有一项为“×”，则结论为“×”，表示该投标文件中存在重大偏差，不能通过初步评审；评委对某一分项评审认为不合格时，必须要写明原因。</w:t>
      </w:r>
    </w:p>
    <w:p>
      <w:pPr>
        <w:autoSpaceDE w:val="0"/>
        <w:autoSpaceDN w:val="0"/>
        <w:adjustRightInd w:val="0"/>
        <w:spacing w:line="360" w:lineRule="auto"/>
        <w:jc w:val="left"/>
        <w:rPr>
          <w:rFonts w:ascii="宋体" w:hAnsi="宋体"/>
          <w:sz w:val="18"/>
          <w:szCs w:val="18"/>
        </w:rPr>
      </w:pPr>
      <w:r>
        <w:rPr>
          <w:rFonts w:hint="eastAsia" w:ascii="宋体" w:hAnsi="宋体"/>
          <w:sz w:val="18"/>
          <w:szCs w:val="18"/>
        </w:rPr>
        <w:t>（3）投标文件最终合格与否，以所有评委的评审意见中少数服从多数为原则定论。</w:t>
      </w:r>
    </w:p>
    <w:p>
      <w:pPr>
        <w:autoSpaceDE w:val="0"/>
        <w:autoSpaceDN w:val="0"/>
        <w:adjustRightInd w:val="0"/>
        <w:spacing w:line="360" w:lineRule="auto"/>
        <w:jc w:val="left"/>
      </w:pPr>
      <w:r>
        <w:rPr>
          <w:rFonts w:hint="eastAsia" w:ascii="宋体" w:hAnsi="宋体"/>
          <w:sz w:val="18"/>
          <w:szCs w:val="18"/>
        </w:rPr>
        <w:t>（4）投标人请认真阅读和理解上述内容，避免投标文件中有违背上述审查标准之一的情况发生而造成投标被否决。</w:t>
      </w:r>
      <w:r>
        <w:br w:type="page"/>
      </w:r>
    </w:p>
    <w:p>
      <w:pPr>
        <w:spacing w:line="360" w:lineRule="auto"/>
        <w:rPr>
          <w:rFonts w:ascii="宋体" w:hAnsi="宋体"/>
          <w:bCs/>
          <w:sz w:val="40"/>
          <w:szCs w:val="44"/>
        </w:rPr>
      </w:pPr>
      <w:r>
        <w:rPr>
          <w:rFonts w:hint="eastAsia" w:ascii="宋体" w:hAnsi="宋体"/>
          <w:b/>
          <w:bCs/>
          <w:sz w:val="40"/>
          <w:szCs w:val="44"/>
        </w:rPr>
        <w:t>库尔勒市第二人民医院智慧在线监测预警系统</w:t>
      </w:r>
    </w:p>
    <w:p>
      <w:pPr>
        <w:pStyle w:val="5"/>
        <w:spacing w:after="0" w:line="360" w:lineRule="auto"/>
        <w:jc w:val="center"/>
        <w:rPr>
          <w:rFonts w:ascii="宋体" w:hAnsi="宋体" w:eastAsia="宋体"/>
          <w:b w:val="0"/>
          <w:bCs/>
          <w:sz w:val="40"/>
          <w:szCs w:val="44"/>
        </w:rPr>
      </w:pPr>
      <w:r>
        <w:rPr>
          <w:rFonts w:ascii="宋体" w:hAnsi="宋体" w:eastAsia="宋体"/>
          <w:bCs/>
          <w:sz w:val="28"/>
          <w:szCs w:val="28"/>
        </w:rPr>
        <w:t>（</w:t>
      </w:r>
      <w:r>
        <w:rPr>
          <w:rFonts w:hint="eastAsia" w:ascii="宋体" w:hAnsi="宋体" w:eastAsia="宋体"/>
          <w:bCs/>
          <w:szCs w:val="40"/>
        </w:rPr>
        <w:t>商务及技术评分办法）</w:t>
      </w:r>
    </w:p>
    <w:tbl>
      <w:tblPr>
        <w:tblStyle w:val="438"/>
        <w:tblpPr w:leftFromText="180" w:rightFromText="180" w:vertAnchor="text" w:horzAnchor="page" w:tblpXSpec="center" w:tblpY="842"/>
        <w:tblOverlap w:val="never"/>
        <w:tblW w:w="935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1415"/>
        <w:gridCol w:w="7938"/>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9" w:hRule="atLeast"/>
          <w:jc w:val="center"/>
        </w:trPr>
        <w:tc>
          <w:tcPr>
            <w:tcW w:w="1415" w:type="dxa"/>
            <w:vAlign w:val="center"/>
          </w:tcPr>
          <w:p>
            <w:pPr>
              <w:pStyle w:val="135"/>
              <w:widowControl w:val="0"/>
              <w:snapToGrid/>
              <w:spacing w:line="360" w:lineRule="auto"/>
              <w:jc w:val="center"/>
              <w:rPr>
                <w:rFonts w:ascii="宋体" w:hAnsi="宋体"/>
                <w:sz w:val="32"/>
                <w:szCs w:val="32"/>
              </w:rPr>
            </w:pPr>
            <w:r>
              <w:rPr>
                <w:rFonts w:ascii="宋体" w:hAnsi="宋体"/>
                <w:b/>
                <w:bCs/>
                <w:spacing w:val="-5"/>
                <w:sz w:val="32"/>
                <w:szCs w:val="32"/>
              </w:rPr>
              <w:t>评分项</w:t>
            </w:r>
          </w:p>
        </w:tc>
        <w:tc>
          <w:tcPr>
            <w:tcW w:w="7938" w:type="dxa"/>
            <w:vAlign w:val="center"/>
          </w:tcPr>
          <w:p>
            <w:pPr>
              <w:pStyle w:val="135"/>
              <w:widowControl w:val="0"/>
              <w:snapToGrid/>
              <w:spacing w:line="360" w:lineRule="auto"/>
              <w:jc w:val="center"/>
              <w:rPr>
                <w:rFonts w:ascii="宋体" w:hAnsi="宋体"/>
                <w:sz w:val="32"/>
                <w:szCs w:val="32"/>
              </w:rPr>
            </w:pPr>
            <w:r>
              <w:rPr>
                <w:rFonts w:ascii="宋体" w:hAnsi="宋体"/>
                <w:b/>
                <w:bCs/>
                <w:spacing w:val="-5"/>
                <w:sz w:val="32"/>
                <w:szCs w:val="32"/>
              </w:rPr>
              <w:t>评分内容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3281" w:hRule="atLeast"/>
          <w:jc w:val="center"/>
        </w:trPr>
        <w:tc>
          <w:tcPr>
            <w:tcW w:w="1415" w:type="dxa"/>
            <w:vAlign w:val="center"/>
          </w:tcPr>
          <w:p>
            <w:pPr>
              <w:pStyle w:val="135"/>
              <w:spacing w:before="78" w:line="360" w:lineRule="auto"/>
              <w:rPr>
                <w:rFonts w:ascii="宋体" w:hAnsi="宋体" w:cs="宋体"/>
                <w:sz w:val="21"/>
                <w:szCs w:val="21"/>
              </w:rPr>
            </w:pPr>
            <w:r>
              <w:rPr>
                <w:rFonts w:hint="eastAsia" w:ascii="宋体" w:hAnsi="宋体" w:cs="宋体"/>
                <w:sz w:val="21"/>
                <w:szCs w:val="21"/>
              </w:rPr>
              <w:t>报价得分30分</w:t>
            </w:r>
          </w:p>
        </w:tc>
        <w:tc>
          <w:tcPr>
            <w:tcW w:w="7938" w:type="dxa"/>
          </w:tcPr>
          <w:p>
            <w:pPr>
              <w:widowControl/>
              <w:autoSpaceDE w:val="0"/>
              <w:autoSpaceDN w:val="0"/>
              <w:spacing w:line="360" w:lineRule="auto"/>
              <w:jc w:val="left"/>
              <w:rPr>
                <w:rFonts w:ascii="宋体" w:hAnsi="宋体" w:cs="宋体"/>
                <w:kern w:val="0"/>
                <w:szCs w:val="21"/>
                <w:lang w:val="zh-CN" w:bidi="zh-CN"/>
              </w:rPr>
            </w:pPr>
            <w:r>
              <w:rPr>
                <w:rFonts w:hint="eastAsia" w:ascii="宋体" w:hAnsi="宋体" w:cs="宋体"/>
                <w:kern w:val="0"/>
                <w:szCs w:val="21"/>
                <w:lang w:bidi="zh-CN"/>
              </w:rPr>
              <w:t>1</w:t>
            </w:r>
            <w:r>
              <w:rPr>
                <w:rFonts w:hint="eastAsia" w:ascii="宋体" w:hAnsi="宋体" w:cs="宋体"/>
                <w:kern w:val="0"/>
                <w:szCs w:val="21"/>
                <w:lang w:val="zh-CN" w:bidi="zh-CN"/>
              </w:rPr>
              <w:t>、在评审过程中，评审小组发现投标供应商的报价明显低于其他投标报价，使得其投标报价可能低于其个别成本的，应当要求该投标供应商做出书面说明并提供相关证明材料。投标供应商不能合理说明或者不能提供相关证明材料的，评审小组认定该投标供应商以低于成本报价竞标，其投标将被否决。</w:t>
            </w:r>
          </w:p>
          <w:p>
            <w:pPr>
              <w:widowControl/>
              <w:autoSpaceDE w:val="0"/>
              <w:autoSpaceDN w:val="0"/>
              <w:spacing w:line="360" w:lineRule="auto"/>
              <w:jc w:val="left"/>
              <w:rPr>
                <w:rFonts w:ascii="宋体" w:hAnsi="宋体" w:cs="宋体"/>
                <w:kern w:val="0"/>
                <w:szCs w:val="21"/>
                <w:lang w:val="zh-CN" w:bidi="zh-CN"/>
              </w:rPr>
            </w:pPr>
            <w:r>
              <w:rPr>
                <w:rFonts w:hint="eastAsia" w:ascii="宋体" w:hAnsi="宋体" w:cs="宋体"/>
                <w:kern w:val="0"/>
                <w:szCs w:val="21"/>
                <w:lang w:bidi="zh-CN"/>
              </w:rPr>
              <w:t>2</w:t>
            </w:r>
            <w:r>
              <w:rPr>
                <w:rFonts w:hint="eastAsia" w:ascii="宋体" w:hAnsi="宋体" w:cs="宋体"/>
                <w:kern w:val="0"/>
                <w:szCs w:val="21"/>
                <w:lang w:val="zh-CN" w:bidi="zh-CN"/>
              </w:rPr>
              <w:t>、投标的最低报价，不作为是否成交的保证。</w:t>
            </w:r>
          </w:p>
          <w:p>
            <w:pPr>
              <w:widowControl/>
              <w:autoSpaceDE w:val="0"/>
              <w:autoSpaceDN w:val="0"/>
              <w:spacing w:line="360" w:lineRule="auto"/>
              <w:jc w:val="left"/>
              <w:rPr>
                <w:rFonts w:ascii="宋体" w:hAnsi="宋体" w:cs="宋体"/>
                <w:b/>
                <w:bCs/>
                <w:kern w:val="0"/>
                <w:szCs w:val="21"/>
                <w:lang w:val="zh-CN" w:bidi="zh-CN"/>
              </w:rPr>
            </w:pPr>
            <w:r>
              <w:rPr>
                <w:rFonts w:hint="eastAsia" w:ascii="宋体" w:hAnsi="宋体" w:cs="宋体"/>
                <w:b/>
                <w:bCs/>
                <w:kern w:val="0"/>
                <w:szCs w:val="21"/>
                <w:lang w:bidi="zh-CN"/>
              </w:rPr>
              <w:t>3</w:t>
            </w:r>
            <w:r>
              <w:rPr>
                <w:rFonts w:hint="eastAsia" w:ascii="宋体" w:hAnsi="宋体" w:cs="宋体"/>
                <w:b/>
                <w:bCs/>
                <w:kern w:val="0"/>
                <w:szCs w:val="21"/>
                <w:lang w:val="zh-CN" w:bidi="zh-CN"/>
              </w:rPr>
              <w:t>、价格分统一采用低价优先法计算，即满足采购文件要求且最后报价最低的供应商的价格为评标基准价，其价格分为满分。其他供应商的价格分统一按照下列公式计算：</w:t>
            </w:r>
          </w:p>
          <w:p>
            <w:pPr>
              <w:widowControl/>
              <w:autoSpaceDE w:val="0"/>
              <w:autoSpaceDN w:val="0"/>
              <w:spacing w:line="360" w:lineRule="auto"/>
              <w:jc w:val="left"/>
              <w:rPr>
                <w:rFonts w:ascii="宋体" w:hAnsi="宋体" w:cs="宋体"/>
                <w:sz w:val="21"/>
                <w:szCs w:val="21"/>
              </w:rPr>
            </w:pPr>
            <w:r>
              <w:rPr>
                <w:rFonts w:hint="eastAsia" w:ascii="宋体" w:hAnsi="宋体" w:cs="宋体"/>
                <w:b/>
                <w:bCs/>
                <w:kern w:val="0"/>
                <w:szCs w:val="21"/>
                <w:lang w:val="zh-CN" w:bidi="zh-CN"/>
              </w:rPr>
              <w:t>投标报价得分=（评标基准价/最终投标报价）×价格权值×100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52" w:hRule="atLeast"/>
          <w:jc w:val="center"/>
        </w:trPr>
        <w:tc>
          <w:tcPr>
            <w:tcW w:w="1415" w:type="dxa"/>
            <w:vAlign w:val="center"/>
          </w:tcPr>
          <w:p>
            <w:pPr>
              <w:pStyle w:val="135"/>
              <w:spacing w:before="78" w:line="360" w:lineRule="auto"/>
              <w:rPr>
                <w:rFonts w:ascii="宋体" w:hAnsi="宋体" w:cs="宋体"/>
                <w:sz w:val="21"/>
                <w:szCs w:val="21"/>
              </w:rPr>
            </w:pPr>
            <w:r>
              <w:rPr>
                <w:rFonts w:hint="eastAsia" w:ascii="宋体" w:hAnsi="宋体" w:cs="宋体"/>
                <w:spacing w:val="-3"/>
                <w:sz w:val="21"/>
                <w:szCs w:val="21"/>
              </w:rPr>
              <w:t>技术参数符合程度（3</w:t>
            </w:r>
            <w:r>
              <w:rPr>
                <w:rFonts w:ascii="宋体" w:hAnsi="宋体" w:cs="宋体"/>
                <w:spacing w:val="-3"/>
                <w:sz w:val="21"/>
                <w:szCs w:val="21"/>
              </w:rPr>
              <w:t>0</w:t>
            </w:r>
            <w:r>
              <w:rPr>
                <w:rFonts w:hint="eastAsia" w:ascii="宋体" w:hAnsi="宋体" w:cs="宋体"/>
                <w:spacing w:val="-3"/>
                <w:sz w:val="21"/>
                <w:szCs w:val="21"/>
              </w:rPr>
              <w:t>分）</w:t>
            </w:r>
          </w:p>
        </w:tc>
        <w:tc>
          <w:tcPr>
            <w:tcW w:w="7938" w:type="dxa"/>
          </w:tcPr>
          <w:p>
            <w:pPr>
              <w:pStyle w:val="135"/>
              <w:widowControl w:val="0"/>
              <w:snapToGrid/>
              <w:spacing w:line="360" w:lineRule="auto"/>
              <w:rPr>
                <w:rFonts w:ascii="宋体" w:hAnsi="宋体" w:cs="宋体"/>
                <w:spacing w:val="-8"/>
                <w:sz w:val="21"/>
                <w:szCs w:val="21"/>
              </w:rPr>
            </w:pPr>
            <w:r>
              <w:rPr>
                <w:rFonts w:hint="eastAsia" w:ascii="宋体" w:hAnsi="宋体" w:cs="宋体"/>
                <w:spacing w:val="-4"/>
                <w:sz w:val="21"/>
                <w:szCs w:val="21"/>
              </w:rPr>
              <w:t>针对磋商文件技术参数，满足磋商文件要求，全部满足要求得</w:t>
            </w:r>
            <w:r>
              <w:rPr>
                <w:rFonts w:ascii="宋体" w:hAnsi="宋体" w:cs="宋体"/>
                <w:spacing w:val="-4"/>
                <w:sz w:val="21"/>
                <w:szCs w:val="21"/>
              </w:rPr>
              <w:t>30</w:t>
            </w:r>
            <w:r>
              <w:rPr>
                <w:rFonts w:hint="eastAsia" w:ascii="宋体" w:hAnsi="宋体" w:cs="宋体"/>
                <w:spacing w:val="-4"/>
                <w:sz w:val="21"/>
                <w:szCs w:val="21"/>
              </w:rPr>
              <w:t>分；针对非“★</w:t>
            </w:r>
            <w:r>
              <w:rPr>
                <w:rFonts w:hint="eastAsia" w:ascii="宋体" w:hAnsi="宋体" w:cs="宋体"/>
                <w:spacing w:val="-88"/>
                <w:sz w:val="21"/>
                <w:szCs w:val="21"/>
              </w:rPr>
              <w:t xml:space="preserve"> </w:t>
            </w:r>
            <w:r>
              <w:rPr>
                <w:rFonts w:hint="eastAsia" w:ascii="宋体" w:hAnsi="宋体" w:cs="宋体"/>
                <w:spacing w:val="-4"/>
                <w:sz w:val="21"/>
                <w:szCs w:val="21"/>
              </w:rPr>
              <w:t>”</w:t>
            </w:r>
            <w:r>
              <w:rPr>
                <w:rFonts w:hint="eastAsia" w:ascii="宋体" w:hAnsi="宋体" w:cs="宋体"/>
                <w:sz w:val="21"/>
                <w:szCs w:val="21"/>
              </w:rPr>
              <w:t xml:space="preserve"> </w:t>
            </w:r>
            <w:r>
              <w:rPr>
                <w:rFonts w:hint="eastAsia" w:ascii="宋体" w:hAnsi="宋体" w:cs="宋体"/>
                <w:spacing w:val="-7"/>
                <w:sz w:val="21"/>
                <w:szCs w:val="21"/>
              </w:rPr>
              <w:t>参数，每一项不符合扣</w:t>
            </w:r>
            <w:r>
              <w:rPr>
                <w:rFonts w:hint="eastAsia" w:ascii="宋体" w:hAnsi="宋体" w:cs="宋体"/>
                <w:spacing w:val="-49"/>
                <w:sz w:val="21"/>
                <w:szCs w:val="21"/>
              </w:rPr>
              <w:t xml:space="preserve"> </w:t>
            </w:r>
            <w:r>
              <w:rPr>
                <w:rFonts w:hint="eastAsia" w:ascii="宋体" w:hAnsi="宋体" w:cs="宋体"/>
                <w:spacing w:val="-7"/>
                <w:sz w:val="21"/>
                <w:szCs w:val="21"/>
              </w:rPr>
              <w:t>1分，扣完为止；（ 注：供应商需如实填写所投产品参数；并提供能够证</w:t>
            </w:r>
            <w:r>
              <w:rPr>
                <w:rFonts w:hint="eastAsia" w:ascii="宋体" w:hAnsi="宋体" w:cs="宋体"/>
                <w:spacing w:val="-8"/>
                <w:sz w:val="21"/>
                <w:szCs w:val="21"/>
              </w:rPr>
              <w:t>明其参数真实有效的证</w:t>
            </w:r>
            <w:r>
              <w:rPr>
                <w:rFonts w:hint="eastAsia" w:ascii="宋体" w:hAnsi="宋体" w:cs="宋体"/>
                <w:spacing w:val="-7"/>
                <w:sz w:val="21"/>
                <w:szCs w:val="21"/>
              </w:rPr>
              <w:t>明文件,包含但不限于产品彩页、功能截图、证书、检测报告等，不提供证明材料视为不响应。）</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95" w:hRule="atLeast"/>
          <w:jc w:val="center"/>
        </w:trPr>
        <w:tc>
          <w:tcPr>
            <w:tcW w:w="1415" w:type="dxa"/>
            <w:vAlign w:val="center"/>
          </w:tcPr>
          <w:p>
            <w:pPr>
              <w:pStyle w:val="135"/>
              <w:spacing w:before="1" w:line="360" w:lineRule="auto"/>
              <w:jc w:val="center"/>
              <w:rPr>
                <w:rFonts w:ascii="宋体" w:hAnsi="宋体" w:cs="宋体"/>
                <w:spacing w:val="-7"/>
                <w:sz w:val="21"/>
                <w:szCs w:val="21"/>
              </w:rPr>
            </w:pPr>
            <w:r>
              <w:rPr>
                <w:rFonts w:hint="eastAsia" w:ascii="宋体" w:hAnsi="宋体" w:cs="宋体"/>
                <w:spacing w:val="-7"/>
                <w:sz w:val="21"/>
                <w:szCs w:val="21"/>
              </w:rPr>
              <w:t>企业综合实力（0-</w:t>
            </w:r>
            <w:r>
              <w:rPr>
                <w:rFonts w:ascii="宋体" w:hAnsi="宋体" w:cs="宋体"/>
                <w:spacing w:val="-7"/>
                <w:sz w:val="21"/>
                <w:szCs w:val="21"/>
              </w:rPr>
              <w:t>3</w:t>
            </w:r>
            <w:r>
              <w:rPr>
                <w:rFonts w:hint="eastAsia" w:ascii="宋体" w:hAnsi="宋体" w:cs="宋体"/>
                <w:spacing w:val="-7"/>
                <w:sz w:val="21"/>
                <w:szCs w:val="21"/>
              </w:rPr>
              <w:t>分）</w:t>
            </w:r>
          </w:p>
        </w:tc>
        <w:tc>
          <w:tcPr>
            <w:tcW w:w="7938" w:type="dxa"/>
          </w:tcPr>
          <w:p>
            <w:pPr>
              <w:pStyle w:val="135"/>
              <w:widowControl w:val="0"/>
              <w:snapToGrid/>
              <w:spacing w:line="360" w:lineRule="auto"/>
              <w:ind w:left="113"/>
              <w:jc w:val="both"/>
              <w:rPr>
                <w:rFonts w:ascii="宋体" w:hAnsi="宋体" w:cs="宋体"/>
                <w:spacing w:val="-4"/>
                <w:sz w:val="21"/>
                <w:szCs w:val="21"/>
              </w:rPr>
            </w:pPr>
            <w:r>
              <w:rPr>
                <w:rFonts w:hint="eastAsia" w:ascii="宋体" w:hAnsi="宋体" w:cs="宋体"/>
                <w:spacing w:val="-4"/>
                <w:sz w:val="21"/>
                <w:szCs w:val="21"/>
              </w:rPr>
              <w:t>供应商</w:t>
            </w:r>
            <w:r>
              <w:rPr>
                <w:rFonts w:hint="eastAsia" w:ascii="宋体" w:hAnsi="宋体" w:cs="宋体"/>
                <w:spacing w:val="-4"/>
                <w:sz w:val="21"/>
                <w:szCs w:val="21"/>
                <w:lang w:eastAsia="zh-Hans"/>
              </w:rPr>
              <w:t>所投产品厂家</w:t>
            </w:r>
            <w:r>
              <w:rPr>
                <w:rFonts w:hint="eastAsia" w:ascii="宋体" w:hAnsi="宋体" w:cs="宋体"/>
                <w:spacing w:val="-4"/>
                <w:sz w:val="21"/>
                <w:szCs w:val="21"/>
              </w:rPr>
              <w:t>具有医疗废弃物在线监测系统平台软件著作权证书得1分 。</w:t>
            </w:r>
          </w:p>
          <w:p>
            <w:pPr>
              <w:pStyle w:val="135"/>
              <w:widowControl w:val="0"/>
              <w:snapToGrid/>
              <w:spacing w:line="360" w:lineRule="auto"/>
              <w:ind w:left="113"/>
              <w:jc w:val="both"/>
              <w:rPr>
                <w:rFonts w:ascii="宋体" w:hAnsi="宋体" w:cs="宋体"/>
                <w:spacing w:val="-4"/>
                <w:sz w:val="21"/>
                <w:szCs w:val="21"/>
              </w:rPr>
            </w:pPr>
            <w:r>
              <w:rPr>
                <w:rFonts w:hint="eastAsia" w:ascii="宋体" w:hAnsi="宋体" w:cs="宋体"/>
                <w:spacing w:val="-4"/>
                <w:sz w:val="21"/>
                <w:szCs w:val="21"/>
              </w:rPr>
              <w:t>供应商</w:t>
            </w:r>
            <w:r>
              <w:rPr>
                <w:rFonts w:hint="eastAsia" w:ascii="宋体" w:hAnsi="宋体" w:cs="宋体"/>
                <w:spacing w:val="-4"/>
                <w:sz w:val="21"/>
                <w:szCs w:val="21"/>
                <w:lang w:eastAsia="zh-Hans"/>
              </w:rPr>
              <w:t>所投产品厂家</w:t>
            </w:r>
            <w:r>
              <w:rPr>
                <w:rFonts w:hint="eastAsia" w:ascii="宋体" w:hAnsi="宋体" w:cs="宋体"/>
                <w:spacing w:val="-4"/>
                <w:sz w:val="21"/>
                <w:szCs w:val="21"/>
              </w:rPr>
              <w:t>具有医院放射源放射线在线监测预警分析系统软件著作权证书得1分 .</w:t>
            </w:r>
          </w:p>
          <w:p>
            <w:pPr>
              <w:pStyle w:val="135"/>
              <w:widowControl w:val="0"/>
              <w:snapToGrid/>
              <w:spacing w:line="360" w:lineRule="auto"/>
              <w:ind w:left="113"/>
              <w:jc w:val="both"/>
              <w:rPr>
                <w:rFonts w:ascii="宋体" w:hAnsi="宋体" w:cs="宋体"/>
                <w:b/>
                <w:bCs/>
                <w:spacing w:val="-8"/>
                <w:sz w:val="21"/>
                <w:szCs w:val="21"/>
              </w:rPr>
            </w:pPr>
            <w:r>
              <w:rPr>
                <w:rFonts w:hint="eastAsia" w:ascii="宋体" w:hAnsi="宋体" w:cs="宋体"/>
                <w:spacing w:val="-4"/>
                <w:sz w:val="21"/>
                <w:szCs w:val="21"/>
              </w:rPr>
              <w:t>供应商</w:t>
            </w:r>
            <w:r>
              <w:rPr>
                <w:rFonts w:hint="eastAsia" w:ascii="宋体" w:hAnsi="宋体" w:cs="宋体"/>
                <w:spacing w:val="-4"/>
                <w:sz w:val="21"/>
                <w:szCs w:val="21"/>
                <w:lang w:eastAsia="zh-Hans"/>
              </w:rPr>
              <w:t>所投产品厂家</w:t>
            </w:r>
            <w:r>
              <w:rPr>
                <w:rFonts w:hint="eastAsia" w:ascii="宋体" w:hAnsi="宋体" w:cs="宋体"/>
                <w:spacing w:val="-4"/>
                <w:sz w:val="21"/>
                <w:szCs w:val="21"/>
              </w:rPr>
              <w:t xml:space="preserve">具有医疗机构高温蒸汽灭菌器在线监测管理系统软件著作权证书得1分 . </w:t>
            </w:r>
            <w:r>
              <w:rPr>
                <w:rFonts w:hint="eastAsia" w:ascii="宋体" w:hAnsi="宋体" w:cs="宋体"/>
                <w:spacing w:val="-4"/>
                <w:sz w:val="21"/>
                <w:szCs w:val="21"/>
                <w:lang w:val="zh-CN"/>
              </w:rPr>
              <w:t>（以上证书或报告</w:t>
            </w:r>
            <w:r>
              <w:rPr>
                <w:rFonts w:hint="eastAsia" w:ascii="宋体" w:hAnsi="宋体" w:cs="宋体"/>
                <w:sz w:val="21"/>
                <w:szCs w:val="21"/>
              </w:rPr>
              <w:t>须</w:t>
            </w:r>
            <w:r>
              <w:rPr>
                <w:rFonts w:hint="eastAsia" w:ascii="宋体" w:hAnsi="宋体" w:cs="宋体"/>
                <w:spacing w:val="-4"/>
                <w:sz w:val="21"/>
                <w:szCs w:val="21"/>
                <w:lang w:val="zh-CN"/>
              </w:rPr>
              <w:t>在有效期内，提供证书复印件</w:t>
            </w:r>
            <w:r>
              <w:rPr>
                <w:rFonts w:hint="eastAsia" w:ascii="宋体" w:hAnsi="宋体" w:cs="宋体"/>
                <w:spacing w:val="-4"/>
                <w:sz w:val="21"/>
                <w:szCs w:val="21"/>
              </w:rPr>
              <w:t>须</w:t>
            </w:r>
            <w:r>
              <w:rPr>
                <w:rFonts w:hint="eastAsia" w:ascii="宋体" w:hAnsi="宋体" w:cs="宋体"/>
                <w:spacing w:val="-4"/>
                <w:sz w:val="21"/>
                <w:szCs w:val="21"/>
                <w:lang w:val="zh-CN"/>
              </w:rPr>
              <w:t>加盖供应商</w:t>
            </w:r>
            <w:r>
              <w:rPr>
                <w:rFonts w:hint="eastAsia" w:ascii="宋体" w:hAnsi="宋体" w:cs="宋体"/>
                <w:spacing w:val="-4"/>
                <w:sz w:val="21"/>
                <w:szCs w:val="21"/>
                <w:lang w:eastAsia="zh-Hans"/>
              </w:rPr>
              <w:t>所投产品厂家</w:t>
            </w:r>
            <w:r>
              <w:rPr>
                <w:rFonts w:hint="eastAsia" w:ascii="宋体" w:hAnsi="宋体" w:cs="宋体"/>
                <w:spacing w:val="-4"/>
                <w:sz w:val="21"/>
                <w:szCs w:val="21"/>
                <w:lang w:val="zh-CN"/>
              </w:rPr>
              <w:t>公章，模糊无法辨认视为无效证书或报告）</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15" w:hRule="atLeast"/>
          <w:jc w:val="center"/>
        </w:trPr>
        <w:tc>
          <w:tcPr>
            <w:tcW w:w="1415" w:type="dxa"/>
            <w:vAlign w:val="center"/>
          </w:tcPr>
          <w:p>
            <w:pPr>
              <w:pStyle w:val="135"/>
              <w:spacing w:before="78" w:line="360" w:lineRule="auto"/>
              <w:jc w:val="center"/>
              <w:rPr>
                <w:rFonts w:ascii="宋体" w:hAnsi="宋体" w:cs="宋体"/>
                <w:sz w:val="21"/>
                <w:szCs w:val="21"/>
              </w:rPr>
            </w:pPr>
            <w:r>
              <w:rPr>
                <w:rFonts w:hint="eastAsia" w:ascii="宋体" w:hAnsi="宋体" w:cs="宋体"/>
                <w:spacing w:val="-14"/>
                <w:sz w:val="21"/>
                <w:szCs w:val="21"/>
              </w:rPr>
              <w:t>业绩（0-5</w:t>
            </w:r>
            <w:r>
              <w:rPr>
                <w:rFonts w:hint="eastAsia" w:ascii="宋体" w:hAnsi="宋体" w:cs="宋体"/>
                <w:spacing w:val="-46"/>
                <w:sz w:val="21"/>
                <w:szCs w:val="21"/>
              </w:rPr>
              <w:t xml:space="preserve"> </w:t>
            </w:r>
            <w:r>
              <w:rPr>
                <w:rFonts w:hint="eastAsia" w:ascii="宋体" w:hAnsi="宋体" w:cs="宋体"/>
                <w:spacing w:val="-14"/>
                <w:sz w:val="21"/>
                <w:szCs w:val="21"/>
              </w:rPr>
              <w:t>分）</w:t>
            </w:r>
          </w:p>
        </w:tc>
        <w:tc>
          <w:tcPr>
            <w:tcW w:w="7938" w:type="dxa"/>
          </w:tcPr>
          <w:p>
            <w:pPr>
              <w:pStyle w:val="135"/>
              <w:widowControl w:val="0"/>
              <w:snapToGrid/>
              <w:spacing w:line="360" w:lineRule="auto"/>
              <w:rPr>
                <w:rFonts w:ascii="宋体" w:hAnsi="宋体" w:cs="宋体"/>
                <w:spacing w:val="-1"/>
                <w:sz w:val="21"/>
                <w:szCs w:val="21"/>
              </w:rPr>
            </w:pPr>
            <w:r>
              <w:rPr>
                <w:rFonts w:hint="eastAsia" w:ascii="宋体" w:hAnsi="宋体" w:cs="宋体"/>
                <w:spacing w:val="-4"/>
                <w:sz w:val="21"/>
                <w:szCs w:val="21"/>
              </w:rPr>
              <w:t>供应商</w:t>
            </w:r>
            <w:r>
              <w:rPr>
                <w:rFonts w:hint="eastAsia" w:ascii="宋体" w:hAnsi="宋体" w:cs="宋体"/>
                <w:spacing w:val="-4"/>
                <w:sz w:val="21"/>
                <w:szCs w:val="21"/>
                <w:lang w:eastAsia="zh-Hans"/>
              </w:rPr>
              <w:t>所投产品厂家</w:t>
            </w:r>
            <w:r>
              <w:rPr>
                <w:rFonts w:hint="eastAsia" w:ascii="宋体" w:hAnsi="宋体" w:cs="宋体"/>
                <w:spacing w:val="-1"/>
                <w:sz w:val="21"/>
                <w:szCs w:val="21"/>
              </w:rPr>
              <w:t>提供2020年9 月至今类似业绩，提供 1 项得 1 分，本项多最得 5 分。未附证明材料的本项不得分。</w:t>
            </w:r>
          </w:p>
          <w:p>
            <w:pPr>
              <w:pStyle w:val="135"/>
              <w:widowControl w:val="0"/>
              <w:snapToGrid/>
              <w:spacing w:line="360" w:lineRule="auto"/>
              <w:rPr>
                <w:rFonts w:ascii="宋体" w:hAnsi="宋体"/>
                <w:sz w:val="21"/>
                <w:szCs w:val="21"/>
              </w:rPr>
            </w:pPr>
            <w:r>
              <w:rPr>
                <w:rFonts w:hint="eastAsia" w:ascii="宋体" w:hAnsi="宋体" w:cs="宋体"/>
                <w:spacing w:val="-1"/>
                <w:sz w:val="21"/>
                <w:szCs w:val="21"/>
              </w:rPr>
              <w:t>证明材料可为：项目合同或中标（成交）通知书复印件、扫描件等。</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80" w:hRule="atLeast"/>
          <w:jc w:val="center"/>
        </w:trPr>
        <w:tc>
          <w:tcPr>
            <w:tcW w:w="1415" w:type="dxa"/>
            <w:vAlign w:val="center"/>
          </w:tcPr>
          <w:p>
            <w:pPr>
              <w:pStyle w:val="135"/>
              <w:spacing w:before="78" w:line="360" w:lineRule="auto"/>
              <w:jc w:val="center"/>
              <w:rPr>
                <w:rFonts w:ascii="宋体" w:hAnsi="宋体" w:cs="宋体"/>
                <w:spacing w:val="-1"/>
                <w:sz w:val="21"/>
                <w:szCs w:val="21"/>
              </w:rPr>
            </w:pPr>
            <w:r>
              <w:rPr>
                <w:rFonts w:hint="eastAsia" w:ascii="宋体" w:hAnsi="宋体" w:cs="宋体"/>
                <w:spacing w:val="-1"/>
                <w:sz w:val="21"/>
                <w:szCs w:val="21"/>
              </w:rPr>
              <w:t>技术能力</w:t>
            </w:r>
          </w:p>
          <w:p>
            <w:pPr>
              <w:pStyle w:val="135"/>
              <w:spacing w:before="78" w:line="360" w:lineRule="auto"/>
              <w:jc w:val="center"/>
              <w:rPr>
                <w:rFonts w:ascii="宋体" w:hAnsi="宋体" w:cs="宋体"/>
                <w:spacing w:val="-14"/>
                <w:sz w:val="21"/>
                <w:szCs w:val="21"/>
              </w:rPr>
            </w:pPr>
            <w:r>
              <w:rPr>
                <w:rFonts w:hint="eastAsia" w:ascii="宋体" w:hAnsi="宋体" w:cs="宋体"/>
                <w:spacing w:val="-1"/>
                <w:sz w:val="21"/>
                <w:szCs w:val="21"/>
              </w:rPr>
              <w:t>（0-3分）</w:t>
            </w:r>
          </w:p>
        </w:tc>
        <w:tc>
          <w:tcPr>
            <w:tcW w:w="7938" w:type="dxa"/>
          </w:tcPr>
          <w:p>
            <w:pPr>
              <w:pStyle w:val="135"/>
              <w:widowControl w:val="0"/>
              <w:snapToGrid/>
              <w:spacing w:line="360" w:lineRule="auto"/>
              <w:rPr>
                <w:rFonts w:ascii="宋体" w:hAnsi="宋体" w:cs="宋体"/>
                <w:spacing w:val="-1"/>
                <w:sz w:val="21"/>
                <w:szCs w:val="21"/>
              </w:rPr>
            </w:pPr>
            <w:r>
              <w:rPr>
                <w:rFonts w:hint="eastAsia" w:ascii="宋体" w:hAnsi="宋体" w:cs="宋体"/>
                <w:spacing w:val="-1"/>
                <w:sz w:val="21"/>
                <w:szCs w:val="21"/>
              </w:rPr>
              <w:t>投标人或生产厂家具有管理体系认证（包括质量管理体系证书ISO9001、信息技术服务管理体系认证ISO20000、信息安全管理体系认证ISO27001，环境管理体系认证ISO14001、职业健康安全管理体系认证OHSAS18001或ISO45001）和国家级高新技术企业证书，每项得</w:t>
            </w:r>
            <w:r>
              <w:rPr>
                <w:rFonts w:ascii="宋体" w:hAnsi="宋体" w:cs="宋体"/>
                <w:spacing w:val="-1"/>
                <w:sz w:val="21"/>
                <w:szCs w:val="21"/>
              </w:rPr>
              <w:t>0.5</w:t>
            </w:r>
            <w:r>
              <w:rPr>
                <w:rFonts w:hint="eastAsia" w:ascii="宋体" w:hAnsi="宋体" w:cs="宋体"/>
                <w:spacing w:val="-1"/>
                <w:sz w:val="21"/>
                <w:szCs w:val="21"/>
              </w:rPr>
              <w:t>分，最高得</w:t>
            </w:r>
            <w:r>
              <w:rPr>
                <w:rFonts w:ascii="宋体" w:hAnsi="宋体" w:cs="宋体"/>
                <w:spacing w:val="-1"/>
                <w:sz w:val="21"/>
                <w:szCs w:val="21"/>
              </w:rPr>
              <w:t>3</w:t>
            </w:r>
            <w:r>
              <w:rPr>
                <w:rFonts w:hint="eastAsia" w:ascii="宋体" w:hAnsi="宋体" w:cs="宋体"/>
                <w:spacing w:val="-1"/>
                <w:sz w:val="21"/>
                <w:szCs w:val="21"/>
              </w:rPr>
              <w:t>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15" w:hRule="atLeast"/>
          <w:jc w:val="center"/>
        </w:trPr>
        <w:tc>
          <w:tcPr>
            <w:tcW w:w="1415" w:type="dxa"/>
            <w:vMerge w:val="restart"/>
            <w:tcBorders>
              <w:bottom w:val="nil"/>
            </w:tcBorders>
            <w:vAlign w:val="center"/>
          </w:tcPr>
          <w:p>
            <w:pPr>
              <w:pStyle w:val="135"/>
              <w:spacing w:before="78" w:line="360" w:lineRule="auto"/>
              <w:ind w:left="232" w:right="222" w:firstLine="1"/>
              <w:jc w:val="center"/>
              <w:rPr>
                <w:rFonts w:ascii="宋体" w:hAnsi="宋体" w:cs="宋体"/>
                <w:sz w:val="21"/>
                <w:szCs w:val="21"/>
              </w:rPr>
            </w:pPr>
            <w:r>
              <w:rPr>
                <w:rFonts w:hint="eastAsia" w:ascii="宋体" w:hAnsi="宋体" w:cs="宋体"/>
                <w:spacing w:val="-3"/>
                <w:sz w:val="21"/>
                <w:szCs w:val="21"/>
              </w:rPr>
              <w:t>项目实施方案及进度计</w:t>
            </w:r>
            <w:r>
              <w:rPr>
                <w:rFonts w:hint="eastAsia" w:ascii="宋体" w:hAnsi="宋体" w:cs="宋体"/>
                <w:spacing w:val="-2"/>
                <w:sz w:val="21"/>
                <w:szCs w:val="21"/>
              </w:rPr>
              <w:t>划安排（0-</w:t>
            </w:r>
            <w:r>
              <w:rPr>
                <w:rFonts w:ascii="宋体" w:hAnsi="宋体" w:cs="宋体"/>
                <w:spacing w:val="-2"/>
                <w:sz w:val="21"/>
                <w:szCs w:val="21"/>
              </w:rPr>
              <w:t>6</w:t>
            </w:r>
            <w:r>
              <w:rPr>
                <w:rFonts w:hint="eastAsia" w:ascii="宋体" w:hAnsi="宋体" w:cs="宋体"/>
                <w:spacing w:val="-7"/>
                <w:sz w:val="21"/>
                <w:szCs w:val="21"/>
              </w:rPr>
              <w:t>分）</w:t>
            </w:r>
          </w:p>
        </w:tc>
        <w:tc>
          <w:tcPr>
            <w:tcW w:w="7938" w:type="dxa"/>
          </w:tcPr>
          <w:p>
            <w:pPr>
              <w:pStyle w:val="135"/>
              <w:widowControl w:val="0"/>
              <w:snapToGrid/>
              <w:spacing w:line="360" w:lineRule="auto"/>
              <w:ind w:left="113"/>
              <w:rPr>
                <w:rFonts w:ascii="宋体" w:hAnsi="宋体" w:cs="宋体"/>
                <w:spacing w:val="-3"/>
                <w:sz w:val="21"/>
                <w:szCs w:val="21"/>
              </w:rPr>
            </w:pPr>
            <w:r>
              <w:rPr>
                <w:rFonts w:hint="eastAsia" w:ascii="宋体" w:hAnsi="宋体" w:cs="宋体"/>
                <w:spacing w:val="-2"/>
                <w:sz w:val="21"/>
                <w:szCs w:val="21"/>
              </w:rPr>
              <w:t>①</w:t>
            </w:r>
            <w:r>
              <w:rPr>
                <w:rFonts w:hint="eastAsia" w:ascii="宋体" w:hAnsi="宋体" w:cs="宋体"/>
                <w:spacing w:val="-3"/>
                <w:sz w:val="21"/>
                <w:szCs w:val="21"/>
              </w:rPr>
              <w:t>实施方案全面详细、合理、可行，且能够针对本项目的关键点编制、切实有效的，得</w:t>
            </w:r>
            <w:r>
              <w:rPr>
                <w:rFonts w:ascii="宋体" w:hAnsi="宋体" w:cs="宋体"/>
                <w:spacing w:val="-3"/>
                <w:sz w:val="21"/>
                <w:szCs w:val="21"/>
              </w:rPr>
              <w:t>3</w:t>
            </w:r>
            <w:r>
              <w:rPr>
                <w:rFonts w:hint="eastAsia" w:ascii="宋体" w:hAnsi="宋体" w:cs="宋体"/>
                <w:spacing w:val="-3"/>
                <w:sz w:val="21"/>
                <w:szCs w:val="21"/>
              </w:rPr>
              <w:t>分；</w:t>
            </w:r>
          </w:p>
          <w:p>
            <w:pPr>
              <w:pStyle w:val="135"/>
              <w:widowControl w:val="0"/>
              <w:snapToGrid/>
              <w:spacing w:line="360" w:lineRule="auto"/>
              <w:ind w:left="113"/>
              <w:rPr>
                <w:rFonts w:ascii="宋体" w:hAnsi="宋体" w:cs="宋体"/>
                <w:spacing w:val="-3"/>
                <w:sz w:val="21"/>
                <w:szCs w:val="21"/>
              </w:rPr>
            </w:pPr>
            <w:r>
              <w:rPr>
                <w:rFonts w:hint="eastAsia" w:ascii="宋体" w:hAnsi="宋体" w:cs="宋体"/>
                <w:spacing w:val="-3"/>
                <w:sz w:val="21"/>
                <w:szCs w:val="21"/>
              </w:rPr>
              <w:t>实施方案较合理、可行，针对实施过程中关键点、难点较有保障的，得2分；</w:t>
            </w:r>
          </w:p>
          <w:p>
            <w:pPr>
              <w:pStyle w:val="135"/>
              <w:widowControl w:val="0"/>
              <w:snapToGrid/>
              <w:spacing w:line="360" w:lineRule="auto"/>
              <w:ind w:left="113"/>
              <w:rPr>
                <w:rFonts w:ascii="宋体" w:hAnsi="宋体" w:cs="宋体"/>
                <w:spacing w:val="-3"/>
                <w:sz w:val="21"/>
                <w:szCs w:val="21"/>
              </w:rPr>
            </w:pPr>
            <w:r>
              <w:rPr>
                <w:rFonts w:hint="eastAsia" w:ascii="宋体" w:hAnsi="宋体" w:cs="宋体"/>
                <w:spacing w:val="-3"/>
                <w:sz w:val="21"/>
                <w:szCs w:val="21"/>
              </w:rPr>
              <w:t>实施方案一般，针对项目实施过程中关键点、难点的技术措施一般，得1分。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60" w:hRule="atLeast"/>
          <w:jc w:val="center"/>
        </w:trPr>
        <w:tc>
          <w:tcPr>
            <w:tcW w:w="1415" w:type="dxa"/>
            <w:vMerge w:val="continue"/>
            <w:tcBorders>
              <w:top w:val="nil"/>
            </w:tcBorders>
            <w:vAlign w:val="center"/>
          </w:tcPr>
          <w:p>
            <w:pPr>
              <w:spacing w:line="360" w:lineRule="auto"/>
              <w:jc w:val="center"/>
              <w:rPr>
                <w:rFonts w:ascii="宋体" w:hAnsi="宋体" w:cs="宋体"/>
                <w:szCs w:val="21"/>
              </w:rPr>
            </w:pPr>
          </w:p>
        </w:tc>
        <w:tc>
          <w:tcPr>
            <w:tcW w:w="7938" w:type="dxa"/>
          </w:tcPr>
          <w:p>
            <w:pPr>
              <w:pStyle w:val="135"/>
              <w:spacing w:before="118" w:line="360" w:lineRule="auto"/>
              <w:ind w:left="112" w:right="114" w:hanging="1"/>
              <w:rPr>
                <w:rFonts w:ascii="宋体" w:hAnsi="宋体" w:cs="宋体"/>
                <w:sz w:val="21"/>
                <w:szCs w:val="21"/>
              </w:rPr>
            </w:pPr>
            <w:r>
              <w:rPr>
                <w:rFonts w:hint="eastAsia" w:ascii="宋体" w:hAnsi="宋体" w:cs="宋体"/>
                <w:spacing w:val="-2"/>
                <w:sz w:val="21"/>
                <w:szCs w:val="21"/>
              </w:rPr>
              <w:t>②项目进度计划安排的合理性：交货、安装、调试、测试、人员配备等</w:t>
            </w:r>
            <w:r>
              <w:rPr>
                <w:rFonts w:hint="eastAsia" w:ascii="宋体" w:hAnsi="宋体" w:cs="宋体"/>
                <w:spacing w:val="-3"/>
                <w:sz w:val="21"/>
                <w:szCs w:val="21"/>
              </w:rPr>
              <w:t>对采购人</w:t>
            </w:r>
            <w:r>
              <w:rPr>
                <w:rFonts w:hint="eastAsia" w:ascii="宋体" w:hAnsi="宋体" w:cs="宋体"/>
                <w:sz w:val="21"/>
                <w:szCs w:val="21"/>
              </w:rPr>
              <w:t xml:space="preserve"> </w:t>
            </w:r>
            <w:r>
              <w:rPr>
                <w:rFonts w:hint="eastAsia" w:ascii="宋体" w:hAnsi="宋体" w:cs="宋体"/>
                <w:spacing w:val="-2"/>
                <w:sz w:val="21"/>
                <w:szCs w:val="21"/>
              </w:rPr>
              <w:t>的有利性以及保证项目顺利实施的其他因素。内容全面、计划合理</w:t>
            </w:r>
            <w:r>
              <w:rPr>
                <w:rFonts w:hint="eastAsia" w:ascii="宋体" w:hAnsi="宋体" w:cs="宋体"/>
                <w:spacing w:val="-3"/>
                <w:sz w:val="21"/>
                <w:szCs w:val="21"/>
              </w:rPr>
              <w:t>可行，相比较</w:t>
            </w:r>
            <w:r>
              <w:rPr>
                <w:rFonts w:hint="eastAsia" w:ascii="宋体" w:hAnsi="宋体" w:cs="宋体"/>
                <w:sz w:val="21"/>
                <w:szCs w:val="21"/>
              </w:rPr>
              <w:t xml:space="preserve"> </w:t>
            </w:r>
            <w:r>
              <w:rPr>
                <w:rFonts w:hint="eastAsia" w:ascii="宋体" w:hAnsi="宋体" w:cs="宋体"/>
                <w:spacing w:val="-1"/>
                <w:sz w:val="21"/>
                <w:szCs w:val="21"/>
              </w:rPr>
              <w:t>而评分。内容全面，可行性强，人员配备充分得</w:t>
            </w:r>
            <w:r>
              <w:rPr>
                <w:rFonts w:ascii="宋体" w:hAnsi="宋体" w:cs="宋体"/>
                <w:spacing w:val="-1"/>
                <w:sz w:val="21"/>
                <w:szCs w:val="21"/>
              </w:rPr>
              <w:t>3</w:t>
            </w:r>
            <w:r>
              <w:rPr>
                <w:rFonts w:hint="eastAsia" w:ascii="宋体" w:hAnsi="宋体" w:cs="宋体"/>
                <w:spacing w:val="-1"/>
                <w:sz w:val="21"/>
                <w:szCs w:val="21"/>
              </w:rPr>
              <w:t>分,内容不详尽，项目进</w:t>
            </w:r>
            <w:r>
              <w:rPr>
                <w:rFonts w:hint="eastAsia" w:ascii="宋体" w:hAnsi="宋体" w:cs="宋体"/>
                <w:spacing w:val="-2"/>
                <w:sz w:val="21"/>
                <w:szCs w:val="21"/>
              </w:rPr>
              <w:t>度安排较一般得</w:t>
            </w:r>
            <w:r>
              <w:rPr>
                <w:rFonts w:hint="eastAsia" w:ascii="宋体" w:hAnsi="宋体" w:cs="宋体"/>
                <w:spacing w:val="-34"/>
                <w:sz w:val="21"/>
                <w:szCs w:val="21"/>
              </w:rPr>
              <w:t xml:space="preserve"> </w:t>
            </w:r>
            <w:r>
              <w:rPr>
                <w:rFonts w:hint="eastAsia" w:ascii="宋体" w:hAnsi="宋体" w:cs="宋体"/>
                <w:spacing w:val="-2"/>
                <w:sz w:val="21"/>
                <w:szCs w:val="21"/>
              </w:rPr>
              <w:t>2分，内容不全,过于简单,合理性差</w:t>
            </w:r>
            <w:r>
              <w:rPr>
                <w:rFonts w:hint="eastAsia" w:ascii="宋体" w:hAnsi="宋体" w:cs="宋体"/>
                <w:spacing w:val="-48"/>
                <w:sz w:val="21"/>
                <w:szCs w:val="21"/>
              </w:rPr>
              <w:t xml:space="preserve"> </w:t>
            </w:r>
            <w:r>
              <w:rPr>
                <w:rFonts w:hint="eastAsia" w:ascii="宋体" w:hAnsi="宋体" w:cs="宋体"/>
                <w:spacing w:val="-2"/>
                <w:sz w:val="21"/>
                <w:szCs w:val="21"/>
              </w:rPr>
              <w:t>1分,没有方案不得分。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14" w:hRule="atLeast"/>
          <w:jc w:val="center"/>
        </w:trPr>
        <w:tc>
          <w:tcPr>
            <w:tcW w:w="1415" w:type="dxa"/>
            <w:vAlign w:val="center"/>
          </w:tcPr>
          <w:p>
            <w:pPr>
              <w:pStyle w:val="135"/>
              <w:spacing w:before="1" w:line="360" w:lineRule="auto"/>
              <w:jc w:val="center"/>
              <w:rPr>
                <w:rFonts w:ascii="宋体" w:hAnsi="宋体" w:cs="宋体"/>
                <w:sz w:val="21"/>
                <w:szCs w:val="21"/>
              </w:rPr>
            </w:pPr>
            <w:r>
              <w:rPr>
                <w:rFonts w:hint="eastAsia" w:ascii="宋体" w:hAnsi="宋体" w:cs="宋体"/>
                <w:spacing w:val="-6"/>
                <w:sz w:val="21"/>
                <w:szCs w:val="21"/>
              </w:rPr>
              <w:t>项目设计方案（0-</w:t>
            </w:r>
            <w:r>
              <w:rPr>
                <w:rFonts w:ascii="宋体" w:hAnsi="宋体" w:cs="宋体"/>
                <w:spacing w:val="-6"/>
                <w:sz w:val="21"/>
                <w:szCs w:val="21"/>
              </w:rPr>
              <w:t>4</w:t>
            </w:r>
            <w:r>
              <w:rPr>
                <w:rFonts w:hint="eastAsia" w:ascii="宋体" w:hAnsi="宋体" w:cs="宋体"/>
                <w:spacing w:val="-6"/>
                <w:sz w:val="21"/>
                <w:szCs w:val="21"/>
              </w:rPr>
              <w:t>分）</w:t>
            </w:r>
          </w:p>
        </w:tc>
        <w:tc>
          <w:tcPr>
            <w:tcW w:w="7938" w:type="dxa"/>
          </w:tcPr>
          <w:p>
            <w:pPr>
              <w:pStyle w:val="135"/>
              <w:widowControl w:val="0"/>
              <w:snapToGrid/>
              <w:spacing w:line="360" w:lineRule="auto"/>
              <w:ind w:left="114"/>
              <w:rPr>
                <w:rFonts w:ascii="宋体" w:hAnsi="宋体" w:cs="宋体"/>
                <w:sz w:val="21"/>
                <w:szCs w:val="21"/>
              </w:rPr>
            </w:pPr>
            <w:r>
              <w:rPr>
                <w:rFonts w:hint="eastAsia" w:ascii="宋体" w:hAnsi="宋体" w:cs="宋体"/>
                <w:sz w:val="21"/>
                <w:szCs w:val="21"/>
              </w:rPr>
              <w:t>供应商提供项目设计方案，根据方案的合理性、完善性、适应性进行评定，设计方案合理完善、适应性强的得</w:t>
            </w:r>
            <w:r>
              <w:rPr>
                <w:rFonts w:ascii="宋体" w:hAnsi="宋体" w:cs="宋体"/>
                <w:sz w:val="21"/>
                <w:szCs w:val="21"/>
              </w:rPr>
              <w:t>4</w:t>
            </w:r>
            <w:r>
              <w:rPr>
                <w:rFonts w:hint="eastAsia" w:ascii="宋体" w:hAnsi="宋体" w:cs="宋体"/>
                <w:sz w:val="21"/>
                <w:szCs w:val="21"/>
              </w:rPr>
              <w:t>分；设计方案可行、适应性较强的得2分；设计方案有所欠缺的得1分；未作说明的不得分。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1702" w:hRule="atLeast"/>
          <w:jc w:val="center"/>
        </w:trPr>
        <w:tc>
          <w:tcPr>
            <w:tcW w:w="1415" w:type="dxa"/>
            <w:vAlign w:val="center"/>
          </w:tcPr>
          <w:p>
            <w:pPr>
              <w:pStyle w:val="135"/>
              <w:spacing w:before="78" w:line="360" w:lineRule="auto"/>
              <w:jc w:val="center"/>
              <w:rPr>
                <w:rFonts w:ascii="宋体" w:hAnsi="宋体" w:cs="宋体"/>
                <w:spacing w:val="-5"/>
                <w:sz w:val="21"/>
                <w:szCs w:val="21"/>
              </w:rPr>
            </w:pPr>
            <w:r>
              <w:rPr>
                <w:rFonts w:hint="eastAsia" w:ascii="宋体" w:hAnsi="宋体" w:cs="宋体"/>
                <w:spacing w:val="-2"/>
                <w:position w:val="17"/>
                <w:sz w:val="21"/>
                <w:szCs w:val="21"/>
              </w:rPr>
              <w:t>售后服务保障</w:t>
            </w:r>
          </w:p>
          <w:p>
            <w:pPr>
              <w:pStyle w:val="135"/>
              <w:spacing w:line="360" w:lineRule="auto"/>
              <w:ind w:left="151"/>
              <w:jc w:val="center"/>
              <w:rPr>
                <w:rFonts w:ascii="宋体" w:hAnsi="宋体" w:cs="宋体"/>
                <w:sz w:val="21"/>
                <w:szCs w:val="21"/>
              </w:rPr>
            </w:pPr>
            <w:r>
              <w:rPr>
                <w:rFonts w:hint="eastAsia" w:ascii="宋体" w:hAnsi="宋体" w:cs="宋体"/>
                <w:spacing w:val="-5"/>
                <w:sz w:val="21"/>
                <w:szCs w:val="21"/>
              </w:rPr>
              <w:t>（0-</w:t>
            </w:r>
            <w:r>
              <w:rPr>
                <w:rFonts w:hint="eastAsia" w:ascii="宋体" w:hAnsi="宋体" w:cs="宋体"/>
                <w:spacing w:val="-5"/>
                <w:sz w:val="21"/>
                <w:szCs w:val="21"/>
                <w:lang w:val="en-US" w:eastAsia="zh-CN"/>
              </w:rPr>
              <w:t>10</w:t>
            </w:r>
            <w:r>
              <w:rPr>
                <w:rFonts w:hint="eastAsia" w:ascii="宋体" w:hAnsi="宋体" w:cs="宋体"/>
                <w:spacing w:val="-5"/>
                <w:sz w:val="21"/>
                <w:szCs w:val="21"/>
              </w:rPr>
              <w:t>分）</w:t>
            </w:r>
          </w:p>
        </w:tc>
        <w:tc>
          <w:tcPr>
            <w:tcW w:w="7938" w:type="dxa"/>
          </w:tcPr>
          <w:p>
            <w:pPr>
              <w:pStyle w:val="135"/>
              <w:widowControl w:val="0"/>
              <w:snapToGrid/>
              <w:spacing w:line="360" w:lineRule="auto"/>
              <w:ind w:left="114"/>
              <w:rPr>
                <w:rFonts w:hint="eastAsia" w:ascii="宋体" w:hAnsi="宋体" w:cs="宋体"/>
                <w:sz w:val="21"/>
                <w:szCs w:val="21"/>
              </w:rPr>
            </w:pPr>
            <w:r>
              <w:rPr>
                <w:rFonts w:hint="eastAsia" w:ascii="宋体" w:hAnsi="宋体" w:cs="宋体"/>
                <w:sz w:val="21"/>
                <w:szCs w:val="21"/>
              </w:rPr>
              <w:t>根据投标人或生产厂家提供的售后服务方案进行综合评审，售后服务响应时间优于招标文件、便捷程度高、方案实用性好且4</w:t>
            </w:r>
            <w:r>
              <w:rPr>
                <w:rFonts w:hint="eastAsia" w:ascii="宋体" w:hAnsi="宋体" w:cs="宋体"/>
                <w:sz w:val="21"/>
                <w:szCs w:val="21"/>
                <w:lang w:eastAsia="zh-Hans"/>
              </w:rPr>
              <w:t>小时内售后人员能够到达现场及时有效的提供售后服务的</w:t>
            </w:r>
            <w:r>
              <w:rPr>
                <w:rFonts w:hint="eastAsia" w:ascii="宋体" w:hAnsi="宋体" w:cs="宋体"/>
                <w:sz w:val="21"/>
                <w:szCs w:val="21"/>
              </w:rPr>
              <w:t>，得</w:t>
            </w:r>
            <w:r>
              <w:rPr>
                <w:rFonts w:hint="eastAsia" w:ascii="宋体" w:hAnsi="宋体" w:cs="宋体"/>
                <w:sz w:val="21"/>
                <w:szCs w:val="21"/>
                <w:lang w:val="en-US" w:eastAsia="zh-CN"/>
              </w:rPr>
              <w:t>10</w:t>
            </w:r>
            <w:r>
              <w:rPr>
                <w:rFonts w:hint="eastAsia" w:ascii="宋体" w:hAnsi="宋体" w:cs="宋体"/>
                <w:sz w:val="21"/>
                <w:szCs w:val="21"/>
              </w:rPr>
              <w:t>分；</w:t>
            </w:r>
          </w:p>
          <w:p>
            <w:pPr>
              <w:pStyle w:val="135"/>
              <w:widowControl w:val="0"/>
              <w:snapToGrid/>
              <w:spacing w:line="360" w:lineRule="auto"/>
              <w:ind w:left="114"/>
              <w:rPr>
                <w:rFonts w:hint="eastAsia" w:ascii="宋体" w:hAnsi="宋体" w:cs="宋体"/>
                <w:sz w:val="21"/>
                <w:szCs w:val="21"/>
                <w:lang w:eastAsia="zh-CN"/>
              </w:rPr>
            </w:pPr>
            <w:r>
              <w:rPr>
                <w:rFonts w:hint="eastAsia" w:ascii="宋体" w:hAnsi="宋体" w:cs="宋体"/>
                <w:sz w:val="21"/>
                <w:szCs w:val="21"/>
              </w:rPr>
              <w:t>售后服务便捷程度低、方案实用性一般、服务团队及技术支持保障能力一般且4-8</w:t>
            </w:r>
            <w:r>
              <w:rPr>
                <w:rFonts w:hint="eastAsia" w:ascii="宋体" w:hAnsi="宋体" w:cs="宋体"/>
                <w:sz w:val="21"/>
                <w:szCs w:val="21"/>
                <w:lang w:eastAsia="zh-Hans"/>
              </w:rPr>
              <w:t>小时内售后人员能够到达现场及时有效的提供售后服务的</w:t>
            </w:r>
            <w:r>
              <w:rPr>
                <w:rFonts w:hint="eastAsia" w:ascii="宋体" w:hAnsi="宋体" w:cs="宋体"/>
                <w:sz w:val="21"/>
                <w:szCs w:val="21"/>
              </w:rPr>
              <w:t xml:space="preserve">，得 </w:t>
            </w:r>
            <w:r>
              <w:rPr>
                <w:rFonts w:hint="eastAsia" w:ascii="宋体" w:hAnsi="宋体" w:cs="宋体"/>
                <w:sz w:val="21"/>
                <w:szCs w:val="21"/>
                <w:lang w:val="en-US" w:eastAsia="zh-CN"/>
              </w:rPr>
              <w:t>5</w:t>
            </w:r>
            <w:r>
              <w:rPr>
                <w:rFonts w:hint="eastAsia" w:ascii="宋体" w:hAnsi="宋体" w:cs="宋体"/>
                <w:sz w:val="21"/>
                <w:szCs w:val="21"/>
              </w:rPr>
              <w:t xml:space="preserve"> 分</w:t>
            </w:r>
            <w:r>
              <w:rPr>
                <w:rFonts w:hint="eastAsia" w:ascii="宋体" w:hAnsi="宋体" w:cs="宋体"/>
                <w:sz w:val="21"/>
                <w:szCs w:val="21"/>
                <w:lang w:eastAsia="zh-CN"/>
              </w:rPr>
              <w:t>；</w:t>
            </w:r>
          </w:p>
          <w:p>
            <w:pPr>
              <w:pStyle w:val="135"/>
              <w:widowControl w:val="0"/>
              <w:snapToGrid/>
              <w:spacing w:line="360" w:lineRule="auto"/>
              <w:ind w:left="114"/>
              <w:rPr>
                <w:rFonts w:ascii="宋体" w:hAnsi="宋体" w:cs="宋体"/>
                <w:sz w:val="21"/>
                <w:szCs w:val="21"/>
              </w:rPr>
            </w:pPr>
            <w:r>
              <w:rPr>
                <w:rFonts w:hint="eastAsia" w:ascii="宋体" w:hAnsi="宋体" w:cs="宋体"/>
                <w:sz w:val="21"/>
                <w:szCs w:val="21"/>
              </w:rPr>
              <w:t>售后服务便捷程度低、方案实用性差、服务团队及技术支持保障能力差且8小时外售后人员能够到达现场及时有效的提供售后服务的不得分。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32" w:hRule="atLeast"/>
          <w:jc w:val="center"/>
        </w:trPr>
        <w:tc>
          <w:tcPr>
            <w:tcW w:w="1415" w:type="dxa"/>
            <w:vAlign w:val="center"/>
          </w:tcPr>
          <w:p>
            <w:pPr>
              <w:spacing w:line="360" w:lineRule="auto"/>
              <w:jc w:val="center"/>
              <w:rPr>
                <w:rFonts w:ascii="宋体" w:hAnsi="宋体" w:cs="宋体"/>
                <w:szCs w:val="21"/>
              </w:rPr>
            </w:pPr>
            <w:r>
              <w:rPr>
                <w:rFonts w:hint="eastAsia" w:ascii="宋体" w:hAnsi="宋体" w:cs="宋体"/>
                <w:spacing w:val="-3"/>
                <w:position w:val="17"/>
                <w:szCs w:val="21"/>
                <w:lang w:val="en-US" w:eastAsia="zh-CN"/>
              </w:rPr>
              <w:t>培训服务方案</w:t>
            </w:r>
            <w:r>
              <w:rPr>
                <w:rFonts w:hint="eastAsia" w:ascii="宋体" w:hAnsi="宋体" w:cs="宋体"/>
                <w:spacing w:val="-3"/>
                <w:position w:val="17"/>
                <w:szCs w:val="21"/>
              </w:rPr>
              <w:t>（0-</w:t>
            </w:r>
            <w:r>
              <w:rPr>
                <w:rFonts w:hint="eastAsia" w:ascii="宋体" w:hAnsi="宋体" w:cs="宋体"/>
                <w:spacing w:val="-3"/>
                <w:position w:val="17"/>
                <w:szCs w:val="21"/>
                <w:lang w:val="en-US" w:eastAsia="zh-CN"/>
              </w:rPr>
              <w:t>9</w:t>
            </w:r>
            <w:r>
              <w:rPr>
                <w:rFonts w:hint="eastAsia" w:ascii="宋体" w:hAnsi="宋体" w:cs="宋体"/>
                <w:spacing w:val="-3"/>
                <w:position w:val="17"/>
                <w:szCs w:val="21"/>
              </w:rPr>
              <w:t>）</w:t>
            </w:r>
          </w:p>
        </w:tc>
        <w:tc>
          <w:tcPr>
            <w:tcW w:w="7938" w:type="dxa"/>
          </w:tcPr>
          <w:p>
            <w:pPr>
              <w:pStyle w:val="135"/>
              <w:widowControl w:val="0"/>
              <w:snapToGrid/>
              <w:spacing w:line="360" w:lineRule="auto"/>
              <w:rPr>
                <w:rFonts w:hint="eastAsia" w:ascii="宋体" w:hAnsi="宋体" w:eastAsia="宋体" w:cs="宋体"/>
                <w:spacing w:val="-4"/>
                <w:sz w:val="21"/>
                <w:szCs w:val="21"/>
                <w:lang w:val="en-US" w:eastAsia="zh-CN"/>
              </w:rPr>
            </w:pPr>
            <w:r>
              <w:rPr>
                <w:rFonts w:hint="eastAsia" w:ascii="宋体" w:hAnsi="宋体" w:cs="宋体"/>
                <w:spacing w:val="-4"/>
                <w:sz w:val="21"/>
                <w:szCs w:val="21"/>
                <w:lang w:eastAsia="zh-Hans"/>
              </w:rPr>
              <w:t>供应商提供所投产品要求能够对接自治区《智慧卫监在线监测预警系统平台》，提供对接成功证明材料得</w:t>
            </w:r>
            <w:r>
              <w:rPr>
                <w:rFonts w:hint="eastAsia" w:ascii="宋体" w:hAnsi="宋体" w:cs="宋体"/>
                <w:spacing w:val="-4"/>
                <w:sz w:val="21"/>
                <w:szCs w:val="21"/>
                <w:lang w:val="en-US" w:eastAsia="zh-CN"/>
              </w:rPr>
              <w:t>9</w:t>
            </w:r>
            <w:r>
              <w:rPr>
                <w:rFonts w:hint="eastAsia" w:ascii="宋体" w:hAnsi="宋体" w:cs="宋体"/>
                <w:spacing w:val="-4"/>
                <w:sz w:val="21"/>
                <w:szCs w:val="21"/>
                <w:lang w:eastAsia="zh-Hans"/>
              </w:rPr>
              <w:t>分，否则不得分</w:t>
            </w:r>
            <w:r>
              <w:rPr>
                <w:rFonts w:hint="eastAsia" w:ascii="宋体" w:hAnsi="宋体" w:cs="宋体"/>
                <w:spacing w:val="-4"/>
                <w:sz w:val="21"/>
                <w:szCs w:val="21"/>
                <w:lang w:val="en-US" w:eastAsia="zh-CN"/>
              </w:rPr>
              <w:t>。</w:t>
            </w:r>
          </w:p>
        </w:tc>
      </w:tr>
    </w:tbl>
    <w:p>
      <w:pPr>
        <w:spacing w:line="360" w:lineRule="auto"/>
        <w:ind w:left="359" w:leftChars="171" w:firstLine="111" w:firstLineChars="46"/>
        <w:jc w:val="left"/>
        <w:rPr>
          <w:rFonts w:ascii="宋体" w:hAnsi="宋体"/>
          <w:b/>
          <w:bCs/>
          <w:sz w:val="24"/>
        </w:rPr>
      </w:pPr>
      <w:r>
        <w:rPr>
          <w:rFonts w:ascii="宋体" w:hAnsi="宋体"/>
          <w:b/>
          <w:bCs/>
          <w:sz w:val="24"/>
        </w:rPr>
        <w:t>30．定标原则</w:t>
      </w:r>
    </w:p>
    <w:p>
      <w:pPr>
        <w:spacing w:line="360" w:lineRule="auto"/>
        <w:ind w:firstLine="472" w:firstLineChars="200"/>
        <w:rPr>
          <w:rFonts w:ascii="宋体" w:hAnsi="宋体"/>
          <w:kern w:val="0"/>
          <w:sz w:val="24"/>
        </w:rPr>
      </w:pPr>
      <w:r>
        <w:rPr>
          <w:rFonts w:ascii="宋体" w:hAnsi="宋体"/>
          <w:spacing w:val="-2"/>
          <w:sz w:val="24"/>
        </w:rPr>
        <w:t>30.1</w:t>
      </w:r>
      <w:r>
        <w:rPr>
          <w:rFonts w:ascii="宋体" w:hAnsi="宋体"/>
          <w:kern w:val="0"/>
          <w:sz w:val="24"/>
        </w:rPr>
        <w:t>评标委员会应当根据综合评分情况，按照投标人综合得分由高到低的顺序排列，依次推荐3名中标候选人，并编写评标报告。投标人综合得分相同的，按照投标报价由低到高的顺序排列。投标人综合得分相同且投标报价也相同的并列，评标委员会将按照技术指标优劣顺序推荐。</w:t>
      </w:r>
    </w:p>
    <w:p>
      <w:pPr>
        <w:spacing w:line="360" w:lineRule="auto"/>
        <w:ind w:firstLine="480" w:firstLineChars="200"/>
        <w:rPr>
          <w:rFonts w:ascii="宋体" w:hAnsi="宋体"/>
          <w:kern w:val="0"/>
          <w:sz w:val="24"/>
        </w:rPr>
      </w:pPr>
      <w:r>
        <w:rPr>
          <w:rFonts w:ascii="宋体" w:hAnsi="宋体"/>
          <w:kern w:val="0"/>
          <w:sz w:val="24"/>
        </w:rPr>
        <w:t>30.2采购代理机构应当在评标结束后2个工作日内将评标报告送采购人。</w:t>
      </w:r>
    </w:p>
    <w:p>
      <w:pPr>
        <w:spacing w:line="360" w:lineRule="auto"/>
        <w:ind w:firstLine="480" w:firstLineChars="200"/>
        <w:rPr>
          <w:rFonts w:ascii="宋体" w:hAnsi="宋体"/>
          <w:kern w:val="0"/>
          <w:sz w:val="24"/>
        </w:rPr>
      </w:pPr>
      <w:r>
        <w:rPr>
          <w:rFonts w:ascii="宋体" w:hAnsi="宋体"/>
          <w:bCs/>
          <w:kern w:val="0"/>
          <w:sz w:val="24"/>
        </w:rPr>
        <w:t>采购人应当自收到评标报告之日起5个工作日内，在评标报告确定的中标候选人名单中按顺序确定中标人。</w:t>
      </w:r>
    </w:p>
    <w:p>
      <w:pPr>
        <w:spacing w:line="360" w:lineRule="auto"/>
        <w:ind w:firstLine="484" w:firstLineChars="202"/>
        <w:rPr>
          <w:rFonts w:ascii="宋体" w:hAnsi="宋体"/>
          <w:sz w:val="24"/>
        </w:rPr>
      </w:pPr>
      <w:r>
        <w:rPr>
          <w:rFonts w:ascii="宋体" w:hAnsi="宋体"/>
          <w:sz w:val="24"/>
        </w:rPr>
        <w:t>30.3招标人根据评标报告，应当确定排名第一的中标候选人为中标人。排名第一的中标候选人放弃中标、因不可抗力不能履行合同、不按照招标文件要求提交履约保证金（如有）的，其他不符合中标条件的、或者被查实存在影响中标结果的违法行为等情形，招标人可以按照评标委员会提出的中标候选人名单排序依次确定其他中标候选人为中标人，也可以重新采购。</w:t>
      </w:r>
    </w:p>
    <w:p>
      <w:pPr>
        <w:pStyle w:val="285"/>
        <w:spacing w:line="360" w:lineRule="auto"/>
        <w:jc w:val="center"/>
        <w:outlineLvl w:val="9"/>
        <w:rPr>
          <w:rFonts w:ascii="宋体" w:hAnsi="宋体"/>
          <w:b/>
          <w:color w:val="auto"/>
          <w:kern w:val="2"/>
          <w:sz w:val="32"/>
          <w:szCs w:val="32"/>
        </w:rPr>
      </w:pPr>
      <w:r>
        <w:rPr>
          <w:rFonts w:ascii="宋体" w:hAnsi="宋体"/>
          <w:b/>
          <w:color w:val="auto"/>
          <w:kern w:val="2"/>
          <w:sz w:val="32"/>
          <w:szCs w:val="32"/>
        </w:rPr>
        <w:br w:type="page"/>
      </w:r>
    </w:p>
    <w:p>
      <w:pPr>
        <w:pStyle w:val="285"/>
        <w:spacing w:line="360" w:lineRule="auto"/>
        <w:jc w:val="center"/>
        <w:outlineLvl w:val="0"/>
        <w:rPr>
          <w:rFonts w:ascii="宋体" w:hAnsi="宋体"/>
          <w:b/>
          <w:color w:val="auto"/>
          <w:sz w:val="32"/>
          <w:szCs w:val="32"/>
        </w:rPr>
      </w:pPr>
      <w:r>
        <w:rPr>
          <w:rFonts w:ascii="宋体" w:hAnsi="宋体"/>
          <w:b/>
          <w:color w:val="auto"/>
          <w:kern w:val="2"/>
          <w:sz w:val="32"/>
          <w:szCs w:val="32"/>
        </w:rPr>
        <w:t>第七章  授予合同</w:t>
      </w:r>
    </w:p>
    <w:p>
      <w:pPr>
        <w:spacing w:line="360" w:lineRule="auto"/>
        <w:ind w:firstLine="482" w:firstLineChars="200"/>
        <w:rPr>
          <w:rFonts w:ascii="宋体" w:hAnsi="宋体"/>
          <w:b/>
          <w:sz w:val="24"/>
        </w:rPr>
      </w:pPr>
    </w:p>
    <w:p>
      <w:pPr>
        <w:spacing w:line="360" w:lineRule="auto"/>
        <w:ind w:firstLine="482" w:firstLineChars="200"/>
        <w:rPr>
          <w:rFonts w:ascii="宋体" w:hAnsi="宋体"/>
          <w:b/>
          <w:sz w:val="24"/>
        </w:rPr>
      </w:pPr>
      <w:r>
        <w:rPr>
          <w:rFonts w:ascii="宋体" w:hAnsi="宋体"/>
          <w:b/>
          <w:sz w:val="24"/>
        </w:rPr>
        <w:t>31.合同授予标准</w:t>
      </w:r>
    </w:p>
    <w:p>
      <w:pPr>
        <w:spacing w:line="360" w:lineRule="auto"/>
        <w:ind w:firstLine="472" w:firstLineChars="200"/>
        <w:rPr>
          <w:rFonts w:ascii="宋体" w:hAnsi="宋体"/>
          <w:spacing w:val="-2"/>
          <w:sz w:val="24"/>
        </w:rPr>
      </w:pPr>
      <w:r>
        <w:rPr>
          <w:rFonts w:ascii="宋体" w:hAnsi="宋体"/>
          <w:spacing w:val="-2"/>
          <w:sz w:val="24"/>
        </w:rPr>
        <w:t>31.1合同将授予被确定为实质上响应招标文件要求、具备履行合同义务条件、报价合理、技术和商务条件都符合条件基础上对买方最为有利的投标人。</w:t>
      </w:r>
    </w:p>
    <w:p>
      <w:pPr>
        <w:spacing w:line="360" w:lineRule="auto"/>
        <w:ind w:firstLine="472" w:firstLineChars="200"/>
        <w:rPr>
          <w:rFonts w:ascii="宋体" w:hAnsi="宋体"/>
          <w:spacing w:val="-2"/>
          <w:sz w:val="24"/>
        </w:rPr>
      </w:pPr>
      <w:r>
        <w:rPr>
          <w:rFonts w:ascii="宋体" w:hAnsi="宋体"/>
          <w:spacing w:val="-2"/>
          <w:sz w:val="24"/>
        </w:rPr>
        <w:t>31.2最低投标价不一定是被授予合同的保证。</w:t>
      </w:r>
    </w:p>
    <w:p>
      <w:pPr>
        <w:spacing w:line="360" w:lineRule="auto"/>
        <w:ind w:firstLine="472" w:firstLineChars="200"/>
        <w:rPr>
          <w:rFonts w:ascii="宋体" w:hAnsi="宋体"/>
          <w:b/>
          <w:sz w:val="24"/>
        </w:rPr>
      </w:pPr>
      <w:r>
        <w:rPr>
          <w:rFonts w:ascii="宋体" w:hAnsi="宋体"/>
          <w:spacing w:val="-2"/>
          <w:sz w:val="24"/>
        </w:rPr>
        <w:t>31.3如果确定该投标人不能无条件圆满履行合同，招标人将对下一个可能中标的投标人资格做出类似的审查。</w:t>
      </w:r>
    </w:p>
    <w:p>
      <w:pPr>
        <w:spacing w:line="360" w:lineRule="auto"/>
        <w:ind w:firstLine="482" w:firstLineChars="200"/>
        <w:rPr>
          <w:rFonts w:ascii="宋体" w:hAnsi="宋体"/>
          <w:b/>
          <w:sz w:val="24"/>
        </w:rPr>
      </w:pPr>
      <w:r>
        <w:rPr>
          <w:rFonts w:ascii="宋体" w:hAnsi="宋体"/>
          <w:b/>
          <w:sz w:val="24"/>
        </w:rPr>
        <w:t>32.接受和拒绝任何投标的权力</w:t>
      </w:r>
    </w:p>
    <w:p>
      <w:pPr>
        <w:spacing w:line="360" w:lineRule="auto"/>
        <w:ind w:firstLine="472" w:firstLineChars="200"/>
        <w:rPr>
          <w:rFonts w:ascii="宋体" w:hAnsi="宋体"/>
          <w:spacing w:val="-2"/>
          <w:sz w:val="24"/>
        </w:rPr>
      </w:pPr>
      <w:r>
        <w:rPr>
          <w:rFonts w:ascii="宋体" w:hAnsi="宋体"/>
          <w:spacing w:val="-2"/>
          <w:sz w:val="24"/>
        </w:rPr>
        <w:t>32.1为维护国家利益，招标人在授予合同之前仍有选择或拒绝任何投标的权力。</w:t>
      </w:r>
    </w:p>
    <w:p>
      <w:pPr>
        <w:spacing w:line="360" w:lineRule="auto"/>
        <w:ind w:firstLine="482" w:firstLineChars="200"/>
        <w:rPr>
          <w:rFonts w:ascii="宋体" w:hAnsi="宋体"/>
          <w:b/>
          <w:sz w:val="24"/>
        </w:rPr>
      </w:pPr>
      <w:r>
        <w:rPr>
          <w:rFonts w:ascii="宋体" w:hAnsi="宋体"/>
          <w:b/>
          <w:sz w:val="24"/>
        </w:rPr>
        <w:t>33.中标通知书</w:t>
      </w:r>
    </w:p>
    <w:p>
      <w:pPr>
        <w:spacing w:line="360" w:lineRule="auto"/>
        <w:ind w:firstLine="472" w:firstLineChars="200"/>
        <w:rPr>
          <w:rFonts w:ascii="宋体" w:hAnsi="宋体"/>
          <w:spacing w:val="-2"/>
          <w:sz w:val="24"/>
        </w:rPr>
      </w:pPr>
      <w:r>
        <w:rPr>
          <w:rFonts w:ascii="宋体" w:hAnsi="宋体"/>
          <w:spacing w:val="-2"/>
          <w:sz w:val="24"/>
        </w:rPr>
        <w:t>33.1中标结果经公示后，招标人将以书面形式发出《中标通知书》，《中标通知书》一经发出即发生法律效力。</w:t>
      </w:r>
    </w:p>
    <w:p>
      <w:pPr>
        <w:spacing w:line="360" w:lineRule="auto"/>
        <w:ind w:firstLine="472" w:firstLineChars="200"/>
        <w:rPr>
          <w:rFonts w:ascii="宋体" w:hAnsi="宋体"/>
          <w:spacing w:val="-2"/>
          <w:sz w:val="24"/>
        </w:rPr>
      </w:pPr>
      <w:r>
        <w:rPr>
          <w:rFonts w:ascii="宋体" w:hAnsi="宋体"/>
          <w:spacing w:val="-2"/>
          <w:sz w:val="24"/>
        </w:rPr>
        <w:t>33.2 《中标通知书》将作为签订合同的依据。</w:t>
      </w:r>
    </w:p>
    <w:p>
      <w:pPr>
        <w:spacing w:line="360" w:lineRule="auto"/>
        <w:ind w:firstLine="474" w:firstLineChars="200"/>
        <w:rPr>
          <w:rFonts w:ascii="宋体" w:hAnsi="宋体"/>
          <w:b/>
          <w:spacing w:val="-2"/>
          <w:sz w:val="24"/>
        </w:rPr>
      </w:pPr>
      <w:r>
        <w:rPr>
          <w:rFonts w:ascii="宋体" w:hAnsi="宋体"/>
          <w:b/>
          <w:spacing w:val="-2"/>
          <w:sz w:val="24"/>
        </w:rPr>
        <w:t>34.履约担保</w:t>
      </w:r>
    </w:p>
    <w:p>
      <w:pPr>
        <w:spacing w:line="360" w:lineRule="auto"/>
        <w:ind w:firstLine="472" w:firstLineChars="200"/>
        <w:rPr>
          <w:rFonts w:ascii="宋体" w:hAnsi="宋体"/>
          <w:spacing w:val="-2"/>
          <w:sz w:val="24"/>
        </w:rPr>
      </w:pPr>
      <w:r>
        <w:rPr>
          <w:rFonts w:ascii="宋体" w:hAnsi="宋体"/>
          <w:spacing w:val="-2"/>
          <w:sz w:val="24"/>
        </w:rPr>
        <w:t>34.1履约保证金：详见投标人须知前附表。</w:t>
      </w:r>
    </w:p>
    <w:p>
      <w:pPr>
        <w:spacing w:line="360" w:lineRule="auto"/>
        <w:ind w:firstLine="472" w:firstLineChars="200"/>
        <w:rPr>
          <w:rFonts w:ascii="宋体" w:hAnsi="宋体"/>
          <w:spacing w:val="-2"/>
          <w:sz w:val="24"/>
        </w:rPr>
      </w:pPr>
      <w:r>
        <w:rPr>
          <w:rFonts w:ascii="宋体" w:hAnsi="宋体"/>
          <w:spacing w:val="-2"/>
          <w:sz w:val="24"/>
        </w:rPr>
        <w:t>34.2 履约保证金在合同执行完毕后无息退还。</w:t>
      </w:r>
    </w:p>
    <w:p>
      <w:pPr>
        <w:spacing w:line="360" w:lineRule="auto"/>
        <w:ind w:firstLine="472" w:firstLineChars="200"/>
        <w:rPr>
          <w:rFonts w:ascii="宋体" w:hAnsi="宋体"/>
          <w:spacing w:val="-2"/>
          <w:sz w:val="24"/>
        </w:rPr>
      </w:pPr>
      <w:r>
        <w:rPr>
          <w:rFonts w:ascii="宋体" w:hAnsi="宋体"/>
          <w:spacing w:val="-2"/>
          <w:sz w:val="24"/>
        </w:rPr>
        <w:t>34.3如中标候选人不能提供则取消其中标资格。投标人须承诺如成为中标候选人能够及时提供该笔资金。</w:t>
      </w:r>
    </w:p>
    <w:p>
      <w:pPr>
        <w:spacing w:line="360" w:lineRule="auto"/>
        <w:ind w:firstLine="482" w:firstLineChars="200"/>
        <w:rPr>
          <w:rFonts w:ascii="宋体" w:hAnsi="宋体"/>
          <w:b/>
          <w:sz w:val="24"/>
        </w:rPr>
      </w:pPr>
      <w:bookmarkStart w:id="18" w:name="第四部分"/>
      <w:bookmarkStart w:id="19" w:name="_Toc268426417"/>
      <w:bookmarkStart w:id="20" w:name="_Toc268271055"/>
      <w:r>
        <w:rPr>
          <w:rFonts w:ascii="宋体" w:hAnsi="宋体"/>
          <w:b/>
          <w:sz w:val="24"/>
        </w:rPr>
        <w:t>35．签订合同</w:t>
      </w:r>
    </w:p>
    <w:p>
      <w:pPr>
        <w:spacing w:line="360" w:lineRule="auto"/>
        <w:ind w:firstLine="472" w:firstLineChars="200"/>
        <w:jc w:val="left"/>
        <w:rPr>
          <w:rFonts w:ascii="宋体" w:hAnsi="宋体"/>
          <w:spacing w:val="-2"/>
          <w:sz w:val="24"/>
        </w:rPr>
      </w:pPr>
      <w:r>
        <w:rPr>
          <w:rFonts w:ascii="宋体" w:hAnsi="宋体"/>
          <w:spacing w:val="-2"/>
          <w:sz w:val="24"/>
        </w:rPr>
        <w:t>35.1中标候选人在收到招标方的《中标通知书》后，须及时按照招标文件和其所提供的投标文件中的约定与采购单位签订书面合同，所签订的合同不得对招标文件和中标方的投标文件作实质性修改。</w:t>
      </w:r>
    </w:p>
    <w:p>
      <w:pPr>
        <w:spacing w:line="360" w:lineRule="auto"/>
        <w:ind w:firstLine="472" w:firstLineChars="200"/>
        <w:jc w:val="left"/>
        <w:rPr>
          <w:rFonts w:ascii="宋体" w:hAnsi="宋体"/>
          <w:spacing w:val="-2"/>
          <w:sz w:val="24"/>
        </w:rPr>
      </w:pPr>
      <w:r>
        <w:rPr>
          <w:rFonts w:ascii="宋体" w:hAnsi="宋体"/>
          <w:spacing w:val="-2"/>
          <w:sz w:val="24"/>
        </w:rPr>
        <w:t>35.2招标文件、中标方的投标文件及其澄清文件等，均为签订合同的依据。</w:t>
      </w:r>
    </w:p>
    <w:p>
      <w:pPr>
        <w:spacing w:line="360" w:lineRule="auto"/>
        <w:ind w:firstLine="472" w:firstLineChars="200"/>
        <w:jc w:val="left"/>
        <w:rPr>
          <w:rFonts w:ascii="宋体" w:hAnsi="宋体"/>
          <w:spacing w:val="-2"/>
          <w:sz w:val="24"/>
        </w:rPr>
      </w:pPr>
      <w:r>
        <w:rPr>
          <w:rFonts w:ascii="宋体" w:hAnsi="宋体"/>
          <w:spacing w:val="-2"/>
          <w:sz w:val="24"/>
        </w:rPr>
        <w:t>35.3 如果中标人不能按本须知第35.1款的规定执行，招标人将有充分的理由废除其中标资格，并没收其投标保证金，给招标人造成的损失超过投标保证金数额的，还应当对超过部分予以赔偿，</w:t>
      </w:r>
      <w:r>
        <w:rPr>
          <w:rFonts w:ascii="宋体" w:hAnsi="宋体"/>
          <w:sz w:val="24"/>
        </w:rPr>
        <w:t>同时依法承担相应法律责任</w:t>
      </w:r>
      <w:r>
        <w:rPr>
          <w:rFonts w:ascii="宋体" w:hAnsi="宋体"/>
          <w:spacing w:val="-2"/>
          <w:sz w:val="24"/>
        </w:rPr>
        <w:t>；同时，招标人有权将标授予另一个候选中标人或重新招标。</w:t>
      </w:r>
    </w:p>
    <w:p>
      <w:pPr>
        <w:spacing w:line="360" w:lineRule="auto"/>
        <w:ind w:firstLine="472" w:firstLineChars="200"/>
        <w:jc w:val="left"/>
        <w:rPr>
          <w:rFonts w:ascii="宋体" w:hAnsi="宋体"/>
          <w:spacing w:val="-2"/>
          <w:sz w:val="24"/>
        </w:rPr>
      </w:pPr>
      <w:r>
        <w:rPr>
          <w:rFonts w:ascii="宋体" w:hAnsi="宋体"/>
          <w:spacing w:val="-2"/>
          <w:sz w:val="24"/>
        </w:rPr>
        <w:t>35.4 不允许中标人将中标项目分包或转交他人承担。特殊情况下，中标人必须与招标方协商后共同决定将合同标的中的部分由第三方承担供货和服务责任，但中标方必须对合同标的的全部内容向招标方负责，并保证第三方提供的供货和服务符合招标文件的约定和投标文件的承诺及相关约定。</w:t>
      </w:r>
    </w:p>
    <w:p>
      <w:pPr>
        <w:spacing w:line="360" w:lineRule="auto"/>
        <w:ind w:firstLine="723" w:firstLineChars="200"/>
        <w:rPr>
          <w:rFonts w:ascii="宋体" w:hAnsi="宋体"/>
          <w:b/>
          <w:sz w:val="36"/>
        </w:rPr>
      </w:pPr>
    </w:p>
    <w:p>
      <w:pPr>
        <w:spacing w:line="360" w:lineRule="auto"/>
        <w:jc w:val="center"/>
        <w:rPr>
          <w:rFonts w:ascii="宋体" w:hAnsi="宋体"/>
          <w:b/>
          <w:sz w:val="32"/>
          <w:szCs w:val="32"/>
        </w:rPr>
      </w:pPr>
    </w:p>
    <w:p>
      <w:pPr>
        <w:pStyle w:val="285"/>
        <w:spacing w:line="360" w:lineRule="auto"/>
        <w:jc w:val="center"/>
        <w:outlineLvl w:val="0"/>
        <w:rPr>
          <w:rFonts w:ascii="宋体" w:hAnsi="宋体"/>
          <w:b/>
          <w:color w:val="auto"/>
          <w:kern w:val="2"/>
          <w:sz w:val="32"/>
          <w:szCs w:val="32"/>
        </w:rPr>
      </w:pPr>
      <w:r>
        <w:rPr>
          <w:rFonts w:ascii="宋体" w:hAnsi="宋体"/>
          <w:b/>
          <w:color w:val="auto"/>
          <w:kern w:val="2"/>
          <w:sz w:val="32"/>
          <w:szCs w:val="32"/>
        </w:rPr>
        <w:t>第八章  其 他</w:t>
      </w:r>
    </w:p>
    <w:p>
      <w:pPr>
        <w:spacing w:line="360" w:lineRule="auto"/>
        <w:ind w:firstLine="482" w:firstLineChars="200"/>
        <w:rPr>
          <w:rFonts w:ascii="宋体" w:hAnsi="宋体"/>
          <w:b/>
          <w:sz w:val="24"/>
        </w:rPr>
      </w:pPr>
    </w:p>
    <w:p>
      <w:pPr>
        <w:spacing w:line="360" w:lineRule="auto"/>
        <w:ind w:firstLine="482" w:firstLineChars="200"/>
        <w:rPr>
          <w:rFonts w:ascii="宋体" w:hAnsi="宋体"/>
          <w:b/>
          <w:sz w:val="24"/>
        </w:rPr>
      </w:pPr>
      <w:r>
        <w:rPr>
          <w:rFonts w:ascii="宋体" w:hAnsi="宋体"/>
          <w:b/>
          <w:sz w:val="24"/>
        </w:rPr>
        <w:t>36.重新招标和不再招标</w:t>
      </w:r>
    </w:p>
    <w:p>
      <w:pPr>
        <w:spacing w:line="360" w:lineRule="auto"/>
        <w:ind w:firstLine="472" w:firstLineChars="200"/>
        <w:rPr>
          <w:rFonts w:ascii="宋体" w:hAnsi="宋体"/>
          <w:spacing w:val="-2"/>
          <w:sz w:val="24"/>
        </w:rPr>
      </w:pPr>
      <w:r>
        <w:rPr>
          <w:rFonts w:ascii="宋体" w:hAnsi="宋体"/>
          <w:spacing w:val="-2"/>
          <w:sz w:val="24"/>
        </w:rPr>
        <w:t>36.1 重新招标</w:t>
      </w:r>
    </w:p>
    <w:p>
      <w:pPr>
        <w:spacing w:line="360" w:lineRule="auto"/>
        <w:ind w:firstLine="472" w:firstLineChars="200"/>
        <w:rPr>
          <w:rFonts w:ascii="宋体" w:hAnsi="宋体"/>
          <w:spacing w:val="-2"/>
          <w:sz w:val="24"/>
        </w:rPr>
      </w:pPr>
      <w:r>
        <w:rPr>
          <w:rFonts w:ascii="宋体" w:hAnsi="宋体"/>
          <w:spacing w:val="-2"/>
          <w:sz w:val="24"/>
        </w:rPr>
        <w:t>有下列情形之一的，招标人将重新招标：</w:t>
      </w:r>
    </w:p>
    <w:p>
      <w:pPr>
        <w:spacing w:line="360" w:lineRule="auto"/>
        <w:ind w:firstLine="472" w:firstLineChars="200"/>
        <w:rPr>
          <w:rFonts w:ascii="宋体" w:hAnsi="宋体"/>
          <w:spacing w:val="-2"/>
          <w:sz w:val="24"/>
        </w:rPr>
      </w:pPr>
      <w:r>
        <w:rPr>
          <w:rFonts w:ascii="宋体" w:hAnsi="宋体"/>
          <w:spacing w:val="-2"/>
          <w:sz w:val="24"/>
        </w:rPr>
        <w:t>（1）投标截止时间止，投标人少于 3 个的；</w:t>
      </w:r>
    </w:p>
    <w:p>
      <w:pPr>
        <w:spacing w:line="360" w:lineRule="auto"/>
        <w:ind w:firstLine="472" w:firstLineChars="200"/>
        <w:rPr>
          <w:rFonts w:ascii="宋体" w:hAnsi="宋体"/>
          <w:spacing w:val="-2"/>
          <w:sz w:val="24"/>
        </w:rPr>
      </w:pPr>
      <w:r>
        <w:rPr>
          <w:rFonts w:ascii="宋体" w:hAnsi="宋体"/>
          <w:spacing w:val="-2"/>
          <w:sz w:val="24"/>
        </w:rPr>
        <w:t>（2）经评标委员会评审后否决所有投标的；</w:t>
      </w:r>
    </w:p>
    <w:p>
      <w:pPr>
        <w:spacing w:line="360" w:lineRule="auto"/>
        <w:ind w:firstLine="472" w:firstLineChars="200"/>
        <w:rPr>
          <w:rFonts w:ascii="宋体" w:hAnsi="宋体"/>
          <w:spacing w:val="-2"/>
          <w:sz w:val="24"/>
        </w:rPr>
      </w:pPr>
      <w:r>
        <w:rPr>
          <w:rFonts w:ascii="宋体" w:hAnsi="宋体"/>
          <w:spacing w:val="-2"/>
          <w:sz w:val="24"/>
        </w:rPr>
        <w:t>（3）经评审后，如合格的投标人少于三个的，且明显缺乏竞争的，评标委员会可以否决全部投标，招标人将重新组织招标；</w:t>
      </w:r>
    </w:p>
    <w:p>
      <w:pPr>
        <w:spacing w:line="360" w:lineRule="auto"/>
        <w:ind w:firstLine="472" w:firstLineChars="200"/>
        <w:rPr>
          <w:rFonts w:ascii="宋体" w:hAnsi="宋体"/>
          <w:spacing w:val="-2"/>
          <w:sz w:val="24"/>
        </w:rPr>
      </w:pPr>
      <w:r>
        <w:rPr>
          <w:rFonts w:ascii="宋体" w:hAnsi="宋体"/>
          <w:spacing w:val="-2"/>
          <w:sz w:val="24"/>
        </w:rPr>
        <w:t>（4）法律法规规定的其他情形。</w:t>
      </w:r>
    </w:p>
    <w:p>
      <w:pPr>
        <w:spacing w:line="360" w:lineRule="auto"/>
        <w:ind w:firstLine="472" w:firstLineChars="200"/>
        <w:rPr>
          <w:rFonts w:ascii="宋体" w:hAnsi="宋体"/>
          <w:spacing w:val="-2"/>
          <w:sz w:val="24"/>
        </w:rPr>
      </w:pPr>
      <w:r>
        <w:rPr>
          <w:rFonts w:ascii="宋体" w:hAnsi="宋体"/>
          <w:spacing w:val="-2"/>
          <w:sz w:val="24"/>
        </w:rPr>
        <w:t>36.2 二次招标和不再招标</w:t>
      </w:r>
    </w:p>
    <w:p>
      <w:pPr>
        <w:spacing w:line="360" w:lineRule="auto"/>
        <w:ind w:firstLine="472" w:firstLineChars="200"/>
        <w:rPr>
          <w:rFonts w:ascii="宋体" w:hAnsi="宋体"/>
          <w:spacing w:val="-2"/>
          <w:sz w:val="24"/>
        </w:rPr>
      </w:pPr>
      <w:r>
        <w:rPr>
          <w:rFonts w:ascii="宋体" w:hAnsi="宋体"/>
          <w:spacing w:val="-2"/>
          <w:sz w:val="24"/>
        </w:rPr>
        <w:t>重新招标后投标人仍少于3个</w:t>
      </w:r>
      <w:r>
        <w:rPr>
          <w:rFonts w:hint="eastAsia" w:ascii="宋体" w:hAnsi="宋体"/>
          <w:spacing w:val="-2"/>
          <w:sz w:val="24"/>
        </w:rPr>
        <w:t>或</w:t>
      </w:r>
      <w:r>
        <w:rPr>
          <w:rFonts w:ascii="宋体" w:hAnsi="宋体"/>
          <w:spacing w:val="-2"/>
          <w:sz w:val="24"/>
        </w:rPr>
        <w:t>经评审无合格投标人，经原审批或核准部门批准后不再进行招标。</w:t>
      </w:r>
    </w:p>
    <w:p>
      <w:pPr>
        <w:spacing w:line="360" w:lineRule="auto"/>
        <w:ind w:firstLine="482" w:firstLineChars="200"/>
        <w:rPr>
          <w:rFonts w:ascii="宋体" w:hAnsi="宋体"/>
          <w:b/>
          <w:sz w:val="24"/>
        </w:rPr>
      </w:pPr>
      <w:r>
        <w:rPr>
          <w:rFonts w:ascii="宋体" w:hAnsi="宋体"/>
          <w:b/>
          <w:sz w:val="24"/>
        </w:rPr>
        <w:t>37.需要补充的其他内容</w:t>
      </w:r>
    </w:p>
    <w:p>
      <w:pPr>
        <w:spacing w:line="360" w:lineRule="auto"/>
        <w:ind w:firstLine="480" w:firstLineChars="200"/>
        <w:rPr>
          <w:rFonts w:ascii="宋体" w:hAnsi="宋体"/>
          <w:sz w:val="24"/>
        </w:rPr>
      </w:pPr>
      <w:r>
        <w:rPr>
          <w:rFonts w:ascii="宋体" w:hAnsi="宋体"/>
          <w:sz w:val="24"/>
        </w:rPr>
        <w:t>37.1需要补充的其他内容详见投标人须知前附表。</w:t>
      </w:r>
    </w:p>
    <w:p>
      <w:pPr>
        <w:spacing w:line="360" w:lineRule="auto"/>
        <w:rPr>
          <w:rFonts w:ascii="宋体" w:hAnsi="宋体"/>
          <w:b/>
          <w:sz w:val="24"/>
        </w:rPr>
      </w:pPr>
    </w:p>
    <w:p>
      <w:pPr>
        <w:pStyle w:val="285"/>
        <w:spacing w:line="360" w:lineRule="auto"/>
        <w:jc w:val="center"/>
        <w:rPr>
          <w:rFonts w:ascii="宋体" w:hAnsi="宋体"/>
          <w:b/>
          <w:color w:val="auto"/>
          <w:kern w:val="2"/>
          <w:sz w:val="32"/>
          <w:szCs w:val="32"/>
        </w:rPr>
      </w:pPr>
    </w:p>
    <w:p>
      <w:pPr>
        <w:pStyle w:val="285"/>
        <w:spacing w:line="360" w:lineRule="auto"/>
        <w:jc w:val="center"/>
        <w:outlineLvl w:val="0"/>
        <w:rPr>
          <w:rFonts w:ascii="宋体" w:hAnsi="宋体"/>
          <w:b/>
          <w:color w:val="auto"/>
          <w:kern w:val="2"/>
          <w:sz w:val="32"/>
          <w:szCs w:val="32"/>
        </w:rPr>
      </w:pPr>
      <w:r>
        <w:rPr>
          <w:rFonts w:ascii="宋体" w:hAnsi="宋体"/>
          <w:b/>
          <w:color w:val="auto"/>
          <w:kern w:val="2"/>
          <w:sz w:val="32"/>
          <w:szCs w:val="32"/>
        </w:rPr>
        <w:t>第九章  质疑的提出及处理</w:t>
      </w:r>
    </w:p>
    <w:p>
      <w:pPr>
        <w:spacing w:line="360" w:lineRule="auto"/>
        <w:ind w:firstLine="643" w:firstLineChars="200"/>
        <w:jc w:val="left"/>
        <w:rPr>
          <w:rFonts w:ascii="宋体" w:hAnsi="宋体"/>
          <w:b/>
          <w:bCs/>
          <w:kern w:val="0"/>
          <w:sz w:val="32"/>
          <w:szCs w:val="32"/>
        </w:rPr>
      </w:pPr>
    </w:p>
    <w:p>
      <w:pPr>
        <w:spacing w:line="360" w:lineRule="auto"/>
        <w:ind w:firstLine="480" w:firstLineChars="200"/>
        <w:jc w:val="left"/>
        <w:rPr>
          <w:rFonts w:ascii="宋体" w:hAnsi="宋体"/>
          <w:sz w:val="24"/>
        </w:rPr>
      </w:pPr>
      <w:r>
        <w:rPr>
          <w:rFonts w:ascii="宋体" w:hAnsi="宋体"/>
          <w:sz w:val="24"/>
        </w:rPr>
        <w:t>政府采购供应商（以下简称供应商）提出质疑和投诉应当坚持依法依规、诚实信用原则。</w:t>
      </w:r>
    </w:p>
    <w:p>
      <w:pPr>
        <w:spacing w:line="360" w:lineRule="auto"/>
        <w:ind w:firstLine="482" w:firstLineChars="200"/>
        <w:jc w:val="left"/>
        <w:rPr>
          <w:rFonts w:ascii="宋体" w:hAnsi="宋体"/>
          <w:b/>
          <w:sz w:val="24"/>
        </w:rPr>
      </w:pPr>
      <w:r>
        <w:rPr>
          <w:rFonts w:ascii="宋体" w:hAnsi="宋体"/>
          <w:b/>
          <w:sz w:val="24"/>
        </w:rPr>
        <w:t>38. 质疑的提出</w:t>
      </w:r>
    </w:p>
    <w:p>
      <w:pPr>
        <w:snapToGrid w:val="0"/>
        <w:spacing w:line="360" w:lineRule="auto"/>
        <w:ind w:firstLine="480" w:firstLineChars="200"/>
        <w:jc w:val="left"/>
        <w:rPr>
          <w:rFonts w:ascii="宋体" w:hAnsi="宋体"/>
          <w:sz w:val="24"/>
        </w:rPr>
      </w:pPr>
      <w:r>
        <w:rPr>
          <w:rFonts w:ascii="宋体" w:hAnsi="宋体"/>
          <w:sz w:val="24"/>
        </w:rPr>
        <w:t>38.1  供应商认为采购文件、采购过程、中标或者成交结果使自己的权益受到损害的，可以在知道或者应知其权益受到损害之日起七个工作日内，以书面形式向采购人、采购代理机构提出质疑。</w:t>
      </w:r>
    </w:p>
    <w:p>
      <w:pPr>
        <w:snapToGrid w:val="0"/>
        <w:spacing w:line="360" w:lineRule="auto"/>
        <w:ind w:firstLine="480" w:firstLineChars="200"/>
        <w:rPr>
          <w:rFonts w:ascii="宋体" w:hAnsi="宋体"/>
          <w:sz w:val="24"/>
        </w:rPr>
      </w:pPr>
      <w:r>
        <w:rPr>
          <w:rFonts w:ascii="宋体" w:hAnsi="宋体"/>
          <w:sz w:val="24"/>
        </w:rPr>
        <w:t>采购文件可以要求供应商在法定质疑期内一次性提出针对同一采购程序环节的质疑。</w:t>
      </w:r>
    </w:p>
    <w:p>
      <w:pPr>
        <w:snapToGrid w:val="0"/>
        <w:spacing w:line="360" w:lineRule="auto"/>
        <w:ind w:firstLine="480" w:firstLineChars="200"/>
        <w:rPr>
          <w:rFonts w:ascii="宋体" w:hAnsi="宋体"/>
          <w:sz w:val="24"/>
        </w:rPr>
      </w:pPr>
      <w:r>
        <w:rPr>
          <w:rFonts w:ascii="宋体" w:hAnsi="宋体"/>
          <w:sz w:val="24"/>
        </w:rPr>
        <w:t>供应商应知其权益受到损害之日，是指：（1）对可以质疑的采购文件提出质疑的，为收到采购文件之日或者采购文件公告期限届满之日。（2）对采购过程提出质疑的，为各采购程序环节结束之日。（3）对中标或者成交结果提出质疑的，为中标或者成交结果公告期限届满之日。</w:t>
      </w:r>
    </w:p>
    <w:p>
      <w:pPr>
        <w:spacing w:line="360" w:lineRule="auto"/>
        <w:ind w:firstLine="480" w:firstLineChars="200"/>
        <w:rPr>
          <w:rFonts w:ascii="宋体" w:hAnsi="宋体"/>
          <w:sz w:val="24"/>
        </w:rPr>
      </w:pPr>
      <w:r>
        <w:rPr>
          <w:rFonts w:ascii="宋体" w:hAnsi="宋体"/>
          <w:sz w:val="24"/>
        </w:rPr>
        <w:t>38.2提出质疑的供应商（以下简称质疑供应商）应当是参与所质疑项目采购活动的供应商。</w:t>
      </w:r>
    </w:p>
    <w:p>
      <w:pPr>
        <w:spacing w:line="360" w:lineRule="auto"/>
        <w:ind w:firstLine="480" w:firstLineChars="200"/>
        <w:rPr>
          <w:rFonts w:ascii="宋体" w:hAnsi="宋体"/>
          <w:sz w:val="24"/>
        </w:rPr>
      </w:pPr>
      <w:r>
        <w:rPr>
          <w:rFonts w:ascii="宋体" w:hAnsi="宋体"/>
          <w:sz w:val="24"/>
        </w:rPr>
        <w:t>潜在供应商已依法获取其可质疑的采购文件的，可以对该文件提出质疑。对采购文件提出质疑的，应当在获取采购文件或者采购文件公告期限届满之日起7个工作日内提出。</w:t>
      </w:r>
    </w:p>
    <w:p>
      <w:pPr>
        <w:spacing w:line="360" w:lineRule="auto"/>
        <w:ind w:firstLine="480" w:firstLineChars="200"/>
        <w:rPr>
          <w:rFonts w:ascii="宋体" w:hAnsi="宋体"/>
          <w:sz w:val="24"/>
        </w:rPr>
      </w:pPr>
      <w:r>
        <w:rPr>
          <w:rFonts w:ascii="宋体" w:hAnsi="宋体"/>
          <w:sz w:val="24"/>
        </w:rPr>
        <w:t>38.3  供应商提出质疑应当提交质疑函和必要的证明材料。质疑函应当包括下列内容：</w:t>
      </w:r>
    </w:p>
    <w:p>
      <w:pPr>
        <w:spacing w:line="360" w:lineRule="auto"/>
        <w:ind w:firstLine="480" w:firstLineChars="200"/>
        <w:rPr>
          <w:rFonts w:ascii="宋体" w:hAnsi="宋体"/>
          <w:sz w:val="24"/>
        </w:rPr>
      </w:pPr>
      <w:r>
        <w:rPr>
          <w:rFonts w:ascii="宋体" w:hAnsi="宋体"/>
          <w:sz w:val="24"/>
        </w:rPr>
        <w:t>（1）供应商的姓名或者名称、地址、邮编、联系人及联系电话；</w:t>
      </w:r>
    </w:p>
    <w:p>
      <w:pPr>
        <w:spacing w:line="360" w:lineRule="auto"/>
        <w:ind w:firstLine="480" w:firstLineChars="200"/>
        <w:rPr>
          <w:rFonts w:ascii="宋体" w:hAnsi="宋体"/>
          <w:sz w:val="24"/>
        </w:rPr>
      </w:pPr>
      <w:r>
        <w:rPr>
          <w:rFonts w:ascii="宋体" w:hAnsi="宋体"/>
          <w:sz w:val="24"/>
        </w:rPr>
        <w:t>（2）质疑项目的名称、编号；</w:t>
      </w:r>
    </w:p>
    <w:p>
      <w:pPr>
        <w:spacing w:line="360" w:lineRule="auto"/>
        <w:ind w:firstLine="480" w:firstLineChars="200"/>
        <w:rPr>
          <w:rFonts w:ascii="宋体" w:hAnsi="宋体"/>
          <w:sz w:val="24"/>
        </w:rPr>
      </w:pPr>
      <w:r>
        <w:rPr>
          <w:rFonts w:ascii="宋体" w:hAnsi="宋体"/>
          <w:sz w:val="24"/>
        </w:rPr>
        <w:t>（3）具体、明确的质疑事项和与质疑事项相关的请求；</w:t>
      </w:r>
    </w:p>
    <w:p>
      <w:pPr>
        <w:spacing w:line="360" w:lineRule="auto"/>
        <w:ind w:firstLine="480" w:firstLineChars="200"/>
        <w:rPr>
          <w:rFonts w:ascii="宋体" w:hAnsi="宋体"/>
          <w:sz w:val="24"/>
        </w:rPr>
      </w:pPr>
      <w:r>
        <w:rPr>
          <w:rFonts w:ascii="宋体" w:hAnsi="宋体"/>
          <w:sz w:val="24"/>
        </w:rPr>
        <w:t>（4）事实依据；</w:t>
      </w:r>
    </w:p>
    <w:p>
      <w:pPr>
        <w:spacing w:line="360" w:lineRule="auto"/>
        <w:ind w:firstLine="480" w:firstLineChars="200"/>
        <w:rPr>
          <w:rFonts w:ascii="宋体" w:hAnsi="宋体"/>
          <w:sz w:val="24"/>
        </w:rPr>
      </w:pPr>
      <w:r>
        <w:rPr>
          <w:rFonts w:ascii="宋体" w:hAnsi="宋体"/>
          <w:sz w:val="24"/>
        </w:rPr>
        <w:t>（5）必要的法律依据；</w:t>
      </w:r>
    </w:p>
    <w:p>
      <w:pPr>
        <w:spacing w:line="360" w:lineRule="auto"/>
        <w:ind w:firstLine="480" w:firstLineChars="200"/>
        <w:rPr>
          <w:rFonts w:ascii="宋体" w:hAnsi="宋体"/>
          <w:sz w:val="24"/>
        </w:rPr>
      </w:pPr>
      <w:r>
        <w:rPr>
          <w:rFonts w:ascii="宋体" w:hAnsi="宋体"/>
          <w:sz w:val="24"/>
        </w:rPr>
        <w:t>（6）提出质疑的日期。</w:t>
      </w:r>
    </w:p>
    <w:p>
      <w:pPr>
        <w:spacing w:line="360" w:lineRule="auto"/>
        <w:ind w:firstLine="480" w:firstLineChars="200"/>
        <w:rPr>
          <w:rFonts w:ascii="宋体" w:hAnsi="宋体"/>
          <w:sz w:val="24"/>
        </w:rPr>
      </w:pPr>
      <w:r>
        <w:rPr>
          <w:rFonts w:ascii="宋体" w:hAnsi="宋体"/>
          <w:sz w:val="24"/>
        </w:rPr>
        <w:t>供应商为自然人的，应当由本人签字；供应商为法人或者其他组织的，应当由法定代表人、主要负责人，或者其授权代表签字或者盖章，并加盖公章。</w:t>
      </w:r>
    </w:p>
    <w:p>
      <w:pPr>
        <w:spacing w:line="360" w:lineRule="auto"/>
        <w:ind w:firstLine="480" w:firstLineChars="200"/>
        <w:rPr>
          <w:rFonts w:ascii="宋体" w:hAnsi="宋体"/>
          <w:sz w:val="24"/>
        </w:rPr>
      </w:pPr>
      <w:r>
        <w:rPr>
          <w:rFonts w:ascii="宋体" w:hAnsi="宋体"/>
          <w:sz w:val="24"/>
        </w:rPr>
        <w:t>提出质疑时，必须按照“实事求是”、“谁主张，谁举证”的原则，提供相关证明材料，不能主观臆测。</w:t>
      </w:r>
    </w:p>
    <w:p>
      <w:pPr>
        <w:spacing w:line="360" w:lineRule="auto"/>
        <w:ind w:firstLine="480" w:firstLineChars="200"/>
        <w:rPr>
          <w:rFonts w:ascii="宋体" w:hAnsi="宋体"/>
          <w:sz w:val="24"/>
        </w:rPr>
      </w:pPr>
      <w:r>
        <w:rPr>
          <w:rFonts w:ascii="宋体" w:hAnsi="宋体"/>
          <w:sz w:val="24"/>
        </w:rPr>
        <w:t>38.4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p>
    <w:p>
      <w:pPr>
        <w:spacing w:line="360" w:lineRule="auto"/>
        <w:ind w:firstLine="480" w:firstLineChars="200"/>
        <w:rPr>
          <w:rFonts w:ascii="宋体" w:hAnsi="宋体"/>
          <w:sz w:val="24"/>
        </w:rPr>
      </w:pPr>
      <w:r>
        <w:rPr>
          <w:rFonts w:ascii="宋体" w:hAnsi="宋体"/>
          <w:sz w:val="24"/>
        </w:rPr>
        <w:t>代理人提出质疑和投诉，应当提交供应商签署的授权委托书。</w:t>
      </w:r>
    </w:p>
    <w:p>
      <w:pPr>
        <w:spacing w:line="360" w:lineRule="auto"/>
        <w:ind w:firstLine="480" w:firstLineChars="200"/>
        <w:rPr>
          <w:rFonts w:ascii="宋体" w:hAnsi="宋体"/>
          <w:sz w:val="24"/>
        </w:rPr>
      </w:pPr>
      <w:r>
        <w:rPr>
          <w:rFonts w:ascii="宋体" w:hAnsi="宋体"/>
          <w:sz w:val="24"/>
        </w:rPr>
        <w:t>38.5 以联合体形式参加政府采购活动的，其投诉应当由组成联合体的所有供应商共同提出。</w:t>
      </w:r>
    </w:p>
    <w:p>
      <w:pPr>
        <w:spacing w:line="360" w:lineRule="auto"/>
        <w:ind w:firstLine="480" w:firstLineChars="200"/>
        <w:jc w:val="left"/>
        <w:rPr>
          <w:rFonts w:ascii="宋体" w:hAnsi="宋体"/>
          <w:sz w:val="24"/>
        </w:rPr>
      </w:pPr>
      <w:r>
        <w:rPr>
          <w:rFonts w:ascii="宋体" w:hAnsi="宋体"/>
          <w:sz w:val="24"/>
        </w:rPr>
        <w:t>38.6  质疑必须提供合法的信息来源或有效证据。质疑人捏造事实、提供虚假材料或者以非法手段取得证明材料进行质疑的，将不予受理。质疑人应当保证所提出的质疑内容及相关证明材料的真实性及来源的合法性，并承担相应的法律责任。属于须由相关部门调查、鉴定或者先行做出相关认定的事项，质疑人应当依法申请具有法定职权的部门查清、认定，并将相关结果提供给招标方。招标方不具有法定调查、认定权限和义务。</w:t>
      </w:r>
    </w:p>
    <w:p>
      <w:pPr>
        <w:spacing w:line="360" w:lineRule="auto"/>
        <w:ind w:firstLine="480" w:firstLineChars="200"/>
        <w:jc w:val="left"/>
        <w:rPr>
          <w:rFonts w:ascii="宋体" w:hAnsi="宋体"/>
          <w:sz w:val="24"/>
        </w:rPr>
      </w:pPr>
      <w:r>
        <w:rPr>
          <w:rFonts w:ascii="宋体" w:hAnsi="宋体"/>
          <w:sz w:val="24"/>
        </w:rPr>
        <w:t>38.7 证明材料要具备客观性、关联性、合法性，无法查实的（如宣传册、媒体报道、猜测、推理等）不能作为证明材料。</w:t>
      </w:r>
    </w:p>
    <w:p>
      <w:pPr>
        <w:spacing w:line="360" w:lineRule="auto"/>
        <w:ind w:firstLine="480" w:firstLineChars="200"/>
        <w:jc w:val="left"/>
        <w:rPr>
          <w:rFonts w:ascii="宋体" w:hAnsi="宋体"/>
          <w:sz w:val="24"/>
        </w:rPr>
      </w:pPr>
      <w:r>
        <w:rPr>
          <w:rFonts w:ascii="宋体" w:hAnsi="宋体"/>
          <w:sz w:val="24"/>
        </w:rPr>
        <w:t>38.8 对不能提供相关证明材料的、涉及商业秘密的、非书面形式送达的、匿名的质疑将不予受理。</w:t>
      </w:r>
    </w:p>
    <w:p>
      <w:pPr>
        <w:spacing w:line="360" w:lineRule="auto"/>
        <w:ind w:firstLine="482" w:firstLineChars="200"/>
        <w:jc w:val="left"/>
        <w:rPr>
          <w:rFonts w:ascii="宋体" w:hAnsi="宋体"/>
          <w:b/>
          <w:sz w:val="24"/>
        </w:rPr>
      </w:pPr>
      <w:r>
        <w:rPr>
          <w:rFonts w:ascii="宋体" w:hAnsi="宋体"/>
          <w:b/>
          <w:sz w:val="24"/>
        </w:rPr>
        <w:t>39. 受理和处理</w:t>
      </w:r>
    </w:p>
    <w:p>
      <w:pPr>
        <w:spacing w:line="360" w:lineRule="auto"/>
        <w:ind w:firstLine="480" w:firstLineChars="200"/>
        <w:jc w:val="left"/>
        <w:rPr>
          <w:rFonts w:ascii="宋体" w:hAnsi="宋体"/>
          <w:sz w:val="24"/>
        </w:rPr>
      </w:pPr>
      <w:r>
        <w:rPr>
          <w:rFonts w:ascii="宋体" w:hAnsi="宋体"/>
          <w:sz w:val="24"/>
        </w:rPr>
        <w:t>39.1 《质疑函》必须由质疑方的法定代表人或参与本次投标的被授权人以书面的形式送达招标方或采购单位。</w:t>
      </w:r>
    </w:p>
    <w:p>
      <w:pPr>
        <w:spacing w:line="360" w:lineRule="auto"/>
        <w:ind w:firstLine="480" w:firstLineChars="200"/>
        <w:jc w:val="left"/>
        <w:rPr>
          <w:rFonts w:ascii="宋体" w:hAnsi="宋体"/>
          <w:sz w:val="24"/>
        </w:rPr>
      </w:pPr>
      <w:r>
        <w:rPr>
          <w:rFonts w:ascii="宋体" w:hAnsi="宋体"/>
          <w:sz w:val="24"/>
        </w:rPr>
        <w:t>39.2采购人、采购代理机构不得拒收质疑供应商在法定质疑期内发出的质疑函，应当在收到质疑函后7个工作日内作出答复，并以书面形式通知质疑供应商和其他有关供应商。</w:t>
      </w:r>
    </w:p>
    <w:p>
      <w:pPr>
        <w:spacing w:line="360" w:lineRule="auto"/>
        <w:ind w:firstLine="480" w:firstLineChars="200"/>
        <w:jc w:val="left"/>
        <w:rPr>
          <w:rFonts w:ascii="宋体" w:hAnsi="宋体"/>
          <w:sz w:val="24"/>
        </w:rPr>
      </w:pPr>
      <w:r>
        <w:rPr>
          <w:rFonts w:ascii="宋体" w:hAnsi="宋体"/>
          <w:sz w:val="24"/>
        </w:rPr>
        <w:t>39.3质疑答复的内容不得涉及商业秘密。</w:t>
      </w:r>
    </w:p>
    <w:p>
      <w:pPr>
        <w:spacing w:line="360" w:lineRule="auto"/>
        <w:ind w:firstLine="480" w:firstLineChars="200"/>
        <w:jc w:val="left"/>
        <w:rPr>
          <w:rFonts w:ascii="宋体" w:hAnsi="宋体"/>
          <w:sz w:val="24"/>
        </w:rPr>
      </w:pPr>
      <w:r>
        <w:rPr>
          <w:rFonts w:ascii="宋体" w:hAnsi="宋体"/>
          <w:sz w:val="24"/>
        </w:rPr>
        <w:t>39.4 对于不符合上述38项所述的相关条款要求的质疑，招标方将不予受理。</w:t>
      </w:r>
    </w:p>
    <w:p>
      <w:pPr>
        <w:spacing w:line="360" w:lineRule="auto"/>
        <w:ind w:firstLine="480" w:firstLineChars="200"/>
        <w:jc w:val="left"/>
        <w:rPr>
          <w:rFonts w:ascii="宋体" w:hAnsi="宋体"/>
          <w:sz w:val="24"/>
        </w:rPr>
      </w:pPr>
      <w:r>
        <w:rPr>
          <w:rFonts w:ascii="宋体" w:hAnsi="宋体"/>
          <w:sz w:val="24"/>
        </w:rPr>
        <w:t>39.5 在处理过程中，发现需要质疑人进一步补充相关佐证材料的，要求质疑人在规定时间内提供。质疑人不能按照要求提供相关佐证材料的，视同放弃质疑。</w:t>
      </w:r>
    </w:p>
    <w:p>
      <w:pPr>
        <w:spacing w:line="360" w:lineRule="auto"/>
        <w:ind w:firstLine="480" w:firstLineChars="200"/>
        <w:jc w:val="left"/>
        <w:rPr>
          <w:rFonts w:ascii="宋体" w:hAnsi="宋体"/>
          <w:sz w:val="24"/>
        </w:rPr>
      </w:pPr>
      <w:r>
        <w:rPr>
          <w:rFonts w:ascii="宋体" w:hAnsi="宋体"/>
          <w:sz w:val="24"/>
        </w:rPr>
        <w:t>39.6 招标方或采购单位负责对质疑的回复工作，将质疑人的质疑材料提供给相关专家或评标委员会，并将处理意见回复质疑人。</w:t>
      </w:r>
    </w:p>
    <w:p>
      <w:pPr>
        <w:spacing w:line="360" w:lineRule="auto"/>
        <w:ind w:firstLine="480" w:firstLineChars="200"/>
        <w:jc w:val="left"/>
        <w:rPr>
          <w:rFonts w:ascii="宋体" w:hAnsi="宋体"/>
          <w:sz w:val="24"/>
        </w:rPr>
      </w:pPr>
      <w:r>
        <w:rPr>
          <w:rFonts w:ascii="宋体" w:hAnsi="宋体"/>
          <w:sz w:val="24"/>
        </w:rPr>
        <w:t>39.7采购人、采购代理机构认为供应商质疑不成立，或者成立但未对中标、成交结果构成影响的，继续开展采购活动；认为供应商质疑成立且影响或者可能影响中标、成交结果的，按照下列情况处理：</w:t>
      </w:r>
    </w:p>
    <w:p>
      <w:pPr>
        <w:spacing w:line="360" w:lineRule="auto"/>
        <w:ind w:firstLine="480" w:firstLineChars="200"/>
        <w:jc w:val="left"/>
        <w:rPr>
          <w:rFonts w:ascii="宋体" w:hAnsi="宋体"/>
          <w:sz w:val="24"/>
        </w:rPr>
      </w:pPr>
      <w:r>
        <w:rPr>
          <w:rFonts w:ascii="宋体" w:hAnsi="宋体"/>
          <w:sz w:val="24"/>
        </w:rPr>
        <w:t>（1）对采购文件提出的质疑，依法通过澄清或者修改可以继续开展采购活动的，澄清或者修改采购文件后继续开展采购活动；否则应当修改采购文件后重新开展采购活动。</w:t>
      </w:r>
    </w:p>
    <w:p>
      <w:pPr>
        <w:spacing w:line="360" w:lineRule="auto"/>
        <w:ind w:firstLine="480" w:firstLineChars="200"/>
        <w:jc w:val="left"/>
        <w:rPr>
          <w:rFonts w:ascii="宋体" w:hAnsi="宋体"/>
          <w:sz w:val="24"/>
        </w:rPr>
      </w:pPr>
      <w:r>
        <w:rPr>
          <w:rFonts w:ascii="宋体" w:hAnsi="宋体"/>
          <w:sz w:val="24"/>
        </w:rPr>
        <w:t>（2）对采购过程、中标或者成交结果提出的质疑，合格供应商符合法定数量时，可以从合格的中标或者成交候选人中另行确定中标、成交供应商的，应当依法另行确定中标、成交供应商；否则应当重新开展采购活动。</w:t>
      </w:r>
    </w:p>
    <w:p>
      <w:pPr>
        <w:spacing w:line="360" w:lineRule="auto"/>
        <w:ind w:firstLine="480" w:firstLineChars="200"/>
        <w:jc w:val="left"/>
        <w:rPr>
          <w:rFonts w:ascii="宋体" w:hAnsi="宋体"/>
          <w:sz w:val="24"/>
        </w:rPr>
      </w:pPr>
      <w:r>
        <w:rPr>
          <w:rFonts w:ascii="宋体" w:hAnsi="宋体"/>
          <w:sz w:val="24"/>
        </w:rPr>
        <w:t>质疑答复导致中标、成交结果改变的，采购人或者采购代理机构应当将有关情况书面报告本级财政部门。</w:t>
      </w:r>
    </w:p>
    <w:p>
      <w:pPr>
        <w:spacing w:line="360" w:lineRule="auto"/>
        <w:ind w:firstLine="482" w:firstLineChars="200"/>
        <w:jc w:val="left"/>
        <w:rPr>
          <w:rFonts w:ascii="宋体" w:hAnsi="宋体"/>
          <w:b/>
          <w:sz w:val="24"/>
        </w:rPr>
      </w:pPr>
      <w:r>
        <w:rPr>
          <w:rFonts w:ascii="宋体" w:hAnsi="宋体"/>
          <w:b/>
          <w:sz w:val="24"/>
        </w:rPr>
        <w:t>40. 质疑无效的处理</w:t>
      </w:r>
    </w:p>
    <w:p>
      <w:pPr>
        <w:spacing w:line="360" w:lineRule="auto"/>
        <w:ind w:firstLine="480" w:firstLineChars="200"/>
        <w:jc w:val="left"/>
        <w:rPr>
          <w:rFonts w:ascii="宋体" w:hAnsi="宋体"/>
          <w:sz w:val="24"/>
        </w:rPr>
      </w:pPr>
      <w:r>
        <w:rPr>
          <w:rFonts w:ascii="宋体" w:hAnsi="宋体"/>
          <w:sz w:val="24"/>
        </w:rPr>
        <w:t>40.1 质疑人提供的相关佐证材料不能证明质疑成立的，招标方可要求质疑人补充相关佐证材料，如补充材料仍不能证明质疑成立的，将不予受理。</w:t>
      </w:r>
    </w:p>
    <w:p>
      <w:pPr>
        <w:spacing w:line="360" w:lineRule="auto"/>
        <w:ind w:firstLine="480" w:firstLineChars="200"/>
        <w:jc w:val="left"/>
        <w:rPr>
          <w:rFonts w:ascii="宋体" w:hAnsi="宋体"/>
          <w:sz w:val="24"/>
        </w:rPr>
      </w:pPr>
      <w:r>
        <w:rPr>
          <w:rFonts w:ascii="宋体" w:hAnsi="宋体"/>
          <w:sz w:val="24"/>
        </w:rPr>
        <w:t>40.2 对于质疑人在质疑期间不配合进行质疑调查处理的，视为自动放弃质疑。</w:t>
      </w:r>
    </w:p>
    <w:p>
      <w:pPr>
        <w:spacing w:line="360" w:lineRule="auto"/>
        <w:ind w:firstLine="480" w:firstLineChars="200"/>
        <w:jc w:val="left"/>
        <w:rPr>
          <w:rFonts w:ascii="宋体" w:hAnsi="宋体"/>
          <w:sz w:val="24"/>
        </w:rPr>
      </w:pPr>
      <w:r>
        <w:rPr>
          <w:rFonts w:ascii="宋体" w:hAnsi="宋体"/>
          <w:sz w:val="24"/>
        </w:rPr>
        <w:t>40.3 质疑人提出的质疑，经评标专家审定后驳回的，列为无效质疑。</w:t>
      </w:r>
    </w:p>
    <w:p>
      <w:pPr>
        <w:spacing w:line="360" w:lineRule="auto"/>
        <w:ind w:firstLine="480" w:firstLineChars="200"/>
        <w:jc w:val="left"/>
        <w:rPr>
          <w:rFonts w:ascii="宋体" w:hAnsi="宋体"/>
          <w:sz w:val="24"/>
        </w:rPr>
      </w:pPr>
      <w:r>
        <w:rPr>
          <w:rFonts w:ascii="宋体" w:hAnsi="宋体"/>
          <w:sz w:val="24"/>
        </w:rPr>
        <w:t>40.4 对于质疑中使用虚假材料或恶意方式质疑的，按无效质疑处理，并列入不良记录供应商名单。</w:t>
      </w:r>
    </w:p>
    <w:p>
      <w:pPr>
        <w:spacing w:line="360" w:lineRule="auto"/>
        <w:ind w:firstLine="480" w:firstLineChars="200"/>
        <w:jc w:val="left"/>
        <w:rPr>
          <w:rFonts w:ascii="宋体" w:hAnsi="宋体"/>
          <w:b/>
          <w:sz w:val="24"/>
        </w:rPr>
      </w:pPr>
      <w:r>
        <w:rPr>
          <w:rFonts w:ascii="宋体" w:hAnsi="宋体"/>
          <w:sz w:val="24"/>
        </w:rPr>
        <w:t>40.5质疑人进行质疑后，招标方在法定时间内对质疑进行回复，质疑人认为回复不满意的，可向相关的采购管理部门进行投诉。</w:t>
      </w:r>
    </w:p>
    <w:p>
      <w:pPr>
        <w:spacing w:line="360" w:lineRule="auto"/>
        <w:ind w:firstLine="482" w:firstLineChars="200"/>
        <w:jc w:val="left"/>
        <w:rPr>
          <w:rFonts w:ascii="宋体" w:hAnsi="宋体"/>
          <w:b/>
          <w:sz w:val="24"/>
        </w:rPr>
      </w:pPr>
      <w:r>
        <w:rPr>
          <w:rFonts w:ascii="宋体" w:hAnsi="宋体"/>
          <w:b/>
          <w:sz w:val="24"/>
        </w:rPr>
        <w:t>41.其他</w:t>
      </w:r>
    </w:p>
    <w:p>
      <w:pPr>
        <w:spacing w:line="360" w:lineRule="auto"/>
        <w:ind w:firstLine="480" w:firstLineChars="200"/>
        <w:jc w:val="left"/>
        <w:rPr>
          <w:rFonts w:ascii="宋体" w:hAnsi="宋体"/>
          <w:sz w:val="24"/>
        </w:rPr>
      </w:pPr>
      <w:r>
        <w:rPr>
          <w:rFonts w:ascii="宋体" w:hAnsi="宋体"/>
          <w:sz w:val="24"/>
        </w:rPr>
        <w:t>41.1质疑函和投诉书应当使用中文。质疑函和投诉书的范本，由财政部制定。</w:t>
      </w:r>
    </w:p>
    <w:p>
      <w:pPr>
        <w:spacing w:line="360" w:lineRule="auto"/>
        <w:ind w:firstLine="480" w:firstLineChars="200"/>
        <w:jc w:val="left"/>
        <w:rPr>
          <w:rFonts w:ascii="宋体" w:hAnsi="宋体"/>
          <w:b/>
          <w:bCs/>
          <w:sz w:val="30"/>
          <w:szCs w:val="30"/>
        </w:rPr>
      </w:pPr>
      <w:r>
        <w:rPr>
          <w:rFonts w:ascii="宋体" w:hAnsi="宋体"/>
          <w:sz w:val="24"/>
        </w:rPr>
        <w:t>41.2对在质疑答复和投诉处理过程中知悉的国家秘密、商业秘密、个人隐私和依法不予公开的信息，财政部门、采购人、采购代理机构等相关知情人应当保密。</w:t>
      </w:r>
    </w:p>
    <w:p>
      <w:pPr>
        <w:spacing w:line="360" w:lineRule="auto"/>
        <w:jc w:val="center"/>
        <w:rPr>
          <w:rFonts w:ascii="宋体" w:hAnsi="宋体"/>
          <w:b/>
          <w:bCs/>
          <w:sz w:val="30"/>
          <w:szCs w:val="30"/>
        </w:rPr>
      </w:pPr>
    </w:p>
    <w:p>
      <w:pPr>
        <w:spacing w:line="360" w:lineRule="auto"/>
        <w:jc w:val="center"/>
        <w:rPr>
          <w:rFonts w:ascii="宋体" w:hAnsi="宋体"/>
          <w:b/>
          <w:bCs/>
          <w:sz w:val="30"/>
          <w:szCs w:val="30"/>
        </w:rPr>
      </w:pPr>
    </w:p>
    <w:p>
      <w:pPr>
        <w:spacing w:line="360" w:lineRule="auto"/>
        <w:jc w:val="center"/>
        <w:rPr>
          <w:rFonts w:ascii="宋体" w:hAnsi="宋体"/>
          <w:b/>
          <w:bCs/>
          <w:sz w:val="30"/>
          <w:szCs w:val="30"/>
        </w:rPr>
      </w:pPr>
    </w:p>
    <w:p/>
    <w:p/>
    <w:p/>
    <w:p>
      <w:pPr>
        <w:spacing w:line="360" w:lineRule="auto"/>
        <w:ind w:firstLine="482" w:firstLineChars="200"/>
        <w:jc w:val="left"/>
        <w:rPr>
          <w:rFonts w:ascii="宋体" w:hAnsi="宋体"/>
          <w:b/>
          <w:bCs/>
          <w:sz w:val="24"/>
        </w:rPr>
      </w:pPr>
    </w:p>
    <w:p>
      <w:pPr>
        <w:spacing w:line="360" w:lineRule="auto"/>
        <w:ind w:firstLine="482" w:firstLineChars="200"/>
        <w:jc w:val="left"/>
        <w:rPr>
          <w:rFonts w:ascii="宋体" w:hAnsi="宋体"/>
          <w:b/>
          <w:bCs/>
          <w:sz w:val="24"/>
        </w:rPr>
      </w:pPr>
    </w:p>
    <w:p>
      <w:pPr>
        <w:spacing w:line="360" w:lineRule="auto"/>
        <w:ind w:firstLine="482" w:firstLineChars="200"/>
        <w:jc w:val="left"/>
        <w:rPr>
          <w:rFonts w:ascii="宋体" w:hAnsi="宋体"/>
          <w:b/>
          <w:bCs/>
          <w:sz w:val="24"/>
        </w:rPr>
      </w:pPr>
    </w:p>
    <w:p>
      <w:pPr>
        <w:spacing w:line="360" w:lineRule="auto"/>
        <w:ind w:firstLine="482" w:firstLineChars="200"/>
        <w:jc w:val="left"/>
        <w:rPr>
          <w:rFonts w:ascii="宋体" w:hAnsi="宋体"/>
          <w:b/>
          <w:bCs/>
          <w:sz w:val="24"/>
        </w:rPr>
      </w:pPr>
      <w:r>
        <w:rPr>
          <w:rFonts w:ascii="宋体" w:hAnsi="宋体"/>
          <w:b/>
          <w:bCs/>
          <w:sz w:val="24"/>
        </w:rPr>
        <w:t>质疑函制作说明:</w:t>
      </w:r>
    </w:p>
    <w:p>
      <w:pPr>
        <w:spacing w:line="360" w:lineRule="auto"/>
        <w:ind w:firstLine="480" w:firstLineChars="200"/>
        <w:jc w:val="left"/>
        <w:rPr>
          <w:rFonts w:ascii="宋体" w:hAnsi="宋体"/>
          <w:sz w:val="24"/>
        </w:rPr>
      </w:pPr>
      <w:r>
        <w:rPr>
          <w:rFonts w:ascii="宋体" w:hAnsi="宋体"/>
          <w:sz w:val="24"/>
        </w:rPr>
        <w:t>1.供应商提出质疑时，应提交质疑函和必要的证明材料。</w:t>
      </w:r>
    </w:p>
    <w:p>
      <w:pPr>
        <w:spacing w:line="360" w:lineRule="auto"/>
        <w:ind w:firstLine="480" w:firstLineChars="200"/>
        <w:jc w:val="left"/>
        <w:rPr>
          <w:rFonts w:ascii="宋体" w:hAnsi="宋体"/>
          <w:sz w:val="24"/>
        </w:rPr>
      </w:pPr>
      <w:r>
        <w:rPr>
          <w:rFonts w:ascii="宋体" w:hAnsi="宋体"/>
          <w:sz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pPr>
        <w:spacing w:line="360" w:lineRule="auto"/>
        <w:ind w:firstLine="480" w:firstLineChars="200"/>
        <w:jc w:val="left"/>
        <w:rPr>
          <w:rFonts w:ascii="宋体" w:hAnsi="宋体"/>
          <w:sz w:val="24"/>
        </w:rPr>
      </w:pPr>
      <w:r>
        <w:rPr>
          <w:rFonts w:ascii="宋体" w:hAnsi="宋体"/>
          <w:sz w:val="24"/>
        </w:rPr>
        <w:t>3.质疑供应商若对项目的某一分包进行质疑，质疑函中应列明具体分包号。</w:t>
      </w:r>
    </w:p>
    <w:p>
      <w:pPr>
        <w:spacing w:line="360" w:lineRule="auto"/>
        <w:ind w:firstLine="480" w:firstLineChars="200"/>
        <w:jc w:val="left"/>
        <w:rPr>
          <w:rFonts w:ascii="宋体" w:hAnsi="宋体"/>
          <w:sz w:val="24"/>
        </w:rPr>
      </w:pPr>
      <w:r>
        <w:rPr>
          <w:rFonts w:ascii="宋体" w:hAnsi="宋体"/>
          <w:sz w:val="24"/>
        </w:rPr>
        <w:t>4.质疑函的质疑事项应具体、明确，并有必要的事实依据和法律依据。</w:t>
      </w:r>
    </w:p>
    <w:p>
      <w:pPr>
        <w:spacing w:line="360" w:lineRule="auto"/>
        <w:ind w:firstLine="480" w:firstLineChars="200"/>
        <w:jc w:val="left"/>
        <w:rPr>
          <w:rFonts w:ascii="宋体" w:hAnsi="宋体"/>
          <w:sz w:val="24"/>
        </w:rPr>
      </w:pPr>
      <w:r>
        <w:rPr>
          <w:rFonts w:ascii="宋体" w:hAnsi="宋体"/>
          <w:sz w:val="24"/>
        </w:rPr>
        <w:t>5.质疑函的质疑请求应与质疑事项相关。</w:t>
      </w:r>
    </w:p>
    <w:p>
      <w:pPr>
        <w:spacing w:line="360" w:lineRule="auto"/>
        <w:jc w:val="center"/>
        <w:rPr>
          <w:rFonts w:ascii="宋体" w:hAnsi="宋体"/>
          <w:b/>
          <w:bCs/>
          <w:sz w:val="30"/>
          <w:szCs w:val="30"/>
        </w:rPr>
      </w:pPr>
      <w:r>
        <w:rPr>
          <w:rFonts w:ascii="宋体" w:hAnsi="宋体"/>
          <w:sz w:val="24"/>
        </w:rPr>
        <w:t>6.质疑供应商为自然人的，质疑函应由本人签字；质疑供应商为法人或者其他组织的，质疑函应由法定代表人、主要负责人，或者其授权代表签字或者盖章，并加盖公章。</w:t>
      </w:r>
    </w:p>
    <w:p>
      <w:pPr>
        <w:spacing w:line="360" w:lineRule="auto"/>
        <w:jc w:val="center"/>
        <w:rPr>
          <w:rFonts w:ascii="宋体" w:hAnsi="宋体"/>
          <w:b/>
          <w:bCs/>
          <w:sz w:val="30"/>
          <w:szCs w:val="30"/>
        </w:rPr>
      </w:pPr>
    </w:p>
    <w:p>
      <w:pPr>
        <w:spacing w:line="360" w:lineRule="auto"/>
        <w:jc w:val="center"/>
        <w:rPr>
          <w:rFonts w:ascii="宋体" w:hAnsi="宋体"/>
          <w:b/>
          <w:bCs/>
          <w:sz w:val="30"/>
          <w:szCs w:val="30"/>
        </w:rPr>
      </w:pPr>
    </w:p>
    <w:p>
      <w:pPr>
        <w:spacing w:line="360" w:lineRule="auto"/>
        <w:jc w:val="center"/>
        <w:rPr>
          <w:rFonts w:ascii="宋体" w:hAnsi="宋体"/>
          <w:b/>
          <w:bCs/>
          <w:sz w:val="30"/>
          <w:szCs w:val="30"/>
        </w:rPr>
      </w:pPr>
    </w:p>
    <w:p>
      <w:pPr>
        <w:spacing w:line="360" w:lineRule="auto"/>
        <w:jc w:val="center"/>
        <w:rPr>
          <w:rFonts w:ascii="宋体" w:hAnsi="宋体"/>
          <w:b/>
          <w:bCs/>
          <w:sz w:val="30"/>
          <w:szCs w:val="30"/>
        </w:rPr>
      </w:pPr>
    </w:p>
    <w:p>
      <w:pPr>
        <w:widowControl/>
        <w:jc w:val="left"/>
        <w:rPr>
          <w:rFonts w:ascii="宋体" w:hAnsi="宋体"/>
          <w:b/>
          <w:bCs/>
          <w:sz w:val="30"/>
          <w:szCs w:val="30"/>
        </w:rPr>
      </w:pPr>
      <w:r>
        <w:rPr>
          <w:rFonts w:ascii="宋体" w:hAnsi="宋体"/>
          <w:b/>
          <w:bCs/>
          <w:sz w:val="30"/>
          <w:szCs w:val="30"/>
        </w:rPr>
        <w:br w:type="page"/>
      </w:r>
    </w:p>
    <w:p>
      <w:pPr>
        <w:spacing w:line="360" w:lineRule="auto"/>
        <w:jc w:val="center"/>
        <w:rPr>
          <w:rFonts w:ascii="宋体" w:hAnsi="宋体"/>
          <w:b/>
          <w:bCs/>
          <w:sz w:val="30"/>
          <w:szCs w:val="30"/>
        </w:rPr>
      </w:pPr>
      <w:r>
        <w:rPr>
          <w:rFonts w:ascii="宋体" w:hAnsi="宋体"/>
          <w:b/>
          <w:bCs/>
          <w:sz w:val="30"/>
          <w:szCs w:val="30"/>
        </w:rPr>
        <w:t>质疑函范本</w:t>
      </w:r>
    </w:p>
    <w:p>
      <w:pPr>
        <w:spacing w:line="360" w:lineRule="auto"/>
        <w:rPr>
          <w:rFonts w:ascii="宋体" w:hAnsi="宋体"/>
          <w:b/>
          <w:bCs/>
          <w:sz w:val="24"/>
        </w:rPr>
      </w:pPr>
    </w:p>
    <w:p>
      <w:pPr>
        <w:spacing w:line="360" w:lineRule="auto"/>
        <w:rPr>
          <w:rFonts w:ascii="宋体" w:hAnsi="宋体"/>
          <w:b/>
          <w:bCs/>
          <w:sz w:val="24"/>
        </w:rPr>
      </w:pPr>
      <w:r>
        <w:rPr>
          <w:rFonts w:ascii="宋体" w:hAnsi="宋体"/>
          <w:b/>
          <w:bCs/>
          <w:sz w:val="24"/>
        </w:rPr>
        <w:t>一、质疑供应商基本信息</w:t>
      </w:r>
    </w:p>
    <w:p>
      <w:pPr>
        <w:spacing w:line="360" w:lineRule="auto"/>
        <w:jc w:val="left"/>
        <w:rPr>
          <w:rFonts w:ascii="宋体" w:hAnsi="宋体"/>
          <w:sz w:val="24"/>
        </w:rPr>
      </w:pPr>
      <w:r>
        <w:rPr>
          <w:rFonts w:ascii="宋体" w:hAnsi="宋体"/>
          <w:sz w:val="24"/>
        </w:rPr>
        <w:t>质疑供应商：</w:t>
      </w:r>
    </w:p>
    <w:p>
      <w:pPr>
        <w:spacing w:line="360" w:lineRule="auto"/>
        <w:jc w:val="left"/>
        <w:rPr>
          <w:rFonts w:ascii="宋体" w:hAnsi="宋体"/>
          <w:sz w:val="24"/>
        </w:rPr>
      </w:pPr>
      <w:r>
        <w:rPr>
          <w:rFonts w:ascii="宋体" w:hAnsi="宋体"/>
          <w:sz w:val="24"/>
        </w:rPr>
        <w:t>地址：             邮编：</w:t>
      </w:r>
    </w:p>
    <w:p>
      <w:pPr>
        <w:spacing w:line="360" w:lineRule="auto"/>
        <w:jc w:val="left"/>
        <w:rPr>
          <w:rFonts w:ascii="宋体" w:hAnsi="宋体"/>
          <w:sz w:val="24"/>
        </w:rPr>
      </w:pPr>
      <w:r>
        <w:rPr>
          <w:rFonts w:ascii="宋体" w:hAnsi="宋体"/>
          <w:sz w:val="24"/>
        </w:rPr>
        <w:t>联系人：       联系电话：</w:t>
      </w:r>
    </w:p>
    <w:p>
      <w:pPr>
        <w:spacing w:line="360" w:lineRule="auto"/>
        <w:jc w:val="left"/>
        <w:rPr>
          <w:rFonts w:ascii="宋体" w:hAnsi="宋体"/>
          <w:sz w:val="24"/>
        </w:rPr>
      </w:pPr>
      <w:r>
        <w:rPr>
          <w:rFonts w:ascii="宋体" w:hAnsi="宋体"/>
          <w:sz w:val="24"/>
        </w:rPr>
        <w:t>授权代表：</w:t>
      </w:r>
    </w:p>
    <w:p>
      <w:pPr>
        <w:spacing w:line="360" w:lineRule="auto"/>
        <w:jc w:val="left"/>
        <w:rPr>
          <w:rFonts w:ascii="宋体" w:hAnsi="宋体"/>
          <w:sz w:val="24"/>
        </w:rPr>
      </w:pPr>
      <w:r>
        <w:rPr>
          <w:rFonts w:ascii="宋体" w:hAnsi="宋体"/>
          <w:sz w:val="24"/>
        </w:rPr>
        <w:t>联系电话：</w:t>
      </w:r>
    </w:p>
    <w:p>
      <w:pPr>
        <w:spacing w:line="360" w:lineRule="auto"/>
        <w:jc w:val="left"/>
        <w:rPr>
          <w:rFonts w:ascii="宋体" w:hAnsi="宋体"/>
          <w:sz w:val="24"/>
        </w:rPr>
      </w:pPr>
      <w:r>
        <w:rPr>
          <w:rFonts w:ascii="宋体" w:hAnsi="宋体"/>
          <w:sz w:val="24"/>
        </w:rPr>
        <w:t>地址：             邮编：</w:t>
      </w:r>
    </w:p>
    <w:p>
      <w:pPr>
        <w:spacing w:line="360" w:lineRule="auto"/>
        <w:jc w:val="left"/>
        <w:rPr>
          <w:rFonts w:ascii="宋体" w:hAnsi="宋体"/>
          <w:b/>
          <w:bCs/>
          <w:sz w:val="24"/>
        </w:rPr>
      </w:pPr>
      <w:r>
        <w:rPr>
          <w:rFonts w:ascii="宋体" w:hAnsi="宋体"/>
          <w:b/>
          <w:bCs/>
          <w:sz w:val="24"/>
        </w:rPr>
        <w:t>二、质疑项目基本情况</w:t>
      </w:r>
    </w:p>
    <w:p>
      <w:pPr>
        <w:spacing w:line="360" w:lineRule="auto"/>
        <w:jc w:val="left"/>
        <w:rPr>
          <w:rFonts w:ascii="宋体" w:hAnsi="宋体"/>
          <w:sz w:val="24"/>
        </w:rPr>
      </w:pPr>
      <w:r>
        <w:rPr>
          <w:rFonts w:ascii="宋体" w:hAnsi="宋体"/>
          <w:sz w:val="24"/>
        </w:rPr>
        <w:t>质疑项目的名称：</w:t>
      </w:r>
    </w:p>
    <w:p>
      <w:pPr>
        <w:spacing w:line="360" w:lineRule="auto"/>
        <w:jc w:val="left"/>
        <w:rPr>
          <w:rFonts w:ascii="宋体" w:hAnsi="宋体"/>
          <w:sz w:val="24"/>
        </w:rPr>
      </w:pPr>
      <w:r>
        <w:rPr>
          <w:rFonts w:ascii="宋体" w:hAnsi="宋体"/>
          <w:sz w:val="24"/>
        </w:rPr>
        <w:t>质疑项目的编号：       包号：</w:t>
      </w:r>
    </w:p>
    <w:p>
      <w:pPr>
        <w:spacing w:line="360" w:lineRule="auto"/>
        <w:jc w:val="left"/>
        <w:rPr>
          <w:rFonts w:ascii="宋体" w:hAnsi="宋体"/>
          <w:sz w:val="24"/>
        </w:rPr>
      </w:pPr>
      <w:r>
        <w:rPr>
          <w:rFonts w:ascii="宋体" w:hAnsi="宋体"/>
          <w:sz w:val="24"/>
        </w:rPr>
        <w:t>采购人名称：</w:t>
      </w:r>
    </w:p>
    <w:p>
      <w:pPr>
        <w:spacing w:line="360" w:lineRule="auto"/>
        <w:jc w:val="left"/>
        <w:rPr>
          <w:rFonts w:ascii="宋体" w:hAnsi="宋体"/>
          <w:sz w:val="24"/>
        </w:rPr>
      </w:pPr>
      <w:r>
        <w:rPr>
          <w:rFonts w:ascii="宋体" w:hAnsi="宋体"/>
          <w:sz w:val="24"/>
        </w:rPr>
        <w:t>采购文件获取日期：</w:t>
      </w:r>
    </w:p>
    <w:p>
      <w:pPr>
        <w:spacing w:line="360" w:lineRule="auto"/>
        <w:jc w:val="left"/>
        <w:rPr>
          <w:rFonts w:ascii="宋体" w:hAnsi="宋体"/>
          <w:sz w:val="24"/>
        </w:rPr>
      </w:pPr>
      <w:r>
        <w:rPr>
          <w:rFonts w:ascii="宋体" w:hAnsi="宋体"/>
          <w:b/>
          <w:bCs/>
          <w:sz w:val="24"/>
        </w:rPr>
        <w:t>三、质疑事项具体内容</w:t>
      </w:r>
    </w:p>
    <w:p>
      <w:pPr>
        <w:spacing w:line="360" w:lineRule="auto"/>
        <w:jc w:val="left"/>
        <w:rPr>
          <w:rFonts w:ascii="宋体" w:hAnsi="宋体"/>
          <w:sz w:val="24"/>
        </w:rPr>
      </w:pPr>
      <w:r>
        <w:rPr>
          <w:rFonts w:ascii="宋体" w:hAnsi="宋体"/>
          <w:sz w:val="24"/>
        </w:rPr>
        <w:t>质疑事项1：</w:t>
      </w:r>
    </w:p>
    <w:p>
      <w:pPr>
        <w:spacing w:line="360" w:lineRule="auto"/>
        <w:jc w:val="left"/>
        <w:rPr>
          <w:rFonts w:ascii="宋体" w:hAnsi="宋体"/>
          <w:sz w:val="24"/>
        </w:rPr>
      </w:pPr>
      <w:r>
        <w:rPr>
          <w:rFonts w:ascii="宋体" w:hAnsi="宋体"/>
          <w:sz w:val="24"/>
        </w:rPr>
        <w:t>事实依据：</w:t>
      </w:r>
    </w:p>
    <w:p>
      <w:pPr>
        <w:spacing w:line="360" w:lineRule="auto"/>
        <w:jc w:val="left"/>
        <w:rPr>
          <w:rFonts w:ascii="宋体" w:hAnsi="宋体"/>
          <w:sz w:val="24"/>
        </w:rPr>
      </w:pPr>
      <w:r>
        <w:rPr>
          <w:rFonts w:ascii="宋体" w:hAnsi="宋体"/>
          <w:sz w:val="24"/>
        </w:rPr>
        <w:t>法律依据：</w:t>
      </w:r>
    </w:p>
    <w:p>
      <w:pPr>
        <w:spacing w:line="360" w:lineRule="auto"/>
        <w:jc w:val="left"/>
        <w:rPr>
          <w:rFonts w:ascii="宋体" w:hAnsi="宋体"/>
          <w:sz w:val="24"/>
        </w:rPr>
      </w:pPr>
      <w:r>
        <w:rPr>
          <w:rFonts w:ascii="宋体" w:hAnsi="宋体"/>
          <w:sz w:val="24"/>
        </w:rPr>
        <w:t>质疑事项2</w:t>
      </w:r>
    </w:p>
    <w:p>
      <w:pPr>
        <w:spacing w:line="360" w:lineRule="auto"/>
        <w:jc w:val="left"/>
        <w:rPr>
          <w:rFonts w:ascii="宋体" w:hAnsi="宋体"/>
          <w:sz w:val="24"/>
        </w:rPr>
      </w:pPr>
      <w:r>
        <w:rPr>
          <w:rFonts w:ascii="宋体" w:hAnsi="宋体"/>
          <w:sz w:val="24"/>
        </w:rPr>
        <w:t>……</w:t>
      </w:r>
    </w:p>
    <w:p>
      <w:pPr>
        <w:spacing w:line="360" w:lineRule="auto"/>
        <w:jc w:val="left"/>
        <w:rPr>
          <w:rFonts w:ascii="宋体" w:hAnsi="宋体"/>
          <w:b/>
          <w:bCs/>
          <w:sz w:val="24"/>
        </w:rPr>
      </w:pPr>
      <w:r>
        <w:rPr>
          <w:rFonts w:ascii="宋体" w:hAnsi="宋体"/>
          <w:b/>
          <w:bCs/>
          <w:sz w:val="24"/>
        </w:rPr>
        <w:t>四、与质疑事项相关的质疑请求</w:t>
      </w:r>
    </w:p>
    <w:p>
      <w:pPr>
        <w:spacing w:line="360" w:lineRule="auto"/>
        <w:jc w:val="left"/>
        <w:rPr>
          <w:rFonts w:ascii="宋体" w:hAnsi="宋体"/>
          <w:sz w:val="24"/>
        </w:rPr>
      </w:pPr>
      <w:r>
        <w:rPr>
          <w:rFonts w:ascii="宋体" w:hAnsi="宋体"/>
          <w:sz w:val="24"/>
        </w:rPr>
        <w:t>请求：</w:t>
      </w:r>
    </w:p>
    <w:p>
      <w:pPr>
        <w:spacing w:line="360" w:lineRule="auto"/>
        <w:jc w:val="left"/>
        <w:rPr>
          <w:rFonts w:ascii="宋体" w:hAnsi="宋体"/>
          <w:sz w:val="24"/>
        </w:rPr>
      </w:pPr>
      <w:r>
        <w:rPr>
          <w:rFonts w:ascii="宋体" w:hAnsi="宋体"/>
          <w:sz w:val="24"/>
        </w:rPr>
        <w:t>签字（盖章）： 公章：</w:t>
      </w:r>
    </w:p>
    <w:p>
      <w:pPr>
        <w:spacing w:line="360" w:lineRule="auto"/>
        <w:jc w:val="left"/>
        <w:rPr>
          <w:rFonts w:ascii="宋体" w:hAnsi="宋体"/>
          <w:sz w:val="24"/>
        </w:rPr>
      </w:pPr>
      <w:r>
        <w:rPr>
          <w:rFonts w:ascii="宋体" w:hAnsi="宋体"/>
          <w:sz w:val="24"/>
        </w:rPr>
        <w:t>日期：</w:t>
      </w:r>
    </w:p>
    <w:p>
      <w:pPr>
        <w:spacing w:line="360" w:lineRule="auto"/>
        <w:ind w:firstLine="482" w:firstLineChars="200"/>
        <w:jc w:val="left"/>
        <w:rPr>
          <w:rFonts w:ascii="宋体" w:hAnsi="宋体"/>
          <w:b/>
          <w:bCs/>
          <w:sz w:val="24"/>
        </w:rPr>
      </w:pPr>
    </w:p>
    <w:bookmarkEnd w:id="18"/>
    <w:bookmarkEnd w:id="19"/>
    <w:bookmarkEnd w:id="20"/>
    <w:p>
      <w:pPr>
        <w:spacing w:line="360" w:lineRule="auto"/>
        <w:jc w:val="left"/>
        <w:rPr>
          <w:rFonts w:ascii="宋体" w:hAnsi="宋体"/>
        </w:rPr>
      </w:pPr>
    </w:p>
    <w:p>
      <w:pPr>
        <w:spacing w:line="360" w:lineRule="auto"/>
        <w:jc w:val="center"/>
        <w:rPr>
          <w:rFonts w:ascii="宋体" w:hAnsi="宋体"/>
          <w:b/>
          <w:sz w:val="36"/>
        </w:rPr>
      </w:pPr>
    </w:p>
    <w:p>
      <w:pPr>
        <w:widowControl/>
        <w:jc w:val="left"/>
        <w:rPr>
          <w:rFonts w:ascii="宋体" w:hAnsi="宋体"/>
          <w:b/>
          <w:sz w:val="36"/>
        </w:rPr>
      </w:pPr>
      <w:r>
        <w:rPr>
          <w:rFonts w:ascii="宋体" w:hAnsi="宋体"/>
          <w:b/>
          <w:sz w:val="36"/>
        </w:rPr>
        <w:br w:type="page"/>
      </w:r>
    </w:p>
    <w:p>
      <w:pPr>
        <w:spacing w:line="360" w:lineRule="auto"/>
        <w:jc w:val="center"/>
        <w:rPr>
          <w:rFonts w:ascii="宋体" w:hAnsi="宋体"/>
          <w:b/>
          <w:sz w:val="36"/>
        </w:rPr>
      </w:pPr>
      <w:r>
        <w:rPr>
          <w:rFonts w:ascii="宋体" w:hAnsi="宋体"/>
          <w:b/>
          <w:sz w:val="36"/>
        </w:rPr>
        <w:t>第三部分  采购内容及技术参数要求</w:t>
      </w:r>
    </w:p>
    <w:p>
      <w:pPr>
        <w:pStyle w:val="35"/>
        <w:jc w:val="center"/>
        <w:rPr>
          <w:rFonts w:ascii="宋体" w:hAnsi="宋体"/>
          <w:b/>
          <w:bCs/>
          <w:color w:val="auto"/>
          <w:sz w:val="36"/>
          <w:szCs w:val="28"/>
        </w:rPr>
      </w:pPr>
      <w:r>
        <w:rPr>
          <w:rFonts w:hint="eastAsia" w:ascii="宋体" w:hAnsi="宋体"/>
          <w:b/>
          <w:bCs/>
          <w:color w:val="auto"/>
          <w:sz w:val="36"/>
          <w:szCs w:val="28"/>
        </w:rPr>
        <w:t>技术规格要求</w:t>
      </w:r>
    </w:p>
    <w:p>
      <w:pPr>
        <w:spacing w:line="360" w:lineRule="auto"/>
        <w:rPr>
          <w:rFonts w:ascii="宋体" w:hAnsi="宋体"/>
        </w:rPr>
      </w:pPr>
    </w:p>
    <w:bookmarkEnd w:id="11"/>
    <w:p>
      <w:pPr>
        <w:pStyle w:val="5"/>
        <w:numPr>
          <w:ilvl w:val="0"/>
          <w:numId w:val="11"/>
        </w:numPr>
        <w:spacing w:line="360" w:lineRule="auto"/>
        <w:rPr>
          <w:rFonts w:ascii="宋体" w:hAnsi="宋体" w:eastAsia="宋体"/>
          <w:b w:val="0"/>
          <w:bCs/>
          <w:sz w:val="24"/>
          <w:szCs w:val="28"/>
        </w:rPr>
      </w:pPr>
      <w:bookmarkStart w:id="21" w:name="_Toc31190"/>
      <w:bookmarkStart w:id="22" w:name="_Toc6907"/>
      <w:bookmarkStart w:id="23" w:name="_Toc17426"/>
      <w:bookmarkStart w:id="24" w:name="_Toc5192"/>
      <w:bookmarkStart w:id="25" w:name="_Toc638"/>
      <w:bookmarkStart w:id="26" w:name="_Toc30006"/>
      <w:bookmarkStart w:id="27" w:name="_Toc196041030"/>
      <w:r>
        <w:rPr>
          <w:rFonts w:hint="eastAsia" w:ascii="宋体" w:hAnsi="宋体" w:eastAsia="宋体"/>
          <w:bCs/>
          <w:sz w:val="24"/>
          <w:szCs w:val="28"/>
        </w:rPr>
        <w:t>医疗废物在线监测系统</w:t>
      </w:r>
      <w:bookmarkEnd w:id="21"/>
      <w:bookmarkEnd w:id="22"/>
      <w:bookmarkEnd w:id="23"/>
      <w:bookmarkEnd w:id="24"/>
      <w:bookmarkEnd w:id="25"/>
      <w:bookmarkEnd w:id="26"/>
    </w:p>
    <w:p>
      <w:pPr>
        <w:pStyle w:val="2"/>
        <w:spacing w:before="0" w:after="0" w:line="360" w:lineRule="auto"/>
        <w:rPr>
          <w:rFonts w:hAnsi="宋体"/>
          <w:sz w:val="28"/>
          <w:szCs w:val="28"/>
        </w:rPr>
      </w:pPr>
      <w:r>
        <w:rPr>
          <w:rFonts w:hint="eastAsia" w:hAnsi="宋体" w:cs="宋体"/>
          <w:sz w:val="28"/>
          <w:szCs w:val="28"/>
        </w:rPr>
        <w:t>（1）</w:t>
      </w:r>
      <w:r>
        <w:rPr>
          <w:rFonts w:hint="eastAsia" w:hAnsi="宋体"/>
          <w:sz w:val="28"/>
          <w:szCs w:val="28"/>
        </w:rPr>
        <w:t>硬件设施要求</w:t>
      </w:r>
    </w:p>
    <w:tbl>
      <w:tblPr>
        <w:tblStyle w:val="88"/>
        <w:tblW w:w="9000" w:type="dxa"/>
        <w:tblInd w:w="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10"/>
        <w:gridCol w:w="6988"/>
        <w:gridCol w:w="9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b/>
                <w:bCs/>
                <w:sz w:val="24"/>
              </w:rPr>
            </w:pPr>
            <w:r>
              <w:rPr>
                <w:rFonts w:hint="eastAsia" w:ascii="宋体" w:hAnsi="宋体" w:cs="宋体"/>
                <w:b/>
                <w:bCs/>
                <w:sz w:val="24"/>
              </w:rPr>
              <w:t>指标项</w:t>
            </w:r>
          </w:p>
        </w:tc>
        <w:tc>
          <w:tcPr>
            <w:tcW w:w="698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b/>
                <w:bCs/>
                <w:sz w:val="24"/>
              </w:rPr>
            </w:pPr>
            <w:r>
              <w:rPr>
                <w:rFonts w:hint="eastAsia" w:ascii="宋体" w:hAnsi="宋体" w:cs="宋体"/>
                <w:b/>
                <w:bCs/>
                <w:sz w:val="24"/>
              </w:rPr>
              <w:t>技术规格要求</w:t>
            </w:r>
          </w:p>
        </w:tc>
        <w:tc>
          <w:tcPr>
            <w:tcW w:w="90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b/>
                <w:bCs/>
                <w:sz w:val="24"/>
              </w:rPr>
            </w:pPr>
            <w:r>
              <w:rPr>
                <w:rFonts w:hint="eastAsia" w:ascii="宋体" w:hAnsi="宋体" w:cs="宋体"/>
                <w:b/>
                <w:bCs/>
                <w:sz w:val="24"/>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0" w:type="dxa"/>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ascii="宋体" w:hAnsi="宋体" w:cs="宋体"/>
                <w:kern w:val="0"/>
                <w:sz w:val="24"/>
              </w:rPr>
            </w:pPr>
            <w:r>
              <w:rPr>
                <w:rFonts w:hint="eastAsia" w:ascii="宋体" w:hAnsi="宋体" w:cs="宋体"/>
                <w:kern w:val="0"/>
                <w:sz w:val="24"/>
              </w:rPr>
              <w:t>医疗废物智能信息化收集车</w:t>
            </w:r>
          </w:p>
        </w:tc>
        <w:tc>
          <w:tcPr>
            <w:tcW w:w="6988" w:type="dxa"/>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ascii="宋体" w:hAnsi="宋体" w:cs="宋体"/>
                <w:kern w:val="0"/>
                <w:sz w:val="24"/>
              </w:rPr>
            </w:pPr>
            <w:r>
              <w:rPr>
                <w:rFonts w:hint="eastAsia" w:ascii="宋体" w:hAnsi="宋体" w:cs="宋体"/>
                <w:kern w:val="0"/>
                <w:sz w:val="24"/>
              </w:rPr>
              <w:t>材质：支持A</w:t>
            </w:r>
            <w:r>
              <w:rPr>
                <w:rFonts w:ascii="宋体" w:hAnsi="宋体" w:cs="宋体"/>
                <w:kern w:val="0"/>
                <w:sz w:val="24"/>
              </w:rPr>
              <w:t>BS</w:t>
            </w:r>
            <w:r>
              <w:rPr>
                <w:rFonts w:hint="eastAsia" w:ascii="宋体" w:hAnsi="宋体" w:cs="宋体"/>
                <w:kern w:val="0"/>
                <w:sz w:val="24"/>
              </w:rPr>
              <w:t>塑料或304不锈钢材质，耐穿刺，防遗撒、防渗漏，耐磨性高，易清洗，并含有排污口，可方便排污；</w:t>
            </w:r>
          </w:p>
          <w:p>
            <w:pPr>
              <w:spacing w:line="360" w:lineRule="auto"/>
              <w:jc w:val="left"/>
              <w:rPr>
                <w:rFonts w:ascii="宋体" w:hAnsi="宋体" w:cs="宋体"/>
                <w:kern w:val="0"/>
                <w:sz w:val="24"/>
              </w:rPr>
            </w:pPr>
            <w:r>
              <w:rPr>
                <w:rFonts w:hint="eastAsia" w:ascii="宋体" w:hAnsi="宋体" w:cs="宋体"/>
                <w:kern w:val="0"/>
                <w:sz w:val="24"/>
              </w:rPr>
              <w:t>外观：样品的外观应干净整洁、表面平整、无损伤</w:t>
            </w:r>
          </w:p>
          <w:p>
            <w:pPr>
              <w:spacing w:line="360" w:lineRule="auto"/>
              <w:jc w:val="left"/>
              <w:rPr>
                <w:rFonts w:ascii="宋体" w:hAnsi="宋体" w:cs="宋体"/>
                <w:kern w:val="0"/>
                <w:sz w:val="24"/>
              </w:rPr>
            </w:pPr>
            <w:r>
              <w:rPr>
                <w:rFonts w:hint="eastAsia" w:ascii="宋体" w:hAnsi="宋体" w:cs="宋体"/>
                <w:kern w:val="0"/>
                <w:sz w:val="24"/>
              </w:rPr>
              <w:t>开口方式：双开门；上开口（双门）；侧开口（双门）</w:t>
            </w:r>
          </w:p>
          <w:p>
            <w:pPr>
              <w:spacing w:line="360" w:lineRule="auto"/>
              <w:jc w:val="left"/>
              <w:rPr>
                <w:rFonts w:ascii="宋体" w:hAnsi="宋体" w:cs="宋体"/>
                <w:kern w:val="0"/>
                <w:sz w:val="24"/>
              </w:rPr>
            </w:pPr>
            <w:r>
              <w:rPr>
                <w:rFonts w:hint="eastAsia" w:ascii="宋体" w:hAnsi="宋体" w:cs="宋体"/>
                <w:kern w:val="0"/>
                <w:sz w:val="24"/>
              </w:rPr>
              <w:t>容积≥750L</w:t>
            </w:r>
          </w:p>
          <w:p>
            <w:pPr>
              <w:spacing w:line="360" w:lineRule="auto"/>
              <w:jc w:val="left"/>
              <w:rPr>
                <w:rFonts w:ascii="宋体" w:hAnsi="宋体" w:cs="宋体"/>
                <w:kern w:val="0"/>
                <w:sz w:val="24"/>
              </w:rPr>
            </w:pPr>
            <w:r>
              <w:rPr>
                <w:rFonts w:hint="eastAsia" w:ascii="宋体" w:hAnsi="宋体" w:cs="宋体"/>
                <w:kern w:val="0"/>
                <w:sz w:val="24"/>
              </w:rPr>
              <w:t>显示屏尺寸≥10.1寸</w:t>
            </w:r>
          </w:p>
          <w:p>
            <w:pPr>
              <w:spacing w:line="360" w:lineRule="auto"/>
              <w:jc w:val="left"/>
              <w:rPr>
                <w:rFonts w:ascii="宋体" w:hAnsi="宋体" w:cs="宋体"/>
                <w:kern w:val="0"/>
                <w:sz w:val="24"/>
              </w:rPr>
            </w:pPr>
            <w:r>
              <w:rPr>
                <w:rFonts w:hint="eastAsia" w:ascii="宋体" w:hAnsi="宋体" w:cs="宋体"/>
                <w:kern w:val="0"/>
                <w:sz w:val="24"/>
              </w:rPr>
              <w:t>★称重方式：智能化整车称重（需提供相关检测报告）</w:t>
            </w:r>
          </w:p>
          <w:p>
            <w:pPr>
              <w:spacing w:line="360" w:lineRule="auto"/>
              <w:jc w:val="left"/>
              <w:rPr>
                <w:rFonts w:ascii="宋体" w:hAnsi="宋体" w:cs="宋体"/>
                <w:kern w:val="0"/>
                <w:sz w:val="24"/>
              </w:rPr>
            </w:pPr>
            <w:r>
              <w:rPr>
                <w:rFonts w:hint="eastAsia" w:ascii="宋体" w:hAnsi="宋体" w:cs="宋体"/>
                <w:kern w:val="0"/>
                <w:sz w:val="24"/>
              </w:rPr>
              <w:t>设备载重≥500±10kg</w:t>
            </w:r>
          </w:p>
          <w:p>
            <w:pPr>
              <w:spacing w:line="360" w:lineRule="auto"/>
              <w:jc w:val="left"/>
              <w:rPr>
                <w:rFonts w:ascii="宋体" w:hAnsi="宋体" w:cs="宋体"/>
                <w:kern w:val="0"/>
                <w:sz w:val="24"/>
              </w:rPr>
            </w:pPr>
            <w:r>
              <w:rPr>
                <w:rFonts w:hint="eastAsia" w:ascii="宋体" w:hAnsi="宋体" w:cs="宋体"/>
                <w:kern w:val="0"/>
                <w:sz w:val="24"/>
              </w:rPr>
              <w:t>称重量程≥20g~500kg</w:t>
            </w:r>
          </w:p>
          <w:p>
            <w:pPr>
              <w:spacing w:line="360" w:lineRule="auto"/>
              <w:jc w:val="left"/>
              <w:rPr>
                <w:rFonts w:ascii="宋体" w:hAnsi="宋体" w:cs="宋体"/>
                <w:kern w:val="0"/>
                <w:sz w:val="24"/>
              </w:rPr>
            </w:pPr>
            <w:r>
              <w:rPr>
                <w:rFonts w:hint="eastAsia" w:ascii="宋体" w:hAnsi="宋体" w:cs="宋体"/>
                <w:kern w:val="0"/>
                <w:sz w:val="24"/>
              </w:rPr>
              <w:t>称重精度：单包医废1kg以上不低于2/1000</w:t>
            </w:r>
          </w:p>
          <w:p>
            <w:pPr>
              <w:spacing w:line="360" w:lineRule="auto"/>
              <w:jc w:val="left"/>
              <w:rPr>
                <w:rFonts w:ascii="宋体" w:hAnsi="宋体" w:cs="宋体"/>
                <w:kern w:val="0"/>
                <w:sz w:val="24"/>
              </w:rPr>
            </w:pPr>
            <w:r>
              <w:rPr>
                <w:rFonts w:hint="eastAsia" w:ascii="宋体" w:hAnsi="宋体" w:cs="宋体"/>
                <w:kern w:val="0"/>
                <w:sz w:val="24"/>
              </w:rPr>
              <w:t>负载爬坡：设备载重 200kg，坡度≤10度</w:t>
            </w:r>
          </w:p>
          <w:p>
            <w:pPr>
              <w:spacing w:line="360" w:lineRule="auto"/>
              <w:jc w:val="left"/>
              <w:rPr>
                <w:rFonts w:ascii="宋体" w:hAnsi="宋体" w:cs="宋体"/>
                <w:kern w:val="0"/>
                <w:sz w:val="24"/>
              </w:rPr>
            </w:pPr>
            <w:r>
              <w:rPr>
                <w:rFonts w:hint="eastAsia" w:ascii="宋体" w:hAnsi="宋体" w:cs="宋体"/>
                <w:kern w:val="0"/>
                <w:sz w:val="24"/>
              </w:rPr>
              <w:t>负载倾斜：设备载重200kg，左右倾斜≤10°，前后倾斜≤10°</w:t>
            </w:r>
          </w:p>
          <w:p>
            <w:pPr>
              <w:spacing w:line="360" w:lineRule="auto"/>
              <w:jc w:val="left"/>
              <w:rPr>
                <w:rFonts w:ascii="宋体" w:hAnsi="宋体" w:cs="宋体"/>
                <w:kern w:val="0"/>
                <w:sz w:val="24"/>
              </w:rPr>
            </w:pPr>
            <w:r>
              <w:rPr>
                <w:rFonts w:hint="eastAsia" w:ascii="宋体" w:hAnsi="宋体" w:cs="宋体"/>
                <w:kern w:val="0"/>
                <w:sz w:val="24"/>
              </w:rPr>
              <w:t>速度调节：支持行车速度、倒车速度（高、中、低）可调节</w:t>
            </w:r>
          </w:p>
          <w:p>
            <w:pPr>
              <w:spacing w:line="360" w:lineRule="auto"/>
              <w:jc w:val="left"/>
              <w:rPr>
                <w:rFonts w:ascii="宋体" w:hAnsi="宋体" w:cs="宋体"/>
                <w:kern w:val="0"/>
                <w:sz w:val="24"/>
              </w:rPr>
            </w:pPr>
            <w:r>
              <w:rPr>
                <w:rFonts w:hint="eastAsia" w:ascii="宋体" w:hAnsi="宋体" w:cs="宋体"/>
                <w:kern w:val="0"/>
                <w:sz w:val="24"/>
              </w:rPr>
              <w:t>续航：负载≥100kg，续航≥20km</w:t>
            </w:r>
          </w:p>
          <w:p>
            <w:pPr>
              <w:spacing w:line="360" w:lineRule="auto"/>
              <w:jc w:val="left"/>
              <w:rPr>
                <w:rFonts w:ascii="宋体" w:hAnsi="宋体" w:cs="宋体"/>
                <w:kern w:val="0"/>
                <w:sz w:val="24"/>
              </w:rPr>
            </w:pPr>
            <w:r>
              <w:rPr>
                <w:rFonts w:hint="eastAsia" w:ascii="宋体" w:hAnsi="宋体" w:cs="宋体"/>
                <w:kern w:val="0"/>
                <w:sz w:val="24"/>
              </w:rPr>
              <w:t>★通讯方式：4G/WIFI（需提供相关检测报告）</w:t>
            </w:r>
          </w:p>
          <w:p>
            <w:pPr>
              <w:spacing w:line="360" w:lineRule="auto"/>
              <w:jc w:val="left"/>
              <w:rPr>
                <w:rFonts w:ascii="宋体" w:hAnsi="宋体" w:cs="宋体"/>
                <w:kern w:val="0"/>
                <w:sz w:val="24"/>
              </w:rPr>
            </w:pPr>
            <w:r>
              <w:rPr>
                <w:rFonts w:hint="eastAsia" w:ascii="宋体" w:hAnsi="宋体" w:cs="宋体"/>
                <w:kern w:val="0"/>
                <w:sz w:val="24"/>
              </w:rPr>
              <w:t>★电动助力：支持转把启动，前进、后退可切换（需提供相关检测报告）</w:t>
            </w:r>
          </w:p>
          <w:p>
            <w:pPr>
              <w:spacing w:line="360" w:lineRule="auto"/>
              <w:jc w:val="left"/>
              <w:rPr>
                <w:rFonts w:ascii="宋体" w:hAnsi="宋体" w:cs="宋体"/>
                <w:kern w:val="0"/>
                <w:sz w:val="24"/>
              </w:rPr>
            </w:pPr>
            <w:r>
              <w:rPr>
                <w:rFonts w:hint="eastAsia" w:ascii="宋体" w:hAnsi="宋体" w:cs="宋体"/>
                <w:kern w:val="0"/>
                <w:sz w:val="24"/>
              </w:rPr>
              <w:t>电池：配置≥48V、20Ah铅酸电池</w:t>
            </w:r>
          </w:p>
          <w:p>
            <w:pPr>
              <w:spacing w:line="360" w:lineRule="auto"/>
              <w:jc w:val="left"/>
              <w:rPr>
                <w:rFonts w:ascii="宋体" w:hAnsi="宋体" w:cs="宋体"/>
                <w:kern w:val="0"/>
                <w:sz w:val="24"/>
              </w:rPr>
            </w:pPr>
            <w:r>
              <w:rPr>
                <w:rFonts w:hint="eastAsia" w:ascii="宋体" w:hAnsi="宋体" w:cs="宋体"/>
                <w:kern w:val="0"/>
                <w:sz w:val="24"/>
              </w:rPr>
              <w:t>推行按钮：支持电量不足时，释放电机手动开关，可切换手把推行键。</w:t>
            </w:r>
          </w:p>
          <w:p>
            <w:pPr>
              <w:spacing w:line="360" w:lineRule="auto"/>
              <w:jc w:val="left"/>
              <w:rPr>
                <w:rFonts w:ascii="宋体" w:hAnsi="宋体" w:cs="宋体"/>
                <w:kern w:val="0"/>
                <w:sz w:val="24"/>
              </w:rPr>
            </w:pPr>
            <w:r>
              <w:rPr>
                <w:rFonts w:hint="eastAsia" w:ascii="宋体" w:hAnsi="宋体" w:cs="宋体"/>
                <w:kern w:val="0"/>
                <w:sz w:val="24"/>
              </w:rPr>
              <w:t xml:space="preserve">行车视频：支持≥1200万像素，动态分辨率640*480； </w:t>
            </w:r>
          </w:p>
          <w:p>
            <w:pPr>
              <w:spacing w:line="360" w:lineRule="auto"/>
              <w:jc w:val="left"/>
              <w:rPr>
                <w:rFonts w:ascii="宋体" w:hAnsi="宋体" w:cs="宋体"/>
                <w:kern w:val="0"/>
                <w:sz w:val="24"/>
              </w:rPr>
            </w:pPr>
            <w:r>
              <w:rPr>
                <w:rFonts w:hint="eastAsia" w:ascii="宋体" w:hAnsi="宋体" w:cs="宋体"/>
                <w:kern w:val="0"/>
                <w:sz w:val="24"/>
              </w:rPr>
              <w:t>遇障报警：支持行车过程，距障碍物大于1.2m无报警，1.2m以内提醒，倒车过程中，语音提示；</w:t>
            </w:r>
          </w:p>
          <w:p>
            <w:pPr>
              <w:spacing w:line="360" w:lineRule="auto"/>
              <w:jc w:val="left"/>
              <w:rPr>
                <w:rFonts w:ascii="宋体" w:hAnsi="宋体" w:cs="宋体"/>
                <w:kern w:val="0"/>
                <w:sz w:val="24"/>
              </w:rPr>
            </w:pPr>
            <w:r>
              <w:rPr>
                <w:rFonts w:hint="eastAsia" w:ascii="宋体" w:hAnsi="宋体" w:cs="宋体"/>
                <w:kern w:val="0"/>
                <w:sz w:val="24"/>
              </w:rPr>
              <w:t>★无障碍操作：语音播报功能，收集过程全部语音提示，应具有收集人登录、交接人录入、医废收集、医废称重、医废入库、遇障报警语音提醒功能；（需提供相关检测报告）</w:t>
            </w:r>
          </w:p>
          <w:p>
            <w:pPr>
              <w:spacing w:line="360" w:lineRule="auto"/>
              <w:jc w:val="left"/>
              <w:rPr>
                <w:rFonts w:ascii="宋体" w:hAnsi="宋体" w:cs="宋体"/>
                <w:kern w:val="0"/>
                <w:sz w:val="24"/>
              </w:rPr>
            </w:pPr>
            <w:r>
              <w:rPr>
                <w:rFonts w:hint="eastAsia" w:ascii="宋体" w:hAnsi="宋体" w:cs="宋体"/>
                <w:kern w:val="0"/>
                <w:sz w:val="24"/>
              </w:rPr>
              <w:t>单包收集时间：平均收集时间不高于（2~4s）</w:t>
            </w:r>
          </w:p>
          <w:p>
            <w:pPr>
              <w:spacing w:line="360" w:lineRule="auto"/>
              <w:jc w:val="left"/>
              <w:rPr>
                <w:rFonts w:ascii="宋体" w:hAnsi="宋体" w:cs="宋体"/>
                <w:kern w:val="0"/>
                <w:sz w:val="24"/>
              </w:rPr>
            </w:pPr>
            <w:r>
              <w:rPr>
                <w:rFonts w:hint="eastAsia" w:ascii="宋体" w:hAnsi="宋体" w:cs="宋体"/>
                <w:kern w:val="0"/>
                <w:sz w:val="24"/>
              </w:rPr>
              <w:t>打印功能：支持热敏打印机；</w:t>
            </w:r>
          </w:p>
          <w:p>
            <w:pPr>
              <w:spacing w:line="360" w:lineRule="auto"/>
              <w:jc w:val="left"/>
              <w:rPr>
                <w:rFonts w:ascii="宋体" w:hAnsi="宋体" w:cs="宋体"/>
                <w:kern w:val="0"/>
                <w:sz w:val="24"/>
              </w:rPr>
            </w:pPr>
            <w:r>
              <w:rPr>
                <w:rFonts w:hint="eastAsia" w:ascii="宋体" w:hAnsi="宋体" w:cs="宋体"/>
                <w:kern w:val="0"/>
                <w:sz w:val="24"/>
              </w:rPr>
              <w:t>★低温负荷（车头部分）：支持在 (-10±2)°C条件下，接通电源持续2h，应能正常工作（需提供相关检测报告）</w:t>
            </w:r>
          </w:p>
          <w:p>
            <w:pPr>
              <w:spacing w:line="360" w:lineRule="auto"/>
              <w:jc w:val="left"/>
              <w:rPr>
                <w:rFonts w:ascii="宋体" w:hAnsi="宋体"/>
              </w:rPr>
            </w:pPr>
            <w:r>
              <w:rPr>
                <w:rFonts w:hint="eastAsia" w:ascii="宋体" w:hAnsi="宋体" w:cs="宋体"/>
                <w:kern w:val="0"/>
                <w:sz w:val="24"/>
              </w:rPr>
              <w:t>★高温负荷（车头部分）：支持在(45±2)℃条件下，接通电源持续 2h，应能正常工作（需提供相关检测报告）</w:t>
            </w:r>
          </w:p>
        </w:tc>
        <w:tc>
          <w:tcPr>
            <w:tcW w:w="902" w:type="dxa"/>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ascii="宋体" w:hAnsi="宋体" w:cs="宋体"/>
                <w:kern w:val="0"/>
                <w:sz w:val="24"/>
              </w:rPr>
            </w:pPr>
            <w:r>
              <w:rPr>
                <w:rFonts w:hint="eastAsia" w:ascii="宋体" w:hAnsi="宋体" w:cs="宋体"/>
                <w:kern w:val="0"/>
                <w:sz w:val="24"/>
              </w:rPr>
              <w:t>1辆</w:t>
            </w:r>
          </w:p>
        </w:tc>
      </w:tr>
    </w:tbl>
    <w:p>
      <w:pPr>
        <w:pStyle w:val="35"/>
        <w:ind w:firstLine="0"/>
        <w:rPr>
          <w:rFonts w:ascii="宋体" w:hAnsi="宋体"/>
          <w:color w:val="auto"/>
        </w:rPr>
      </w:pPr>
    </w:p>
    <w:p>
      <w:pPr>
        <w:widowControl/>
        <w:jc w:val="left"/>
        <w:rPr>
          <w:rFonts w:ascii="宋体" w:hAnsi="宋体"/>
          <w:b/>
          <w:bCs/>
          <w:sz w:val="24"/>
          <w:szCs w:val="28"/>
        </w:rPr>
      </w:pPr>
      <w:r>
        <w:rPr>
          <w:rFonts w:ascii="宋体" w:hAnsi="宋体"/>
          <w:b/>
          <w:bCs/>
          <w:szCs w:val="28"/>
        </w:rPr>
        <w:br w:type="page"/>
      </w:r>
    </w:p>
    <w:p>
      <w:pPr>
        <w:pStyle w:val="2"/>
        <w:spacing w:before="0" w:after="0" w:line="360" w:lineRule="auto"/>
        <w:rPr>
          <w:rFonts w:hAnsi="宋体" w:cs="宋体"/>
          <w:b w:val="0"/>
          <w:bCs/>
        </w:rPr>
      </w:pPr>
      <w:r>
        <w:rPr>
          <w:rFonts w:hint="eastAsia" w:hAnsi="宋体" w:cs="宋体"/>
          <w:bCs/>
        </w:rPr>
        <w:t>（2）软件技术规格要求</w:t>
      </w:r>
    </w:p>
    <w:tbl>
      <w:tblPr>
        <w:tblStyle w:val="89"/>
        <w:tblpPr w:leftFromText="180" w:rightFromText="180" w:vertAnchor="text" w:horzAnchor="page" w:tblpX="1830" w:tblpY="394"/>
        <w:tblOverlap w:val="never"/>
        <w:tblW w:w="89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0"/>
        <w:gridCol w:w="7315"/>
        <w:gridCol w:w="6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0" w:type="dxa"/>
            <w:vAlign w:val="center"/>
          </w:tcPr>
          <w:p>
            <w:pPr>
              <w:spacing w:line="360" w:lineRule="auto"/>
              <w:jc w:val="center"/>
              <w:rPr>
                <w:rFonts w:ascii="宋体" w:hAnsi="宋体" w:cs="宋体"/>
                <w:kern w:val="0"/>
                <w:sz w:val="24"/>
              </w:rPr>
            </w:pPr>
            <w:r>
              <w:rPr>
                <w:rFonts w:hint="eastAsia" w:ascii="宋体" w:hAnsi="宋体" w:cs="宋体"/>
                <w:b/>
                <w:bCs/>
                <w:sz w:val="24"/>
              </w:rPr>
              <w:t>名称</w:t>
            </w:r>
          </w:p>
        </w:tc>
        <w:tc>
          <w:tcPr>
            <w:tcW w:w="7315" w:type="dxa"/>
            <w:vAlign w:val="center"/>
          </w:tcPr>
          <w:p>
            <w:pPr>
              <w:spacing w:line="360" w:lineRule="auto"/>
              <w:jc w:val="center"/>
              <w:rPr>
                <w:rFonts w:ascii="宋体" w:hAnsi="宋体" w:cs="宋体"/>
                <w:sz w:val="24"/>
              </w:rPr>
            </w:pPr>
            <w:r>
              <w:rPr>
                <w:rFonts w:hint="eastAsia" w:ascii="宋体" w:hAnsi="宋体" w:cs="宋体"/>
                <w:b/>
                <w:bCs/>
                <w:sz w:val="24"/>
              </w:rPr>
              <w:t>技术规格要求</w:t>
            </w:r>
          </w:p>
        </w:tc>
        <w:tc>
          <w:tcPr>
            <w:tcW w:w="614" w:type="dxa"/>
            <w:vAlign w:val="center"/>
          </w:tcPr>
          <w:p>
            <w:pPr>
              <w:spacing w:line="360" w:lineRule="auto"/>
              <w:jc w:val="center"/>
              <w:rPr>
                <w:rFonts w:ascii="宋体" w:hAnsi="宋体" w:cs="宋体"/>
                <w:sz w:val="24"/>
              </w:rPr>
            </w:pPr>
            <w:r>
              <w:rPr>
                <w:rFonts w:hint="eastAsia" w:ascii="宋体" w:hAnsi="宋体" w:cs="宋体"/>
                <w:b/>
                <w:bCs/>
                <w:sz w:val="24"/>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0" w:type="dxa"/>
            <w:vAlign w:val="center"/>
          </w:tcPr>
          <w:p>
            <w:pPr>
              <w:spacing w:line="360" w:lineRule="auto"/>
              <w:jc w:val="center"/>
              <w:rPr>
                <w:rFonts w:ascii="宋体" w:hAnsi="宋体" w:cs="宋体"/>
                <w:szCs w:val="21"/>
              </w:rPr>
            </w:pPr>
            <w:r>
              <w:rPr>
                <w:rFonts w:hint="eastAsia" w:ascii="宋体" w:hAnsi="宋体" w:cs="宋体"/>
                <w:kern w:val="0"/>
                <w:sz w:val="24"/>
              </w:rPr>
              <w:t>医废追溯管理系统</w:t>
            </w:r>
          </w:p>
        </w:tc>
        <w:tc>
          <w:tcPr>
            <w:tcW w:w="7315" w:type="dxa"/>
            <w:vAlign w:val="center"/>
          </w:tcPr>
          <w:p>
            <w:pPr>
              <w:spacing w:line="360" w:lineRule="auto"/>
              <w:jc w:val="left"/>
              <w:rPr>
                <w:rFonts w:ascii="宋体" w:hAnsi="宋体" w:cs="宋体"/>
                <w:kern w:val="0"/>
                <w:sz w:val="24"/>
              </w:rPr>
            </w:pPr>
            <w:r>
              <w:rPr>
                <w:rFonts w:hint="eastAsia" w:ascii="宋体" w:hAnsi="宋体" w:cs="宋体"/>
                <w:kern w:val="0"/>
                <w:sz w:val="24"/>
              </w:rPr>
              <w:t>1</w:t>
            </w:r>
            <w:r>
              <w:rPr>
                <w:rFonts w:ascii="宋体" w:hAnsi="宋体" w:cs="宋体"/>
                <w:kern w:val="0"/>
                <w:sz w:val="24"/>
              </w:rPr>
              <w:t>.</w:t>
            </w:r>
            <w:r>
              <w:rPr>
                <w:rFonts w:hint="eastAsia" w:ascii="宋体" w:hAnsi="宋体" w:cs="宋体"/>
                <w:kern w:val="0"/>
                <w:sz w:val="24"/>
              </w:rPr>
              <w:t>首页应展示医院医废全过程处置的数据，按时间维度（今日、本周、本月、本年）图形化展示。显示当前接入科室数，统计医废收集重量、数量情况和当日实时预警条数信息。</w:t>
            </w:r>
          </w:p>
          <w:p>
            <w:pPr>
              <w:spacing w:line="360" w:lineRule="auto"/>
              <w:jc w:val="left"/>
              <w:rPr>
                <w:rFonts w:ascii="宋体" w:hAnsi="宋体" w:cs="宋体"/>
                <w:kern w:val="0"/>
                <w:sz w:val="24"/>
              </w:rPr>
            </w:pPr>
            <w:r>
              <w:rPr>
                <w:rFonts w:hint="eastAsia" w:ascii="宋体" w:hAnsi="宋体" w:cs="宋体"/>
                <w:kern w:val="0"/>
                <w:sz w:val="24"/>
              </w:rPr>
              <w:t>2</w:t>
            </w:r>
            <w:r>
              <w:rPr>
                <w:rFonts w:ascii="宋体" w:hAnsi="宋体" w:cs="宋体"/>
                <w:kern w:val="0"/>
                <w:sz w:val="24"/>
              </w:rPr>
              <w:t>.</w:t>
            </w:r>
            <w:r>
              <w:rPr>
                <w:rFonts w:hint="eastAsia" w:ascii="宋体" w:hAnsi="宋体" w:cs="宋体"/>
                <w:kern w:val="0"/>
                <w:sz w:val="24"/>
              </w:rPr>
              <w:t>公告通知：医疗机构接收、查看监管部门发布的公告通知。</w:t>
            </w:r>
          </w:p>
          <w:p>
            <w:pPr>
              <w:spacing w:line="360" w:lineRule="auto"/>
              <w:jc w:val="left"/>
              <w:rPr>
                <w:rFonts w:ascii="宋体" w:hAnsi="宋体" w:cs="宋体"/>
                <w:kern w:val="0"/>
                <w:sz w:val="24"/>
              </w:rPr>
            </w:pPr>
            <w:r>
              <w:rPr>
                <w:rFonts w:ascii="宋体" w:hAnsi="宋体" w:cs="宋体"/>
                <w:kern w:val="0"/>
                <w:sz w:val="24"/>
              </w:rPr>
              <w:t>3.</w:t>
            </w:r>
            <w:r>
              <w:rPr>
                <w:rFonts w:hint="eastAsia" w:ascii="宋体" w:hAnsi="宋体" w:cs="宋体"/>
                <w:kern w:val="0"/>
                <w:sz w:val="24"/>
              </w:rPr>
              <w:t>★信息上报：医疗机构接收监督下发的上报任务，填写信息上报。</w:t>
            </w:r>
          </w:p>
          <w:p>
            <w:pPr>
              <w:spacing w:line="360" w:lineRule="auto"/>
              <w:jc w:val="left"/>
              <w:rPr>
                <w:rFonts w:ascii="宋体" w:hAnsi="宋体" w:cs="宋体"/>
                <w:kern w:val="0"/>
                <w:sz w:val="24"/>
              </w:rPr>
            </w:pPr>
            <w:r>
              <w:rPr>
                <w:rFonts w:ascii="宋体" w:hAnsi="宋体" w:cs="宋体"/>
                <w:kern w:val="0"/>
                <w:sz w:val="24"/>
              </w:rPr>
              <w:t>4.</w:t>
            </w:r>
            <w:r>
              <w:rPr>
                <w:rFonts w:hint="eastAsia" w:ascii="宋体" w:hAnsi="宋体" w:cs="宋体"/>
                <w:kern w:val="0"/>
                <w:sz w:val="24"/>
              </w:rPr>
              <w:t>★违规整改：医疗机构接收监督下发的违规整改任务，填写相关整改内容、提交审核。</w:t>
            </w:r>
          </w:p>
          <w:p>
            <w:pPr>
              <w:spacing w:line="360" w:lineRule="auto"/>
              <w:jc w:val="left"/>
              <w:rPr>
                <w:rFonts w:ascii="宋体" w:hAnsi="宋体" w:cs="宋体"/>
                <w:kern w:val="0"/>
                <w:sz w:val="24"/>
              </w:rPr>
            </w:pPr>
            <w:r>
              <w:rPr>
                <w:rFonts w:ascii="宋体" w:hAnsi="宋体" w:cs="宋体"/>
                <w:kern w:val="0"/>
                <w:sz w:val="24"/>
              </w:rPr>
              <w:t>5.</w:t>
            </w:r>
            <w:r>
              <w:rPr>
                <w:rFonts w:hint="eastAsia" w:ascii="宋体" w:hAnsi="宋体" w:cs="宋体"/>
                <w:kern w:val="0"/>
                <w:sz w:val="24"/>
              </w:rPr>
              <w:t>★修改申请：医疗机构可针对异常数据与产废时限提交修改申请，监管审核。</w:t>
            </w:r>
          </w:p>
          <w:p>
            <w:pPr>
              <w:spacing w:line="360" w:lineRule="auto"/>
              <w:jc w:val="left"/>
              <w:rPr>
                <w:rFonts w:ascii="宋体" w:hAnsi="宋体" w:cs="宋体"/>
                <w:kern w:val="0"/>
                <w:sz w:val="24"/>
              </w:rPr>
            </w:pPr>
            <w:r>
              <w:rPr>
                <w:rFonts w:ascii="宋体" w:hAnsi="宋体" w:cs="宋体"/>
                <w:kern w:val="0"/>
                <w:sz w:val="24"/>
              </w:rPr>
              <w:t>6.</w:t>
            </w:r>
            <w:r>
              <w:rPr>
                <w:rFonts w:hint="eastAsia" w:ascii="宋体" w:hAnsi="宋体" w:cs="宋体"/>
                <w:kern w:val="0"/>
                <w:sz w:val="24"/>
              </w:rPr>
              <w:t>统计报表：涵盖医院内部的各类统计报表：</w:t>
            </w:r>
          </w:p>
          <w:p>
            <w:pPr>
              <w:spacing w:line="360" w:lineRule="auto"/>
              <w:jc w:val="left"/>
              <w:rPr>
                <w:rFonts w:ascii="宋体" w:hAnsi="宋体" w:cs="宋体"/>
                <w:kern w:val="0"/>
                <w:sz w:val="24"/>
              </w:rPr>
            </w:pPr>
            <w:r>
              <w:rPr>
                <w:rFonts w:ascii="宋体" w:hAnsi="宋体" w:cs="宋体"/>
                <w:kern w:val="0"/>
                <w:sz w:val="24"/>
              </w:rPr>
              <w:t>6.1.</w:t>
            </w:r>
            <w:r>
              <w:rPr>
                <w:rFonts w:hint="eastAsia" w:ascii="宋体" w:hAnsi="宋体" w:cs="宋体"/>
                <w:kern w:val="0"/>
                <w:sz w:val="24"/>
              </w:rPr>
              <w:t>可统计时间段内工作量报表、科室收集报表；</w:t>
            </w:r>
          </w:p>
          <w:p>
            <w:pPr>
              <w:spacing w:line="360" w:lineRule="auto"/>
              <w:jc w:val="left"/>
              <w:rPr>
                <w:rFonts w:ascii="宋体" w:hAnsi="宋体" w:cs="宋体"/>
                <w:kern w:val="0"/>
                <w:sz w:val="24"/>
              </w:rPr>
            </w:pPr>
            <w:r>
              <w:rPr>
                <w:rFonts w:ascii="宋体" w:hAnsi="宋体" w:cs="宋体"/>
                <w:kern w:val="0"/>
                <w:sz w:val="24"/>
              </w:rPr>
              <w:t>6.</w:t>
            </w:r>
            <w:r>
              <w:rPr>
                <w:rFonts w:hint="eastAsia" w:ascii="宋体" w:hAnsi="宋体" w:cs="宋体"/>
                <w:kern w:val="0"/>
                <w:sz w:val="24"/>
              </w:rPr>
              <w:t>2.可统计院内医废收集报表、院内医废出入库统计报表、预警统计报表，包含日、月、年、时间段多种统计维度；</w:t>
            </w:r>
          </w:p>
          <w:p>
            <w:pPr>
              <w:spacing w:line="360" w:lineRule="auto"/>
              <w:jc w:val="left"/>
              <w:rPr>
                <w:rFonts w:ascii="宋体" w:hAnsi="宋体" w:cs="宋体"/>
                <w:kern w:val="0"/>
                <w:sz w:val="24"/>
              </w:rPr>
            </w:pPr>
            <w:r>
              <w:rPr>
                <w:rFonts w:ascii="宋体" w:hAnsi="宋体" w:cs="宋体"/>
                <w:kern w:val="0"/>
                <w:sz w:val="24"/>
              </w:rPr>
              <w:t>6.</w:t>
            </w:r>
            <w:r>
              <w:rPr>
                <w:rFonts w:hint="eastAsia" w:ascii="宋体" w:hAnsi="宋体" w:cs="宋体"/>
                <w:kern w:val="0"/>
                <w:sz w:val="24"/>
              </w:rPr>
              <w:t>3.可统计分析院内医废收集趋势、预警趋势，包含日、月、年趋势，可展示为柱状图、折线图形式；</w:t>
            </w:r>
          </w:p>
          <w:p>
            <w:pPr>
              <w:spacing w:line="360" w:lineRule="auto"/>
              <w:jc w:val="left"/>
              <w:rPr>
                <w:rFonts w:ascii="宋体" w:hAnsi="宋体" w:cs="宋体"/>
                <w:kern w:val="0"/>
                <w:sz w:val="24"/>
              </w:rPr>
            </w:pPr>
            <w:r>
              <w:rPr>
                <w:rFonts w:ascii="宋体" w:hAnsi="宋体" w:cs="宋体"/>
                <w:kern w:val="0"/>
                <w:sz w:val="24"/>
              </w:rPr>
              <w:t>6.</w:t>
            </w:r>
            <w:r>
              <w:rPr>
                <w:rFonts w:hint="eastAsia" w:ascii="宋体" w:hAnsi="宋体" w:cs="宋体"/>
                <w:kern w:val="0"/>
                <w:sz w:val="24"/>
              </w:rPr>
              <w:t>4.各类统计表报可支持分院维度。</w:t>
            </w:r>
          </w:p>
          <w:p>
            <w:pPr>
              <w:spacing w:line="360" w:lineRule="auto"/>
              <w:jc w:val="left"/>
              <w:rPr>
                <w:rFonts w:ascii="宋体" w:hAnsi="宋体" w:cs="宋体"/>
                <w:kern w:val="0"/>
                <w:sz w:val="24"/>
              </w:rPr>
            </w:pPr>
            <w:r>
              <w:rPr>
                <w:rFonts w:ascii="宋体" w:hAnsi="宋体" w:cs="宋体"/>
                <w:kern w:val="0"/>
                <w:sz w:val="24"/>
              </w:rPr>
              <w:t>7.</w:t>
            </w:r>
            <w:r>
              <w:rPr>
                <w:rFonts w:hint="eastAsia" w:ascii="宋体" w:hAnsi="宋体" w:cs="宋体"/>
                <w:kern w:val="0"/>
                <w:sz w:val="24"/>
              </w:rPr>
              <w:t>★三级预警：应设有三级预警机制：分级推送实时预警、二级预警、三级预警。一级预警实时推送给医疗机构处理人，二级、三级预警每天定时推送给医疗机构负责人、监管部门，并可逐级审核处理。</w:t>
            </w:r>
          </w:p>
          <w:p>
            <w:pPr>
              <w:spacing w:line="360" w:lineRule="auto"/>
              <w:jc w:val="left"/>
              <w:rPr>
                <w:rFonts w:ascii="宋体" w:hAnsi="宋体" w:cs="宋体"/>
                <w:kern w:val="0"/>
                <w:sz w:val="24"/>
              </w:rPr>
            </w:pPr>
            <w:r>
              <w:rPr>
                <w:rFonts w:ascii="宋体" w:hAnsi="宋体" w:cs="宋体"/>
                <w:kern w:val="0"/>
                <w:sz w:val="24"/>
              </w:rPr>
              <w:t>8.</w:t>
            </w:r>
            <w:r>
              <w:rPr>
                <w:rFonts w:hint="eastAsia" w:ascii="宋体" w:hAnsi="宋体" w:cs="宋体"/>
                <w:kern w:val="0"/>
                <w:sz w:val="24"/>
              </w:rPr>
              <w:t>医废管理：系统可接收展示医疗机构内医疗废物收集、暂存、出库全过程数据信息，包含（医院、科室、医废类型、医废袋编码、医废数量、重量、收集人、交接人、出入库时间、数据录入等信息），支持多维度查询与数据导出。</w:t>
            </w:r>
          </w:p>
          <w:p>
            <w:pPr>
              <w:spacing w:line="360" w:lineRule="auto"/>
              <w:jc w:val="left"/>
              <w:rPr>
                <w:rFonts w:ascii="宋体" w:hAnsi="宋体" w:cs="宋体"/>
                <w:kern w:val="0"/>
                <w:sz w:val="24"/>
              </w:rPr>
            </w:pPr>
            <w:r>
              <w:rPr>
                <w:rFonts w:hint="eastAsia" w:ascii="宋体" w:hAnsi="宋体" w:cs="宋体"/>
                <w:kern w:val="0"/>
                <w:sz w:val="24"/>
              </w:rPr>
              <w:t>9</w:t>
            </w:r>
            <w:r>
              <w:rPr>
                <w:rFonts w:ascii="宋体" w:hAnsi="宋体" w:cs="宋体"/>
                <w:kern w:val="0"/>
                <w:sz w:val="24"/>
              </w:rPr>
              <w:t>.</w:t>
            </w:r>
            <w:r>
              <w:rPr>
                <w:rFonts w:hint="eastAsia" w:ascii="宋体" w:hAnsi="宋体" w:cs="宋体"/>
                <w:kern w:val="0"/>
                <w:sz w:val="24"/>
              </w:rPr>
              <w:t>电子回单：提供医疗机构医废交接电子回单，包含：科室、交接时间、批次号、废物类型、交接护士、收集人等信息。</w:t>
            </w:r>
          </w:p>
          <w:p>
            <w:pPr>
              <w:spacing w:line="360" w:lineRule="auto"/>
              <w:jc w:val="left"/>
              <w:rPr>
                <w:rFonts w:ascii="宋体" w:hAnsi="宋体" w:cs="宋体"/>
                <w:kern w:val="0"/>
                <w:sz w:val="24"/>
              </w:rPr>
            </w:pPr>
            <w:r>
              <w:rPr>
                <w:rFonts w:hint="eastAsia" w:ascii="宋体" w:hAnsi="宋体" w:cs="宋体"/>
                <w:kern w:val="0"/>
                <w:sz w:val="24"/>
              </w:rPr>
              <w:t>1</w:t>
            </w:r>
            <w:r>
              <w:rPr>
                <w:rFonts w:ascii="宋体" w:hAnsi="宋体" w:cs="宋体"/>
                <w:kern w:val="0"/>
                <w:sz w:val="24"/>
              </w:rPr>
              <w:t>0</w:t>
            </w:r>
            <w:r>
              <w:rPr>
                <w:rFonts w:hint="eastAsia" w:ascii="宋体" w:hAnsi="宋体" w:cs="宋体"/>
                <w:kern w:val="0"/>
                <w:sz w:val="24"/>
              </w:rPr>
              <w:t>转运三联单：支持医疗机构医废出库转运时，与转运公司的交接单据管理，查看、导出。</w:t>
            </w:r>
          </w:p>
          <w:p>
            <w:pPr>
              <w:spacing w:line="360" w:lineRule="auto"/>
              <w:jc w:val="left"/>
              <w:rPr>
                <w:rFonts w:ascii="宋体" w:hAnsi="宋体" w:cs="宋体"/>
                <w:kern w:val="0"/>
                <w:sz w:val="24"/>
              </w:rPr>
            </w:pPr>
            <w:r>
              <w:rPr>
                <w:rFonts w:hint="eastAsia" w:ascii="宋体" w:hAnsi="宋体" w:cs="宋体"/>
                <w:kern w:val="0"/>
                <w:sz w:val="24"/>
              </w:rPr>
              <w:t>1</w:t>
            </w:r>
            <w:r>
              <w:rPr>
                <w:rFonts w:ascii="宋体" w:hAnsi="宋体" w:cs="宋体"/>
                <w:kern w:val="0"/>
                <w:sz w:val="24"/>
              </w:rPr>
              <w:t>1.</w:t>
            </w:r>
            <w:r>
              <w:rPr>
                <w:rFonts w:hint="eastAsia" w:ascii="宋体" w:hAnsi="宋体" w:cs="宋体"/>
                <w:kern w:val="0"/>
                <w:sz w:val="24"/>
              </w:rPr>
              <w:t>★视频监控：可进行监测点配置、医废监测点监控查看。</w:t>
            </w:r>
          </w:p>
          <w:p>
            <w:pPr>
              <w:spacing w:line="360" w:lineRule="auto"/>
              <w:jc w:val="left"/>
              <w:rPr>
                <w:rFonts w:ascii="宋体" w:hAnsi="宋体" w:cs="宋体"/>
                <w:kern w:val="0"/>
                <w:sz w:val="24"/>
              </w:rPr>
            </w:pPr>
            <w:r>
              <w:rPr>
                <w:rFonts w:hint="eastAsia" w:ascii="宋体" w:hAnsi="宋体" w:cs="宋体"/>
                <w:kern w:val="0"/>
                <w:sz w:val="24"/>
              </w:rPr>
              <w:t>1</w:t>
            </w:r>
            <w:r>
              <w:rPr>
                <w:rFonts w:ascii="宋体" w:hAnsi="宋体" w:cs="宋体"/>
                <w:kern w:val="0"/>
                <w:sz w:val="24"/>
              </w:rPr>
              <w:t>2.</w:t>
            </w:r>
            <w:r>
              <w:rPr>
                <w:rFonts w:hint="eastAsia" w:ascii="宋体" w:hAnsi="宋体" w:cs="宋体"/>
                <w:kern w:val="0"/>
                <w:sz w:val="24"/>
              </w:rPr>
              <w:t>★收集轨迹：系统可对医废收集车辆收集路线进行监控：支持对医废车辆的实时轨迹和历史轨迹查看。并支持APP绑定和后台配置。</w:t>
            </w:r>
          </w:p>
          <w:p>
            <w:pPr>
              <w:spacing w:line="360" w:lineRule="auto"/>
              <w:jc w:val="left"/>
              <w:rPr>
                <w:rFonts w:ascii="宋体" w:hAnsi="宋体" w:cs="宋体"/>
                <w:kern w:val="0"/>
                <w:sz w:val="24"/>
              </w:rPr>
            </w:pPr>
            <w:r>
              <w:rPr>
                <w:rFonts w:hint="eastAsia" w:ascii="宋体" w:hAnsi="宋体" w:cs="宋体"/>
                <w:kern w:val="0"/>
                <w:sz w:val="24"/>
              </w:rPr>
              <w:t>1</w:t>
            </w:r>
            <w:r>
              <w:rPr>
                <w:rFonts w:ascii="宋体" w:hAnsi="宋体" w:cs="宋体"/>
                <w:kern w:val="0"/>
                <w:sz w:val="24"/>
              </w:rPr>
              <w:t>3.</w:t>
            </w:r>
            <w:r>
              <w:rPr>
                <w:rFonts w:hint="eastAsia" w:ascii="宋体" w:hAnsi="宋体" w:cs="宋体"/>
                <w:kern w:val="0"/>
                <w:sz w:val="24"/>
              </w:rPr>
              <w:t>医废补录：因设备故障等异常情况造成医废数据无法上传时，可对数据进行补录，支持补录审核功能。</w:t>
            </w:r>
          </w:p>
          <w:p>
            <w:pPr>
              <w:spacing w:line="360" w:lineRule="auto"/>
              <w:jc w:val="left"/>
              <w:rPr>
                <w:rFonts w:ascii="宋体" w:hAnsi="宋体" w:cs="宋体"/>
                <w:kern w:val="0"/>
                <w:sz w:val="24"/>
              </w:rPr>
            </w:pPr>
            <w:r>
              <w:rPr>
                <w:rFonts w:ascii="宋体" w:hAnsi="宋体" w:cs="宋体"/>
                <w:kern w:val="0"/>
                <w:sz w:val="24"/>
              </w:rPr>
              <w:t>14</w:t>
            </w:r>
            <w:r>
              <w:rPr>
                <w:rFonts w:hint="eastAsia" w:ascii="宋体" w:hAnsi="宋体" w:cs="宋体"/>
                <w:kern w:val="0"/>
                <w:sz w:val="24"/>
              </w:rPr>
              <w:t>.★胎盘统计、输液瓶/袋统计：系统可查看胎盘、输液瓶/袋的收集统计数据，多种图形展示支持导出。</w:t>
            </w:r>
          </w:p>
          <w:p>
            <w:pPr>
              <w:spacing w:line="360" w:lineRule="auto"/>
              <w:jc w:val="left"/>
              <w:rPr>
                <w:rFonts w:ascii="宋体" w:hAnsi="宋体" w:cs="宋体"/>
                <w:kern w:val="0"/>
                <w:sz w:val="24"/>
              </w:rPr>
            </w:pPr>
            <w:r>
              <w:rPr>
                <w:rFonts w:hint="eastAsia" w:ascii="宋体" w:hAnsi="宋体" w:cs="宋体"/>
                <w:kern w:val="0"/>
                <w:sz w:val="24"/>
              </w:rPr>
              <w:t>1</w:t>
            </w:r>
            <w:r>
              <w:rPr>
                <w:rFonts w:ascii="宋体" w:hAnsi="宋体" w:cs="宋体"/>
                <w:kern w:val="0"/>
                <w:sz w:val="24"/>
              </w:rPr>
              <w:t>5.</w:t>
            </w:r>
            <w:r>
              <w:rPr>
                <w:rFonts w:hint="eastAsia" w:ascii="宋体" w:hAnsi="宋体" w:cs="宋体"/>
                <w:kern w:val="0"/>
                <w:sz w:val="24"/>
              </w:rPr>
              <w:t>基础配置：</w:t>
            </w:r>
          </w:p>
          <w:p>
            <w:pPr>
              <w:spacing w:line="360" w:lineRule="auto"/>
              <w:jc w:val="left"/>
              <w:rPr>
                <w:rFonts w:ascii="宋体" w:hAnsi="宋体" w:cs="宋体"/>
                <w:kern w:val="0"/>
                <w:sz w:val="24"/>
              </w:rPr>
            </w:pPr>
            <w:r>
              <w:rPr>
                <w:rFonts w:ascii="宋体" w:hAnsi="宋体" w:cs="宋体"/>
                <w:kern w:val="0"/>
                <w:sz w:val="24"/>
              </w:rPr>
              <w:t>15.</w:t>
            </w:r>
            <w:r>
              <w:rPr>
                <w:rFonts w:hint="eastAsia" w:ascii="宋体" w:hAnsi="宋体" w:cs="宋体"/>
                <w:kern w:val="0"/>
                <w:sz w:val="24"/>
              </w:rPr>
              <w:t>1.机构人员管理：可添加维护科室与交接人员信息、绑定转运公司；</w:t>
            </w:r>
          </w:p>
          <w:p>
            <w:pPr>
              <w:spacing w:line="360" w:lineRule="auto"/>
              <w:jc w:val="left"/>
              <w:rPr>
                <w:rFonts w:ascii="宋体" w:hAnsi="宋体" w:cs="宋体"/>
                <w:kern w:val="0"/>
                <w:sz w:val="24"/>
              </w:rPr>
            </w:pPr>
            <w:r>
              <w:rPr>
                <w:rFonts w:ascii="宋体" w:hAnsi="宋体" w:cs="宋体"/>
                <w:kern w:val="0"/>
                <w:sz w:val="24"/>
              </w:rPr>
              <w:t>15.</w:t>
            </w:r>
            <w:r>
              <w:rPr>
                <w:rFonts w:hint="eastAsia" w:ascii="宋体" w:hAnsi="宋体" w:cs="宋体"/>
                <w:kern w:val="0"/>
                <w:sz w:val="24"/>
              </w:rPr>
              <w:t>2.设备管理：可添加维护机构内医废设备信息。</w:t>
            </w:r>
          </w:p>
          <w:p>
            <w:pPr>
              <w:spacing w:line="360" w:lineRule="auto"/>
              <w:jc w:val="left"/>
              <w:rPr>
                <w:rFonts w:ascii="宋体" w:hAnsi="宋体" w:cs="宋体"/>
                <w:kern w:val="0"/>
                <w:sz w:val="24"/>
              </w:rPr>
            </w:pPr>
            <w:r>
              <w:rPr>
                <w:rFonts w:ascii="宋体" w:hAnsi="宋体" w:cs="宋体"/>
                <w:kern w:val="0"/>
                <w:sz w:val="24"/>
              </w:rPr>
              <w:t>15.</w:t>
            </w:r>
            <w:r>
              <w:rPr>
                <w:rFonts w:hint="eastAsia" w:ascii="宋体" w:hAnsi="宋体" w:cs="宋体"/>
                <w:kern w:val="0"/>
                <w:sz w:val="24"/>
              </w:rPr>
              <w:t>3.用户权限管理：可进行用户添加、角色权限配置等操作。</w:t>
            </w:r>
          </w:p>
          <w:p>
            <w:pPr>
              <w:spacing w:line="360" w:lineRule="auto"/>
              <w:jc w:val="left"/>
            </w:pPr>
            <w:r>
              <w:rPr>
                <w:rFonts w:hint="eastAsia" w:ascii="宋体" w:hAnsi="宋体" w:cs="宋体"/>
                <w:kern w:val="0"/>
                <w:sz w:val="24"/>
              </w:rPr>
              <w:t>1</w:t>
            </w:r>
            <w:r>
              <w:rPr>
                <w:rFonts w:ascii="宋体" w:hAnsi="宋体" w:cs="宋体"/>
                <w:kern w:val="0"/>
                <w:sz w:val="24"/>
              </w:rPr>
              <w:t>6.</w:t>
            </w:r>
            <w:r>
              <w:rPr>
                <w:rFonts w:hint="eastAsia" w:ascii="宋体" w:hAnsi="宋体" w:cs="宋体"/>
                <w:kern w:val="0"/>
                <w:sz w:val="24"/>
              </w:rPr>
              <w:t>智能卫生医废处理APP或小程序：支持ios和安卓</w:t>
            </w:r>
          </w:p>
        </w:tc>
        <w:tc>
          <w:tcPr>
            <w:tcW w:w="614" w:type="dxa"/>
            <w:vAlign w:val="center"/>
          </w:tcPr>
          <w:p>
            <w:pPr>
              <w:spacing w:line="360" w:lineRule="auto"/>
              <w:jc w:val="center"/>
              <w:rPr>
                <w:rFonts w:ascii="宋体" w:hAnsi="宋体" w:cs="宋体"/>
                <w:sz w:val="24"/>
              </w:rPr>
            </w:pPr>
            <w:r>
              <w:rPr>
                <w:rFonts w:hint="eastAsia" w:ascii="宋体" w:hAnsi="宋体" w:cs="宋体"/>
                <w:sz w:val="24"/>
              </w:rPr>
              <w:t>1套</w:t>
            </w:r>
          </w:p>
        </w:tc>
      </w:tr>
    </w:tbl>
    <w:p>
      <w:pPr>
        <w:spacing w:line="360" w:lineRule="auto"/>
        <w:rPr>
          <w:rFonts w:ascii="宋体" w:hAnsi="宋体"/>
        </w:rPr>
      </w:pPr>
    </w:p>
    <w:p>
      <w:pPr>
        <w:pStyle w:val="5"/>
        <w:numPr>
          <w:ilvl w:val="0"/>
          <w:numId w:val="11"/>
        </w:numPr>
        <w:spacing w:line="360" w:lineRule="auto"/>
        <w:rPr>
          <w:rFonts w:ascii="宋体" w:hAnsi="宋体" w:eastAsia="宋体"/>
          <w:bCs/>
          <w:sz w:val="24"/>
          <w:szCs w:val="28"/>
        </w:rPr>
      </w:pPr>
      <w:r>
        <w:rPr>
          <w:rFonts w:hint="eastAsia" w:ascii="宋体" w:hAnsi="宋体" w:eastAsia="宋体"/>
          <w:bCs/>
          <w:sz w:val="24"/>
          <w:szCs w:val="28"/>
        </w:rPr>
        <w:t>医疗机构消杀灭菌效果在线监测系统</w:t>
      </w:r>
    </w:p>
    <w:p>
      <w:pPr>
        <w:pStyle w:val="2"/>
        <w:spacing w:before="0" w:after="0" w:line="360" w:lineRule="auto"/>
        <w:rPr>
          <w:rFonts w:hAnsi="宋体" w:cs="宋体"/>
          <w:b w:val="0"/>
          <w:bCs/>
          <w:sz w:val="24"/>
        </w:rPr>
      </w:pPr>
      <w:r>
        <w:rPr>
          <w:rFonts w:hAnsi="宋体" w:cs="宋体"/>
          <w:b w:val="0"/>
          <w:bCs/>
          <w:sz w:val="24"/>
        </w:rPr>
        <w:t>（</w:t>
      </w:r>
      <w:r>
        <w:rPr>
          <w:rFonts w:hint="eastAsia" w:hAnsi="宋体" w:cs="宋体"/>
          <w:b w:val="0"/>
          <w:bCs/>
          <w:sz w:val="24"/>
        </w:rPr>
        <w:t>1</w:t>
      </w:r>
      <w:r>
        <w:rPr>
          <w:rFonts w:hAnsi="宋体" w:cs="宋体"/>
          <w:b w:val="0"/>
          <w:bCs/>
          <w:sz w:val="24"/>
        </w:rPr>
        <w:t>）</w:t>
      </w:r>
      <w:r>
        <w:rPr>
          <w:rFonts w:hint="eastAsia" w:hAnsi="宋体" w:cs="宋体"/>
          <w:bCs/>
          <w:sz w:val="24"/>
        </w:rPr>
        <w:t>硬件技术规格要求</w:t>
      </w:r>
    </w:p>
    <w:tbl>
      <w:tblPr>
        <w:tblStyle w:val="88"/>
        <w:tblW w:w="9404"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36"/>
        <w:gridCol w:w="6206"/>
        <w:gridCol w:w="10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b/>
                <w:bCs/>
                <w:sz w:val="24"/>
              </w:rPr>
            </w:pPr>
            <w:r>
              <w:rPr>
                <w:rFonts w:hint="eastAsia" w:ascii="宋体" w:hAnsi="宋体" w:cs="宋体"/>
                <w:b/>
                <w:bCs/>
                <w:sz w:val="24"/>
              </w:rPr>
              <w:t>名称</w:t>
            </w:r>
          </w:p>
        </w:tc>
        <w:tc>
          <w:tcPr>
            <w:tcW w:w="620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b/>
                <w:bCs/>
                <w:sz w:val="24"/>
              </w:rPr>
            </w:pPr>
            <w:r>
              <w:rPr>
                <w:rFonts w:hint="eastAsia" w:ascii="宋体" w:hAnsi="宋体" w:cs="宋体"/>
                <w:b/>
                <w:bCs/>
                <w:sz w:val="24"/>
              </w:rPr>
              <w:t>技术规格要求</w:t>
            </w:r>
          </w:p>
        </w:tc>
        <w:tc>
          <w:tcPr>
            <w:tcW w:w="106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b/>
                <w:bCs/>
                <w:sz w:val="24"/>
              </w:rPr>
            </w:pPr>
            <w:r>
              <w:rPr>
                <w:rFonts w:hint="eastAsia" w:ascii="宋体" w:hAnsi="宋体" w:cs="宋体"/>
                <w:b/>
                <w:bCs/>
                <w:sz w:val="24"/>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86" w:hRule="atLeast"/>
        </w:trPr>
        <w:tc>
          <w:tcPr>
            <w:tcW w:w="213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sz w:val="24"/>
                <w:szCs w:val="32"/>
                <w:lang w:eastAsia="zh-Hans"/>
              </w:rPr>
            </w:pPr>
            <w:r>
              <w:rPr>
                <w:rFonts w:hint="eastAsia" w:ascii="宋体" w:hAnsi="宋体" w:cs="宋体"/>
                <w:sz w:val="24"/>
                <w:szCs w:val="32"/>
              </w:rPr>
              <w:t>温度记录仪</w:t>
            </w:r>
          </w:p>
        </w:tc>
        <w:tc>
          <w:tcPr>
            <w:tcW w:w="6206" w:type="dxa"/>
            <w:tcBorders>
              <w:top w:val="single" w:color="auto" w:sz="4" w:space="0"/>
              <w:left w:val="single" w:color="auto" w:sz="4" w:space="0"/>
              <w:bottom w:val="single" w:color="auto" w:sz="4" w:space="0"/>
              <w:right w:val="single" w:color="auto" w:sz="4" w:space="0"/>
            </w:tcBorders>
            <w:vAlign w:val="center"/>
          </w:tcPr>
          <w:p>
            <w:pPr>
              <w:numPr>
                <w:ilvl w:val="0"/>
                <w:numId w:val="12"/>
              </w:numPr>
              <w:spacing w:line="360" w:lineRule="auto"/>
              <w:jc w:val="left"/>
              <w:rPr>
                <w:rFonts w:ascii="宋体" w:hAnsi="宋体" w:cs="宋体"/>
                <w:bCs/>
                <w:kern w:val="0"/>
                <w:sz w:val="24"/>
                <w:lang w:bidi="ar"/>
              </w:rPr>
            </w:pPr>
            <w:r>
              <w:rPr>
                <w:rFonts w:hint="eastAsia" w:ascii="宋体" w:hAnsi="宋体" w:cs="宋体"/>
                <w:bCs/>
                <w:kern w:val="0"/>
                <w:szCs w:val="21"/>
                <w:lang w:bidi="ar"/>
              </w:rPr>
              <w:t>★</w:t>
            </w:r>
            <w:r>
              <w:rPr>
                <w:rFonts w:hint="eastAsia" w:ascii="宋体" w:hAnsi="宋体" w:cs="宋体"/>
                <w:bCs/>
                <w:kern w:val="0"/>
                <w:sz w:val="24"/>
                <w:lang w:bidi="ar"/>
              </w:rPr>
              <w:t>材料：外壳和探针采用316不锈钢或聚醚醚酮等材质，重量≤180g</w:t>
            </w:r>
          </w:p>
          <w:p>
            <w:pPr>
              <w:numPr>
                <w:ilvl w:val="0"/>
                <w:numId w:val="12"/>
              </w:numPr>
              <w:spacing w:line="360" w:lineRule="auto"/>
              <w:jc w:val="left"/>
              <w:rPr>
                <w:rFonts w:ascii="宋体" w:hAnsi="宋体" w:cs="宋体"/>
                <w:sz w:val="24"/>
                <w:szCs w:val="32"/>
                <w:lang w:eastAsia="zh-Hans"/>
              </w:rPr>
            </w:pPr>
            <w:r>
              <w:rPr>
                <w:rFonts w:hint="eastAsia" w:ascii="宋体" w:hAnsi="宋体" w:cs="宋体"/>
                <w:sz w:val="24"/>
                <w:szCs w:val="32"/>
                <w:lang w:eastAsia="zh-Hans"/>
              </w:rPr>
              <w:t>温度测量范围：</w:t>
            </w:r>
            <w:r>
              <w:rPr>
                <w:rFonts w:hint="eastAsia" w:ascii="宋体" w:hAnsi="宋体" w:cs="宋体"/>
                <w:color w:val="FF0000"/>
                <w:sz w:val="24"/>
                <w:szCs w:val="32"/>
                <w:lang w:val="en-US" w:eastAsia="zh-CN"/>
              </w:rPr>
              <w:t>-4</w:t>
            </w:r>
            <w:r>
              <w:rPr>
                <w:rFonts w:hint="eastAsia" w:ascii="宋体" w:hAnsi="宋体" w:cs="宋体"/>
                <w:color w:val="FF0000"/>
                <w:sz w:val="24"/>
                <w:szCs w:val="32"/>
                <w:lang w:eastAsia="zh-Hans"/>
              </w:rPr>
              <w:t>0℃</w:t>
            </w:r>
            <w:r>
              <w:rPr>
                <w:rFonts w:hint="eastAsia" w:ascii="宋体" w:hAnsi="宋体" w:cs="宋体"/>
                <w:sz w:val="24"/>
                <w:szCs w:val="32"/>
                <w:lang w:eastAsia="zh-Hans"/>
              </w:rPr>
              <w:t>~+150℃</w:t>
            </w:r>
          </w:p>
          <w:p>
            <w:pPr>
              <w:numPr>
                <w:ilvl w:val="0"/>
                <w:numId w:val="12"/>
              </w:numPr>
              <w:spacing w:line="360" w:lineRule="auto"/>
              <w:jc w:val="left"/>
              <w:rPr>
                <w:rFonts w:ascii="宋体" w:hAnsi="宋体" w:cs="宋体"/>
                <w:sz w:val="24"/>
                <w:szCs w:val="32"/>
                <w:lang w:eastAsia="zh-Hans"/>
              </w:rPr>
            </w:pPr>
            <w:r>
              <w:rPr>
                <w:rFonts w:hint="eastAsia" w:ascii="宋体" w:hAnsi="宋体" w:cs="宋体"/>
                <w:sz w:val="24"/>
                <w:szCs w:val="32"/>
                <w:lang w:eastAsia="zh-Hans"/>
              </w:rPr>
              <w:t>温度显示分辨率：0.005℃（提供计量校准证书）</w:t>
            </w:r>
          </w:p>
          <w:p>
            <w:pPr>
              <w:numPr>
                <w:ilvl w:val="0"/>
                <w:numId w:val="12"/>
              </w:numPr>
              <w:spacing w:line="360" w:lineRule="auto"/>
              <w:jc w:val="left"/>
              <w:rPr>
                <w:rFonts w:ascii="宋体" w:hAnsi="宋体" w:cs="宋体"/>
                <w:sz w:val="24"/>
                <w:szCs w:val="32"/>
                <w:lang w:eastAsia="zh-Hans"/>
              </w:rPr>
            </w:pPr>
            <w:r>
              <w:rPr>
                <w:rFonts w:hint="eastAsia" w:ascii="宋体" w:hAnsi="宋体" w:cs="宋体"/>
                <w:sz w:val="24"/>
                <w:szCs w:val="32"/>
                <w:lang w:eastAsia="zh-Hans"/>
              </w:rPr>
              <w:t>温度测量精度：优于±0.1℃</w:t>
            </w:r>
          </w:p>
          <w:p>
            <w:pPr>
              <w:numPr>
                <w:ilvl w:val="0"/>
                <w:numId w:val="12"/>
              </w:numPr>
              <w:spacing w:line="360" w:lineRule="auto"/>
              <w:jc w:val="left"/>
              <w:rPr>
                <w:rFonts w:ascii="宋体" w:hAnsi="宋体" w:cs="宋体"/>
                <w:sz w:val="24"/>
                <w:szCs w:val="32"/>
                <w:lang w:eastAsia="zh-Hans"/>
              </w:rPr>
            </w:pPr>
            <w:r>
              <w:rPr>
                <w:rFonts w:hint="eastAsia" w:ascii="宋体" w:hAnsi="宋体" w:cs="宋体"/>
                <w:sz w:val="24"/>
                <w:szCs w:val="32"/>
                <w:lang w:eastAsia="zh-Hans"/>
              </w:rPr>
              <w:t>温度不确定度：在134℃时优于0.05℃。（提供计量校准证书）</w:t>
            </w:r>
          </w:p>
          <w:p>
            <w:pPr>
              <w:numPr>
                <w:ilvl w:val="0"/>
                <w:numId w:val="12"/>
              </w:numPr>
              <w:spacing w:line="360" w:lineRule="auto"/>
              <w:jc w:val="left"/>
              <w:rPr>
                <w:rFonts w:ascii="宋体" w:hAnsi="宋体" w:cs="宋体"/>
                <w:sz w:val="24"/>
                <w:szCs w:val="32"/>
                <w:lang w:eastAsia="zh-Hans"/>
              </w:rPr>
            </w:pPr>
            <w:r>
              <w:rPr>
                <w:rFonts w:hint="eastAsia" w:ascii="宋体" w:hAnsi="宋体" w:cs="宋体"/>
                <w:sz w:val="24"/>
                <w:szCs w:val="32"/>
                <w:lang w:eastAsia="zh-Hans"/>
              </w:rPr>
              <w:t>数据采集频率：0.25秒~24小时可调，必要时可设置成每次间隔1s/次，在线监测温度指标应至少每10s获得一个监测值。</w:t>
            </w:r>
          </w:p>
          <w:p>
            <w:pPr>
              <w:numPr>
                <w:ilvl w:val="0"/>
                <w:numId w:val="12"/>
              </w:numPr>
              <w:spacing w:line="360" w:lineRule="auto"/>
              <w:jc w:val="left"/>
              <w:rPr>
                <w:rFonts w:ascii="宋体" w:hAnsi="宋体" w:cs="宋体"/>
                <w:sz w:val="24"/>
                <w:szCs w:val="32"/>
                <w:lang w:eastAsia="zh-Hans"/>
              </w:rPr>
            </w:pPr>
            <w:r>
              <w:rPr>
                <w:rFonts w:hint="eastAsia" w:ascii="宋体" w:hAnsi="宋体" w:cs="宋体"/>
                <w:sz w:val="24"/>
                <w:szCs w:val="32"/>
                <w:lang w:eastAsia="zh-Hans"/>
              </w:rPr>
              <w:t>温度记录仪支持网络传输，可通过消毒灭菌监测系统将每一批次灭菌过程的参数上传到数据库，由系统分析软件自动判别灭菌程序的有效性，并通过客户端软件展示监测结果。</w:t>
            </w:r>
          </w:p>
          <w:p>
            <w:pPr>
              <w:numPr>
                <w:ilvl w:val="0"/>
                <w:numId w:val="12"/>
              </w:numPr>
              <w:spacing w:line="360" w:lineRule="auto"/>
              <w:jc w:val="left"/>
              <w:rPr>
                <w:rFonts w:ascii="宋体" w:hAnsi="宋体" w:cs="宋体"/>
                <w:sz w:val="24"/>
                <w:szCs w:val="32"/>
                <w:lang w:eastAsia="zh-Hans"/>
              </w:rPr>
            </w:pPr>
            <w:r>
              <w:rPr>
                <w:rFonts w:hint="eastAsia" w:ascii="宋体" w:hAnsi="宋体" w:cs="宋体"/>
                <w:sz w:val="24"/>
                <w:szCs w:val="32"/>
                <w:lang w:eastAsia="zh-Hans"/>
              </w:rPr>
              <w:t>★温度记录仪必须取得《计量校准证书》，且计量校准证书在有效期内。（提供计量校准证书）</w:t>
            </w:r>
          </w:p>
          <w:p>
            <w:pPr>
              <w:numPr>
                <w:ilvl w:val="0"/>
                <w:numId w:val="12"/>
              </w:numPr>
              <w:spacing w:line="360" w:lineRule="auto"/>
              <w:jc w:val="left"/>
              <w:rPr>
                <w:rFonts w:ascii="宋体" w:hAnsi="宋体" w:cs="宋体"/>
                <w:sz w:val="24"/>
                <w:szCs w:val="32"/>
                <w:lang w:eastAsia="zh-Hans"/>
              </w:rPr>
            </w:pPr>
            <w:r>
              <w:rPr>
                <w:rFonts w:hint="eastAsia" w:ascii="宋体" w:hAnsi="宋体" w:cs="宋体"/>
                <w:sz w:val="24"/>
                <w:szCs w:val="32"/>
                <w:lang w:eastAsia="zh-Hans"/>
              </w:rPr>
              <w:t>温度记录仪需使用耐高温高压电池，电池耐温范围-40～150℃，应可更换或可充电，最高工作温度不低于 150℃，正常使用情况下，每更换之后，电池使用次数不低于 300 次。</w:t>
            </w:r>
          </w:p>
          <w:p>
            <w:pPr>
              <w:numPr>
                <w:ilvl w:val="0"/>
                <w:numId w:val="12"/>
              </w:numPr>
              <w:spacing w:line="360" w:lineRule="auto"/>
              <w:jc w:val="left"/>
              <w:rPr>
                <w:sz w:val="24"/>
                <w:lang w:eastAsia="zh-Hans"/>
              </w:rPr>
            </w:pPr>
            <w:r>
              <w:rPr>
                <w:rFonts w:hint="eastAsia" w:ascii="宋体" w:hAnsi="宋体" w:cs="宋体"/>
                <w:sz w:val="24"/>
                <w:szCs w:val="32"/>
                <w:lang w:eastAsia="zh-Hans"/>
              </w:rPr>
              <w:t>温度记录仪应独立于压力蒸汽灭菌器，监测记录腔体内数据时应采用无线可移动的方式，不得因温度记录仪的使用干扰灭菌器的灭菌程序, 确保数据传输的准确稳定，避免数据传输过程中外在因素的干扰。</w:t>
            </w:r>
          </w:p>
        </w:tc>
        <w:tc>
          <w:tcPr>
            <w:tcW w:w="106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sz w:val="24"/>
                <w:szCs w:val="32"/>
              </w:rPr>
            </w:pPr>
            <w:r>
              <w:rPr>
                <w:rFonts w:hint="eastAsia" w:ascii="宋体" w:hAnsi="宋体" w:cs="宋体"/>
                <w:sz w:val="24"/>
                <w:szCs w:val="32"/>
              </w:rPr>
              <w:t>2台</w:t>
            </w:r>
          </w:p>
        </w:tc>
      </w:tr>
    </w:tbl>
    <w:p>
      <w:pPr>
        <w:spacing w:line="360" w:lineRule="auto"/>
        <w:rPr>
          <w:rFonts w:ascii="宋体" w:hAnsi="宋体"/>
        </w:rPr>
      </w:pPr>
    </w:p>
    <w:p>
      <w:pPr>
        <w:widowControl/>
        <w:jc w:val="left"/>
        <w:rPr>
          <w:rFonts w:ascii="宋体" w:hAnsi="宋体" w:cs="宋体"/>
          <w:b/>
          <w:bCs/>
          <w:kern w:val="0"/>
          <w:sz w:val="32"/>
          <w:szCs w:val="20"/>
        </w:rPr>
      </w:pPr>
      <w:r>
        <w:rPr>
          <w:rFonts w:hAnsi="宋体" w:cs="宋体"/>
          <w:bCs/>
        </w:rPr>
        <w:br w:type="page"/>
      </w:r>
    </w:p>
    <w:p>
      <w:pPr>
        <w:pStyle w:val="2"/>
        <w:spacing w:before="0" w:after="0" w:line="360" w:lineRule="auto"/>
        <w:rPr>
          <w:rFonts w:hAnsi="宋体"/>
          <w:bCs/>
        </w:rPr>
      </w:pPr>
      <w:r>
        <w:rPr>
          <w:rFonts w:hint="eastAsia" w:hAnsi="宋体" w:cs="宋体"/>
          <w:bCs/>
        </w:rPr>
        <w:t>（2）软件技术规格要求</w:t>
      </w:r>
    </w:p>
    <w:tbl>
      <w:tblPr>
        <w:tblStyle w:val="88"/>
        <w:tblpPr w:leftFromText="180" w:rightFromText="180" w:vertAnchor="text" w:horzAnchor="page" w:tblpX="1477" w:tblpY="702"/>
        <w:tblOverlap w:val="never"/>
        <w:tblW w:w="94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342"/>
        <w:gridCol w:w="6998"/>
        <w:gridCol w:w="10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1" w:hRule="atLeast"/>
        </w:trPr>
        <w:tc>
          <w:tcPr>
            <w:tcW w:w="1342" w:type="dxa"/>
            <w:tcMar>
              <w:top w:w="15" w:type="dxa"/>
              <w:left w:w="15" w:type="dxa"/>
              <w:right w:w="15" w:type="dxa"/>
            </w:tcMar>
            <w:vAlign w:val="center"/>
          </w:tcPr>
          <w:p>
            <w:pPr>
              <w:spacing w:line="360" w:lineRule="auto"/>
              <w:rPr>
                <w:rFonts w:ascii="宋体" w:hAnsi="宋体" w:cs="宋体"/>
                <w:kern w:val="0"/>
                <w:sz w:val="24"/>
                <w:lang w:bidi="ar"/>
              </w:rPr>
            </w:pPr>
            <w:r>
              <w:rPr>
                <w:rFonts w:hint="eastAsia" w:ascii="宋体" w:hAnsi="宋体" w:cs="宋体"/>
                <w:b/>
                <w:bCs/>
                <w:sz w:val="24"/>
              </w:rPr>
              <w:t>名称</w:t>
            </w:r>
          </w:p>
        </w:tc>
        <w:tc>
          <w:tcPr>
            <w:tcW w:w="6998" w:type="dxa"/>
            <w:tcMar>
              <w:top w:w="15" w:type="dxa"/>
              <w:left w:w="15" w:type="dxa"/>
              <w:right w:w="15" w:type="dxa"/>
            </w:tcMar>
            <w:vAlign w:val="center"/>
          </w:tcPr>
          <w:p>
            <w:pPr>
              <w:widowControl/>
              <w:spacing w:line="360" w:lineRule="auto"/>
              <w:jc w:val="center"/>
              <w:textAlignment w:val="center"/>
              <w:rPr>
                <w:rFonts w:ascii="宋体" w:hAnsi="宋体" w:cs="宋体"/>
                <w:kern w:val="0"/>
                <w:sz w:val="24"/>
                <w:lang w:bidi="ar"/>
              </w:rPr>
            </w:pPr>
            <w:r>
              <w:rPr>
                <w:rFonts w:hint="eastAsia" w:ascii="宋体" w:hAnsi="宋体" w:cs="宋体"/>
                <w:b/>
                <w:bCs/>
                <w:sz w:val="24"/>
              </w:rPr>
              <w:t>技术规格要求</w:t>
            </w:r>
          </w:p>
        </w:tc>
        <w:tc>
          <w:tcPr>
            <w:tcW w:w="1065" w:type="dxa"/>
            <w:tcMar>
              <w:top w:w="15" w:type="dxa"/>
              <w:left w:w="15" w:type="dxa"/>
              <w:right w:w="15" w:type="dxa"/>
            </w:tcMar>
            <w:vAlign w:val="center"/>
          </w:tcPr>
          <w:p>
            <w:pPr>
              <w:widowControl/>
              <w:spacing w:line="360" w:lineRule="auto"/>
              <w:jc w:val="center"/>
              <w:textAlignment w:val="center"/>
              <w:rPr>
                <w:rFonts w:ascii="宋体" w:hAnsi="宋体" w:cs="宋体"/>
                <w:b/>
                <w:bCs/>
                <w:sz w:val="24"/>
              </w:rPr>
            </w:pPr>
            <w:r>
              <w:rPr>
                <w:rFonts w:hint="eastAsia" w:ascii="宋体" w:hAnsi="宋体" w:cs="宋体"/>
                <w:b/>
                <w:bCs/>
                <w:sz w:val="24"/>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1" w:hRule="atLeast"/>
        </w:trPr>
        <w:tc>
          <w:tcPr>
            <w:tcW w:w="1342" w:type="dxa"/>
            <w:tcMar>
              <w:top w:w="15" w:type="dxa"/>
              <w:left w:w="15" w:type="dxa"/>
              <w:right w:w="15" w:type="dxa"/>
            </w:tcMar>
            <w:vAlign w:val="center"/>
          </w:tcPr>
          <w:p>
            <w:pPr>
              <w:pStyle w:val="437"/>
              <w:ind w:firstLine="0" w:firstLineChars="0"/>
              <w:jc w:val="center"/>
              <w:rPr>
                <w:rFonts w:ascii="宋体" w:hAnsi="宋体" w:cs="宋体"/>
                <w:kern w:val="0"/>
                <w:sz w:val="24"/>
              </w:rPr>
            </w:pPr>
            <w:r>
              <w:rPr>
                <w:rFonts w:hint="eastAsia" w:ascii="宋体" w:hAnsi="宋体" w:cs="宋体"/>
                <w:kern w:val="0"/>
                <w:sz w:val="24"/>
              </w:rPr>
              <w:t>医疗机构消杀灭菌效果在线监测系统管理后台</w:t>
            </w:r>
          </w:p>
        </w:tc>
        <w:tc>
          <w:tcPr>
            <w:tcW w:w="6998" w:type="dxa"/>
            <w:tcMar>
              <w:top w:w="15" w:type="dxa"/>
              <w:left w:w="15" w:type="dxa"/>
              <w:right w:w="15" w:type="dxa"/>
            </w:tcMar>
            <w:vAlign w:val="center"/>
          </w:tcPr>
          <w:p>
            <w:pPr>
              <w:numPr>
                <w:ilvl w:val="0"/>
                <w:numId w:val="0"/>
              </w:numPr>
              <w:spacing w:line="360" w:lineRule="auto"/>
              <w:jc w:val="left"/>
              <w:rPr>
                <w:rFonts w:ascii="宋体" w:hAnsi="宋体" w:cs="宋体"/>
                <w:sz w:val="24"/>
                <w:szCs w:val="32"/>
                <w:lang w:eastAsia="zh-Hans"/>
              </w:rPr>
            </w:pPr>
          </w:p>
          <w:p>
            <w:pPr>
              <w:numPr>
                <w:ilvl w:val="0"/>
                <w:numId w:val="13"/>
              </w:numPr>
              <w:spacing w:line="360" w:lineRule="auto"/>
              <w:jc w:val="left"/>
              <w:rPr>
                <w:rFonts w:ascii="宋体" w:hAnsi="宋体" w:cs="宋体"/>
                <w:sz w:val="24"/>
                <w:szCs w:val="32"/>
                <w:lang w:eastAsia="zh-Hans"/>
              </w:rPr>
            </w:pPr>
            <w:r>
              <w:rPr>
                <w:rFonts w:hint="eastAsia" w:ascii="宋体" w:hAnsi="宋体" w:cs="宋体"/>
                <w:sz w:val="24"/>
                <w:szCs w:val="32"/>
                <w:lang w:eastAsia="zh-Hans"/>
              </w:rPr>
              <w:t>应具有时间设定、校对功能。</w:t>
            </w:r>
          </w:p>
          <w:p>
            <w:pPr>
              <w:numPr>
                <w:ilvl w:val="0"/>
                <w:numId w:val="13"/>
              </w:numPr>
              <w:spacing w:line="360" w:lineRule="auto"/>
              <w:jc w:val="left"/>
              <w:rPr>
                <w:rFonts w:ascii="宋体" w:hAnsi="宋体" w:cs="宋体"/>
                <w:sz w:val="24"/>
                <w:szCs w:val="32"/>
                <w:lang w:eastAsia="zh-Hans"/>
              </w:rPr>
            </w:pPr>
            <w:r>
              <w:rPr>
                <w:rFonts w:hint="eastAsia" w:ascii="宋体" w:hAnsi="宋体" w:cs="宋体"/>
                <w:sz w:val="24"/>
                <w:szCs w:val="32"/>
                <w:lang w:eastAsia="zh-Hans"/>
              </w:rPr>
              <w:t>应具有自动零点、量程校正功能。</w:t>
            </w:r>
          </w:p>
          <w:p>
            <w:pPr>
              <w:numPr>
                <w:ilvl w:val="0"/>
                <w:numId w:val="13"/>
              </w:numPr>
              <w:spacing w:line="360" w:lineRule="auto"/>
              <w:jc w:val="left"/>
              <w:rPr>
                <w:rFonts w:ascii="宋体" w:hAnsi="宋体" w:cs="宋体"/>
                <w:sz w:val="24"/>
                <w:szCs w:val="32"/>
                <w:lang w:eastAsia="zh-Hans"/>
              </w:rPr>
            </w:pPr>
            <w:r>
              <w:rPr>
                <w:rFonts w:hint="eastAsia" w:ascii="宋体" w:hAnsi="宋体" w:cs="宋体"/>
                <w:sz w:val="24"/>
                <w:szCs w:val="32"/>
                <w:lang w:eastAsia="zh-Hans"/>
              </w:rPr>
              <w:t>应具有测试数据显示、存储、输出和自动删除已上传数据的功能。</w:t>
            </w:r>
          </w:p>
          <w:p>
            <w:pPr>
              <w:numPr>
                <w:ilvl w:val="0"/>
                <w:numId w:val="13"/>
              </w:numPr>
              <w:spacing w:line="360" w:lineRule="auto"/>
              <w:jc w:val="left"/>
              <w:rPr>
                <w:rFonts w:ascii="宋体" w:hAnsi="宋体" w:cs="宋体"/>
                <w:sz w:val="24"/>
                <w:szCs w:val="32"/>
                <w:lang w:eastAsia="zh-Hans"/>
              </w:rPr>
            </w:pPr>
            <w:r>
              <w:rPr>
                <w:rFonts w:hint="eastAsia" w:ascii="宋体" w:hAnsi="宋体" w:cs="宋体"/>
                <w:sz w:val="24"/>
                <w:szCs w:val="32"/>
                <w:lang w:eastAsia="zh-Hans"/>
              </w:rPr>
              <w:t>电池应具备断电保护功能，意外断电且再度通电时，应能自动复位到重新开始测定的状态。</w:t>
            </w:r>
          </w:p>
          <w:p>
            <w:pPr>
              <w:numPr>
                <w:ilvl w:val="0"/>
                <w:numId w:val="13"/>
              </w:numPr>
              <w:spacing w:line="360" w:lineRule="auto"/>
              <w:jc w:val="left"/>
              <w:rPr>
                <w:rFonts w:ascii="宋体" w:hAnsi="宋体" w:cs="宋体"/>
                <w:sz w:val="24"/>
                <w:szCs w:val="32"/>
                <w:lang w:eastAsia="zh-Hans"/>
              </w:rPr>
            </w:pPr>
            <w:r>
              <w:rPr>
                <w:rFonts w:hint="eastAsia" w:ascii="宋体" w:hAnsi="宋体" w:cs="宋体"/>
                <w:sz w:val="24"/>
                <w:szCs w:val="32"/>
                <w:lang w:eastAsia="zh-Hans"/>
              </w:rPr>
              <w:t>应具有故障报警、显示和诊断功能。</w:t>
            </w:r>
          </w:p>
          <w:p>
            <w:pPr>
              <w:numPr>
                <w:ilvl w:val="0"/>
                <w:numId w:val="13"/>
              </w:numPr>
              <w:spacing w:line="360" w:lineRule="auto"/>
              <w:jc w:val="left"/>
              <w:rPr>
                <w:rFonts w:ascii="宋体" w:hAnsi="宋体" w:cs="宋体"/>
                <w:sz w:val="24"/>
                <w:szCs w:val="32"/>
                <w:lang w:eastAsia="zh-Hans"/>
              </w:rPr>
            </w:pPr>
            <w:r>
              <w:rPr>
                <w:rFonts w:hint="eastAsia" w:ascii="宋体" w:hAnsi="宋体" w:cs="宋体"/>
                <w:sz w:val="24"/>
                <w:szCs w:val="32"/>
                <w:lang w:eastAsia="zh-Hans"/>
              </w:rPr>
              <w:t>应具有接收远程控制网的外部触发命令、启动分析等操作的功能。</w:t>
            </w:r>
          </w:p>
          <w:p>
            <w:pPr>
              <w:numPr>
                <w:ilvl w:val="0"/>
                <w:numId w:val="13"/>
              </w:numPr>
              <w:spacing w:line="360" w:lineRule="auto"/>
              <w:jc w:val="left"/>
              <w:rPr>
                <w:rFonts w:ascii="宋体" w:hAnsi="宋体" w:cs="宋体"/>
                <w:sz w:val="24"/>
                <w:szCs w:val="32"/>
                <w:lang w:eastAsia="zh-Hans"/>
              </w:rPr>
            </w:pPr>
            <w:r>
              <w:rPr>
                <w:rFonts w:hint="eastAsia" w:ascii="宋体" w:hAnsi="宋体" w:cs="宋体"/>
                <w:sz w:val="24"/>
                <w:szCs w:val="32"/>
                <w:lang w:eastAsia="zh-Hans"/>
              </w:rPr>
              <w:t>监测数据至少保存三年，不可任意更改。客户端软件可本地存储监测数据，本地存储数据不可修改，作为与平台数据核对的依据。</w:t>
            </w:r>
          </w:p>
          <w:p>
            <w:pPr>
              <w:numPr>
                <w:ilvl w:val="0"/>
                <w:numId w:val="13"/>
              </w:numPr>
              <w:spacing w:line="360" w:lineRule="auto"/>
              <w:jc w:val="left"/>
              <w:rPr>
                <w:rFonts w:ascii="宋体" w:hAnsi="宋体" w:cs="宋体"/>
                <w:sz w:val="24"/>
                <w:szCs w:val="32"/>
                <w:lang w:eastAsia="zh-Hans"/>
              </w:rPr>
            </w:pPr>
            <w:r>
              <w:rPr>
                <w:rFonts w:hint="eastAsia" w:ascii="宋体" w:hAnsi="宋体" w:cs="宋体"/>
                <w:sz w:val="24"/>
                <w:szCs w:val="32"/>
                <w:lang w:eastAsia="zh-Hans"/>
              </w:rPr>
              <w:t>每一个灭菌周期之间数据记录相互独立，实现灭菌效果在线监测系统数据采集的批量获取。</w:t>
            </w:r>
          </w:p>
          <w:p>
            <w:pPr>
              <w:numPr>
                <w:ilvl w:val="0"/>
                <w:numId w:val="13"/>
              </w:numPr>
              <w:spacing w:line="360" w:lineRule="auto"/>
              <w:jc w:val="left"/>
              <w:rPr>
                <w:rFonts w:ascii="宋体" w:hAnsi="宋体" w:cs="宋体"/>
                <w:sz w:val="24"/>
                <w:szCs w:val="32"/>
                <w:lang w:eastAsia="zh-Hans"/>
              </w:rPr>
            </w:pPr>
            <w:r>
              <w:rPr>
                <w:rFonts w:hint="eastAsia" w:ascii="宋体" w:hAnsi="宋体" w:cs="宋体"/>
                <w:sz w:val="24"/>
                <w:szCs w:val="32"/>
                <w:lang w:eastAsia="zh-Hans"/>
              </w:rPr>
              <w:t>实现灭菌质量在线监测数据的一般性统计分析，统计分析后可生成各种图表和动态曲线图。</w:t>
            </w:r>
          </w:p>
          <w:p>
            <w:pPr>
              <w:numPr>
                <w:ilvl w:val="0"/>
                <w:numId w:val="13"/>
              </w:numPr>
              <w:spacing w:line="360" w:lineRule="auto"/>
              <w:jc w:val="left"/>
              <w:rPr>
                <w:rFonts w:ascii="宋体" w:hAnsi="宋体" w:cs="宋体"/>
                <w:sz w:val="24"/>
                <w:szCs w:val="32"/>
                <w:lang w:eastAsia="zh-Hans"/>
              </w:rPr>
            </w:pPr>
            <w:r>
              <w:rPr>
                <w:rFonts w:hint="eastAsia" w:ascii="宋体" w:hAnsi="宋体" w:cs="宋体"/>
                <w:sz w:val="24"/>
                <w:szCs w:val="32"/>
                <w:lang w:eastAsia="zh-Hans"/>
              </w:rPr>
              <w:t>实现关于灭菌质量在线监测数据分析利用 。</w:t>
            </w:r>
          </w:p>
          <w:p>
            <w:pPr>
              <w:numPr>
                <w:ilvl w:val="0"/>
                <w:numId w:val="13"/>
              </w:numPr>
              <w:spacing w:line="360" w:lineRule="auto"/>
              <w:jc w:val="left"/>
              <w:rPr>
                <w:rFonts w:ascii="宋体" w:hAnsi="宋体" w:cs="宋体"/>
                <w:sz w:val="24"/>
                <w:szCs w:val="32"/>
                <w:lang w:eastAsia="zh-Hans"/>
              </w:rPr>
            </w:pPr>
            <w:r>
              <w:rPr>
                <w:rFonts w:hint="eastAsia" w:ascii="宋体" w:hAnsi="宋体" w:cs="宋体"/>
                <w:sz w:val="24"/>
                <w:szCs w:val="32"/>
                <w:lang w:eastAsia="zh-Hans"/>
              </w:rPr>
              <w:t xml:space="preserve">实现基于一户一档的监测业务综合管理。系统安装时，应填报被监测单位、科室、负责人、移动电话、灭菌设备厂家、型号、容量、灭菌参数等基本信息。  </w:t>
            </w:r>
          </w:p>
          <w:p>
            <w:pPr>
              <w:numPr>
                <w:ilvl w:val="0"/>
                <w:numId w:val="13"/>
              </w:numPr>
              <w:spacing w:line="360" w:lineRule="auto"/>
              <w:jc w:val="left"/>
              <w:rPr>
                <w:rFonts w:ascii="宋体" w:hAnsi="宋体" w:cs="宋体"/>
                <w:sz w:val="24"/>
                <w:szCs w:val="32"/>
                <w:lang w:eastAsia="zh-Hans"/>
              </w:rPr>
            </w:pPr>
            <w:r>
              <w:rPr>
                <w:rFonts w:hint="eastAsia" w:ascii="宋体" w:hAnsi="宋体" w:cs="宋体"/>
                <w:sz w:val="24"/>
                <w:szCs w:val="32"/>
                <w:lang w:eastAsia="zh-Hans"/>
              </w:rPr>
              <w:t>监测数据支持选择时间范围、单位名称、区域范围、单位类型、是否合格等条件进行选择设定，符合条件的单位以列表显示，数据列表支持批量导出。</w:t>
            </w:r>
          </w:p>
          <w:p>
            <w:pPr>
              <w:numPr>
                <w:ilvl w:val="0"/>
                <w:numId w:val="13"/>
              </w:numPr>
              <w:spacing w:line="360" w:lineRule="auto"/>
              <w:jc w:val="left"/>
              <w:rPr>
                <w:rFonts w:ascii="宋体" w:hAnsi="宋体" w:cs="宋体"/>
                <w:sz w:val="24"/>
                <w:szCs w:val="32"/>
                <w:lang w:eastAsia="zh-Hans"/>
              </w:rPr>
            </w:pPr>
            <w:r>
              <w:rPr>
                <w:rFonts w:hint="eastAsia" w:ascii="宋体" w:hAnsi="宋体" w:cs="宋体"/>
                <w:sz w:val="24"/>
                <w:szCs w:val="32"/>
                <w:lang w:eastAsia="zh-Hans"/>
              </w:rPr>
              <w:t>系统设置包括用户设置，医疗机构设置、监测设备设置、监测平台功能设置。</w:t>
            </w:r>
          </w:p>
          <w:p>
            <w:pPr>
              <w:numPr>
                <w:ilvl w:val="0"/>
                <w:numId w:val="13"/>
              </w:numPr>
              <w:spacing w:line="360" w:lineRule="auto"/>
              <w:jc w:val="left"/>
              <w:rPr>
                <w:rFonts w:ascii="宋体" w:hAnsi="宋体" w:cs="宋体"/>
                <w:sz w:val="24"/>
                <w:szCs w:val="32"/>
                <w:lang w:eastAsia="zh-Hans"/>
              </w:rPr>
            </w:pPr>
            <w:r>
              <w:rPr>
                <w:rFonts w:hint="eastAsia" w:ascii="宋体" w:hAnsi="宋体" w:cs="宋体"/>
                <w:sz w:val="24"/>
                <w:szCs w:val="32"/>
                <w:lang w:eastAsia="zh-Hans"/>
              </w:rPr>
              <w:t>实现医疗机构压力蒸汽灭菌器的灭菌质量预警，对不符合正常值的异常数据会及时准确的向用户管理员发送报警信息、提醒，并显示消息生成时间。</w:t>
            </w:r>
          </w:p>
          <w:p>
            <w:pPr>
              <w:numPr>
                <w:ilvl w:val="0"/>
                <w:numId w:val="13"/>
              </w:numPr>
              <w:spacing w:line="360" w:lineRule="auto"/>
              <w:jc w:val="left"/>
              <w:rPr>
                <w:rFonts w:ascii="宋体" w:hAnsi="宋体" w:cs="宋体"/>
                <w:sz w:val="24"/>
                <w:szCs w:val="32"/>
                <w:lang w:eastAsia="zh-Hans"/>
              </w:rPr>
            </w:pPr>
            <w:r>
              <w:rPr>
                <w:rFonts w:hint="eastAsia" w:ascii="宋体" w:hAnsi="宋体" w:cs="宋体"/>
                <w:sz w:val="24"/>
                <w:szCs w:val="32"/>
                <w:lang w:eastAsia="zh-Hans"/>
              </w:rPr>
              <w:t>★支持查看详情和处理方式操作，可通过客户端软件展示监测结果，医疗机构根据监测结果判断灭菌产品是否可以放行。（提供监测</w:t>
            </w:r>
            <w:r>
              <w:rPr>
                <w:rFonts w:hint="eastAsia" w:ascii="宋体" w:hAnsi="宋体" w:cs="宋体"/>
                <w:sz w:val="24"/>
                <w:szCs w:val="32"/>
                <w:lang w:eastAsia="zh-CN"/>
              </w:rPr>
              <w:t>结果</w:t>
            </w:r>
            <w:r>
              <w:rPr>
                <w:rFonts w:hint="eastAsia" w:ascii="宋体" w:hAnsi="宋体" w:cs="宋体"/>
                <w:sz w:val="24"/>
                <w:szCs w:val="32"/>
                <w:lang w:eastAsia="zh-Hans"/>
              </w:rPr>
              <w:t>截图）</w:t>
            </w:r>
          </w:p>
          <w:p>
            <w:pPr>
              <w:numPr>
                <w:ilvl w:val="0"/>
                <w:numId w:val="13"/>
              </w:numPr>
              <w:spacing w:line="360" w:lineRule="auto"/>
              <w:jc w:val="left"/>
              <w:rPr>
                <w:rFonts w:ascii="宋体" w:hAnsi="宋体" w:cs="宋体"/>
                <w:sz w:val="24"/>
                <w:szCs w:val="32"/>
                <w:lang w:eastAsia="zh-Hans"/>
              </w:rPr>
            </w:pPr>
            <w:r>
              <w:rPr>
                <w:rFonts w:hint="eastAsia" w:ascii="宋体" w:hAnsi="宋体" w:cs="宋体"/>
                <w:sz w:val="24"/>
                <w:szCs w:val="32"/>
                <w:lang w:eastAsia="zh-Hans"/>
              </w:rPr>
              <w:t>★能够按照自治区智慧卫监在线监测预警系统平台的技术要求，实现监测数据上报共享。</w:t>
            </w:r>
            <w:r>
              <w:rPr>
                <w:rFonts w:hint="eastAsia" w:ascii="宋体" w:hAnsi="宋体" w:cs="宋体"/>
                <w:sz w:val="24"/>
                <w:lang w:eastAsia="zh-CN"/>
              </w:rPr>
              <w:t>（提供相应证明截图）</w:t>
            </w:r>
          </w:p>
          <w:p>
            <w:pPr>
              <w:numPr>
                <w:ilvl w:val="0"/>
                <w:numId w:val="13"/>
              </w:numPr>
              <w:spacing w:line="360" w:lineRule="auto"/>
              <w:jc w:val="left"/>
              <w:rPr>
                <w:rFonts w:ascii="宋体" w:hAnsi="宋体" w:cs="宋体"/>
                <w:sz w:val="24"/>
                <w:szCs w:val="32"/>
                <w:lang w:eastAsia="zh-Hans"/>
              </w:rPr>
            </w:pPr>
            <w:r>
              <w:rPr>
                <w:rFonts w:hint="eastAsia" w:ascii="宋体" w:hAnsi="宋体" w:cs="宋体"/>
                <w:sz w:val="24"/>
                <w:szCs w:val="32"/>
                <w:lang w:eastAsia="zh-Hans"/>
              </w:rPr>
              <w:t>本系统符合国家最新有关政务信息资源交换体系的标准及技术规范要求，信息交换平台支持HTTP/HTTPS通讯协议，支持WEB Service及SOAP协议，并符合未来MVC的技术体系架构，且能支持基于BPEL4WS Versio2.0（Busiess Process Executio Laguage for Web Service）的业务流程应用规范。</w:t>
            </w:r>
          </w:p>
          <w:p>
            <w:pPr>
              <w:pStyle w:val="437"/>
              <w:ind w:firstLine="0" w:firstLineChars="0"/>
              <w:rPr>
                <w:rFonts w:ascii="宋体" w:hAnsi="宋体" w:cs="宋体"/>
                <w:kern w:val="0"/>
                <w:sz w:val="24"/>
              </w:rPr>
            </w:pPr>
          </w:p>
        </w:tc>
        <w:tc>
          <w:tcPr>
            <w:tcW w:w="1065" w:type="dxa"/>
            <w:tcMar>
              <w:top w:w="15" w:type="dxa"/>
              <w:left w:w="15" w:type="dxa"/>
              <w:right w:w="15" w:type="dxa"/>
            </w:tcMar>
            <w:vAlign w:val="center"/>
          </w:tcPr>
          <w:p>
            <w:pPr>
              <w:pStyle w:val="437"/>
              <w:ind w:firstLine="0" w:firstLineChars="0"/>
              <w:jc w:val="center"/>
              <w:rPr>
                <w:rFonts w:ascii="宋体" w:hAnsi="宋体" w:cs="宋体"/>
                <w:kern w:val="0"/>
                <w:sz w:val="24"/>
              </w:rPr>
            </w:pPr>
            <w:r>
              <w:rPr>
                <w:rFonts w:hint="eastAsia" w:ascii="宋体" w:hAnsi="宋体" w:cs="宋体"/>
                <w:kern w:val="0"/>
                <w:sz w:val="24"/>
              </w:rPr>
              <w:t>1套</w:t>
            </w:r>
          </w:p>
        </w:tc>
      </w:tr>
    </w:tbl>
    <w:p>
      <w:pPr>
        <w:pStyle w:val="5"/>
        <w:numPr>
          <w:ilvl w:val="0"/>
          <w:numId w:val="11"/>
        </w:numPr>
        <w:spacing w:line="360" w:lineRule="auto"/>
        <w:rPr>
          <w:rFonts w:ascii="宋体" w:hAnsi="宋体" w:eastAsia="宋体"/>
          <w:bCs/>
          <w:sz w:val="24"/>
          <w:szCs w:val="28"/>
        </w:rPr>
      </w:pPr>
      <w:r>
        <w:rPr>
          <w:rFonts w:hint="eastAsia" w:ascii="宋体" w:hAnsi="宋体" w:eastAsia="宋体"/>
          <w:bCs/>
          <w:sz w:val="24"/>
          <w:szCs w:val="28"/>
        </w:rPr>
        <w:t>医疗机构放射诊疗线监测系统</w:t>
      </w:r>
    </w:p>
    <w:p>
      <w:pPr>
        <w:pStyle w:val="2"/>
        <w:spacing w:before="0" w:after="0" w:line="360" w:lineRule="auto"/>
        <w:rPr>
          <w:rFonts w:hAnsi="宋体"/>
          <w:bCs/>
        </w:rPr>
      </w:pPr>
      <w:r>
        <w:rPr>
          <w:rFonts w:hint="eastAsia" w:hAnsi="宋体" w:cs="宋体"/>
          <w:bCs/>
        </w:rPr>
        <w:t>（1）硬件技术规格要求</w:t>
      </w:r>
    </w:p>
    <w:tbl>
      <w:tblPr>
        <w:tblStyle w:val="88"/>
        <w:tblpPr w:leftFromText="180" w:rightFromText="180" w:vertAnchor="text" w:horzAnchor="page" w:tblpX="1590" w:tblpY="554"/>
        <w:tblOverlap w:val="never"/>
        <w:tblW w:w="94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67"/>
        <w:gridCol w:w="6681"/>
        <w:gridCol w:w="11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6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b/>
                <w:bCs/>
                <w:sz w:val="24"/>
              </w:rPr>
            </w:pPr>
            <w:r>
              <w:rPr>
                <w:rFonts w:hint="eastAsia" w:ascii="宋体" w:hAnsi="宋体" w:cs="宋体"/>
                <w:b/>
                <w:bCs/>
                <w:sz w:val="24"/>
              </w:rPr>
              <w:t>名称</w:t>
            </w:r>
          </w:p>
        </w:tc>
        <w:tc>
          <w:tcPr>
            <w:tcW w:w="668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b/>
                <w:bCs/>
                <w:sz w:val="24"/>
              </w:rPr>
            </w:pPr>
            <w:r>
              <w:rPr>
                <w:rFonts w:hint="eastAsia" w:ascii="宋体" w:hAnsi="宋体" w:cs="宋体"/>
                <w:b/>
                <w:bCs/>
                <w:sz w:val="24"/>
              </w:rPr>
              <w:t>技术规格要求</w:t>
            </w:r>
          </w:p>
        </w:tc>
        <w:tc>
          <w:tcPr>
            <w:tcW w:w="119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b/>
                <w:bCs/>
                <w:sz w:val="24"/>
              </w:rPr>
            </w:pPr>
            <w:r>
              <w:rPr>
                <w:rFonts w:hint="eastAsia" w:ascii="宋体" w:hAnsi="宋体" w:cs="宋体"/>
                <w:b/>
                <w:bCs/>
                <w:sz w:val="24"/>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6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sz w:val="24"/>
              </w:rPr>
            </w:pPr>
            <w:r>
              <w:rPr>
                <w:rFonts w:hint="eastAsia" w:ascii="宋体" w:hAnsi="宋体" w:cs="宋体"/>
                <w:sz w:val="24"/>
              </w:rPr>
              <w:t>放射诊疗在线监测</w:t>
            </w:r>
          </w:p>
          <w:p>
            <w:pPr>
              <w:spacing w:line="360" w:lineRule="auto"/>
              <w:jc w:val="center"/>
              <w:rPr>
                <w:rFonts w:ascii="宋体" w:hAnsi="宋体" w:cs="宋体"/>
                <w:sz w:val="24"/>
              </w:rPr>
            </w:pPr>
            <w:r>
              <w:rPr>
                <w:rFonts w:hint="eastAsia" w:ascii="宋体" w:hAnsi="宋体" w:cs="宋体"/>
                <w:sz w:val="24"/>
              </w:rPr>
              <w:t>系统传感器</w:t>
            </w:r>
          </w:p>
          <w:p>
            <w:pPr>
              <w:spacing w:line="360" w:lineRule="auto"/>
              <w:jc w:val="center"/>
              <w:rPr>
                <w:rFonts w:ascii="宋体" w:hAnsi="宋体" w:cs="宋体"/>
                <w:sz w:val="24"/>
              </w:rPr>
            </w:pPr>
            <w:r>
              <w:rPr>
                <w:rFonts w:hint="eastAsia" w:ascii="宋体" w:hAnsi="宋体" w:cs="宋体"/>
                <w:sz w:val="24"/>
              </w:rPr>
              <w:t>x、γ剂量率仪</w:t>
            </w:r>
          </w:p>
          <w:p>
            <w:pPr>
              <w:spacing w:line="360" w:lineRule="auto"/>
              <w:jc w:val="center"/>
              <w:rPr>
                <w:rFonts w:ascii="宋体" w:hAnsi="宋体" w:cs="宋体"/>
                <w:szCs w:val="21"/>
              </w:rPr>
            </w:pPr>
          </w:p>
        </w:tc>
        <w:tc>
          <w:tcPr>
            <w:tcW w:w="6681" w:type="dxa"/>
            <w:tcBorders>
              <w:top w:val="single" w:color="auto" w:sz="4" w:space="0"/>
              <w:left w:val="single" w:color="auto" w:sz="4" w:space="0"/>
              <w:bottom w:val="single" w:color="auto" w:sz="4" w:space="0"/>
              <w:right w:val="single" w:color="auto" w:sz="4" w:space="0"/>
            </w:tcBorders>
            <w:vAlign w:val="center"/>
          </w:tcPr>
          <w:p>
            <w:pPr>
              <w:numPr>
                <w:ilvl w:val="0"/>
                <w:numId w:val="14"/>
              </w:numPr>
              <w:spacing w:line="360" w:lineRule="auto"/>
              <w:jc w:val="left"/>
              <w:rPr>
                <w:rFonts w:ascii="宋体" w:hAnsi="宋体" w:cs="宋体"/>
                <w:sz w:val="24"/>
                <w:szCs w:val="32"/>
                <w:lang w:eastAsia="zh-Hans"/>
              </w:rPr>
            </w:pPr>
            <w:r>
              <w:rPr>
                <w:rFonts w:hint="eastAsia" w:ascii="宋体" w:hAnsi="宋体" w:cs="宋体"/>
                <w:sz w:val="24"/>
                <w:szCs w:val="32"/>
                <w:lang w:eastAsia="zh-Hans"/>
              </w:rPr>
              <w:t>用于检测各种放射性工作场所X、γ射线辐射水平；</w:t>
            </w:r>
          </w:p>
          <w:p>
            <w:pPr>
              <w:numPr>
                <w:ilvl w:val="0"/>
                <w:numId w:val="14"/>
              </w:numPr>
              <w:spacing w:line="360" w:lineRule="auto"/>
              <w:jc w:val="left"/>
              <w:rPr>
                <w:rFonts w:ascii="宋体" w:hAnsi="宋体" w:cs="宋体"/>
                <w:sz w:val="24"/>
                <w:szCs w:val="32"/>
                <w:lang w:eastAsia="zh-Hans"/>
              </w:rPr>
            </w:pPr>
            <w:r>
              <w:rPr>
                <w:rFonts w:hint="eastAsia" w:ascii="宋体" w:hAnsi="宋体" w:cs="宋体"/>
                <w:sz w:val="24"/>
                <w:szCs w:val="32"/>
                <w:lang w:eastAsia="zh-Hans"/>
              </w:rPr>
              <w:t>采用电流积分型探测器，可以测量加速器等脉冲型射线束的剂量率；</w:t>
            </w:r>
          </w:p>
          <w:p>
            <w:pPr>
              <w:numPr>
                <w:ilvl w:val="0"/>
                <w:numId w:val="14"/>
              </w:numPr>
              <w:spacing w:line="360" w:lineRule="auto"/>
              <w:jc w:val="left"/>
              <w:rPr>
                <w:rFonts w:ascii="宋体" w:hAnsi="宋体" w:cs="宋体"/>
                <w:sz w:val="24"/>
                <w:szCs w:val="32"/>
                <w:lang w:eastAsia="zh-Hans"/>
              </w:rPr>
            </w:pPr>
            <w:r>
              <w:rPr>
                <w:rFonts w:hint="eastAsia" w:ascii="宋体" w:hAnsi="宋体" w:cs="宋体"/>
                <w:sz w:val="24"/>
                <w:szCs w:val="32"/>
                <w:lang w:eastAsia="zh-Hans"/>
              </w:rPr>
              <w:t>OLED显示屏，直观显示测量数据和设备状态；</w:t>
            </w:r>
          </w:p>
          <w:p>
            <w:pPr>
              <w:numPr>
                <w:ilvl w:val="0"/>
                <w:numId w:val="14"/>
              </w:numPr>
              <w:spacing w:line="360" w:lineRule="auto"/>
              <w:jc w:val="left"/>
              <w:rPr>
                <w:rFonts w:ascii="宋体" w:hAnsi="宋体" w:cs="宋体"/>
                <w:sz w:val="24"/>
                <w:szCs w:val="32"/>
                <w:lang w:eastAsia="zh-Hans"/>
              </w:rPr>
            </w:pPr>
            <w:r>
              <w:rPr>
                <w:rFonts w:hint="eastAsia" w:ascii="宋体" w:hAnsi="宋体" w:cs="宋体"/>
                <w:sz w:val="24"/>
                <w:szCs w:val="32"/>
                <w:lang w:eastAsia="zh-Hans"/>
              </w:rPr>
              <w:t xml:space="preserve">支持RS485、LAN、4G、WiFi、蓝牙等多种通讯方式，满足多种场合需求； </w:t>
            </w:r>
          </w:p>
          <w:p>
            <w:pPr>
              <w:numPr>
                <w:ilvl w:val="0"/>
                <w:numId w:val="14"/>
              </w:numPr>
              <w:spacing w:line="360" w:lineRule="auto"/>
              <w:jc w:val="left"/>
              <w:rPr>
                <w:rFonts w:ascii="宋体" w:hAnsi="宋体" w:cs="宋体"/>
                <w:sz w:val="24"/>
                <w:szCs w:val="32"/>
                <w:lang w:eastAsia="zh-Hans"/>
              </w:rPr>
            </w:pPr>
            <w:r>
              <w:rPr>
                <w:rFonts w:hint="eastAsia" w:ascii="宋体" w:hAnsi="宋体" w:cs="宋体"/>
                <w:sz w:val="24"/>
                <w:szCs w:val="32"/>
                <w:lang w:eastAsia="zh-Hans"/>
              </w:rPr>
              <w:t>预留拓展接口，可外接高分贝声光报警器，可与其他设备联动；</w:t>
            </w:r>
          </w:p>
          <w:p>
            <w:pPr>
              <w:numPr>
                <w:ilvl w:val="0"/>
                <w:numId w:val="14"/>
              </w:numPr>
              <w:spacing w:line="360" w:lineRule="auto"/>
              <w:jc w:val="left"/>
              <w:rPr>
                <w:rFonts w:ascii="宋体" w:hAnsi="宋体" w:cs="宋体"/>
                <w:sz w:val="24"/>
                <w:szCs w:val="32"/>
                <w:lang w:eastAsia="zh-Hans"/>
              </w:rPr>
            </w:pPr>
            <w:r>
              <w:rPr>
                <w:rFonts w:hint="eastAsia" w:ascii="宋体" w:hAnsi="宋体" w:cs="宋体"/>
                <w:sz w:val="24"/>
                <w:szCs w:val="32"/>
                <w:lang w:eastAsia="zh-Hans"/>
              </w:rPr>
              <w:t>超阈值声光报警，多级报警，设有报警取消按钮，支持一键手动报警取消；</w:t>
            </w:r>
          </w:p>
          <w:p>
            <w:pPr>
              <w:numPr>
                <w:ilvl w:val="0"/>
                <w:numId w:val="14"/>
              </w:numPr>
              <w:spacing w:line="360" w:lineRule="auto"/>
              <w:jc w:val="left"/>
              <w:rPr>
                <w:rFonts w:ascii="宋体" w:hAnsi="宋体" w:cs="宋体"/>
                <w:sz w:val="24"/>
                <w:szCs w:val="32"/>
                <w:lang w:eastAsia="zh-Hans"/>
              </w:rPr>
            </w:pPr>
            <w:r>
              <w:rPr>
                <w:rFonts w:hint="eastAsia" w:ascii="宋体" w:hAnsi="宋体" w:cs="宋体"/>
                <w:sz w:val="24"/>
                <w:szCs w:val="32"/>
                <w:lang w:eastAsia="zh-Hans"/>
              </w:rPr>
              <w:t>需采用壁挂式安装方式，紧急情况可移动辐射检测；</w:t>
            </w:r>
          </w:p>
          <w:p>
            <w:pPr>
              <w:numPr>
                <w:ilvl w:val="0"/>
                <w:numId w:val="14"/>
              </w:numPr>
              <w:spacing w:line="360" w:lineRule="auto"/>
              <w:jc w:val="left"/>
              <w:rPr>
                <w:rFonts w:ascii="宋体" w:hAnsi="宋体" w:cs="宋体"/>
                <w:sz w:val="24"/>
                <w:szCs w:val="32"/>
                <w:lang w:eastAsia="zh-Hans"/>
              </w:rPr>
            </w:pPr>
            <w:r>
              <w:rPr>
                <w:rFonts w:hint="eastAsia" w:ascii="宋体" w:hAnsi="宋体" w:cs="宋体"/>
                <w:sz w:val="24"/>
                <w:szCs w:val="32"/>
                <w:lang w:eastAsia="zh-Hans"/>
              </w:rPr>
              <w:t>支持报警信号开关量输出，可与其他设备联动；</w:t>
            </w:r>
          </w:p>
          <w:p>
            <w:pPr>
              <w:numPr>
                <w:ilvl w:val="0"/>
                <w:numId w:val="14"/>
              </w:numPr>
              <w:spacing w:line="360" w:lineRule="auto"/>
              <w:jc w:val="left"/>
              <w:rPr>
                <w:rFonts w:ascii="宋体" w:hAnsi="宋体" w:cs="宋体"/>
                <w:sz w:val="24"/>
                <w:szCs w:val="32"/>
                <w:lang w:eastAsia="zh-Hans"/>
              </w:rPr>
            </w:pPr>
            <w:r>
              <w:rPr>
                <w:rFonts w:hint="eastAsia" w:ascii="宋体" w:hAnsi="宋体" w:cs="宋体"/>
                <w:sz w:val="24"/>
                <w:szCs w:val="32"/>
                <w:lang w:eastAsia="zh-Hans"/>
              </w:rPr>
              <w:t>设备自带开关机按钮，不需要断电进行关机操作；</w:t>
            </w:r>
          </w:p>
          <w:p>
            <w:pPr>
              <w:numPr>
                <w:ilvl w:val="0"/>
                <w:numId w:val="14"/>
              </w:numPr>
              <w:spacing w:line="360" w:lineRule="auto"/>
              <w:jc w:val="left"/>
              <w:rPr>
                <w:rFonts w:ascii="宋体" w:hAnsi="宋体" w:cs="宋体"/>
                <w:sz w:val="24"/>
                <w:szCs w:val="32"/>
                <w:lang w:eastAsia="zh-Hans"/>
              </w:rPr>
            </w:pPr>
            <w:r>
              <w:rPr>
                <w:rFonts w:hint="eastAsia" w:ascii="宋体" w:hAnsi="宋体" w:cs="宋体"/>
                <w:sz w:val="24"/>
                <w:szCs w:val="32"/>
                <w:lang w:eastAsia="zh-Hans"/>
              </w:rPr>
              <w:t>支持U盘导出历史数据；</w:t>
            </w:r>
          </w:p>
          <w:p>
            <w:pPr>
              <w:numPr>
                <w:ilvl w:val="0"/>
                <w:numId w:val="14"/>
              </w:numPr>
              <w:spacing w:line="360" w:lineRule="auto"/>
              <w:jc w:val="left"/>
              <w:rPr>
                <w:rFonts w:ascii="宋体" w:hAnsi="宋体" w:cs="宋体"/>
                <w:sz w:val="24"/>
                <w:szCs w:val="32"/>
                <w:lang w:eastAsia="zh-Hans"/>
              </w:rPr>
            </w:pPr>
            <w:r>
              <w:rPr>
                <w:rFonts w:hint="eastAsia" w:ascii="宋体" w:hAnsi="宋体" w:cs="宋体"/>
                <w:sz w:val="24"/>
                <w:szCs w:val="32"/>
                <w:lang w:eastAsia="zh-Hans"/>
              </w:rPr>
              <w:t>可通过手机APP进行设置相关参数，方便使用，提供实物图片证明；</w:t>
            </w:r>
          </w:p>
          <w:p>
            <w:pPr>
              <w:numPr>
                <w:ilvl w:val="0"/>
                <w:numId w:val="14"/>
              </w:numPr>
              <w:spacing w:line="360" w:lineRule="auto"/>
              <w:jc w:val="left"/>
              <w:rPr>
                <w:rFonts w:ascii="宋体" w:hAnsi="宋体" w:cs="宋体"/>
                <w:sz w:val="24"/>
                <w:szCs w:val="32"/>
                <w:lang w:eastAsia="zh-Hans"/>
              </w:rPr>
            </w:pPr>
            <w:r>
              <w:rPr>
                <w:rFonts w:hint="eastAsia" w:ascii="宋体" w:hAnsi="宋体" w:cs="宋体"/>
                <w:sz w:val="24"/>
                <w:szCs w:val="32"/>
                <w:lang w:eastAsia="zh-Hans"/>
              </w:rPr>
              <w:t>探测器：塑料闪烁体；</w:t>
            </w:r>
          </w:p>
          <w:p>
            <w:pPr>
              <w:numPr>
                <w:ilvl w:val="0"/>
                <w:numId w:val="14"/>
              </w:numPr>
              <w:spacing w:line="360" w:lineRule="auto"/>
              <w:jc w:val="left"/>
              <w:rPr>
                <w:rFonts w:ascii="宋体" w:hAnsi="宋体" w:cs="宋体"/>
                <w:sz w:val="24"/>
                <w:szCs w:val="32"/>
                <w:lang w:eastAsia="zh-Hans"/>
              </w:rPr>
            </w:pPr>
            <w:r>
              <w:rPr>
                <w:rFonts w:hint="eastAsia" w:ascii="宋体" w:hAnsi="宋体" w:cs="宋体"/>
                <w:sz w:val="24"/>
                <w:szCs w:val="32"/>
                <w:lang w:eastAsia="zh-Hans"/>
              </w:rPr>
              <w:t>探测器规格：不小于φ50mm*50mm；</w:t>
            </w:r>
          </w:p>
          <w:p>
            <w:pPr>
              <w:numPr>
                <w:ilvl w:val="0"/>
                <w:numId w:val="14"/>
              </w:numPr>
              <w:spacing w:line="360" w:lineRule="auto"/>
              <w:jc w:val="left"/>
              <w:rPr>
                <w:rFonts w:ascii="宋体" w:hAnsi="宋体" w:cs="宋体"/>
                <w:sz w:val="24"/>
                <w:szCs w:val="32"/>
                <w:lang w:eastAsia="zh-Hans"/>
              </w:rPr>
            </w:pPr>
            <w:r>
              <w:rPr>
                <w:rFonts w:hint="eastAsia" w:ascii="宋体" w:hAnsi="宋体" w:cs="宋体"/>
                <w:sz w:val="24"/>
                <w:szCs w:val="32"/>
                <w:lang w:eastAsia="zh-Hans"/>
              </w:rPr>
              <w:t>测量范围：0.01μSv/h～1Sv/h；</w:t>
            </w:r>
          </w:p>
          <w:p>
            <w:pPr>
              <w:numPr>
                <w:ilvl w:val="0"/>
                <w:numId w:val="14"/>
              </w:numPr>
              <w:spacing w:line="360" w:lineRule="auto"/>
              <w:jc w:val="left"/>
              <w:rPr>
                <w:rFonts w:ascii="宋体" w:hAnsi="宋体" w:cs="宋体"/>
                <w:sz w:val="24"/>
                <w:szCs w:val="32"/>
                <w:lang w:eastAsia="zh-Hans"/>
              </w:rPr>
            </w:pPr>
            <w:r>
              <w:rPr>
                <w:rFonts w:hint="eastAsia" w:ascii="宋体" w:hAnsi="宋体" w:cs="宋体"/>
                <w:sz w:val="24"/>
                <w:szCs w:val="32"/>
                <w:lang w:eastAsia="zh-Hans"/>
              </w:rPr>
              <w:t>能量范围：30keV～3MeV；</w:t>
            </w:r>
          </w:p>
          <w:p>
            <w:pPr>
              <w:numPr>
                <w:ilvl w:val="0"/>
                <w:numId w:val="14"/>
              </w:numPr>
              <w:spacing w:line="360" w:lineRule="auto"/>
              <w:jc w:val="left"/>
              <w:rPr>
                <w:rFonts w:ascii="宋体" w:hAnsi="宋体" w:cs="宋体"/>
                <w:sz w:val="24"/>
                <w:szCs w:val="32"/>
                <w:lang w:eastAsia="zh-Hans"/>
              </w:rPr>
            </w:pPr>
            <w:r>
              <w:rPr>
                <w:rFonts w:hint="eastAsia" w:ascii="宋体" w:hAnsi="宋体" w:cs="宋体"/>
                <w:szCs w:val="21"/>
              </w:rPr>
              <w:t>★</w:t>
            </w:r>
            <w:r>
              <w:rPr>
                <w:rFonts w:hint="eastAsia" w:ascii="宋体" w:hAnsi="宋体" w:cs="宋体"/>
                <w:sz w:val="24"/>
                <w:szCs w:val="32"/>
                <w:lang w:eastAsia="zh-Hans"/>
              </w:rPr>
              <w:t>脉冲辐射：优于40ms</w:t>
            </w:r>
            <w:r>
              <w:rPr>
                <w:rFonts w:hint="eastAsia" w:ascii="宋体" w:hAnsi="宋体" w:cs="宋体"/>
                <w:sz w:val="24"/>
                <w:szCs w:val="32"/>
                <w:lang w:eastAsia="zh-CN"/>
              </w:rPr>
              <w:t>（</w:t>
            </w:r>
            <w:r>
              <w:rPr>
                <w:rFonts w:hint="eastAsia" w:ascii="宋体" w:hAnsi="宋体" w:cs="宋体"/>
                <w:sz w:val="24"/>
                <w:szCs w:val="32"/>
                <w:lang w:eastAsia="zh-Hans"/>
              </w:rPr>
              <w:t>提供第三方权威测试报告证明</w:t>
            </w:r>
            <w:r>
              <w:rPr>
                <w:rFonts w:hint="eastAsia" w:ascii="宋体" w:hAnsi="宋体" w:cs="宋体"/>
                <w:sz w:val="24"/>
                <w:szCs w:val="32"/>
                <w:lang w:eastAsia="zh-CN"/>
              </w:rPr>
              <w:t>）</w:t>
            </w:r>
          </w:p>
          <w:p>
            <w:pPr>
              <w:numPr>
                <w:ilvl w:val="0"/>
                <w:numId w:val="14"/>
              </w:numPr>
              <w:spacing w:line="360" w:lineRule="auto"/>
              <w:jc w:val="left"/>
              <w:rPr>
                <w:rFonts w:ascii="宋体" w:hAnsi="宋体" w:cs="宋体"/>
                <w:sz w:val="24"/>
                <w:szCs w:val="32"/>
                <w:lang w:eastAsia="zh-Hans"/>
              </w:rPr>
            </w:pPr>
            <w:r>
              <w:rPr>
                <w:rFonts w:hint="eastAsia" w:ascii="宋体" w:hAnsi="宋体" w:cs="宋体"/>
                <w:szCs w:val="21"/>
              </w:rPr>
              <w:t>★</w:t>
            </w:r>
            <w:r>
              <w:rPr>
                <w:rFonts w:hint="eastAsia" w:ascii="宋体" w:hAnsi="宋体" w:cs="宋体"/>
                <w:sz w:val="24"/>
                <w:szCs w:val="32"/>
                <w:lang w:eastAsia="zh-Hans"/>
              </w:rPr>
              <w:t>相对固有误差：＜±20%</w:t>
            </w:r>
            <w:r>
              <w:rPr>
                <w:rFonts w:hint="eastAsia" w:ascii="宋体" w:hAnsi="宋体" w:cs="宋体"/>
                <w:sz w:val="24"/>
                <w:szCs w:val="32"/>
                <w:lang w:eastAsia="zh-CN"/>
              </w:rPr>
              <w:t>（</w:t>
            </w:r>
            <w:r>
              <w:rPr>
                <w:rFonts w:hint="eastAsia" w:ascii="宋体" w:hAnsi="宋体" w:cs="宋体"/>
                <w:sz w:val="24"/>
                <w:szCs w:val="32"/>
                <w:lang w:eastAsia="zh-Hans"/>
              </w:rPr>
              <w:t>提供第三方权威测试报告证明</w:t>
            </w:r>
            <w:r>
              <w:rPr>
                <w:rFonts w:hint="eastAsia" w:ascii="宋体" w:hAnsi="宋体" w:cs="宋体"/>
                <w:sz w:val="24"/>
                <w:szCs w:val="32"/>
                <w:lang w:eastAsia="zh-CN"/>
              </w:rPr>
              <w:t>）</w:t>
            </w:r>
          </w:p>
        </w:tc>
        <w:tc>
          <w:tcPr>
            <w:tcW w:w="1191" w:type="dxa"/>
            <w:tcBorders>
              <w:top w:val="single" w:color="auto" w:sz="4" w:space="0"/>
              <w:left w:val="single" w:color="auto" w:sz="4" w:space="0"/>
              <w:bottom w:val="single" w:color="auto" w:sz="4" w:space="0"/>
              <w:right w:val="single" w:color="auto" w:sz="4" w:space="0"/>
            </w:tcBorders>
            <w:vAlign w:val="center"/>
          </w:tcPr>
          <w:p>
            <w:pPr>
              <w:pStyle w:val="437"/>
              <w:ind w:firstLine="0" w:firstLineChars="0"/>
              <w:rPr>
                <w:rFonts w:ascii="宋体" w:hAnsi="宋体"/>
                <w:sz w:val="24"/>
              </w:rPr>
            </w:pPr>
            <w:r>
              <w:rPr>
                <w:rFonts w:ascii="宋体" w:hAnsi="宋体"/>
                <w:sz w:val="24"/>
              </w:rPr>
              <w:t>6</w:t>
            </w:r>
            <w:r>
              <w:rPr>
                <w:rFonts w:hint="eastAsia" w:ascii="宋体" w:hAnsi="宋体"/>
                <w:sz w:val="24"/>
              </w:rPr>
              <w:t>台</w:t>
            </w:r>
          </w:p>
        </w:tc>
      </w:tr>
    </w:tbl>
    <w:p>
      <w:pPr>
        <w:pStyle w:val="2"/>
        <w:spacing w:before="0" w:after="0" w:line="360" w:lineRule="auto"/>
        <w:rPr>
          <w:rFonts w:hAnsi="宋体"/>
          <w:bCs/>
        </w:rPr>
      </w:pPr>
      <w:bookmarkStart w:id="28" w:name="_Toc28854"/>
      <w:r>
        <w:rPr>
          <w:rFonts w:hint="eastAsia" w:hAnsi="宋体" w:cs="宋体"/>
          <w:bCs/>
        </w:rPr>
        <w:t>（2）软件技术规格要求</w:t>
      </w:r>
    </w:p>
    <w:tbl>
      <w:tblPr>
        <w:tblStyle w:val="88"/>
        <w:tblpPr w:leftFromText="180" w:rightFromText="180" w:vertAnchor="text" w:horzAnchor="margin" w:tblpY="309"/>
        <w:tblW w:w="94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643"/>
        <w:gridCol w:w="6607"/>
        <w:gridCol w:w="12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1" w:hRule="atLeast"/>
        </w:trPr>
        <w:tc>
          <w:tcPr>
            <w:tcW w:w="1643" w:type="dxa"/>
            <w:tcMar>
              <w:top w:w="15" w:type="dxa"/>
              <w:left w:w="15" w:type="dxa"/>
              <w:right w:w="15" w:type="dxa"/>
            </w:tcMar>
            <w:vAlign w:val="center"/>
          </w:tcPr>
          <w:p>
            <w:pPr>
              <w:spacing w:line="360" w:lineRule="auto"/>
              <w:jc w:val="center"/>
              <w:rPr>
                <w:rFonts w:ascii="宋体" w:hAnsi="宋体" w:cs="宋体"/>
                <w:kern w:val="0"/>
                <w:sz w:val="24"/>
                <w:lang w:bidi="ar"/>
              </w:rPr>
            </w:pPr>
            <w:r>
              <w:rPr>
                <w:rFonts w:hint="eastAsia" w:ascii="宋体" w:hAnsi="宋体" w:cs="宋体"/>
                <w:b/>
                <w:bCs/>
                <w:sz w:val="24"/>
              </w:rPr>
              <w:t>名称</w:t>
            </w:r>
          </w:p>
        </w:tc>
        <w:tc>
          <w:tcPr>
            <w:tcW w:w="6607" w:type="dxa"/>
            <w:tcMar>
              <w:top w:w="15" w:type="dxa"/>
              <w:left w:w="15" w:type="dxa"/>
              <w:right w:w="15" w:type="dxa"/>
            </w:tcMar>
            <w:vAlign w:val="center"/>
          </w:tcPr>
          <w:p>
            <w:pPr>
              <w:widowControl/>
              <w:spacing w:line="360" w:lineRule="auto"/>
              <w:jc w:val="center"/>
              <w:textAlignment w:val="center"/>
              <w:rPr>
                <w:rFonts w:ascii="宋体" w:hAnsi="宋体" w:cs="宋体"/>
                <w:kern w:val="0"/>
                <w:sz w:val="24"/>
                <w:lang w:bidi="ar"/>
              </w:rPr>
            </w:pPr>
            <w:r>
              <w:rPr>
                <w:rFonts w:hint="eastAsia" w:ascii="宋体" w:hAnsi="宋体" w:cs="宋体"/>
                <w:b/>
                <w:bCs/>
                <w:sz w:val="24"/>
              </w:rPr>
              <w:t>技术规格要求</w:t>
            </w:r>
          </w:p>
        </w:tc>
        <w:tc>
          <w:tcPr>
            <w:tcW w:w="1215" w:type="dxa"/>
            <w:tcMar>
              <w:top w:w="15" w:type="dxa"/>
              <w:left w:w="15" w:type="dxa"/>
              <w:right w:w="15" w:type="dxa"/>
            </w:tcMar>
            <w:vAlign w:val="center"/>
          </w:tcPr>
          <w:p>
            <w:pPr>
              <w:widowControl/>
              <w:spacing w:line="360" w:lineRule="auto"/>
              <w:jc w:val="center"/>
              <w:textAlignment w:val="center"/>
              <w:rPr>
                <w:rFonts w:ascii="宋体" w:hAnsi="宋体" w:cs="宋体"/>
                <w:b/>
                <w:bCs/>
                <w:sz w:val="24"/>
              </w:rPr>
            </w:pPr>
            <w:r>
              <w:rPr>
                <w:rFonts w:hint="eastAsia" w:ascii="宋体" w:hAnsi="宋体" w:cs="宋体"/>
                <w:b/>
                <w:bCs/>
                <w:sz w:val="24"/>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1" w:hRule="atLeast"/>
        </w:trPr>
        <w:tc>
          <w:tcPr>
            <w:tcW w:w="1643" w:type="dxa"/>
            <w:tcMar>
              <w:top w:w="15" w:type="dxa"/>
              <w:left w:w="15" w:type="dxa"/>
              <w:right w:w="15" w:type="dxa"/>
            </w:tcMar>
            <w:vAlign w:val="center"/>
          </w:tcPr>
          <w:p>
            <w:pPr>
              <w:pStyle w:val="437"/>
              <w:ind w:firstLine="0" w:firstLineChars="0"/>
              <w:jc w:val="center"/>
              <w:rPr>
                <w:rFonts w:ascii="宋体" w:hAnsi="宋体" w:cs="宋体"/>
                <w:kern w:val="0"/>
                <w:sz w:val="24"/>
              </w:rPr>
            </w:pPr>
            <w:r>
              <w:rPr>
                <w:rFonts w:hint="eastAsia" w:ascii="宋体" w:hAnsi="宋体" w:cs="宋体"/>
                <w:b/>
                <w:bCs/>
                <w:sz w:val="24"/>
              </w:rPr>
              <w:t>医疗机构放射诊疗监测系统管理后台</w:t>
            </w:r>
          </w:p>
        </w:tc>
        <w:tc>
          <w:tcPr>
            <w:tcW w:w="6607" w:type="dxa"/>
            <w:tcMar>
              <w:top w:w="15" w:type="dxa"/>
              <w:left w:w="15" w:type="dxa"/>
              <w:right w:w="15" w:type="dxa"/>
            </w:tcMar>
            <w:vAlign w:val="center"/>
          </w:tcPr>
          <w:p>
            <w:pPr>
              <w:numPr>
                <w:ilvl w:val="0"/>
                <w:numId w:val="15"/>
              </w:numPr>
              <w:spacing w:line="360" w:lineRule="auto"/>
              <w:jc w:val="left"/>
              <w:rPr>
                <w:lang w:eastAsia="zh-Hans"/>
              </w:rPr>
            </w:pPr>
            <w:r>
              <w:rPr>
                <w:rFonts w:hint="eastAsia"/>
              </w:rPr>
              <w:t>★</w:t>
            </w:r>
            <w:r>
              <w:rPr>
                <w:rFonts w:hint="eastAsia"/>
                <w:lang w:eastAsia="zh-Hans"/>
              </w:rPr>
              <w:t>具备实时监控功能，能够对每个监测点的辐射剂量监测数据进行实时展示；</w:t>
            </w:r>
          </w:p>
          <w:p>
            <w:pPr>
              <w:numPr>
                <w:ilvl w:val="0"/>
                <w:numId w:val="15"/>
              </w:numPr>
              <w:spacing w:line="360" w:lineRule="auto"/>
              <w:jc w:val="left"/>
              <w:rPr>
                <w:lang w:eastAsia="zh-Hans"/>
              </w:rPr>
            </w:pPr>
            <w:r>
              <w:rPr>
                <w:rFonts w:hint="eastAsia"/>
                <w:lang w:eastAsia="zh-Hans"/>
              </w:rPr>
              <w:t>可以通过不同的颜色直观展示正常、超标、故障、离线等状态；</w:t>
            </w:r>
          </w:p>
          <w:p>
            <w:pPr>
              <w:numPr>
                <w:ilvl w:val="0"/>
                <w:numId w:val="15"/>
              </w:numPr>
              <w:spacing w:line="360" w:lineRule="auto"/>
              <w:jc w:val="left"/>
              <w:rPr>
                <w:lang w:eastAsia="zh-Hans"/>
              </w:rPr>
            </w:pPr>
            <w:r>
              <w:rPr>
                <w:rFonts w:hint="eastAsia"/>
                <w:lang w:eastAsia="zh-Hans"/>
              </w:rPr>
              <w:t>具备剂量率趋势实时分析功能，以曲线的形式展示监测点的剂量数据，便于分析辐射水平趋势；</w:t>
            </w:r>
          </w:p>
          <w:p>
            <w:pPr>
              <w:numPr>
                <w:ilvl w:val="0"/>
                <w:numId w:val="15"/>
              </w:numPr>
              <w:spacing w:line="360" w:lineRule="auto"/>
              <w:jc w:val="left"/>
              <w:rPr>
                <w:lang w:eastAsia="zh-Hans"/>
              </w:rPr>
            </w:pPr>
            <w:r>
              <w:rPr>
                <w:rFonts w:hint="eastAsia"/>
                <w:lang w:eastAsia="zh-Hans"/>
              </w:rPr>
              <w:t>可将依据实际需求提供的工作区平面图集成到平台系统中，工作区图可以直接展示每个探测器布点位置，当发生剂量率超标、探测器故障时可以通过平台软件直接展示目前探测器状态；</w:t>
            </w:r>
          </w:p>
          <w:p>
            <w:pPr>
              <w:numPr>
                <w:ilvl w:val="0"/>
                <w:numId w:val="15"/>
              </w:numPr>
              <w:spacing w:line="360" w:lineRule="auto"/>
              <w:jc w:val="left"/>
              <w:rPr>
                <w:lang w:eastAsia="zh-Hans"/>
              </w:rPr>
            </w:pPr>
            <w:r>
              <w:rPr>
                <w:rFonts w:hint="eastAsia"/>
                <w:lang w:eastAsia="zh-Hans"/>
              </w:rPr>
              <w:t>系统能够根据接入探测器名称与时间区段进行检索并实现列表展示及曲线展示，展示内容至少包括：历史剂量数据、曲线图、监测时间、报警状态和阈值设置等内容；</w:t>
            </w:r>
          </w:p>
          <w:p>
            <w:pPr>
              <w:numPr>
                <w:ilvl w:val="0"/>
                <w:numId w:val="15"/>
              </w:numPr>
              <w:spacing w:line="360" w:lineRule="auto"/>
              <w:jc w:val="left"/>
              <w:rPr>
                <w:lang w:eastAsia="zh-Hans"/>
              </w:rPr>
            </w:pPr>
            <w:r>
              <w:rPr>
                <w:rFonts w:hint="eastAsia"/>
              </w:rPr>
              <w:t>★</w:t>
            </w:r>
            <w:r>
              <w:rPr>
                <w:rFonts w:hint="eastAsia"/>
                <w:lang w:eastAsia="zh-Hans"/>
              </w:rPr>
              <w:t>系统可自动根据数据查询结果生成报表，实现放射性同位素及射线装置信息的统计分析，包括查询分析、统计分析，查询结果可以以 Excel表的形式直接导出；</w:t>
            </w:r>
          </w:p>
          <w:p>
            <w:pPr>
              <w:numPr>
                <w:ilvl w:val="0"/>
                <w:numId w:val="15"/>
              </w:numPr>
              <w:spacing w:line="360" w:lineRule="auto"/>
              <w:jc w:val="left"/>
              <w:rPr>
                <w:lang w:eastAsia="zh-Hans"/>
              </w:rPr>
            </w:pPr>
            <w:r>
              <w:rPr>
                <w:rFonts w:hint="eastAsia"/>
                <w:lang w:eastAsia="zh-Hans"/>
              </w:rPr>
              <w:t>系统应具有报警管理模块，此功能模块主要实现报警信息的查询及处理，可按照设备名称、报警类型、处理状态、报警时间区段进行检索查询；</w:t>
            </w:r>
          </w:p>
          <w:p>
            <w:pPr>
              <w:numPr>
                <w:ilvl w:val="0"/>
                <w:numId w:val="15"/>
              </w:numPr>
              <w:spacing w:line="360" w:lineRule="auto"/>
              <w:jc w:val="left"/>
              <w:rPr>
                <w:lang w:eastAsia="zh-Hans"/>
              </w:rPr>
            </w:pPr>
            <w:r>
              <w:rPr>
                <w:rFonts w:hint="eastAsia"/>
                <w:lang w:eastAsia="zh-Hans"/>
              </w:rPr>
              <w:t>针对系统记录的报警信息，工作人员在了解详细的报警原因后，可以做相应的处理结果记录，所有的查询及处理结果均支持报表导出。</w:t>
            </w:r>
          </w:p>
          <w:p>
            <w:pPr>
              <w:numPr>
                <w:ilvl w:val="0"/>
                <w:numId w:val="15"/>
              </w:numPr>
              <w:spacing w:line="360" w:lineRule="auto"/>
              <w:jc w:val="left"/>
              <w:rPr>
                <w:lang w:eastAsia="zh-Hans"/>
              </w:rPr>
            </w:pPr>
            <w:r>
              <w:rPr>
                <w:rFonts w:hint="eastAsia"/>
                <w:lang w:eastAsia="zh-Hans"/>
              </w:rPr>
              <w:t>系统应具有信息管理模块，该模块至少具有设备管理、用户管理及分配权限功能；</w:t>
            </w:r>
          </w:p>
          <w:p>
            <w:pPr>
              <w:numPr>
                <w:ilvl w:val="0"/>
                <w:numId w:val="15"/>
              </w:numPr>
              <w:spacing w:line="360" w:lineRule="auto"/>
              <w:jc w:val="left"/>
              <w:rPr>
                <w:lang w:eastAsia="zh-Hans"/>
              </w:rPr>
            </w:pPr>
            <w:r>
              <w:rPr>
                <w:rFonts w:hint="eastAsia"/>
                <w:lang w:eastAsia="zh-Hans"/>
              </w:rPr>
              <w:t>医院管理：具有对医院信息、医院联系人、联系方式、工作区图进行设置功能；</w:t>
            </w:r>
          </w:p>
          <w:p>
            <w:pPr>
              <w:numPr>
                <w:ilvl w:val="0"/>
                <w:numId w:val="15"/>
              </w:numPr>
              <w:spacing w:line="360" w:lineRule="auto"/>
              <w:jc w:val="left"/>
              <w:rPr>
                <w:lang w:eastAsia="zh-Hans"/>
              </w:rPr>
            </w:pPr>
            <w:r>
              <w:rPr>
                <w:rFonts w:hint="eastAsia"/>
                <w:lang w:eastAsia="zh-Hans"/>
              </w:rPr>
              <w:t>设备管理：具有对现场辐射监测设备的查询、增加、修改、删除以及参数设置等功能；</w:t>
            </w:r>
          </w:p>
          <w:p>
            <w:pPr>
              <w:numPr>
                <w:ilvl w:val="0"/>
                <w:numId w:val="15"/>
              </w:numPr>
              <w:spacing w:line="360" w:lineRule="auto"/>
              <w:jc w:val="left"/>
              <w:rPr>
                <w:lang w:eastAsia="zh-Hans"/>
              </w:rPr>
            </w:pPr>
            <w:r>
              <w:rPr>
                <w:rFonts w:hint="eastAsia"/>
                <w:lang w:eastAsia="zh-Hans"/>
              </w:rPr>
              <w:t>用户管理：主要分为管理员、运维和日常监管角色，具有对用户添加、修改、删除、检索以及分配权限等操作功能。只有具有权限的用户，才可进行对应操作；</w:t>
            </w:r>
          </w:p>
          <w:p>
            <w:pPr>
              <w:numPr>
                <w:ilvl w:val="0"/>
                <w:numId w:val="15"/>
              </w:numPr>
              <w:spacing w:line="360" w:lineRule="auto"/>
              <w:jc w:val="left"/>
              <w:rPr>
                <w:lang w:eastAsia="zh-Hans"/>
              </w:rPr>
            </w:pPr>
            <w:r>
              <w:rPr>
                <w:rFonts w:hint="eastAsia"/>
                <w:lang w:eastAsia="zh-Hans"/>
              </w:rPr>
              <w:t>★能够按照自治区智慧卫监在线监测预警系统平台的技术要求，实现监测数据上报共享。</w:t>
            </w:r>
            <w:r>
              <w:rPr>
                <w:rFonts w:hint="eastAsia"/>
                <w:lang w:eastAsia="zh-CN"/>
              </w:rPr>
              <w:t>（提供相应证明截图）</w:t>
            </w:r>
          </w:p>
        </w:tc>
        <w:tc>
          <w:tcPr>
            <w:tcW w:w="1215" w:type="dxa"/>
            <w:tcMar>
              <w:top w:w="15" w:type="dxa"/>
              <w:left w:w="15" w:type="dxa"/>
              <w:right w:w="15" w:type="dxa"/>
            </w:tcMar>
            <w:vAlign w:val="center"/>
          </w:tcPr>
          <w:p>
            <w:pPr>
              <w:pStyle w:val="437"/>
              <w:ind w:firstLine="0" w:firstLineChars="0"/>
              <w:jc w:val="center"/>
              <w:rPr>
                <w:rFonts w:ascii="宋体" w:hAnsi="宋体" w:cs="宋体"/>
                <w:kern w:val="0"/>
                <w:sz w:val="24"/>
              </w:rPr>
            </w:pPr>
            <w:r>
              <w:rPr>
                <w:rFonts w:hint="eastAsia" w:ascii="宋体" w:hAnsi="宋体" w:cs="宋体"/>
                <w:kern w:val="0"/>
                <w:sz w:val="24"/>
              </w:rPr>
              <w:t>1套</w:t>
            </w:r>
          </w:p>
        </w:tc>
      </w:tr>
    </w:tbl>
    <w:p>
      <w:pPr>
        <w:spacing w:line="360" w:lineRule="auto"/>
        <w:rPr>
          <w:rFonts w:ascii="宋体" w:hAnsi="宋体"/>
        </w:rPr>
      </w:pPr>
    </w:p>
    <w:bookmarkEnd w:id="28"/>
    <w:p>
      <w:pPr>
        <w:pStyle w:val="5"/>
        <w:spacing w:line="360" w:lineRule="auto"/>
        <w:rPr>
          <w:rFonts w:ascii="宋体" w:hAnsi="宋体" w:eastAsia="宋体"/>
          <w:sz w:val="31"/>
          <w:szCs w:val="31"/>
          <w:lang w:eastAsia="zh-Hans"/>
        </w:rPr>
      </w:pPr>
      <w:r>
        <w:rPr>
          <w:rFonts w:ascii="宋体" w:hAnsi="宋体" w:eastAsia="宋体"/>
          <w:sz w:val="31"/>
          <w:szCs w:val="31"/>
          <w:lang w:eastAsia="zh-Hans"/>
        </w:rPr>
        <w:t>总体要求</w:t>
      </w:r>
    </w:p>
    <w:p>
      <w:pPr>
        <w:numPr>
          <w:ilvl w:val="0"/>
          <w:numId w:val="16"/>
        </w:numPr>
        <w:spacing w:line="360" w:lineRule="auto"/>
        <w:ind w:firstLine="482" w:firstLineChars="200"/>
        <w:rPr>
          <w:rFonts w:hint="eastAsia" w:ascii="宋体" w:hAnsi="宋体" w:cs="宋体"/>
          <w:b/>
          <w:bCs/>
          <w:sz w:val="24"/>
        </w:rPr>
      </w:pPr>
      <w:r>
        <w:rPr>
          <w:rFonts w:hint="eastAsia" w:ascii="宋体" w:hAnsi="宋体" w:cs="宋体"/>
          <w:b/>
          <w:bCs/>
          <w:sz w:val="24"/>
        </w:rPr>
        <w:t>系统软硬件质保期2年，包含所有系统硬件和软件以及软件升级服务，质保期内免费对软件及设备进行维修、保养，对相关设备（包含温压探测器）校验、计量检测</w:t>
      </w:r>
      <w:r>
        <w:rPr>
          <w:rFonts w:hint="eastAsia" w:ascii="宋体" w:hAnsi="宋体" w:cs="宋体"/>
          <w:b/>
          <w:bCs/>
          <w:sz w:val="24"/>
          <w:lang w:eastAsia="zh-CN"/>
        </w:rPr>
        <w:t>、</w:t>
      </w:r>
      <w:r>
        <w:rPr>
          <w:rFonts w:hint="eastAsia" w:ascii="宋体" w:hAnsi="宋体" w:cs="宋体"/>
          <w:b/>
          <w:bCs/>
          <w:sz w:val="24"/>
          <w:lang w:eastAsia="zh-Hans"/>
        </w:rPr>
        <w:t>打印</w:t>
      </w:r>
      <w:r>
        <w:rPr>
          <w:rFonts w:hint="eastAsia" w:ascii="宋体" w:hAnsi="宋体" w:cs="宋体"/>
          <w:b/>
          <w:bCs/>
          <w:sz w:val="24"/>
        </w:rPr>
        <w:t>耗材及网络费用等产生费用由成交供应商承担。</w:t>
      </w:r>
    </w:p>
    <w:p>
      <w:pPr>
        <w:spacing w:line="360" w:lineRule="auto"/>
        <w:ind w:firstLine="482" w:firstLineChars="200"/>
        <w:rPr>
          <w:rFonts w:ascii="宋体" w:hAnsi="宋体" w:cs="宋体"/>
          <w:b/>
          <w:bCs/>
          <w:sz w:val="24"/>
          <w:lang w:eastAsia="zh-Hans"/>
        </w:rPr>
      </w:pPr>
      <w:r>
        <w:rPr>
          <w:rFonts w:hint="eastAsia" w:ascii="宋体" w:hAnsi="宋体" w:cs="宋体"/>
          <w:b/>
          <w:bCs/>
          <w:sz w:val="24"/>
        </w:rPr>
        <w:t>2.</w:t>
      </w:r>
      <w:r>
        <w:rPr>
          <w:rFonts w:hint="eastAsia" w:ascii="宋体" w:hAnsi="宋体" w:cs="宋体"/>
          <w:b/>
          <w:bCs/>
          <w:sz w:val="24"/>
          <w:lang w:eastAsia="zh-Hans"/>
        </w:rPr>
        <w:t>要求本次建设的</w:t>
      </w:r>
      <w:r>
        <w:rPr>
          <w:rFonts w:hint="eastAsia" w:ascii="宋体" w:hAnsi="宋体" w:cs="宋体"/>
          <w:b/>
          <w:bCs/>
          <w:sz w:val="24"/>
        </w:rPr>
        <w:t>智慧卫监在线监测管理</w:t>
      </w:r>
      <w:r>
        <w:rPr>
          <w:rFonts w:hint="eastAsia" w:ascii="宋体" w:hAnsi="宋体" w:cs="宋体"/>
          <w:b/>
          <w:bCs/>
          <w:sz w:val="24"/>
          <w:lang w:eastAsia="zh-Hans"/>
        </w:rPr>
        <w:t>系统中的消毒灭菌在线监</w:t>
      </w:r>
      <w:r>
        <w:rPr>
          <w:rFonts w:hint="eastAsia" w:ascii="宋体" w:hAnsi="宋体" w:cs="宋体"/>
          <w:b/>
          <w:bCs/>
          <w:sz w:val="24"/>
        </w:rPr>
        <w:t>测</w:t>
      </w:r>
      <w:r>
        <w:rPr>
          <w:rFonts w:hint="eastAsia" w:ascii="宋体" w:hAnsi="宋体" w:cs="宋体"/>
          <w:b/>
          <w:bCs/>
          <w:sz w:val="24"/>
          <w:lang w:eastAsia="zh-Hans"/>
        </w:rPr>
        <w:t>系统、医用放射源在线监</w:t>
      </w:r>
      <w:r>
        <w:rPr>
          <w:rFonts w:hint="eastAsia" w:ascii="宋体" w:hAnsi="宋体" w:cs="宋体"/>
          <w:b/>
          <w:bCs/>
          <w:sz w:val="24"/>
        </w:rPr>
        <w:t>测</w:t>
      </w:r>
      <w:r>
        <w:rPr>
          <w:rFonts w:hint="eastAsia" w:ascii="宋体" w:hAnsi="宋体" w:cs="宋体"/>
          <w:b/>
          <w:bCs/>
          <w:sz w:val="24"/>
          <w:lang w:eastAsia="zh-Hans"/>
        </w:rPr>
        <w:t>系统、医疗废物在线监</w:t>
      </w:r>
      <w:r>
        <w:rPr>
          <w:rFonts w:hint="eastAsia" w:ascii="宋体" w:hAnsi="宋体" w:cs="宋体"/>
          <w:b/>
          <w:bCs/>
          <w:sz w:val="24"/>
        </w:rPr>
        <w:t>测</w:t>
      </w:r>
      <w:r>
        <w:rPr>
          <w:rFonts w:hint="eastAsia" w:ascii="宋体" w:hAnsi="宋体" w:cs="宋体"/>
          <w:b/>
          <w:bCs/>
          <w:sz w:val="24"/>
          <w:lang w:eastAsia="zh-Hans"/>
        </w:rPr>
        <w:t>系统需要与</w:t>
      </w:r>
      <w:r>
        <w:rPr>
          <w:rFonts w:hint="eastAsia" w:ascii="宋体" w:hAnsi="宋体" w:cs="宋体"/>
          <w:b/>
          <w:bCs/>
          <w:sz w:val="24"/>
        </w:rPr>
        <w:t>实现与自治区《智慧卫监在线监测预警系统平台》数据对接，实现监测数据实时上传。实施完成后，</w:t>
      </w:r>
      <w:r>
        <w:rPr>
          <w:rFonts w:hint="eastAsia" w:ascii="宋体" w:hAnsi="宋体" w:cs="宋体"/>
          <w:b/>
          <w:bCs/>
          <w:sz w:val="24"/>
          <w:lang w:eastAsia="zh-CN"/>
        </w:rPr>
        <w:t>任何原因造成的</w:t>
      </w:r>
      <w:r>
        <w:rPr>
          <w:rFonts w:hint="eastAsia" w:ascii="宋体" w:hAnsi="宋体" w:cs="宋体"/>
          <w:b/>
          <w:bCs/>
          <w:sz w:val="24"/>
        </w:rPr>
        <w:t>数据无法正常上传自治区平台</w:t>
      </w:r>
      <w:r>
        <w:rPr>
          <w:rFonts w:hint="eastAsia" w:ascii="宋体" w:hAnsi="宋体" w:cs="宋体"/>
          <w:b/>
          <w:bCs/>
          <w:sz w:val="24"/>
          <w:lang w:eastAsia="zh-CN"/>
        </w:rPr>
        <w:t>或不满足自治区检测平台数据规范要求的</w:t>
      </w:r>
      <w:r>
        <w:rPr>
          <w:rFonts w:hint="eastAsia" w:ascii="宋体" w:hAnsi="宋体" w:cs="宋体"/>
          <w:b/>
          <w:bCs/>
          <w:sz w:val="24"/>
        </w:rPr>
        <w:t>，</w:t>
      </w:r>
      <w:r>
        <w:rPr>
          <w:rFonts w:hint="eastAsia" w:ascii="宋体" w:hAnsi="宋体" w:cs="宋体"/>
          <w:b/>
          <w:bCs/>
          <w:sz w:val="24"/>
          <w:lang w:eastAsia="zh-CN"/>
        </w:rPr>
        <w:t>导致</w:t>
      </w:r>
      <w:r>
        <w:rPr>
          <w:rFonts w:hint="eastAsia" w:ascii="宋体" w:hAnsi="宋体" w:cs="宋体"/>
          <w:b/>
          <w:bCs/>
          <w:sz w:val="24"/>
        </w:rPr>
        <w:t>所产生的相关费用</w:t>
      </w:r>
      <w:r>
        <w:rPr>
          <w:rFonts w:hint="eastAsia" w:ascii="宋体" w:hAnsi="宋体" w:cs="宋体"/>
          <w:b/>
          <w:bCs/>
          <w:sz w:val="24"/>
          <w:lang w:eastAsia="zh-CN"/>
        </w:rPr>
        <w:t>均</w:t>
      </w:r>
      <w:r>
        <w:rPr>
          <w:rFonts w:hint="eastAsia" w:ascii="宋体" w:hAnsi="宋体" w:cs="宋体"/>
          <w:b/>
          <w:bCs/>
          <w:sz w:val="24"/>
        </w:rPr>
        <w:t>由供应商承担。</w:t>
      </w:r>
    </w:p>
    <w:p>
      <w:pPr>
        <w:spacing w:line="360" w:lineRule="auto"/>
        <w:ind w:firstLine="482" w:firstLineChars="200"/>
        <w:rPr>
          <w:rFonts w:ascii="宋体" w:hAnsi="宋体" w:cs="宋体"/>
          <w:b/>
          <w:bCs/>
          <w:sz w:val="24"/>
        </w:rPr>
      </w:pPr>
      <w:r>
        <w:rPr>
          <w:rFonts w:hint="eastAsia" w:ascii="宋体" w:hAnsi="宋体" w:cs="宋体"/>
          <w:b/>
          <w:bCs/>
          <w:sz w:val="24"/>
        </w:rPr>
        <w:t>3.医院后期</w:t>
      </w:r>
      <w:r>
        <w:rPr>
          <w:rFonts w:hint="eastAsia" w:ascii="宋体" w:hAnsi="宋体" w:cs="宋体"/>
          <w:b/>
          <w:bCs/>
          <w:sz w:val="24"/>
          <w:lang w:eastAsia="zh-CN"/>
        </w:rPr>
        <w:t>再</w:t>
      </w:r>
      <w:r>
        <w:rPr>
          <w:rFonts w:hint="eastAsia" w:ascii="宋体" w:hAnsi="宋体" w:cs="宋体"/>
          <w:b/>
          <w:bCs/>
          <w:sz w:val="24"/>
        </w:rPr>
        <w:t>需增加监测点位时，医院仅需采购监测设备，软件平台端口免费接入。</w:t>
      </w:r>
    </w:p>
    <w:p>
      <w:pPr>
        <w:spacing w:line="360" w:lineRule="auto"/>
        <w:ind w:firstLine="482" w:firstLineChars="200"/>
        <w:rPr>
          <w:rFonts w:ascii="宋体" w:hAnsi="宋体" w:cs="宋体"/>
          <w:b/>
          <w:bCs/>
          <w:sz w:val="24"/>
        </w:rPr>
      </w:pPr>
      <w:r>
        <w:rPr>
          <w:rFonts w:hint="eastAsia" w:ascii="宋体" w:hAnsi="宋体" w:cs="宋体"/>
          <w:b/>
          <w:bCs/>
          <w:sz w:val="24"/>
        </w:rPr>
        <w:t>4.设备及系统安装调试期限：自成交之日起30天内完成。</w:t>
      </w:r>
    </w:p>
    <w:p>
      <w:pPr>
        <w:spacing w:line="360" w:lineRule="auto"/>
        <w:ind w:firstLine="482" w:firstLineChars="200"/>
        <w:rPr>
          <w:rFonts w:ascii="宋体" w:hAnsi="宋体" w:cs="宋体"/>
          <w:b/>
          <w:bCs/>
          <w:sz w:val="24"/>
        </w:rPr>
      </w:pPr>
    </w:p>
    <w:p>
      <w:pPr>
        <w:spacing w:line="360" w:lineRule="auto"/>
        <w:ind w:firstLine="482" w:firstLineChars="200"/>
        <w:rPr>
          <w:rFonts w:ascii="宋体" w:hAnsi="宋体" w:cs="宋体"/>
          <w:b/>
          <w:bCs/>
          <w:sz w:val="24"/>
        </w:rPr>
      </w:pPr>
    </w:p>
    <w:p>
      <w:pPr>
        <w:pStyle w:val="5"/>
        <w:spacing w:line="360" w:lineRule="auto"/>
        <w:rPr>
          <w:rFonts w:ascii="宋体" w:hAnsi="宋体" w:eastAsia="宋体"/>
          <w:sz w:val="31"/>
          <w:szCs w:val="31"/>
          <w:lang w:eastAsia="zh-Hans"/>
        </w:rPr>
      </w:pPr>
      <w:r>
        <w:rPr>
          <w:rFonts w:hint="eastAsia" w:ascii="宋体" w:hAnsi="宋体" w:eastAsia="宋体"/>
          <w:sz w:val="31"/>
          <w:szCs w:val="31"/>
          <w:lang w:eastAsia="zh-Hans"/>
        </w:rPr>
        <w:t>其他要求</w:t>
      </w:r>
    </w:p>
    <w:p>
      <w:pPr>
        <w:spacing w:line="360" w:lineRule="auto"/>
        <w:ind w:firstLine="480" w:firstLineChars="200"/>
        <w:rPr>
          <w:rFonts w:ascii="宋体" w:hAnsi="宋体" w:cs="宋体"/>
          <w:sz w:val="24"/>
        </w:rPr>
      </w:pPr>
    </w:p>
    <w:p>
      <w:pPr>
        <w:spacing w:line="360" w:lineRule="auto"/>
        <w:ind w:firstLine="482" w:firstLineChars="200"/>
        <w:rPr>
          <w:rFonts w:ascii="宋体" w:hAnsi="宋体" w:cs="宋体"/>
          <w:b/>
          <w:bCs/>
          <w:sz w:val="24"/>
        </w:rPr>
      </w:pPr>
      <w:r>
        <w:rPr>
          <w:rFonts w:hint="eastAsia" w:ascii="宋体" w:hAnsi="宋体" w:cs="宋体"/>
          <w:b/>
          <w:bCs/>
          <w:sz w:val="24"/>
        </w:rPr>
        <w:t>1．培训</w:t>
      </w:r>
    </w:p>
    <w:p>
      <w:pPr>
        <w:spacing w:line="360" w:lineRule="auto"/>
        <w:ind w:firstLine="482" w:firstLineChars="200"/>
        <w:rPr>
          <w:rFonts w:ascii="宋体" w:hAnsi="宋体" w:cs="宋体"/>
          <w:b/>
          <w:bCs/>
          <w:sz w:val="24"/>
        </w:rPr>
      </w:pPr>
      <w:r>
        <w:rPr>
          <w:rFonts w:hint="eastAsia" w:ascii="宋体" w:hAnsi="宋体" w:cs="宋体"/>
          <w:b/>
          <w:bCs/>
          <w:sz w:val="24"/>
        </w:rPr>
        <w:t>1.1卖方的安装调试人员有义务对买方的设备维修人员及使用人员进行培训，使维修人员能对设备进行日常维护和一般性故障的查找及故障的排除，使用人员能够熟练掌握设备的各项功能和操作；</w:t>
      </w:r>
    </w:p>
    <w:p>
      <w:pPr>
        <w:spacing w:line="360" w:lineRule="auto"/>
        <w:ind w:firstLine="482" w:firstLineChars="200"/>
        <w:rPr>
          <w:rFonts w:ascii="宋体" w:hAnsi="宋体" w:cs="宋体"/>
          <w:b/>
          <w:bCs/>
          <w:sz w:val="24"/>
        </w:rPr>
      </w:pPr>
      <w:r>
        <w:rPr>
          <w:rFonts w:hint="eastAsia" w:ascii="宋体" w:hAnsi="宋体" w:cs="宋体"/>
          <w:b/>
          <w:bCs/>
          <w:sz w:val="24"/>
        </w:rPr>
        <w:t>2．检验</w:t>
      </w:r>
    </w:p>
    <w:p>
      <w:pPr>
        <w:spacing w:line="360" w:lineRule="auto"/>
        <w:ind w:firstLine="482" w:firstLineChars="200"/>
        <w:rPr>
          <w:rFonts w:ascii="宋体" w:hAnsi="宋体" w:cs="宋体"/>
          <w:b/>
          <w:bCs/>
          <w:sz w:val="24"/>
        </w:rPr>
      </w:pPr>
      <w:r>
        <w:rPr>
          <w:rFonts w:hint="eastAsia" w:ascii="宋体" w:hAnsi="宋体" w:cs="宋体"/>
          <w:b/>
          <w:bCs/>
          <w:sz w:val="24"/>
        </w:rPr>
        <w:t>2.1卖方提供的所有货物应符合国际及国内通行的标准，并应附有相应的测试报告和合同证书；</w:t>
      </w:r>
    </w:p>
    <w:p>
      <w:pPr>
        <w:spacing w:line="360" w:lineRule="auto"/>
        <w:ind w:firstLine="482" w:firstLineChars="200"/>
        <w:rPr>
          <w:rFonts w:ascii="宋体" w:hAnsi="宋体" w:cs="宋体"/>
          <w:b/>
          <w:bCs/>
          <w:sz w:val="24"/>
        </w:rPr>
      </w:pPr>
      <w:r>
        <w:rPr>
          <w:rFonts w:hint="eastAsia" w:ascii="宋体" w:hAnsi="宋体" w:cs="宋体"/>
          <w:b/>
          <w:bCs/>
          <w:sz w:val="24"/>
        </w:rPr>
        <w:t>2.2对于卖方提供的所有货物, 买方可按货物的一定比例委托质量监督部门进行抽检，验收合格后，所产生的费用由买方承担，经检验不合格时，所产生的费用由卖方承担。</w:t>
      </w:r>
    </w:p>
    <w:p>
      <w:pPr>
        <w:spacing w:line="360" w:lineRule="auto"/>
        <w:ind w:firstLine="482" w:firstLineChars="200"/>
        <w:rPr>
          <w:rFonts w:ascii="宋体" w:hAnsi="宋体" w:cs="宋体"/>
          <w:b/>
          <w:bCs/>
          <w:sz w:val="24"/>
        </w:rPr>
      </w:pPr>
      <w:r>
        <w:rPr>
          <w:rFonts w:hint="eastAsia" w:ascii="宋体" w:hAnsi="宋体" w:cs="宋体"/>
          <w:b/>
          <w:bCs/>
          <w:sz w:val="24"/>
        </w:rPr>
        <w:t>2.3具体的国际或国内检验标准按卖方在响应文件中承诺的并经买方确认的规定执行。</w:t>
      </w:r>
    </w:p>
    <w:p>
      <w:pPr>
        <w:spacing w:line="360" w:lineRule="auto"/>
        <w:ind w:firstLine="482" w:firstLineChars="200"/>
        <w:rPr>
          <w:rFonts w:ascii="宋体" w:hAnsi="宋体" w:cs="宋体"/>
          <w:b/>
          <w:bCs/>
          <w:sz w:val="24"/>
        </w:rPr>
      </w:pPr>
      <w:r>
        <w:rPr>
          <w:rFonts w:hint="eastAsia" w:ascii="宋体" w:hAnsi="宋体" w:cs="宋体"/>
          <w:b/>
          <w:bCs/>
          <w:sz w:val="24"/>
        </w:rPr>
        <w:t>3．安装调试</w:t>
      </w:r>
    </w:p>
    <w:p>
      <w:pPr>
        <w:spacing w:line="360" w:lineRule="auto"/>
        <w:ind w:firstLine="482" w:firstLineChars="200"/>
        <w:rPr>
          <w:rFonts w:ascii="宋体" w:hAnsi="宋体" w:cs="宋体"/>
          <w:b/>
          <w:bCs/>
          <w:sz w:val="24"/>
        </w:rPr>
      </w:pPr>
      <w:r>
        <w:rPr>
          <w:rFonts w:hint="eastAsia" w:ascii="宋体" w:hAnsi="宋体" w:cs="宋体"/>
          <w:b/>
          <w:bCs/>
          <w:sz w:val="24"/>
        </w:rPr>
        <w:t>3.1卖方必须在合同签订后将所有的安装调试条件、需买方配合的事项以书面方式通知用户；</w:t>
      </w:r>
    </w:p>
    <w:p>
      <w:pPr>
        <w:spacing w:line="360" w:lineRule="auto"/>
        <w:ind w:firstLine="482" w:firstLineChars="200"/>
        <w:rPr>
          <w:rFonts w:ascii="宋体" w:hAnsi="宋体" w:cs="宋体"/>
          <w:b/>
          <w:bCs/>
          <w:sz w:val="24"/>
        </w:rPr>
      </w:pPr>
      <w:r>
        <w:rPr>
          <w:rFonts w:hint="eastAsia" w:ascii="宋体" w:hAnsi="宋体" w:cs="宋体"/>
          <w:b/>
          <w:bCs/>
          <w:sz w:val="24"/>
        </w:rPr>
        <w:t>3.2卖方免费负责设备在买方的安装、调试，买方协助开展工作；</w:t>
      </w:r>
    </w:p>
    <w:p>
      <w:pPr>
        <w:spacing w:line="360" w:lineRule="auto"/>
        <w:ind w:firstLine="482" w:firstLineChars="200"/>
        <w:rPr>
          <w:rFonts w:ascii="宋体" w:hAnsi="宋体" w:cs="宋体"/>
          <w:b/>
          <w:bCs/>
          <w:sz w:val="24"/>
        </w:rPr>
      </w:pPr>
      <w:r>
        <w:rPr>
          <w:rFonts w:hint="eastAsia" w:ascii="宋体" w:hAnsi="宋体" w:cs="宋体"/>
          <w:b/>
          <w:bCs/>
          <w:sz w:val="24"/>
        </w:rPr>
        <w:t>3.3卖方安装调试专家人员应及时到达买方现场，直至安装调试结束、通过验收；</w:t>
      </w:r>
    </w:p>
    <w:p>
      <w:pPr>
        <w:spacing w:line="360" w:lineRule="auto"/>
        <w:ind w:firstLine="482" w:firstLineChars="200"/>
        <w:rPr>
          <w:rFonts w:ascii="宋体" w:hAnsi="宋体" w:cs="宋体"/>
          <w:b/>
          <w:bCs/>
          <w:sz w:val="24"/>
        </w:rPr>
      </w:pPr>
      <w:r>
        <w:rPr>
          <w:rFonts w:hint="eastAsia" w:ascii="宋体" w:hAnsi="宋体" w:cs="宋体"/>
          <w:b/>
          <w:bCs/>
          <w:sz w:val="24"/>
        </w:rPr>
        <w:t>3.4卖方负责安装调试期间（包括错发或运输中）可能损坏的元器件、测试材料的准备，如因时间关系，买方可以考虑使用随机的易损件进行更换，但卖方应及时给买方补齐（中间产生的任何费用，均由卖方承担）；</w:t>
      </w:r>
    </w:p>
    <w:p>
      <w:pPr>
        <w:spacing w:line="360" w:lineRule="auto"/>
        <w:ind w:firstLine="482" w:firstLineChars="200"/>
        <w:rPr>
          <w:rFonts w:ascii="宋体" w:hAnsi="宋体" w:cs="宋体"/>
          <w:b/>
          <w:bCs/>
          <w:sz w:val="24"/>
        </w:rPr>
      </w:pPr>
      <w:r>
        <w:rPr>
          <w:rFonts w:hint="eastAsia" w:ascii="宋体" w:hAnsi="宋体" w:cs="宋体"/>
          <w:b/>
          <w:bCs/>
          <w:sz w:val="24"/>
        </w:rPr>
        <w:t>3.5上述安装调试完成后，买方按相应的卖方在响应文件中所提供的技术指标进行验收；</w:t>
      </w:r>
    </w:p>
    <w:p>
      <w:pPr>
        <w:spacing w:line="360" w:lineRule="auto"/>
        <w:ind w:firstLine="482" w:firstLineChars="200"/>
        <w:rPr>
          <w:rFonts w:ascii="宋体" w:hAnsi="宋体" w:cs="宋体"/>
          <w:b/>
          <w:bCs/>
          <w:sz w:val="24"/>
        </w:rPr>
      </w:pPr>
      <w:r>
        <w:rPr>
          <w:rFonts w:hint="eastAsia" w:ascii="宋体" w:hAnsi="宋体" w:cs="宋体"/>
          <w:b/>
          <w:bCs/>
          <w:sz w:val="24"/>
        </w:rPr>
        <w:t>3.6卖方如不能按时完成安装、调试工作，应赔偿由此给买方造成的所有损失；</w:t>
      </w:r>
    </w:p>
    <w:p>
      <w:pPr>
        <w:spacing w:line="360" w:lineRule="auto"/>
        <w:ind w:firstLine="482" w:firstLineChars="200"/>
        <w:rPr>
          <w:rFonts w:ascii="宋体" w:hAnsi="宋体" w:cs="宋体"/>
          <w:b/>
          <w:bCs/>
          <w:sz w:val="24"/>
        </w:rPr>
      </w:pPr>
      <w:r>
        <w:rPr>
          <w:rFonts w:hint="eastAsia" w:ascii="宋体" w:hAnsi="宋体" w:cs="宋体"/>
          <w:b/>
          <w:bCs/>
          <w:sz w:val="24"/>
        </w:rPr>
        <w:t>3.7最终的测试验收报告由买卖双方代表签字认可后生效。</w:t>
      </w:r>
    </w:p>
    <w:p>
      <w:pPr>
        <w:spacing w:line="360" w:lineRule="auto"/>
        <w:ind w:firstLine="482" w:firstLineChars="200"/>
        <w:rPr>
          <w:rFonts w:ascii="宋体" w:hAnsi="宋体" w:cs="宋体"/>
          <w:b/>
          <w:bCs/>
          <w:sz w:val="24"/>
        </w:rPr>
      </w:pPr>
      <w:r>
        <w:rPr>
          <w:rFonts w:hint="eastAsia" w:ascii="宋体" w:hAnsi="宋体" w:cs="宋体"/>
          <w:b/>
          <w:bCs/>
          <w:sz w:val="24"/>
        </w:rPr>
        <w:t>4．质量保证</w:t>
      </w:r>
    </w:p>
    <w:p>
      <w:pPr>
        <w:spacing w:line="360" w:lineRule="auto"/>
        <w:ind w:firstLine="482" w:firstLineChars="200"/>
        <w:rPr>
          <w:rFonts w:ascii="宋体" w:hAnsi="宋体" w:cs="宋体"/>
          <w:b/>
          <w:bCs/>
          <w:sz w:val="24"/>
        </w:rPr>
      </w:pPr>
      <w:r>
        <w:rPr>
          <w:rFonts w:hint="eastAsia" w:ascii="宋体" w:hAnsi="宋体" w:cs="宋体"/>
          <w:b/>
          <w:bCs/>
          <w:sz w:val="24"/>
        </w:rPr>
        <w:t>4.1因卖方原因造成买方不能按时使用（根据合同有关条款）所购买货物（设备）时，卖方应根据合同规定向买方做出赔偿；</w:t>
      </w:r>
    </w:p>
    <w:p>
      <w:pPr>
        <w:spacing w:line="360" w:lineRule="auto"/>
        <w:ind w:firstLine="482" w:firstLineChars="200"/>
        <w:rPr>
          <w:rFonts w:ascii="宋体" w:hAnsi="宋体" w:cs="宋体"/>
          <w:b/>
          <w:bCs/>
          <w:sz w:val="24"/>
        </w:rPr>
      </w:pPr>
      <w:r>
        <w:rPr>
          <w:rFonts w:hint="eastAsia" w:ascii="宋体" w:hAnsi="宋体" w:cs="宋体"/>
          <w:b/>
          <w:bCs/>
          <w:sz w:val="24"/>
        </w:rPr>
        <w:t>4.2卖方对合同项下设备提供为期</w:t>
      </w:r>
      <w:r>
        <w:rPr>
          <w:rFonts w:hint="eastAsia" w:ascii="宋体" w:hAnsi="宋体" w:cs="宋体"/>
          <w:b/>
          <w:bCs/>
          <w:sz w:val="24"/>
          <w:u w:val="single"/>
        </w:rPr>
        <w:t xml:space="preserve">   </w:t>
      </w:r>
      <w:r>
        <w:rPr>
          <w:rFonts w:hint="eastAsia" w:ascii="宋体" w:hAnsi="宋体" w:cs="宋体"/>
          <w:b/>
          <w:bCs/>
          <w:sz w:val="24"/>
        </w:rPr>
        <w:t>年的保修服务，保修期自验收合格双方签字时算起。在保修期内，卖方需提供免费的维修零配件。</w:t>
      </w:r>
    </w:p>
    <w:p>
      <w:pPr>
        <w:spacing w:line="360" w:lineRule="auto"/>
        <w:ind w:firstLine="482" w:firstLineChars="200"/>
        <w:rPr>
          <w:rFonts w:ascii="宋体" w:hAnsi="宋体" w:cs="宋体"/>
          <w:b/>
          <w:bCs/>
          <w:sz w:val="24"/>
        </w:rPr>
      </w:pPr>
      <w:r>
        <w:rPr>
          <w:rFonts w:hint="eastAsia" w:ascii="宋体" w:hAnsi="宋体" w:cs="宋体"/>
          <w:b/>
          <w:bCs/>
          <w:sz w:val="24"/>
        </w:rPr>
        <w:t>5．售后服务</w:t>
      </w:r>
    </w:p>
    <w:p>
      <w:pPr>
        <w:spacing w:line="360" w:lineRule="auto"/>
        <w:ind w:firstLine="482" w:firstLineChars="200"/>
        <w:rPr>
          <w:rFonts w:ascii="宋体" w:hAnsi="宋体" w:cs="宋体"/>
          <w:b/>
          <w:bCs/>
          <w:sz w:val="24"/>
        </w:rPr>
      </w:pPr>
      <w:r>
        <w:rPr>
          <w:rFonts w:hint="eastAsia" w:ascii="宋体" w:hAnsi="宋体" w:cs="宋体"/>
          <w:b/>
          <w:bCs/>
          <w:sz w:val="24"/>
        </w:rPr>
        <w:t>5.1提供给买方详细的设备清单及相应的使用、维修、故障查询手册及电器、电路图；</w:t>
      </w:r>
    </w:p>
    <w:p>
      <w:pPr>
        <w:spacing w:line="360" w:lineRule="auto"/>
        <w:ind w:firstLine="482" w:firstLineChars="200"/>
        <w:rPr>
          <w:rFonts w:ascii="宋体" w:hAnsi="宋体" w:cs="宋体"/>
          <w:b/>
          <w:bCs/>
          <w:sz w:val="24"/>
        </w:rPr>
      </w:pPr>
      <w:r>
        <w:rPr>
          <w:rFonts w:hint="eastAsia" w:ascii="宋体" w:hAnsi="宋体" w:cs="宋体"/>
          <w:b/>
          <w:bCs/>
          <w:sz w:val="24"/>
        </w:rPr>
        <w:t>5.2在买方发出要求服务通知的24小时内，卖方指派的服务人员必须到达买方现场，对设备出现的较大问题，解决时间不应超过5个日历日；</w:t>
      </w:r>
    </w:p>
    <w:p>
      <w:pPr>
        <w:spacing w:line="360" w:lineRule="auto"/>
        <w:ind w:firstLine="482" w:firstLineChars="200"/>
        <w:rPr>
          <w:rFonts w:ascii="宋体" w:hAnsi="宋体" w:cs="宋体"/>
          <w:b/>
          <w:bCs/>
          <w:sz w:val="24"/>
        </w:rPr>
      </w:pPr>
      <w:r>
        <w:rPr>
          <w:rFonts w:hint="eastAsia" w:ascii="宋体" w:hAnsi="宋体" w:cs="宋体"/>
          <w:b/>
          <w:bCs/>
          <w:sz w:val="24"/>
        </w:rPr>
        <w:t>5.3在保修期内，如设备出现故障，必须在3个工作日内完成维修工作，否则更换新机；</w:t>
      </w:r>
    </w:p>
    <w:p>
      <w:pPr>
        <w:spacing w:line="360" w:lineRule="auto"/>
        <w:ind w:firstLine="482" w:firstLineChars="200"/>
        <w:rPr>
          <w:rFonts w:ascii="宋体" w:hAnsi="宋体" w:cs="宋体"/>
          <w:b/>
          <w:bCs/>
          <w:sz w:val="24"/>
        </w:rPr>
      </w:pPr>
      <w:r>
        <w:rPr>
          <w:rFonts w:hint="eastAsia" w:ascii="宋体" w:hAnsi="宋体" w:cs="宋体"/>
          <w:b/>
          <w:bCs/>
          <w:sz w:val="24"/>
        </w:rPr>
        <w:t>5.4提供相应的售后服务承诺（需要设备生产企业协助的部分，须由该生产企业做出相应的服务承诺），并附在响应文件中。</w:t>
      </w:r>
    </w:p>
    <w:p>
      <w:pPr>
        <w:spacing w:line="360" w:lineRule="auto"/>
        <w:ind w:firstLine="482" w:firstLineChars="200"/>
        <w:rPr>
          <w:rFonts w:ascii="宋体" w:hAnsi="宋体" w:cs="宋体"/>
          <w:b/>
          <w:bCs/>
          <w:sz w:val="24"/>
        </w:rPr>
      </w:pPr>
      <w:r>
        <w:rPr>
          <w:rFonts w:hint="eastAsia" w:ascii="宋体" w:hAnsi="宋体" w:cs="宋体"/>
          <w:b/>
          <w:bCs/>
          <w:sz w:val="24"/>
        </w:rPr>
        <w:t xml:space="preserve">6．其他  </w:t>
      </w:r>
    </w:p>
    <w:p>
      <w:pPr>
        <w:spacing w:line="360" w:lineRule="auto"/>
        <w:ind w:firstLine="482" w:firstLineChars="200"/>
        <w:rPr>
          <w:rFonts w:ascii="宋体" w:hAnsi="宋体" w:cs="宋体"/>
          <w:b/>
          <w:bCs/>
          <w:sz w:val="24"/>
        </w:rPr>
      </w:pPr>
      <w:r>
        <w:rPr>
          <w:rFonts w:hint="eastAsia" w:ascii="宋体" w:hAnsi="宋体" w:cs="宋体"/>
          <w:b/>
          <w:bCs/>
          <w:sz w:val="24"/>
        </w:rPr>
        <w:t>6.1投标报价：设备使用地安装调试完成、且验收合格后的交货价。</w:t>
      </w:r>
    </w:p>
    <w:p>
      <w:pPr>
        <w:spacing w:line="360" w:lineRule="auto"/>
        <w:ind w:firstLine="482" w:firstLineChars="200"/>
        <w:rPr>
          <w:rFonts w:ascii="宋体" w:hAnsi="宋体" w:cs="宋体"/>
          <w:b/>
          <w:bCs/>
          <w:sz w:val="24"/>
        </w:rPr>
      </w:pPr>
      <w:r>
        <w:rPr>
          <w:rFonts w:hint="eastAsia" w:ascii="宋体" w:hAnsi="宋体" w:cs="宋体"/>
          <w:b/>
          <w:bCs/>
          <w:sz w:val="24"/>
        </w:rPr>
        <w:t>6.2投标货币：人民币</w:t>
      </w:r>
    </w:p>
    <w:p>
      <w:pPr>
        <w:spacing w:line="360" w:lineRule="auto"/>
        <w:ind w:firstLine="482" w:firstLineChars="200"/>
        <w:rPr>
          <w:rFonts w:ascii="宋体" w:hAnsi="宋体" w:cs="宋体"/>
          <w:b/>
          <w:bCs/>
          <w:sz w:val="24"/>
        </w:rPr>
      </w:pPr>
      <w:r>
        <w:rPr>
          <w:rFonts w:hint="eastAsia" w:ascii="宋体" w:hAnsi="宋体" w:cs="宋体"/>
          <w:b/>
          <w:bCs/>
          <w:sz w:val="24"/>
        </w:rPr>
        <w:t>6.3列出详细的易损件、专用工具的清单，并分项报价（应包括在总价内）。清单内容应包括：名称、数量、单价、总价</w:t>
      </w:r>
    </w:p>
    <w:p>
      <w:pPr>
        <w:spacing w:line="360" w:lineRule="auto"/>
        <w:jc w:val="center"/>
        <w:rPr>
          <w:rFonts w:ascii="宋体" w:hAnsi="宋体"/>
          <w:b/>
          <w:bCs/>
          <w:sz w:val="36"/>
        </w:rPr>
        <w:sectPr>
          <w:headerReference r:id="rId8" w:type="default"/>
          <w:footerReference r:id="rId9" w:type="default"/>
          <w:pgSz w:w="11906" w:h="16838"/>
          <w:pgMar w:top="1644" w:right="1474" w:bottom="1531" w:left="1474" w:header="851" w:footer="794" w:gutter="0"/>
          <w:cols w:space="720" w:num="1"/>
          <w:docGrid w:linePitch="312" w:charSpace="0"/>
        </w:sectPr>
      </w:pPr>
    </w:p>
    <w:p>
      <w:pPr>
        <w:spacing w:line="360" w:lineRule="auto"/>
        <w:ind w:firstLine="2891" w:firstLineChars="900"/>
        <w:rPr>
          <w:rFonts w:ascii="宋体" w:hAnsi="宋体"/>
          <w:b/>
          <w:sz w:val="32"/>
          <w:szCs w:val="32"/>
        </w:rPr>
      </w:pPr>
      <w:r>
        <w:rPr>
          <w:rFonts w:ascii="宋体" w:hAnsi="宋体"/>
          <w:b/>
          <w:sz w:val="32"/>
          <w:szCs w:val="32"/>
        </w:rPr>
        <w:t>第四部分  合同条款</w:t>
      </w:r>
      <w:bookmarkEnd w:id="27"/>
    </w:p>
    <w:p>
      <w:pPr>
        <w:spacing w:line="360" w:lineRule="auto"/>
        <w:ind w:firstLine="442" w:firstLineChars="200"/>
        <w:jc w:val="center"/>
        <w:rPr>
          <w:rFonts w:ascii="宋体" w:hAnsi="宋体"/>
          <w:b/>
          <w:sz w:val="22"/>
          <w:szCs w:val="22"/>
        </w:rPr>
      </w:pPr>
      <w:r>
        <w:rPr>
          <w:rFonts w:ascii="宋体" w:hAnsi="宋体"/>
          <w:b/>
          <w:sz w:val="22"/>
          <w:szCs w:val="22"/>
        </w:rPr>
        <w:t>（本合同仅供参考，具体以实际签订的为准）</w:t>
      </w:r>
    </w:p>
    <w:p>
      <w:pPr>
        <w:spacing w:line="360" w:lineRule="auto"/>
        <w:rPr>
          <w:rFonts w:ascii="宋体" w:hAnsi="宋体"/>
        </w:rPr>
      </w:pPr>
    </w:p>
    <w:p>
      <w:pPr>
        <w:spacing w:line="360" w:lineRule="auto"/>
        <w:jc w:val="center"/>
        <w:rPr>
          <w:rFonts w:ascii="宋体" w:hAnsi="宋体"/>
          <w:b/>
          <w:szCs w:val="21"/>
        </w:rPr>
      </w:pPr>
      <w:r>
        <w:rPr>
          <w:rFonts w:hint="eastAsia" w:ascii="宋体" w:hAnsi="宋体" w:cs="微软雅黑"/>
        </w:rPr>
        <mc:AlternateContent>
          <mc:Choice Requires="wps">
            <w:drawing>
              <wp:anchor distT="0" distB="0" distL="114300" distR="114300" simplePos="0" relativeHeight="251661312" behindDoc="0" locked="0" layoutInCell="1" allowOverlap="1">
                <wp:simplePos x="0" y="0"/>
                <wp:positionH relativeFrom="column">
                  <wp:posOffset>4229735</wp:posOffset>
                </wp:positionH>
                <wp:positionV relativeFrom="paragraph">
                  <wp:posOffset>737870</wp:posOffset>
                </wp:positionV>
                <wp:extent cx="2082165" cy="751205"/>
                <wp:effectExtent l="0" t="0" r="0" b="0"/>
                <wp:wrapNone/>
                <wp:docPr id="4" name="Text Box 2"/>
                <wp:cNvGraphicFramePr/>
                <a:graphic xmlns:a="http://schemas.openxmlformats.org/drawingml/2006/main">
                  <a:graphicData uri="http://schemas.microsoft.com/office/word/2010/wordprocessingShape">
                    <wps:wsp>
                      <wps:cNvSpPr txBox="1"/>
                      <wps:spPr>
                        <a:xfrm>
                          <a:off x="0" y="0"/>
                          <a:ext cx="2082165" cy="751205"/>
                        </a:xfrm>
                        <a:prstGeom prst="rect">
                          <a:avLst/>
                        </a:prstGeom>
                        <a:noFill/>
                        <a:ln>
                          <a:noFill/>
                        </a:ln>
                      </wps:spPr>
                      <wps:txbx>
                        <w:txbxContent>
                          <w:p>
                            <w:pPr>
                              <w:spacing w:line="240" w:lineRule="exact"/>
                              <w:rPr>
                                <w:rFonts w:ascii="微软雅黑" w:hAnsi="微软雅黑" w:eastAsia="微软雅黑" w:cs="微软雅黑"/>
                              </w:rPr>
                            </w:pPr>
                            <w:r>
                              <w:rPr>
                                <w:rFonts w:hint="eastAsia" w:ascii="微软雅黑" w:hAnsi="微软雅黑" w:eastAsia="微软雅黑" w:cs="微软雅黑"/>
                              </w:rPr>
                              <w:t xml:space="preserve">供货类别： </w:t>
                            </w:r>
                          </w:p>
                          <w:p>
                            <w:pPr>
                              <w:spacing w:line="240" w:lineRule="exact"/>
                              <w:rPr>
                                <w:rFonts w:ascii="微软雅黑" w:hAnsi="微软雅黑" w:eastAsia="微软雅黑" w:cs="微软雅黑"/>
                              </w:rPr>
                            </w:pPr>
                            <w:r>
                              <w:rPr>
                                <w:rFonts w:hint="eastAsia" w:ascii="微软雅黑" w:hAnsi="微软雅黑" w:eastAsia="微软雅黑" w:cs="微软雅黑"/>
                              </w:rPr>
                              <w:t>签订时间：</w:t>
                            </w:r>
                          </w:p>
                          <w:p>
                            <w:pPr>
                              <w:spacing w:line="240" w:lineRule="exact"/>
                              <w:rPr>
                                <w:rFonts w:ascii="微软雅黑" w:hAnsi="微软雅黑" w:eastAsia="微软雅黑" w:cs="微软雅黑"/>
                              </w:rPr>
                            </w:pPr>
                            <w:r>
                              <w:rPr>
                                <w:rFonts w:hint="eastAsia" w:ascii="微软雅黑" w:hAnsi="微软雅黑" w:eastAsia="微软雅黑" w:cs="微软雅黑"/>
                              </w:rPr>
                              <w:t>合同编号：00-0000-20000000</w:t>
                            </w:r>
                          </w:p>
                          <w:p>
                            <w:pPr>
                              <w:spacing w:line="240" w:lineRule="exact"/>
                              <w:rPr>
                                <w:rFonts w:ascii="微软雅黑" w:hAnsi="微软雅黑" w:eastAsia="微软雅黑" w:cs="微软雅黑"/>
                              </w:rPr>
                            </w:pPr>
                            <w:r>
                              <w:rPr>
                                <w:rFonts w:hint="eastAsia" w:ascii="微软雅黑" w:hAnsi="微软雅黑" w:eastAsia="微软雅黑" w:cs="微软雅黑"/>
                              </w:rPr>
                              <w:t>签定地点：</w:t>
                            </w:r>
                          </w:p>
                        </w:txbxContent>
                      </wps:txbx>
                      <wps:bodyPr vert="horz" wrap="square" anchor="t" upright="1"/>
                    </wps:wsp>
                  </a:graphicData>
                </a:graphic>
              </wp:anchor>
            </w:drawing>
          </mc:Choice>
          <mc:Fallback>
            <w:pict>
              <v:shape id="Text Box 2" o:spid="_x0000_s1026" o:spt="202" type="#_x0000_t202" style="position:absolute;left:0pt;margin-left:333.05pt;margin-top:58.1pt;height:59.15pt;width:163.95pt;z-index:251661312;mso-width-relative:page;mso-height-relative:page;" filled="f" stroked="f" coordsize="21600,21600" o:gfxdata="UEsDBAoAAAAAAIdO4kAAAAAAAAAAAAAAAAAEAAAAZHJzL1BLAwQUAAAACACHTuJAhFOaU9cAAAAL&#10;AQAADwAAAGRycy9kb3ducmV2LnhtbE2PwU7DMBBE70j8g7VI3KidkFokjdMDiCuIFpB6c5NtEhGv&#10;o9htwt+znOC4mqfZN+V2cYO44BR6TwaSlQKBVPump9bA+/757gFEiJYaO3hCA98YYFtdX5W2aPxM&#10;b3jZxVZwCYXCGuhiHAspQ92hs2HlRyTOTn5yNvI5tbKZ7MzlbpCpUlo62xN/6OyIjx3WX7uzM/Dx&#10;cjp8Zuq1fXLrcfaLkuRyacztTaI2ICIu8Q+GX31Wh4qdjv5MTRCDAa11wigHiU5BMJHnGa87Gkjv&#10;szXIqpT/N1Q/UEsDBBQAAAAIAIdO4kBdBk6YtgEAAHIDAAAOAAAAZHJzL2Uyb0RvYy54bWytU01v&#10;2zAMvQ/ofxB4b+wYS1cYcQoMQXsptgHtfoAiy7EA62OkEjv79aPkNO26Sw+7yNIj/cj3KK3vJjuI&#10;o0Yy3jWwXJQgtFO+NW7fwM/n++tbEBSla+XgnW7gpAnuNlef1mOodeV7P7QaBZM4qsfQQB9jqIuC&#10;VK+tpIUP2nGw82hl5CPuixblyOx2KKqyvClGj21ArzQRo9s5CGdG/Aih7zqj9Narg9UuzqyoBxlZ&#10;EvUmEGxyt12nVfzedaSjGBpgpTGvXIT3u7QWm7Ws9yhDb9S5BfmRFt5pstI4Lnqh2sooxQHNP1TW&#10;KPTku7hQ3hazkOwIq1iW77x56mXQWQtbTeFiOv0/WvXt+AOFaRv4DMJJywN/1lMUX/0kquTOGKjm&#10;pKfAaXFimO/MC04MJtFThzZ9WY7gOHt7unibyBSDVXlbLW9WIBTHvqyWVblKNMXr3wEpPmhvRdo0&#10;gDy7bKk8PlKcU19SUjHn780w5PkN7i+AORNSpNbnFtMuTrvprGfn2xPL4UfAdXqPv0GMfAUaoF8H&#10;iRqEdIrhBiKIQ0Cz7zkvq86cPIrc+PnapFm/PefKr09l8w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mBAAAW0NvbnRlbnRfVHlwZXNdLnhtbFBL&#10;AQIUAAoAAAAAAIdO4kAAAAAAAAAAAAAAAAAGAAAAAAAAAAAAEAAAAAgDAABfcmVscy9QSwECFAAU&#10;AAAACACHTuJAihRmPNEAAACUAQAACwAAAAAAAAABACAAAAAsAwAAX3JlbHMvLnJlbHNQSwECFAAK&#10;AAAAAACHTuJAAAAAAAAAAAAAAAAABAAAAAAAAAAAABAAAAAAAAAAZHJzL1BLAQIUABQAAAAIAIdO&#10;4kCEU5pT1wAAAAsBAAAPAAAAAAAAAAEAIAAAACIAAABkcnMvZG93bnJldi54bWxQSwECFAAUAAAA&#10;CACHTuJAXQZOmLYBAAByAwAADgAAAAAAAAABACAAAAAmAQAAZHJzL2Uyb0RvYy54bWxQSwUGAAAA&#10;AAYABgBZAQAATgUAAAAA&#10;">
                <v:fill on="f" focussize="0,0"/>
                <v:stroke on="f"/>
                <v:imagedata o:title=""/>
                <o:lock v:ext="edit" aspectratio="f"/>
                <v:textbox>
                  <w:txbxContent>
                    <w:p>
                      <w:pPr>
                        <w:spacing w:line="240" w:lineRule="exact"/>
                        <w:rPr>
                          <w:rFonts w:ascii="微软雅黑" w:hAnsi="微软雅黑" w:eastAsia="微软雅黑" w:cs="微软雅黑"/>
                        </w:rPr>
                      </w:pPr>
                      <w:r>
                        <w:rPr>
                          <w:rFonts w:hint="eastAsia" w:ascii="微软雅黑" w:hAnsi="微软雅黑" w:eastAsia="微软雅黑" w:cs="微软雅黑"/>
                        </w:rPr>
                        <w:t xml:space="preserve">供货类别： </w:t>
                      </w:r>
                    </w:p>
                    <w:p>
                      <w:pPr>
                        <w:spacing w:line="240" w:lineRule="exact"/>
                        <w:rPr>
                          <w:rFonts w:ascii="微软雅黑" w:hAnsi="微软雅黑" w:eastAsia="微软雅黑" w:cs="微软雅黑"/>
                        </w:rPr>
                      </w:pPr>
                      <w:r>
                        <w:rPr>
                          <w:rFonts w:hint="eastAsia" w:ascii="微软雅黑" w:hAnsi="微软雅黑" w:eastAsia="微软雅黑" w:cs="微软雅黑"/>
                        </w:rPr>
                        <w:t>签订时间：</w:t>
                      </w:r>
                    </w:p>
                    <w:p>
                      <w:pPr>
                        <w:spacing w:line="240" w:lineRule="exact"/>
                        <w:rPr>
                          <w:rFonts w:ascii="微软雅黑" w:hAnsi="微软雅黑" w:eastAsia="微软雅黑" w:cs="微软雅黑"/>
                        </w:rPr>
                      </w:pPr>
                      <w:r>
                        <w:rPr>
                          <w:rFonts w:hint="eastAsia" w:ascii="微软雅黑" w:hAnsi="微软雅黑" w:eastAsia="微软雅黑" w:cs="微软雅黑"/>
                        </w:rPr>
                        <w:t>合同编号：00-0000-20000000</w:t>
                      </w:r>
                    </w:p>
                    <w:p>
                      <w:pPr>
                        <w:spacing w:line="240" w:lineRule="exact"/>
                        <w:rPr>
                          <w:rFonts w:ascii="微软雅黑" w:hAnsi="微软雅黑" w:eastAsia="微软雅黑" w:cs="微软雅黑"/>
                        </w:rPr>
                      </w:pPr>
                      <w:r>
                        <w:rPr>
                          <w:rFonts w:hint="eastAsia" w:ascii="微软雅黑" w:hAnsi="微软雅黑" w:eastAsia="微软雅黑" w:cs="微软雅黑"/>
                        </w:rPr>
                        <w:t>签定地点：</w:t>
                      </w:r>
                    </w:p>
                  </w:txbxContent>
                </v:textbox>
              </v:shape>
            </w:pict>
          </mc:Fallback>
        </mc:AlternateContent>
      </w:r>
      <w:r>
        <w:rPr>
          <w:rFonts w:hint="eastAsia" w:ascii="宋体" w:hAnsi="宋体" w:cs="微软雅黑"/>
          <w:sz w:val="44"/>
          <w:szCs w:val="44"/>
        </w:rPr>
        <w:t>采购合同</w:t>
      </w:r>
    </w:p>
    <w:p>
      <w:pPr>
        <w:spacing w:line="360" w:lineRule="auto"/>
        <w:jc w:val="center"/>
        <w:rPr>
          <w:rFonts w:ascii="宋体" w:hAnsi="宋体"/>
          <w:b/>
          <w:bCs/>
          <w:szCs w:val="21"/>
        </w:rPr>
      </w:pPr>
    </w:p>
    <w:p>
      <w:pPr>
        <w:spacing w:line="360" w:lineRule="auto"/>
        <w:jc w:val="center"/>
        <w:rPr>
          <w:rFonts w:ascii="宋体" w:hAnsi="宋体"/>
          <w:b/>
          <w:bCs/>
          <w:szCs w:val="21"/>
        </w:rPr>
      </w:pPr>
    </w:p>
    <w:p>
      <w:pPr>
        <w:spacing w:line="360" w:lineRule="auto"/>
        <w:rPr>
          <w:rFonts w:ascii="宋体" w:hAnsi="宋体" w:cs="微软雅黑"/>
          <w:b/>
          <w:bCs/>
          <w:sz w:val="28"/>
          <w:szCs w:val="28"/>
        </w:rPr>
      </w:pPr>
      <w:r>
        <w:rPr>
          <w:rFonts w:hint="eastAsia" w:ascii="宋体" w:hAnsi="宋体" w:cs="微软雅黑"/>
          <w:b/>
          <w:bCs/>
          <w:sz w:val="28"/>
          <w:szCs w:val="28"/>
        </w:rPr>
        <w:t>甲方：</w:t>
      </w:r>
      <w:r>
        <w:rPr>
          <w:rFonts w:hint="eastAsia" w:ascii="宋体" w:hAnsi="宋体" w:cs="微软雅黑"/>
          <w:b/>
          <w:bCs/>
          <w:sz w:val="28"/>
          <w:szCs w:val="28"/>
          <w:u w:val="thick"/>
        </w:rPr>
        <w:t xml:space="preserve">                              </w:t>
      </w:r>
      <w:r>
        <w:rPr>
          <w:rFonts w:hint="eastAsia" w:ascii="宋体" w:hAnsi="宋体" w:cs="微软雅黑"/>
          <w:b/>
          <w:bCs/>
          <w:sz w:val="28"/>
          <w:szCs w:val="28"/>
        </w:rPr>
        <w:t xml:space="preserve">    （采购方）</w:t>
      </w:r>
    </w:p>
    <w:p>
      <w:pPr>
        <w:spacing w:line="360" w:lineRule="auto"/>
        <w:rPr>
          <w:rFonts w:ascii="宋体" w:hAnsi="宋体" w:cs="微软雅黑"/>
          <w:b/>
          <w:bCs/>
          <w:sz w:val="28"/>
          <w:szCs w:val="28"/>
        </w:rPr>
      </w:pPr>
      <w:r>
        <w:rPr>
          <w:rFonts w:hint="eastAsia" w:ascii="宋体" w:hAnsi="宋体" w:cs="微软雅黑"/>
          <w:b/>
          <w:bCs/>
          <w:sz w:val="28"/>
          <w:szCs w:val="28"/>
        </w:rPr>
        <w:t>乙方：</w:t>
      </w:r>
      <w:r>
        <w:rPr>
          <w:rFonts w:hint="eastAsia" w:ascii="宋体" w:hAnsi="宋体" w:cs="微软雅黑"/>
          <w:b/>
          <w:bCs/>
          <w:sz w:val="28"/>
          <w:szCs w:val="28"/>
          <w:u w:val="thick"/>
        </w:rPr>
        <w:t xml:space="preserve">                              </w:t>
      </w:r>
      <w:r>
        <w:rPr>
          <w:rFonts w:hint="eastAsia" w:ascii="宋体" w:hAnsi="宋体" w:cs="微软雅黑"/>
          <w:b/>
          <w:bCs/>
          <w:sz w:val="28"/>
          <w:szCs w:val="28"/>
        </w:rPr>
        <w:t xml:space="preserve">    （供货方）</w:t>
      </w:r>
    </w:p>
    <w:p>
      <w:pPr>
        <w:spacing w:line="360" w:lineRule="auto"/>
        <w:ind w:left="120" w:leftChars="57" w:firstLine="315" w:firstLineChars="150"/>
        <w:rPr>
          <w:rFonts w:ascii="宋体" w:hAnsi="宋体"/>
          <w:szCs w:val="21"/>
        </w:rPr>
      </w:pPr>
    </w:p>
    <w:p>
      <w:pPr>
        <w:pStyle w:val="35"/>
        <w:tabs>
          <w:tab w:val="left" w:pos="240"/>
        </w:tabs>
        <w:rPr>
          <w:rFonts w:ascii="宋体" w:hAnsi="宋体"/>
          <w:color w:val="auto"/>
          <w:szCs w:val="24"/>
        </w:rPr>
      </w:pPr>
      <w:r>
        <w:rPr>
          <w:rFonts w:hint="eastAsia" w:ascii="宋体" w:hAnsi="宋体"/>
          <w:color w:val="auto"/>
          <w:szCs w:val="24"/>
        </w:rPr>
        <w:t>根据《中华人民共和国合同法》、《中华人民共和国产品质量法》等国家有关法律法规，甲乙双方经过充分友好协商，本着诚实守信、平等互利的原则，就甲方向乙方采购“</w:t>
      </w:r>
      <w:r>
        <w:rPr>
          <w:rFonts w:hint="eastAsia" w:ascii="宋体" w:hAnsi="宋体"/>
          <w:color w:val="auto"/>
          <w:szCs w:val="24"/>
          <w:u w:val="thick"/>
        </w:rPr>
        <w:t xml:space="preserve">                       </w:t>
      </w:r>
      <w:r>
        <w:rPr>
          <w:rFonts w:hint="eastAsia" w:ascii="宋体" w:hAnsi="宋体"/>
          <w:color w:val="auto"/>
          <w:szCs w:val="24"/>
        </w:rPr>
        <w:t>”系统及相关硬件等设备（以下简称 “设备”）一事，达成如下合同条款。</w:t>
      </w:r>
    </w:p>
    <w:p>
      <w:pPr>
        <w:spacing w:line="360" w:lineRule="auto"/>
        <w:rPr>
          <w:rFonts w:ascii="宋体" w:hAnsi="宋体"/>
          <w:b/>
          <w:sz w:val="28"/>
          <w:szCs w:val="28"/>
        </w:rPr>
      </w:pPr>
      <w:r>
        <w:rPr>
          <w:rFonts w:ascii="宋体" w:hAnsi="宋体"/>
          <w:b/>
          <w:sz w:val="28"/>
          <w:szCs w:val="28"/>
        </w:rPr>
        <w:t>设备</w:t>
      </w:r>
      <w:r>
        <w:rPr>
          <w:rFonts w:hint="eastAsia" w:ascii="宋体" w:hAnsi="宋体"/>
          <w:b/>
          <w:sz w:val="28"/>
          <w:szCs w:val="28"/>
        </w:rPr>
        <w:t>名</w:t>
      </w:r>
      <w:r>
        <w:rPr>
          <w:rFonts w:ascii="宋体" w:hAnsi="宋体"/>
          <w:b/>
          <w:sz w:val="28"/>
          <w:szCs w:val="28"/>
        </w:rPr>
        <w:t>称、规</w:t>
      </w:r>
      <w:r>
        <w:rPr>
          <w:rFonts w:hint="eastAsia" w:ascii="宋体" w:hAnsi="宋体"/>
          <w:b/>
          <w:sz w:val="28"/>
          <w:szCs w:val="28"/>
        </w:rPr>
        <w:t>格、</w:t>
      </w:r>
      <w:r>
        <w:rPr>
          <w:rFonts w:ascii="宋体" w:hAnsi="宋体"/>
          <w:b/>
          <w:sz w:val="28"/>
          <w:szCs w:val="28"/>
        </w:rPr>
        <w:t>数</w:t>
      </w:r>
      <w:r>
        <w:rPr>
          <w:rFonts w:hint="eastAsia" w:ascii="宋体" w:hAnsi="宋体"/>
          <w:b/>
          <w:sz w:val="28"/>
          <w:szCs w:val="28"/>
        </w:rPr>
        <w:t>量、金</w:t>
      </w:r>
      <w:r>
        <w:rPr>
          <w:rFonts w:ascii="宋体" w:hAnsi="宋体"/>
          <w:b/>
          <w:sz w:val="28"/>
          <w:szCs w:val="28"/>
        </w:rPr>
        <w:t>额</w:t>
      </w:r>
    </w:p>
    <w:tbl>
      <w:tblPr>
        <w:tblStyle w:val="88"/>
        <w:tblW w:w="9595" w:type="dxa"/>
        <w:tblInd w:w="0" w:type="dxa"/>
        <w:tblLayout w:type="fixed"/>
        <w:tblCellMar>
          <w:top w:w="0" w:type="dxa"/>
          <w:left w:w="0" w:type="dxa"/>
          <w:bottom w:w="0" w:type="dxa"/>
          <w:right w:w="0" w:type="dxa"/>
        </w:tblCellMar>
      </w:tblPr>
      <w:tblGrid>
        <w:gridCol w:w="2080"/>
        <w:gridCol w:w="978"/>
        <w:gridCol w:w="937"/>
        <w:gridCol w:w="675"/>
        <w:gridCol w:w="1063"/>
        <w:gridCol w:w="1162"/>
        <w:gridCol w:w="1275"/>
        <w:gridCol w:w="1425"/>
      </w:tblGrid>
      <w:tr>
        <w:tblPrEx>
          <w:tblCellMar>
            <w:top w:w="0" w:type="dxa"/>
            <w:left w:w="0" w:type="dxa"/>
            <w:bottom w:w="0" w:type="dxa"/>
            <w:right w:w="0" w:type="dxa"/>
          </w:tblCellMar>
        </w:tblPrEx>
        <w:trPr>
          <w:trHeight w:val="350" w:hRule="atLeast"/>
        </w:trPr>
        <w:tc>
          <w:tcPr>
            <w:tcW w:w="9595" w:type="dxa"/>
            <w:gridSpan w:val="8"/>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spacing w:line="360" w:lineRule="auto"/>
              <w:jc w:val="center"/>
              <w:textAlignment w:val="center"/>
              <w:rPr>
                <w:rFonts w:ascii="宋体" w:hAnsi="宋体" w:cs="宋体"/>
                <w:b/>
                <w:sz w:val="15"/>
                <w:szCs w:val="15"/>
              </w:rPr>
            </w:pPr>
            <w:r>
              <w:rPr>
                <w:rFonts w:hint="eastAsia" w:ascii="宋体" w:hAnsi="宋体" w:cs="宋体"/>
                <w:b/>
                <w:kern w:val="0"/>
                <w:sz w:val="28"/>
                <w:szCs w:val="28"/>
                <w:lang w:bidi="ar"/>
              </w:rPr>
              <w:t>一、硬件报价清单明细</w:t>
            </w:r>
          </w:p>
        </w:tc>
      </w:tr>
      <w:tr>
        <w:tblPrEx>
          <w:tblCellMar>
            <w:top w:w="0" w:type="dxa"/>
            <w:left w:w="0" w:type="dxa"/>
            <w:bottom w:w="0" w:type="dxa"/>
            <w:right w:w="0" w:type="dxa"/>
          </w:tblCellMar>
        </w:tblPrEx>
        <w:trPr>
          <w:trHeight w:val="374" w:hRule="atLeast"/>
        </w:trPr>
        <w:tc>
          <w:tcPr>
            <w:tcW w:w="208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spacing w:line="360" w:lineRule="auto"/>
              <w:jc w:val="center"/>
              <w:textAlignment w:val="center"/>
              <w:rPr>
                <w:rFonts w:ascii="宋体" w:hAnsi="宋体" w:cs="宋体"/>
                <w:b/>
                <w:sz w:val="15"/>
                <w:szCs w:val="15"/>
              </w:rPr>
            </w:pPr>
            <w:r>
              <w:rPr>
                <w:rFonts w:hint="eastAsia" w:ascii="宋体" w:hAnsi="宋体" w:cs="宋体"/>
                <w:b/>
                <w:kern w:val="0"/>
                <w:sz w:val="15"/>
                <w:szCs w:val="15"/>
                <w:lang w:bidi="ar"/>
              </w:rPr>
              <w:t>序号</w:t>
            </w:r>
          </w:p>
        </w:tc>
        <w:tc>
          <w:tcPr>
            <w:tcW w:w="978"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pPr>
              <w:widowControl/>
              <w:spacing w:line="360" w:lineRule="auto"/>
              <w:jc w:val="center"/>
              <w:textAlignment w:val="center"/>
              <w:rPr>
                <w:rFonts w:ascii="宋体" w:hAnsi="宋体" w:cs="宋体"/>
                <w:b/>
                <w:sz w:val="15"/>
                <w:szCs w:val="15"/>
              </w:rPr>
            </w:pPr>
            <w:r>
              <w:rPr>
                <w:rFonts w:hint="eastAsia" w:ascii="宋体" w:hAnsi="宋体" w:cs="宋体"/>
                <w:b/>
                <w:kern w:val="0"/>
                <w:sz w:val="15"/>
                <w:szCs w:val="15"/>
                <w:lang w:bidi="ar"/>
              </w:rPr>
              <w:t>名称</w:t>
            </w:r>
          </w:p>
        </w:tc>
        <w:tc>
          <w:tcPr>
            <w:tcW w:w="937"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widowControl/>
              <w:spacing w:line="360" w:lineRule="auto"/>
              <w:jc w:val="center"/>
              <w:textAlignment w:val="center"/>
              <w:rPr>
                <w:rFonts w:ascii="宋体" w:hAnsi="宋体" w:cs="宋体"/>
                <w:b/>
                <w:sz w:val="15"/>
                <w:szCs w:val="15"/>
              </w:rPr>
            </w:pPr>
            <w:r>
              <w:rPr>
                <w:rFonts w:hint="eastAsia" w:ascii="宋体" w:hAnsi="宋体" w:cs="宋体"/>
                <w:b/>
                <w:kern w:val="0"/>
                <w:sz w:val="15"/>
                <w:szCs w:val="15"/>
                <w:lang w:bidi="ar"/>
              </w:rPr>
              <w:t>型号</w:t>
            </w:r>
          </w:p>
        </w:tc>
        <w:tc>
          <w:tcPr>
            <w:tcW w:w="675"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spacing w:line="360" w:lineRule="auto"/>
              <w:jc w:val="center"/>
              <w:textAlignment w:val="center"/>
              <w:rPr>
                <w:rFonts w:ascii="宋体" w:hAnsi="宋体" w:cs="宋体"/>
                <w:b/>
                <w:sz w:val="15"/>
                <w:szCs w:val="15"/>
              </w:rPr>
            </w:pPr>
            <w:r>
              <w:rPr>
                <w:rFonts w:hint="eastAsia" w:ascii="宋体" w:hAnsi="宋体" w:cs="宋体"/>
                <w:b/>
                <w:kern w:val="0"/>
                <w:sz w:val="15"/>
                <w:szCs w:val="15"/>
                <w:lang w:bidi="ar"/>
              </w:rPr>
              <w:t>数量（台）</w:t>
            </w:r>
          </w:p>
        </w:tc>
        <w:tc>
          <w:tcPr>
            <w:tcW w:w="106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spacing w:line="360" w:lineRule="auto"/>
              <w:jc w:val="center"/>
              <w:textAlignment w:val="center"/>
              <w:rPr>
                <w:rFonts w:ascii="宋体" w:hAnsi="宋体" w:cs="宋体"/>
                <w:b/>
                <w:sz w:val="15"/>
                <w:szCs w:val="15"/>
              </w:rPr>
            </w:pPr>
            <w:r>
              <w:rPr>
                <w:rFonts w:hint="eastAsia" w:ascii="宋体" w:hAnsi="宋体" w:cs="宋体"/>
                <w:b/>
                <w:kern w:val="0"/>
                <w:sz w:val="15"/>
                <w:szCs w:val="15"/>
                <w:lang w:bidi="ar"/>
              </w:rPr>
              <w:t>单价（元）</w:t>
            </w:r>
          </w:p>
        </w:tc>
        <w:tc>
          <w:tcPr>
            <w:tcW w:w="116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spacing w:line="360" w:lineRule="auto"/>
              <w:jc w:val="center"/>
              <w:textAlignment w:val="center"/>
              <w:rPr>
                <w:rFonts w:ascii="宋体" w:hAnsi="宋体" w:cs="宋体"/>
                <w:b/>
                <w:sz w:val="15"/>
                <w:szCs w:val="15"/>
              </w:rPr>
            </w:pPr>
            <w:r>
              <w:rPr>
                <w:rFonts w:hint="eastAsia" w:ascii="宋体" w:hAnsi="宋体" w:cs="宋体"/>
                <w:b/>
                <w:kern w:val="0"/>
                <w:sz w:val="15"/>
                <w:szCs w:val="15"/>
                <w:lang w:bidi="ar"/>
              </w:rPr>
              <w:t>总价（元）</w:t>
            </w:r>
          </w:p>
        </w:tc>
        <w:tc>
          <w:tcPr>
            <w:tcW w:w="1275"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spacing w:line="360" w:lineRule="auto"/>
              <w:jc w:val="center"/>
              <w:textAlignment w:val="center"/>
              <w:rPr>
                <w:rFonts w:ascii="宋体" w:hAnsi="宋体" w:cs="宋体"/>
                <w:b/>
                <w:sz w:val="15"/>
                <w:szCs w:val="15"/>
              </w:rPr>
            </w:pPr>
            <w:r>
              <w:rPr>
                <w:rFonts w:hint="eastAsia" w:ascii="宋体" w:hAnsi="宋体" w:cs="宋体"/>
                <w:b/>
                <w:kern w:val="0"/>
                <w:sz w:val="15"/>
                <w:szCs w:val="15"/>
                <w:lang w:bidi="ar"/>
              </w:rPr>
              <w:t>折后价（元）</w:t>
            </w:r>
          </w:p>
        </w:tc>
        <w:tc>
          <w:tcPr>
            <w:tcW w:w="1425"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widowControl/>
              <w:spacing w:line="360" w:lineRule="auto"/>
              <w:jc w:val="center"/>
              <w:textAlignment w:val="center"/>
              <w:rPr>
                <w:rFonts w:ascii="宋体" w:hAnsi="宋体" w:cs="宋体"/>
                <w:b/>
                <w:sz w:val="15"/>
                <w:szCs w:val="15"/>
              </w:rPr>
            </w:pPr>
            <w:r>
              <w:rPr>
                <w:rFonts w:hint="eastAsia" w:ascii="宋体" w:hAnsi="宋体" w:cs="宋体"/>
                <w:b/>
                <w:kern w:val="0"/>
                <w:sz w:val="15"/>
                <w:szCs w:val="15"/>
                <w:lang w:bidi="ar"/>
              </w:rPr>
              <w:t>备注</w:t>
            </w:r>
          </w:p>
        </w:tc>
      </w:tr>
      <w:tr>
        <w:tblPrEx>
          <w:tblCellMar>
            <w:top w:w="0" w:type="dxa"/>
            <w:left w:w="0" w:type="dxa"/>
            <w:bottom w:w="0" w:type="dxa"/>
            <w:right w:w="0" w:type="dxa"/>
          </w:tblCellMar>
        </w:tblPrEx>
        <w:trPr>
          <w:trHeight w:val="310" w:hRule="atLeast"/>
        </w:trPr>
        <w:tc>
          <w:tcPr>
            <w:tcW w:w="208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spacing w:line="360" w:lineRule="auto"/>
              <w:jc w:val="left"/>
              <w:textAlignment w:val="center"/>
              <w:rPr>
                <w:rFonts w:ascii="宋体" w:hAnsi="宋体" w:cs="宋体"/>
                <w:b/>
                <w:sz w:val="22"/>
                <w:szCs w:val="22"/>
              </w:rPr>
            </w:pPr>
          </w:p>
        </w:tc>
        <w:tc>
          <w:tcPr>
            <w:tcW w:w="978"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spacing w:line="360" w:lineRule="auto"/>
              <w:jc w:val="center"/>
              <w:rPr>
                <w:rFonts w:ascii="宋体" w:hAnsi="宋体" w:cs="宋体"/>
                <w:b/>
                <w:sz w:val="22"/>
                <w:szCs w:val="22"/>
              </w:rPr>
            </w:pPr>
          </w:p>
        </w:tc>
        <w:tc>
          <w:tcPr>
            <w:tcW w:w="937"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spacing w:line="360" w:lineRule="auto"/>
              <w:jc w:val="center"/>
              <w:rPr>
                <w:rFonts w:ascii="宋体" w:hAnsi="宋体" w:cs="宋体"/>
                <w:b/>
                <w:sz w:val="22"/>
                <w:szCs w:val="22"/>
              </w:rPr>
            </w:pPr>
          </w:p>
        </w:tc>
        <w:tc>
          <w:tcPr>
            <w:tcW w:w="675"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spacing w:line="360" w:lineRule="auto"/>
              <w:jc w:val="center"/>
              <w:rPr>
                <w:rFonts w:ascii="宋体" w:hAnsi="宋体" w:cs="宋体"/>
                <w:b/>
                <w:sz w:val="22"/>
                <w:szCs w:val="22"/>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spacing w:line="360" w:lineRule="auto"/>
              <w:jc w:val="center"/>
              <w:rPr>
                <w:rFonts w:ascii="宋体" w:hAnsi="宋体" w:cs="宋体"/>
                <w:b/>
                <w:sz w:val="22"/>
                <w:szCs w:val="22"/>
              </w:rPr>
            </w:pPr>
          </w:p>
        </w:tc>
        <w:tc>
          <w:tcPr>
            <w:tcW w:w="116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spacing w:line="360" w:lineRule="auto"/>
              <w:jc w:val="center"/>
              <w:rPr>
                <w:rFonts w:ascii="宋体" w:hAnsi="宋体" w:cs="宋体"/>
                <w:b/>
                <w:sz w:val="22"/>
                <w:szCs w:val="22"/>
              </w:rPr>
            </w:pPr>
          </w:p>
        </w:tc>
        <w:tc>
          <w:tcPr>
            <w:tcW w:w="1275"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spacing w:line="360" w:lineRule="auto"/>
              <w:jc w:val="center"/>
              <w:rPr>
                <w:rFonts w:ascii="宋体" w:hAnsi="宋体" w:cs="宋体"/>
                <w:b/>
                <w:sz w:val="22"/>
                <w:szCs w:val="22"/>
              </w:rPr>
            </w:pPr>
          </w:p>
        </w:tc>
        <w:tc>
          <w:tcPr>
            <w:tcW w:w="1425"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spacing w:line="360" w:lineRule="auto"/>
              <w:jc w:val="center"/>
              <w:rPr>
                <w:rFonts w:ascii="宋体" w:hAnsi="宋体" w:cs="宋体"/>
                <w:b/>
                <w:sz w:val="22"/>
                <w:szCs w:val="22"/>
              </w:rPr>
            </w:pPr>
          </w:p>
        </w:tc>
      </w:tr>
      <w:tr>
        <w:tblPrEx>
          <w:tblCellMar>
            <w:top w:w="0" w:type="dxa"/>
            <w:left w:w="0" w:type="dxa"/>
            <w:bottom w:w="0" w:type="dxa"/>
            <w:right w:w="0" w:type="dxa"/>
          </w:tblCellMar>
        </w:tblPrEx>
        <w:trPr>
          <w:trHeight w:val="310" w:hRule="atLeast"/>
        </w:trPr>
        <w:tc>
          <w:tcPr>
            <w:tcW w:w="208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spacing w:line="360" w:lineRule="auto"/>
              <w:jc w:val="center"/>
              <w:textAlignment w:val="center"/>
              <w:rPr>
                <w:rFonts w:ascii="宋体" w:hAnsi="宋体" w:cs="宋体"/>
                <w:sz w:val="22"/>
                <w:szCs w:val="22"/>
              </w:rPr>
            </w:pPr>
            <w:r>
              <w:rPr>
                <w:rFonts w:hint="eastAsia" w:ascii="宋体" w:hAnsi="宋体" w:cs="宋体"/>
                <w:kern w:val="0"/>
                <w:sz w:val="22"/>
                <w:szCs w:val="22"/>
                <w:lang w:bidi="ar"/>
              </w:rPr>
              <w:t>1</w:t>
            </w:r>
          </w:p>
        </w:tc>
        <w:tc>
          <w:tcPr>
            <w:tcW w:w="978"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pPr>
              <w:spacing w:line="360" w:lineRule="auto"/>
              <w:jc w:val="center"/>
              <w:rPr>
                <w:rFonts w:ascii="宋体" w:hAnsi="宋体" w:cs="宋体"/>
                <w:sz w:val="22"/>
                <w:szCs w:val="22"/>
              </w:rPr>
            </w:pPr>
          </w:p>
        </w:tc>
        <w:tc>
          <w:tcPr>
            <w:tcW w:w="937"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spacing w:line="360" w:lineRule="auto"/>
              <w:jc w:val="center"/>
              <w:rPr>
                <w:rFonts w:ascii="宋体" w:hAnsi="宋体" w:cs="宋体"/>
                <w:sz w:val="22"/>
                <w:szCs w:val="22"/>
              </w:rPr>
            </w:pPr>
          </w:p>
        </w:tc>
        <w:tc>
          <w:tcPr>
            <w:tcW w:w="675"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spacing w:line="360" w:lineRule="auto"/>
              <w:jc w:val="center"/>
              <w:rPr>
                <w:rFonts w:ascii="宋体" w:hAnsi="宋体" w:cs="宋体"/>
                <w:sz w:val="22"/>
                <w:szCs w:val="22"/>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spacing w:line="360" w:lineRule="auto"/>
              <w:jc w:val="center"/>
              <w:rPr>
                <w:rFonts w:ascii="宋体" w:hAnsi="宋体" w:cs="宋体"/>
                <w:sz w:val="22"/>
                <w:szCs w:val="22"/>
              </w:rPr>
            </w:pPr>
          </w:p>
        </w:tc>
        <w:tc>
          <w:tcPr>
            <w:tcW w:w="116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spacing w:line="360" w:lineRule="auto"/>
              <w:jc w:val="center"/>
              <w:rPr>
                <w:rFonts w:ascii="宋体" w:hAnsi="宋体" w:cs="宋体"/>
                <w:sz w:val="22"/>
                <w:szCs w:val="22"/>
              </w:rPr>
            </w:pPr>
          </w:p>
        </w:tc>
        <w:tc>
          <w:tcPr>
            <w:tcW w:w="1275"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spacing w:line="360" w:lineRule="auto"/>
              <w:jc w:val="center"/>
              <w:rPr>
                <w:rFonts w:ascii="宋体" w:hAnsi="宋体" w:cs="宋体"/>
                <w:sz w:val="22"/>
                <w:szCs w:val="22"/>
              </w:rPr>
            </w:pPr>
          </w:p>
        </w:tc>
        <w:tc>
          <w:tcPr>
            <w:tcW w:w="1425"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spacing w:line="360" w:lineRule="auto"/>
              <w:jc w:val="center"/>
              <w:rPr>
                <w:rFonts w:ascii="宋体" w:hAnsi="宋体" w:cs="宋体"/>
                <w:sz w:val="22"/>
                <w:szCs w:val="22"/>
              </w:rPr>
            </w:pPr>
          </w:p>
        </w:tc>
      </w:tr>
      <w:tr>
        <w:tblPrEx>
          <w:tblCellMar>
            <w:top w:w="0" w:type="dxa"/>
            <w:left w:w="0" w:type="dxa"/>
            <w:bottom w:w="0" w:type="dxa"/>
            <w:right w:w="0" w:type="dxa"/>
          </w:tblCellMar>
        </w:tblPrEx>
        <w:trPr>
          <w:trHeight w:val="310" w:hRule="atLeast"/>
        </w:trPr>
        <w:tc>
          <w:tcPr>
            <w:tcW w:w="208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spacing w:line="360" w:lineRule="auto"/>
              <w:jc w:val="center"/>
              <w:textAlignment w:val="center"/>
              <w:rPr>
                <w:rFonts w:ascii="宋体" w:hAnsi="宋体" w:cs="宋体"/>
                <w:sz w:val="22"/>
                <w:szCs w:val="22"/>
              </w:rPr>
            </w:pPr>
            <w:r>
              <w:rPr>
                <w:rFonts w:hint="eastAsia" w:ascii="宋体" w:hAnsi="宋体" w:cs="宋体"/>
                <w:kern w:val="0"/>
                <w:sz w:val="22"/>
                <w:szCs w:val="22"/>
                <w:lang w:bidi="ar"/>
              </w:rPr>
              <w:t>2</w:t>
            </w:r>
          </w:p>
        </w:tc>
        <w:tc>
          <w:tcPr>
            <w:tcW w:w="978"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pPr>
              <w:spacing w:line="360" w:lineRule="auto"/>
              <w:jc w:val="center"/>
              <w:rPr>
                <w:rFonts w:ascii="宋体" w:hAnsi="宋体" w:cs="宋体"/>
                <w:sz w:val="22"/>
                <w:szCs w:val="22"/>
              </w:rPr>
            </w:pPr>
          </w:p>
        </w:tc>
        <w:tc>
          <w:tcPr>
            <w:tcW w:w="937"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spacing w:line="360" w:lineRule="auto"/>
              <w:jc w:val="center"/>
              <w:rPr>
                <w:rFonts w:ascii="宋体" w:hAnsi="宋体" w:cs="宋体"/>
                <w:sz w:val="22"/>
                <w:szCs w:val="22"/>
              </w:rPr>
            </w:pPr>
          </w:p>
        </w:tc>
        <w:tc>
          <w:tcPr>
            <w:tcW w:w="675"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spacing w:line="360" w:lineRule="auto"/>
              <w:jc w:val="center"/>
              <w:rPr>
                <w:rFonts w:ascii="宋体" w:hAnsi="宋体" w:cs="宋体"/>
                <w:sz w:val="22"/>
                <w:szCs w:val="22"/>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spacing w:line="360" w:lineRule="auto"/>
              <w:jc w:val="center"/>
              <w:rPr>
                <w:rFonts w:ascii="宋体" w:hAnsi="宋体" w:cs="宋体"/>
                <w:sz w:val="22"/>
                <w:szCs w:val="22"/>
              </w:rPr>
            </w:pPr>
          </w:p>
        </w:tc>
        <w:tc>
          <w:tcPr>
            <w:tcW w:w="116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spacing w:line="360" w:lineRule="auto"/>
              <w:jc w:val="center"/>
              <w:rPr>
                <w:rFonts w:ascii="宋体" w:hAnsi="宋体" w:cs="宋体"/>
                <w:sz w:val="22"/>
                <w:szCs w:val="22"/>
              </w:rPr>
            </w:pPr>
          </w:p>
        </w:tc>
        <w:tc>
          <w:tcPr>
            <w:tcW w:w="1275"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spacing w:line="360" w:lineRule="auto"/>
              <w:jc w:val="center"/>
              <w:rPr>
                <w:rFonts w:ascii="宋体" w:hAnsi="宋体" w:cs="宋体"/>
                <w:sz w:val="22"/>
                <w:szCs w:val="22"/>
              </w:rPr>
            </w:pPr>
          </w:p>
        </w:tc>
        <w:tc>
          <w:tcPr>
            <w:tcW w:w="1425"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spacing w:line="360" w:lineRule="auto"/>
              <w:jc w:val="center"/>
              <w:rPr>
                <w:rFonts w:ascii="宋体" w:hAnsi="宋体" w:cs="宋体"/>
                <w:sz w:val="22"/>
                <w:szCs w:val="22"/>
              </w:rPr>
            </w:pPr>
          </w:p>
        </w:tc>
      </w:tr>
      <w:tr>
        <w:tblPrEx>
          <w:tblCellMar>
            <w:top w:w="0" w:type="dxa"/>
            <w:left w:w="0" w:type="dxa"/>
            <w:bottom w:w="0" w:type="dxa"/>
            <w:right w:w="0" w:type="dxa"/>
          </w:tblCellMar>
        </w:tblPrEx>
        <w:trPr>
          <w:trHeight w:val="310" w:hRule="atLeast"/>
        </w:trPr>
        <w:tc>
          <w:tcPr>
            <w:tcW w:w="208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spacing w:line="360" w:lineRule="auto"/>
              <w:jc w:val="center"/>
              <w:textAlignment w:val="center"/>
              <w:rPr>
                <w:rFonts w:ascii="宋体" w:hAnsi="宋体" w:cs="宋体"/>
                <w:sz w:val="22"/>
                <w:szCs w:val="22"/>
              </w:rPr>
            </w:pPr>
            <w:r>
              <w:rPr>
                <w:rFonts w:hint="eastAsia" w:ascii="宋体" w:hAnsi="宋体" w:cs="宋体"/>
                <w:kern w:val="0"/>
                <w:sz w:val="22"/>
                <w:szCs w:val="22"/>
                <w:lang w:bidi="ar"/>
              </w:rPr>
              <w:t>3</w:t>
            </w:r>
          </w:p>
        </w:tc>
        <w:tc>
          <w:tcPr>
            <w:tcW w:w="978"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pPr>
              <w:spacing w:line="360" w:lineRule="auto"/>
              <w:jc w:val="center"/>
              <w:rPr>
                <w:rFonts w:ascii="宋体" w:hAnsi="宋体" w:cs="宋体"/>
                <w:sz w:val="22"/>
                <w:szCs w:val="22"/>
              </w:rPr>
            </w:pPr>
          </w:p>
        </w:tc>
        <w:tc>
          <w:tcPr>
            <w:tcW w:w="937"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spacing w:line="360" w:lineRule="auto"/>
              <w:jc w:val="center"/>
              <w:rPr>
                <w:rFonts w:ascii="宋体" w:hAnsi="宋体" w:cs="宋体"/>
                <w:sz w:val="22"/>
                <w:szCs w:val="22"/>
              </w:rPr>
            </w:pPr>
          </w:p>
        </w:tc>
        <w:tc>
          <w:tcPr>
            <w:tcW w:w="675"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spacing w:line="360" w:lineRule="auto"/>
              <w:jc w:val="center"/>
              <w:rPr>
                <w:rFonts w:ascii="宋体" w:hAnsi="宋体" w:cs="宋体"/>
                <w:sz w:val="22"/>
                <w:szCs w:val="22"/>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spacing w:line="360" w:lineRule="auto"/>
              <w:jc w:val="center"/>
              <w:rPr>
                <w:rFonts w:ascii="宋体" w:hAnsi="宋体" w:cs="宋体"/>
                <w:sz w:val="22"/>
                <w:szCs w:val="22"/>
              </w:rPr>
            </w:pPr>
          </w:p>
        </w:tc>
        <w:tc>
          <w:tcPr>
            <w:tcW w:w="116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spacing w:line="360" w:lineRule="auto"/>
              <w:jc w:val="center"/>
              <w:rPr>
                <w:rFonts w:ascii="宋体" w:hAnsi="宋体" w:cs="宋体"/>
                <w:sz w:val="22"/>
                <w:szCs w:val="22"/>
              </w:rPr>
            </w:pPr>
          </w:p>
        </w:tc>
        <w:tc>
          <w:tcPr>
            <w:tcW w:w="1275"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spacing w:line="360" w:lineRule="auto"/>
              <w:jc w:val="center"/>
              <w:rPr>
                <w:rFonts w:ascii="宋体" w:hAnsi="宋体" w:cs="宋体"/>
                <w:sz w:val="22"/>
                <w:szCs w:val="22"/>
              </w:rPr>
            </w:pPr>
          </w:p>
        </w:tc>
        <w:tc>
          <w:tcPr>
            <w:tcW w:w="1425"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spacing w:line="360" w:lineRule="auto"/>
              <w:jc w:val="center"/>
              <w:rPr>
                <w:rFonts w:ascii="宋体" w:hAnsi="宋体" w:cs="宋体"/>
                <w:sz w:val="22"/>
                <w:szCs w:val="22"/>
              </w:rPr>
            </w:pPr>
          </w:p>
        </w:tc>
      </w:tr>
      <w:tr>
        <w:tblPrEx>
          <w:tblCellMar>
            <w:top w:w="0" w:type="dxa"/>
            <w:left w:w="0" w:type="dxa"/>
            <w:bottom w:w="0" w:type="dxa"/>
            <w:right w:w="0" w:type="dxa"/>
          </w:tblCellMar>
        </w:tblPrEx>
        <w:trPr>
          <w:trHeight w:val="310" w:hRule="atLeast"/>
        </w:trPr>
        <w:tc>
          <w:tcPr>
            <w:tcW w:w="208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spacing w:line="360" w:lineRule="auto"/>
              <w:jc w:val="center"/>
              <w:textAlignment w:val="center"/>
              <w:rPr>
                <w:rFonts w:ascii="宋体" w:hAnsi="宋体" w:cs="宋体"/>
                <w:sz w:val="22"/>
                <w:szCs w:val="22"/>
              </w:rPr>
            </w:pPr>
            <w:r>
              <w:rPr>
                <w:rFonts w:hint="eastAsia" w:ascii="宋体" w:hAnsi="宋体" w:cs="宋体"/>
                <w:kern w:val="0"/>
                <w:sz w:val="22"/>
                <w:szCs w:val="22"/>
                <w:lang w:bidi="ar"/>
              </w:rPr>
              <w:t>4</w:t>
            </w:r>
          </w:p>
        </w:tc>
        <w:tc>
          <w:tcPr>
            <w:tcW w:w="978"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pPr>
              <w:spacing w:line="360" w:lineRule="auto"/>
              <w:jc w:val="center"/>
              <w:rPr>
                <w:rFonts w:ascii="宋体" w:hAnsi="宋体" w:cs="宋体"/>
                <w:sz w:val="22"/>
                <w:szCs w:val="22"/>
              </w:rPr>
            </w:pPr>
          </w:p>
        </w:tc>
        <w:tc>
          <w:tcPr>
            <w:tcW w:w="937"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spacing w:line="360" w:lineRule="auto"/>
              <w:jc w:val="center"/>
              <w:rPr>
                <w:rFonts w:ascii="宋体" w:hAnsi="宋体" w:cs="宋体"/>
                <w:sz w:val="22"/>
                <w:szCs w:val="22"/>
              </w:rPr>
            </w:pPr>
          </w:p>
        </w:tc>
        <w:tc>
          <w:tcPr>
            <w:tcW w:w="675"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spacing w:line="360" w:lineRule="auto"/>
              <w:jc w:val="center"/>
              <w:rPr>
                <w:rFonts w:ascii="宋体" w:hAnsi="宋体" w:cs="宋体"/>
                <w:sz w:val="22"/>
                <w:szCs w:val="22"/>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spacing w:line="360" w:lineRule="auto"/>
              <w:jc w:val="center"/>
              <w:rPr>
                <w:rFonts w:ascii="宋体" w:hAnsi="宋体" w:cs="宋体"/>
                <w:sz w:val="22"/>
                <w:szCs w:val="22"/>
              </w:rPr>
            </w:pPr>
          </w:p>
        </w:tc>
        <w:tc>
          <w:tcPr>
            <w:tcW w:w="116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spacing w:line="360" w:lineRule="auto"/>
              <w:jc w:val="center"/>
              <w:rPr>
                <w:rFonts w:ascii="宋体" w:hAnsi="宋体" w:cs="宋体"/>
                <w:sz w:val="22"/>
                <w:szCs w:val="22"/>
              </w:rPr>
            </w:pPr>
          </w:p>
        </w:tc>
        <w:tc>
          <w:tcPr>
            <w:tcW w:w="1275"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spacing w:line="360" w:lineRule="auto"/>
              <w:jc w:val="center"/>
              <w:rPr>
                <w:rFonts w:ascii="宋体" w:hAnsi="宋体" w:cs="宋体"/>
                <w:sz w:val="22"/>
                <w:szCs w:val="22"/>
              </w:rPr>
            </w:pPr>
          </w:p>
        </w:tc>
        <w:tc>
          <w:tcPr>
            <w:tcW w:w="1425"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spacing w:line="360" w:lineRule="auto"/>
              <w:jc w:val="center"/>
              <w:rPr>
                <w:rFonts w:ascii="宋体" w:hAnsi="宋体" w:cs="宋体"/>
                <w:sz w:val="22"/>
                <w:szCs w:val="22"/>
              </w:rPr>
            </w:pPr>
          </w:p>
        </w:tc>
      </w:tr>
      <w:tr>
        <w:tblPrEx>
          <w:tblCellMar>
            <w:top w:w="0" w:type="dxa"/>
            <w:left w:w="0" w:type="dxa"/>
            <w:bottom w:w="0" w:type="dxa"/>
            <w:right w:w="0" w:type="dxa"/>
          </w:tblCellMar>
        </w:tblPrEx>
        <w:trPr>
          <w:trHeight w:val="280" w:hRule="atLeast"/>
        </w:trPr>
        <w:tc>
          <w:tcPr>
            <w:tcW w:w="208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spacing w:line="360" w:lineRule="auto"/>
              <w:jc w:val="left"/>
              <w:textAlignment w:val="center"/>
              <w:rPr>
                <w:rFonts w:ascii="宋体" w:hAnsi="宋体" w:cs="宋体"/>
                <w:b/>
                <w:sz w:val="22"/>
                <w:szCs w:val="22"/>
              </w:rPr>
            </w:pPr>
          </w:p>
        </w:tc>
        <w:tc>
          <w:tcPr>
            <w:tcW w:w="978"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spacing w:line="360" w:lineRule="auto"/>
              <w:jc w:val="center"/>
              <w:rPr>
                <w:rFonts w:ascii="宋体" w:hAnsi="宋体" w:cs="宋体"/>
                <w:b/>
                <w:sz w:val="22"/>
                <w:szCs w:val="22"/>
              </w:rPr>
            </w:pPr>
          </w:p>
        </w:tc>
        <w:tc>
          <w:tcPr>
            <w:tcW w:w="937"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spacing w:line="360" w:lineRule="auto"/>
              <w:jc w:val="center"/>
              <w:rPr>
                <w:rFonts w:ascii="宋体" w:hAnsi="宋体" w:cs="宋体"/>
                <w:b/>
                <w:sz w:val="22"/>
                <w:szCs w:val="22"/>
              </w:rPr>
            </w:pPr>
          </w:p>
        </w:tc>
        <w:tc>
          <w:tcPr>
            <w:tcW w:w="675"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spacing w:line="360" w:lineRule="auto"/>
              <w:jc w:val="center"/>
              <w:rPr>
                <w:rFonts w:ascii="宋体" w:hAnsi="宋体" w:cs="宋体"/>
                <w:b/>
                <w:sz w:val="22"/>
                <w:szCs w:val="22"/>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spacing w:line="360" w:lineRule="auto"/>
              <w:jc w:val="center"/>
              <w:rPr>
                <w:rFonts w:ascii="宋体" w:hAnsi="宋体" w:cs="宋体"/>
                <w:b/>
                <w:sz w:val="22"/>
                <w:szCs w:val="22"/>
              </w:rPr>
            </w:pPr>
          </w:p>
        </w:tc>
        <w:tc>
          <w:tcPr>
            <w:tcW w:w="116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spacing w:line="360" w:lineRule="auto"/>
              <w:jc w:val="center"/>
              <w:rPr>
                <w:rFonts w:ascii="宋体" w:hAnsi="宋体" w:cs="宋体"/>
                <w:b/>
                <w:sz w:val="22"/>
                <w:szCs w:val="22"/>
              </w:rPr>
            </w:pPr>
          </w:p>
        </w:tc>
        <w:tc>
          <w:tcPr>
            <w:tcW w:w="1275"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spacing w:line="360" w:lineRule="auto"/>
              <w:jc w:val="center"/>
              <w:rPr>
                <w:rFonts w:ascii="宋体" w:hAnsi="宋体" w:cs="宋体"/>
                <w:sz w:val="22"/>
                <w:szCs w:val="22"/>
              </w:rPr>
            </w:pPr>
          </w:p>
        </w:tc>
        <w:tc>
          <w:tcPr>
            <w:tcW w:w="1425"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spacing w:line="360" w:lineRule="auto"/>
              <w:jc w:val="center"/>
              <w:rPr>
                <w:rFonts w:ascii="宋体" w:hAnsi="宋体" w:cs="宋体"/>
                <w:b/>
                <w:sz w:val="22"/>
                <w:szCs w:val="22"/>
              </w:rPr>
            </w:pPr>
          </w:p>
        </w:tc>
      </w:tr>
      <w:tr>
        <w:tblPrEx>
          <w:tblCellMar>
            <w:top w:w="0" w:type="dxa"/>
            <w:left w:w="0" w:type="dxa"/>
            <w:bottom w:w="0" w:type="dxa"/>
            <w:right w:w="0" w:type="dxa"/>
          </w:tblCellMar>
        </w:tblPrEx>
        <w:trPr>
          <w:trHeight w:val="280" w:hRule="atLeast"/>
        </w:trPr>
        <w:tc>
          <w:tcPr>
            <w:tcW w:w="208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spacing w:line="360" w:lineRule="auto"/>
              <w:jc w:val="center"/>
              <w:textAlignment w:val="center"/>
              <w:rPr>
                <w:rFonts w:ascii="宋体" w:hAnsi="宋体" w:cs="宋体"/>
                <w:sz w:val="22"/>
                <w:szCs w:val="22"/>
              </w:rPr>
            </w:pPr>
            <w:r>
              <w:rPr>
                <w:rFonts w:hint="eastAsia" w:ascii="宋体" w:hAnsi="宋体" w:cs="宋体"/>
                <w:kern w:val="0"/>
                <w:sz w:val="22"/>
                <w:szCs w:val="22"/>
                <w:lang w:bidi="ar"/>
              </w:rPr>
              <w:t>5</w:t>
            </w:r>
          </w:p>
        </w:tc>
        <w:tc>
          <w:tcPr>
            <w:tcW w:w="978"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pPr>
              <w:spacing w:line="360" w:lineRule="auto"/>
              <w:jc w:val="center"/>
              <w:rPr>
                <w:rFonts w:ascii="宋体" w:hAnsi="宋体" w:cs="宋体"/>
                <w:sz w:val="22"/>
                <w:szCs w:val="22"/>
              </w:rPr>
            </w:pPr>
          </w:p>
        </w:tc>
        <w:tc>
          <w:tcPr>
            <w:tcW w:w="937"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spacing w:line="360" w:lineRule="auto"/>
              <w:jc w:val="center"/>
              <w:rPr>
                <w:rFonts w:ascii="宋体" w:hAnsi="宋体" w:cs="宋体"/>
                <w:sz w:val="22"/>
                <w:szCs w:val="22"/>
              </w:rPr>
            </w:pPr>
          </w:p>
        </w:tc>
        <w:tc>
          <w:tcPr>
            <w:tcW w:w="675"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spacing w:line="360" w:lineRule="auto"/>
              <w:jc w:val="center"/>
              <w:rPr>
                <w:rFonts w:ascii="宋体" w:hAnsi="宋体" w:cs="宋体"/>
                <w:sz w:val="22"/>
                <w:szCs w:val="22"/>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spacing w:line="360" w:lineRule="auto"/>
              <w:jc w:val="center"/>
              <w:rPr>
                <w:rFonts w:ascii="宋体" w:hAnsi="宋体" w:cs="宋体"/>
                <w:sz w:val="22"/>
                <w:szCs w:val="22"/>
              </w:rPr>
            </w:pPr>
          </w:p>
        </w:tc>
        <w:tc>
          <w:tcPr>
            <w:tcW w:w="116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spacing w:line="360" w:lineRule="auto"/>
              <w:jc w:val="center"/>
              <w:rPr>
                <w:rFonts w:ascii="宋体" w:hAnsi="宋体" w:cs="宋体"/>
                <w:sz w:val="22"/>
                <w:szCs w:val="22"/>
              </w:rPr>
            </w:pPr>
          </w:p>
        </w:tc>
        <w:tc>
          <w:tcPr>
            <w:tcW w:w="1275"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spacing w:line="360" w:lineRule="auto"/>
              <w:jc w:val="center"/>
              <w:rPr>
                <w:rFonts w:ascii="宋体" w:hAnsi="宋体" w:cs="宋体"/>
                <w:sz w:val="22"/>
                <w:szCs w:val="22"/>
              </w:rPr>
            </w:pPr>
          </w:p>
        </w:tc>
        <w:tc>
          <w:tcPr>
            <w:tcW w:w="1425"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pPr>
              <w:spacing w:line="360" w:lineRule="auto"/>
              <w:jc w:val="center"/>
              <w:rPr>
                <w:rFonts w:ascii="宋体" w:hAnsi="宋体" w:cs="宋体"/>
                <w:sz w:val="22"/>
                <w:szCs w:val="22"/>
              </w:rPr>
            </w:pPr>
          </w:p>
        </w:tc>
      </w:tr>
      <w:tr>
        <w:tblPrEx>
          <w:tblCellMar>
            <w:top w:w="0" w:type="dxa"/>
            <w:left w:w="0" w:type="dxa"/>
            <w:bottom w:w="0" w:type="dxa"/>
            <w:right w:w="0" w:type="dxa"/>
          </w:tblCellMar>
        </w:tblPrEx>
        <w:trPr>
          <w:trHeight w:val="280" w:hRule="atLeast"/>
        </w:trPr>
        <w:tc>
          <w:tcPr>
            <w:tcW w:w="208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spacing w:line="360" w:lineRule="auto"/>
              <w:jc w:val="center"/>
              <w:textAlignment w:val="center"/>
              <w:rPr>
                <w:rFonts w:ascii="宋体" w:hAnsi="宋体" w:cs="宋体"/>
                <w:sz w:val="22"/>
                <w:szCs w:val="22"/>
              </w:rPr>
            </w:pPr>
            <w:r>
              <w:rPr>
                <w:rFonts w:hint="eastAsia" w:ascii="宋体" w:hAnsi="宋体" w:cs="宋体"/>
                <w:kern w:val="0"/>
                <w:sz w:val="22"/>
                <w:szCs w:val="22"/>
                <w:lang w:bidi="ar"/>
              </w:rPr>
              <w:t>6</w:t>
            </w:r>
          </w:p>
        </w:tc>
        <w:tc>
          <w:tcPr>
            <w:tcW w:w="978"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pPr>
              <w:spacing w:line="360" w:lineRule="auto"/>
              <w:jc w:val="center"/>
              <w:rPr>
                <w:rFonts w:ascii="宋体" w:hAnsi="宋体" w:cs="宋体"/>
                <w:sz w:val="22"/>
                <w:szCs w:val="22"/>
              </w:rPr>
            </w:pPr>
          </w:p>
        </w:tc>
        <w:tc>
          <w:tcPr>
            <w:tcW w:w="937"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spacing w:line="360" w:lineRule="auto"/>
              <w:jc w:val="center"/>
              <w:rPr>
                <w:rFonts w:ascii="宋体" w:hAnsi="宋体" w:cs="宋体"/>
                <w:sz w:val="22"/>
                <w:szCs w:val="22"/>
              </w:rPr>
            </w:pPr>
          </w:p>
        </w:tc>
        <w:tc>
          <w:tcPr>
            <w:tcW w:w="675"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spacing w:line="360" w:lineRule="auto"/>
              <w:jc w:val="center"/>
              <w:rPr>
                <w:rFonts w:ascii="宋体" w:hAnsi="宋体" w:cs="宋体"/>
                <w:sz w:val="22"/>
                <w:szCs w:val="22"/>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spacing w:line="360" w:lineRule="auto"/>
              <w:jc w:val="center"/>
              <w:rPr>
                <w:rFonts w:ascii="宋体" w:hAnsi="宋体" w:cs="宋体"/>
                <w:sz w:val="22"/>
                <w:szCs w:val="22"/>
              </w:rPr>
            </w:pPr>
          </w:p>
        </w:tc>
        <w:tc>
          <w:tcPr>
            <w:tcW w:w="116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spacing w:line="360" w:lineRule="auto"/>
              <w:jc w:val="center"/>
              <w:rPr>
                <w:rFonts w:ascii="宋体" w:hAnsi="宋体" w:cs="宋体"/>
                <w:sz w:val="22"/>
                <w:szCs w:val="22"/>
              </w:rPr>
            </w:pPr>
          </w:p>
        </w:tc>
        <w:tc>
          <w:tcPr>
            <w:tcW w:w="1275"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spacing w:line="360" w:lineRule="auto"/>
              <w:jc w:val="center"/>
              <w:rPr>
                <w:rFonts w:ascii="宋体" w:hAnsi="宋体" w:cs="宋体"/>
                <w:sz w:val="22"/>
                <w:szCs w:val="22"/>
              </w:rPr>
            </w:pPr>
          </w:p>
        </w:tc>
        <w:tc>
          <w:tcPr>
            <w:tcW w:w="1425"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pPr>
              <w:spacing w:line="360" w:lineRule="auto"/>
              <w:jc w:val="center"/>
              <w:rPr>
                <w:rFonts w:ascii="宋体" w:hAnsi="宋体" w:cs="宋体"/>
                <w:sz w:val="22"/>
                <w:szCs w:val="22"/>
              </w:rPr>
            </w:pPr>
          </w:p>
        </w:tc>
      </w:tr>
      <w:tr>
        <w:tblPrEx>
          <w:tblCellMar>
            <w:top w:w="0" w:type="dxa"/>
            <w:left w:w="0" w:type="dxa"/>
            <w:bottom w:w="0" w:type="dxa"/>
            <w:right w:w="0" w:type="dxa"/>
          </w:tblCellMar>
        </w:tblPrEx>
        <w:trPr>
          <w:trHeight w:val="280" w:hRule="atLeast"/>
        </w:trPr>
        <w:tc>
          <w:tcPr>
            <w:tcW w:w="208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spacing w:line="360" w:lineRule="auto"/>
              <w:jc w:val="center"/>
              <w:textAlignment w:val="center"/>
              <w:rPr>
                <w:rFonts w:ascii="宋体" w:hAnsi="宋体" w:cs="宋体"/>
                <w:sz w:val="22"/>
                <w:szCs w:val="22"/>
              </w:rPr>
            </w:pPr>
            <w:r>
              <w:rPr>
                <w:rFonts w:hint="eastAsia" w:ascii="宋体" w:hAnsi="宋体" w:cs="宋体"/>
                <w:kern w:val="0"/>
                <w:sz w:val="22"/>
                <w:szCs w:val="22"/>
                <w:lang w:bidi="ar"/>
              </w:rPr>
              <w:t>7</w:t>
            </w:r>
          </w:p>
        </w:tc>
        <w:tc>
          <w:tcPr>
            <w:tcW w:w="978"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pPr>
              <w:spacing w:line="360" w:lineRule="auto"/>
              <w:jc w:val="center"/>
              <w:rPr>
                <w:rFonts w:ascii="宋体" w:hAnsi="宋体" w:cs="宋体"/>
                <w:sz w:val="22"/>
                <w:szCs w:val="22"/>
              </w:rPr>
            </w:pPr>
          </w:p>
        </w:tc>
        <w:tc>
          <w:tcPr>
            <w:tcW w:w="937"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spacing w:line="360" w:lineRule="auto"/>
              <w:jc w:val="center"/>
              <w:rPr>
                <w:rFonts w:ascii="宋体" w:hAnsi="宋体" w:cs="宋体"/>
                <w:sz w:val="22"/>
                <w:szCs w:val="22"/>
              </w:rPr>
            </w:pPr>
          </w:p>
        </w:tc>
        <w:tc>
          <w:tcPr>
            <w:tcW w:w="675"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spacing w:line="360" w:lineRule="auto"/>
              <w:jc w:val="center"/>
              <w:rPr>
                <w:rFonts w:ascii="宋体" w:hAnsi="宋体" w:cs="宋体"/>
                <w:sz w:val="22"/>
                <w:szCs w:val="22"/>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spacing w:line="360" w:lineRule="auto"/>
              <w:jc w:val="center"/>
              <w:rPr>
                <w:rFonts w:ascii="宋体" w:hAnsi="宋体" w:cs="宋体"/>
                <w:sz w:val="22"/>
                <w:szCs w:val="22"/>
              </w:rPr>
            </w:pPr>
          </w:p>
        </w:tc>
        <w:tc>
          <w:tcPr>
            <w:tcW w:w="116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spacing w:line="360" w:lineRule="auto"/>
              <w:jc w:val="center"/>
              <w:rPr>
                <w:rFonts w:ascii="宋体" w:hAnsi="宋体" w:cs="宋体"/>
                <w:sz w:val="22"/>
                <w:szCs w:val="22"/>
              </w:rPr>
            </w:pPr>
          </w:p>
        </w:tc>
        <w:tc>
          <w:tcPr>
            <w:tcW w:w="1275"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spacing w:line="360" w:lineRule="auto"/>
              <w:jc w:val="center"/>
              <w:rPr>
                <w:rFonts w:ascii="宋体" w:hAnsi="宋体" w:cs="宋体"/>
                <w:sz w:val="22"/>
                <w:szCs w:val="22"/>
              </w:rPr>
            </w:pPr>
          </w:p>
        </w:tc>
        <w:tc>
          <w:tcPr>
            <w:tcW w:w="1425"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pPr>
              <w:spacing w:line="360" w:lineRule="auto"/>
              <w:jc w:val="center"/>
              <w:rPr>
                <w:rFonts w:ascii="宋体" w:hAnsi="宋体" w:cs="宋体"/>
                <w:sz w:val="22"/>
                <w:szCs w:val="22"/>
              </w:rPr>
            </w:pPr>
          </w:p>
        </w:tc>
      </w:tr>
      <w:tr>
        <w:tblPrEx>
          <w:tblCellMar>
            <w:top w:w="0" w:type="dxa"/>
            <w:left w:w="0" w:type="dxa"/>
            <w:bottom w:w="0" w:type="dxa"/>
            <w:right w:w="0" w:type="dxa"/>
          </w:tblCellMar>
        </w:tblPrEx>
        <w:trPr>
          <w:trHeight w:val="280" w:hRule="atLeast"/>
        </w:trPr>
        <w:tc>
          <w:tcPr>
            <w:tcW w:w="208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spacing w:line="360" w:lineRule="auto"/>
              <w:jc w:val="center"/>
              <w:textAlignment w:val="center"/>
              <w:rPr>
                <w:rFonts w:ascii="宋体" w:hAnsi="宋体" w:cs="宋体"/>
                <w:sz w:val="22"/>
                <w:szCs w:val="22"/>
              </w:rPr>
            </w:pPr>
            <w:r>
              <w:rPr>
                <w:rFonts w:hint="eastAsia" w:ascii="宋体" w:hAnsi="宋体" w:cs="宋体"/>
                <w:kern w:val="0"/>
                <w:sz w:val="22"/>
                <w:szCs w:val="22"/>
                <w:lang w:bidi="ar"/>
              </w:rPr>
              <w:t>8</w:t>
            </w:r>
          </w:p>
        </w:tc>
        <w:tc>
          <w:tcPr>
            <w:tcW w:w="978"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pPr>
              <w:spacing w:line="360" w:lineRule="auto"/>
              <w:jc w:val="center"/>
              <w:rPr>
                <w:rFonts w:ascii="宋体" w:hAnsi="宋体" w:cs="宋体"/>
                <w:sz w:val="22"/>
                <w:szCs w:val="22"/>
              </w:rPr>
            </w:pPr>
          </w:p>
        </w:tc>
        <w:tc>
          <w:tcPr>
            <w:tcW w:w="937"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spacing w:line="360" w:lineRule="auto"/>
              <w:jc w:val="center"/>
              <w:rPr>
                <w:rFonts w:ascii="宋体" w:hAnsi="宋体" w:cs="宋体"/>
                <w:sz w:val="22"/>
                <w:szCs w:val="22"/>
              </w:rPr>
            </w:pPr>
          </w:p>
        </w:tc>
        <w:tc>
          <w:tcPr>
            <w:tcW w:w="675"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spacing w:line="360" w:lineRule="auto"/>
              <w:jc w:val="center"/>
              <w:rPr>
                <w:rFonts w:ascii="宋体" w:hAnsi="宋体" w:cs="宋体"/>
                <w:sz w:val="22"/>
                <w:szCs w:val="22"/>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spacing w:line="360" w:lineRule="auto"/>
              <w:jc w:val="center"/>
              <w:rPr>
                <w:rFonts w:ascii="宋体" w:hAnsi="宋体" w:cs="宋体"/>
                <w:sz w:val="22"/>
                <w:szCs w:val="22"/>
              </w:rPr>
            </w:pPr>
          </w:p>
        </w:tc>
        <w:tc>
          <w:tcPr>
            <w:tcW w:w="116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spacing w:line="360" w:lineRule="auto"/>
              <w:jc w:val="center"/>
              <w:rPr>
                <w:rFonts w:ascii="宋体" w:hAnsi="宋体" w:cs="宋体"/>
                <w:sz w:val="22"/>
                <w:szCs w:val="22"/>
              </w:rPr>
            </w:pPr>
          </w:p>
        </w:tc>
        <w:tc>
          <w:tcPr>
            <w:tcW w:w="1275"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spacing w:line="360" w:lineRule="auto"/>
              <w:jc w:val="center"/>
              <w:rPr>
                <w:rFonts w:ascii="宋体" w:hAnsi="宋体" w:cs="宋体"/>
                <w:sz w:val="22"/>
                <w:szCs w:val="22"/>
              </w:rPr>
            </w:pPr>
          </w:p>
        </w:tc>
        <w:tc>
          <w:tcPr>
            <w:tcW w:w="1425"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pPr>
              <w:spacing w:line="360" w:lineRule="auto"/>
              <w:jc w:val="center"/>
              <w:rPr>
                <w:rFonts w:ascii="宋体" w:hAnsi="宋体" w:cs="宋体"/>
                <w:sz w:val="22"/>
                <w:szCs w:val="22"/>
              </w:rPr>
            </w:pPr>
          </w:p>
        </w:tc>
      </w:tr>
      <w:tr>
        <w:tblPrEx>
          <w:tblCellMar>
            <w:top w:w="0" w:type="dxa"/>
            <w:left w:w="0" w:type="dxa"/>
            <w:bottom w:w="0" w:type="dxa"/>
            <w:right w:w="0" w:type="dxa"/>
          </w:tblCellMar>
        </w:tblPrEx>
        <w:trPr>
          <w:trHeight w:val="280" w:hRule="atLeast"/>
        </w:trPr>
        <w:tc>
          <w:tcPr>
            <w:tcW w:w="208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spacing w:line="360" w:lineRule="auto"/>
              <w:jc w:val="center"/>
              <w:textAlignment w:val="center"/>
              <w:rPr>
                <w:rFonts w:ascii="宋体" w:hAnsi="宋体" w:cs="宋体"/>
                <w:sz w:val="22"/>
                <w:szCs w:val="22"/>
              </w:rPr>
            </w:pPr>
            <w:r>
              <w:rPr>
                <w:rFonts w:hint="eastAsia" w:ascii="宋体" w:hAnsi="宋体" w:cs="宋体"/>
                <w:kern w:val="0"/>
                <w:sz w:val="22"/>
                <w:szCs w:val="22"/>
                <w:lang w:bidi="ar"/>
              </w:rPr>
              <w:t>9</w:t>
            </w:r>
          </w:p>
        </w:tc>
        <w:tc>
          <w:tcPr>
            <w:tcW w:w="978"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pPr>
              <w:spacing w:line="360" w:lineRule="auto"/>
              <w:jc w:val="center"/>
              <w:rPr>
                <w:rFonts w:ascii="宋体" w:hAnsi="宋体" w:cs="宋体"/>
                <w:sz w:val="22"/>
                <w:szCs w:val="22"/>
              </w:rPr>
            </w:pPr>
          </w:p>
        </w:tc>
        <w:tc>
          <w:tcPr>
            <w:tcW w:w="937"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spacing w:line="360" w:lineRule="auto"/>
              <w:jc w:val="center"/>
              <w:rPr>
                <w:rFonts w:ascii="宋体" w:hAnsi="宋体" w:cs="宋体"/>
                <w:sz w:val="22"/>
                <w:szCs w:val="22"/>
              </w:rPr>
            </w:pPr>
          </w:p>
        </w:tc>
        <w:tc>
          <w:tcPr>
            <w:tcW w:w="675"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spacing w:line="360" w:lineRule="auto"/>
              <w:jc w:val="center"/>
              <w:rPr>
                <w:rFonts w:ascii="宋体" w:hAnsi="宋体" w:cs="宋体"/>
                <w:sz w:val="22"/>
                <w:szCs w:val="22"/>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spacing w:line="360" w:lineRule="auto"/>
              <w:jc w:val="center"/>
              <w:rPr>
                <w:rFonts w:ascii="宋体" w:hAnsi="宋体" w:cs="宋体"/>
                <w:sz w:val="22"/>
                <w:szCs w:val="22"/>
              </w:rPr>
            </w:pPr>
          </w:p>
        </w:tc>
        <w:tc>
          <w:tcPr>
            <w:tcW w:w="116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spacing w:line="360" w:lineRule="auto"/>
              <w:jc w:val="center"/>
              <w:rPr>
                <w:rFonts w:ascii="宋体" w:hAnsi="宋体" w:cs="宋体"/>
                <w:sz w:val="22"/>
                <w:szCs w:val="22"/>
              </w:rPr>
            </w:pPr>
          </w:p>
        </w:tc>
        <w:tc>
          <w:tcPr>
            <w:tcW w:w="1275"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spacing w:line="360" w:lineRule="auto"/>
              <w:jc w:val="center"/>
              <w:rPr>
                <w:rFonts w:ascii="宋体" w:hAnsi="宋体" w:cs="宋体"/>
                <w:sz w:val="22"/>
                <w:szCs w:val="22"/>
              </w:rPr>
            </w:pPr>
          </w:p>
        </w:tc>
        <w:tc>
          <w:tcPr>
            <w:tcW w:w="1425"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pPr>
              <w:spacing w:line="360" w:lineRule="auto"/>
              <w:jc w:val="center"/>
              <w:rPr>
                <w:rFonts w:ascii="宋体" w:hAnsi="宋体" w:cs="宋体"/>
                <w:sz w:val="22"/>
                <w:szCs w:val="22"/>
              </w:rPr>
            </w:pPr>
          </w:p>
        </w:tc>
      </w:tr>
      <w:tr>
        <w:tblPrEx>
          <w:tblCellMar>
            <w:top w:w="0" w:type="dxa"/>
            <w:left w:w="0" w:type="dxa"/>
            <w:bottom w:w="0" w:type="dxa"/>
            <w:right w:w="0" w:type="dxa"/>
          </w:tblCellMar>
        </w:tblPrEx>
        <w:trPr>
          <w:trHeight w:val="280" w:hRule="atLeast"/>
        </w:trPr>
        <w:tc>
          <w:tcPr>
            <w:tcW w:w="208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spacing w:line="360" w:lineRule="auto"/>
              <w:jc w:val="center"/>
              <w:textAlignment w:val="center"/>
              <w:rPr>
                <w:rFonts w:ascii="宋体" w:hAnsi="宋体" w:cs="宋体"/>
                <w:sz w:val="22"/>
                <w:szCs w:val="22"/>
              </w:rPr>
            </w:pPr>
            <w:r>
              <w:rPr>
                <w:rFonts w:hint="eastAsia" w:ascii="宋体" w:hAnsi="宋体" w:cs="宋体"/>
                <w:kern w:val="0"/>
                <w:sz w:val="22"/>
                <w:szCs w:val="22"/>
                <w:lang w:bidi="ar"/>
              </w:rPr>
              <w:t>10</w:t>
            </w:r>
          </w:p>
        </w:tc>
        <w:tc>
          <w:tcPr>
            <w:tcW w:w="978" w:type="dxa"/>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pPr>
              <w:spacing w:line="360" w:lineRule="auto"/>
              <w:jc w:val="center"/>
              <w:rPr>
                <w:rFonts w:ascii="宋体" w:hAnsi="宋体" w:cs="宋体"/>
                <w:sz w:val="22"/>
                <w:szCs w:val="22"/>
              </w:rPr>
            </w:pPr>
          </w:p>
        </w:tc>
        <w:tc>
          <w:tcPr>
            <w:tcW w:w="937"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spacing w:line="360" w:lineRule="auto"/>
              <w:jc w:val="center"/>
              <w:rPr>
                <w:rFonts w:ascii="宋体" w:hAnsi="宋体" w:cs="宋体"/>
                <w:sz w:val="22"/>
                <w:szCs w:val="22"/>
              </w:rPr>
            </w:pPr>
          </w:p>
        </w:tc>
        <w:tc>
          <w:tcPr>
            <w:tcW w:w="675"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spacing w:line="360" w:lineRule="auto"/>
              <w:jc w:val="center"/>
              <w:rPr>
                <w:rFonts w:ascii="宋体" w:hAnsi="宋体" w:cs="宋体"/>
                <w:sz w:val="22"/>
                <w:szCs w:val="22"/>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spacing w:line="360" w:lineRule="auto"/>
              <w:jc w:val="center"/>
              <w:rPr>
                <w:rFonts w:ascii="宋体" w:hAnsi="宋体" w:cs="宋体"/>
                <w:sz w:val="22"/>
                <w:szCs w:val="22"/>
              </w:rPr>
            </w:pPr>
          </w:p>
        </w:tc>
        <w:tc>
          <w:tcPr>
            <w:tcW w:w="116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spacing w:line="360" w:lineRule="auto"/>
              <w:jc w:val="center"/>
              <w:rPr>
                <w:rFonts w:ascii="宋体" w:hAnsi="宋体" w:cs="宋体"/>
                <w:sz w:val="22"/>
                <w:szCs w:val="22"/>
              </w:rPr>
            </w:pPr>
          </w:p>
        </w:tc>
        <w:tc>
          <w:tcPr>
            <w:tcW w:w="1275"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spacing w:line="360" w:lineRule="auto"/>
              <w:jc w:val="center"/>
              <w:rPr>
                <w:rFonts w:ascii="宋体" w:hAnsi="宋体" w:cs="宋体"/>
                <w:sz w:val="22"/>
                <w:szCs w:val="22"/>
              </w:rPr>
            </w:pPr>
          </w:p>
        </w:tc>
        <w:tc>
          <w:tcPr>
            <w:tcW w:w="1425"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pPr>
              <w:spacing w:line="360" w:lineRule="auto"/>
              <w:jc w:val="center"/>
              <w:rPr>
                <w:rFonts w:ascii="宋体" w:hAnsi="宋体" w:cs="宋体"/>
                <w:sz w:val="22"/>
                <w:szCs w:val="22"/>
              </w:rPr>
            </w:pPr>
          </w:p>
        </w:tc>
      </w:tr>
      <w:tr>
        <w:tblPrEx>
          <w:tblCellMar>
            <w:top w:w="0" w:type="dxa"/>
            <w:left w:w="0" w:type="dxa"/>
            <w:bottom w:w="0" w:type="dxa"/>
            <w:right w:w="0" w:type="dxa"/>
          </w:tblCellMar>
        </w:tblPrEx>
        <w:trPr>
          <w:trHeight w:val="350" w:hRule="atLeast"/>
        </w:trPr>
        <w:tc>
          <w:tcPr>
            <w:tcW w:w="9595" w:type="dxa"/>
            <w:gridSpan w:val="8"/>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spacing w:line="360" w:lineRule="auto"/>
              <w:jc w:val="center"/>
              <w:textAlignment w:val="center"/>
              <w:rPr>
                <w:rFonts w:ascii="宋体" w:hAnsi="宋体" w:cs="宋体"/>
                <w:b/>
                <w:sz w:val="28"/>
                <w:szCs w:val="28"/>
              </w:rPr>
            </w:pPr>
            <w:r>
              <w:rPr>
                <w:rFonts w:hint="eastAsia" w:ascii="宋体" w:hAnsi="宋体" w:cs="宋体"/>
                <w:b/>
                <w:kern w:val="0"/>
                <w:sz w:val="28"/>
                <w:szCs w:val="28"/>
                <w:lang w:bidi="ar"/>
              </w:rPr>
              <w:t>二、平台开发对接明细</w:t>
            </w:r>
          </w:p>
        </w:tc>
      </w:tr>
      <w:tr>
        <w:tblPrEx>
          <w:tblCellMar>
            <w:top w:w="0" w:type="dxa"/>
            <w:left w:w="0" w:type="dxa"/>
            <w:bottom w:w="0" w:type="dxa"/>
            <w:right w:w="0" w:type="dxa"/>
          </w:tblCellMar>
        </w:tblPrEx>
        <w:trPr>
          <w:trHeight w:val="280" w:hRule="atLeast"/>
        </w:trPr>
        <w:tc>
          <w:tcPr>
            <w:tcW w:w="208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spacing w:line="360" w:lineRule="auto"/>
              <w:jc w:val="center"/>
              <w:textAlignment w:val="center"/>
              <w:rPr>
                <w:rFonts w:ascii="宋体" w:hAnsi="宋体" w:cs="宋体"/>
                <w:sz w:val="22"/>
                <w:szCs w:val="22"/>
              </w:rPr>
            </w:pPr>
            <w:r>
              <w:rPr>
                <w:rFonts w:hint="eastAsia" w:ascii="宋体" w:hAnsi="宋体" w:cs="宋体"/>
                <w:kern w:val="0"/>
                <w:sz w:val="22"/>
                <w:szCs w:val="22"/>
                <w:lang w:bidi="ar"/>
              </w:rPr>
              <w:t>1</w:t>
            </w:r>
          </w:p>
        </w:tc>
        <w:tc>
          <w:tcPr>
            <w:tcW w:w="3653" w:type="dxa"/>
            <w:gridSpan w:val="4"/>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spacing w:line="360" w:lineRule="auto"/>
              <w:jc w:val="center"/>
              <w:rPr>
                <w:rFonts w:ascii="宋体" w:hAnsi="宋体" w:cs="宋体"/>
                <w:sz w:val="22"/>
                <w:szCs w:val="22"/>
              </w:rPr>
            </w:pPr>
          </w:p>
        </w:tc>
        <w:tc>
          <w:tcPr>
            <w:tcW w:w="116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spacing w:line="360" w:lineRule="auto"/>
              <w:jc w:val="center"/>
              <w:rPr>
                <w:rFonts w:ascii="宋体" w:hAnsi="宋体" w:cs="宋体"/>
                <w:sz w:val="22"/>
                <w:szCs w:val="22"/>
              </w:rPr>
            </w:pPr>
          </w:p>
        </w:tc>
        <w:tc>
          <w:tcPr>
            <w:tcW w:w="1275"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pPr>
              <w:spacing w:line="360" w:lineRule="auto"/>
              <w:jc w:val="center"/>
              <w:rPr>
                <w:rFonts w:ascii="宋体" w:hAnsi="宋体" w:cs="宋体"/>
                <w:b/>
                <w:sz w:val="22"/>
                <w:szCs w:val="22"/>
              </w:rPr>
            </w:pP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spacing w:line="360" w:lineRule="auto"/>
              <w:rPr>
                <w:rFonts w:ascii="宋体" w:hAnsi="宋体" w:cs="宋体"/>
                <w:sz w:val="22"/>
                <w:szCs w:val="22"/>
              </w:rPr>
            </w:pPr>
          </w:p>
        </w:tc>
      </w:tr>
      <w:tr>
        <w:tblPrEx>
          <w:tblCellMar>
            <w:top w:w="0" w:type="dxa"/>
            <w:left w:w="0" w:type="dxa"/>
            <w:bottom w:w="0" w:type="dxa"/>
            <w:right w:w="0" w:type="dxa"/>
          </w:tblCellMar>
        </w:tblPrEx>
        <w:trPr>
          <w:trHeight w:val="300" w:hRule="atLeast"/>
        </w:trPr>
        <w:tc>
          <w:tcPr>
            <w:tcW w:w="2080"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spacing w:line="360" w:lineRule="auto"/>
              <w:jc w:val="center"/>
              <w:textAlignment w:val="center"/>
              <w:rPr>
                <w:rFonts w:ascii="宋体" w:hAnsi="宋体" w:cs="宋体"/>
                <w:b/>
                <w:sz w:val="24"/>
              </w:rPr>
            </w:pPr>
            <w:r>
              <w:rPr>
                <w:rFonts w:hint="eastAsia" w:ascii="宋体" w:hAnsi="宋体" w:cs="宋体"/>
                <w:b/>
                <w:kern w:val="0"/>
                <w:sz w:val="24"/>
                <w:lang w:bidi="ar"/>
              </w:rPr>
              <w:t>合计</w:t>
            </w:r>
          </w:p>
        </w:tc>
        <w:tc>
          <w:tcPr>
            <w:tcW w:w="3653" w:type="dxa"/>
            <w:gridSpan w:val="4"/>
            <w:tcBorders>
              <w:top w:val="single" w:color="000000" w:sz="4" w:space="0"/>
              <w:left w:val="single" w:color="000000" w:sz="4" w:space="0"/>
              <w:bottom w:val="single" w:color="000000" w:sz="4" w:space="0"/>
              <w:right w:val="single" w:color="000000" w:sz="4" w:space="0"/>
            </w:tcBorders>
            <w:shd w:val="clear" w:color="auto" w:fill="FFFFFF"/>
            <w:noWrap/>
            <w:tcMar>
              <w:top w:w="10" w:type="dxa"/>
              <w:left w:w="10" w:type="dxa"/>
              <w:right w:w="10" w:type="dxa"/>
            </w:tcMar>
            <w:vAlign w:val="center"/>
          </w:tcPr>
          <w:p>
            <w:pPr>
              <w:spacing w:line="360" w:lineRule="auto"/>
              <w:jc w:val="center"/>
              <w:rPr>
                <w:rFonts w:ascii="宋体" w:hAnsi="宋体" w:cs="宋体"/>
                <w:b/>
                <w:sz w:val="24"/>
              </w:rPr>
            </w:pPr>
          </w:p>
        </w:tc>
        <w:tc>
          <w:tcPr>
            <w:tcW w:w="116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spacing w:line="360" w:lineRule="auto"/>
              <w:jc w:val="center"/>
              <w:rPr>
                <w:rFonts w:ascii="宋体" w:hAnsi="宋体" w:cs="宋体"/>
                <w:b/>
                <w:sz w:val="24"/>
              </w:rPr>
            </w:pPr>
          </w:p>
        </w:tc>
        <w:tc>
          <w:tcPr>
            <w:tcW w:w="1275"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spacing w:line="360" w:lineRule="auto"/>
              <w:jc w:val="center"/>
              <w:rPr>
                <w:rFonts w:ascii="宋体" w:hAnsi="宋体" w:cs="宋体"/>
                <w:b/>
                <w:sz w:val="24"/>
              </w:rPr>
            </w:pP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spacing w:line="360" w:lineRule="auto"/>
              <w:rPr>
                <w:rFonts w:ascii="宋体" w:hAnsi="宋体" w:cs="宋体"/>
                <w:sz w:val="22"/>
                <w:szCs w:val="22"/>
              </w:rPr>
            </w:pPr>
          </w:p>
        </w:tc>
      </w:tr>
      <w:tr>
        <w:tblPrEx>
          <w:tblCellMar>
            <w:top w:w="0" w:type="dxa"/>
            <w:left w:w="0" w:type="dxa"/>
            <w:bottom w:w="0" w:type="dxa"/>
            <w:right w:w="0" w:type="dxa"/>
          </w:tblCellMar>
        </w:tblPrEx>
        <w:trPr>
          <w:trHeight w:val="280" w:hRule="atLeast"/>
        </w:trPr>
        <w:tc>
          <w:tcPr>
            <w:tcW w:w="9595" w:type="dxa"/>
            <w:gridSpan w:val="8"/>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tcPr>
          <w:p>
            <w:pPr>
              <w:widowControl/>
              <w:spacing w:line="360" w:lineRule="auto"/>
              <w:jc w:val="left"/>
              <w:textAlignment w:val="top"/>
              <w:rPr>
                <w:rFonts w:ascii="宋体" w:hAnsi="宋体" w:cs="宋体"/>
                <w:sz w:val="20"/>
                <w:szCs w:val="20"/>
              </w:rPr>
            </w:pPr>
            <w:r>
              <w:rPr>
                <w:rFonts w:hint="eastAsia" w:ascii="宋体" w:hAnsi="宋体" w:cs="宋体"/>
                <w:kern w:val="0"/>
                <w:sz w:val="20"/>
                <w:szCs w:val="20"/>
                <w:lang w:bidi="ar"/>
              </w:rPr>
              <w:t>报价说明：</w:t>
            </w:r>
          </w:p>
        </w:tc>
      </w:tr>
    </w:tbl>
    <w:p>
      <w:pPr>
        <w:spacing w:line="360" w:lineRule="auto"/>
        <w:rPr>
          <w:rFonts w:ascii="宋体" w:hAnsi="宋体"/>
          <w:b/>
          <w:sz w:val="24"/>
        </w:rPr>
      </w:pPr>
      <w:r>
        <w:rPr>
          <w:rFonts w:hint="eastAsia" w:ascii="宋体" w:hAnsi="宋体"/>
          <w:sz w:val="24"/>
        </w:rPr>
        <w:t>注：合同总价属于包干总价，甲方无须再向乙方另外支付本合同规定之外的其他任何费用。</w:t>
      </w:r>
    </w:p>
    <w:p>
      <w:pPr>
        <w:spacing w:line="360" w:lineRule="auto"/>
        <w:rPr>
          <w:rFonts w:ascii="宋体" w:hAnsi="宋体"/>
          <w:b/>
          <w:sz w:val="28"/>
          <w:szCs w:val="28"/>
        </w:rPr>
      </w:pPr>
      <w:r>
        <w:rPr>
          <w:rFonts w:hint="eastAsia" w:ascii="宋体" w:hAnsi="宋体"/>
          <w:b/>
          <w:sz w:val="28"/>
          <w:szCs w:val="28"/>
        </w:rPr>
        <w:t>二、交货时间：</w:t>
      </w:r>
    </w:p>
    <w:p>
      <w:pPr>
        <w:spacing w:line="360" w:lineRule="auto"/>
        <w:rPr>
          <w:rFonts w:ascii="宋体" w:hAnsi="宋体"/>
          <w:sz w:val="24"/>
        </w:rPr>
      </w:pPr>
      <w:r>
        <w:rPr>
          <w:rFonts w:hint="eastAsia" w:ascii="宋体" w:hAnsi="宋体"/>
          <w:sz w:val="24"/>
        </w:rPr>
        <w:t>交货时间：自成交之日起30天内完成</w:t>
      </w:r>
    </w:p>
    <w:p>
      <w:pPr>
        <w:spacing w:line="360" w:lineRule="auto"/>
        <w:rPr>
          <w:rFonts w:ascii="宋体" w:hAnsi="宋体"/>
          <w:b/>
          <w:sz w:val="28"/>
          <w:szCs w:val="28"/>
        </w:rPr>
      </w:pPr>
      <w:r>
        <w:rPr>
          <w:rFonts w:hint="eastAsia" w:ascii="宋体" w:hAnsi="宋体"/>
          <w:b/>
          <w:sz w:val="28"/>
          <w:szCs w:val="28"/>
        </w:rPr>
        <w:t>三、交货安装地点及费用承担：</w:t>
      </w:r>
    </w:p>
    <w:p>
      <w:pPr>
        <w:spacing w:line="360" w:lineRule="auto"/>
        <w:ind w:left="210" w:leftChars="100"/>
        <w:rPr>
          <w:rFonts w:ascii="宋体" w:hAnsi="宋体"/>
          <w:sz w:val="24"/>
          <w:u w:val="thick"/>
        </w:rPr>
      </w:pPr>
      <w:r>
        <w:rPr>
          <w:rFonts w:hint="eastAsia" w:ascii="宋体" w:hAnsi="宋体"/>
          <w:sz w:val="24"/>
        </w:rPr>
        <w:t xml:space="preserve">1、交货及安装地点； </w:t>
      </w:r>
      <w:r>
        <w:rPr>
          <w:rFonts w:hint="eastAsia" w:ascii="宋体" w:hAnsi="宋体"/>
          <w:sz w:val="24"/>
          <w:u w:val="thick"/>
        </w:rPr>
        <w:t xml:space="preserve">                                  。</w:t>
      </w:r>
    </w:p>
    <w:p>
      <w:pPr>
        <w:spacing w:line="360" w:lineRule="auto"/>
        <w:ind w:left="210" w:leftChars="100"/>
        <w:rPr>
          <w:rFonts w:ascii="宋体" w:hAnsi="宋体"/>
          <w:sz w:val="24"/>
        </w:rPr>
      </w:pPr>
      <w:r>
        <w:rPr>
          <w:rFonts w:hint="eastAsia" w:ascii="宋体" w:hAnsi="宋体"/>
          <w:sz w:val="24"/>
        </w:rPr>
        <w:t>2、运输方式：</w:t>
      </w:r>
      <w:r>
        <w:rPr>
          <w:rFonts w:hint="eastAsia" w:ascii="宋体" w:hAnsi="宋体"/>
          <w:sz w:val="24"/>
          <w:u w:val="thick"/>
        </w:rPr>
        <w:t xml:space="preserve">   乙方负责运输   </w:t>
      </w:r>
      <w:r>
        <w:rPr>
          <w:rFonts w:hint="eastAsia" w:ascii="宋体" w:hAnsi="宋体"/>
          <w:sz w:val="24"/>
        </w:rPr>
        <w:t xml:space="preserve"> 。</w:t>
      </w:r>
    </w:p>
    <w:p>
      <w:pPr>
        <w:spacing w:line="360" w:lineRule="auto"/>
        <w:ind w:left="210" w:leftChars="100"/>
        <w:rPr>
          <w:rFonts w:ascii="宋体" w:hAnsi="宋体"/>
          <w:sz w:val="24"/>
        </w:rPr>
      </w:pPr>
      <w:r>
        <w:rPr>
          <w:rFonts w:hint="eastAsia" w:ascii="宋体" w:hAnsi="宋体"/>
          <w:sz w:val="24"/>
        </w:rPr>
        <w:t>3、运费（含运输保险）承担 ：</w:t>
      </w:r>
      <w:r>
        <w:rPr>
          <w:rFonts w:hint="eastAsia" w:ascii="宋体" w:hAnsi="宋体"/>
          <w:sz w:val="24"/>
          <w:u w:val="thick"/>
        </w:rPr>
        <w:t xml:space="preserve">  乙方承担   </w:t>
      </w:r>
      <w:r>
        <w:rPr>
          <w:rFonts w:hint="eastAsia" w:ascii="宋体" w:hAnsi="宋体"/>
          <w:sz w:val="24"/>
        </w:rPr>
        <w:t>。</w:t>
      </w:r>
    </w:p>
    <w:p>
      <w:pPr>
        <w:spacing w:line="360" w:lineRule="auto"/>
        <w:ind w:left="210" w:leftChars="100"/>
        <w:rPr>
          <w:rFonts w:ascii="宋体" w:hAnsi="宋体"/>
          <w:sz w:val="24"/>
        </w:rPr>
      </w:pPr>
      <w:r>
        <w:rPr>
          <w:rFonts w:hint="eastAsia" w:ascii="宋体" w:hAnsi="宋体"/>
          <w:sz w:val="24"/>
        </w:rPr>
        <w:t>4、设备的装卸、搬运等工作及相关费用均由乙方负责。</w:t>
      </w:r>
    </w:p>
    <w:p>
      <w:pPr>
        <w:spacing w:line="360" w:lineRule="auto"/>
        <w:ind w:left="210" w:leftChars="100"/>
        <w:rPr>
          <w:rFonts w:ascii="宋体" w:hAnsi="宋体" w:cs="宋体"/>
          <w:sz w:val="24"/>
        </w:rPr>
      </w:pPr>
      <w:r>
        <w:rPr>
          <w:rFonts w:hint="eastAsia" w:ascii="宋体" w:hAnsi="宋体"/>
          <w:sz w:val="24"/>
        </w:rPr>
        <w:t>5、签订合同时需按合同总金额的10%提供履约担保（履约保函或其他方式）</w:t>
      </w:r>
      <w:r>
        <w:rPr>
          <w:rFonts w:hint="eastAsia" w:ascii="宋体" w:hAnsi="宋体" w:cs="宋体"/>
          <w:sz w:val="24"/>
        </w:rPr>
        <w:t>乙方无违约行为且验收合格满2年退还 。</w:t>
      </w:r>
    </w:p>
    <w:p>
      <w:pPr>
        <w:spacing w:line="360" w:lineRule="auto"/>
        <w:rPr>
          <w:rFonts w:ascii="宋体" w:hAnsi="宋体"/>
          <w:b/>
          <w:sz w:val="28"/>
          <w:szCs w:val="28"/>
        </w:rPr>
      </w:pPr>
      <w:r>
        <w:rPr>
          <w:rFonts w:hint="eastAsia" w:ascii="宋体" w:hAnsi="宋体"/>
          <w:b/>
          <w:sz w:val="28"/>
          <w:szCs w:val="28"/>
        </w:rPr>
        <w:t>四、付款方式</w:t>
      </w:r>
    </w:p>
    <w:p>
      <w:pPr>
        <w:spacing w:line="360" w:lineRule="auto"/>
        <w:rPr>
          <w:rFonts w:ascii="宋体" w:hAnsi="宋体" w:cs="宋体"/>
          <w:sz w:val="24"/>
        </w:rPr>
      </w:pPr>
      <w:r>
        <w:rPr>
          <w:rFonts w:hint="eastAsia" w:ascii="宋体" w:hAnsi="宋体" w:cs="宋体"/>
          <w:sz w:val="24"/>
        </w:rPr>
        <w:t>1、本合同总款含增值税专用发票（硬件设备采购税率13%，安装费税率6%，软件平台开发费税率6%，）及运输费等一切费用。</w:t>
      </w:r>
    </w:p>
    <w:p>
      <w:pPr>
        <w:spacing w:line="360" w:lineRule="auto"/>
        <w:rPr>
          <w:rFonts w:ascii="宋体" w:hAnsi="宋体" w:cs="宋体"/>
          <w:sz w:val="24"/>
        </w:rPr>
      </w:pPr>
      <w:r>
        <w:rPr>
          <w:rFonts w:hint="eastAsia" w:ascii="宋体" w:hAnsi="宋体" w:cs="宋体"/>
          <w:sz w:val="24"/>
        </w:rPr>
        <w:t>2、本合同价以人民币为标准。</w:t>
      </w:r>
    </w:p>
    <w:p>
      <w:pPr>
        <w:spacing w:line="360" w:lineRule="auto"/>
        <w:rPr>
          <w:rFonts w:ascii="宋体" w:hAnsi="宋体" w:cs="宋体"/>
          <w:sz w:val="24"/>
        </w:rPr>
      </w:pPr>
      <w:r>
        <w:rPr>
          <w:rFonts w:hint="eastAsia" w:ascii="宋体" w:hAnsi="宋体" w:cs="宋体"/>
          <w:sz w:val="24"/>
        </w:rPr>
        <w:t>3、为保证合同款项的安全，避免给双方带来不必要的风险及损失，原则上不收取现金，甲方将款项汇入乙方指定的银行账户即：</w:t>
      </w:r>
    </w:p>
    <w:p>
      <w:pPr>
        <w:spacing w:line="360" w:lineRule="auto"/>
        <w:rPr>
          <w:rFonts w:ascii="宋体" w:hAnsi="宋体" w:cs="宋体"/>
          <w:sz w:val="24"/>
        </w:rPr>
      </w:pPr>
      <w:r>
        <w:rPr>
          <w:rFonts w:hint="eastAsia" w:ascii="宋体" w:hAnsi="宋体" w:cs="宋体"/>
          <w:sz w:val="24"/>
        </w:rPr>
        <w:t>账户名称：</w:t>
      </w:r>
      <w:r>
        <w:rPr>
          <w:rFonts w:hint="eastAsia" w:ascii="宋体" w:hAnsi="宋体" w:cs="宋体"/>
          <w:sz w:val="24"/>
          <w:u w:val="thick"/>
        </w:rPr>
        <w:t xml:space="preserve">                              </w:t>
      </w:r>
      <w:r>
        <w:rPr>
          <w:rFonts w:hint="eastAsia" w:ascii="宋体" w:hAnsi="宋体" w:cs="宋体"/>
          <w:sz w:val="24"/>
        </w:rPr>
        <w:t xml:space="preserve"> </w:t>
      </w:r>
    </w:p>
    <w:p>
      <w:pPr>
        <w:spacing w:line="360" w:lineRule="auto"/>
        <w:rPr>
          <w:rFonts w:ascii="宋体" w:hAnsi="宋体" w:cs="宋体"/>
          <w:sz w:val="24"/>
          <w:u w:val="thick"/>
        </w:rPr>
      </w:pPr>
      <w:r>
        <w:rPr>
          <w:rFonts w:hint="eastAsia" w:ascii="宋体" w:hAnsi="宋体" w:cs="宋体"/>
          <w:sz w:val="24"/>
        </w:rPr>
        <w:t>账号：</w:t>
      </w:r>
      <w:r>
        <w:rPr>
          <w:rFonts w:hint="eastAsia" w:ascii="宋体" w:hAnsi="宋体" w:cs="宋体"/>
          <w:sz w:val="24"/>
          <w:u w:val="thick"/>
        </w:rPr>
        <w:t xml:space="preserve">                                  </w:t>
      </w:r>
    </w:p>
    <w:p>
      <w:pPr>
        <w:spacing w:line="360" w:lineRule="auto"/>
        <w:rPr>
          <w:rFonts w:ascii="宋体" w:hAnsi="宋体" w:cs="宋体"/>
          <w:sz w:val="24"/>
        </w:rPr>
      </w:pPr>
      <w:r>
        <w:rPr>
          <w:rFonts w:hint="eastAsia" w:ascii="宋体" w:hAnsi="宋体" w:cs="宋体"/>
          <w:sz w:val="24"/>
        </w:rPr>
        <w:t>开户行：</w:t>
      </w:r>
      <w:r>
        <w:rPr>
          <w:rFonts w:hint="eastAsia" w:ascii="宋体" w:hAnsi="宋体" w:cs="宋体"/>
          <w:sz w:val="24"/>
          <w:u w:val="thick"/>
        </w:rPr>
        <w:t xml:space="preserve">                                </w:t>
      </w:r>
      <w:r>
        <w:rPr>
          <w:rFonts w:hint="eastAsia" w:ascii="宋体" w:hAnsi="宋体" w:cs="宋体"/>
          <w:sz w:val="24"/>
        </w:rPr>
        <w:t>；</w:t>
      </w:r>
    </w:p>
    <w:p>
      <w:pPr>
        <w:spacing w:line="360" w:lineRule="auto"/>
        <w:rPr>
          <w:rFonts w:ascii="宋体" w:hAnsi="宋体" w:cs="宋体"/>
          <w:sz w:val="24"/>
        </w:rPr>
      </w:pPr>
      <w:r>
        <w:rPr>
          <w:rFonts w:hint="eastAsia" w:ascii="宋体" w:hAnsi="宋体" w:cs="宋体"/>
          <w:sz w:val="24"/>
        </w:rPr>
        <w:t>付款前，乙方应提供符合甲方要求的等额增值税专用发票，若特殊情况甲方以其它方式付款，乙方应当予以无条件配合并按甲方的付款方式出具对应的证明文件。</w:t>
      </w:r>
    </w:p>
    <w:p>
      <w:pPr>
        <w:spacing w:line="360" w:lineRule="auto"/>
        <w:rPr>
          <w:rFonts w:ascii="宋体" w:hAnsi="宋体" w:cs="宋体"/>
          <w:sz w:val="24"/>
        </w:rPr>
      </w:pPr>
      <w:r>
        <w:rPr>
          <w:rFonts w:hint="eastAsia" w:ascii="宋体" w:hAnsi="宋体" w:cs="宋体"/>
          <w:sz w:val="24"/>
        </w:rPr>
        <w:t>本合同总价为：￥</w:t>
      </w:r>
      <w:r>
        <w:rPr>
          <w:rFonts w:hint="eastAsia" w:ascii="宋体" w:hAnsi="宋体" w:cs="宋体"/>
          <w:sz w:val="24"/>
          <w:u w:val="thick"/>
        </w:rPr>
        <w:t xml:space="preserve">       </w:t>
      </w:r>
      <w:r>
        <w:rPr>
          <w:rFonts w:hint="eastAsia" w:ascii="宋体" w:hAnsi="宋体" w:cs="宋体"/>
          <w:sz w:val="24"/>
        </w:rPr>
        <w:t xml:space="preserve"> 元（大写：</w:t>
      </w:r>
      <w:r>
        <w:rPr>
          <w:rFonts w:hint="eastAsia" w:ascii="宋体" w:hAnsi="宋体" w:cs="宋体"/>
          <w:sz w:val="24"/>
          <w:u w:val="thick"/>
        </w:rPr>
        <w:t xml:space="preserve">                 </w:t>
      </w:r>
      <w:r>
        <w:rPr>
          <w:rFonts w:hint="eastAsia" w:ascii="宋体" w:hAnsi="宋体" w:cs="宋体"/>
          <w:sz w:val="24"/>
        </w:rPr>
        <w:t>整 ）总价款中包含：1.硬件设备</w:t>
      </w:r>
      <w:r>
        <w:rPr>
          <w:rFonts w:hint="eastAsia" w:ascii="宋体" w:hAnsi="宋体" w:cs="宋体"/>
          <w:sz w:val="24"/>
          <w:u w:val="thick"/>
        </w:rPr>
        <w:t xml:space="preserve">         </w:t>
      </w:r>
      <w:r>
        <w:rPr>
          <w:rFonts w:hint="eastAsia" w:ascii="宋体" w:hAnsi="宋体" w:cs="宋体"/>
          <w:sz w:val="24"/>
        </w:rPr>
        <w:t>万元；2. 软件平台开发费</w:t>
      </w:r>
      <w:r>
        <w:rPr>
          <w:rFonts w:hint="eastAsia" w:ascii="宋体" w:hAnsi="宋体" w:cs="宋体"/>
          <w:sz w:val="24"/>
          <w:u w:val="thick"/>
        </w:rPr>
        <w:t xml:space="preserve">        </w:t>
      </w:r>
      <w:r>
        <w:rPr>
          <w:rFonts w:hint="eastAsia" w:ascii="宋体" w:hAnsi="宋体" w:cs="宋体"/>
          <w:sz w:val="24"/>
        </w:rPr>
        <w:t>万元；3.施工费</w:t>
      </w:r>
      <w:r>
        <w:rPr>
          <w:rFonts w:hint="eastAsia" w:ascii="宋体" w:hAnsi="宋体" w:cs="宋体"/>
          <w:sz w:val="24"/>
          <w:u w:val="thick"/>
        </w:rPr>
        <w:t xml:space="preserve">        </w:t>
      </w:r>
      <w:r>
        <w:rPr>
          <w:rFonts w:hint="eastAsia" w:ascii="宋体" w:hAnsi="宋体" w:cs="宋体"/>
          <w:sz w:val="24"/>
        </w:rPr>
        <w:t xml:space="preserve">万元），自本合同签订后 </w:t>
      </w:r>
      <w:r>
        <w:rPr>
          <w:rFonts w:hint="eastAsia" w:ascii="宋体" w:hAnsi="宋体" w:cs="宋体"/>
          <w:sz w:val="24"/>
          <w:u w:val="thick"/>
        </w:rPr>
        <w:t xml:space="preserve">       </w:t>
      </w:r>
      <w:r>
        <w:rPr>
          <w:rFonts w:hint="eastAsia" w:ascii="宋体" w:hAnsi="宋体" w:cs="宋体"/>
          <w:sz w:val="24"/>
        </w:rPr>
        <w:t xml:space="preserve">  预付 </w:t>
      </w:r>
      <w:r>
        <w:rPr>
          <w:rFonts w:hint="eastAsia" w:ascii="宋体" w:hAnsi="宋体" w:cs="宋体"/>
          <w:sz w:val="24"/>
          <w:u w:val="thick"/>
        </w:rPr>
        <w:t xml:space="preserve">     0  </w:t>
      </w:r>
      <w:r>
        <w:rPr>
          <w:rFonts w:hint="eastAsia" w:ascii="宋体" w:hAnsi="宋体" w:cs="宋体"/>
          <w:sz w:val="24"/>
        </w:rPr>
        <w:t xml:space="preserve">  %，即人民币大写：</w:t>
      </w:r>
      <w:r>
        <w:rPr>
          <w:rFonts w:hint="eastAsia" w:ascii="宋体" w:hAnsi="宋体" w:cs="宋体"/>
          <w:sz w:val="24"/>
          <w:u w:val="thick"/>
        </w:rPr>
        <w:t xml:space="preserve">        </w:t>
      </w:r>
      <w:r>
        <w:rPr>
          <w:rFonts w:hint="eastAsia" w:ascii="宋体" w:hAnsi="宋体" w:cs="宋体"/>
          <w:sz w:val="24"/>
        </w:rPr>
        <w:t>整（小写：￥</w:t>
      </w:r>
      <w:r>
        <w:rPr>
          <w:rFonts w:hint="eastAsia" w:ascii="宋体" w:hAnsi="宋体" w:cs="宋体"/>
          <w:sz w:val="24"/>
          <w:u w:val="thick"/>
        </w:rPr>
        <w:t xml:space="preserve">         </w:t>
      </w:r>
      <w:r>
        <w:rPr>
          <w:rFonts w:hint="eastAsia" w:ascii="宋体" w:hAnsi="宋体" w:cs="宋体"/>
          <w:sz w:val="24"/>
        </w:rPr>
        <w:t xml:space="preserve"> ）；项目终验通过稳定试运行100天后支付</w:t>
      </w:r>
      <w:r>
        <w:rPr>
          <w:rFonts w:hint="eastAsia" w:ascii="宋体" w:hAnsi="宋体" w:cs="宋体"/>
          <w:sz w:val="24"/>
          <w:lang w:val="en-US" w:eastAsia="zh-CN"/>
        </w:rPr>
        <w:t>9</w:t>
      </w:r>
      <w:r>
        <w:rPr>
          <w:rFonts w:hint="eastAsia" w:ascii="宋体" w:hAnsi="宋体" w:cs="宋体"/>
          <w:sz w:val="24"/>
        </w:rPr>
        <w:t>0%</w:t>
      </w:r>
      <w:r>
        <w:rPr>
          <w:rFonts w:hint="eastAsia" w:ascii="宋体" w:hAnsi="宋体" w:cs="宋体"/>
          <w:sz w:val="24"/>
          <w:lang w:eastAsia="zh-CN"/>
        </w:rPr>
        <w:t>（</w:t>
      </w:r>
      <w:r>
        <w:rPr>
          <w:rFonts w:hint="eastAsia" w:ascii="宋体" w:hAnsi="宋体" w:cs="宋体"/>
          <w:sz w:val="24"/>
          <w:lang w:val="zh-CN" w:eastAsia="zh-CN"/>
        </w:rPr>
        <w:t>供应商提供所投产品</w:t>
      </w:r>
      <w:r>
        <w:rPr>
          <w:rFonts w:hint="eastAsia" w:ascii="宋体" w:hAnsi="宋体" w:cs="宋体"/>
          <w:sz w:val="24"/>
          <w:lang w:val="en-US" w:eastAsia="zh-CN"/>
        </w:rPr>
        <w:t>需</w:t>
      </w:r>
      <w:r>
        <w:rPr>
          <w:rFonts w:hint="eastAsia" w:ascii="宋体" w:hAnsi="宋体" w:cs="宋体"/>
          <w:sz w:val="24"/>
          <w:lang w:val="zh-CN" w:eastAsia="zh-CN"/>
        </w:rPr>
        <w:t>对接自治区《智慧卫监在线监测预警系统平台》</w:t>
      </w:r>
      <w:r>
        <w:rPr>
          <w:rFonts w:hint="eastAsia" w:ascii="宋体" w:hAnsi="宋体" w:cs="宋体"/>
          <w:sz w:val="24"/>
          <w:lang w:val="en-US" w:eastAsia="zh-CN"/>
        </w:rPr>
        <w:t>并保证数据上传</w:t>
      </w:r>
      <w:r>
        <w:rPr>
          <w:rFonts w:hint="eastAsia" w:ascii="宋体" w:hAnsi="宋体" w:cs="宋体"/>
          <w:sz w:val="24"/>
        </w:rPr>
        <w:t>即人民币大写：</w:t>
      </w:r>
      <w:r>
        <w:rPr>
          <w:rFonts w:hint="eastAsia" w:ascii="宋体" w:hAnsi="宋体" w:cs="宋体"/>
          <w:sz w:val="24"/>
          <w:u w:val="thick"/>
        </w:rPr>
        <w:t xml:space="preserve">        </w:t>
      </w:r>
      <w:r>
        <w:rPr>
          <w:rFonts w:hint="eastAsia" w:ascii="宋体" w:hAnsi="宋体" w:cs="宋体"/>
          <w:sz w:val="24"/>
        </w:rPr>
        <w:t>整（小写：￥</w:t>
      </w:r>
      <w:r>
        <w:rPr>
          <w:rFonts w:hint="eastAsia" w:ascii="宋体" w:hAnsi="宋体" w:cs="宋体"/>
          <w:sz w:val="24"/>
          <w:u w:val="thick"/>
        </w:rPr>
        <w:t xml:space="preserve">         </w:t>
      </w:r>
      <w:r>
        <w:rPr>
          <w:rFonts w:hint="eastAsia" w:ascii="宋体" w:hAnsi="宋体" w:cs="宋体"/>
          <w:sz w:val="24"/>
        </w:rPr>
        <w:t xml:space="preserve"> ）；</w:t>
      </w:r>
      <w:r>
        <w:rPr>
          <w:rFonts w:hint="eastAsia" w:ascii="宋体" w:hAnsi="宋体" w:cs="宋体"/>
          <w:sz w:val="24"/>
          <w:lang w:val="en-US" w:eastAsia="zh-CN"/>
        </w:rPr>
        <w:t>剩余%10一年后支付即</w:t>
      </w:r>
      <w:r>
        <w:rPr>
          <w:rFonts w:hint="eastAsia" w:ascii="宋体" w:hAnsi="宋体" w:cs="宋体"/>
          <w:sz w:val="24"/>
        </w:rPr>
        <w:t>人民币大写：</w:t>
      </w:r>
      <w:r>
        <w:rPr>
          <w:rFonts w:hint="eastAsia" w:ascii="宋体" w:hAnsi="宋体" w:cs="宋体"/>
          <w:sz w:val="24"/>
          <w:u w:val="thick"/>
        </w:rPr>
        <w:t xml:space="preserve">               </w:t>
      </w:r>
      <w:r>
        <w:rPr>
          <w:rFonts w:hint="eastAsia" w:ascii="宋体" w:hAnsi="宋体" w:cs="宋体"/>
          <w:sz w:val="24"/>
        </w:rPr>
        <w:t xml:space="preserve">整（小写：￥ </w:t>
      </w:r>
      <w:r>
        <w:rPr>
          <w:rFonts w:hint="eastAsia" w:ascii="宋体" w:hAnsi="宋体" w:cs="宋体"/>
          <w:sz w:val="24"/>
          <w:u w:val="thick"/>
        </w:rPr>
        <w:t xml:space="preserve">         </w:t>
      </w:r>
      <w:r>
        <w:rPr>
          <w:rFonts w:hint="eastAsia" w:ascii="宋体" w:hAnsi="宋体" w:cs="宋体"/>
          <w:sz w:val="24"/>
        </w:rPr>
        <w:t xml:space="preserve"> ）；</w:t>
      </w:r>
    </w:p>
    <w:p>
      <w:pPr>
        <w:spacing w:line="360" w:lineRule="auto"/>
        <w:rPr>
          <w:rFonts w:ascii="宋体" w:hAnsi="宋体" w:cs="宋体"/>
          <w:sz w:val="24"/>
        </w:rPr>
      </w:pPr>
      <w:r>
        <w:rPr>
          <w:rFonts w:hint="eastAsia" w:ascii="宋体" w:hAnsi="宋体" w:cs="宋体"/>
          <w:sz w:val="24"/>
        </w:rPr>
        <w:t>5、在本合同履行过程中因乙方原因产生的费用及责任（含违约金、给甲方或第三方造成的损失等），甲方有权在合同款项中直接扣减或冲抵，乙方无异议；甲方启动前述索赔权利的，仅需根据有关凭证或事实能确定乙方需承担的金额和责任，而无须甲方已经实际向其他权利人履行赔偿义务或承担责任。在此基础上，乙方放弃对甲方未产生实际损失的抗辩。</w:t>
      </w:r>
    </w:p>
    <w:p>
      <w:pPr>
        <w:spacing w:line="360" w:lineRule="auto"/>
        <w:rPr>
          <w:rFonts w:ascii="宋体" w:hAnsi="宋体"/>
          <w:b/>
          <w:sz w:val="28"/>
          <w:szCs w:val="28"/>
        </w:rPr>
      </w:pPr>
      <w:r>
        <w:rPr>
          <w:rFonts w:hint="eastAsia" w:ascii="宋体" w:hAnsi="宋体"/>
          <w:b/>
          <w:sz w:val="28"/>
          <w:szCs w:val="28"/>
        </w:rPr>
        <w:t>五、验收方式：</w:t>
      </w:r>
    </w:p>
    <w:p>
      <w:pPr>
        <w:spacing w:line="360" w:lineRule="auto"/>
        <w:rPr>
          <w:rFonts w:ascii="宋体" w:hAnsi="宋体" w:cs="宋体"/>
          <w:sz w:val="24"/>
        </w:rPr>
      </w:pPr>
      <w:r>
        <w:rPr>
          <w:rFonts w:hint="eastAsia" w:ascii="宋体" w:hAnsi="宋体" w:cs="宋体"/>
          <w:sz w:val="24"/>
        </w:rPr>
        <w:t>1、验收标准：以双方盖章确认的设备型号及技术参数为验收依据；无特殊要求或双方未进行确认的，则按国家标准及行业标准（以二者中更高的为准）验收。</w:t>
      </w:r>
    </w:p>
    <w:p>
      <w:pPr>
        <w:spacing w:line="360" w:lineRule="auto"/>
        <w:rPr>
          <w:rFonts w:ascii="宋体" w:hAnsi="宋体" w:cs="宋体"/>
          <w:sz w:val="24"/>
        </w:rPr>
      </w:pPr>
      <w:r>
        <w:rPr>
          <w:rFonts w:hint="eastAsia" w:ascii="宋体" w:hAnsi="宋体" w:cs="宋体"/>
          <w:sz w:val="24"/>
        </w:rPr>
        <w:t>2、验收时间：乙方安装并调试完毕，甲方应在</w:t>
      </w:r>
      <w:r>
        <w:rPr>
          <w:rFonts w:hint="eastAsia" w:ascii="宋体" w:hAnsi="宋体" w:cs="宋体"/>
          <w:sz w:val="24"/>
          <w:u w:val="thick"/>
        </w:rPr>
        <w:t xml:space="preserve">    </w:t>
      </w:r>
      <w:r>
        <w:rPr>
          <w:rFonts w:hint="eastAsia" w:ascii="宋体" w:hAnsi="宋体" w:cs="宋体"/>
          <w:sz w:val="24"/>
        </w:rPr>
        <w:t>天内对本合同设备进行验收；甲方在前述期限内进行验收仅代表甲方对外观瑕疵、显著的质量情况和技术标准进行查验，不代表甲方认可设备不存在其他隐性瑕疵。</w:t>
      </w:r>
    </w:p>
    <w:p>
      <w:pPr>
        <w:spacing w:line="360" w:lineRule="auto"/>
        <w:rPr>
          <w:rFonts w:ascii="宋体" w:hAnsi="宋体" w:cs="宋体"/>
          <w:sz w:val="24"/>
        </w:rPr>
      </w:pPr>
      <w:r>
        <w:rPr>
          <w:rFonts w:hint="eastAsia" w:ascii="宋体" w:hAnsi="宋体" w:cs="宋体"/>
          <w:sz w:val="24"/>
        </w:rPr>
        <w:t>3、货到甲方指定地点时，由乙方与甲方共同进行到货检验，检验内容为包装是否完整、无损、清洁、数量等是否与本合同一致。交货的同时乙方应提交该设备有关技术说明、设备合格证书及其他特定信息资料。如上述物品等资料不全、内容不符，则甲方有权拒绝收货，并且乙方应当立即按甲方要求进行换货或将货物自行运回。</w:t>
      </w:r>
    </w:p>
    <w:p>
      <w:pPr>
        <w:spacing w:line="360" w:lineRule="auto"/>
        <w:rPr>
          <w:rFonts w:ascii="宋体" w:hAnsi="宋体" w:cs="宋体"/>
          <w:sz w:val="24"/>
        </w:rPr>
      </w:pPr>
      <w:r>
        <w:rPr>
          <w:rFonts w:hint="eastAsia" w:ascii="宋体" w:hAnsi="宋体" w:cs="宋体"/>
          <w:sz w:val="24"/>
        </w:rPr>
        <w:t>4、验收合格：安装、调试、培训、工具、资料、配件及生产的产品符合双方确认的软件及质量标准。即乙方应保证</w:t>
      </w:r>
      <w:r>
        <w:rPr>
          <w:rFonts w:hint="eastAsia" w:ascii="宋体" w:hAnsi="宋体" w:cs="宋体"/>
          <w:sz w:val="24"/>
          <w:u w:val="thick"/>
        </w:rPr>
        <w:t xml:space="preserve">                </w:t>
      </w:r>
      <w:r>
        <w:rPr>
          <w:rFonts w:hint="eastAsia" w:ascii="宋体" w:hAnsi="宋体" w:cs="宋体"/>
          <w:sz w:val="24"/>
        </w:rPr>
        <w:t>系统（包括但不限于</w:t>
      </w:r>
      <w:r>
        <w:rPr>
          <w:rFonts w:hint="eastAsia" w:ascii="宋体" w:hAnsi="宋体" w:cs="宋体"/>
          <w:sz w:val="24"/>
          <w:u w:val="thick"/>
        </w:rPr>
        <w:t xml:space="preserve">                       </w:t>
      </w:r>
      <w:r>
        <w:rPr>
          <w:rFonts w:hint="eastAsia" w:ascii="宋体" w:hAnsi="宋体" w:cs="宋体"/>
          <w:sz w:val="24"/>
        </w:rPr>
        <w:t>系统平台），并支持</w:t>
      </w:r>
      <w:r>
        <w:rPr>
          <w:rFonts w:hint="eastAsia" w:ascii="宋体" w:hAnsi="宋体" w:cs="宋体"/>
          <w:sz w:val="24"/>
          <w:u w:val="thick"/>
        </w:rPr>
        <w:t xml:space="preserve">                                  </w:t>
      </w:r>
      <w:r>
        <w:rPr>
          <w:rFonts w:hint="eastAsia" w:ascii="宋体" w:hAnsi="宋体" w:cs="宋体"/>
          <w:sz w:val="24"/>
        </w:rPr>
        <w:t>等功能正常稳定使用。乙方应将设备的用户手册、保修手册等单证交付给甲方，最终以甲方书面验收确认为准。乙方软件平台开发完成后，甲方拥有永久使用权。</w:t>
      </w:r>
    </w:p>
    <w:p>
      <w:pPr>
        <w:spacing w:line="360" w:lineRule="auto"/>
        <w:rPr>
          <w:rFonts w:ascii="宋体" w:hAnsi="宋体"/>
          <w:b/>
          <w:sz w:val="28"/>
          <w:szCs w:val="28"/>
        </w:rPr>
      </w:pPr>
      <w:r>
        <w:rPr>
          <w:rFonts w:hint="eastAsia" w:ascii="宋体" w:hAnsi="宋体"/>
          <w:b/>
          <w:sz w:val="28"/>
          <w:szCs w:val="28"/>
        </w:rPr>
        <w:t>六、质保及售后：</w:t>
      </w:r>
    </w:p>
    <w:p>
      <w:pPr>
        <w:spacing w:line="360" w:lineRule="auto"/>
        <w:rPr>
          <w:rFonts w:ascii="宋体" w:hAnsi="宋体" w:cs="宋体"/>
          <w:sz w:val="24"/>
        </w:rPr>
      </w:pPr>
      <w:r>
        <w:rPr>
          <w:rFonts w:hint="eastAsia" w:ascii="宋体" w:hAnsi="宋体" w:cs="宋体"/>
          <w:sz w:val="24"/>
        </w:rPr>
        <w:t>1、质保期为</w:t>
      </w:r>
      <w:r>
        <w:rPr>
          <w:rFonts w:hint="eastAsia" w:ascii="宋体" w:hAnsi="宋体" w:cs="宋体"/>
          <w:sz w:val="24"/>
          <w:u w:val="single"/>
        </w:rPr>
        <w:t xml:space="preserve">     </w:t>
      </w:r>
      <w:r>
        <w:rPr>
          <w:rFonts w:hint="eastAsia" w:ascii="宋体" w:hAnsi="宋体" w:cs="宋体"/>
          <w:sz w:val="24"/>
        </w:rPr>
        <w:t xml:space="preserve"> 年，自最终验收合格并交付使用之日起算。质保期间，在正常使用情况下出现故障，乙方负责免费提供配件及维修；但若因甲方故意操作失误，一切费用由甲方承担；</w:t>
      </w:r>
    </w:p>
    <w:p>
      <w:pPr>
        <w:spacing w:line="360" w:lineRule="auto"/>
        <w:rPr>
          <w:rFonts w:ascii="宋体" w:hAnsi="宋体" w:cs="宋体"/>
          <w:sz w:val="24"/>
        </w:rPr>
      </w:pPr>
      <w:r>
        <w:rPr>
          <w:rFonts w:hint="eastAsia" w:ascii="宋体" w:hAnsi="宋体" w:cs="宋体"/>
          <w:sz w:val="24"/>
        </w:rPr>
        <w:t>2、出现故障，乙方应保证在收到甲方报修通知（含电话、短信、邮件等）后</w:t>
      </w:r>
      <w:r>
        <w:rPr>
          <w:rFonts w:hint="eastAsia" w:ascii="宋体" w:hAnsi="宋体" w:cs="宋体"/>
          <w:sz w:val="24"/>
          <w:u w:val="single"/>
        </w:rPr>
        <w:t xml:space="preserve">    </w:t>
      </w:r>
      <w:r>
        <w:rPr>
          <w:rFonts w:hint="eastAsia" w:ascii="宋体" w:hAnsi="宋体" w:cs="宋体"/>
          <w:sz w:val="24"/>
        </w:rPr>
        <w:t>小时内指派技术人员到现场予以修复，并在</w:t>
      </w:r>
      <w:r>
        <w:rPr>
          <w:rFonts w:hint="eastAsia" w:ascii="宋体" w:hAnsi="宋体" w:cs="宋体"/>
          <w:sz w:val="24"/>
          <w:u w:val="single"/>
        </w:rPr>
        <w:t xml:space="preserve">     </w:t>
      </w:r>
      <w:r>
        <w:rPr>
          <w:rFonts w:hint="eastAsia" w:ascii="宋体" w:hAnsi="宋体" w:cs="宋体"/>
          <w:sz w:val="24"/>
        </w:rPr>
        <w:t>小时内修复完毕；如不能按前述要求排除故障或验收合格后累计出现</w:t>
      </w:r>
      <w:r>
        <w:rPr>
          <w:rFonts w:hint="eastAsia" w:ascii="宋体" w:hAnsi="宋体" w:cs="宋体"/>
          <w:sz w:val="24"/>
          <w:u w:val="single"/>
        </w:rPr>
        <w:t xml:space="preserve">    </w:t>
      </w:r>
      <w:r>
        <w:rPr>
          <w:rFonts w:hint="eastAsia" w:ascii="宋体" w:hAnsi="宋体" w:cs="宋体"/>
          <w:sz w:val="24"/>
        </w:rPr>
        <w:t>次以上（含</w:t>
      </w:r>
      <w:r>
        <w:rPr>
          <w:rFonts w:hint="eastAsia" w:ascii="宋体" w:hAnsi="宋体" w:cs="宋体"/>
          <w:sz w:val="24"/>
          <w:u w:val="single"/>
        </w:rPr>
        <w:t xml:space="preserve">   </w:t>
      </w:r>
      <w:r>
        <w:rPr>
          <w:rFonts w:hint="eastAsia" w:ascii="宋体" w:hAnsi="宋体" w:cs="宋体"/>
          <w:sz w:val="24"/>
        </w:rPr>
        <w:t>次）故障，甲方有权要求乙方应无条件按甲方要求的时间采用整机替换方式解决，或者甲方直接解除本合同并要求乙方立即返还甲方全部已付款。</w:t>
      </w:r>
    </w:p>
    <w:p>
      <w:pPr>
        <w:spacing w:line="360" w:lineRule="auto"/>
        <w:rPr>
          <w:rFonts w:ascii="宋体" w:hAnsi="宋体" w:cs="宋体"/>
          <w:sz w:val="24"/>
        </w:rPr>
      </w:pPr>
      <w:r>
        <w:rPr>
          <w:rFonts w:hint="eastAsia" w:ascii="宋体" w:hAnsi="宋体" w:cs="宋体"/>
          <w:sz w:val="24"/>
        </w:rPr>
        <w:t>3、质保期内，乙方未及时履行质保义务的，甲方有权采用其他渠道和方式对设备进行维修，由此产生的费用由乙方承担，同时甲方有权拒付未付款项。对因设备在质保期间发生的质量缺陷造成的甲方以及第三人人身财产损失，乙方应予以全部赔偿。对本款中应由乙方承担的全部质保和赔偿费用，甲方有权在乙方的质量保证金或未付款项中予以直接扣除，不足部分，甲方有权继续追索。</w:t>
      </w:r>
    </w:p>
    <w:p>
      <w:pPr>
        <w:spacing w:line="360" w:lineRule="auto"/>
        <w:rPr>
          <w:rFonts w:ascii="宋体" w:hAnsi="宋体" w:cs="宋体"/>
          <w:sz w:val="24"/>
        </w:rPr>
      </w:pPr>
      <w:r>
        <w:rPr>
          <w:rFonts w:hint="eastAsia" w:ascii="宋体" w:hAnsi="宋体" w:cs="宋体"/>
          <w:sz w:val="24"/>
        </w:rPr>
        <w:t>4、质保期满，乙方应对出现的故障提供维修服务。对维修所需费用，乙方应仅收取正常的成本费用。乙方每次修理后需保证设备有不少于</w:t>
      </w:r>
      <w:r>
        <w:rPr>
          <w:rFonts w:hint="eastAsia" w:ascii="宋体" w:hAnsi="宋体" w:cs="宋体"/>
          <w:sz w:val="24"/>
          <w:u w:val="single"/>
        </w:rPr>
        <w:t xml:space="preserve">     </w:t>
      </w:r>
      <w:r>
        <w:rPr>
          <w:rFonts w:hint="eastAsia" w:ascii="宋体" w:hAnsi="宋体" w:cs="宋体"/>
          <w:sz w:val="24"/>
        </w:rPr>
        <w:t>个月的保用期，在保用期内设备再次损坏的，乙方应免费修理。</w:t>
      </w:r>
    </w:p>
    <w:p>
      <w:pPr>
        <w:spacing w:line="360" w:lineRule="auto"/>
        <w:rPr>
          <w:rFonts w:ascii="宋体" w:hAnsi="宋体"/>
          <w:b/>
          <w:sz w:val="28"/>
          <w:szCs w:val="28"/>
        </w:rPr>
      </w:pPr>
      <w:r>
        <w:rPr>
          <w:rFonts w:hint="eastAsia" w:ascii="宋体" w:hAnsi="宋体"/>
          <w:b/>
          <w:sz w:val="28"/>
          <w:szCs w:val="28"/>
        </w:rPr>
        <w:t>七、其它约定：</w:t>
      </w:r>
    </w:p>
    <w:p>
      <w:pPr>
        <w:spacing w:line="360" w:lineRule="auto"/>
        <w:rPr>
          <w:rFonts w:ascii="宋体" w:hAnsi="宋体" w:cs="宋体"/>
          <w:sz w:val="24"/>
        </w:rPr>
      </w:pPr>
      <w:r>
        <w:rPr>
          <w:rFonts w:hint="eastAsia" w:ascii="宋体" w:hAnsi="宋体" w:cs="宋体"/>
          <w:sz w:val="24"/>
        </w:rPr>
        <w:t>1、乙方在甲方施工的人员必须严格遵守甲方的院规院纪，做到安全施工、文明施工（详见附件3《施工管理要求细则》）。</w:t>
      </w:r>
    </w:p>
    <w:p>
      <w:pPr>
        <w:spacing w:line="360" w:lineRule="auto"/>
        <w:rPr>
          <w:rFonts w:ascii="宋体" w:hAnsi="宋体" w:cs="宋体"/>
          <w:sz w:val="24"/>
        </w:rPr>
      </w:pPr>
      <w:r>
        <w:rPr>
          <w:rFonts w:hint="eastAsia" w:ascii="宋体" w:hAnsi="宋体" w:cs="宋体"/>
          <w:sz w:val="24"/>
        </w:rPr>
        <w:t>2、乙方委派人员在甲方施工期间出现的一切安全事故均由乙方负责承担。任何受乙方指派，到甲方所在地进行培训、安装调试、维修或售后服务等事宜的人员应为乙方聘请或雇佣的具备相应知识技能的员工，乙方应为其所派人员购买相应的社会保险或商业保险，乙方人员在履行本合同义务期间发生的一切事故与甲方无关，乙方对此承担全部责任；如因此造成甲方损失的，乙方应全额向甲方承担赔偿责任。</w:t>
      </w:r>
    </w:p>
    <w:p>
      <w:pPr>
        <w:spacing w:line="360" w:lineRule="auto"/>
        <w:rPr>
          <w:rFonts w:ascii="宋体" w:hAnsi="宋体" w:cs="宋体"/>
          <w:sz w:val="24"/>
        </w:rPr>
      </w:pPr>
      <w:r>
        <w:rPr>
          <w:rFonts w:hint="eastAsia" w:ascii="宋体" w:hAnsi="宋体" w:cs="宋体"/>
          <w:sz w:val="24"/>
        </w:rPr>
        <w:t>3、交付的设备（含零配件、备件、随机工具等）应无设计、材料或工艺缺陷，并为未使用过的新产品。若有样品封存的，交付的设备应与样品一致。交付的设备应无知识产权纠纷或侵权、无第三方权益。否则，乙方应赔偿甲方因此而遭受的全部损失。</w:t>
      </w:r>
    </w:p>
    <w:p>
      <w:pPr>
        <w:spacing w:line="360" w:lineRule="auto"/>
        <w:rPr>
          <w:rFonts w:ascii="宋体" w:hAnsi="宋体"/>
          <w:b/>
          <w:sz w:val="28"/>
          <w:szCs w:val="28"/>
        </w:rPr>
      </w:pPr>
      <w:r>
        <w:rPr>
          <w:rFonts w:hint="eastAsia" w:ascii="宋体" w:hAnsi="宋体"/>
          <w:b/>
          <w:sz w:val="28"/>
          <w:szCs w:val="28"/>
        </w:rPr>
        <w:t>八、违约责任</w:t>
      </w:r>
    </w:p>
    <w:p>
      <w:pPr>
        <w:spacing w:line="360" w:lineRule="auto"/>
        <w:rPr>
          <w:rFonts w:ascii="宋体" w:hAnsi="宋体" w:cs="宋体"/>
          <w:sz w:val="24"/>
        </w:rPr>
      </w:pPr>
      <w:r>
        <w:rPr>
          <w:rFonts w:hint="eastAsia" w:ascii="宋体" w:hAnsi="宋体" w:cs="宋体"/>
          <w:sz w:val="24"/>
        </w:rPr>
        <w:t>1、因乙方原因逾期交货的，每迟延一日乙方应向甲方支付合同总款</w:t>
      </w:r>
      <w:r>
        <w:rPr>
          <w:rFonts w:hint="eastAsia" w:ascii="宋体" w:hAnsi="宋体" w:cs="宋体"/>
          <w:sz w:val="24"/>
          <w:u w:val="single"/>
        </w:rPr>
        <w:t xml:space="preserve">      </w:t>
      </w:r>
      <w:r>
        <w:rPr>
          <w:rFonts w:hint="eastAsia" w:ascii="宋体" w:hAnsi="宋体" w:cs="宋体"/>
          <w:sz w:val="24"/>
        </w:rPr>
        <w:t>的逾期违约金；逾期违约金的支付不影响乙方交货义务及合同约定的交货时间，同时甲方有权在应付合同款中直接扣除。</w:t>
      </w:r>
    </w:p>
    <w:p>
      <w:pPr>
        <w:spacing w:line="360" w:lineRule="auto"/>
        <w:rPr>
          <w:rFonts w:ascii="宋体" w:hAnsi="宋体" w:cs="宋体"/>
          <w:sz w:val="24"/>
        </w:rPr>
      </w:pPr>
      <w:r>
        <w:rPr>
          <w:rFonts w:hint="eastAsia" w:ascii="宋体" w:hAnsi="宋体" w:cs="宋体"/>
          <w:sz w:val="24"/>
        </w:rPr>
        <w:t>2、若乙方逾期交货超过</w:t>
      </w:r>
      <w:r>
        <w:rPr>
          <w:rFonts w:hint="eastAsia" w:ascii="宋体" w:hAnsi="宋体" w:cs="宋体"/>
          <w:sz w:val="24"/>
          <w:u w:val="single"/>
        </w:rPr>
        <w:t xml:space="preserve">   </w:t>
      </w:r>
      <w:r>
        <w:rPr>
          <w:rFonts w:hint="eastAsia" w:ascii="宋体" w:hAnsi="宋体" w:cs="宋体"/>
          <w:sz w:val="24"/>
        </w:rPr>
        <w:t>日，则视为乙方不能交货，甲方有权随时解除本合同，乙方应退还甲方预付的货款、支付合同总价</w:t>
      </w:r>
      <w:r>
        <w:rPr>
          <w:rFonts w:hint="eastAsia" w:ascii="宋体" w:hAnsi="宋体" w:cs="宋体"/>
          <w:sz w:val="24"/>
          <w:u w:val="single"/>
        </w:rPr>
        <w:t xml:space="preserve">     </w:t>
      </w:r>
      <w:r>
        <w:rPr>
          <w:rFonts w:hint="eastAsia" w:ascii="宋体" w:hAnsi="宋体" w:cs="宋体"/>
          <w:sz w:val="24"/>
        </w:rPr>
        <w:t>的违约金并赔偿甲方因此而遭受的一切损失（含诉讼费、律师费等）。</w:t>
      </w:r>
    </w:p>
    <w:p>
      <w:pPr>
        <w:spacing w:line="360" w:lineRule="auto"/>
        <w:rPr>
          <w:rFonts w:ascii="宋体" w:hAnsi="宋体" w:cs="宋体"/>
          <w:sz w:val="24"/>
        </w:rPr>
      </w:pPr>
      <w:r>
        <w:rPr>
          <w:rFonts w:hint="eastAsia" w:ascii="宋体" w:hAnsi="宋体" w:cs="宋体"/>
          <w:sz w:val="24"/>
        </w:rPr>
        <w:t>3、若乙方违反本合同其他约定，经甲方通知整改，乙方拒不或未按要求整改的，甲方有权解除本合同，乙方应退还甲方预付的货款并按合同总金额的</w:t>
      </w:r>
      <w:r>
        <w:rPr>
          <w:rFonts w:hint="eastAsia" w:ascii="宋体" w:hAnsi="宋体" w:cs="宋体"/>
          <w:sz w:val="24"/>
          <w:u w:val="single"/>
        </w:rPr>
        <w:t xml:space="preserve">     </w:t>
      </w:r>
      <w:r>
        <w:rPr>
          <w:rFonts w:hint="eastAsia" w:ascii="宋体" w:hAnsi="宋体" w:cs="宋体"/>
          <w:sz w:val="24"/>
        </w:rPr>
        <w:t>向甲方支付违约金，同时应当赔偿由此给甲方造成的损失以及甲方为主张权利、提出抗辩而支出的各项合理费用（包括但不限于诉讼费、仲裁费、保全费、执行费、调查取证费、公证费、律师代理费、拍卖费、评估费、公告费、专家辅助人和证人出庭费、为财产保全事宜而开具保函的费用、在另案中主张权利或提出抗辩而支出的费用等）。</w:t>
      </w:r>
    </w:p>
    <w:p>
      <w:pPr>
        <w:spacing w:line="360" w:lineRule="auto"/>
        <w:rPr>
          <w:rFonts w:ascii="宋体" w:hAnsi="宋体"/>
          <w:b/>
          <w:sz w:val="28"/>
          <w:szCs w:val="28"/>
        </w:rPr>
      </w:pPr>
      <w:r>
        <w:rPr>
          <w:rFonts w:hint="eastAsia" w:ascii="宋体" w:hAnsi="宋体"/>
          <w:b/>
          <w:sz w:val="28"/>
          <w:szCs w:val="28"/>
        </w:rPr>
        <w:t>九、合同履行及说明</w:t>
      </w:r>
    </w:p>
    <w:p>
      <w:pPr>
        <w:spacing w:line="360" w:lineRule="auto"/>
        <w:rPr>
          <w:rFonts w:ascii="宋体" w:hAnsi="宋体" w:cs="宋体"/>
          <w:sz w:val="24"/>
        </w:rPr>
      </w:pPr>
      <w:r>
        <w:rPr>
          <w:rFonts w:hint="eastAsia" w:ascii="宋体" w:hAnsi="宋体" w:cs="宋体"/>
          <w:sz w:val="24"/>
        </w:rPr>
        <w:t>1、本合同执行过程中如一方要求变更或补充合同条款，经双方协商，书面确定后方可作为有效合同条款。单方认定的变更和补充条款视为无效条款；</w:t>
      </w:r>
    </w:p>
    <w:p>
      <w:pPr>
        <w:spacing w:line="360" w:lineRule="auto"/>
        <w:rPr>
          <w:rFonts w:ascii="宋体" w:hAnsi="宋体" w:cs="宋体"/>
          <w:sz w:val="24"/>
        </w:rPr>
      </w:pPr>
      <w:r>
        <w:rPr>
          <w:rFonts w:hint="eastAsia" w:ascii="宋体" w:hAnsi="宋体" w:cs="宋体"/>
          <w:sz w:val="24"/>
        </w:rPr>
        <w:t>2、本合同在履行过程中发生争议，协商解决，协商不成可向</w:t>
      </w:r>
      <w:r>
        <w:rPr>
          <w:rFonts w:hint="eastAsia" w:ascii="宋体" w:hAnsi="宋体" w:cs="宋体"/>
          <w:sz w:val="24"/>
          <w:u w:val="single"/>
        </w:rPr>
        <w:t xml:space="preserve">    方</w:t>
      </w:r>
      <w:r>
        <w:rPr>
          <w:rFonts w:hint="eastAsia" w:ascii="宋体" w:hAnsi="宋体" w:cs="宋体"/>
          <w:sz w:val="24"/>
        </w:rPr>
        <w:t>所在地人民法院起诉；</w:t>
      </w:r>
    </w:p>
    <w:p>
      <w:pPr>
        <w:spacing w:line="360" w:lineRule="auto"/>
        <w:rPr>
          <w:rFonts w:ascii="宋体" w:hAnsi="宋体" w:cs="宋体"/>
          <w:sz w:val="24"/>
        </w:rPr>
      </w:pPr>
      <w:r>
        <w:rPr>
          <w:rFonts w:hint="eastAsia" w:ascii="宋体" w:hAnsi="宋体" w:cs="宋体"/>
          <w:sz w:val="24"/>
        </w:rPr>
        <w:t>3、本合同一式两份，甲乙双方各执一份，双方代表签字盖章即刻生效；</w:t>
      </w:r>
    </w:p>
    <w:p>
      <w:pPr>
        <w:spacing w:line="360" w:lineRule="auto"/>
        <w:rPr>
          <w:rFonts w:ascii="宋体" w:hAnsi="宋体"/>
          <w:b/>
          <w:szCs w:val="21"/>
        </w:rPr>
      </w:pPr>
      <w:r>
        <w:rPr>
          <w:rFonts w:hint="eastAsia" w:ascii="宋体" w:hAnsi="宋体" w:cs="宋体"/>
          <w:sz w:val="24"/>
        </w:rPr>
        <w:t>4、本合同附双方盖章确认的清单、附件同样具有合同同等法律效力。</w:t>
      </w:r>
    </w:p>
    <w:p>
      <w:pPr>
        <w:spacing w:line="360" w:lineRule="auto"/>
        <w:ind w:left="411" w:hanging="411" w:hangingChars="195"/>
        <w:rPr>
          <w:rFonts w:ascii="宋体" w:hAnsi="宋体" w:cs="微软雅黑"/>
          <w:b/>
          <w:szCs w:val="21"/>
          <w:u w:val="single"/>
        </w:rPr>
      </w:pPr>
      <w:r>
        <w:rPr>
          <w:rFonts w:hint="eastAsia" w:ascii="宋体" w:hAnsi="宋体" w:cs="微软雅黑"/>
          <w:b/>
          <w:szCs w:val="21"/>
        </w:rPr>
        <w:t xml:space="preserve">甲  方： </w:t>
      </w:r>
      <w:r>
        <w:rPr>
          <w:rFonts w:hint="eastAsia" w:ascii="宋体" w:hAnsi="宋体" w:cs="微软雅黑"/>
          <w:b/>
          <w:szCs w:val="21"/>
          <w:u w:val="single"/>
        </w:rPr>
        <w:t xml:space="preserve">                                        </w:t>
      </w:r>
      <w:r>
        <w:rPr>
          <w:rFonts w:hint="eastAsia" w:ascii="宋体" w:hAnsi="宋体" w:cs="微软雅黑"/>
          <w:b/>
          <w:szCs w:val="21"/>
        </w:rPr>
        <w:t xml:space="preserve">    乙  方：</w:t>
      </w:r>
      <w:r>
        <w:rPr>
          <w:rFonts w:hint="eastAsia" w:ascii="宋体" w:hAnsi="宋体" w:cs="微软雅黑"/>
          <w:b/>
          <w:szCs w:val="21"/>
          <w:u w:val="single"/>
        </w:rPr>
        <w:t xml:space="preserve">                                </w:t>
      </w:r>
    </w:p>
    <w:p>
      <w:pPr>
        <w:spacing w:line="360" w:lineRule="auto"/>
        <w:ind w:left="411" w:hanging="411" w:hangingChars="195"/>
        <w:rPr>
          <w:rFonts w:ascii="宋体" w:hAnsi="宋体" w:cs="微软雅黑"/>
          <w:b/>
          <w:szCs w:val="21"/>
          <w:u w:val="single"/>
        </w:rPr>
      </w:pPr>
      <w:r>
        <w:rPr>
          <w:rFonts w:hint="eastAsia" w:ascii="宋体" w:hAnsi="宋体" w:cs="微软雅黑"/>
          <w:b/>
          <w:szCs w:val="21"/>
        </w:rPr>
        <w:t xml:space="preserve">代理人： </w:t>
      </w:r>
      <w:r>
        <w:rPr>
          <w:rFonts w:hint="eastAsia" w:ascii="宋体" w:hAnsi="宋体" w:cs="微软雅黑"/>
          <w:b/>
          <w:szCs w:val="21"/>
          <w:u w:val="single"/>
        </w:rPr>
        <w:t xml:space="preserve">                                         </w:t>
      </w:r>
      <w:r>
        <w:rPr>
          <w:rFonts w:hint="eastAsia" w:ascii="宋体" w:hAnsi="宋体" w:cs="微软雅黑"/>
          <w:b/>
          <w:szCs w:val="21"/>
        </w:rPr>
        <w:t xml:space="preserve">   代理人：</w:t>
      </w:r>
      <w:r>
        <w:rPr>
          <w:rFonts w:hint="eastAsia" w:ascii="宋体" w:hAnsi="宋体" w:cs="微软雅黑"/>
          <w:b/>
          <w:szCs w:val="21"/>
          <w:u w:val="single"/>
        </w:rPr>
        <w:t xml:space="preserve">                               </w:t>
      </w:r>
    </w:p>
    <w:p>
      <w:pPr>
        <w:spacing w:line="360" w:lineRule="auto"/>
        <w:ind w:left="411" w:hanging="411" w:hangingChars="195"/>
        <w:rPr>
          <w:rFonts w:ascii="宋体" w:hAnsi="宋体" w:cs="微软雅黑"/>
          <w:b/>
          <w:szCs w:val="21"/>
          <w:u w:val="single"/>
        </w:rPr>
      </w:pPr>
      <w:r>
        <w:rPr>
          <w:rFonts w:hint="eastAsia" w:ascii="宋体" w:hAnsi="宋体" w:cs="微软雅黑"/>
          <w:b/>
          <w:szCs w:val="21"/>
        </w:rPr>
        <w:t xml:space="preserve">电  话： </w:t>
      </w:r>
      <w:r>
        <w:rPr>
          <w:rFonts w:hint="eastAsia" w:ascii="宋体" w:hAnsi="宋体" w:cs="微软雅黑"/>
          <w:b/>
          <w:szCs w:val="21"/>
          <w:u w:val="single"/>
        </w:rPr>
        <w:t xml:space="preserve">                                         </w:t>
      </w:r>
      <w:r>
        <w:rPr>
          <w:rFonts w:hint="eastAsia" w:ascii="宋体" w:hAnsi="宋体" w:cs="微软雅黑"/>
          <w:b/>
          <w:szCs w:val="21"/>
        </w:rPr>
        <w:t xml:space="preserve">   </w:t>
      </w:r>
      <w:r>
        <w:rPr>
          <w:rFonts w:hint="eastAsia" w:ascii="宋体" w:hAnsi="宋体" w:cs="微软雅黑"/>
          <w:b/>
          <w:szCs w:val="21"/>
          <w:lang w:val="zh-TW" w:eastAsia="zh-TW"/>
        </w:rPr>
        <w:t>电  话：</w:t>
      </w:r>
      <w:r>
        <w:rPr>
          <w:rFonts w:hint="eastAsia" w:ascii="宋体" w:hAnsi="宋体" w:cs="微软雅黑"/>
          <w:b/>
          <w:szCs w:val="21"/>
          <w:u w:val="single"/>
        </w:rPr>
        <w:t xml:space="preserve">                                </w:t>
      </w:r>
    </w:p>
    <w:p>
      <w:pPr>
        <w:spacing w:line="360" w:lineRule="auto"/>
        <w:ind w:left="411" w:hanging="411" w:hangingChars="195"/>
        <w:rPr>
          <w:rFonts w:ascii="宋体" w:hAnsi="宋体" w:cs="微软雅黑"/>
          <w:b/>
          <w:szCs w:val="21"/>
          <w:u w:val="single"/>
        </w:rPr>
      </w:pPr>
      <w:r>
        <w:rPr>
          <w:rFonts w:hint="eastAsia" w:ascii="宋体" w:hAnsi="宋体" w:cs="微软雅黑"/>
          <w:b/>
          <w:szCs w:val="21"/>
        </w:rPr>
        <w:t xml:space="preserve">传  真： </w:t>
      </w:r>
      <w:r>
        <w:rPr>
          <w:rFonts w:hint="eastAsia" w:ascii="宋体" w:hAnsi="宋体" w:cs="微软雅黑"/>
          <w:b/>
          <w:szCs w:val="21"/>
          <w:u w:val="single"/>
        </w:rPr>
        <w:t xml:space="preserve">                                        </w:t>
      </w:r>
      <w:r>
        <w:rPr>
          <w:rFonts w:hint="eastAsia" w:ascii="宋体" w:hAnsi="宋体" w:cs="微软雅黑"/>
          <w:b/>
          <w:szCs w:val="21"/>
        </w:rPr>
        <w:t xml:space="preserve">    </w:t>
      </w:r>
      <w:r>
        <w:rPr>
          <w:rFonts w:hint="eastAsia" w:ascii="宋体" w:hAnsi="宋体" w:cs="微软雅黑"/>
          <w:b/>
          <w:szCs w:val="21"/>
          <w:lang w:val="zh-TW" w:eastAsia="zh-TW"/>
        </w:rPr>
        <w:t>传  真：</w:t>
      </w:r>
      <w:r>
        <w:rPr>
          <w:rFonts w:hint="eastAsia" w:ascii="宋体" w:hAnsi="宋体" w:cs="微软雅黑"/>
          <w:b/>
          <w:szCs w:val="21"/>
          <w:u w:val="single"/>
        </w:rPr>
        <w:t xml:space="preserve">                                </w:t>
      </w:r>
    </w:p>
    <w:p>
      <w:pPr>
        <w:spacing w:line="360" w:lineRule="auto"/>
        <w:ind w:left="411" w:hanging="411" w:hangingChars="195"/>
        <w:jc w:val="left"/>
        <w:rPr>
          <w:rFonts w:ascii="宋体" w:hAnsi="宋体" w:cs="宋体"/>
          <w:b/>
          <w:bCs/>
          <w:kern w:val="0"/>
          <w:sz w:val="24"/>
        </w:rPr>
      </w:pPr>
      <w:r>
        <w:rPr>
          <w:rFonts w:hint="eastAsia" w:ascii="宋体" w:hAnsi="宋体" w:cs="微软雅黑"/>
          <w:b/>
          <w:szCs w:val="21"/>
        </w:rPr>
        <w:t xml:space="preserve">年  </w:t>
      </w:r>
      <w:r>
        <w:rPr>
          <w:rFonts w:hint="eastAsia" w:ascii="宋体" w:hAnsi="宋体" w:cs="微软雅黑"/>
          <w:b/>
          <w:szCs w:val="21"/>
          <w:u w:val="single"/>
        </w:rPr>
        <w:t xml:space="preserve">     </w:t>
      </w:r>
      <w:r>
        <w:rPr>
          <w:rFonts w:hint="eastAsia" w:ascii="宋体" w:hAnsi="宋体" w:cs="微软雅黑"/>
          <w:b/>
          <w:szCs w:val="21"/>
        </w:rPr>
        <w:t xml:space="preserve"> 月 </w:t>
      </w:r>
      <w:r>
        <w:rPr>
          <w:rFonts w:hint="eastAsia" w:ascii="宋体" w:hAnsi="宋体" w:cs="微软雅黑"/>
          <w:b/>
          <w:szCs w:val="21"/>
          <w:u w:val="single"/>
        </w:rPr>
        <w:t xml:space="preserve">        </w:t>
      </w:r>
      <w:r>
        <w:rPr>
          <w:rFonts w:hint="eastAsia" w:ascii="宋体" w:hAnsi="宋体" w:cs="微软雅黑"/>
          <w:b/>
          <w:szCs w:val="21"/>
        </w:rPr>
        <w:t xml:space="preserve">日  </w:t>
      </w:r>
      <w:r>
        <w:rPr>
          <w:rFonts w:hint="eastAsia" w:ascii="宋体" w:hAnsi="宋体" w:cs="微软雅黑"/>
          <w:b/>
          <w:szCs w:val="21"/>
          <w:u w:val="single"/>
        </w:rPr>
        <w:t xml:space="preserve">      </w:t>
      </w:r>
      <w:r>
        <w:rPr>
          <w:rFonts w:hint="eastAsia" w:ascii="宋体" w:hAnsi="宋体" w:cs="微软雅黑"/>
          <w:b/>
          <w:szCs w:val="21"/>
        </w:rPr>
        <w:t xml:space="preserve">                      年 </w:t>
      </w:r>
      <w:r>
        <w:rPr>
          <w:rFonts w:hint="eastAsia" w:ascii="宋体" w:hAnsi="宋体" w:cs="微软雅黑"/>
          <w:b/>
          <w:szCs w:val="21"/>
          <w:u w:val="single"/>
        </w:rPr>
        <w:t xml:space="preserve">       </w:t>
      </w:r>
      <w:r>
        <w:rPr>
          <w:rFonts w:hint="eastAsia" w:ascii="宋体" w:hAnsi="宋体" w:cs="微软雅黑"/>
          <w:b/>
          <w:szCs w:val="21"/>
        </w:rPr>
        <w:t xml:space="preserve">月 </w:t>
      </w:r>
      <w:r>
        <w:rPr>
          <w:rFonts w:hint="eastAsia" w:ascii="宋体" w:hAnsi="宋体" w:cs="微软雅黑"/>
          <w:b/>
          <w:szCs w:val="21"/>
          <w:u w:val="single"/>
        </w:rPr>
        <w:t xml:space="preserve">       </w:t>
      </w:r>
      <w:r>
        <w:rPr>
          <w:rFonts w:hint="eastAsia" w:ascii="宋体" w:hAnsi="宋体" w:cs="微软雅黑"/>
          <w:b/>
          <w:szCs w:val="21"/>
        </w:rPr>
        <w:t>日</w:t>
      </w:r>
      <w:r>
        <w:rPr>
          <w:rFonts w:hint="eastAsia" w:ascii="宋体" w:hAnsi="宋体" w:cs="微软雅黑"/>
          <w:b/>
          <w:szCs w:val="21"/>
          <w:u w:val="single"/>
        </w:rPr>
        <w:t xml:space="preserve">      </w:t>
      </w:r>
    </w:p>
    <w:p>
      <w:pPr>
        <w:autoSpaceDE w:val="0"/>
        <w:autoSpaceDN w:val="0"/>
        <w:adjustRightInd w:val="0"/>
        <w:spacing w:line="360" w:lineRule="auto"/>
        <w:jc w:val="left"/>
        <w:rPr>
          <w:rFonts w:ascii="宋体" w:hAnsi="宋体" w:cs="宋体"/>
          <w:b/>
          <w:bCs/>
          <w:kern w:val="0"/>
          <w:sz w:val="24"/>
        </w:rPr>
      </w:pPr>
    </w:p>
    <w:p>
      <w:pPr>
        <w:spacing w:line="360" w:lineRule="auto"/>
        <w:rPr>
          <w:rFonts w:ascii="宋体" w:hAnsi="宋体"/>
        </w:rPr>
      </w:pPr>
    </w:p>
    <w:p>
      <w:pPr>
        <w:pStyle w:val="45"/>
        <w:spacing w:line="360" w:lineRule="auto"/>
        <w:rPr>
          <w:rFonts w:hAnsi="宋体"/>
          <w:b/>
          <w:sz w:val="24"/>
          <w:szCs w:val="24"/>
        </w:rPr>
      </w:pPr>
    </w:p>
    <w:p>
      <w:pPr>
        <w:spacing w:line="360" w:lineRule="auto"/>
        <w:rPr>
          <w:rFonts w:ascii="宋体" w:hAnsi="宋体"/>
        </w:rPr>
      </w:pPr>
    </w:p>
    <w:p>
      <w:pPr>
        <w:tabs>
          <w:tab w:val="left" w:pos="3426"/>
        </w:tabs>
        <w:spacing w:line="360" w:lineRule="auto"/>
        <w:rPr>
          <w:rFonts w:ascii="宋体" w:hAnsi="宋体"/>
        </w:rPr>
      </w:pPr>
      <w:r>
        <w:rPr>
          <w:rFonts w:ascii="宋体" w:hAnsi="宋体"/>
        </w:rPr>
        <w:tab/>
      </w:r>
    </w:p>
    <w:p>
      <w:pPr>
        <w:spacing w:line="360" w:lineRule="auto"/>
        <w:rPr>
          <w:rFonts w:ascii="宋体" w:hAnsi="宋体"/>
        </w:rPr>
      </w:pPr>
    </w:p>
    <w:p>
      <w:pPr>
        <w:spacing w:line="360" w:lineRule="auto"/>
        <w:rPr>
          <w:rFonts w:ascii="宋体" w:hAnsi="宋体"/>
        </w:rPr>
      </w:pPr>
    </w:p>
    <w:p>
      <w:pPr>
        <w:spacing w:line="360" w:lineRule="auto"/>
        <w:rPr>
          <w:rFonts w:ascii="宋体" w:hAnsi="宋体"/>
        </w:rPr>
      </w:pPr>
    </w:p>
    <w:p>
      <w:pPr>
        <w:spacing w:line="360" w:lineRule="auto"/>
        <w:rPr>
          <w:rFonts w:ascii="宋体" w:hAnsi="宋体"/>
        </w:rPr>
      </w:pPr>
    </w:p>
    <w:p>
      <w:pPr>
        <w:spacing w:line="360" w:lineRule="auto"/>
        <w:jc w:val="center"/>
        <w:rPr>
          <w:rFonts w:ascii="宋体" w:hAnsi="宋体"/>
        </w:rPr>
      </w:pPr>
    </w:p>
    <w:p>
      <w:pPr>
        <w:spacing w:line="360" w:lineRule="auto"/>
        <w:jc w:val="center"/>
        <w:rPr>
          <w:rFonts w:ascii="宋体" w:hAnsi="宋体"/>
        </w:rPr>
      </w:pPr>
    </w:p>
    <w:p>
      <w:pPr>
        <w:spacing w:line="360" w:lineRule="auto"/>
        <w:jc w:val="center"/>
        <w:rPr>
          <w:rFonts w:ascii="宋体" w:hAnsi="宋体"/>
        </w:rPr>
      </w:pPr>
    </w:p>
    <w:p>
      <w:pPr>
        <w:spacing w:line="360" w:lineRule="auto"/>
        <w:jc w:val="center"/>
        <w:rPr>
          <w:rFonts w:ascii="宋体" w:hAnsi="宋体"/>
        </w:rPr>
      </w:pPr>
    </w:p>
    <w:p>
      <w:pPr>
        <w:autoSpaceDE w:val="0"/>
        <w:autoSpaceDN w:val="0"/>
        <w:adjustRightInd w:val="0"/>
        <w:spacing w:line="360" w:lineRule="auto"/>
        <w:jc w:val="center"/>
        <w:rPr>
          <w:rFonts w:ascii="宋体" w:hAnsi="宋体"/>
          <w:b/>
          <w:kern w:val="0"/>
          <w:sz w:val="44"/>
          <w:szCs w:val="44"/>
        </w:rPr>
      </w:pPr>
      <w:r>
        <w:rPr>
          <w:rFonts w:ascii="宋体" w:hAnsi="宋体"/>
          <w:b/>
          <w:kern w:val="0"/>
          <w:sz w:val="44"/>
          <w:szCs w:val="44"/>
        </w:rPr>
        <w:t>第五部分 附  件</w:t>
      </w:r>
    </w:p>
    <w:p>
      <w:pPr>
        <w:autoSpaceDE w:val="0"/>
        <w:autoSpaceDN w:val="0"/>
        <w:adjustRightInd w:val="0"/>
        <w:spacing w:line="360" w:lineRule="auto"/>
        <w:rPr>
          <w:rFonts w:ascii="宋体" w:hAnsi="宋体"/>
          <w:kern w:val="0"/>
          <w:sz w:val="28"/>
          <w:szCs w:val="28"/>
        </w:rPr>
      </w:pPr>
    </w:p>
    <w:p>
      <w:pPr>
        <w:autoSpaceDE w:val="0"/>
        <w:autoSpaceDN w:val="0"/>
        <w:adjustRightInd w:val="0"/>
        <w:spacing w:line="360" w:lineRule="auto"/>
        <w:jc w:val="center"/>
        <w:rPr>
          <w:rFonts w:ascii="宋体" w:hAnsi="宋体"/>
          <w:b/>
          <w:kern w:val="0"/>
          <w:sz w:val="28"/>
          <w:szCs w:val="28"/>
        </w:rPr>
      </w:pPr>
      <w:r>
        <w:rPr>
          <w:rFonts w:ascii="宋体" w:hAnsi="宋体"/>
          <w:b/>
          <w:kern w:val="0"/>
          <w:sz w:val="28"/>
          <w:szCs w:val="28"/>
        </w:rPr>
        <w:t>（投标文件制作格式</w:t>
      </w:r>
      <w:r>
        <w:rPr>
          <w:rFonts w:hint="eastAsia" w:ascii="宋体" w:hAnsi="宋体"/>
          <w:b/>
          <w:kern w:val="0"/>
          <w:sz w:val="28"/>
          <w:szCs w:val="28"/>
        </w:rPr>
        <w:t>，仅供</w:t>
      </w:r>
      <w:r>
        <w:rPr>
          <w:rFonts w:ascii="宋体" w:hAnsi="宋体"/>
          <w:b/>
          <w:kern w:val="0"/>
          <w:sz w:val="28"/>
          <w:szCs w:val="28"/>
        </w:rPr>
        <w:t>参考）</w:t>
      </w:r>
    </w:p>
    <w:p>
      <w:pPr>
        <w:autoSpaceDE w:val="0"/>
        <w:autoSpaceDN w:val="0"/>
        <w:adjustRightInd w:val="0"/>
        <w:spacing w:line="360" w:lineRule="auto"/>
        <w:jc w:val="center"/>
        <w:rPr>
          <w:rFonts w:ascii="宋体" w:hAnsi="宋体"/>
          <w:b/>
          <w:spacing w:val="-6"/>
          <w:kern w:val="0"/>
          <w:sz w:val="28"/>
          <w:szCs w:val="28"/>
        </w:rPr>
      </w:pPr>
    </w:p>
    <w:p>
      <w:pPr>
        <w:autoSpaceDE w:val="0"/>
        <w:autoSpaceDN w:val="0"/>
        <w:adjustRightInd w:val="0"/>
        <w:spacing w:line="360" w:lineRule="auto"/>
        <w:jc w:val="center"/>
        <w:rPr>
          <w:rFonts w:ascii="宋体" w:hAnsi="宋体"/>
          <w:b/>
          <w:spacing w:val="-6"/>
          <w:kern w:val="0"/>
          <w:sz w:val="28"/>
          <w:szCs w:val="28"/>
        </w:rPr>
      </w:pPr>
    </w:p>
    <w:p>
      <w:pPr>
        <w:autoSpaceDE w:val="0"/>
        <w:autoSpaceDN w:val="0"/>
        <w:adjustRightInd w:val="0"/>
        <w:spacing w:line="360" w:lineRule="auto"/>
        <w:jc w:val="center"/>
        <w:rPr>
          <w:rFonts w:ascii="宋体" w:hAnsi="宋体"/>
          <w:b/>
          <w:spacing w:val="-6"/>
          <w:kern w:val="0"/>
          <w:sz w:val="28"/>
          <w:szCs w:val="28"/>
        </w:rPr>
      </w:pPr>
    </w:p>
    <w:p>
      <w:pPr>
        <w:autoSpaceDE w:val="0"/>
        <w:autoSpaceDN w:val="0"/>
        <w:adjustRightInd w:val="0"/>
        <w:spacing w:line="360" w:lineRule="auto"/>
        <w:jc w:val="center"/>
        <w:rPr>
          <w:rFonts w:ascii="宋体" w:hAnsi="宋体"/>
          <w:b/>
          <w:spacing w:val="-6"/>
          <w:kern w:val="0"/>
          <w:sz w:val="28"/>
          <w:szCs w:val="28"/>
        </w:rPr>
      </w:pPr>
    </w:p>
    <w:p>
      <w:pPr>
        <w:autoSpaceDE w:val="0"/>
        <w:autoSpaceDN w:val="0"/>
        <w:adjustRightInd w:val="0"/>
        <w:spacing w:line="360" w:lineRule="auto"/>
        <w:jc w:val="center"/>
        <w:rPr>
          <w:rFonts w:ascii="宋体" w:hAnsi="宋体"/>
          <w:b/>
          <w:spacing w:val="-6"/>
          <w:kern w:val="0"/>
          <w:sz w:val="28"/>
          <w:szCs w:val="28"/>
        </w:rPr>
      </w:pPr>
    </w:p>
    <w:p>
      <w:pPr>
        <w:autoSpaceDE w:val="0"/>
        <w:autoSpaceDN w:val="0"/>
        <w:adjustRightInd w:val="0"/>
        <w:spacing w:line="360" w:lineRule="auto"/>
        <w:jc w:val="center"/>
        <w:rPr>
          <w:rFonts w:ascii="宋体" w:hAnsi="宋体"/>
          <w:b/>
          <w:spacing w:val="-6"/>
          <w:kern w:val="0"/>
          <w:sz w:val="28"/>
          <w:szCs w:val="28"/>
        </w:rPr>
      </w:pPr>
    </w:p>
    <w:p>
      <w:pPr>
        <w:autoSpaceDE w:val="0"/>
        <w:autoSpaceDN w:val="0"/>
        <w:adjustRightInd w:val="0"/>
        <w:spacing w:line="360" w:lineRule="auto"/>
        <w:jc w:val="center"/>
        <w:rPr>
          <w:rFonts w:ascii="宋体" w:hAnsi="宋体"/>
          <w:b/>
          <w:spacing w:val="-6"/>
          <w:kern w:val="0"/>
          <w:sz w:val="28"/>
          <w:szCs w:val="28"/>
        </w:rPr>
      </w:pPr>
    </w:p>
    <w:p>
      <w:pPr>
        <w:autoSpaceDE w:val="0"/>
        <w:autoSpaceDN w:val="0"/>
        <w:adjustRightInd w:val="0"/>
        <w:spacing w:line="360" w:lineRule="auto"/>
        <w:jc w:val="center"/>
        <w:rPr>
          <w:rFonts w:ascii="宋体" w:hAnsi="宋体"/>
          <w:b/>
          <w:spacing w:val="-6"/>
          <w:kern w:val="0"/>
          <w:sz w:val="28"/>
          <w:szCs w:val="28"/>
        </w:rPr>
      </w:pPr>
    </w:p>
    <w:p>
      <w:pPr>
        <w:autoSpaceDE w:val="0"/>
        <w:autoSpaceDN w:val="0"/>
        <w:adjustRightInd w:val="0"/>
        <w:spacing w:line="360" w:lineRule="auto"/>
        <w:jc w:val="center"/>
        <w:rPr>
          <w:rFonts w:ascii="宋体" w:hAnsi="宋体"/>
          <w:b/>
          <w:spacing w:val="-6"/>
          <w:kern w:val="0"/>
          <w:sz w:val="28"/>
          <w:szCs w:val="28"/>
        </w:rPr>
      </w:pPr>
    </w:p>
    <w:p>
      <w:pPr>
        <w:autoSpaceDE w:val="0"/>
        <w:autoSpaceDN w:val="0"/>
        <w:adjustRightInd w:val="0"/>
        <w:spacing w:line="360" w:lineRule="auto"/>
        <w:jc w:val="center"/>
        <w:rPr>
          <w:rFonts w:ascii="宋体" w:hAnsi="宋体"/>
          <w:b/>
          <w:spacing w:val="-6"/>
          <w:kern w:val="0"/>
          <w:sz w:val="28"/>
          <w:szCs w:val="28"/>
        </w:rPr>
      </w:pPr>
    </w:p>
    <w:p>
      <w:pPr>
        <w:autoSpaceDE w:val="0"/>
        <w:autoSpaceDN w:val="0"/>
        <w:adjustRightInd w:val="0"/>
        <w:spacing w:line="360" w:lineRule="auto"/>
        <w:jc w:val="center"/>
        <w:rPr>
          <w:rFonts w:ascii="宋体" w:hAnsi="宋体"/>
          <w:b/>
          <w:spacing w:val="-6"/>
          <w:kern w:val="0"/>
          <w:sz w:val="28"/>
          <w:szCs w:val="28"/>
        </w:rPr>
      </w:pPr>
    </w:p>
    <w:p>
      <w:pPr>
        <w:autoSpaceDE w:val="0"/>
        <w:autoSpaceDN w:val="0"/>
        <w:adjustRightInd w:val="0"/>
        <w:spacing w:line="360" w:lineRule="auto"/>
        <w:jc w:val="center"/>
        <w:rPr>
          <w:rFonts w:ascii="宋体" w:hAnsi="宋体"/>
          <w:b/>
          <w:spacing w:val="-6"/>
          <w:kern w:val="0"/>
          <w:sz w:val="28"/>
          <w:szCs w:val="28"/>
        </w:rPr>
      </w:pPr>
    </w:p>
    <w:p>
      <w:pPr>
        <w:autoSpaceDE w:val="0"/>
        <w:autoSpaceDN w:val="0"/>
        <w:adjustRightInd w:val="0"/>
        <w:spacing w:line="360" w:lineRule="auto"/>
        <w:jc w:val="center"/>
        <w:rPr>
          <w:rFonts w:ascii="宋体" w:hAnsi="宋体"/>
          <w:b/>
          <w:spacing w:val="-6"/>
          <w:kern w:val="0"/>
          <w:sz w:val="28"/>
          <w:szCs w:val="28"/>
        </w:rPr>
      </w:pPr>
    </w:p>
    <w:p>
      <w:pPr>
        <w:autoSpaceDE w:val="0"/>
        <w:autoSpaceDN w:val="0"/>
        <w:adjustRightInd w:val="0"/>
        <w:spacing w:line="360" w:lineRule="auto"/>
        <w:jc w:val="center"/>
        <w:rPr>
          <w:rFonts w:ascii="宋体" w:hAnsi="宋体"/>
          <w:b/>
          <w:spacing w:val="-6"/>
          <w:kern w:val="0"/>
          <w:sz w:val="28"/>
          <w:szCs w:val="28"/>
        </w:rPr>
      </w:pPr>
    </w:p>
    <w:p>
      <w:pPr>
        <w:autoSpaceDE w:val="0"/>
        <w:autoSpaceDN w:val="0"/>
        <w:adjustRightInd w:val="0"/>
        <w:spacing w:line="360" w:lineRule="auto"/>
        <w:jc w:val="center"/>
        <w:rPr>
          <w:rFonts w:ascii="宋体" w:hAnsi="宋体"/>
          <w:b/>
          <w:spacing w:val="-6"/>
          <w:kern w:val="0"/>
          <w:sz w:val="28"/>
          <w:szCs w:val="28"/>
        </w:rPr>
      </w:pPr>
    </w:p>
    <w:p>
      <w:pPr>
        <w:autoSpaceDE w:val="0"/>
        <w:autoSpaceDN w:val="0"/>
        <w:adjustRightInd w:val="0"/>
        <w:spacing w:line="360" w:lineRule="auto"/>
        <w:jc w:val="center"/>
        <w:rPr>
          <w:rFonts w:ascii="宋体" w:hAnsi="宋体"/>
          <w:b/>
          <w:spacing w:val="-6"/>
          <w:kern w:val="0"/>
          <w:sz w:val="28"/>
          <w:szCs w:val="28"/>
        </w:rPr>
      </w:pPr>
    </w:p>
    <w:p>
      <w:pPr>
        <w:autoSpaceDE w:val="0"/>
        <w:autoSpaceDN w:val="0"/>
        <w:adjustRightInd w:val="0"/>
        <w:spacing w:line="360" w:lineRule="auto"/>
        <w:jc w:val="center"/>
        <w:rPr>
          <w:rFonts w:ascii="宋体" w:hAnsi="宋体"/>
          <w:b/>
          <w:spacing w:val="-6"/>
          <w:kern w:val="0"/>
          <w:sz w:val="28"/>
          <w:szCs w:val="28"/>
        </w:rPr>
      </w:pPr>
    </w:p>
    <w:p>
      <w:pPr>
        <w:autoSpaceDE w:val="0"/>
        <w:autoSpaceDN w:val="0"/>
        <w:adjustRightInd w:val="0"/>
        <w:spacing w:line="360" w:lineRule="auto"/>
        <w:jc w:val="center"/>
        <w:rPr>
          <w:rFonts w:ascii="宋体" w:hAnsi="宋体"/>
          <w:b/>
          <w:spacing w:val="-6"/>
          <w:kern w:val="0"/>
          <w:sz w:val="28"/>
          <w:szCs w:val="28"/>
        </w:rPr>
      </w:pPr>
    </w:p>
    <w:p>
      <w:pPr>
        <w:autoSpaceDE w:val="0"/>
        <w:autoSpaceDN w:val="0"/>
        <w:adjustRightInd w:val="0"/>
        <w:spacing w:line="360" w:lineRule="auto"/>
        <w:jc w:val="center"/>
        <w:rPr>
          <w:rFonts w:ascii="宋体" w:hAnsi="宋体"/>
          <w:b/>
          <w:spacing w:val="-6"/>
          <w:kern w:val="0"/>
          <w:sz w:val="28"/>
          <w:szCs w:val="28"/>
        </w:rPr>
      </w:pPr>
    </w:p>
    <w:p>
      <w:pPr>
        <w:autoSpaceDE w:val="0"/>
        <w:autoSpaceDN w:val="0"/>
        <w:adjustRightInd w:val="0"/>
        <w:spacing w:line="360" w:lineRule="auto"/>
        <w:jc w:val="center"/>
        <w:rPr>
          <w:rFonts w:ascii="宋体" w:hAnsi="宋体"/>
          <w:b/>
          <w:spacing w:val="-6"/>
          <w:kern w:val="0"/>
          <w:sz w:val="28"/>
          <w:szCs w:val="28"/>
        </w:rPr>
      </w:pPr>
      <w:r>
        <w:rPr>
          <w:rFonts w:ascii="宋体" w:hAnsi="宋体"/>
          <w:b/>
          <w:spacing w:val="-6"/>
          <w:kern w:val="0"/>
          <w:sz w:val="28"/>
          <w:szCs w:val="28"/>
        </w:rPr>
        <w:br w:type="page"/>
      </w:r>
    </w:p>
    <w:p>
      <w:pPr>
        <w:autoSpaceDE w:val="0"/>
        <w:autoSpaceDN w:val="0"/>
        <w:adjustRightInd w:val="0"/>
        <w:spacing w:line="360" w:lineRule="auto"/>
        <w:jc w:val="right"/>
        <w:rPr>
          <w:rFonts w:ascii="宋体" w:hAnsi="宋体"/>
          <w:b/>
          <w:spacing w:val="-6"/>
          <w:kern w:val="0"/>
          <w:sz w:val="32"/>
          <w:szCs w:val="32"/>
          <w:bdr w:val="single" w:color="auto" w:sz="4" w:space="0"/>
        </w:rPr>
      </w:pPr>
      <w:r>
        <w:rPr>
          <w:rFonts w:ascii="宋体" w:hAnsi="宋体"/>
          <w:b/>
          <w:spacing w:val="-6"/>
          <w:kern w:val="0"/>
          <w:sz w:val="32"/>
          <w:szCs w:val="32"/>
          <w:bdr w:val="single" w:color="auto" w:sz="4" w:space="0"/>
        </w:rPr>
        <w:t>正本(或副本)</w:t>
      </w:r>
    </w:p>
    <w:p>
      <w:pPr>
        <w:autoSpaceDE w:val="0"/>
        <w:autoSpaceDN w:val="0"/>
        <w:adjustRightInd w:val="0"/>
        <w:spacing w:line="360" w:lineRule="auto"/>
        <w:jc w:val="center"/>
        <w:rPr>
          <w:rFonts w:ascii="宋体" w:hAnsi="宋体"/>
          <w:b/>
          <w:spacing w:val="-6"/>
          <w:kern w:val="0"/>
          <w:sz w:val="48"/>
          <w:szCs w:val="48"/>
        </w:rPr>
      </w:pPr>
    </w:p>
    <w:p>
      <w:pPr>
        <w:spacing w:line="360" w:lineRule="auto"/>
        <w:jc w:val="center"/>
        <w:rPr>
          <w:rFonts w:ascii="宋体" w:hAnsi="宋体"/>
          <w:b/>
          <w:sz w:val="30"/>
          <w:szCs w:val="30"/>
        </w:rPr>
      </w:pPr>
    </w:p>
    <w:p>
      <w:pPr>
        <w:spacing w:line="360" w:lineRule="auto"/>
        <w:jc w:val="center"/>
        <w:rPr>
          <w:rFonts w:hint="eastAsia" w:ascii="宋体" w:hAnsi="宋体" w:eastAsia="宋体"/>
          <w:b/>
          <w:sz w:val="30"/>
          <w:szCs w:val="30"/>
          <w:lang w:eastAsia="zh-CN"/>
        </w:rPr>
      </w:pPr>
      <w:r>
        <w:rPr>
          <w:rFonts w:hint="eastAsia" w:ascii="宋体" w:hAnsi="宋体"/>
          <w:b/>
          <w:sz w:val="30"/>
          <w:szCs w:val="30"/>
          <w:lang w:eastAsia="zh-CN"/>
        </w:rPr>
        <w:t>库尔勒第二人民医院信息化能力提升项目（二标段）</w:t>
      </w:r>
    </w:p>
    <w:p>
      <w:pPr>
        <w:spacing w:line="360" w:lineRule="auto"/>
        <w:jc w:val="center"/>
        <w:rPr>
          <w:rFonts w:ascii="宋体" w:hAnsi="宋体"/>
          <w:b/>
          <w:sz w:val="30"/>
          <w:szCs w:val="30"/>
        </w:rPr>
      </w:pPr>
    </w:p>
    <w:p>
      <w:pPr>
        <w:spacing w:line="360" w:lineRule="auto"/>
        <w:jc w:val="center"/>
        <w:rPr>
          <w:rFonts w:ascii="宋体" w:hAnsi="宋体"/>
          <w:b/>
          <w:sz w:val="30"/>
          <w:szCs w:val="30"/>
        </w:rPr>
      </w:pPr>
    </w:p>
    <w:p>
      <w:pPr>
        <w:spacing w:line="360" w:lineRule="auto"/>
        <w:jc w:val="center"/>
        <w:rPr>
          <w:rFonts w:ascii="宋体" w:hAnsi="宋体"/>
          <w:b/>
          <w:sz w:val="30"/>
          <w:szCs w:val="30"/>
        </w:rPr>
      </w:pPr>
    </w:p>
    <w:p>
      <w:pPr>
        <w:spacing w:line="360" w:lineRule="auto"/>
        <w:jc w:val="center"/>
        <w:rPr>
          <w:rFonts w:ascii="宋体" w:hAnsi="宋体"/>
          <w:b/>
          <w:sz w:val="30"/>
          <w:szCs w:val="30"/>
        </w:rPr>
      </w:pPr>
    </w:p>
    <w:p>
      <w:pPr>
        <w:spacing w:line="360" w:lineRule="auto"/>
        <w:jc w:val="center"/>
        <w:rPr>
          <w:rFonts w:ascii="宋体" w:hAnsi="宋体"/>
          <w:b/>
          <w:sz w:val="30"/>
          <w:szCs w:val="30"/>
        </w:rPr>
      </w:pPr>
    </w:p>
    <w:p>
      <w:pPr>
        <w:spacing w:line="360" w:lineRule="auto"/>
        <w:jc w:val="center"/>
        <w:rPr>
          <w:rFonts w:ascii="宋体" w:hAnsi="宋体"/>
          <w:b/>
          <w:sz w:val="80"/>
          <w:szCs w:val="80"/>
        </w:rPr>
      </w:pPr>
      <w:r>
        <w:rPr>
          <w:rFonts w:ascii="宋体" w:hAnsi="宋体"/>
          <w:b/>
          <w:sz w:val="80"/>
          <w:szCs w:val="80"/>
        </w:rPr>
        <w:t>投 标 文 件</w:t>
      </w:r>
    </w:p>
    <w:p>
      <w:pPr>
        <w:spacing w:line="360" w:lineRule="auto"/>
        <w:jc w:val="center"/>
        <w:rPr>
          <w:rFonts w:ascii="宋体" w:hAnsi="宋体"/>
          <w:b/>
          <w:sz w:val="40"/>
          <w:szCs w:val="48"/>
        </w:rPr>
      </w:pPr>
    </w:p>
    <w:p>
      <w:pPr>
        <w:spacing w:line="360" w:lineRule="auto"/>
        <w:jc w:val="center"/>
        <w:rPr>
          <w:rFonts w:ascii="宋体" w:hAnsi="宋体"/>
          <w:b/>
          <w:sz w:val="40"/>
          <w:szCs w:val="48"/>
        </w:rPr>
      </w:pPr>
    </w:p>
    <w:p>
      <w:pPr>
        <w:spacing w:line="360" w:lineRule="auto"/>
        <w:jc w:val="center"/>
        <w:rPr>
          <w:rFonts w:ascii="宋体" w:hAnsi="宋体"/>
          <w:b/>
          <w:sz w:val="40"/>
          <w:szCs w:val="48"/>
        </w:rPr>
      </w:pPr>
    </w:p>
    <w:p>
      <w:pPr>
        <w:spacing w:line="360" w:lineRule="auto"/>
        <w:rPr>
          <w:rFonts w:ascii="宋体" w:hAnsi="宋体"/>
          <w:sz w:val="30"/>
        </w:rPr>
      </w:pPr>
      <w:r>
        <w:rPr>
          <w:rFonts w:ascii="宋体" w:hAnsi="宋体"/>
          <w:sz w:val="30"/>
        </w:rPr>
        <w:t>项目编号：</w:t>
      </w:r>
    </w:p>
    <w:p>
      <w:pPr>
        <w:spacing w:line="360" w:lineRule="auto"/>
        <w:rPr>
          <w:rFonts w:ascii="宋体" w:hAnsi="宋体"/>
          <w:sz w:val="30"/>
        </w:rPr>
      </w:pPr>
      <w:r>
        <w:rPr>
          <w:rFonts w:ascii="宋体" w:hAnsi="宋体"/>
          <w:sz w:val="30"/>
        </w:rPr>
        <w:t>投标单位：</w:t>
      </w:r>
      <w:r>
        <w:rPr>
          <w:rFonts w:ascii="宋体" w:hAnsi="宋体"/>
          <w:sz w:val="30"/>
          <w:u w:val="single"/>
        </w:rPr>
        <w:t xml:space="preserve">   （全称）（盖章）</w:t>
      </w:r>
    </w:p>
    <w:p>
      <w:pPr>
        <w:spacing w:line="360" w:lineRule="auto"/>
        <w:rPr>
          <w:rFonts w:ascii="宋体" w:hAnsi="宋体"/>
          <w:sz w:val="30"/>
        </w:rPr>
      </w:pPr>
      <w:r>
        <w:rPr>
          <w:rFonts w:ascii="宋体" w:hAnsi="宋体"/>
          <w:sz w:val="30"/>
        </w:rPr>
        <w:t>单位地址：</w:t>
      </w:r>
    </w:p>
    <w:p>
      <w:pPr>
        <w:spacing w:line="360" w:lineRule="auto"/>
        <w:rPr>
          <w:rFonts w:ascii="宋体" w:hAnsi="宋体"/>
          <w:sz w:val="30"/>
        </w:rPr>
      </w:pPr>
      <w:r>
        <w:rPr>
          <w:rFonts w:ascii="宋体" w:hAnsi="宋体"/>
          <w:sz w:val="30"/>
        </w:rPr>
        <w:t>投标单位法人代表或授权代表签字：</w:t>
      </w:r>
    </w:p>
    <w:p>
      <w:pPr>
        <w:spacing w:line="360" w:lineRule="auto"/>
        <w:rPr>
          <w:rFonts w:ascii="宋体" w:hAnsi="宋体"/>
          <w:sz w:val="30"/>
        </w:rPr>
      </w:pPr>
      <w:r>
        <w:rPr>
          <w:rFonts w:ascii="宋体" w:hAnsi="宋体"/>
          <w:sz w:val="30"/>
        </w:rPr>
        <w:t>联系人及联系电话：</w:t>
      </w:r>
    </w:p>
    <w:p>
      <w:pPr>
        <w:spacing w:line="360" w:lineRule="auto"/>
        <w:ind w:firstLine="7650" w:firstLineChars="2550"/>
        <w:rPr>
          <w:rFonts w:ascii="宋体" w:hAnsi="宋体"/>
          <w:sz w:val="30"/>
        </w:rPr>
      </w:pPr>
    </w:p>
    <w:p>
      <w:pPr>
        <w:spacing w:line="360" w:lineRule="auto"/>
        <w:ind w:firstLine="300" w:firstLineChars="100"/>
        <w:jc w:val="right"/>
        <w:rPr>
          <w:rFonts w:ascii="宋体" w:hAnsi="宋体"/>
        </w:rPr>
        <w:sectPr>
          <w:headerReference r:id="rId10" w:type="default"/>
          <w:footerReference r:id="rId11" w:type="default"/>
          <w:pgSz w:w="11906" w:h="16838"/>
          <w:pgMar w:top="1644" w:right="1474" w:bottom="1531" w:left="1474" w:header="851" w:footer="794" w:gutter="0"/>
          <w:cols w:space="720" w:num="1"/>
          <w:docGrid w:linePitch="312" w:charSpace="0"/>
        </w:sectPr>
      </w:pPr>
      <w:r>
        <w:rPr>
          <w:rFonts w:ascii="宋体" w:hAnsi="宋体"/>
          <w:sz w:val="30"/>
        </w:rPr>
        <w:t>年  月   日</w:t>
      </w:r>
    </w:p>
    <w:p>
      <w:pPr>
        <w:spacing w:line="360" w:lineRule="auto"/>
        <w:jc w:val="center"/>
        <w:outlineLvl w:val="0"/>
        <w:rPr>
          <w:rFonts w:ascii="宋体" w:hAnsi="宋体"/>
          <w:b/>
          <w:sz w:val="32"/>
        </w:rPr>
      </w:pPr>
      <w:r>
        <w:rPr>
          <w:rFonts w:ascii="宋体" w:hAnsi="宋体"/>
          <w:b/>
          <w:sz w:val="32"/>
        </w:rPr>
        <w:t>一、投标文件编制顺序</w:t>
      </w:r>
    </w:p>
    <w:p>
      <w:pPr>
        <w:spacing w:line="360" w:lineRule="auto"/>
        <w:jc w:val="center"/>
        <w:rPr>
          <w:rFonts w:ascii="宋体" w:hAnsi="宋体"/>
          <w:b/>
          <w:sz w:val="32"/>
        </w:rPr>
      </w:pPr>
    </w:p>
    <w:p>
      <w:pPr>
        <w:spacing w:line="360" w:lineRule="auto"/>
        <w:ind w:firstLine="420" w:firstLineChars="200"/>
        <w:rPr>
          <w:rFonts w:ascii="宋体" w:hAnsi="宋体"/>
          <w:szCs w:val="21"/>
        </w:rPr>
      </w:pPr>
      <w:r>
        <w:rPr>
          <w:rFonts w:ascii="宋体" w:hAnsi="宋体"/>
          <w:szCs w:val="21"/>
        </w:rPr>
        <w:t>投标人可按下列顺序排列和装订投标文件并标注页码：</w:t>
      </w:r>
    </w:p>
    <w:p>
      <w:pPr>
        <w:spacing w:line="360" w:lineRule="auto"/>
        <w:ind w:firstLine="420" w:firstLineChars="200"/>
        <w:rPr>
          <w:rFonts w:ascii="宋体" w:hAnsi="宋体"/>
          <w:szCs w:val="21"/>
        </w:rPr>
      </w:pPr>
      <w:r>
        <w:rPr>
          <w:rFonts w:ascii="宋体" w:hAnsi="宋体"/>
          <w:szCs w:val="21"/>
        </w:rPr>
        <w:t>（1）投标函；</w:t>
      </w:r>
    </w:p>
    <w:p>
      <w:pPr>
        <w:spacing w:line="360" w:lineRule="auto"/>
        <w:ind w:firstLine="420" w:firstLineChars="200"/>
        <w:rPr>
          <w:rFonts w:ascii="宋体" w:hAnsi="宋体"/>
          <w:szCs w:val="21"/>
        </w:rPr>
      </w:pPr>
      <w:r>
        <w:rPr>
          <w:rFonts w:ascii="宋体" w:hAnsi="宋体"/>
          <w:szCs w:val="21"/>
        </w:rPr>
        <w:t>（2）法定代表人身份证明或法定代表人授权委托书；</w:t>
      </w:r>
    </w:p>
    <w:p>
      <w:pPr>
        <w:spacing w:line="360" w:lineRule="auto"/>
        <w:ind w:firstLine="420" w:firstLineChars="200"/>
        <w:rPr>
          <w:rFonts w:ascii="宋体" w:hAnsi="宋体"/>
          <w:szCs w:val="21"/>
        </w:rPr>
      </w:pPr>
      <w:r>
        <w:rPr>
          <w:rFonts w:ascii="宋体" w:hAnsi="宋体"/>
          <w:szCs w:val="21"/>
        </w:rPr>
        <w:t>（3）开标一览表；</w:t>
      </w:r>
    </w:p>
    <w:p>
      <w:pPr>
        <w:spacing w:line="360" w:lineRule="auto"/>
        <w:ind w:firstLine="420" w:firstLineChars="200"/>
        <w:rPr>
          <w:rFonts w:ascii="宋体" w:hAnsi="宋体"/>
          <w:szCs w:val="21"/>
        </w:rPr>
      </w:pPr>
      <w:r>
        <w:rPr>
          <w:rFonts w:ascii="宋体" w:hAnsi="宋体"/>
          <w:szCs w:val="21"/>
        </w:rPr>
        <w:t>（4）投标保证金提交证明；</w:t>
      </w:r>
    </w:p>
    <w:p>
      <w:pPr>
        <w:spacing w:line="360" w:lineRule="auto"/>
        <w:ind w:firstLine="420" w:firstLineChars="200"/>
        <w:rPr>
          <w:rFonts w:ascii="宋体" w:hAnsi="宋体"/>
          <w:szCs w:val="21"/>
        </w:rPr>
      </w:pPr>
      <w:r>
        <w:rPr>
          <w:rFonts w:ascii="宋体" w:hAnsi="宋体"/>
          <w:szCs w:val="21"/>
        </w:rPr>
        <w:t xml:space="preserve">（5）投标人资格证明文件，包括： </w:t>
      </w:r>
    </w:p>
    <w:p>
      <w:pPr>
        <w:spacing w:line="360" w:lineRule="auto"/>
        <w:ind w:firstLine="630" w:firstLineChars="300"/>
        <w:rPr>
          <w:rFonts w:ascii="宋体" w:hAnsi="宋体"/>
          <w:szCs w:val="21"/>
        </w:rPr>
      </w:pPr>
      <w:r>
        <w:rPr>
          <w:rFonts w:hint="eastAsia" w:ascii="宋体" w:hAnsi="宋体" w:cs="宋体"/>
          <w:szCs w:val="21"/>
        </w:rPr>
        <w:t>①</w:t>
      </w:r>
      <w:r>
        <w:rPr>
          <w:rFonts w:ascii="宋体" w:hAnsi="宋体"/>
          <w:szCs w:val="21"/>
        </w:rPr>
        <w:t xml:space="preserve"> 关于资格的声明函；</w:t>
      </w:r>
    </w:p>
    <w:p>
      <w:pPr>
        <w:spacing w:line="360" w:lineRule="auto"/>
        <w:ind w:firstLine="630" w:firstLineChars="300"/>
        <w:rPr>
          <w:rFonts w:ascii="宋体" w:hAnsi="宋体"/>
          <w:szCs w:val="21"/>
        </w:rPr>
      </w:pPr>
      <w:r>
        <w:rPr>
          <w:rFonts w:hint="eastAsia" w:ascii="宋体" w:hAnsi="宋体" w:cs="宋体"/>
          <w:szCs w:val="21"/>
        </w:rPr>
        <w:t>②</w:t>
      </w:r>
      <w:r>
        <w:rPr>
          <w:rFonts w:ascii="宋体" w:hAnsi="宋体"/>
          <w:szCs w:val="21"/>
        </w:rPr>
        <w:t xml:space="preserve"> 投标人基本情况表；</w:t>
      </w:r>
    </w:p>
    <w:p>
      <w:pPr>
        <w:spacing w:line="360" w:lineRule="auto"/>
        <w:ind w:firstLine="630" w:firstLineChars="300"/>
        <w:rPr>
          <w:rFonts w:ascii="宋体" w:hAnsi="宋体" w:cs="宋体"/>
          <w:szCs w:val="21"/>
        </w:rPr>
      </w:pPr>
      <w:r>
        <w:rPr>
          <w:rFonts w:hint="eastAsia" w:ascii="宋体" w:hAnsi="宋体" w:cs="宋体"/>
          <w:szCs w:val="21"/>
        </w:rPr>
        <w:t>③ 投标人关联企业情况表；</w:t>
      </w:r>
    </w:p>
    <w:p>
      <w:pPr>
        <w:spacing w:line="360" w:lineRule="auto"/>
        <w:ind w:firstLine="630" w:firstLineChars="300"/>
        <w:rPr>
          <w:rFonts w:ascii="宋体" w:hAnsi="宋体"/>
          <w:szCs w:val="21"/>
        </w:rPr>
      </w:pPr>
      <w:r>
        <w:rPr>
          <w:rFonts w:hint="eastAsia" w:ascii="宋体" w:hAnsi="宋体"/>
          <w:szCs w:val="21"/>
        </w:rPr>
        <w:t>④ 中小微企业证明文件等（如有）；</w:t>
      </w:r>
    </w:p>
    <w:p>
      <w:pPr>
        <w:spacing w:line="360" w:lineRule="auto"/>
        <w:ind w:firstLine="630" w:firstLineChars="300"/>
        <w:rPr>
          <w:rFonts w:ascii="宋体" w:hAnsi="宋体"/>
          <w:szCs w:val="21"/>
        </w:rPr>
      </w:pPr>
      <w:r>
        <w:rPr>
          <w:rFonts w:hint="eastAsia" w:ascii="宋体" w:hAnsi="宋体" w:cs="宋体"/>
          <w:szCs w:val="21"/>
        </w:rPr>
        <w:t>⑤</w:t>
      </w:r>
      <w:r>
        <w:rPr>
          <w:rFonts w:ascii="宋体" w:hAnsi="宋体"/>
          <w:szCs w:val="21"/>
        </w:rPr>
        <w:t>信用查询记录；</w:t>
      </w:r>
    </w:p>
    <w:p>
      <w:pPr>
        <w:spacing w:line="360" w:lineRule="auto"/>
        <w:ind w:firstLine="630" w:firstLineChars="300"/>
        <w:rPr>
          <w:rFonts w:ascii="宋体" w:hAnsi="宋体"/>
          <w:szCs w:val="21"/>
        </w:rPr>
      </w:pPr>
      <w:r>
        <w:rPr>
          <w:rFonts w:hint="eastAsia" w:ascii="宋体" w:hAnsi="宋体" w:cs="宋体"/>
          <w:szCs w:val="21"/>
        </w:rPr>
        <w:t>⑥</w:t>
      </w:r>
      <w:r>
        <w:rPr>
          <w:rFonts w:ascii="宋体" w:hAnsi="宋体"/>
          <w:szCs w:val="21"/>
        </w:rPr>
        <w:t xml:space="preserve"> 正品产品的证明（根据需要提供）；</w:t>
      </w:r>
    </w:p>
    <w:p>
      <w:pPr>
        <w:spacing w:line="360" w:lineRule="auto"/>
        <w:ind w:firstLine="630" w:firstLineChars="300"/>
        <w:rPr>
          <w:rFonts w:ascii="宋体" w:hAnsi="宋体"/>
          <w:szCs w:val="21"/>
        </w:rPr>
      </w:pPr>
      <w:r>
        <w:rPr>
          <w:rFonts w:hint="eastAsia" w:ascii="宋体" w:hAnsi="宋体" w:cs="宋体"/>
          <w:szCs w:val="21"/>
        </w:rPr>
        <w:t>⑦</w:t>
      </w:r>
      <w:r>
        <w:rPr>
          <w:rFonts w:ascii="宋体" w:hAnsi="宋体"/>
          <w:szCs w:val="21"/>
        </w:rPr>
        <w:t xml:space="preserve"> 对所投产品制造厂商的简介；</w:t>
      </w:r>
    </w:p>
    <w:p>
      <w:pPr>
        <w:spacing w:line="360" w:lineRule="auto"/>
        <w:ind w:firstLine="630" w:firstLineChars="300"/>
        <w:rPr>
          <w:rFonts w:ascii="宋体" w:hAnsi="宋体"/>
          <w:szCs w:val="21"/>
        </w:rPr>
      </w:pPr>
      <w:r>
        <w:rPr>
          <w:rFonts w:hint="eastAsia" w:ascii="宋体" w:hAnsi="宋体" w:cs="宋体"/>
          <w:szCs w:val="21"/>
        </w:rPr>
        <w:t>⑧</w:t>
      </w:r>
      <w:r>
        <w:rPr>
          <w:rFonts w:ascii="宋体" w:hAnsi="宋体"/>
          <w:szCs w:val="21"/>
        </w:rPr>
        <w:t xml:space="preserve"> 近三年内已完成的类似项目业绩；</w:t>
      </w:r>
    </w:p>
    <w:p>
      <w:pPr>
        <w:spacing w:line="360" w:lineRule="auto"/>
        <w:ind w:firstLine="420" w:firstLineChars="200"/>
        <w:rPr>
          <w:rFonts w:ascii="宋体" w:hAnsi="宋体"/>
          <w:bCs/>
          <w:szCs w:val="21"/>
        </w:rPr>
      </w:pPr>
      <w:r>
        <w:rPr>
          <w:rFonts w:ascii="宋体" w:hAnsi="宋体"/>
          <w:bCs/>
          <w:szCs w:val="21"/>
        </w:rPr>
        <w:t>(6) 项目实施方案；</w:t>
      </w:r>
    </w:p>
    <w:p>
      <w:pPr>
        <w:spacing w:line="360" w:lineRule="auto"/>
        <w:ind w:firstLine="420" w:firstLineChars="200"/>
        <w:rPr>
          <w:rFonts w:ascii="宋体" w:hAnsi="宋体"/>
          <w:bCs/>
          <w:szCs w:val="21"/>
        </w:rPr>
      </w:pPr>
      <w:r>
        <w:rPr>
          <w:rFonts w:ascii="宋体" w:hAnsi="宋体"/>
          <w:szCs w:val="21"/>
        </w:rPr>
        <w:t xml:space="preserve">(7) </w:t>
      </w:r>
      <w:r>
        <w:rPr>
          <w:rFonts w:ascii="宋体" w:hAnsi="宋体"/>
          <w:bCs/>
          <w:szCs w:val="21"/>
        </w:rPr>
        <w:t>有关投标产品结构、技术性能详述；</w:t>
      </w:r>
    </w:p>
    <w:p>
      <w:pPr>
        <w:spacing w:line="360" w:lineRule="auto"/>
        <w:ind w:firstLine="420" w:firstLineChars="200"/>
        <w:rPr>
          <w:rFonts w:ascii="宋体" w:hAnsi="宋体"/>
          <w:szCs w:val="21"/>
        </w:rPr>
      </w:pPr>
      <w:r>
        <w:rPr>
          <w:rFonts w:ascii="宋体" w:hAnsi="宋体"/>
          <w:szCs w:val="21"/>
        </w:rPr>
        <w:t xml:space="preserve">(8) </w:t>
      </w:r>
      <w:r>
        <w:rPr>
          <w:rFonts w:ascii="宋体" w:hAnsi="宋体"/>
          <w:bCs/>
          <w:szCs w:val="21"/>
        </w:rPr>
        <w:t>有关投标产品的检测证书或检测报告或产品鉴定证书等；</w:t>
      </w:r>
    </w:p>
    <w:p>
      <w:pPr>
        <w:spacing w:line="360" w:lineRule="auto"/>
        <w:ind w:firstLine="420" w:firstLineChars="200"/>
        <w:rPr>
          <w:rFonts w:ascii="宋体" w:hAnsi="宋体"/>
          <w:szCs w:val="21"/>
        </w:rPr>
      </w:pPr>
      <w:r>
        <w:rPr>
          <w:rFonts w:ascii="宋体" w:hAnsi="宋体"/>
          <w:szCs w:val="21"/>
        </w:rPr>
        <w:t>(9) 技术参数、功能偏离表；</w:t>
      </w:r>
    </w:p>
    <w:p>
      <w:pPr>
        <w:spacing w:line="360" w:lineRule="auto"/>
        <w:ind w:firstLine="420" w:firstLineChars="200"/>
        <w:rPr>
          <w:rFonts w:ascii="宋体" w:hAnsi="宋体"/>
          <w:szCs w:val="21"/>
        </w:rPr>
      </w:pPr>
      <w:r>
        <w:rPr>
          <w:rFonts w:ascii="宋体" w:hAnsi="宋体"/>
          <w:szCs w:val="21"/>
        </w:rPr>
        <w:t>(10) 商务条款偏离表；</w:t>
      </w:r>
    </w:p>
    <w:p>
      <w:pPr>
        <w:spacing w:line="360" w:lineRule="auto"/>
        <w:ind w:firstLine="420" w:firstLineChars="200"/>
        <w:rPr>
          <w:rFonts w:ascii="宋体" w:hAnsi="宋体"/>
          <w:szCs w:val="21"/>
        </w:rPr>
      </w:pPr>
      <w:r>
        <w:rPr>
          <w:rFonts w:ascii="宋体" w:hAnsi="宋体"/>
          <w:szCs w:val="21"/>
        </w:rPr>
        <w:t>(11) 售后服务及质保期承诺书（含优惠条件）及维修、培训等计划（详述）；</w:t>
      </w:r>
    </w:p>
    <w:p>
      <w:pPr>
        <w:spacing w:line="360" w:lineRule="auto"/>
        <w:ind w:firstLine="420" w:firstLineChars="200"/>
        <w:rPr>
          <w:rFonts w:ascii="宋体" w:hAnsi="宋体"/>
          <w:szCs w:val="21"/>
        </w:rPr>
      </w:pPr>
      <w:r>
        <w:rPr>
          <w:rFonts w:ascii="宋体" w:hAnsi="宋体"/>
          <w:szCs w:val="21"/>
        </w:rPr>
        <w:t>(12) 质量保证书；</w:t>
      </w:r>
    </w:p>
    <w:p>
      <w:pPr>
        <w:spacing w:line="360" w:lineRule="auto"/>
        <w:ind w:firstLine="420" w:firstLineChars="200"/>
        <w:rPr>
          <w:rFonts w:ascii="宋体" w:hAnsi="宋体"/>
          <w:szCs w:val="21"/>
        </w:rPr>
      </w:pPr>
      <w:r>
        <w:rPr>
          <w:rFonts w:ascii="宋体" w:hAnsi="宋体"/>
          <w:szCs w:val="21"/>
        </w:rPr>
        <w:t>(13) 投标单位反商业贿赂承诺书；</w:t>
      </w:r>
    </w:p>
    <w:p>
      <w:pPr>
        <w:spacing w:line="360" w:lineRule="auto"/>
        <w:rPr>
          <w:rFonts w:ascii="宋体" w:hAnsi="宋体"/>
          <w:b/>
          <w:szCs w:val="21"/>
        </w:rPr>
      </w:pPr>
    </w:p>
    <w:p>
      <w:pPr>
        <w:spacing w:line="360" w:lineRule="auto"/>
        <w:ind w:firstLine="514" w:firstLineChars="245"/>
        <w:rPr>
          <w:rFonts w:ascii="宋体" w:hAnsi="宋体"/>
          <w:bCs/>
          <w:szCs w:val="21"/>
        </w:rPr>
      </w:pPr>
      <w:r>
        <w:rPr>
          <w:rFonts w:ascii="宋体" w:hAnsi="宋体"/>
          <w:bCs/>
          <w:szCs w:val="21"/>
        </w:rPr>
        <w:t>注：1.投标文件包括但不仅限于上述内容，如有不足，请自行补充提供。</w:t>
      </w:r>
    </w:p>
    <w:p>
      <w:pPr>
        <w:spacing w:line="360" w:lineRule="auto"/>
        <w:ind w:firstLine="934" w:firstLineChars="445"/>
        <w:rPr>
          <w:rFonts w:ascii="宋体" w:hAnsi="宋体"/>
          <w:bCs/>
          <w:szCs w:val="21"/>
        </w:rPr>
      </w:pPr>
      <w:r>
        <w:rPr>
          <w:rFonts w:ascii="宋体" w:hAnsi="宋体"/>
          <w:bCs/>
          <w:szCs w:val="21"/>
        </w:rPr>
        <w:t>2.为了便于查找，请按上述顺序编排投标文件内容，并在目录中标明每项内容的起始页码。</w:t>
      </w:r>
    </w:p>
    <w:p>
      <w:pPr>
        <w:spacing w:line="360" w:lineRule="auto"/>
        <w:jc w:val="center"/>
        <w:outlineLvl w:val="0"/>
        <w:rPr>
          <w:rFonts w:ascii="宋体" w:hAnsi="宋体"/>
          <w:b/>
          <w:sz w:val="32"/>
        </w:rPr>
      </w:pPr>
      <w:r>
        <w:rPr>
          <w:rFonts w:ascii="宋体" w:hAnsi="宋体"/>
          <w:b/>
          <w:sz w:val="32"/>
        </w:rPr>
        <w:t>二、其他有关附件格式范本</w:t>
      </w:r>
    </w:p>
    <w:p>
      <w:pPr>
        <w:spacing w:line="360" w:lineRule="auto"/>
        <w:jc w:val="center"/>
        <w:outlineLvl w:val="0"/>
        <w:rPr>
          <w:rFonts w:ascii="宋体" w:hAnsi="宋体"/>
          <w:b/>
          <w:sz w:val="32"/>
        </w:rPr>
      </w:pPr>
      <w:bookmarkStart w:id="29" w:name="_Hlk147912137"/>
      <w:r>
        <w:rPr>
          <w:rFonts w:ascii="宋体" w:hAnsi="宋体"/>
          <w:b/>
          <w:sz w:val="32"/>
        </w:rPr>
        <w:t>（一）投 标 函</w:t>
      </w:r>
    </w:p>
    <w:p>
      <w:pPr>
        <w:spacing w:line="360" w:lineRule="auto"/>
        <w:jc w:val="center"/>
        <w:rPr>
          <w:rFonts w:ascii="宋体" w:hAnsi="宋体"/>
          <w:b/>
          <w:sz w:val="24"/>
        </w:rPr>
      </w:pPr>
    </w:p>
    <w:p>
      <w:pPr>
        <w:spacing w:line="360" w:lineRule="auto"/>
        <w:rPr>
          <w:rFonts w:ascii="宋体" w:hAnsi="宋体"/>
          <w:sz w:val="24"/>
        </w:rPr>
      </w:pPr>
      <w:r>
        <w:rPr>
          <w:rFonts w:ascii="宋体" w:hAnsi="宋体"/>
          <w:sz w:val="24"/>
        </w:rPr>
        <w:t>致：</w:t>
      </w:r>
      <w:r>
        <w:rPr>
          <w:rFonts w:ascii="宋体" w:hAnsi="宋体"/>
          <w:sz w:val="24"/>
          <w:u w:val="single"/>
        </w:rPr>
        <w:t>（招标人名称）</w:t>
      </w:r>
    </w:p>
    <w:p>
      <w:pPr>
        <w:spacing w:line="360" w:lineRule="auto"/>
        <w:ind w:firstLine="555"/>
        <w:rPr>
          <w:rFonts w:ascii="宋体" w:hAnsi="宋体"/>
          <w:sz w:val="24"/>
        </w:rPr>
      </w:pPr>
      <w:r>
        <w:rPr>
          <w:rFonts w:ascii="宋体" w:hAnsi="宋体"/>
          <w:sz w:val="24"/>
        </w:rPr>
        <w:t>根据贵方为</w:t>
      </w:r>
      <w:r>
        <w:rPr>
          <w:rFonts w:ascii="宋体" w:hAnsi="宋体"/>
          <w:sz w:val="24"/>
          <w:u w:val="single"/>
        </w:rPr>
        <w:t xml:space="preserve">　　　（项目名称）    </w:t>
      </w:r>
      <w:r>
        <w:rPr>
          <w:rFonts w:ascii="宋体" w:hAnsi="宋体"/>
          <w:sz w:val="24"/>
        </w:rPr>
        <w:t>项目的招标文件</w:t>
      </w:r>
      <w:r>
        <w:rPr>
          <w:rFonts w:ascii="宋体" w:hAnsi="宋体"/>
          <w:sz w:val="24"/>
          <w:u w:val="single"/>
        </w:rPr>
        <w:t xml:space="preserve">（项目编号） </w:t>
      </w:r>
      <w:r>
        <w:rPr>
          <w:rFonts w:ascii="宋体" w:hAnsi="宋体"/>
          <w:sz w:val="24"/>
        </w:rPr>
        <w:t>，签字代表</w:t>
      </w:r>
      <w:r>
        <w:rPr>
          <w:rFonts w:ascii="宋体" w:hAnsi="宋体"/>
          <w:sz w:val="24"/>
          <w:u w:val="single"/>
        </w:rPr>
        <w:t>（姓名、职务）</w:t>
      </w:r>
      <w:r>
        <w:rPr>
          <w:rFonts w:ascii="宋体" w:hAnsi="宋体"/>
          <w:sz w:val="24"/>
        </w:rPr>
        <w:t>经正式授权并代表投标人</w:t>
      </w:r>
      <w:r>
        <w:rPr>
          <w:rFonts w:ascii="宋体" w:hAnsi="宋体"/>
          <w:sz w:val="24"/>
          <w:u w:val="single"/>
        </w:rPr>
        <w:t>（投标人名称、地址）</w:t>
      </w:r>
      <w:r>
        <w:rPr>
          <w:rFonts w:ascii="宋体" w:hAnsi="宋体"/>
          <w:sz w:val="24"/>
        </w:rPr>
        <w:t>提交下述文件正本一份和副本</w:t>
      </w:r>
      <w:r>
        <w:rPr>
          <w:rFonts w:ascii="宋体" w:hAnsi="宋体"/>
          <w:sz w:val="24"/>
          <w:u w:val="single"/>
        </w:rPr>
        <w:t>　　</w:t>
      </w:r>
      <w:r>
        <w:rPr>
          <w:rFonts w:ascii="宋体" w:hAnsi="宋体"/>
          <w:sz w:val="24"/>
        </w:rPr>
        <w:t>份。</w:t>
      </w:r>
    </w:p>
    <w:p>
      <w:pPr>
        <w:spacing w:line="360" w:lineRule="auto"/>
        <w:ind w:firstLine="480" w:firstLineChars="200"/>
        <w:rPr>
          <w:rFonts w:ascii="宋体" w:hAnsi="宋体"/>
          <w:sz w:val="24"/>
        </w:rPr>
      </w:pPr>
      <w:r>
        <w:rPr>
          <w:rFonts w:ascii="宋体" w:hAnsi="宋体"/>
          <w:sz w:val="24"/>
        </w:rPr>
        <w:t>1、开标一览表</w:t>
      </w:r>
    </w:p>
    <w:p>
      <w:pPr>
        <w:spacing w:line="360" w:lineRule="auto"/>
        <w:ind w:firstLine="480" w:firstLineChars="200"/>
        <w:rPr>
          <w:rFonts w:ascii="宋体" w:hAnsi="宋体"/>
          <w:sz w:val="24"/>
        </w:rPr>
      </w:pPr>
      <w:r>
        <w:rPr>
          <w:rFonts w:ascii="宋体" w:hAnsi="宋体"/>
          <w:sz w:val="24"/>
        </w:rPr>
        <w:t>2、按招标文件投标人须知、技术规格要求及其他要求提供有关文件</w:t>
      </w:r>
    </w:p>
    <w:p>
      <w:pPr>
        <w:spacing w:line="360" w:lineRule="auto"/>
        <w:ind w:firstLine="480" w:firstLineChars="200"/>
        <w:rPr>
          <w:rFonts w:ascii="宋体" w:hAnsi="宋体"/>
          <w:sz w:val="24"/>
        </w:rPr>
      </w:pPr>
      <w:r>
        <w:rPr>
          <w:rFonts w:ascii="宋体" w:hAnsi="宋体"/>
          <w:sz w:val="24"/>
        </w:rPr>
        <w:t>3、投标保证金，形式</w:t>
      </w:r>
      <w:r>
        <w:rPr>
          <w:rFonts w:ascii="宋体" w:hAnsi="宋体"/>
          <w:sz w:val="24"/>
          <w:u w:val="single"/>
        </w:rPr>
        <w:t>（电汇、网银）</w:t>
      </w:r>
      <w:r>
        <w:rPr>
          <w:rFonts w:ascii="宋体" w:hAnsi="宋体"/>
          <w:sz w:val="24"/>
        </w:rPr>
        <w:t>，金额为</w:t>
      </w:r>
      <w:r>
        <w:rPr>
          <w:rFonts w:ascii="宋体" w:hAnsi="宋体"/>
          <w:sz w:val="24"/>
          <w:u w:val="single"/>
        </w:rPr>
        <w:t>　　　　</w:t>
      </w:r>
      <w:r>
        <w:rPr>
          <w:rFonts w:ascii="宋体" w:hAnsi="宋体"/>
          <w:sz w:val="24"/>
        </w:rPr>
        <w:t>。</w:t>
      </w:r>
    </w:p>
    <w:p>
      <w:pPr>
        <w:spacing w:line="360" w:lineRule="auto"/>
        <w:ind w:firstLine="555"/>
        <w:rPr>
          <w:rFonts w:ascii="宋体" w:hAnsi="宋体"/>
          <w:sz w:val="24"/>
        </w:rPr>
      </w:pPr>
      <w:r>
        <w:rPr>
          <w:rFonts w:ascii="宋体" w:hAnsi="宋体"/>
          <w:sz w:val="24"/>
        </w:rPr>
        <w:t>据此函，签字代表宣布并同意如下：</w:t>
      </w:r>
    </w:p>
    <w:p>
      <w:pPr>
        <w:spacing w:line="360" w:lineRule="auto"/>
        <w:ind w:firstLine="555"/>
        <w:rPr>
          <w:rFonts w:ascii="宋体" w:hAnsi="宋体"/>
          <w:sz w:val="24"/>
        </w:rPr>
      </w:pPr>
      <w:r>
        <w:rPr>
          <w:rFonts w:ascii="宋体" w:hAnsi="宋体"/>
          <w:sz w:val="24"/>
        </w:rPr>
        <w:t>1、所附投标报价表中规定的应提交和交付的货物和服务投标总价为</w:t>
      </w:r>
      <w:r>
        <w:rPr>
          <w:rFonts w:ascii="宋体" w:hAnsi="宋体"/>
          <w:sz w:val="24"/>
          <w:u w:val="single"/>
        </w:rPr>
        <w:t xml:space="preserve">（注明币种，并用文字和数字表示的投标总价）  </w:t>
      </w:r>
      <w:r>
        <w:rPr>
          <w:rFonts w:ascii="宋体" w:hAnsi="宋体"/>
          <w:sz w:val="24"/>
        </w:rPr>
        <w:t>。</w:t>
      </w:r>
    </w:p>
    <w:p>
      <w:pPr>
        <w:spacing w:line="360" w:lineRule="auto"/>
        <w:ind w:firstLine="555"/>
        <w:rPr>
          <w:rFonts w:ascii="宋体" w:hAnsi="宋体"/>
          <w:sz w:val="24"/>
        </w:rPr>
      </w:pPr>
      <w:r>
        <w:rPr>
          <w:rFonts w:ascii="宋体" w:hAnsi="宋体"/>
          <w:sz w:val="24"/>
        </w:rPr>
        <w:t>2、我方将按招标文件的规定履行合同责任和义务；</w:t>
      </w:r>
    </w:p>
    <w:p>
      <w:pPr>
        <w:spacing w:line="360" w:lineRule="auto"/>
        <w:ind w:firstLine="555"/>
        <w:rPr>
          <w:rFonts w:ascii="宋体" w:hAnsi="宋体"/>
          <w:sz w:val="24"/>
        </w:rPr>
      </w:pPr>
      <w:r>
        <w:rPr>
          <w:rFonts w:ascii="宋体" w:hAnsi="宋体"/>
          <w:sz w:val="24"/>
        </w:rPr>
        <w:t>3、我方已详细阅读并理解了招标文件的全部，包括修改文件（如有的话）。我们完全理解并同意放弃对这方面有不明及误解的权利。</w:t>
      </w:r>
    </w:p>
    <w:p>
      <w:pPr>
        <w:spacing w:line="360" w:lineRule="auto"/>
        <w:ind w:firstLine="555"/>
        <w:rPr>
          <w:rFonts w:ascii="宋体" w:hAnsi="宋体"/>
          <w:sz w:val="24"/>
        </w:rPr>
      </w:pPr>
      <w:r>
        <w:rPr>
          <w:rFonts w:ascii="宋体" w:hAnsi="宋体"/>
          <w:sz w:val="24"/>
        </w:rPr>
        <w:t>4、本投标有效期自开标之日起</w:t>
      </w:r>
      <w:r>
        <w:rPr>
          <w:rFonts w:ascii="宋体" w:hAnsi="宋体"/>
          <w:sz w:val="24"/>
          <w:u w:val="single"/>
        </w:rPr>
        <w:t>　　</w:t>
      </w:r>
      <w:r>
        <w:rPr>
          <w:rFonts w:ascii="宋体" w:hAnsi="宋体"/>
          <w:sz w:val="24"/>
        </w:rPr>
        <w:t>个日历日。</w:t>
      </w:r>
    </w:p>
    <w:p>
      <w:pPr>
        <w:spacing w:line="360" w:lineRule="auto"/>
        <w:ind w:firstLine="555"/>
        <w:rPr>
          <w:rFonts w:ascii="宋体" w:hAnsi="宋体"/>
          <w:sz w:val="24"/>
        </w:rPr>
      </w:pPr>
      <w:r>
        <w:rPr>
          <w:rFonts w:ascii="宋体" w:hAnsi="宋体"/>
          <w:sz w:val="24"/>
        </w:rPr>
        <w:t>5、在规定的开标时间后，如果在投标有效期内撤回投标，同意投标保证金将被贵方没收。</w:t>
      </w:r>
    </w:p>
    <w:p>
      <w:pPr>
        <w:spacing w:line="360" w:lineRule="auto"/>
        <w:ind w:firstLine="555"/>
        <w:rPr>
          <w:rFonts w:ascii="宋体" w:hAnsi="宋体"/>
          <w:sz w:val="24"/>
        </w:rPr>
      </w:pPr>
      <w:r>
        <w:rPr>
          <w:rFonts w:ascii="宋体" w:hAnsi="宋体"/>
          <w:sz w:val="24"/>
        </w:rPr>
        <w:t>6、我方同意提供按照贵方可能要求的与其投标有关的一切数据或资料，完全理解贵方不一定接受最低价的投标或收到的任何投标的约定。</w:t>
      </w:r>
    </w:p>
    <w:p>
      <w:pPr>
        <w:spacing w:line="360" w:lineRule="auto"/>
        <w:ind w:firstLine="570"/>
        <w:rPr>
          <w:rFonts w:ascii="宋体" w:hAnsi="宋体"/>
          <w:sz w:val="24"/>
        </w:rPr>
      </w:pPr>
      <w:r>
        <w:rPr>
          <w:rFonts w:ascii="宋体" w:hAnsi="宋体"/>
          <w:sz w:val="24"/>
        </w:rPr>
        <w:t>7、与本投标有关的一切正式往来信函请寄：</w:t>
      </w:r>
    </w:p>
    <w:p>
      <w:pPr>
        <w:spacing w:line="360" w:lineRule="auto"/>
        <w:ind w:firstLine="480" w:firstLineChars="200"/>
        <w:rPr>
          <w:rFonts w:ascii="宋体" w:hAnsi="宋体"/>
          <w:sz w:val="24"/>
        </w:rPr>
      </w:pPr>
      <w:r>
        <w:rPr>
          <w:rFonts w:ascii="宋体" w:hAnsi="宋体"/>
          <w:sz w:val="24"/>
        </w:rPr>
        <w:t>地　　　　 址：</w:t>
      </w:r>
      <w:r>
        <w:rPr>
          <w:rFonts w:ascii="宋体" w:hAnsi="宋体"/>
          <w:sz w:val="24"/>
          <w:u w:val="single"/>
        </w:rPr>
        <w:t>　　　　　　　　    　　</w:t>
      </w:r>
      <w:r>
        <w:rPr>
          <w:rFonts w:ascii="宋体" w:hAnsi="宋体"/>
          <w:sz w:val="24"/>
        </w:rPr>
        <w:t>邮编：</w:t>
      </w:r>
      <w:r>
        <w:rPr>
          <w:rFonts w:ascii="宋体" w:hAnsi="宋体"/>
          <w:sz w:val="24"/>
          <w:u w:val="single"/>
        </w:rPr>
        <w:t>　　　　   　　　　　</w:t>
      </w:r>
    </w:p>
    <w:p>
      <w:pPr>
        <w:spacing w:line="360" w:lineRule="auto"/>
        <w:ind w:firstLine="480" w:firstLineChars="200"/>
        <w:rPr>
          <w:rFonts w:ascii="宋体" w:hAnsi="宋体"/>
          <w:sz w:val="24"/>
        </w:rPr>
      </w:pPr>
      <w:r>
        <w:rPr>
          <w:rFonts w:ascii="宋体" w:hAnsi="宋体"/>
          <w:sz w:val="24"/>
        </w:rPr>
        <w:t>电　　　　 话：</w:t>
      </w:r>
      <w:r>
        <w:rPr>
          <w:rFonts w:ascii="宋体" w:hAnsi="宋体"/>
          <w:sz w:val="24"/>
          <w:u w:val="single"/>
        </w:rPr>
        <w:t xml:space="preserve">　　　　　　　　　　    </w:t>
      </w:r>
      <w:r>
        <w:rPr>
          <w:rFonts w:ascii="宋体" w:hAnsi="宋体"/>
          <w:sz w:val="24"/>
        </w:rPr>
        <w:t>传真：</w:t>
      </w:r>
      <w:r>
        <w:rPr>
          <w:rFonts w:ascii="宋体" w:hAnsi="宋体"/>
          <w:sz w:val="24"/>
          <w:u w:val="single"/>
        </w:rPr>
        <w:t>　   　　　　　　　　</w:t>
      </w:r>
    </w:p>
    <w:p>
      <w:pPr>
        <w:spacing w:line="360" w:lineRule="auto"/>
        <w:ind w:firstLine="480" w:firstLineChars="200"/>
        <w:rPr>
          <w:rFonts w:ascii="宋体" w:hAnsi="宋体"/>
          <w:sz w:val="24"/>
        </w:rPr>
      </w:pPr>
      <w:r>
        <w:rPr>
          <w:rFonts w:ascii="宋体" w:hAnsi="宋体"/>
          <w:sz w:val="24"/>
        </w:rPr>
        <w:t>投标人代表签字：</w:t>
      </w:r>
      <w:r>
        <w:rPr>
          <w:rFonts w:ascii="宋体" w:hAnsi="宋体"/>
          <w:sz w:val="24"/>
          <w:u w:val="single"/>
        </w:rPr>
        <w:t>　　　　　　　　　　　　</w:t>
      </w:r>
    </w:p>
    <w:p>
      <w:pPr>
        <w:spacing w:line="360" w:lineRule="auto"/>
        <w:ind w:firstLine="480" w:firstLineChars="200"/>
        <w:rPr>
          <w:rFonts w:ascii="宋体" w:hAnsi="宋体"/>
          <w:sz w:val="24"/>
        </w:rPr>
      </w:pPr>
      <w:r>
        <w:rPr>
          <w:rFonts w:ascii="宋体" w:hAnsi="宋体"/>
          <w:sz w:val="24"/>
        </w:rPr>
        <w:t>投 标 人 名 称：</w:t>
      </w:r>
      <w:r>
        <w:rPr>
          <w:rFonts w:ascii="宋体" w:hAnsi="宋体"/>
          <w:sz w:val="24"/>
          <w:u w:val="single"/>
        </w:rPr>
        <w:t>　      　　　　　　　　</w:t>
      </w:r>
    </w:p>
    <w:p>
      <w:pPr>
        <w:spacing w:line="360" w:lineRule="auto"/>
        <w:ind w:firstLine="480" w:firstLineChars="200"/>
        <w:rPr>
          <w:rFonts w:ascii="宋体" w:hAnsi="宋体"/>
          <w:sz w:val="24"/>
        </w:rPr>
      </w:pPr>
      <w:r>
        <w:rPr>
          <w:rFonts w:ascii="宋体" w:hAnsi="宋体"/>
          <w:sz w:val="24"/>
        </w:rPr>
        <w:t>公          章：</w:t>
      </w:r>
      <w:r>
        <w:rPr>
          <w:rFonts w:ascii="宋体" w:hAnsi="宋体"/>
          <w:sz w:val="24"/>
          <w:u w:val="single"/>
        </w:rPr>
        <w:t>　　　　　　　　　　　　</w:t>
      </w:r>
    </w:p>
    <w:p>
      <w:pPr>
        <w:spacing w:line="360" w:lineRule="auto"/>
        <w:rPr>
          <w:rFonts w:ascii="宋体" w:hAnsi="宋体"/>
          <w:b/>
          <w:sz w:val="30"/>
          <w:szCs w:val="30"/>
        </w:rPr>
      </w:pPr>
      <w:r>
        <w:rPr>
          <w:rFonts w:ascii="宋体" w:hAnsi="宋体"/>
          <w:sz w:val="24"/>
        </w:rPr>
        <w:t>　　　　　　　　　　　　　　　　　　　　　　　20</w:t>
      </w:r>
      <w:r>
        <w:rPr>
          <w:rFonts w:ascii="宋体" w:hAnsi="宋体"/>
          <w:sz w:val="24"/>
          <w:u w:val="single"/>
        </w:rPr>
        <w:t xml:space="preserve"> 　　</w:t>
      </w:r>
      <w:r>
        <w:rPr>
          <w:rFonts w:ascii="宋体" w:hAnsi="宋体"/>
          <w:sz w:val="24"/>
        </w:rPr>
        <w:t>年</w:t>
      </w:r>
      <w:r>
        <w:rPr>
          <w:rFonts w:ascii="宋体" w:hAnsi="宋体"/>
          <w:sz w:val="24"/>
          <w:u w:val="single"/>
        </w:rPr>
        <w:t xml:space="preserve">　   </w:t>
      </w:r>
      <w:r>
        <w:rPr>
          <w:rFonts w:ascii="宋体" w:hAnsi="宋体"/>
          <w:sz w:val="24"/>
        </w:rPr>
        <w:t>月</w:t>
      </w:r>
      <w:r>
        <w:rPr>
          <w:rFonts w:ascii="宋体" w:hAnsi="宋体"/>
          <w:sz w:val="24"/>
          <w:u w:val="single"/>
        </w:rPr>
        <w:t xml:space="preserve">   　</w:t>
      </w:r>
      <w:r>
        <w:rPr>
          <w:rFonts w:ascii="宋体" w:hAnsi="宋体"/>
          <w:sz w:val="24"/>
        </w:rPr>
        <w:t>日</w:t>
      </w:r>
      <w:r>
        <w:rPr>
          <w:rFonts w:ascii="宋体" w:hAnsi="宋体"/>
          <w:b/>
          <w:sz w:val="30"/>
          <w:szCs w:val="30"/>
        </w:rPr>
        <w:br w:type="page"/>
      </w:r>
    </w:p>
    <w:p>
      <w:pPr>
        <w:spacing w:line="360" w:lineRule="auto"/>
        <w:jc w:val="center"/>
        <w:outlineLvl w:val="0"/>
        <w:rPr>
          <w:rFonts w:ascii="宋体" w:hAnsi="宋体"/>
          <w:b/>
          <w:sz w:val="32"/>
        </w:rPr>
      </w:pPr>
      <w:r>
        <w:rPr>
          <w:rFonts w:ascii="宋体" w:hAnsi="宋体"/>
          <w:b/>
          <w:sz w:val="32"/>
        </w:rPr>
        <w:t>（二）法定人代表身份证明及法定代表人授权委托书</w:t>
      </w:r>
    </w:p>
    <w:p>
      <w:pPr>
        <w:spacing w:before="100" w:beforeAutospacing="1" w:after="100" w:afterAutospacing="1" w:line="360" w:lineRule="auto"/>
        <w:jc w:val="center"/>
        <w:rPr>
          <w:rFonts w:ascii="宋体" w:hAnsi="宋体"/>
          <w:b/>
          <w:bCs/>
          <w:sz w:val="28"/>
          <w:szCs w:val="28"/>
        </w:rPr>
      </w:pPr>
      <w:r>
        <w:rPr>
          <w:rFonts w:ascii="宋体" w:hAnsi="宋体"/>
          <w:b/>
          <w:bCs/>
          <w:sz w:val="28"/>
          <w:szCs w:val="28"/>
        </w:rPr>
        <w:t>1、 法定代表人身份证明</w:t>
      </w:r>
    </w:p>
    <w:p>
      <w:pPr>
        <w:spacing w:line="360" w:lineRule="auto"/>
        <w:ind w:firstLine="480" w:firstLineChars="200"/>
        <w:rPr>
          <w:rFonts w:ascii="宋体" w:hAnsi="宋体"/>
          <w:sz w:val="24"/>
        </w:rPr>
      </w:pPr>
      <w:r>
        <w:rPr>
          <w:rFonts w:ascii="宋体" w:hAnsi="宋体"/>
          <w:sz w:val="24"/>
        </w:rPr>
        <w:t>（采购人）：</w:t>
      </w:r>
    </w:p>
    <w:p>
      <w:pPr>
        <w:spacing w:line="360" w:lineRule="auto"/>
        <w:ind w:firstLine="480" w:firstLineChars="200"/>
        <w:rPr>
          <w:rFonts w:ascii="宋体" w:hAnsi="宋体"/>
          <w:sz w:val="24"/>
        </w:rPr>
      </w:pPr>
      <w:r>
        <w:rPr>
          <w:rFonts w:ascii="宋体" w:hAnsi="宋体"/>
          <w:sz w:val="24"/>
        </w:rPr>
        <w:t>兹证明 同志在我单位任 （职务），是我单位的法定代表人。</w:t>
      </w:r>
    </w:p>
    <w:p>
      <w:pPr>
        <w:spacing w:line="360" w:lineRule="auto"/>
        <w:ind w:firstLine="480" w:firstLineChars="200"/>
        <w:rPr>
          <w:rFonts w:ascii="宋体" w:hAnsi="宋体"/>
          <w:sz w:val="24"/>
        </w:rPr>
      </w:pPr>
      <w:r>
        <w:rPr>
          <w:rFonts w:ascii="宋体" w:hAnsi="宋体"/>
          <w:sz w:val="24"/>
        </w:rPr>
        <w:t>附法定代表人基本情况：</w:t>
      </w:r>
    </w:p>
    <w:p>
      <w:pPr>
        <w:autoSpaceDE w:val="0"/>
        <w:spacing w:line="360" w:lineRule="auto"/>
        <w:ind w:firstLine="480" w:firstLineChars="200"/>
        <w:rPr>
          <w:rFonts w:ascii="宋体" w:hAnsi="宋体"/>
          <w:sz w:val="24"/>
        </w:rPr>
      </w:pPr>
      <w:r>
        <w:rPr>
          <w:rFonts w:ascii="宋体" w:hAnsi="宋体"/>
          <w:sz w:val="24"/>
        </w:rPr>
        <w:t>姓名</w:t>
      </w:r>
      <w:r>
        <w:rPr>
          <w:rFonts w:ascii="宋体" w:hAnsi="宋体"/>
          <w:sz w:val="2"/>
          <w:szCs w:val="2"/>
        </w:rPr>
        <w:t>UU</w:t>
      </w:r>
      <w:r>
        <w:rPr>
          <w:rFonts w:ascii="宋体" w:hAnsi="宋体"/>
          <w:sz w:val="24"/>
          <w:u w:val="single"/>
        </w:rPr>
        <w:t xml:space="preserve">   （亲笔签字或盖章）  </w:t>
      </w:r>
      <w:r>
        <w:rPr>
          <w:rFonts w:ascii="宋体" w:hAnsi="宋体"/>
          <w:sz w:val="2"/>
          <w:szCs w:val="2"/>
        </w:rPr>
        <w:t>UU</w:t>
      </w:r>
      <w:r>
        <w:rPr>
          <w:rFonts w:ascii="宋体" w:hAnsi="宋体"/>
          <w:sz w:val="24"/>
        </w:rPr>
        <w:t xml:space="preserve"> 性别 年龄</w:t>
      </w:r>
    </w:p>
    <w:p>
      <w:pPr>
        <w:spacing w:line="360" w:lineRule="auto"/>
        <w:ind w:firstLine="480" w:firstLineChars="200"/>
        <w:rPr>
          <w:rFonts w:ascii="宋体" w:hAnsi="宋体"/>
          <w:sz w:val="24"/>
          <w:u w:val="single"/>
        </w:rPr>
      </w:pPr>
      <w:r>
        <w:rPr>
          <w:rFonts w:ascii="宋体" w:hAnsi="宋体"/>
          <w:sz w:val="24"/>
        </w:rPr>
        <w:t>身份证号码：</w:t>
      </w:r>
    </w:p>
    <w:p>
      <w:pPr>
        <w:spacing w:line="360" w:lineRule="auto"/>
        <w:ind w:firstLine="480" w:firstLineChars="200"/>
        <w:rPr>
          <w:rFonts w:ascii="宋体" w:hAnsi="宋体"/>
          <w:sz w:val="24"/>
          <w:u w:val="single"/>
        </w:rPr>
      </w:pPr>
      <w:r>
        <w:rPr>
          <w:rFonts w:ascii="宋体" w:hAnsi="宋体"/>
          <w:sz w:val="24"/>
        </w:rPr>
        <w:t>通讯地址：</w:t>
      </w:r>
    </w:p>
    <w:p>
      <w:pPr>
        <w:spacing w:line="360" w:lineRule="auto"/>
        <w:ind w:firstLine="480" w:firstLineChars="200"/>
        <w:rPr>
          <w:rFonts w:ascii="宋体" w:hAnsi="宋体"/>
          <w:sz w:val="24"/>
          <w:u w:val="single"/>
        </w:rPr>
      </w:pPr>
      <w:r>
        <w:rPr>
          <w:rFonts w:ascii="宋体" w:hAnsi="宋体"/>
          <w:sz w:val="24"/>
        </w:rPr>
        <w:t>电话号码：邮编：</w:t>
      </w:r>
    </w:p>
    <w:p>
      <w:pPr>
        <w:spacing w:line="360" w:lineRule="auto"/>
        <w:ind w:firstLine="480" w:firstLineChars="200"/>
        <w:rPr>
          <w:rFonts w:ascii="宋体" w:hAnsi="宋体"/>
          <w:sz w:val="24"/>
        </w:rPr>
      </w:pPr>
    </w:p>
    <w:p>
      <w:pPr>
        <w:spacing w:line="360" w:lineRule="auto"/>
        <w:ind w:firstLine="3840" w:firstLineChars="1600"/>
        <w:rPr>
          <w:rFonts w:ascii="宋体" w:hAnsi="宋体"/>
          <w:sz w:val="24"/>
        </w:rPr>
      </w:pPr>
      <w:r>
        <w:rPr>
          <w:rFonts w:ascii="宋体" w:hAnsi="宋体"/>
          <w:bCs/>
          <w:sz w:val="24"/>
        </w:rPr>
        <w:t>投标单位：</w:t>
      </w:r>
      <w:r>
        <w:rPr>
          <w:rFonts w:ascii="宋体" w:hAnsi="宋体"/>
          <w:bCs/>
          <w:sz w:val="24"/>
          <w:u w:val="single"/>
        </w:rPr>
        <w:t xml:space="preserve">   （全称）（盖章）  </w:t>
      </w:r>
    </w:p>
    <w:p>
      <w:pPr>
        <w:spacing w:line="360" w:lineRule="auto"/>
        <w:ind w:firstLine="3840" w:firstLineChars="1600"/>
        <w:rPr>
          <w:rFonts w:ascii="宋体" w:hAnsi="宋体"/>
          <w:sz w:val="24"/>
        </w:rPr>
      </w:pPr>
      <w:r>
        <w:rPr>
          <w:rFonts w:ascii="宋体" w:hAnsi="宋体"/>
          <w:sz w:val="24"/>
        </w:rPr>
        <w:t>日    期：年月日</w:t>
      </w:r>
    </w:p>
    <w:p>
      <w:pPr>
        <w:spacing w:line="360" w:lineRule="auto"/>
        <w:ind w:firstLine="562" w:firstLineChars="200"/>
        <w:rPr>
          <w:rFonts w:ascii="宋体" w:hAnsi="宋体"/>
          <w:b/>
          <w:bCs/>
          <w:sz w:val="28"/>
        </w:rPr>
      </w:pPr>
    </w:p>
    <w:p>
      <w:pPr>
        <w:spacing w:line="360" w:lineRule="auto"/>
        <w:ind w:firstLine="562" w:firstLineChars="200"/>
        <w:rPr>
          <w:rFonts w:ascii="宋体" w:hAnsi="宋体"/>
          <w:b/>
          <w:bCs/>
          <w:sz w:val="28"/>
        </w:rPr>
      </w:pPr>
      <w:r>
        <w:rPr>
          <w:rFonts w:ascii="宋体" w:hAnsi="宋体"/>
          <w:b/>
          <w:bCs/>
          <w:sz w:val="28"/>
        </w:rPr>
        <w:t>附：法定代表人《居民身份证》复印件正反面</w:t>
      </w:r>
    </w:p>
    <w:tbl>
      <w:tblPr>
        <w:tblStyle w:val="88"/>
        <w:tblW w:w="8229" w:type="dxa"/>
        <w:tblInd w:w="2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14"/>
        <w:gridCol w:w="41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7" w:hRule="atLeast"/>
        </w:trPr>
        <w:tc>
          <w:tcPr>
            <w:tcW w:w="4114" w:type="dxa"/>
            <w:noWrap/>
            <w:vAlign w:val="center"/>
          </w:tcPr>
          <w:p>
            <w:pPr>
              <w:spacing w:line="360" w:lineRule="auto"/>
              <w:jc w:val="center"/>
              <w:rPr>
                <w:rFonts w:ascii="宋体" w:hAnsi="宋体"/>
                <w:sz w:val="24"/>
              </w:rPr>
            </w:pPr>
            <w:r>
              <w:rPr>
                <w:rFonts w:ascii="宋体" w:hAnsi="宋体"/>
                <w:sz w:val="24"/>
              </w:rPr>
              <w:t>（身份证正面）</w:t>
            </w:r>
          </w:p>
        </w:tc>
        <w:tc>
          <w:tcPr>
            <w:tcW w:w="4115" w:type="dxa"/>
            <w:noWrap/>
            <w:vAlign w:val="center"/>
          </w:tcPr>
          <w:p>
            <w:pPr>
              <w:spacing w:line="360" w:lineRule="auto"/>
              <w:jc w:val="center"/>
              <w:rPr>
                <w:rFonts w:ascii="宋体" w:hAnsi="宋体"/>
                <w:sz w:val="24"/>
              </w:rPr>
            </w:pPr>
            <w:r>
              <w:rPr>
                <w:rFonts w:ascii="宋体" w:hAnsi="宋体"/>
                <w:sz w:val="24"/>
              </w:rPr>
              <w:t>（身份证背面）</w:t>
            </w:r>
          </w:p>
        </w:tc>
      </w:tr>
    </w:tbl>
    <w:p>
      <w:pPr>
        <w:adjustRightInd w:val="0"/>
        <w:snapToGrid w:val="0"/>
        <w:spacing w:line="360" w:lineRule="auto"/>
        <w:rPr>
          <w:rFonts w:ascii="宋体" w:hAnsi="宋体"/>
          <w:sz w:val="24"/>
        </w:rPr>
      </w:pPr>
    </w:p>
    <w:p>
      <w:pPr>
        <w:adjustRightInd w:val="0"/>
        <w:snapToGrid w:val="0"/>
        <w:spacing w:line="360" w:lineRule="auto"/>
        <w:rPr>
          <w:rFonts w:ascii="宋体" w:hAnsi="宋体"/>
          <w:sz w:val="24"/>
        </w:rPr>
      </w:pPr>
    </w:p>
    <w:p>
      <w:pPr>
        <w:spacing w:line="360" w:lineRule="auto"/>
        <w:rPr>
          <w:rFonts w:ascii="宋体" w:hAnsi="宋体"/>
          <w:szCs w:val="21"/>
        </w:rPr>
      </w:pPr>
      <w:r>
        <w:rPr>
          <w:rFonts w:ascii="宋体" w:hAnsi="宋体"/>
          <w:szCs w:val="21"/>
        </w:rPr>
        <w:t>注：1.法定代表人签字或盖章必须是亲笔签名或相关主管行政部门备案的法定代表人印章。不得使用其他印章或是电子版签名。</w:t>
      </w:r>
    </w:p>
    <w:p>
      <w:pPr>
        <w:spacing w:line="360" w:lineRule="auto"/>
        <w:jc w:val="left"/>
        <w:rPr>
          <w:rFonts w:ascii="宋体" w:hAnsi="宋体"/>
          <w:sz w:val="30"/>
        </w:rPr>
      </w:pPr>
      <w:r>
        <w:rPr>
          <w:rFonts w:ascii="宋体" w:hAnsi="宋体"/>
          <w:szCs w:val="21"/>
        </w:rPr>
        <w:t xml:space="preserve">    2.投标人的法人代表本人作为公司代理人前来参加投标的，须提供此项证明文件，并携带法人的身份证原件（本授权书原件一式两份，一份密封封装在投标文件正本中，一份现场查验）。</w:t>
      </w:r>
    </w:p>
    <w:p>
      <w:pPr>
        <w:spacing w:line="360" w:lineRule="auto"/>
        <w:rPr>
          <w:rFonts w:ascii="宋体" w:hAnsi="宋体"/>
          <w:b/>
          <w:sz w:val="30"/>
        </w:rPr>
      </w:pPr>
    </w:p>
    <w:p>
      <w:pPr>
        <w:widowControl/>
        <w:spacing w:line="360" w:lineRule="auto"/>
        <w:jc w:val="left"/>
        <w:rPr>
          <w:rFonts w:ascii="宋体" w:hAnsi="宋体"/>
          <w:b/>
          <w:sz w:val="30"/>
        </w:rPr>
      </w:pPr>
      <w:r>
        <w:rPr>
          <w:rFonts w:ascii="宋体" w:hAnsi="宋体"/>
          <w:b/>
          <w:sz w:val="30"/>
        </w:rPr>
        <w:br w:type="page"/>
      </w:r>
    </w:p>
    <w:p>
      <w:pPr>
        <w:spacing w:line="360" w:lineRule="auto"/>
        <w:jc w:val="center"/>
        <w:rPr>
          <w:rFonts w:ascii="宋体" w:hAnsi="宋体"/>
          <w:b/>
          <w:sz w:val="28"/>
          <w:szCs w:val="28"/>
        </w:rPr>
      </w:pPr>
      <w:r>
        <w:rPr>
          <w:rFonts w:ascii="宋体" w:hAnsi="宋体"/>
          <w:b/>
          <w:sz w:val="28"/>
          <w:szCs w:val="28"/>
        </w:rPr>
        <w:t>2、法定代表人授权委托书</w:t>
      </w:r>
    </w:p>
    <w:p>
      <w:pPr>
        <w:spacing w:line="360" w:lineRule="auto"/>
        <w:jc w:val="center"/>
        <w:rPr>
          <w:rFonts w:ascii="宋体" w:hAnsi="宋体"/>
          <w:b/>
          <w:sz w:val="24"/>
        </w:rPr>
      </w:pPr>
    </w:p>
    <w:p>
      <w:pPr>
        <w:pStyle w:val="35"/>
        <w:autoSpaceDE w:val="0"/>
        <w:ind w:firstLine="480" w:firstLineChars="200"/>
        <w:rPr>
          <w:rFonts w:ascii="宋体" w:hAnsi="宋体"/>
          <w:color w:val="auto"/>
          <w:szCs w:val="24"/>
        </w:rPr>
      </w:pPr>
      <w:r>
        <w:rPr>
          <w:rFonts w:hint="eastAsia" w:ascii="宋体" w:hAnsi="宋体"/>
          <w:color w:val="auto"/>
          <w:szCs w:val="24"/>
        </w:rPr>
        <w:t>本授权书声明：注册于</w:t>
      </w:r>
      <w:r>
        <w:rPr>
          <w:rFonts w:hint="eastAsia" w:ascii="宋体" w:hAnsi="宋体"/>
          <w:color w:val="auto"/>
          <w:szCs w:val="24"/>
          <w:u w:val="single"/>
        </w:rPr>
        <w:t>（地区的名称）</w:t>
      </w:r>
      <w:r>
        <w:rPr>
          <w:rFonts w:hint="eastAsia" w:ascii="宋体" w:hAnsi="宋体"/>
          <w:color w:val="auto"/>
          <w:szCs w:val="24"/>
        </w:rPr>
        <w:t>的</w:t>
      </w:r>
      <w:r>
        <w:rPr>
          <w:rFonts w:hint="eastAsia" w:ascii="宋体" w:hAnsi="宋体"/>
          <w:color w:val="auto"/>
          <w:szCs w:val="24"/>
          <w:u w:val="single"/>
        </w:rPr>
        <w:t>（公司名称）</w:t>
      </w:r>
      <w:r>
        <w:rPr>
          <w:rFonts w:hint="eastAsia" w:ascii="宋体" w:hAnsi="宋体"/>
          <w:color w:val="auto"/>
          <w:szCs w:val="24"/>
        </w:rPr>
        <w:t>，在下面签字的法定代表人</w:t>
      </w:r>
      <w:r>
        <w:rPr>
          <w:rFonts w:hint="eastAsia" w:ascii="宋体" w:hAnsi="宋体"/>
          <w:color w:val="auto"/>
          <w:szCs w:val="24"/>
          <w:u w:val="single"/>
        </w:rPr>
        <w:t>（姓名、职务）</w:t>
      </w:r>
      <w:r>
        <w:rPr>
          <w:rFonts w:hint="eastAsia" w:ascii="宋体" w:hAnsi="宋体"/>
          <w:color w:val="auto"/>
          <w:szCs w:val="24"/>
        </w:rPr>
        <w:t>，代表本公司委托在下面签字的</w:t>
      </w:r>
      <w:r>
        <w:rPr>
          <w:rFonts w:hint="eastAsia" w:ascii="宋体" w:hAnsi="宋体"/>
          <w:color w:val="auto"/>
          <w:szCs w:val="24"/>
          <w:u w:val="single"/>
        </w:rPr>
        <w:t>（被授权人的姓名、职务）</w:t>
      </w:r>
      <w:r>
        <w:rPr>
          <w:rFonts w:hint="eastAsia" w:ascii="宋体" w:hAnsi="宋体"/>
          <w:color w:val="auto"/>
          <w:szCs w:val="24"/>
        </w:rPr>
        <w:t>为本公司的合法代理人，代理人根据授权，以我方名义签署、澄清确认、递交、撤回、修改</w:t>
      </w:r>
      <w:r>
        <w:rPr>
          <w:rFonts w:hint="eastAsia" w:ascii="宋体" w:hAnsi="宋体"/>
          <w:color w:val="auto"/>
          <w:szCs w:val="24"/>
          <w:u w:val="single"/>
        </w:rPr>
        <w:t xml:space="preserve">  (项目名称）</w:t>
      </w:r>
      <w:r>
        <w:rPr>
          <w:rFonts w:hint="eastAsia" w:ascii="宋体" w:hAnsi="宋体"/>
          <w:color w:val="auto"/>
          <w:szCs w:val="24"/>
        </w:rPr>
        <w:t>的投标文件、签订合同和处理有关事宜，其法律后果由我方承担。</w:t>
      </w:r>
    </w:p>
    <w:p>
      <w:pPr>
        <w:spacing w:line="360" w:lineRule="auto"/>
        <w:ind w:firstLine="480" w:firstLineChars="200"/>
        <w:jc w:val="left"/>
        <w:rPr>
          <w:rFonts w:ascii="宋体" w:hAnsi="宋体"/>
          <w:sz w:val="24"/>
        </w:rPr>
      </w:pPr>
    </w:p>
    <w:p>
      <w:pPr>
        <w:spacing w:line="360" w:lineRule="auto"/>
        <w:ind w:firstLine="480" w:firstLineChars="200"/>
        <w:jc w:val="left"/>
        <w:rPr>
          <w:rFonts w:ascii="宋体" w:hAnsi="宋体"/>
          <w:sz w:val="24"/>
        </w:rPr>
      </w:pPr>
      <w:r>
        <w:rPr>
          <w:rFonts w:ascii="宋体" w:hAnsi="宋体"/>
          <w:sz w:val="24"/>
        </w:rPr>
        <w:t>委托期限：自本委托书签署之日起至投标有效期期满。</w:t>
      </w:r>
    </w:p>
    <w:p>
      <w:pPr>
        <w:spacing w:line="360" w:lineRule="auto"/>
        <w:ind w:firstLine="480" w:firstLineChars="200"/>
        <w:jc w:val="left"/>
        <w:rPr>
          <w:rFonts w:ascii="宋体" w:hAnsi="宋体"/>
          <w:sz w:val="24"/>
        </w:rPr>
      </w:pPr>
      <w:r>
        <w:rPr>
          <w:rFonts w:ascii="宋体" w:hAnsi="宋体"/>
          <w:sz w:val="24"/>
        </w:rPr>
        <w:t>代理人无转委托权。</w:t>
      </w:r>
    </w:p>
    <w:p>
      <w:pPr>
        <w:spacing w:line="360" w:lineRule="auto"/>
        <w:ind w:firstLine="482"/>
        <w:rPr>
          <w:rFonts w:ascii="宋体" w:hAnsi="宋体"/>
          <w:sz w:val="24"/>
        </w:rPr>
      </w:pPr>
      <w:r>
        <w:rPr>
          <w:rFonts w:ascii="宋体" w:hAnsi="宋体"/>
          <w:sz w:val="24"/>
        </w:rPr>
        <w:t>附：委托代理人的身份证复印件（加盖单位公章）</w:t>
      </w:r>
    </w:p>
    <w:tbl>
      <w:tblPr>
        <w:tblStyle w:val="88"/>
        <w:tblW w:w="8229" w:type="dxa"/>
        <w:tblInd w:w="2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14"/>
        <w:gridCol w:w="41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5" w:hRule="atLeast"/>
        </w:trPr>
        <w:tc>
          <w:tcPr>
            <w:tcW w:w="4114" w:type="dxa"/>
            <w:noWrap/>
            <w:vAlign w:val="center"/>
          </w:tcPr>
          <w:p>
            <w:pPr>
              <w:spacing w:line="360" w:lineRule="auto"/>
              <w:jc w:val="center"/>
              <w:rPr>
                <w:rFonts w:ascii="宋体" w:hAnsi="宋体"/>
                <w:sz w:val="24"/>
              </w:rPr>
            </w:pPr>
            <w:r>
              <w:rPr>
                <w:rFonts w:ascii="宋体" w:hAnsi="宋体"/>
                <w:sz w:val="24"/>
              </w:rPr>
              <w:t>（身份证正面）</w:t>
            </w:r>
          </w:p>
        </w:tc>
        <w:tc>
          <w:tcPr>
            <w:tcW w:w="4115" w:type="dxa"/>
            <w:noWrap/>
            <w:vAlign w:val="center"/>
          </w:tcPr>
          <w:p>
            <w:pPr>
              <w:spacing w:line="360" w:lineRule="auto"/>
              <w:jc w:val="center"/>
              <w:rPr>
                <w:rFonts w:ascii="宋体" w:hAnsi="宋体"/>
                <w:sz w:val="24"/>
              </w:rPr>
            </w:pPr>
            <w:r>
              <w:rPr>
                <w:rFonts w:ascii="宋体" w:hAnsi="宋体"/>
                <w:sz w:val="24"/>
              </w:rPr>
              <w:t>（身份证背面）</w:t>
            </w:r>
          </w:p>
        </w:tc>
      </w:tr>
    </w:tbl>
    <w:p>
      <w:pPr>
        <w:spacing w:line="360" w:lineRule="auto"/>
        <w:ind w:firstLine="482"/>
        <w:rPr>
          <w:rFonts w:ascii="宋体" w:hAnsi="宋体"/>
          <w:sz w:val="24"/>
        </w:rPr>
      </w:pPr>
    </w:p>
    <w:p>
      <w:pPr>
        <w:topLinePunct/>
        <w:spacing w:line="360" w:lineRule="auto"/>
        <w:rPr>
          <w:rFonts w:ascii="宋体" w:hAnsi="宋体"/>
          <w:sz w:val="24"/>
        </w:rPr>
      </w:pPr>
    </w:p>
    <w:p>
      <w:pPr>
        <w:topLinePunct/>
        <w:spacing w:line="360" w:lineRule="auto"/>
        <w:ind w:firstLine="2160" w:firstLineChars="900"/>
        <w:rPr>
          <w:rFonts w:ascii="宋体" w:hAnsi="宋体"/>
          <w:sz w:val="24"/>
        </w:rPr>
      </w:pPr>
      <w:r>
        <w:rPr>
          <w:rFonts w:ascii="宋体" w:hAnsi="宋体"/>
          <w:sz w:val="24"/>
        </w:rPr>
        <w:t>投标单位：</w:t>
      </w:r>
      <w:r>
        <w:rPr>
          <w:rFonts w:ascii="宋体" w:hAnsi="宋体"/>
          <w:bCs/>
          <w:sz w:val="24"/>
          <w:u w:val="single"/>
        </w:rPr>
        <w:t xml:space="preserve">   （全称）（盖章）   </w:t>
      </w:r>
    </w:p>
    <w:p>
      <w:pPr>
        <w:autoSpaceDE w:val="0"/>
        <w:spacing w:line="360" w:lineRule="auto"/>
        <w:ind w:firstLine="482"/>
        <w:rPr>
          <w:rFonts w:ascii="宋体" w:hAnsi="宋体"/>
          <w:sz w:val="24"/>
          <w:u w:val="single"/>
        </w:rPr>
      </w:pPr>
      <w:r>
        <w:rPr>
          <w:rFonts w:ascii="宋体" w:hAnsi="宋体"/>
          <w:sz w:val="24"/>
        </w:rPr>
        <w:t xml:space="preserve">              法定代表人签字或盖章：</w:t>
      </w:r>
      <w:r>
        <w:rPr>
          <w:rFonts w:ascii="宋体" w:hAnsi="宋体"/>
          <w:sz w:val="24"/>
          <w:u w:val="single"/>
        </w:rPr>
        <w:t>　　　　　 　</w:t>
      </w:r>
    </w:p>
    <w:p>
      <w:pPr>
        <w:topLinePunct/>
        <w:spacing w:line="360" w:lineRule="auto"/>
        <w:ind w:firstLine="2160" w:firstLineChars="900"/>
        <w:rPr>
          <w:rFonts w:ascii="宋体" w:hAnsi="宋体"/>
          <w:sz w:val="24"/>
          <w:u w:val="single"/>
        </w:rPr>
      </w:pPr>
      <w:r>
        <w:rPr>
          <w:rFonts w:ascii="宋体" w:hAnsi="宋体"/>
          <w:sz w:val="24"/>
        </w:rPr>
        <w:t>身份证号码：</w:t>
      </w:r>
    </w:p>
    <w:p>
      <w:pPr>
        <w:autoSpaceDE w:val="0"/>
        <w:spacing w:line="360" w:lineRule="auto"/>
        <w:ind w:firstLine="482"/>
        <w:rPr>
          <w:rFonts w:ascii="宋体" w:hAnsi="宋体"/>
          <w:sz w:val="24"/>
          <w:u w:val="single"/>
        </w:rPr>
      </w:pPr>
      <w:r>
        <w:rPr>
          <w:rFonts w:ascii="宋体" w:hAnsi="宋体"/>
          <w:sz w:val="24"/>
        </w:rPr>
        <w:t xml:space="preserve">              委托代理人签字：</w:t>
      </w:r>
      <w:r>
        <w:rPr>
          <w:rFonts w:ascii="宋体" w:hAnsi="宋体"/>
          <w:sz w:val="24"/>
          <w:u w:val="single"/>
        </w:rPr>
        <w:t>　　　　　　　　　　　</w:t>
      </w:r>
    </w:p>
    <w:p>
      <w:pPr>
        <w:topLinePunct/>
        <w:spacing w:line="360" w:lineRule="auto"/>
        <w:ind w:firstLine="2160" w:firstLineChars="900"/>
        <w:rPr>
          <w:rFonts w:ascii="宋体" w:hAnsi="宋体"/>
          <w:sz w:val="24"/>
          <w:u w:val="single"/>
        </w:rPr>
      </w:pPr>
      <w:r>
        <w:rPr>
          <w:rFonts w:ascii="宋体" w:hAnsi="宋体"/>
          <w:sz w:val="24"/>
        </w:rPr>
        <w:t>身份证号码：</w:t>
      </w:r>
    </w:p>
    <w:p>
      <w:pPr>
        <w:autoSpaceDE w:val="0"/>
        <w:spacing w:line="360" w:lineRule="auto"/>
        <w:ind w:firstLine="600" w:firstLineChars="250"/>
        <w:rPr>
          <w:rFonts w:ascii="宋体" w:hAnsi="宋体"/>
          <w:sz w:val="24"/>
          <w:u w:val="single"/>
        </w:rPr>
      </w:pPr>
      <w:r>
        <w:rPr>
          <w:rFonts w:ascii="宋体" w:hAnsi="宋体"/>
          <w:sz w:val="24"/>
        </w:rPr>
        <w:t>　　　　　　　　　　　　　　　　授权日期：20</w:t>
      </w:r>
      <w:r>
        <w:rPr>
          <w:rFonts w:ascii="宋体" w:hAnsi="宋体"/>
          <w:sz w:val="2"/>
          <w:szCs w:val="2"/>
        </w:rPr>
        <w:t>U</w:t>
      </w:r>
      <w:r>
        <w:rPr>
          <w:rFonts w:ascii="宋体" w:hAnsi="宋体"/>
          <w:sz w:val="24"/>
          <w:u w:val="single"/>
        </w:rPr>
        <w:t>　　</w:t>
      </w:r>
      <w:r>
        <w:rPr>
          <w:rFonts w:ascii="宋体" w:hAnsi="宋体"/>
          <w:sz w:val="2"/>
          <w:szCs w:val="2"/>
        </w:rPr>
        <w:t>U</w:t>
      </w:r>
      <w:r>
        <w:rPr>
          <w:rFonts w:ascii="宋体" w:hAnsi="宋体"/>
          <w:sz w:val="24"/>
        </w:rPr>
        <w:t>年</w:t>
      </w:r>
      <w:r>
        <w:rPr>
          <w:rFonts w:ascii="宋体" w:hAnsi="宋体"/>
          <w:sz w:val="2"/>
          <w:szCs w:val="2"/>
        </w:rPr>
        <w:t>U</w:t>
      </w:r>
      <w:r>
        <w:rPr>
          <w:rFonts w:ascii="宋体" w:hAnsi="宋体"/>
          <w:sz w:val="24"/>
          <w:u w:val="single"/>
        </w:rPr>
        <w:t>　</w:t>
      </w:r>
      <w:r>
        <w:rPr>
          <w:rFonts w:ascii="宋体" w:hAnsi="宋体"/>
          <w:sz w:val="24"/>
        </w:rPr>
        <w:t>月</w:t>
      </w:r>
      <w:r>
        <w:rPr>
          <w:rFonts w:ascii="宋体" w:hAnsi="宋体"/>
          <w:sz w:val="2"/>
          <w:szCs w:val="2"/>
        </w:rPr>
        <w:t>U</w:t>
      </w:r>
      <w:r>
        <w:rPr>
          <w:rFonts w:ascii="宋体" w:hAnsi="宋体"/>
          <w:sz w:val="24"/>
          <w:u w:val="single"/>
        </w:rPr>
        <w:t>　</w:t>
      </w:r>
      <w:r>
        <w:rPr>
          <w:rFonts w:ascii="宋体" w:hAnsi="宋体"/>
          <w:sz w:val="2"/>
          <w:szCs w:val="2"/>
        </w:rPr>
        <w:t>U</w:t>
      </w:r>
      <w:r>
        <w:rPr>
          <w:rFonts w:ascii="宋体" w:hAnsi="宋体"/>
          <w:sz w:val="24"/>
        </w:rPr>
        <w:t>日</w:t>
      </w:r>
    </w:p>
    <w:p>
      <w:pPr>
        <w:spacing w:line="360" w:lineRule="auto"/>
        <w:rPr>
          <w:rFonts w:ascii="宋体" w:hAnsi="宋体"/>
          <w:sz w:val="24"/>
        </w:rPr>
      </w:pPr>
    </w:p>
    <w:p>
      <w:pPr>
        <w:spacing w:line="360" w:lineRule="auto"/>
        <w:rPr>
          <w:rFonts w:ascii="宋体" w:hAnsi="宋体"/>
          <w:b/>
          <w:sz w:val="24"/>
        </w:rPr>
      </w:pPr>
    </w:p>
    <w:p>
      <w:pPr>
        <w:spacing w:line="360" w:lineRule="auto"/>
        <w:rPr>
          <w:rFonts w:ascii="宋体" w:hAnsi="宋体"/>
          <w:szCs w:val="21"/>
        </w:rPr>
      </w:pPr>
      <w:r>
        <w:rPr>
          <w:rFonts w:ascii="宋体" w:hAnsi="宋体"/>
          <w:szCs w:val="21"/>
        </w:rPr>
        <w:t>注：1.法定代表人签字或盖章必须是亲笔签名或相关主管行政部门备案的法定代表人印章。不得使用其他印章或是电子版签名。</w:t>
      </w:r>
    </w:p>
    <w:p>
      <w:pPr>
        <w:tabs>
          <w:tab w:val="left" w:pos="9135"/>
        </w:tabs>
        <w:spacing w:line="360" w:lineRule="auto"/>
        <w:ind w:firstLine="420" w:firstLineChars="200"/>
        <w:rPr>
          <w:rFonts w:ascii="宋体" w:hAnsi="宋体"/>
          <w:szCs w:val="21"/>
        </w:rPr>
      </w:pPr>
      <w:r>
        <w:rPr>
          <w:rFonts w:ascii="宋体" w:hAnsi="宋体"/>
          <w:szCs w:val="21"/>
        </w:rPr>
        <w:t>2、本授权书原件一式两份，一份密封封装在投标文件正本中，一份现场查验。</w:t>
      </w:r>
    </w:p>
    <w:p>
      <w:pPr>
        <w:spacing w:line="360" w:lineRule="auto"/>
        <w:ind w:firstLine="420" w:firstLineChars="200"/>
        <w:rPr>
          <w:rFonts w:ascii="宋体" w:hAnsi="宋体"/>
          <w:b/>
          <w:sz w:val="28"/>
          <w:szCs w:val="28"/>
        </w:rPr>
      </w:pPr>
      <w:r>
        <w:rPr>
          <w:rFonts w:ascii="宋体" w:hAnsi="宋体"/>
          <w:szCs w:val="21"/>
        </w:rPr>
        <w:t>3、投标人的委托代理人作为公司的代表前来参加投标的投标人，须提供此项证明文件。</w:t>
      </w:r>
    </w:p>
    <w:p>
      <w:pPr>
        <w:widowControl/>
        <w:spacing w:line="360" w:lineRule="auto"/>
        <w:jc w:val="left"/>
        <w:rPr>
          <w:rFonts w:ascii="宋体" w:hAnsi="宋体"/>
          <w:b/>
          <w:szCs w:val="21"/>
        </w:rPr>
      </w:pPr>
      <w:r>
        <w:rPr>
          <w:rFonts w:ascii="宋体" w:hAnsi="宋体"/>
          <w:b/>
          <w:szCs w:val="21"/>
        </w:rPr>
        <w:br w:type="page"/>
      </w:r>
    </w:p>
    <w:p>
      <w:pPr>
        <w:spacing w:line="360" w:lineRule="auto"/>
        <w:jc w:val="center"/>
        <w:outlineLvl w:val="0"/>
        <w:rPr>
          <w:rFonts w:ascii="宋体" w:hAnsi="宋体"/>
          <w:b/>
          <w:sz w:val="32"/>
        </w:rPr>
      </w:pPr>
      <w:r>
        <w:rPr>
          <w:rFonts w:ascii="宋体" w:hAnsi="宋体"/>
          <w:b/>
          <w:sz w:val="32"/>
        </w:rPr>
        <w:t>（三）开标一览表 （单独提交）</w:t>
      </w:r>
    </w:p>
    <w:p>
      <w:pPr>
        <w:pStyle w:val="285"/>
        <w:spacing w:line="360" w:lineRule="auto"/>
        <w:ind w:left="146" w:leftChars="-86" w:hanging="327" w:hangingChars="163"/>
        <w:jc w:val="both"/>
        <w:rPr>
          <w:rFonts w:ascii="宋体" w:hAnsi="宋体"/>
          <w:b/>
          <w:color w:val="auto"/>
          <w:kern w:val="2"/>
          <w:szCs w:val="20"/>
        </w:rPr>
      </w:pPr>
    </w:p>
    <w:p>
      <w:pPr>
        <w:pStyle w:val="285"/>
        <w:spacing w:line="360" w:lineRule="auto"/>
        <w:ind w:left="146" w:leftChars="-86" w:hanging="327" w:hangingChars="163"/>
        <w:jc w:val="both"/>
        <w:rPr>
          <w:rFonts w:ascii="宋体" w:hAnsi="宋体"/>
          <w:b/>
          <w:color w:val="auto"/>
          <w:kern w:val="2"/>
          <w:szCs w:val="20"/>
        </w:rPr>
      </w:pPr>
    </w:p>
    <w:p>
      <w:pPr>
        <w:pStyle w:val="285"/>
        <w:spacing w:line="360" w:lineRule="auto"/>
        <w:ind w:left="146" w:leftChars="-86" w:hanging="327" w:hangingChars="163"/>
        <w:jc w:val="both"/>
        <w:rPr>
          <w:rFonts w:ascii="宋体" w:hAnsi="宋体"/>
          <w:b/>
          <w:color w:val="auto"/>
          <w:kern w:val="2"/>
          <w:szCs w:val="20"/>
        </w:rPr>
      </w:pPr>
    </w:p>
    <w:p>
      <w:pPr>
        <w:pStyle w:val="285"/>
        <w:spacing w:line="360" w:lineRule="auto"/>
        <w:ind w:left="-181" w:leftChars="-86" w:firstLine="402" w:firstLineChars="200"/>
        <w:jc w:val="both"/>
        <w:rPr>
          <w:rFonts w:ascii="宋体" w:hAnsi="宋体"/>
          <w:b/>
          <w:color w:val="auto"/>
          <w:kern w:val="2"/>
          <w:szCs w:val="20"/>
        </w:rPr>
      </w:pPr>
      <w:r>
        <w:rPr>
          <w:rFonts w:ascii="宋体" w:hAnsi="宋体"/>
          <w:b/>
          <w:color w:val="auto"/>
          <w:kern w:val="2"/>
          <w:szCs w:val="20"/>
        </w:rPr>
        <w:t>项目名称：                             项目编号：</w:t>
      </w:r>
    </w:p>
    <w:tbl>
      <w:tblPr>
        <w:tblStyle w:val="88"/>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58"/>
        <w:gridCol w:w="3203"/>
        <w:gridCol w:w="4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1158" w:type="dxa"/>
            <w:noWrap/>
            <w:vAlign w:val="center"/>
          </w:tcPr>
          <w:p>
            <w:pPr>
              <w:pStyle w:val="285"/>
              <w:spacing w:line="360" w:lineRule="auto"/>
              <w:ind w:left="-181" w:leftChars="-342" w:right="-743" w:rightChars="-354" w:hanging="537" w:hangingChars="256"/>
              <w:jc w:val="center"/>
              <w:rPr>
                <w:rFonts w:ascii="宋体" w:hAnsi="宋体" w:cs="宋体"/>
                <w:color w:val="auto"/>
                <w:sz w:val="21"/>
                <w:szCs w:val="21"/>
              </w:rPr>
            </w:pPr>
            <w:r>
              <w:rPr>
                <w:rFonts w:hint="eastAsia" w:ascii="宋体" w:hAnsi="宋体" w:cs="宋体"/>
                <w:color w:val="auto"/>
                <w:sz w:val="21"/>
                <w:szCs w:val="21"/>
              </w:rPr>
              <w:t>序号</w:t>
            </w:r>
          </w:p>
        </w:tc>
        <w:tc>
          <w:tcPr>
            <w:tcW w:w="3203" w:type="dxa"/>
            <w:noWrap/>
            <w:vAlign w:val="center"/>
          </w:tcPr>
          <w:p>
            <w:pPr>
              <w:widowControl/>
              <w:spacing w:line="360" w:lineRule="auto"/>
              <w:jc w:val="center"/>
              <w:rPr>
                <w:rFonts w:ascii="宋体" w:hAnsi="宋体" w:cs="宋体"/>
                <w:kern w:val="0"/>
                <w:szCs w:val="21"/>
              </w:rPr>
            </w:pPr>
            <w:r>
              <w:rPr>
                <w:rFonts w:hint="eastAsia" w:ascii="宋体" w:hAnsi="宋体" w:cs="宋体"/>
                <w:kern w:val="0"/>
                <w:szCs w:val="21"/>
              </w:rPr>
              <w:t>项目</w:t>
            </w:r>
          </w:p>
        </w:tc>
        <w:tc>
          <w:tcPr>
            <w:tcW w:w="4536" w:type="dxa"/>
            <w:noWrap/>
            <w:vAlign w:val="center"/>
          </w:tcPr>
          <w:p>
            <w:pPr>
              <w:pStyle w:val="285"/>
              <w:spacing w:line="360" w:lineRule="auto"/>
              <w:ind w:left="-3" w:right="-25" w:firstLine="105" w:firstLineChars="50"/>
              <w:jc w:val="center"/>
              <w:rPr>
                <w:rFonts w:ascii="宋体" w:hAnsi="宋体" w:cs="宋体"/>
                <w:color w:val="auto"/>
                <w:sz w:val="21"/>
                <w:szCs w:val="21"/>
              </w:rPr>
            </w:pPr>
            <w:r>
              <w:rPr>
                <w:rFonts w:hint="eastAsia" w:ascii="宋体" w:hAnsi="宋体" w:cs="宋体"/>
                <w:color w:val="auto"/>
                <w:sz w:val="21"/>
                <w:szCs w:val="21"/>
              </w:rPr>
              <w:t>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2" w:hRule="atLeast"/>
        </w:trPr>
        <w:tc>
          <w:tcPr>
            <w:tcW w:w="1158" w:type="dxa"/>
            <w:noWrap/>
            <w:vAlign w:val="center"/>
          </w:tcPr>
          <w:p>
            <w:pPr>
              <w:pStyle w:val="285"/>
              <w:spacing w:line="360" w:lineRule="auto"/>
              <w:ind w:left="-105" w:right="-97" w:firstLine="63" w:firstLineChars="30"/>
              <w:jc w:val="center"/>
              <w:rPr>
                <w:rFonts w:ascii="宋体" w:hAnsi="宋体" w:cs="宋体"/>
                <w:color w:val="auto"/>
                <w:sz w:val="21"/>
                <w:szCs w:val="21"/>
              </w:rPr>
            </w:pPr>
            <w:r>
              <w:rPr>
                <w:rFonts w:hint="eastAsia" w:ascii="宋体" w:hAnsi="宋体" w:cs="宋体"/>
                <w:color w:val="auto"/>
                <w:sz w:val="21"/>
                <w:szCs w:val="21"/>
              </w:rPr>
              <w:t>1</w:t>
            </w:r>
          </w:p>
        </w:tc>
        <w:tc>
          <w:tcPr>
            <w:tcW w:w="3203" w:type="dxa"/>
            <w:noWrap/>
            <w:vAlign w:val="center"/>
          </w:tcPr>
          <w:p>
            <w:pPr>
              <w:pStyle w:val="176"/>
              <w:snapToGrid w:val="0"/>
              <w:spacing w:line="360" w:lineRule="auto"/>
              <w:ind w:left="473" w:hanging="473"/>
              <w:jc w:val="center"/>
              <w:rPr>
                <w:rFonts w:ascii="宋体" w:hAnsi="宋体" w:cs="宋体"/>
                <w:color w:val="auto"/>
                <w:sz w:val="21"/>
                <w:szCs w:val="21"/>
              </w:rPr>
            </w:pPr>
            <w:r>
              <w:rPr>
                <w:rFonts w:hint="eastAsia" w:ascii="宋体" w:hAnsi="宋体" w:cs="宋体"/>
                <w:color w:val="auto"/>
                <w:sz w:val="21"/>
                <w:szCs w:val="21"/>
              </w:rPr>
              <w:t>投标总价</w:t>
            </w:r>
          </w:p>
        </w:tc>
        <w:tc>
          <w:tcPr>
            <w:tcW w:w="4536" w:type="dxa"/>
            <w:noWrap/>
            <w:vAlign w:val="center"/>
          </w:tcPr>
          <w:p>
            <w:pPr>
              <w:pStyle w:val="176"/>
              <w:snapToGrid w:val="0"/>
              <w:spacing w:line="360" w:lineRule="auto"/>
              <w:jc w:val="both"/>
              <w:rPr>
                <w:rFonts w:ascii="宋体" w:hAnsi="宋体" w:cs="宋体"/>
                <w:color w:val="auto"/>
                <w:sz w:val="21"/>
                <w:szCs w:val="21"/>
              </w:rPr>
            </w:pPr>
            <w:r>
              <w:rPr>
                <w:rFonts w:hint="eastAsia" w:ascii="宋体" w:hAnsi="宋体" w:cs="宋体"/>
                <w:color w:val="auto"/>
                <w:sz w:val="21"/>
                <w:szCs w:val="21"/>
              </w:rPr>
              <w:t>小写：</w:t>
            </w:r>
          </w:p>
          <w:p>
            <w:pPr>
              <w:pStyle w:val="176"/>
              <w:snapToGrid w:val="0"/>
              <w:spacing w:line="360" w:lineRule="auto"/>
              <w:jc w:val="both"/>
              <w:rPr>
                <w:rFonts w:ascii="宋体" w:hAnsi="宋体" w:cs="宋体"/>
                <w:color w:val="auto"/>
                <w:sz w:val="21"/>
                <w:szCs w:val="21"/>
              </w:rPr>
            </w:pPr>
            <w:r>
              <w:rPr>
                <w:rFonts w:hint="eastAsia" w:ascii="宋体" w:hAnsi="宋体" w:cs="宋体"/>
                <w:color w:val="auto"/>
                <w:sz w:val="21"/>
                <w:szCs w:val="21"/>
              </w:rPr>
              <w:t>大写：</w:t>
            </w:r>
          </w:p>
          <w:p>
            <w:pPr>
              <w:pStyle w:val="285"/>
              <w:spacing w:line="360" w:lineRule="auto"/>
              <w:ind w:left="-342" w:right="-354"/>
              <w:jc w:val="both"/>
              <w:rPr>
                <w:rFonts w:ascii="宋体" w:hAnsi="宋体" w:cs="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2" w:hRule="atLeast"/>
        </w:trPr>
        <w:tc>
          <w:tcPr>
            <w:tcW w:w="8897" w:type="dxa"/>
            <w:gridSpan w:val="3"/>
            <w:noWrap/>
            <w:vAlign w:val="center"/>
          </w:tcPr>
          <w:p>
            <w:pPr>
              <w:pStyle w:val="285"/>
              <w:spacing w:line="360" w:lineRule="auto"/>
              <w:ind w:left="-2" w:leftChars="-1" w:right="-354"/>
              <w:rPr>
                <w:rFonts w:ascii="宋体" w:hAnsi="宋体" w:cs="宋体"/>
                <w:color w:val="auto"/>
                <w:sz w:val="21"/>
                <w:szCs w:val="21"/>
              </w:rPr>
            </w:pPr>
            <w:r>
              <w:rPr>
                <w:rFonts w:hint="eastAsia" w:ascii="宋体" w:hAnsi="宋体" w:cs="宋体"/>
                <w:color w:val="auto"/>
                <w:sz w:val="21"/>
                <w:szCs w:val="21"/>
              </w:rPr>
              <w:t>交货期：</w:t>
            </w:r>
          </w:p>
          <w:p>
            <w:pPr>
              <w:pStyle w:val="285"/>
              <w:spacing w:line="360" w:lineRule="auto"/>
              <w:ind w:left="-2" w:leftChars="-1" w:right="-354"/>
              <w:rPr>
                <w:rFonts w:ascii="宋体" w:hAnsi="宋体" w:cs="宋体"/>
                <w:color w:val="auto"/>
                <w:sz w:val="21"/>
                <w:szCs w:val="21"/>
              </w:rPr>
            </w:pPr>
          </w:p>
          <w:p>
            <w:pPr>
              <w:pStyle w:val="285"/>
              <w:spacing w:line="360" w:lineRule="auto"/>
              <w:ind w:left="-2" w:leftChars="-1" w:right="-354"/>
              <w:rPr>
                <w:rFonts w:ascii="宋体" w:hAnsi="宋体" w:cs="宋体"/>
                <w:color w:val="auto"/>
                <w:sz w:val="21"/>
                <w:szCs w:val="21"/>
              </w:rPr>
            </w:pPr>
            <w:r>
              <w:rPr>
                <w:rFonts w:hint="eastAsia" w:ascii="宋体" w:hAnsi="宋体" w:cs="宋体"/>
                <w:color w:val="auto"/>
                <w:sz w:val="21"/>
                <w:szCs w:val="21"/>
              </w:rPr>
              <w:t>质保期及保修承诺：</w:t>
            </w:r>
          </w:p>
        </w:tc>
      </w:tr>
    </w:tbl>
    <w:p>
      <w:pPr>
        <w:spacing w:line="360" w:lineRule="auto"/>
        <w:jc w:val="left"/>
        <w:rPr>
          <w:rFonts w:ascii="宋体" w:hAnsi="宋体"/>
          <w:szCs w:val="21"/>
        </w:rPr>
      </w:pPr>
      <w:r>
        <w:rPr>
          <w:rFonts w:ascii="宋体" w:hAnsi="宋体"/>
          <w:szCs w:val="21"/>
        </w:rPr>
        <w:t xml:space="preserve">注：1.表中大小写不一致时，以大写为准。     </w:t>
      </w:r>
    </w:p>
    <w:p>
      <w:pPr>
        <w:autoSpaceDE w:val="0"/>
        <w:autoSpaceDN w:val="0"/>
        <w:adjustRightInd w:val="0"/>
        <w:spacing w:line="360" w:lineRule="auto"/>
        <w:jc w:val="left"/>
        <w:rPr>
          <w:rFonts w:ascii="宋体" w:hAnsi="宋体"/>
          <w:szCs w:val="21"/>
        </w:rPr>
      </w:pPr>
      <w:r>
        <w:rPr>
          <w:rFonts w:ascii="宋体" w:hAnsi="宋体"/>
          <w:szCs w:val="21"/>
        </w:rPr>
        <w:t xml:space="preserve">    2.此表一式两份，一份用信封单独密封，另一份装订在投标文件正本中，两个表须内容必须一致。 </w:t>
      </w:r>
    </w:p>
    <w:p>
      <w:pPr>
        <w:autoSpaceDE w:val="0"/>
        <w:autoSpaceDN w:val="0"/>
        <w:adjustRightInd w:val="0"/>
        <w:spacing w:line="360" w:lineRule="auto"/>
        <w:jc w:val="left"/>
        <w:rPr>
          <w:rFonts w:ascii="宋体" w:hAnsi="宋体"/>
          <w:szCs w:val="21"/>
        </w:rPr>
      </w:pPr>
      <w:r>
        <w:rPr>
          <w:rFonts w:ascii="宋体" w:hAnsi="宋体"/>
          <w:szCs w:val="21"/>
        </w:rPr>
        <w:t xml:space="preserve">    3.投标报价为完成本次采购项目的供货、</w:t>
      </w:r>
      <w:r>
        <w:rPr>
          <w:rFonts w:hint="eastAsia" w:ascii="宋体" w:hAnsi="宋体"/>
          <w:szCs w:val="21"/>
        </w:rPr>
        <w:t>配送、</w:t>
      </w:r>
      <w:r>
        <w:rPr>
          <w:rFonts w:ascii="宋体" w:hAnsi="宋体"/>
          <w:szCs w:val="21"/>
        </w:rPr>
        <w:t>安装调试</w:t>
      </w:r>
      <w:r>
        <w:rPr>
          <w:rFonts w:hint="eastAsia" w:ascii="宋体" w:hAnsi="宋体"/>
          <w:szCs w:val="21"/>
        </w:rPr>
        <w:t>、税金</w:t>
      </w:r>
      <w:r>
        <w:rPr>
          <w:rFonts w:ascii="宋体" w:hAnsi="宋体"/>
          <w:szCs w:val="21"/>
        </w:rPr>
        <w:t>等一切相关费用。</w:t>
      </w:r>
    </w:p>
    <w:p>
      <w:pPr>
        <w:autoSpaceDE w:val="0"/>
        <w:autoSpaceDN w:val="0"/>
        <w:adjustRightInd w:val="0"/>
        <w:spacing w:line="360" w:lineRule="auto"/>
        <w:jc w:val="left"/>
        <w:rPr>
          <w:rFonts w:ascii="宋体" w:hAnsi="宋体"/>
          <w:szCs w:val="21"/>
        </w:rPr>
      </w:pPr>
      <w:r>
        <w:rPr>
          <w:rFonts w:ascii="宋体" w:hAnsi="宋体"/>
          <w:szCs w:val="21"/>
        </w:rPr>
        <w:t xml:space="preserve">    4.本表中“投标总价”必须与《投标函》中的“投标总价”及《报价明细表》中的“</w:t>
      </w:r>
      <w:r>
        <w:rPr>
          <w:rFonts w:ascii="宋体" w:hAnsi="宋体"/>
          <w:bCs/>
          <w:szCs w:val="21"/>
        </w:rPr>
        <w:t>投标总价</w:t>
      </w:r>
      <w:r>
        <w:rPr>
          <w:rFonts w:ascii="宋体" w:hAnsi="宋体"/>
          <w:szCs w:val="21"/>
        </w:rPr>
        <w:t>”均保持一致，如不一致，以《开标一览表》为准。</w:t>
      </w:r>
    </w:p>
    <w:p>
      <w:pPr>
        <w:pStyle w:val="285"/>
        <w:spacing w:line="360" w:lineRule="auto"/>
        <w:rPr>
          <w:rFonts w:ascii="宋体" w:hAnsi="宋体"/>
          <w:color w:val="auto"/>
          <w:sz w:val="21"/>
          <w:szCs w:val="21"/>
        </w:rPr>
      </w:pPr>
    </w:p>
    <w:p>
      <w:pPr>
        <w:pStyle w:val="34"/>
        <w:spacing w:after="0" w:line="360" w:lineRule="auto"/>
        <w:ind w:firstLine="3360" w:firstLineChars="1600"/>
        <w:rPr>
          <w:rFonts w:ascii="宋体" w:hAnsi="宋体"/>
          <w:szCs w:val="21"/>
        </w:rPr>
      </w:pPr>
    </w:p>
    <w:p>
      <w:pPr>
        <w:pStyle w:val="34"/>
        <w:spacing w:after="0" w:line="360" w:lineRule="auto"/>
        <w:ind w:firstLine="3360" w:firstLineChars="1600"/>
        <w:rPr>
          <w:rFonts w:ascii="宋体" w:hAnsi="宋体"/>
          <w:szCs w:val="21"/>
        </w:rPr>
      </w:pPr>
    </w:p>
    <w:p>
      <w:pPr>
        <w:pStyle w:val="34"/>
        <w:spacing w:after="0" w:line="360" w:lineRule="auto"/>
        <w:ind w:firstLine="3840" w:firstLineChars="1600"/>
        <w:rPr>
          <w:rFonts w:ascii="宋体" w:hAnsi="宋体"/>
          <w:bCs/>
          <w:sz w:val="24"/>
          <w:u w:val="single"/>
        </w:rPr>
      </w:pPr>
      <w:r>
        <w:rPr>
          <w:rFonts w:ascii="宋体" w:hAnsi="宋体"/>
          <w:bCs/>
          <w:sz w:val="24"/>
        </w:rPr>
        <w:t>投标单位：</w:t>
      </w:r>
      <w:r>
        <w:rPr>
          <w:rFonts w:ascii="宋体" w:hAnsi="宋体"/>
          <w:bCs/>
          <w:sz w:val="24"/>
          <w:u w:val="single"/>
        </w:rPr>
        <w:t xml:space="preserve">   （全称）（盖章）  </w:t>
      </w:r>
    </w:p>
    <w:p>
      <w:pPr>
        <w:pStyle w:val="34"/>
        <w:spacing w:after="0" w:line="360" w:lineRule="auto"/>
        <w:ind w:firstLine="3840" w:firstLineChars="1600"/>
        <w:rPr>
          <w:rFonts w:ascii="宋体" w:hAnsi="宋体"/>
          <w:bCs/>
          <w:sz w:val="24"/>
          <w:u w:val="single"/>
        </w:rPr>
      </w:pPr>
      <w:r>
        <w:rPr>
          <w:rFonts w:ascii="宋体" w:hAnsi="宋体"/>
          <w:bCs/>
          <w:sz w:val="24"/>
        </w:rPr>
        <w:t>法定代表人或委托代理人：</w:t>
      </w:r>
      <w:r>
        <w:rPr>
          <w:rFonts w:ascii="宋体" w:hAnsi="宋体"/>
          <w:bCs/>
          <w:sz w:val="24"/>
          <w:u w:val="single"/>
        </w:rPr>
        <w:t>（签字或盖章）</w:t>
      </w:r>
    </w:p>
    <w:p>
      <w:pPr>
        <w:pStyle w:val="34"/>
        <w:spacing w:after="0" w:line="360" w:lineRule="auto"/>
        <w:ind w:firstLine="3840" w:firstLineChars="1600"/>
        <w:rPr>
          <w:rFonts w:ascii="宋体" w:hAnsi="宋体"/>
          <w:sz w:val="24"/>
        </w:rPr>
      </w:pPr>
      <w:r>
        <w:rPr>
          <w:rFonts w:ascii="宋体" w:hAnsi="宋体"/>
          <w:sz w:val="24"/>
        </w:rPr>
        <w:t>日 期：</w:t>
      </w:r>
      <w:r>
        <w:rPr>
          <w:rFonts w:ascii="宋体" w:hAnsi="宋体"/>
          <w:bCs/>
          <w:sz w:val="24"/>
        </w:rPr>
        <w:t>20</w:t>
      </w:r>
      <w:r>
        <w:rPr>
          <w:rFonts w:ascii="宋体" w:hAnsi="宋体"/>
          <w:bCs/>
          <w:sz w:val="24"/>
          <w:u w:val="single"/>
        </w:rPr>
        <w:t>　　</w:t>
      </w:r>
      <w:r>
        <w:rPr>
          <w:rFonts w:ascii="宋体" w:hAnsi="宋体"/>
          <w:bCs/>
          <w:sz w:val="24"/>
        </w:rPr>
        <w:t>年</w:t>
      </w:r>
      <w:r>
        <w:rPr>
          <w:rFonts w:ascii="宋体" w:hAnsi="宋体"/>
          <w:bCs/>
          <w:sz w:val="24"/>
          <w:u w:val="single"/>
        </w:rPr>
        <w:t>　</w:t>
      </w:r>
      <w:r>
        <w:rPr>
          <w:rFonts w:ascii="宋体" w:hAnsi="宋体"/>
          <w:bCs/>
          <w:sz w:val="24"/>
        </w:rPr>
        <w:t>月日</w:t>
      </w:r>
    </w:p>
    <w:p>
      <w:pPr>
        <w:pStyle w:val="34"/>
        <w:spacing w:after="0" w:line="360" w:lineRule="auto"/>
        <w:ind w:firstLine="3360" w:firstLineChars="1600"/>
        <w:rPr>
          <w:rFonts w:ascii="宋体" w:hAnsi="宋体"/>
        </w:rPr>
      </w:pPr>
    </w:p>
    <w:p>
      <w:pPr>
        <w:spacing w:line="360" w:lineRule="auto"/>
        <w:jc w:val="center"/>
        <w:rPr>
          <w:rFonts w:ascii="宋体" w:hAnsi="宋体"/>
          <w:b/>
          <w:sz w:val="30"/>
        </w:rPr>
      </w:pPr>
    </w:p>
    <w:p>
      <w:pPr>
        <w:widowControl/>
        <w:spacing w:line="360" w:lineRule="auto"/>
        <w:jc w:val="left"/>
        <w:rPr>
          <w:rFonts w:ascii="宋体" w:hAnsi="宋体"/>
          <w:b/>
          <w:sz w:val="30"/>
        </w:rPr>
      </w:pPr>
      <w:r>
        <w:rPr>
          <w:rFonts w:ascii="宋体" w:hAnsi="宋体"/>
          <w:b/>
          <w:sz w:val="30"/>
        </w:rPr>
        <w:br w:type="page"/>
      </w:r>
    </w:p>
    <w:p>
      <w:pPr>
        <w:spacing w:line="360" w:lineRule="auto"/>
        <w:jc w:val="center"/>
        <w:rPr>
          <w:rFonts w:ascii="宋体" w:hAnsi="宋体"/>
          <w:b/>
          <w:sz w:val="30"/>
        </w:rPr>
      </w:pPr>
      <w:r>
        <w:rPr>
          <w:rFonts w:ascii="宋体" w:hAnsi="宋体"/>
          <w:b/>
          <w:sz w:val="30"/>
        </w:rPr>
        <w:t>附表3-1  报价明细表</w:t>
      </w:r>
    </w:p>
    <w:p>
      <w:pPr>
        <w:spacing w:line="360" w:lineRule="auto"/>
        <w:rPr>
          <w:rFonts w:ascii="宋体" w:hAnsi="宋体"/>
          <w:b/>
          <w:sz w:val="24"/>
        </w:rPr>
      </w:pPr>
    </w:p>
    <w:p>
      <w:pPr>
        <w:spacing w:line="360" w:lineRule="auto"/>
        <w:rPr>
          <w:rFonts w:ascii="宋体" w:hAnsi="宋体"/>
          <w:b/>
          <w:sz w:val="24"/>
        </w:rPr>
      </w:pPr>
    </w:p>
    <w:p>
      <w:pPr>
        <w:spacing w:line="360" w:lineRule="auto"/>
        <w:rPr>
          <w:rFonts w:ascii="宋体" w:hAnsi="宋体"/>
          <w:bCs/>
          <w:sz w:val="24"/>
        </w:rPr>
      </w:pPr>
      <w:r>
        <w:rPr>
          <w:rFonts w:ascii="宋体" w:hAnsi="宋体"/>
          <w:bCs/>
          <w:sz w:val="24"/>
        </w:rPr>
        <w:t>投标人名称：                                      单位：元</w:t>
      </w:r>
    </w:p>
    <w:tbl>
      <w:tblPr>
        <w:tblStyle w:val="88"/>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61"/>
        <w:gridCol w:w="1329"/>
        <w:gridCol w:w="2171"/>
        <w:gridCol w:w="2612"/>
        <w:gridCol w:w="15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trPr>
        <w:tc>
          <w:tcPr>
            <w:tcW w:w="1461" w:type="dxa"/>
            <w:vAlign w:val="center"/>
          </w:tcPr>
          <w:p>
            <w:pPr>
              <w:spacing w:line="360" w:lineRule="auto"/>
              <w:jc w:val="center"/>
              <w:rPr>
                <w:rFonts w:ascii="宋体" w:hAnsi="宋体"/>
                <w:sz w:val="24"/>
              </w:rPr>
            </w:pPr>
            <w:r>
              <w:rPr>
                <w:rFonts w:hint="eastAsia" w:ascii="宋体" w:hAnsi="宋体"/>
                <w:sz w:val="24"/>
              </w:rPr>
              <w:t>序号</w:t>
            </w:r>
          </w:p>
        </w:tc>
        <w:tc>
          <w:tcPr>
            <w:tcW w:w="1329" w:type="dxa"/>
            <w:vAlign w:val="center"/>
          </w:tcPr>
          <w:p>
            <w:pPr>
              <w:spacing w:line="360" w:lineRule="auto"/>
              <w:jc w:val="center"/>
              <w:rPr>
                <w:rFonts w:ascii="宋体" w:hAnsi="宋体"/>
                <w:sz w:val="24"/>
              </w:rPr>
            </w:pPr>
            <w:r>
              <w:rPr>
                <w:rFonts w:hint="eastAsia" w:ascii="宋体" w:hAnsi="宋体"/>
                <w:sz w:val="24"/>
              </w:rPr>
              <w:t>品牌</w:t>
            </w:r>
          </w:p>
        </w:tc>
        <w:tc>
          <w:tcPr>
            <w:tcW w:w="2171" w:type="dxa"/>
            <w:vAlign w:val="center"/>
          </w:tcPr>
          <w:p>
            <w:pPr>
              <w:spacing w:line="360" w:lineRule="auto"/>
              <w:jc w:val="center"/>
              <w:rPr>
                <w:rFonts w:ascii="宋体" w:hAnsi="宋体"/>
                <w:sz w:val="24"/>
              </w:rPr>
            </w:pPr>
            <w:r>
              <w:rPr>
                <w:rFonts w:hint="eastAsia" w:ascii="宋体" w:hAnsi="宋体"/>
                <w:sz w:val="24"/>
              </w:rPr>
              <w:t>产品名称</w:t>
            </w:r>
          </w:p>
        </w:tc>
        <w:tc>
          <w:tcPr>
            <w:tcW w:w="2612" w:type="dxa"/>
            <w:vAlign w:val="center"/>
          </w:tcPr>
          <w:p>
            <w:pPr>
              <w:spacing w:line="360" w:lineRule="auto"/>
              <w:jc w:val="center"/>
              <w:rPr>
                <w:rFonts w:ascii="宋体" w:hAnsi="宋体"/>
                <w:sz w:val="24"/>
              </w:rPr>
            </w:pPr>
            <w:r>
              <w:rPr>
                <w:rFonts w:ascii="宋体" w:hAnsi="宋体"/>
                <w:sz w:val="24"/>
              </w:rPr>
              <w:t>单价</w:t>
            </w:r>
          </w:p>
        </w:tc>
        <w:tc>
          <w:tcPr>
            <w:tcW w:w="1535" w:type="dxa"/>
            <w:vAlign w:val="center"/>
          </w:tcPr>
          <w:p>
            <w:pPr>
              <w:spacing w:line="360" w:lineRule="auto"/>
              <w:jc w:val="center"/>
              <w:rPr>
                <w:rFonts w:ascii="宋体" w:hAnsi="宋体"/>
                <w:sz w:val="24"/>
              </w:rPr>
            </w:pPr>
            <w:r>
              <w:rPr>
                <w:rFonts w:hint="eastAsia" w:ascii="宋体" w:hAnsi="宋体"/>
                <w:sz w:val="24"/>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5" w:hRule="atLeast"/>
        </w:trPr>
        <w:tc>
          <w:tcPr>
            <w:tcW w:w="1461" w:type="dxa"/>
            <w:vAlign w:val="center"/>
          </w:tcPr>
          <w:p>
            <w:pPr>
              <w:spacing w:line="360" w:lineRule="auto"/>
              <w:jc w:val="center"/>
              <w:rPr>
                <w:rFonts w:ascii="宋体" w:hAnsi="宋体"/>
                <w:sz w:val="24"/>
              </w:rPr>
            </w:pPr>
            <w:r>
              <w:rPr>
                <w:rFonts w:ascii="宋体" w:hAnsi="宋体"/>
                <w:sz w:val="24"/>
              </w:rPr>
              <w:t>1</w:t>
            </w:r>
          </w:p>
        </w:tc>
        <w:tc>
          <w:tcPr>
            <w:tcW w:w="1329" w:type="dxa"/>
            <w:vAlign w:val="center"/>
          </w:tcPr>
          <w:p>
            <w:pPr>
              <w:spacing w:line="360" w:lineRule="auto"/>
              <w:jc w:val="center"/>
              <w:rPr>
                <w:rFonts w:ascii="宋体" w:hAnsi="宋体"/>
                <w:sz w:val="24"/>
                <w:szCs w:val="22"/>
              </w:rPr>
            </w:pPr>
          </w:p>
        </w:tc>
        <w:tc>
          <w:tcPr>
            <w:tcW w:w="2171" w:type="dxa"/>
            <w:vAlign w:val="center"/>
          </w:tcPr>
          <w:p>
            <w:pPr>
              <w:spacing w:line="360" w:lineRule="auto"/>
              <w:jc w:val="center"/>
              <w:rPr>
                <w:rFonts w:ascii="宋体" w:hAnsi="宋体"/>
                <w:sz w:val="24"/>
              </w:rPr>
            </w:pPr>
          </w:p>
        </w:tc>
        <w:tc>
          <w:tcPr>
            <w:tcW w:w="2612" w:type="dxa"/>
            <w:vAlign w:val="center"/>
          </w:tcPr>
          <w:p>
            <w:pPr>
              <w:spacing w:line="360" w:lineRule="auto"/>
              <w:jc w:val="center"/>
              <w:rPr>
                <w:rFonts w:ascii="宋体" w:hAnsi="宋体"/>
                <w:sz w:val="24"/>
              </w:rPr>
            </w:pPr>
          </w:p>
        </w:tc>
        <w:tc>
          <w:tcPr>
            <w:tcW w:w="1535" w:type="dxa"/>
            <w:vAlign w:val="center"/>
          </w:tcPr>
          <w:p>
            <w:pPr>
              <w:spacing w:line="360" w:lineRule="auto"/>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5" w:hRule="atLeast"/>
        </w:trPr>
        <w:tc>
          <w:tcPr>
            <w:tcW w:w="1461" w:type="dxa"/>
            <w:vAlign w:val="center"/>
          </w:tcPr>
          <w:p>
            <w:pPr>
              <w:spacing w:line="360" w:lineRule="auto"/>
              <w:jc w:val="center"/>
              <w:rPr>
                <w:rFonts w:ascii="宋体" w:hAnsi="宋体"/>
                <w:sz w:val="24"/>
              </w:rPr>
            </w:pPr>
            <w:r>
              <w:rPr>
                <w:rFonts w:ascii="宋体" w:hAnsi="宋体"/>
                <w:sz w:val="24"/>
              </w:rPr>
              <w:t>2</w:t>
            </w:r>
          </w:p>
        </w:tc>
        <w:tc>
          <w:tcPr>
            <w:tcW w:w="1329" w:type="dxa"/>
            <w:vAlign w:val="center"/>
          </w:tcPr>
          <w:p>
            <w:pPr>
              <w:spacing w:line="360" w:lineRule="auto"/>
              <w:jc w:val="center"/>
              <w:rPr>
                <w:rFonts w:ascii="宋体" w:hAnsi="宋体"/>
                <w:sz w:val="24"/>
                <w:szCs w:val="22"/>
              </w:rPr>
            </w:pPr>
          </w:p>
        </w:tc>
        <w:tc>
          <w:tcPr>
            <w:tcW w:w="2171" w:type="dxa"/>
            <w:vAlign w:val="center"/>
          </w:tcPr>
          <w:p>
            <w:pPr>
              <w:spacing w:line="360" w:lineRule="auto"/>
              <w:jc w:val="center"/>
              <w:rPr>
                <w:rFonts w:ascii="宋体" w:hAnsi="宋体"/>
                <w:sz w:val="24"/>
              </w:rPr>
            </w:pPr>
          </w:p>
        </w:tc>
        <w:tc>
          <w:tcPr>
            <w:tcW w:w="2612" w:type="dxa"/>
            <w:vAlign w:val="center"/>
          </w:tcPr>
          <w:p>
            <w:pPr>
              <w:spacing w:line="360" w:lineRule="auto"/>
              <w:jc w:val="center"/>
              <w:rPr>
                <w:rFonts w:ascii="宋体" w:hAnsi="宋体"/>
                <w:sz w:val="24"/>
              </w:rPr>
            </w:pPr>
          </w:p>
        </w:tc>
        <w:tc>
          <w:tcPr>
            <w:tcW w:w="1535" w:type="dxa"/>
            <w:vAlign w:val="center"/>
          </w:tcPr>
          <w:p>
            <w:pPr>
              <w:spacing w:line="360" w:lineRule="auto"/>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trPr>
        <w:tc>
          <w:tcPr>
            <w:tcW w:w="1461" w:type="dxa"/>
            <w:vAlign w:val="center"/>
          </w:tcPr>
          <w:p>
            <w:pPr>
              <w:spacing w:line="360" w:lineRule="auto"/>
              <w:jc w:val="center"/>
              <w:rPr>
                <w:rFonts w:ascii="宋体" w:hAnsi="宋体"/>
                <w:sz w:val="24"/>
              </w:rPr>
            </w:pPr>
            <w:r>
              <w:rPr>
                <w:rFonts w:ascii="宋体" w:hAnsi="宋体"/>
                <w:sz w:val="24"/>
              </w:rPr>
              <w:t>3</w:t>
            </w:r>
          </w:p>
        </w:tc>
        <w:tc>
          <w:tcPr>
            <w:tcW w:w="1329" w:type="dxa"/>
            <w:vAlign w:val="center"/>
          </w:tcPr>
          <w:p>
            <w:pPr>
              <w:spacing w:line="360" w:lineRule="auto"/>
              <w:jc w:val="center"/>
              <w:rPr>
                <w:rFonts w:ascii="宋体" w:hAnsi="宋体"/>
                <w:sz w:val="24"/>
                <w:szCs w:val="22"/>
              </w:rPr>
            </w:pPr>
          </w:p>
        </w:tc>
        <w:tc>
          <w:tcPr>
            <w:tcW w:w="2171" w:type="dxa"/>
            <w:vAlign w:val="center"/>
          </w:tcPr>
          <w:p>
            <w:pPr>
              <w:spacing w:line="360" w:lineRule="auto"/>
              <w:jc w:val="center"/>
              <w:rPr>
                <w:rFonts w:ascii="宋体" w:hAnsi="宋体"/>
                <w:sz w:val="24"/>
              </w:rPr>
            </w:pPr>
          </w:p>
        </w:tc>
        <w:tc>
          <w:tcPr>
            <w:tcW w:w="2612" w:type="dxa"/>
            <w:vAlign w:val="center"/>
          </w:tcPr>
          <w:p>
            <w:pPr>
              <w:spacing w:line="360" w:lineRule="auto"/>
              <w:jc w:val="center"/>
              <w:rPr>
                <w:rFonts w:ascii="宋体" w:hAnsi="宋体"/>
                <w:sz w:val="24"/>
              </w:rPr>
            </w:pPr>
          </w:p>
        </w:tc>
        <w:tc>
          <w:tcPr>
            <w:tcW w:w="1535" w:type="dxa"/>
            <w:vAlign w:val="center"/>
          </w:tcPr>
          <w:p>
            <w:pPr>
              <w:spacing w:line="360" w:lineRule="auto"/>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trPr>
        <w:tc>
          <w:tcPr>
            <w:tcW w:w="1461" w:type="dxa"/>
            <w:vAlign w:val="center"/>
          </w:tcPr>
          <w:p>
            <w:pPr>
              <w:spacing w:line="360" w:lineRule="auto"/>
              <w:jc w:val="center"/>
              <w:rPr>
                <w:rFonts w:ascii="宋体" w:hAnsi="宋体"/>
                <w:sz w:val="24"/>
              </w:rPr>
            </w:pPr>
            <w:r>
              <w:rPr>
                <w:rFonts w:ascii="宋体" w:hAnsi="宋体"/>
                <w:sz w:val="24"/>
              </w:rPr>
              <w:t>4</w:t>
            </w:r>
          </w:p>
        </w:tc>
        <w:tc>
          <w:tcPr>
            <w:tcW w:w="1329" w:type="dxa"/>
            <w:vAlign w:val="center"/>
          </w:tcPr>
          <w:p>
            <w:pPr>
              <w:spacing w:line="360" w:lineRule="auto"/>
              <w:jc w:val="center"/>
              <w:rPr>
                <w:rFonts w:ascii="宋体" w:hAnsi="宋体"/>
                <w:sz w:val="24"/>
                <w:szCs w:val="22"/>
              </w:rPr>
            </w:pPr>
          </w:p>
        </w:tc>
        <w:tc>
          <w:tcPr>
            <w:tcW w:w="2171" w:type="dxa"/>
            <w:vAlign w:val="center"/>
          </w:tcPr>
          <w:p>
            <w:pPr>
              <w:spacing w:line="360" w:lineRule="auto"/>
              <w:jc w:val="center"/>
              <w:rPr>
                <w:rFonts w:ascii="宋体" w:hAnsi="宋体"/>
                <w:sz w:val="24"/>
              </w:rPr>
            </w:pPr>
          </w:p>
        </w:tc>
        <w:tc>
          <w:tcPr>
            <w:tcW w:w="2612" w:type="dxa"/>
            <w:vAlign w:val="center"/>
          </w:tcPr>
          <w:p>
            <w:pPr>
              <w:spacing w:line="360" w:lineRule="auto"/>
              <w:jc w:val="center"/>
              <w:rPr>
                <w:rFonts w:ascii="宋体" w:hAnsi="宋体"/>
                <w:sz w:val="24"/>
              </w:rPr>
            </w:pPr>
          </w:p>
        </w:tc>
        <w:tc>
          <w:tcPr>
            <w:tcW w:w="1535" w:type="dxa"/>
            <w:vAlign w:val="center"/>
          </w:tcPr>
          <w:p>
            <w:pPr>
              <w:spacing w:line="360" w:lineRule="auto"/>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trPr>
        <w:tc>
          <w:tcPr>
            <w:tcW w:w="1461" w:type="dxa"/>
            <w:vAlign w:val="center"/>
          </w:tcPr>
          <w:p>
            <w:pPr>
              <w:spacing w:line="360" w:lineRule="auto"/>
              <w:jc w:val="center"/>
              <w:rPr>
                <w:rFonts w:ascii="宋体" w:hAnsi="宋体"/>
                <w:sz w:val="24"/>
              </w:rPr>
            </w:pPr>
            <w:r>
              <w:rPr>
                <w:rFonts w:ascii="宋体" w:hAnsi="宋体"/>
                <w:sz w:val="24"/>
              </w:rPr>
              <w:t>5</w:t>
            </w:r>
          </w:p>
        </w:tc>
        <w:tc>
          <w:tcPr>
            <w:tcW w:w="1329" w:type="dxa"/>
            <w:vAlign w:val="center"/>
          </w:tcPr>
          <w:p>
            <w:pPr>
              <w:spacing w:line="360" w:lineRule="auto"/>
              <w:jc w:val="center"/>
              <w:rPr>
                <w:rFonts w:ascii="宋体" w:hAnsi="宋体"/>
                <w:sz w:val="24"/>
                <w:szCs w:val="22"/>
              </w:rPr>
            </w:pPr>
          </w:p>
        </w:tc>
        <w:tc>
          <w:tcPr>
            <w:tcW w:w="2171" w:type="dxa"/>
            <w:vAlign w:val="center"/>
          </w:tcPr>
          <w:p>
            <w:pPr>
              <w:spacing w:line="360" w:lineRule="auto"/>
              <w:jc w:val="center"/>
              <w:rPr>
                <w:rFonts w:ascii="宋体" w:hAnsi="宋体"/>
                <w:sz w:val="24"/>
              </w:rPr>
            </w:pPr>
          </w:p>
        </w:tc>
        <w:tc>
          <w:tcPr>
            <w:tcW w:w="2612" w:type="dxa"/>
            <w:vAlign w:val="center"/>
          </w:tcPr>
          <w:p>
            <w:pPr>
              <w:spacing w:line="360" w:lineRule="auto"/>
              <w:jc w:val="center"/>
              <w:rPr>
                <w:rFonts w:ascii="宋体" w:hAnsi="宋体"/>
                <w:sz w:val="24"/>
              </w:rPr>
            </w:pPr>
          </w:p>
        </w:tc>
        <w:tc>
          <w:tcPr>
            <w:tcW w:w="1535" w:type="dxa"/>
            <w:vAlign w:val="center"/>
          </w:tcPr>
          <w:p>
            <w:pPr>
              <w:spacing w:line="360" w:lineRule="auto"/>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trPr>
        <w:tc>
          <w:tcPr>
            <w:tcW w:w="1461" w:type="dxa"/>
            <w:vAlign w:val="center"/>
          </w:tcPr>
          <w:p>
            <w:pPr>
              <w:spacing w:line="360" w:lineRule="auto"/>
              <w:jc w:val="center"/>
              <w:rPr>
                <w:rFonts w:ascii="宋体" w:hAnsi="宋体"/>
                <w:sz w:val="24"/>
              </w:rPr>
            </w:pPr>
            <w:r>
              <w:rPr>
                <w:rFonts w:ascii="宋体" w:hAnsi="宋体"/>
                <w:sz w:val="24"/>
              </w:rPr>
              <w:t>6</w:t>
            </w:r>
          </w:p>
        </w:tc>
        <w:tc>
          <w:tcPr>
            <w:tcW w:w="1329" w:type="dxa"/>
            <w:vAlign w:val="center"/>
          </w:tcPr>
          <w:p>
            <w:pPr>
              <w:spacing w:line="360" w:lineRule="auto"/>
              <w:jc w:val="center"/>
              <w:rPr>
                <w:rFonts w:ascii="宋体" w:hAnsi="宋体"/>
                <w:sz w:val="24"/>
                <w:szCs w:val="22"/>
              </w:rPr>
            </w:pPr>
          </w:p>
        </w:tc>
        <w:tc>
          <w:tcPr>
            <w:tcW w:w="2171" w:type="dxa"/>
            <w:vAlign w:val="center"/>
          </w:tcPr>
          <w:p>
            <w:pPr>
              <w:spacing w:line="360" w:lineRule="auto"/>
              <w:jc w:val="center"/>
              <w:rPr>
                <w:rFonts w:ascii="宋体" w:hAnsi="宋体"/>
                <w:sz w:val="24"/>
              </w:rPr>
            </w:pPr>
          </w:p>
        </w:tc>
        <w:tc>
          <w:tcPr>
            <w:tcW w:w="2612" w:type="dxa"/>
            <w:vAlign w:val="center"/>
          </w:tcPr>
          <w:p>
            <w:pPr>
              <w:spacing w:line="360" w:lineRule="auto"/>
              <w:jc w:val="center"/>
              <w:rPr>
                <w:rFonts w:ascii="宋体" w:hAnsi="宋体"/>
                <w:sz w:val="24"/>
              </w:rPr>
            </w:pPr>
          </w:p>
        </w:tc>
        <w:tc>
          <w:tcPr>
            <w:tcW w:w="1535" w:type="dxa"/>
            <w:vAlign w:val="center"/>
          </w:tcPr>
          <w:p>
            <w:pPr>
              <w:spacing w:line="360" w:lineRule="auto"/>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trPr>
        <w:tc>
          <w:tcPr>
            <w:tcW w:w="1461" w:type="dxa"/>
            <w:vAlign w:val="center"/>
          </w:tcPr>
          <w:p>
            <w:pPr>
              <w:spacing w:line="360" w:lineRule="auto"/>
              <w:jc w:val="center"/>
              <w:rPr>
                <w:rFonts w:ascii="宋体" w:hAnsi="宋体"/>
                <w:sz w:val="24"/>
              </w:rPr>
            </w:pPr>
            <w:r>
              <w:rPr>
                <w:rFonts w:ascii="宋体" w:hAnsi="宋体"/>
                <w:sz w:val="24"/>
              </w:rPr>
              <w:t>7</w:t>
            </w:r>
          </w:p>
        </w:tc>
        <w:tc>
          <w:tcPr>
            <w:tcW w:w="1329" w:type="dxa"/>
            <w:vAlign w:val="center"/>
          </w:tcPr>
          <w:p>
            <w:pPr>
              <w:spacing w:line="360" w:lineRule="auto"/>
              <w:jc w:val="center"/>
              <w:rPr>
                <w:rFonts w:ascii="宋体" w:hAnsi="宋体"/>
                <w:sz w:val="24"/>
                <w:szCs w:val="22"/>
              </w:rPr>
            </w:pPr>
          </w:p>
        </w:tc>
        <w:tc>
          <w:tcPr>
            <w:tcW w:w="2171" w:type="dxa"/>
            <w:vAlign w:val="center"/>
          </w:tcPr>
          <w:p>
            <w:pPr>
              <w:spacing w:line="360" w:lineRule="auto"/>
              <w:jc w:val="center"/>
              <w:rPr>
                <w:rFonts w:ascii="宋体" w:hAnsi="宋体"/>
                <w:sz w:val="24"/>
              </w:rPr>
            </w:pPr>
          </w:p>
        </w:tc>
        <w:tc>
          <w:tcPr>
            <w:tcW w:w="2612" w:type="dxa"/>
            <w:vAlign w:val="center"/>
          </w:tcPr>
          <w:p>
            <w:pPr>
              <w:spacing w:line="360" w:lineRule="auto"/>
              <w:jc w:val="center"/>
              <w:rPr>
                <w:rFonts w:ascii="宋体" w:hAnsi="宋体"/>
                <w:sz w:val="24"/>
              </w:rPr>
            </w:pPr>
          </w:p>
        </w:tc>
        <w:tc>
          <w:tcPr>
            <w:tcW w:w="1535" w:type="dxa"/>
            <w:vAlign w:val="center"/>
          </w:tcPr>
          <w:p>
            <w:pPr>
              <w:spacing w:line="360" w:lineRule="auto"/>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trPr>
        <w:tc>
          <w:tcPr>
            <w:tcW w:w="1461" w:type="dxa"/>
            <w:vAlign w:val="center"/>
          </w:tcPr>
          <w:p>
            <w:pPr>
              <w:spacing w:line="360" w:lineRule="auto"/>
              <w:jc w:val="center"/>
              <w:rPr>
                <w:rFonts w:ascii="宋体" w:hAnsi="宋体"/>
                <w:sz w:val="24"/>
              </w:rPr>
            </w:pPr>
            <w:r>
              <w:rPr>
                <w:rFonts w:ascii="宋体" w:hAnsi="宋体"/>
                <w:sz w:val="24"/>
              </w:rPr>
              <w:t>…</w:t>
            </w:r>
          </w:p>
        </w:tc>
        <w:tc>
          <w:tcPr>
            <w:tcW w:w="1329" w:type="dxa"/>
            <w:vAlign w:val="center"/>
          </w:tcPr>
          <w:p>
            <w:pPr>
              <w:spacing w:line="360" w:lineRule="auto"/>
              <w:jc w:val="center"/>
              <w:rPr>
                <w:rFonts w:ascii="宋体" w:hAnsi="宋体"/>
                <w:sz w:val="24"/>
                <w:szCs w:val="22"/>
              </w:rPr>
            </w:pPr>
          </w:p>
        </w:tc>
        <w:tc>
          <w:tcPr>
            <w:tcW w:w="2171" w:type="dxa"/>
            <w:vAlign w:val="center"/>
          </w:tcPr>
          <w:p>
            <w:pPr>
              <w:spacing w:line="360" w:lineRule="auto"/>
              <w:jc w:val="center"/>
              <w:rPr>
                <w:rFonts w:ascii="宋体" w:hAnsi="宋体"/>
                <w:sz w:val="24"/>
                <w:szCs w:val="22"/>
              </w:rPr>
            </w:pPr>
          </w:p>
        </w:tc>
        <w:tc>
          <w:tcPr>
            <w:tcW w:w="2612" w:type="dxa"/>
            <w:vAlign w:val="center"/>
          </w:tcPr>
          <w:p>
            <w:pPr>
              <w:spacing w:line="360" w:lineRule="auto"/>
              <w:jc w:val="center"/>
              <w:rPr>
                <w:rFonts w:ascii="宋体" w:hAnsi="宋体"/>
                <w:sz w:val="24"/>
              </w:rPr>
            </w:pPr>
          </w:p>
        </w:tc>
        <w:tc>
          <w:tcPr>
            <w:tcW w:w="1535" w:type="dxa"/>
            <w:vAlign w:val="center"/>
          </w:tcPr>
          <w:p>
            <w:pPr>
              <w:spacing w:line="360" w:lineRule="auto"/>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0" w:hRule="atLeast"/>
        </w:trPr>
        <w:tc>
          <w:tcPr>
            <w:tcW w:w="4961" w:type="dxa"/>
            <w:gridSpan w:val="3"/>
            <w:vAlign w:val="center"/>
          </w:tcPr>
          <w:p>
            <w:pPr>
              <w:spacing w:line="360" w:lineRule="auto"/>
              <w:jc w:val="center"/>
              <w:rPr>
                <w:rFonts w:ascii="宋体" w:hAnsi="宋体"/>
                <w:sz w:val="24"/>
              </w:rPr>
            </w:pPr>
            <w:r>
              <w:rPr>
                <w:rFonts w:ascii="宋体" w:hAnsi="宋体"/>
                <w:b/>
                <w:sz w:val="22"/>
                <w:szCs w:val="22"/>
              </w:rPr>
              <w:t>投标</w:t>
            </w:r>
            <w:r>
              <w:rPr>
                <w:rFonts w:hint="eastAsia" w:ascii="宋体" w:hAnsi="宋体"/>
                <w:b/>
                <w:sz w:val="22"/>
                <w:szCs w:val="22"/>
              </w:rPr>
              <w:t>合计</w:t>
            </w:r>
            <w:r>
              <w:rPr>
                <w:rFonts w:ascii="宋体" w:hAnsi="宋体"/>
                <w:b/>
                <w:sz w:val="22"/>
                <w:szCs w:val="22"/>
              </w:rPr>
              <w:t>总价</w:t>
            </w:r>
            <w:r>
              <w:rPr>
                <w:rFonts w:hint="eastAsia" w:ascii="宋体" w:hAnsi="宋体"/>
                <w:b/>
                <w:sz w:val="22"/>
                <w:szCs w:val="22"/>
              </w:rPr>
              <w:t>：</w:t>
            </w:r>
          </w:p>
        </w:tc>
        <w:tc>
          <w:tcPr>
            <w:tcW w:w="2612" w:type="dxa"/>
            <w:vAlign w:val="center"/>
          </w:tcPr>
          <w:p>
            <w:pPr>
              <w:spacing w:line="360" w:lineRule="auto"/>
              <w:jc w:val="center"/>
              <w:rPr>
                <w:rFonts w:ascii="宋体" w:hAnsi="宋体"/>
                <w:bCs/>
                <w:szCs w:val="21"/>
              </w:rPr>
            </w:pPr>
          </w:p>
        </w:tc>
        <w:tc>
          <w:tcPr>
            <w:tcW w:w="1535" w:type="dxa"/>
            <w:vAlign w:val="center"/>
          </w:tcPr>
          <w:p>
            <w:pPr>
              <w:spacing w:line="360" w:lineRule="auto"/>
              <w:jc w:val="center"/>
              <w:rPr>
                <w:rFonts w:ascii="宋体" w:hAnsi="宋体"/>
                <w:sz w:val="24"/>
              </w:rPr>
            </w:pPr>
          </w:p>
        </w:tc>
      </w:tr>
    </w:tbl>
    <w:p>
      <w:pPr>
        <w:pStyle w:val="57"/>
        <w:pBdr>
          <w:bottom w:val="none" w:color="auto" w:sz="0" w:space="0"/>
        </w:pBdr>
        <w:tabs>
          <w:tab w:val="left" w:pos="420"/>
        </w:tabs>
        <w:snapToGrid/>
        <w:spacing w:line="360" w:lineRule="auto"/>
        <w:jc w:val="both"/>
        <w:rPr>
          <w:rFonts w:ascii="宋体" w:hAnsi="宋体"/>
          <w:sz w:val="21"/>
          <w:szCs w:val="21"/>
        </w:rPr>
      </w:pPr>
    </w:p>
    <w:p>
      <w:pPr>
        <w:pStyle w:val="57"/>
        <w:pBdr>
          <w:bottom w:val="none" w:color="auto" w:sz="0" w:space="0"/>
        </w:pBdr>
        <w:tabs>
          <w:tab w:val="left" w:pos="420"/>
        </w:tabs>
        <w:snapToGrid/>
        <w:spacing w:line="360" w:lineRule="auto"/>
        <w:ind w:left="630" w:hanging="630" w:hangingChars="300"/>
        <w:jc w:val="both"/>
        <w:rPr>
          <w:rFonts w:ascii="宋体" w:hAnsi="宋体"/>
          <w:bCs/>
          <w:sz w:val="21"/>
          <w:szCs w:val="21"/>
          <w:shd w:val="pct10" w:color="auto" w:fill="FFFFFF"/>
        </w:rPr>
      </w:pPr>
      <w:r>
        <w:rPr>
          <w:rFonts w:ascii="宋体" w:hAnsi="宋体"/>
          <w:sz w:val="21"/>
          <w:szCs w:val="21"/>
        </w:rPr>
        <w:t>注：1. 此表</w:t>
      </w:r>
      <w:r>
        <w:rPr>
          <w:rFonts w:hint="eastAsia" w:ascii="宋体" w:hAnsi="宋体"/>
          <w:sz w:val="21"/>
          <w:szCs w:val="21"/>
        </w:rPr>
        <w:t>须</w:t>
      </w:r>
      <w:r>
        <w:rPr>
          <w:rFonts w:ascii="宋体" w:hAnsi="宋体"/>
          <w:sz w:val="21"/>
          <w:szCs w:val="21"/>
        </w:rPr>
        <w:t>详列</w:t>
      </w:r>
      <w:r>
        <w:rPr>
          <w:rFonts w:hint="eastAsia" w:ascii="宋体" w:hAnsi="宋体"/>
          <w:sz w:val="21"/>
          <w:szCs w:val="21"/>
        </w:rPr>
        <w:t>招标文件</w:t>
      </w:r>
      <w:r>
        <w:rPr>
          <w:rFonts w:hint="eastAsia" w:ascii="宋体" w:hAnsi="宋体"/>
          <w:b/>
          <w:bCs/>
          <w:sz w:val="21"/>
          <w:szCs w:val="21"/>
        </w:rPr>
        <w:t>“第三部分采购内容及技术要求”</w:t>
      </w:r>
      <w:r>
        <w:rPr>
          <w:rFonts w:hint="eastAsia" w:ascii="宋体" w:hAnsi="宋体"/>
          <w:sz w:val="21"/>
          <w:szCs w:val="21"/>
        </w:rPr>
        <w:t>中的</w:t>
      </w:r>
      <w:r>
        <w:rPr>
          <w:rFonts w:ascii="宋体" w:hAnsi="宋体"/>
          <w:sz w:val="21"/>
          <w:szCs w:val="21"/>
        </w:rPr>
        <w:t>每种产品。</w:t>
      </w:r>
      <w:r>
        <w:rPr>
          <w:rFonts w:hint="eastAsia" w:ascii="宋体" w:hAnsi="宋体"/>
          <w:sz w:val="21"/>
          <w:szCs w:val="21"/>
        </w:rPr>
        <w:t>（所有品名的产品需要全部例入单价并计算出单价合计的总价）。</w:t>
      </w:r>
    </w:p>
    <w:p>
      <w:pPr>
        <w:pStyle w:val="57"/>
        <w:numPr>
          <w:ilvl w:val="0"/>
          <w:numId w:val="17"/>
        </w:numPr>
        <w:pBdr>
          <w:bottom w:val="none" w:color="auto" w:sz="0" w:space="0"/>
        </w:pBdr>
        <w:tabs>
          <w:tab w:val="clear" w:pos="4153"/>
          <w:tab w:val="clear" w:pos="8306"/>
        </w:tabs>
        <w:snapToGrid/>
        <w:spacing w:line="360" w:lineRule="auto"/>
        <w:jc w:val="both"/>
        <w:rPr>
          <w:rFonts w:ascii="宋体" w:hAnsi="宋体"/>
          <w:bCs/>
          <w:sz w:val="21"/>
          <w:szCs w:val="21"/>
        </w:rPr>
      </w:pPr>
      <w:r>
        <w:rPr>
          <w:rFonts w:ascii="宋体" w:hAnsi="宋体"/>
          <w:bCs/>
          <w:sz w:val="21"/>
          <w:szCs w:val="21"/>
        </w:rPr>
        <w:t>此表中的投标</w:t>
      </w:r>
      <w:r>
        <w:rPr>
          <w:rFonts w:hint="eastAsia" w:ascii="宋体" w:hAnsi="宋体"/>
          <w:bCs/>
          <w:sz w:val="21"/>
          <w:szCs w:val="21"/>
        </w:rPr>
        <w:t>合计</w:t>
      </w:r>
      <w:r>
        <w:rPr>
          <w:rFonts w:ascii="宋体" w:hAnsi="宋体"/>
          <w:bCs/>
          <w:sz w:val="21"/>
          <w:szCs w:val="21"/>
        </w:rPr>
        <w:t>总价必须与开标一览表中的投标总价一致。</w:t>
      </w:r>
    </w:p>
    <w:p>
      <w:pPr>
        <w:spacing w:line="360" w:lineRule="auto"/>
        <w:ind w:left="2880" w:hanging="2880"/>
        <w:rPr>
          <w:rFonts w:ascii="宋体" w:hAnsi="宋体"/>
          <w:sz w:val="24"/>
          <w:u w:val="single"/>
        </w:rPr>
      </w:pPr>
    </w:p>
    <w:p>
      <w:pPr>
        <w:spacing w:line="360" w:lineRule="auto"/>
        <w:rPr>
          <w:rFonts w:ascii="宋体" w:hAnsi="宋体"/>
          <w:sz w:val="24"/>
        </w:rPr>
      </w:pPr>
    </w:p>
    <w:p>
      <w:pPr>
        <w:pStyle w:val="34"/>
        <w:spacing w:after="0" w:line="360" w:lineRule="auto"/>
        <w:ind w:firstLine="3840" w:firstLineChars="1600"/>
        <w:rPr>
          <w:rFonts w:ascii="宋体" w:hAnsi="宋体"/>
          <w:bCs/>
          <w:sz w:val="24"/>
          <w:u w:val="single"/>
        </w:rPr>
      </w:pPr>
      <w:r>
        <w:rPr>
          <w:rFonts w:ascii="宋体" w:hAnsi="宋体"/>
          <w:bCs/>
          <w:sz w:val="24"/>
        </w:rPr>
        <w:t>投标单位：</w:t>
      </w:r>
      <w:r>
        <w:rPr>
          <w:rFonts w:ascii="宋体" w:hAnsi="宋体"/>
          <w:bCs/>
          <w:sz w:val="24"/>
          <w:u w:val="single"/>
        </w:rPr>
        <w:t xml:space="preserve">   （全称）（盖章）   </w:t>
      </w:r>
    </w:p>
    <w:p>
      <w:pPr>
        <w:pStyle w:val="34"/>
        <w:spacing w:after="0" w:line="360" w:lineRule="auto"/>
        <w:ind w:firstLine="3840" w:firstLineChars="1600"/>
        <w:rPr>
          <w:rFonts w:ascii="宋体" w:hAnsi="宋体"/>
          <w:bCs/>
          <w:sz w:val="24"/>
        </w:rPr>
      </w:pPr>
      <w:r>
        <w:rPr>
          <w:rFonts w:ascii="宋体" w:hAnsi="宋体"/>
          <w:bCs/>
          <w:sz w:val="24"/>
        </w:rPr>
        <w:t>法定代表人或委托代理人：</w:t>
      </w:r>
      <w:r>
        <w:rPr>
          <w:rFonts w:ascii="宋体" w:hAnsi="宋体"/>
          <w:bCs/>
          <w:sz w:val="24"/>
          <w:u w:val="single"/>
        </w:rPr>
        <w:t>（签字或盖章）</w:t>
      </w:r>
    </w:p>
    <w:p>
      <w:pPr>
        <w:pStyle w:val="34"/>
        <w:spacing w:after="0" w:line="360" w:lineRule="auto"/>
        <w:ind w:firstLine="3840" w:firstLineChars="1600"/>
        <w:rPr>
          <w:rFonts w:ascii="宋体" w:hAnsi="宋体"/>
          <w:bCs/>
          <w:sz w:val="24"/>
        </w:rPr>
      </w:pPr>
      <w:r>
        <w:rPr>
          <w:rFonts w:ascii="宋体" w:hAnsi="宋体"/>
          <w:bCs/>
          <w:sz w:val="24"/>
        </w:rPr>
        <w:t>日 期：20</w:t>
      </w:r>
      <w:r>
        <w:rPr>
          <w:rFonts w:ascii="宋体" w:hAnsi="宋体"/>
          <w:bCs/>
          <w:sz w:val="24"/>
          <w:u w:val="single"/>
        </w:rPr>
        <w:t>　　</w:t>
      </w:r>
      <w:r>
        <w:rPr>
          <w:rFonts w:ascii="宋体" w:hAnsi="宋体"/>
          <w:bCs/>
          <w:sz w:val="24"/>
        </w:rPr>
        <w:t>年</w:t>
      </w:r>
      <w:r>
        <w:rPr>
          <w:rFonts w:ascii="宋体" w:hAnsi="宋体"/>
          <w:bCs/>
          <w:sz w:val="24"/>
          <w:u w:val="single"/>
        </w:rPr>
        <w:t>　</w:t>
      </w:r>
      <w:r>
        <w:rPr>
          <w:rFonts w:ascii="宋体" w:hAnsi="宋体"/>
          <w:bCs/>
          <w:sz w:val="24"/>
        </w:rPr>
        <w:t>月日</w:t>
      </w:r>
    </w:p>
    <w:p>
      <w:pPr>
        <w:spacing w:line="360" w:lineRule="auto"/>
        <w:rPr>
          <w:rFonts w:ascii="宋体" w:hAnsi="宋体"/>
          <w:sz w:val="28"/>
          <w:szCs w:val="28"/>
        </w:rPr>
      </w:pPr>
    </w:p>
    <w:p>
      <w:pPr>
        <w:spacing w:line="360" w:lineRule="auto"/>
        <w:rPr>
          <w:rFonts w:ascii="宋体" w:hAnsi="宋体"/>
          <w:b/>
          <w:sz w:val="30"/>
          <w:szCs w:val="30"/>
        </w:rPr>
      </w:pPr>
    </w:p>
    <w:p>
      <w:pPr>
        <w:spacing w:line="360" w:lineRule="auto"/>
        <w:rPr>
          <w:rFonts w:ascii="宋体" w:hAnsi="宋体"/>
          <w:b/>
          <w:sz w:val="30"/>
          <w:szCs w:val="30"/>
        </w:rPr>
      </w:pPr>
    </w:p>
    <w:p>
      <w:pPr>
        <w:widowControl/>
        <w:spacing w:line="360" w:lineRule="auto"/>
        <w:jc w:val="left"/>
        <w:rPr>
          <w:rFonts w:ascii="宋体" w:hAnsi="宋体"/>
          <w:b/>
          <w:sz w:val="30"/>
          <w:szCs w:val="30"/>
        </w:rPr>
      </w:pPr>
      <w:r>
        <w:rPr>
          <w:rFonts w:ascii="宋体" w:hAnsi="宋体"/>
          <w:b/>
          <w:sz w:val="30"/>
          <w:szCs w:val="30"/>
        </w:rPr>
        <w:br w:type="page"/>
      </w:r>
    </w:p>
    <w:p>
      <w:pPr>
        <w:spacing w:line="360" w:lineRule="auto"/>
        <w:jc w:val="center"/>
        <w:outlineLvl w:val="0"/>
        <w:rPr>
          <w:rFonts w:ascii="宋体" w:hAnsi="宋体"/>
          <w:b/>
          <w:sz w:val="32"/>
        </w:rPr>
      </w:pPr>
      <w:r>
        <w:rPr>
          <w:rFonts w:ascii="宋体" w:hAnsi="宋体"/>
          <w:b/>
          <w:sz w:val="32"/>
        </w:rPr>
        <w:t>（四）投标保证金</w:t>
      </w:r>
    </w:p>
    <w:p>
      <w:pPr>
        <w:spacing w:line="360" w:lineRule="auto"/>
        <w:jc w:val="center"/>
        <w:rPr>
          <w:rFonts w:ascii="宋体" w:hAnsi="宋体"/>
          <w:b/>
          <w:sz w:val="30"/>
          <w:szCs w:val="30"/>
        </w:rPr>
      </w:pPr>
    </w:p>
    <w:p>
      <w:pPr>
        <w:spacing w:line="360" w:lineRule="auto"/>
        <w:jc w:val="center"/>
        <w:rPr>
          <w:rFonts w:ascii="宋体" w:hAnsi="宋体"/>
          <w:b/>
          <w:sz w:val="30"/>
          <w:szCs w:val="30"/>
        </w:rPr>
      </w:pPr>
    </w:p>
    <w:p>
      <w:pPr>
        <w:spacing w:line="360" w:lineRule="auto"/>
        <w:rPr>
          <w:rFonts w:ascii="宋体" w:hAnsi="宋体"/>
          <w:b/>
          <w:sz w:val="28"/>
          <w:szCs w:val="28"/>
        </w:rPr>
      </w:pPr>
    </w:p>
    <w:p>
      <w:pPr>
        <w:spacing w:line="360" w:lineRule="auto"/>
        <w:ind w:firstLine="508" w:firstLineChars="212"/>
        <w:rPr>
          <w:rFonts w:ascii="宋体" w:hAnsi="宋体" w:cs="宋体"/>
          <w:sz w:val="24"/>
        </w:rPr>
      </w:pPr>
      <w:r>
        <w:rPr>
          <w:rFonts w:hint="eastAsia" w:ascii="宋体" w:hAnsi="宋体" w:cs="宋体"/>
          <w:sz w:val="24"/>
        </w:rPr>
        <w:t>（投标人的投标保证金须确保到账，在制作投标文件时，可将电汇凭证复印件或网银转账电子凭证复印件粘贴在此处）。</w:t>
      </w:r>
    </w:p>
    <w:p>
      <w:pPr>
        <w:spacing w:line="360" w:lineRule="auto"/>
        <w:jc w:val="center"/>
        <w:rPr>
          <w:rFonts w:ascii="宋体" w:hAnsi="宋体" w:cs="宋体"/>
          <w:sz w:val="24"/>
        </w:rPr>
      </w:pPr>
    </w:p>
    <w:p>
      <w:pPr>
        <w:snapToGrid w:val="0"/>
        <w:spacing w:line="360" w:lineRule="auto"/>
        <w:ind w:right="56" w:firstLine="472" w:firstLineChars="196"/>
        <w:rPr>
          <w:rFonts w:ascii="宋体" w:hAnsi="宋体"/>
          <w:b/>
          <w:sz w:val="24"/>
        </w:rPr>
      </w:pPr>
    </w:p>
    <w:p>
      <w:pPr>
        <w:spacing w:line="360" w:lineRule="auto"/>
        <w:jc w:val="center"/>
        <w:rPr>
          <w:rFonts w:ascii="宋体" w:hAnsi="宋体"/>
          <w:sz w:val="24"/>
        </w:rPr>
      </w:pPr>
    </w:p>
    <w:p>
      <w:pPr>
        <w:spacing w:line="360" w:lineRule="auto"/>
        <w:jc w:val="center"/>
        <w:rPr>
          <w:rFonts w:ascii="宋体" w:hAnsi="宋体"/>
          <w:sz w:val="24"/>
        </w:rPr>
      </w:pPr>
    </w:p>
    <w:p>
      <w:pPr>
        <w:spacing w:line="360" w:lineRule="auto"/>
        <w:jc w:val="center"/>
        <w:rPr>
          <w:rFonts w:ascii="宋体" w:hAnsi="宋体"/>
          <w:sz w:val="24"/>
        </w:rPr>
      </w:pPr>
    </w:p>
    <w:p>
      <w:pPr>
        <w:spacing w:line="360" w:lineRule="auto"/>
        <w:jc w:val="center"/>
        <w:rPr>
          <w:rFonts w:ascii="宋体" w:hAnsi="宋体"/>
          <w:sz w:val="24"/>
        </w:rPr>
      </w:pPr>
    </w:p>
    <w:p>
      <w:pPr>
        <w:spacing w:line="360" w:lineRule="auto"/>
        <w:jc w:val="center"/>
        <w:rPr>
          <w:rFonts w:ascii="宋体" w:hAnsi="宋体"/>
          <w:sz w:val="24"/>
        </w:rPr>
      </w:pPr>
    </w:p>
    <w:p>
      <w:pPr>
        <w:spacing w:line="360" w:lineRule="auto"/>
        <w:jc w:val="center"/>
        <w:rPr>
          <w:rFonts w:ascii="宋体" w:hAnsi="宋体"/>
          <w:sz w:val="24"/>
        </w:rPr>
      </w:pPr>
    </w:p>
    <w:p>
      <w:pPr>
        <w:spacing w:line="360" w:lineRule="auto"/>
        <w:jc w:val="center"/>
        <w:rPr>
          <w:rFonts w:ascii="宋体" w:hAnsi="宋体"/>
          <w:sz w:val="24"/>
        </w:rPr>
      </w:pPr>
    </w:p>
    <w:p>
      <w:pPr>
        <w:spacing w:line="360" w:lineRule="auto"/>
        <w:jc w:val="center"/>
        <w:rPr>
          <w:rFonts w:ascii="宋体" w:hAnsi="宋体"/>
          <w:sz w:val="24"/>
        </w:rPr>
      </w:pPr>
    </w:p>
    <w:p>
      <w:pPr>
        <w:spacing w:line="360" w:lineRule="auto"/>
        <w:jc w:val="center"/>
        <w:rPr>
          <w:rFonts w:ascii="宋体" w:hAnsi="宋体"/>
          <w:sz w:val="24"/>
        </w:rPr>
      </w:pPr>
    </w:p>
    <w:p>
      <w:pPr>
        <w:spacing w:line="360" w:lineRule="auto"/>
        <w:jc w:val="center"/>
        <w:rPr>
          <w:rFonts w:ascii="宋体" w:hAnsi="宋体"/>
          <w:sz w:val="24"/>
        </w:rPr>
      </w:pPr>
    </w:p>
    <w:p>
      <w:pPr>
        <w:spacing w:line="360" w:lineRule="auto"/>
        <w:jc w:val="center"/>
        <w:rPr>
          <w:rFonts w:ascii="宋体" w:hAnsi="宋体"/>
          <w:sz w:val="24"/>
        </w:rPr>
      </w:pPr>
    </w:p>
    <w:p>
      <w:pPr>
        <w:spacing w:line="360" w:lineRule="auto"/>
        <w:jc w:val="center"/>
        <w:rPr>
          <w:rFonts w:ascii="宋体" w:hAnsi="宋体"/>
          <w:sz w:val="24"/>
        </w:rPr>
      </w:pPr>
    </w:p>
    <w:p>
      <w:pPr>
        <w:spacing w:line="360" w:lineRule="auto"/>
        <w:jc w:val="center"/>
        <w:rPr>
          <w:rFonts w:ascii="宋体" w:hAnsi="宋体"/>
          <w:sz w:val="24"/>
        </w:rPr>
      </w:pPr>
    </w:p>
    <w:p>
      <w:pPr>
        <w:spacing w:line="360" w:lineRule="auto"/>
        <w:jc w:val="center"/>
        <w:rPr>
          <w:rFonts w:ascii="宋体" w:hAnsi="宋体"/>
          <w:sz w:val="24"/>
        </w:rPr>
      </w:pPr>
    </w:p>
    <w:p>
      <w:pPr>
        <w:spacing w:line="360" w:lineRule="auto"/>
        <w:jc w:val="center"/>
        <w:rPr>
          <w:rFonts w:ascii="宋体" w:hAnsi="宋体"/>
          <w:sz w:val="24"/>
        </w:rPr>
      </w:pPr>
    </w:p>
    <w:p>
      <w:pPr>
        <w:spacing w:line="360" w:lineRule="auto"/>
        <w:jc w:val="center"/>
        <w:rPr>
          <w:rFonts w:ascii="宋体" w:hAnsi="宋体"/>
          <w:sz w:val="24"/>
        </w:rPr>
      </w:pPr>
    </w:p>
    <w:p>
      <w:pPr>
        <w:pStyle w:val="27"/>
        <w:spacing w:line="360" w:lineRule="auto"/>
        <w:rPr>
          <w:rFonts w:ascii="宋体" w:hAnsi="宋体"/>
        </w:rPr>
      </w:pPr>
    </w:p>
    <w:p>
      <w:pPr>
        <w:spacing w:line="360" w:lineRule="auto"/>
        <w:jc w:val="center"/>
        <w:rPr>
          <w:rFonts w:ascii="宋体" w:hAnsi="宋体"/>
          <w:sz w:val="24"/>
        </w:rPr>
      </w:pPr>
    </w:p>
    <w:p>
      <w:pPr>
        <w:widowControl/>
        <w:spacing w:line="360" w:lineRule="auto"/>
        <w:jc w:val="left"/>
        <w:rPr>
          <w:rFonts w:ascii="宋体" w:hAnsi="宋体"/>
          <w:sz w:val="24"/>
        </w:rPr>
      </w:pPr>
      <w:r>
        <w:rPr>
          <w:rFonts w:ascii="宋体" w:hAnsi="宋体"/>
          <w:sz w:val="24"/>
        </w:rPr>
        <w:br w:type="page"/>
      </w:r>
    </w:p>
    <w:p>
      <w:pPr>
        <w:spacing w:line="360" w:lineRule="auto"/>
        <w:rPr>
          <w:rFonts w:ascii="宋体" w:hAnsi="宋体"/>
          <w:sz w:val="24"/>
        </w:rPr>
      </w:pPr>
    </w:p>
    <w:p>
      <w:pPr>
        <w:spacing w:line="360" w:lineRule="auto"/>
        <w:jc w:val="center"/>
        <w:outlineLvl w:val="0"/>
        <w:rPr>
          <w:rFonts w:ascii="宋体" w:hAnsi="宋体"/>
          <w:b/>
          <w:sz w:val="32"/>
        </w:rPr>
      </w:pPr>
      <w:r>
        <w:rPr>
          <w:rFonts w:ascii="宋体" w:hAnsi="宋体"/>
          <w:b/>
          <w:sz w:val="32"/>
        </w:rPr>
        <w:t>（五）投标人资格证明文件</w:t>
      </w:r>
    </w:p>
    <w:p>
      <w:pPr>
        <w:spacing w:line="360" w:lineRule="auto"/>
        <w:jc w:val="center"/>
        <w:rPr>
          <w:rFonts w:ascii="宋体" w:hAnsi="宋体"/>
          <w:b/>
          <w:sz w:val="32"/>
        </w:rPr>
      </w:pPr>
    </w:p>
    <w:p>
      <w:pPr>
        <w:pStyle w:val="5"/>
        <w:rPr>
          <w:rFonts w:ascii="宋体" w:hAnsi="宋体"/>
          <w:b w:val="0"/>
          <w:sz w:val="30"/>
          <w:szCs w:val="30"/>
        </w:rPr>
      </w:pPr>
      <w:r>
        <w:rPr>
          <w:rFonts w:ascii="宋体" w:hAnsi="宋体"/>
          <w:sz w:val="30"/>
          <w:szCs w:val="30"/>
        </w:rPr>
        <w:t>1、关于资格的声明函</w:t>
      </w:r>
    </w:p>
    <w:p>
      <w:pPr>
        <w:spacing w:line="360" w:lineRule="auto"/>
        <w:rPr>
          <w:rFonts w:ascii="宋体" w:hAnsi="宋体"/>
          <w:sz w:val="24"/>
        </w:rPr>
      </w:pPr>
    </w:p>
    <w:p>
      <w:pPr>
        <w:pStyle w:val="35"/>
        <w:autoSpaceDE w:val="0"/>
        <w:ind w:firstLine="0"/>
        <w:rPr>
          <w:rFonts w:ascii="宋体" w:hAnsi="宋体"/>
          <w:color w:val="auto"/>
        </w:rPr>
      </w:pPr>
      <w:r>
        <w:rPr>
          <w:rFonts w:ascii="宋体" w:hAnsi="宋体"/>
          <w:color w:val="auto"/>
        </w:rPr>
        <w:t>致：</w:t>
      </w:r>
      <w:r>
        <w:rPr>
          <w:rFonts w:ascii="宋体" w:hAnsi="宋体"/>
          <w:color w:val="auto"/>
          <w:sz w:val="2"/>
          <w:szCs w:val="2"/>
        </w:rPr>
        <w:t>UU</w:t>
      </w:r>
      <w:r>
        <w:rPr>
          <w:rFonts w:ascii="宋体" w:hAnsi="宋体"/>
          <w:color w:val="auto"/>
          <w:u w:val="single"/>
        </w:rPr>
        <w:t>（招标人名称）</w:t>
      </w:r>
    </w:p>
    <w:p>
      <w:pPr>
        <w:pStyle w:val="35"/>
        <w:ind w:firstLine="480" w:firstLineChars="200"/>
        <w:rPr>
          <w:rFonts w:ascii="宋体" w:hAnsi="宋体"/>
          <w:color w:val="auto"/>
          <w:szCs w:val="24"/>
        </w:rPr>
      </w:pPr>
      <w:r>
        <w:rPr>
          <w:rFonts w:ascii="宋体" w:hAnsi="宋体"/>
          <w:color w:val="auto"/>
          <w:szCs w:val="24"/>
        </w:rPr>
        <w:t>关于贵方20</w:t>
      </w:r>
      <w:r>
        <w:rPr>
          <w:rFonts w:ascii="宋体" w:hAnsi="宋体"/>
          <w:color w:val="auto"/>
          <w:szCs w:val="24"/>
          <w:u w:val="single"/>
        </w:rPr>
        <w:t>　</w:t>
      </w:r>
      <w:r>
        <w:rPr>
          <w:rFonts w:ascii="宋体" w:hAnsi="宋体"/>
          <w:color w:val="auto"/>
          <w:szCs w:val="24"/>
        </w:rPr>
        <w:t>年</w:t>
      </w:r>
      <w:r>
        <w:rPr>
          <w:rFonts w:ascii="宋体" w:hAnsi="宋体"/>
          <w:color w:val="auto"/>
          <w:szCs w:val="24"/>
          <w:u w:val="single"/>
        </w:rPr>
        <w:t>　</w:t>
      </w:r>
      <w:r>
        <w:rPr>
          <w:rFonts w:ascii="宋体" w:hAnsi="宋体"/>
          <w:color w:val="auto"/>
          <w:szCs w:val="24"/>
        </w:rPr>
        <w:t>月</w:t>
      </w:r>
      <w:r>
        <w:rPr>
          <w:rFonts w:ascii="宋体" w:hAnsi="宋体"/>
          <w:color w:val="auto"/>
          <w:szCs w:val="24"/>
          <w:u w:val="single"/>
        </w:rPr>
        <w:t>　</w:t>
      </w:r>
      <w:r>
        <w:rPr>
          <w:rFonts w:ascii="宋体" w:hAnsi="宋体"/>
          <w:color w:val="auto"/>
          <w:szCs w:val="24"/>
        </w:rPr>
        <w:t>日第（项目编号）招标公告关于</w:t>
      </w:r>
      <w:r>
        <w:rPr>
          <w:rFonts w:ascii="宋体" w:hAnsi="宋体"/>
          <w:color w:val="auto"/>
          <w:szCs w:val="24"/>
          <w:u w:val="single"/>
        </w:rPr>
        <w:t>“　　　　　　”</w:t>
      </w:r>
      <w:r>
        <w:rPr>
          <w:rFonts w:ascii="宋体" w:hAnsi="宋体"/>
          <w:color w:val="auto"/>
          <w:szCs w:val="24"/>
        </w:rPr>
        <w:t>的招标项目，本签字人愿意参加投标，并有能力提供</w:t>
      </w:r>
      <w:r>
        <w:rPr>
          <w:rFonts w:ascii="宋体" w:hAnsi="宋体"/>
          <w:color w:val="auto"/>
          <w:szCs w:val="24"/>
          <w:u w:val="single"/>
        </w:rPr>
        <w:t xml:space="preserve">  （项目名称） </w:t>
      </w:r>
      <w:r>
        <w:rPr>
          <w:rFonts w:ascii="宋体" w:hAnsi="宋体"/>
          <w:color w:val="auto"/>
          <w:szCs w:val="24"/>
        </w:rPr>
        <w:t>项目中的全部工程、服务内容，并保证所提交的所有文件和说明是真实和准确的。</w:t>
      </w:r>
    </w:p>
    <w:p>
      <w:pPr>
        <w:pStyle w:val="35"/>
        <w:rPr>
          <w:rFonts w:ascii="宋体" w:hAnsi="宋体"/>
          <w:color w:val="auto"/>
          <w:szCs w:val="24"/>
        </w:rPr>
      </w:pPr>
    </w:p>
    <w:p>
      <w:pPr>
        <w:pStyle w:val="35"/>
        <w:rPr>
          <w:rFonts w:ascii="宋体" w:hAnsi="宋体"/>
          <w:color w:val="auto"/>
          <w:szCs w:val="24"/>
        </w:rPr>
      </w:pPr>
      <w:r>
        <w:rPr>
          <w:rFonts w:ascii="宋体" w:hAnsi="宋体"/>
          <w:color w:val="auto"/>
          <w:szCs w:val="24"/>
        </w:rPr>
        <w:t>投标人</w:t>
      </w:r>
      <w:r>
        <w:rPr>
          <w:rFonts w:ascii="宋体" w:hAnsi="宋体"/>
          <w:color w:val="auto"/>
          <w:szCs w:val="24"/>
          <w:u w:val="single"/>
        </w:rPr>
        <w:t>　投标单位名称（盖章）</w:t>
      </w:r>
      <w:r>
        <w:rPr>
          <w:rFonts w:ascii="宋体" w:hAnsi="宋体"/>
          <w:color w:val="auto"/>
          <w:szCs w:val="24"/>
        </w:rPr>
        <w:t>　　</w:t>
      </w:r>
    </w:p>
    <w:p>
      <w:pPr>
        <w:pStyle w:val="35"/>
        <w:rPr>
          <w:rFonts w:ascii="宋体" w:hAnsi="宋体"/>
          <w:color w:val="auto"/>
          <w:szCs w:val="24"/>
          <w:u w:val="single"/>
        </w:rPr>
      </w:pPr>
      <w:r>
        <w:rPr>
          <w:rFonts w:ascii="宋体" w:hAnsi="宋体"/>
          <w:color w:val="auto"/>
          <w:szCs w:val="24"/>
        </w:rPr>
        <w:t>被授权签署本资格文件人：</w:t>
      </w:r>
      <w:r>
        <w:rPr>
          <w:rFonts w:ascii="宋体" w:hAnsi="宋体"/>
          <w:color w:val="auto"/>
          <w:szCs w:val="24"/>
          <w:u w:val="single"/>
        </w:rPr>
        <w:t>被授权人姓名（签字）</w:t>
      </w:r>
    </w:p>
    <w:p>
      <w:pPr>
        <w:pStyle w:val="35"/>
        <w:rPr>
          <w:rFonts w:ascii="宋体" w:hAnsi="宋体"/>
          <w:color w:val="auto"/>
          <w:szCs w:val="24"/>
        </w:rPr>
      </w:pPr>
      <w:r>
        <w:rPr>
          <w:rFonts w:ascii="宋体" w:hAnsi="宋体"/>
          <w:color w:val="auto"/>
          <w:szCs w:val="24"/>
        </w:rPr>
        <w:t xml:space="preserve">地址：　　　　　　　　　　　　  </w:t>
      </w:r>
    </w:p>
    <w:p>
      <w:pPr>
        <w:pStyle w:val="35"/>
        <w:rPr>
          <w:rFonts w:ascii="宋体" w:hAnsi="宋体"/>
          <w:color w:val="auto"/>
          <w:szCs w:val="24"/>
        </w:rPr>
      </w:pPr>
      <w:r>
        <w:rPr>
          <w:rFonts w:ascii="宋体" w:hAnsi="宋体"/>
          <w:color w:val="auto"/>
          <w:szCs w:val="24"/>
        </w:rPr>
        <w:t>传真：　　　　　　　　　　　　　　　　　　　</w:t>
      </w:r>
    </w:p>
    <w:p>
      <w:pPr>
        <w:pStyle w:val="35"/>
        <w:rPr>
          <w:rFonts w:ascii="宋体" w:hAnsi="宋体"/>
          <w:color w:val="auto"/>
          <w:szCs w:val="24"/>
        </w:rPr>
      </w:pPr>
      <w:r>
        <w:rPr>
          <w:rFonts w:ascii="宋体" w:hAnsi="宋体"/>
          <w:color w:val="auto"/>
          <w:szCs w:val="24"/>
        </w:rPr>
        <w:t>邮编：　　　　　　　　　　　　　</w:t>
      </w:r>
    </w:p>
    <w:p>
      <w:pPr>
        <w:pStyle w:val="35"/>
        <w:rPr>
          <w:rFonts w:ascii="宋体" w:hAnsi="宋体"/>
          <w:color w:val="auto"/>
          <w:szCs w:val="24"/>
        </w:rPr>
      </w:pPr>
      <w:r>
        <w:rPr>
          <w:rFonts w:ascii="宋体" w:hAnsi="宋体"/>
          <w:color w:val="auto"/>
          <w:szCs w:val="24"/>
        </w:rPr>
        <w:t>电话：　　　　　　　　</w:t>
      </w:r>
    </w:p>
    <w:p>
      <w:pPr>
        <w:pStyle w:val="45"/>
        <w:spacing w:line="360" w:lineRule="auto"/>
        <w:jc w:val="center"/>
        <w:rPr>
          <w:rFonts w:hAnsi="宋体"/>
          <w:bCs/>
          <w:sz w:val="24"/>
          <w:szCs w:val="24"/>
        </w:rPr>
      </w:pPr>
      <w:r>
        <w:rPr>
          <w:rFonts w:hAnsi="宋体"/>
          <w:b/>
          <w:sz w:val="24"/>
          <w:szCs w:val="24"/>
        </w:rPr>
        <w:t>　　　　　　　　　　　　　　　　　　</w:t>
      </w:r>
      <w:r>
        <w:rPr>
          <w:rFonts w:hAnsi="宋体"/>
          <w:bCs/>
          <w:sz w:val="24"/>
          <w:szCs w:val="24"/>
        </w:rPr>
        <w:t>20</w:t>
      </w:r>
      <w:r>
        <w:rPr>
          <w:rFonts w:hAnsi="宋体"/>
          <w:bCs/>
          <w:sz w:val="24"/>
          <w:szCs w:val="24"/>
          <w:u w:val="single"/>
        </w:rPr>
        <w:t>　　</w:t>
      </w:r>
      <w:r>
        <w:rPr>
          <w:rFonts w:hAnsi="宋体"/>
          <w:bCs/>
          <w:sz w:val="24"/>
          <w:szCs w:val="24"/>
        </w:rPr>
        <w:t>年</w:t>
      </w:r>
      <w:r>
        <w:rPr>
          <w:rFonts w:hAnsi="宋体"/>
          <w:bCs/>
          <w:sz w:val="24"/>
          <w:szCs w:val="24"/>
          <w:u w:val="single"/>
        </w:rPr>
        <w:t>　</w:t>
      </w:r>
      <w:r>
        <w:rPr>
          <w:rFonts w:hAnsi="宋体"/>
          <w:bCs/>
          <w:sz w:val="24"/>
          <w:szCs w:val="24"/>
        </w:rPr>
        <w:t>月日</w:t>
      </w:r>
    </w:p>
    <w:p>
      <w:pPr>
        <w:spacing w:line="360" w:lineRule="auto"/>
        <w:jc w:val="center"/>
        <w:rPr>
          <w:rFonts w:ascii="宋体" w:hAnsi="宋体"/>
          <w:sz w:val="24"/>
        </w:rPr>
      </w:pPr>
    </w:p>
    <w:p>
      <w:pPr>
        <w:spacing w:line="360" w:lineRule="auto"/>
        <w:jc w:val="center"/>
        <w:rPr>
          <w:rFonts w:ascii="宋体" w:hAnsi="宋体"/>
          <w:sz w:val="24"/>
        </w:rPr>
      </w:pPr>
    </w:p>
    <w:p>
      <w:pPr>
        <w:spacing w:line="360" w:lineRule="auto"/>
        <w:jc w:val="center"/>
        <w:rPr>
          <w:rFonts w:ascii="宋体" w:hAnsi="宋体"/>
          <w:sz w:val="24"/>
        </w:rPr>
      </w:pPr>
    </w:p>
    <w:p>
      <w:pPr>
        <w:spacing w:line="360" w:lineRule="auto"/>
        <w:jc w:val="center"/>
        <w:rPr>
          <w:rFonts w:ascii="宋体" w:hAnsi="宋体"/>
          <w:sz w:val="24"/>
        </w:rPr>
      </w:pPr>
    </w:p>
    <w:p>
      <w:pPr>
        <w:spacing w:line="360" w:lineRule="auto"/>
        <w:jc w:val="center"/>
        <w:rPr>
          <w:rFonts w:ascii="宋体" w:hAnsi="宋体"/>
          <w:sz w:val="24"/>
        </w:rPr>
      </w:pPr>
    </w:p>
    <w:p>
      <w:pPr>
        <w:spacing w:line="360" w:lineRule="auto"/>
        <w:jc w:val="center"/>
        <w:rPr>
          <w:rFonts w:ascii="宋体" w:hAnsi="宋体"/>
          <w:sz w:val="24"/>
        </w:rPr>
      </w:pPr>
    </w:p>
    <w:p>
      <w:pPr>
        <w:spacing w:line="360" w:lineRule="auto"/>
        <w:jc w:val="center"/>
        <w:rPr>
          <w:rFonts w:ascii="宋体" w:hAnsi="宋体"/>
          <w:b/>
          <w:sz w:val="28"/>
        </w:rPr>
      </w:pPr>
    </w:p>
    <w:p>
      <w:pPr>
        <w:spacing w:line="360" w:lineRule="auto"/>
        <w:jc w:val="center"/>
        <w:rPr>
          <w:rFonts w:ascii="宋体" w:hAnsi="宋体"/>
          <w:b/>
          <w:sz w:val="28"/>
        </w:rPr>
      </w:pPr>
    </w:p>
    <w:p>
      <w:pPr>
        <w:widowControl/>
        <w:spacing w:line="360" w:lineRule="auto"/>
        <w:jc w:val="left"/>
        <w:rPr>
          <w:rFonts w:ascii="宋体" w:hAnsi="宋体"/>
          <w:b/>
          <w:sz w:val="28"/>
        </w:rPr>
      </w:pPr>
      <w:r>
        <w:rPr>
          <w:rFonts w:ascii="宋体" w:hAnsi="宋体"/>
          <w:b/>
          <w:sz w:val="28"/>
        </w:rPr>
        <w:br w:type="page"/>
      </w:r>
    </w:p>
    <w:p>
      <w:pPr>
        <w:pStyle w:val="5"/>
        <w:rPr>
          <w:rFonts w:ascii="宋体" w:hAnsi="宋体"/>
          <w:sz w:val="30"/>
          <w:szCs w:val="30"/>
        </w:rPr>
      </w:pPr>
      <w:r>
        <w:rPr>
          <w:rFonts w:ascii="宋体" w:hAnsi="宋体"/>
          <w:sz w:val="30"/>
          <w:szCs w:val="30"/>
        </w:rPr>
        <w:t>2、投标人基本情况表（附资格审查资料）</w:t>
      </w:r>
    </w:p>
    <w:p>
      <w:pPr>
        <w:spacing w:line="360" w:lineRule="auto"/>
        <w:jc w:val="center"/>
        <w:rPr>
          <w:rFonts w:ascii="宋体" w:hAnsi="宋体"/>
          <w:b/>
          <w:sz w:val="30"/>
          <w:szCs w:val="30"/>
        </w:rPr>
      </w:pPr>
    </w:p>
    <w:p>
      <w:pPr>
        <w:spacing w:line="360" w:lineRule="auto"/>
        <w:jc w:val="center"/>
        <w:rPr>
          <w:rFonts w:ascii="宋体" w:hAnsi="宋体"/>
          <w:b/>
          <w:sz w:val="28"/>
          <w:szCs w:val="28"/>
        </w:rPr>
      </w:pPr>
      <w:r>
        <w:rPr>
          <w:rFonts w:hint="eastAsia" w:ascii="宋体" w:hAnsi="宋体"/>
          <w:bCs/>
          <w:sz w:val="24"/>
        </w:rPr>
        <w:t>（本表格式仅供参考，各投标人可根据企业自身情况编制本表）</w:t>
      </w:r>
    </w:p>
    <w:tbl>
      <w:tblPr>
        <w:tblStyle w:val="88"/>
        <w:tblW w:w="8755"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32"/>
        <w:gridCol w:w="1121"/>
        <w:gridCol w:w="611"/>
        <w:gridCol w:w="1731"/>
        <w:gridCol w:w="1733"/>
        <w:gridCol w:w="18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1732" w:type="dxa"/>
            <w:noWrap/>
            <w:vAlign w:val="center"/>
          </w:tcPr>
          <w:p>
            <w:pPr>
              <w:spacing w:line="360" w:lineRule="auto"/>
              <w:jc w:val="center"/>
              <w:rPr>
                <w:rFonts w:ascii="宋体" w:hAnsi="宋体"/>
                <w:sz w:val="24"/>
              </w:rPr>
            </w:pPr>
            <w:r>
              <w:rPr>
                <w:rFonts w:hint="eastAsia" w:ascii="宋体" w:hAnsi="宋体"/>
                <w:sz w:val="24"/>
              </w:rPr>
              <w:t>名称</w:t>
            </w:r>
          </w:p>
        </w:tc>
        <w:tc>
          <w:tcPr>
            <w:tcW w:w="7023" w:type="dxa"/>
            <w:gridSpan w:val="5"/>
            <w:noWrap/>
            <w:vAlign w:val="center"/>
          </w:tcPr>
          <w:p>
            <w:pPr>
              <w:spacing w:line="360" w:lineRule="auto"/>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1732" w:type="dxa"/>
            <w:noWrap/>
            <w:vAlign w:val="center"/>
          </w:tcPr>
          <w:p>
            <w:pPr>
              <w:spacing w:line="360" w:lineRule="auto"/>
              <w:jc w:val="center"/>
              <w:rPr>
                <w:rFonts w:ascii="宋体" w:hAnsi="宋体"/>
                <w:sz w:val="24"/>
              </w:rPr>
            </w:pPr>
            <w:r>
              <w:rPr>
                <w:rFonts w:hint="eastAsia" w:ascii="宋体" w:hAnsi="宋体"/>
                <w:sz w:val="24"/>
              </w:rPr>
              <w:t>注册地址</w:t>
            </w:r>
          </w:p>
        </w:tc>
        <w:tc>
          <w:tcPr>
            <w:tcW w:w="7023" w:type="dxa"/>
            <w:gridSpan w:val="5"/>
            <w:noWrap/>
            <w:vAlign w:val="center"/>
          </w:tcPr>
          <w:p>
            <w:pPr>
              <w:spacing w:line="360" w:lineRule="auto"/>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1732" w:type="dxa"/>
            <w:noWrap/>
            <w:vAlign w:val="center"/>
          </w:tcPr>
          <w:p>
            <w:pPr>
              <w:spacing w:line="360" w:lineRule="auto"/>
              <w:jc w:val="center"/>
              <w:rPr>
                <w:rFonts w:ascii="宋体" w:hAnsi="宋体"/>
                <w:sz w:val="24"/>
              </w:rPr>
            </w:pPr>
            <w:r>
              <w:rPr>
                <w:rFonts w:hint="eastAsia" w:ascii="宋体" w:hAnsi="宋体"/>
                <w:sz w:val="24"/>
              </w:rPr>
              <w:t>办公地址</w:t>
            </w:r>
          </w:p>
        </w:tc>
        <w:tc>
          <w:tcPr>
            <w:tcW w:w="7023" w:type="dxa"/>
            <w:gridSpan w:val="5"/>
            <w:noWrap/>
            <w:vAlign w:val="center"/>
          </w:tcPr>
          <w:p>
            <w:pPr>
              <w:spacing w:line="360" w:lineRule="auto"/>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1732" w:type="dxa"/>
            <w:noWrap/>
            <w:vAlign w:val="center"/>
          </w:tcPr>
          <w:p>
            <w:pPr>
              <w:spacing w:line="360" w:lineRule="auto"/>
              <w:jc w:val="center"/>
              <w:rPr>
                <w:rFonts w:ascii="宋体" w:hAnsi="宋体"/>
                <w:sz w:val="24"/>
              </w:rPr>
            </w:pPr>
            <w:r>
              <w:rPr>
                <w:rFonts w:hint="eastAsia" w:ascii="宋体" w:hAnsi="宋体"/>
                <w:sz w:val="24"/>
              </w:rPr>
              <w:t>法定代表人</w:t>
            </w:r>
          </w:p>
        </w:tc>
        <w:tc>
          <w:tcPr>
            <w:tcW w:w="1732" w:type="dxa"/>
            <w:gridSpan w:val="2"/>
            <w:noWrap/>
            <w:vAlign w:val="center"/>
          </w:tcPr>
          <w:p>
            <w:pPr>
              <w:spacing w:line="360" w:lineRule="auto"/>
              <w:jc w:val="center"/>
              <w:rPr>
                <w:rFonts w:ascii="宋体" w:hAnsi="宋体"/>
                <w:sz w:val="24"/>
              </w:rPr>
            </w:pPr>
          </w:p>
        </w:tc>
        <w:tc>
          <w:tcPr>
            <w:tcW w:w="1731" w:type="dxa"/>
            <w:noWrap/>
            <w:vAlign w:val="center"/>
          </w:tcPr>
          <w:p>
            <w:pPr>
              <w:spacing w:line="360" w:lineRule="auto"/>
              <w:jc w:val="center"/>
              <w:rPr>
                <w:rFonts w:ascii="宋体" w:hAnsi="宋体"/>
                <w:sz w:val="24"/>
              </w:rPr>
            </w:pPr>
          </w:p>
        </w:tc>
        <w:tc>
          <w:tcPr>
            <w:tcW w:w="1733" w:type="dxa"/>
            <w:noWrap/>
            <w:vAlign w:val="center"/>
          </w:tcPr>
          <w:p>
            <w:pPr>
              <w:spacing w:line="360" w:lineRule="auto"/>
              <w:jc w:val="center"/>
              <w:rPr>
                <w:rFonts w:ascii="宋体" w:hAnsi="宋体"/>
                <w:sz w:val="24"/>
              </w:rPr>
            </w:pPr>
            <w:r>
              <w:rPr>
                <w:rFonts w:hint="eastAsia" w:ascii="宋体" w:hAnsi="宋体"/>
                <w:sz w:val="24"/>
              </w:rPr>
              <w:t>联系人</w:t>
            </w:r>
          </w:p>
        </w:tc>
        <w:tc>
          <w:tcPr>
            <w:tcW w:w="1827" w:type="dxa"/>
            <w:noWrap/>
            <w:vAlign w:val="center"/>
          </w:tcPr>
          <w:p>
            <w:pPr>
              <w:spacing w:line="360" w:lineRule="auto"/>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1732" w:type="dxa"/>
            <w:noWrap/>
            <w:vAlign w:val="center"/>
          </w:tcPr>
          <w:p>
            <w:pPr>
              <w:spacing w:line="360" w:lineRule="auto"/>
              <w:jc w:val="center"/>
              <w:rPr>
                <w:rFonts w:ascii="宋体" w:hAnsi="宋体"/>
                <w:sz w:val="24"/>
              </w:rPr>
            </w:pPr>
            <w:r>
              <w:rPr>
                <w:rFonts w:hint="eastAsia" w:ascii="宋体" w:hAnsi="宋体"/>
                <w:sz w:val="24"/>
              </w:rPr>
              <w:t>电话</w:t>
            </w:r>
          </w:p>
        </w:tc>
        <w:tc>
          <w:tcPr>
            <w:tcW w:w="1732" w:type="dxa"/>
            <w:gridSpan w:val="2"/>
            <w:noWrap/>
            <w:vAlign w:val="center"/>
          </w:tcPr>
          <w:p>
            <w:pPr>
              <w:spacing w:line="360" w:lineRule="auto"/>
              <w:jc w:val="center"/>
              <w:rPr>
                <w:rFonts w:ascii="宋体" w:hAnsi="宋体"/>
                <w:sz w:val="24"/>
              </w:rPr>
            </w:pPr>
          </w:p>
        </w:tc>
        <w:tc>
          <w:tcPr>
            <w:tcW w:w="1731" w:type="dxa"/>
            <w:noWrap/>
            <w:vAlign w:val="center"/>
          </w:tcPr>
          <w:p>
            <w:pPr>
              <w:spacing w:line="360" w:lineRule="auto"/>
              <w:jc w:val="center"/>
              <w:rPr>
                <w:rFonts w:ascii="宋体" w:hAnsi="宋体"/>
                <w:sz w:val="24"/>
              </w:rPr>
            </w:pPr>
          </w:p>
        </w:tc>
        <w:tc>
          <w:tcPr>
            <w:tcW w:w="1733" w:type="dxa"/>
            <w:noWrap/>
            <w:vAlign w:val="center"/>
          </w:tcPr>
          <w:p>
            <w:pPr>
              <w:spacing w:line="360" w:lineRule="auto"/>
              <w:jc w:val="center"/>
              <w:rPr>
                <w:rFonts w:ascii="宋体" w:hAnsi="宋体"/>
                <w:sz w:val="24"/>
              </w:rPr>
            </w:pPr>
            <w:r>
              <w:rPr>
                <w:rFonts w:hint="eastAsia" w:ascii="宋体" w:hAnsi="宋体"/>
                <w:sz w:val="24"/>
              </w:rPr>
              <w:t>传真</w:t>
            </w:r>
          </w:p>
        </w:tc>
        <w:tc>
          <w:tcPr>
            <w:tcW w:w="1827" w:type="dxa"/>
            <w:noWrap/>
            <w:vAlign w:val="center"/>
          </w:tcPr>
          <w:p>
            <w:pPr>
              <w:spacing w:line="360" w:lineRule="auto"/>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1732" w:type="dxa"/>
            <w:noWrap/>
            <w:vAlign w:val="center"/>
          </w:tcPr>
          <w:p>
            <w:pPr>
              <w:spacing w:line="360" w:lineRule="auto"/>
              <w:jc w:val="center"/>
              <w:rPr>
                <w:rFonts w:ascii="宋体" w:hAnsi="宋体"/>
                <w:sz w:val="24"/>
              </w:rPr>
            </w:pPr>
            <w:r>
              <w:rPr>
                <w:rFonts w:hint="eastAsia" w:ascii="宋体" w:hAnsi="宋体"/>
                <w:sz w:val="24"/>
              </w:rPr>
              <w:t>邮政编码</w:t>
            </w:r>
          </w:p>
        </w:tc>
        <w:tc>
          <w:tcPr>
            <w:tcW w:w="1732" w:type="dxa"/>
            <w:gridSpan w:val="2"/>
            <w:noWrap/>
            <w:vAlign w:val="center"/>
          </w:tcPr>
          <w:p>
            <w:pPr>
              <w:spacing w:line="360" w:lineRule="auto"/>
              <w:jc w:val="center"/>
              <w:rPr>
                <w:rFonts w:ascii="宋体" w:hAnsi="宋体"/>
                <w:sz w:val="24"/>
              </w:rPr>
            </w:pPr>
          </w:p>
        </w:tc>
        <w:tc>
          <w:tcPr>
            <w:tcW w:w="1731" w:type="dxa"/>
            <w:noWrap/>
            <w:vAlign w:val="center"/>
          </w:tcPr>
          <w:p>
            <w:pPr>
              <w:spacing w:line="360" w:lineRule="auto"/>
              <w:jc w:val="center"/>
              <w:rPr>
                <w:rFonts w:ascii="宋体" w:hAnsi="宋体"/>
                <w:sz w:val="24"/>
              </w:rPr>
            </w:pPr>
          </w:p>
        </w:tc>
        <w:tc>
          <w:tcPr>
            <w:tcW w:w="1733" w:type="dxa"/>
            <w:noWrap/>
            <w:vAlign w:val="center"/>
          </w:tcPr>
          <w:p>
            <w:pPr>
              <w:spacing w:line="360" w:lineRule="auto"/>
              <w:jc w:val="center"/>
              <w:rPr>
                <w:rFonts w:ascii="宋体" w:hAnsi="宋体"/>
                <w:sz w:val="24"/>
              </w:rPr>
            </w:pPr>
            <w:r>
              <w:rPr>
                <w:rFonts w:hint="eastAsia" w:ascii="宋体" w:hAnsi="宋体"/>
                <w:sz w:val="24"/>
              </w:rPr>
              <w:t>E-Mail</w:t>
            </w:r>
          </w:p>
        </w:tc>
        <w:tc>
          <w:tcPr>
            <w:tcW w:w="1827" w:type="dxa"/>
            <w:noWrap/>
            <w:vAlign w:val="center"/>
          </w:tcPr>
          <w:p>
            <w:pPr>
              <w:spacing w:line="360" w:lineRule="auto"/>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2853" w:type="dxa"/>
            <w:gridSpan w:val="2"/>
            <w:noWrap/>
            <w:vAlign w:val="center"/>
          </w:tcPr>
          <w:p>
            <w:pPr>
              <w:spacing w:line="360" w:lineRule="auto"/>
              <w:jc w:val="center"/>
              <w:rPr>
                <w:rFonts w:ascii="宋体" w:hAnsi="宋体"/>
                <w:sz w:val="24"/>
              </w:rPr>
            </w:pPr>
            <w:r>
              <w:rPr>
                <w:rFonts w:hint="eastAsia" w:ascii="宋体" w:hAnsi="宋体"/>
                <w:sz w:val="24"/>
              </w:rPr>
              <w:t>社会统一信用代码</w:t>
            </w:r>
          </w:p>
        </w:tc>
        <w:tc>
          <w:tcPr>
            <w:tcW w:w="5902" w:type="dxa"/>
            <w:gridSpan w:val="4"/>
            <w:noWrap/>
            <w:vAlign w:val="center"/>
          </w:tcPr>
          <w:p>
            <w:pPr>
              <w:spacing w:line="360" w:lineRule="auto"/>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2853" w:type="dxa"/>
            <w:gridSpan w:val="2"/>
            <w:noWrap/>
            <w:vAlign w:val="center"/>
          </w:tcPr>
          <w:p>
            <w:pPr>
              <w:spacing w:line="360" w:lineRule="auto"/>
              <w:jc w:val="center"/>
              <w:rPr>
                <w:rFonts w:ascii="宋体" w:hAnsi="宋体"/>
                <w:sz w:val="24"/>
              </w:rPr>
            </w:pPr>
            <w:r>
              <w:rPr>
                <w:rFonts w:hint="eastAsia" w:ascii="宋体" w:hAnsi="宋体"/>
                <w:sz w:val="24"/>
              </w:rPr>
              <w:t>资质等级</w:t>
            </w:r>
          </w:p>
        </w:tc>
        <w:tc>
          <w:tcPr>
            <w:tcW w:w="5902" w:type="dxa"/>
            <w:gridSpan w:val="4"/>
            <w:noWrap/>
            <w:vAlign w:val="center"/>
          </w:tcPr>
          <w:p>
            <w:pPr>
              <w:spacing w:line="360" w:lineRule="auto"/>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1" w:hRule="atLeast"/>
        </w:trPr>
        <w:tc>
          <w:tcPr>
            <w:tcW w:w="1732" w:type="dxa"/>
            <w:noWrap/>
            <w:vAlign w:val="center"/>
          </w:tcPr>
          <w:p>
            <w:pPr>
              <w:spacing w:line="360" w:lineRule="auto"/>
              <w:jc w:val="center"/>
              <w:rPr>
                <w:rFonts w:ascii="宋体" w:hAnsi="宋体"/>
                <w:sz w:val="24"/>
              </w:rPr>
            </w:pPr>
            <w:r>
              <w:rPr>
                <w:rFonts w:hint="eastAsia" w:ascii="宋体" w:hAnsi="宋体"/>
                <w:sz w:val="24"/>
              </w:rPr>
              <w:t>注册资金</w:t>
            </w:r>
          </w:p>
          <w:p>
            <w:pPr>
              <w:spacing w:line="360" w:lineRule="auto"/>
              <w:jc w:val="center"/>
              <w:rPr>
                <w:rFonts w:ascii="宋体" w:hAnsi="宋体"/>
                <w:sz w:val="24"/>
              </w:rPr>
            </w:pPr>
            <w:r>
              <w:rPr>
                <w:rFonts w:hint="eastAsia" w:ascii="宋体" w:hAnsi="宋体"/>
                <w:sz w:val="24"/>
              </w:rPr>
              <w:t>（开办费）</w:t>
            </w:r>
          </w:p>
          <w:p>
            <w:pPr>
              <w:spacing w:line="360" w:lineRule="auto"/>
              <w:jc w:val="center"/>
              <w:rPr>
                <w:rFonts w:ascii="宋体" w:hAnsi="宋体"/>
                <w:sz w:val="24"/>
              </w:rPr>
            </w:pPr>
            <w:r>
              <w:rPr>
                <w:rFonts w:hint="eastAsia" w:ascii="宋体" w:hAnsi="宋体"/>
                <w:sz w:val="24"/>
              </w:rPr>
              <w:t>万元</w:t>
            </w:r>
          </w:p>
        </w:tc>
        <w:tc>
          <w:tcPr>
            <w:tcW w:w="3463" w:type="dxa"/>
            <w:gridSpan w:val="3"/>
            <w:noWrap/>
            <w:vAlign w:val="center"/>
          </w:tcPr>
          <w:p>
            <w:pPr>
              <w:spacing w:line="360" w:lineRule="auto"/>
              <w:jc w:val="center"/>
              <w:rPr>
                <w:rFonts w:ascii="宋体" w:hAnsi="宋体"/>
                <w:sz w:val="24"/>
              </w:rPr>
            </w:pPr>
          </w:p>
        </w:tc>
        <w:tc>
          <w:tcPr>
            <w:tcW w:w="1733" w:type="dxa"/>
            <w:noWrap/>
            <w:vAlign w:val="center"/>
          </w:tcPr>
          <w:p>
            <w:pPr>
              <w:spacing w:line="360" w:lineRule="auto"/>
              <w:jc w:val="center"/>
              <w:rPr>
                <w:rFonts w:ascii="宋体" w:hAnsi="宋体"/>
                <w:sz w:val="24"/>
              </w:rPr>
            </w:pPr>
            <w:r>
              <w:rPr>
                <w:rFonts w:hint="eastAsia" w:ascii="宋体" w:hAnsi="宋体"/>
                <w:sz w:val="24"/>
              </w:rPr>
              <w:t>专业人员数量</w:t>
            </w:r>
          </w:p>
        </w:tc>
        <w:tc>
          <w:tcPr>
            <w:tcW w:w="1827" w:type="dxa"/>
            <w:noWrap/>
            <w:vAlign w:val="center"/>
          </w:tcPr>
          <w:p>
            <w:pPr>
              <w:spacing w:line="360" w:lineRule="auto"/>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1" w:hRule="atLeast"/>
        </w:trPr>
        <w:tc>
          <w:tcPr>
            <w:tcW w:w="1732" w:type="dxa"/>
            <w:noWrap/>
            <w:vAlign w:val="center"/>
          </w:tcPr>
          <w:p>
            <w:pPr>
              <w:spacing w:line="360" w:lineRule="auto"/>
              <w:jc w:val="center"/>
              <w:rPr>
                <w:rFonts w:ascii="宋体" w:hAnsi="宋体"/>
                <w:sz w:val="24"/>
              </w:rPr>
            </w:pPr>
            <w:r>
              <w:rPr>
                <w:rFonts w:hint="eastAsia" w:ascii="宋体" w:hAnsi="宋体"/>
                <w:sz w:val="24"/>
              </w:rPr>
              <w:t>业务范围      （编号）</w:t>
            </w:r>
          </w:p>
        </w:tc>
        <w:tc>
          <w:tcPr>
            <w:tcW w:w="7023" w:type="dxa"/>
            <w:gridSpan w:val="5"/>
            <w:noWrap/>
            <w:vAlign w:val="center"/>
          </w:tcPr>
          <w:p>
            <w:pPr>
              <w:spacing w:line="360" w:lineRule="auto"/>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8" w:hRule="atLeast"/>
        </w:trPr>
        <w:tc>
          <w:tcPr>
            <w:tcW w:w="8755" w:type="dxa"/>
            <w:gridSpan w:val="6"/>
            <w:noWrap/>
          </w:tcPr>
          <w:p>
            <w:pPr>
              <w:spacing w:line="360" w:lineRule="auto"/>
              <w:rPr>
                <w:rFonts w:ascii="宋体" w:hAnsi="宋体"/>
                <w:sz w:val="24"/>
              </w:rPr>
            </w:pPr>
            <w:r>
              <w:rPr>
                <w:rFonts w:hint="eastAsia" w:ascii="宋体" w:hAnsi="宋体"/>
                <w:sz w:val="24"/>
              </w:rPr>
              <w:t>机构简况：</w:t>
            </w:r>
          </w:p>
        </w:tc>
      </w:tr>
    </w:tbl>
    <w:p>
      <w:pPr>
        <w:widowControl/>
        <w:autoSpaceDE w:val="0"/>
        <w:autoSpaceDN w:val="0"/>
        <w:spacing w:line="360" w:lineRule="auto"/>
        <w:ind w:left="180"/>
        <w:textAlignment w:val="bottom"/>
        <w:rPr>
          <w:rFonts w:ascii="宋体" w:hAnsi="宋体"/>
          <w:sz w:val="18"/>
          <w:szCs w:val="18"/>
        </w:rPr>
      </w:pPr>
    </w:p>
    <w:p>
      <w:pPr>
        <w:widowControl/>
        <w:autoSpaceDE w:val="0"/>
        <w:autoSpaceDN w:val="0"/>
        <w:spacing w:line="360" w:lineRule="auto"/>
        <w:ind w:left="180"/>
        <w:textAlignment w:val="bottom"/>
        <w:rPr>
          <w:rFonts w:ascii="宋体" w:hAnsi="宋体"/>
          <w:sz w:val="18"/>
          <w:szCs w:val="18"/>
        </w:rPr>
      </w:pPr>
      <w:r>
        <w:rPr>
          <w:rFonts w:hint="eastAsia" w:ascii="宋体" w:hAnsi="宋体"/>
          <w:sz w:val="18"/>
          <w:szCs w:val="18"/>
        </w:rPr>
        <w:t>注：在本表后应附：①投标单位企业法人营业执照或</w:t>
      </w:r>
      <w:r>
        <w:rPr>
          <w:rFonts w:hint="eastAsia" w:ascii="宋体" w:hAnsi="宋体" w:cs="宋体"/>
          <w:kern w:val="0"/>
          <w:sz w:val="18"/>
          <w:szCs w:val="18"/>
        </w:rPr>
        <w:t>具有同等法律效力的许可经营证明文件</w:t>
      </w:r>
      <w:r>
        <w:rPr>
          <w:rFonts w:hint="eastAsia" w:ascii="宋体" w:hAnsi="宋体"/>
          <w:sz w:val="18"/>
          <w:szCs w:val="18"/>
        </w:rPr>
        <w:t>的复印件</w:t>
      </w:r>
      <w:r>
        <w:rPr>
          <w:rFonts w:ascii="宋体" w:hAnsi="宋体"/>
          <w:sz w:val="18"/>
          <w:szCs w:val="18"/>
        </w:rPr>
        <w:t>(</w:t>
      </w:r>
      <w:r>
        <w:rPr>
          <w:rFonts w:hint="eastAsia" w:ascii="宋体" w:hAnsi="宋体"/>
          <w:sz w:val="18"/>
          <w:szCs w:val="18"/>
        </w:rPr>
        <w:t>并加盖单位章</w:t>
      </w:r>
      <w:r>
        <w:rPr>
          <w:rFonts w:ascii="宋体" w:hAnsi="宋体"/>
          <w:sz w:val="18"/>
          <w:szCs w:val="18"/>
        </w:rPr>
        <w:t>)</w:t>
      </w:r>
      <w:r>
        <w:rPr>
          <w:rFonts w:hint="eastAsia" w:ascii="宋体" w:hAnsi="宋体"/>
          <w:sz w:val="18"/>
          <w:szCs w:val="18"/>
        </w:rPr>
        <w:t>、</w:t>
      </w:r>
      <w:r>
        <w:rPr>
          <w:rFonts w:hint="eastAsia" w:ascii="宋体" w:hAnsi="宋体" w:cs="Arial"/>
          <w:kern w:val="0"/>
          <w:sz w:val="18"/>
          <w:szCs w:val="18"/>
        </w:rPr>
        <w:t>相关资质证书（如有）、许可证书（如有）</w:t>
      </w:r>
      <w:r>
        <w:rPr>
          <w:rFonts w:hint="eastAsia" w:ascii="宋体" w:hAnsi="宋体"/>
          <w:sz w:val="18"/>
          <w:szCs w:val="18"/>
        </w:rPr>
        <w:t>及本竞争性磋商文件中相关资格要求的内容等资料的复印件。</w:t>
      </w:r>
    </w:p>
    <w:p>
      <w:pPr>
        <w:widowControl/>
        <w:autoSpaceDE w:val="0"/>
        <w:autoSpaceDN w:val="0"/>
        <w:spacing w:line="360" w:lineRule="auto"/>
        <w:ind w:left="181" w:leftChars="86" w:firstLine="360" w:firstLineChars="200"/>
        <w:textAlignment w:val="bottom"/>
        <w:rPr>
          <w:rFonts w:ascii="宋体" w:hAnsi="宋体"/>
          <w:sz w:val="18"/>
          <w:szCs w:val="18"/>
        </w:rPr>
      </w:pPr>
      <w:r>
        <w:rPr>
          <w:rFonts w:hint="eastAsia" w:ascii="宋体" w:hAnsi="宋体"/>
          <w:sz w:val="18"/>
          <w:szCs w:val="18"/>
        </w:rPr>
        <w:t>②附其他相关证明材料复印件（如：办公用房产权或者使用权证明复印件）（如有需要）</w:t>
      </w:r>
    </w:p>
    <w:p>
      <w:pPr>
        <w:spacing w:line="360" w:lineRule="auto"/>
        <w:rPr>
          <w:rFonts w:ascii="宋体" w:hAnsi="宋体"/>
          <w:b/>
          <w:sz w:val="30"/>
          <w:szCs w:val="30"/>
        </w:rPr>
      </w:pPr>
      <w:r>
        <w:rPr>
          <w:rFonts w:hint="eastAsia" w:ascii="宋体" w:hAnsi="宋体"/>
          <w:sz w:val="18"/>
          <w:szCs w:val="18"/>
        </w:rPr>
        <w:t>以上复印件在响应文件正本中均为加盖公章复印件，必须完整、清晰可辨、有效。</w:t>
      </w:r>
      <w:r>
        <w:rPr>
          <w:rFonts w:ascii="宋体" w:hAnsi="宋体"/>
          <w:b/>
          <w:sz w:val="30"/>
          <w:szCs w:val="30"/>
        </w:rPr>
        <w:br w:type="page"/>
      </w:r>
    </w:p>
    <w:p>
      <w:pPr>
        <w:pStyle w:val="5"/>
        <w:rPr>
          <w:rFonts w:ascii="宋体" w:hAnsi="宋体"/>
          <w:sz w:val="30"/>
          <w:szCs w:val="30"/>
        </w:rPr>
      </w:pPr>
      <w:r>
        <w:rPr>
          <w:rFonts w:hint="eastAsia" w:ascii="宋体" w:hAnsi="宋体"/>
          <w:sz w:val="30"/>
          <w:szCs w:val="30"/>
        </w:rPr>
        <w:t>3、投标</w:t>
      </w:r>
      <w:r>
        <w:rPr>
          <w:rFonts w:ascii="宋体" w:hAnsi="宋体"/>
          <w:sz w:val="30"/>
          <w:szCs w:val="30"/>
        </w:rPr>
        <w:t>人</w:t>
      </w:r>
      <w:r>
        <w:rPr>
          <w:rFonts w:hint="eastAsia" w:ascii="宋体" w:hAnsi="宋体"/>
          <w:sz w:val="30"/>
          <w:szCs w:val="30"/>
        </w:rPr>
        <w:t>关联</w:t>
      </w:r>
      <w:r>
        <w:rPr>
          <w:rFonts w:ascii="宋体" w:hAnsi="宋体"/>
          <w:sz w:val="30"/>
          <w:szCs w:val="30"/>
        </w:rPr>
        <w:t>企业情况表</w:t>
      </w:r>
    </w:p>
    <w:p>
      <w:pPr>
        <w:spacing w:line="360" w:lineRule="auto"/>
        <w:jc w:val="center"/>
        <w:rPr>
          <w:rFonts w:ascii="宋体" w:hAnsi="宋体"/>
          <w:sz w:val="28"/>
          <w:szCs w:val="28"/>
        </w:rPr>
      </w:pPr>
    </w:p>
    <w:p>
      <w:pPr>
        <w:spacing w:line="360" w:lineRule="auto"/>
        <w:jc w:val="center"/>
        <w:rPr>
          <w:rFonts w:ascii="宋体" w:hAnsi="宋体"/>
          <w:sz w:val="24"/>
        </w:rPr>
      </w:pPr>
      <w:r>
        <w:rPr>
          <w:rFonts w:hint="eastAsia" w:ascii="宋体" w:hAnsi="宋体"/>
          <w:sz w:val="24"/>
        </w:rPr>
        <w:t>投标人的母公司、子公司（含控股公司）关联企业等情况表</w:t>
      </w:r>
    </w:p>
    <w:tbl>
      <w:tblPr>
        <w:tblStyle w:val="8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17"/>
        <w:gridCol w:w="60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9" w:hRule="exact"/>
        </w:trPr>
        <w:tc>
          <w:tcPr>
            <w:tcW w:w="2717" w:type="dxa"/>
            <w:vAlign w:val="center"/>
          </w:tcPr>
          <w:p>
            <w:pPr>
              <w:spacing w:line="360" w:lineRule="auto"/>
              <w:jc w:val="center"/>
              <w:rPr>
                <w:rFonts w:ascii="宋体" w:hAnsi="宋体"/>
                <w:b/>
                <w:szCs w:val="21"/>
              </w:rPr>
            </w:pPr>
          </w:p>
        </w:tc>
        <w:tc>
          <w:tcPr>
            <w:tcW w:w="6061" w:type="dxa"/>
            <w:vAlign w:val="center"/>
          </w:tcPr>
          <w:p>
            <w:pPr>
              <w:spacing w:line="360" w:lineRule="auto"/>
              <w:jc w:val="center"/>
              <w:rPr>
                <w:rFonts w:ascii="宋体" w:hAnsi="宋体"/>
                <w:szCs w:val="21"/>
              </w:rPr>
            </w:pPr>
            <w:r>
              <w:rPr>
                <w:rFonts w:hint="eastAsia" w:ascii="宋体" w:hAnsi="宋体"/>
                <w:szCs w:val="21"/>
              </w:rPr>
              <w:t>投标人填写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9" w:hRule="exact"/>
        </w:trPr>
        <w:tc>
          <w:tcPr>
            <w:tcW w:w="2717" w:type="dxa"/>
            <w:vAlign w:val="center"/>
          </w:tcPr>
          <w:p>
            <w:pPr>
              <w:spacing w:line="360" w:lineRule="auto"/>
              <w:rPr>
                <w:rFonts w:ascii="宋体" w:hAnsi="宋体"/>
                <w:szCs w:val="21"/>
              </w:rPr>
            </w:pPr>
            <w:r>
              <w:rPr>
                <w:rFonts w:hint="eastAsia" w:ascii="宋体" w:hAnsi="宋体"/>
                <w:szCs w:val="21"/>
              </w:rPr>
              <w:t>投标人的母公司及其母公司的子公司（含控股公司）的情况</w:t>
            </w:r>
          </w:p>
        </w:tc>
        <w:tc>
          <w:tcPr>
            <w:tcW w:w="6061" w:type="dxa"/>
            <w:vAlign w:val="center"/>
          </w:tcPr>
          <w:p>
            <w:pPr>
              <w:spacing w:line="360" w:lineRule="auto"/>
              <w:jc w:val="center"/>
              <w:rPr>
                <w:rFonts w:ascii="宋体" w:hAnsi="宋体"/>
                <w:szCs w:val="21"/>
              </w:rPr>
            </w:pPr>
            <w:r>
              <w:rPr>
                <w:rFonts w:hint="eastAsia" w:ascii="宋体" w:hAnsi="宋体"/>
                <w:szCs w:val="21"/>
              </w:rPr>
              <w:t>叙述或附图表示投标人的母公司及其母公司的子公司（含控股公司）的情况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3" w:hRule="exact"/>
        </w:trPr>
        <w:tc>
          <w:tcPr>
            <w:tcW w:w="2717" w:type="dxa"/>
            <w:vAlign w:val="center"/>
          </w:tcPr>
          <w:p>
            <w:pPr>
              <w:spacing w:line="360" w:lineRule="auto"/>
              <w:rPr>
                <w:rFonts w:ascii="宋体" w:hAnsi="宋体"/>
                <w:szCs w:val="21"/>
              </w:rPr>
            </w:pPr>
            <w:r>
              <w:rPr>
                <w:rFonts w:hint="eastAsia" w:ascii="宋体" w:hAnsi="宋体"/>
                <w:szCs w:val="21"/>
              </w:rPr>
              <w:t>投标人的子公司（含控股公司）的情况</w:t>
            </w:r>
          </w:p>
        </w:tc>
        <w:tc>
          <w:tcPr>
            <w:tcW w:w="6061" w:type="dxa"/>
            <w:vAlign w:val="center"/>
          </w:tcPr>
          <w:p>
            <w:pPr>
              <w:spacing w:line="360" w:lineRule="auto"/>
              <w:jc w:val="center"/>
              <w:rPr>
                <w:rFonts w:ascii="宋体" w:hAnsi="宋体"/>
                <w:szCs w:val="21"/>
              </w:rPr>
            </w:pPr>
            <w:r>
              <w:rPr>
                <w:rFonts w:hint="eastAsia" w:ascii="宋体" w:hAnsi="宋体"/>
                <w:szCs w:val="21"/>
              </w:rPr>
              <w:t>叙述或附图表示投标人子公司（含控股公司）的情况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1" w:hRule="exact"/>
        </w:trPr>
        <w:tc>
          <w:tcPr>
            <w:tcW w:w="2717" w:type="dxa"/>
            <w:vAlign w:val="center"/>
          </w:tcPr>
          <w:p>
            <w:pPr>
              <w:spacing w:line="360" w:lineRule="auto"/>
              <w:rPr>
                <w:rFonts w:ascii="宋体" w:hAnsi="宋体"/>
                <w:szCs w:val="21"/>
              </w:rPr>
            </w:pPr>
            <w:r>
              <w:rPr>
                <w:rFonts w:hint="eastAsia" w:ascii="宋体" w:hAnsi="宋体"/>
                <w:szCs w:val="21"/>
              </w:rPr>
              <w:t>投标人的投资参股关系的关联企业的情况</w:t>
            </w:r>
          </w:p>
        </w:tc>
        <w:tc>
          <w:tcPr>
            <w:tcW w:w="6061" w:type="dxa"/>
            <w:vAlign w:val="center"/>
          </w:tcPr>
          <w:p>
            <w:pPr>
              <w:spacing w:line="360" w:lineRule="auto"/>
              <w:jc w:val="center"/>
              <w:rPr>
                <w:rFonts w:ascii="宋体" w:hAnsi="宋体"/>
                <w:b/>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3" w:hRule="exact"/>
        </w:trPr>
        <w:tc>
          <w:tcPr>
            <w:tcW w:w="2717" w:type="dxa"/>
            <w:vAlign w:val="center"/>
          </w:tcPr>
          <w:p>
            <w:pPr>
              <w:spacing w:line="360" w:lineRule="auto"/>
              <w:rPr>
                <w:rFonts w:ascii="宋体" w:hAnsi="宋体"/>
                <w:szCs w:val="21"/>
              </w:rPr>
            </w:pPr>
            <w:r>
              <w:rPr>
                <w:rFonts w:hint="eastAsia" w:ascii="宋体" w:hAnsi="宋体"/>
                <w:szCs w:val="21"/>
              </w:rPr>
              <w:t>投标人的法定代表人为同一人的两个及两个以上法人的情况</w:t>
            </w:r>
          </w:p>
        </w:tc>
        <w:tc>
          <w:tcPr>
            <w:tcW w:w="6061" w:type="dxa"/>
            <w:vAlign w:val="center"/>
          </w:tcPr>
          <w:p>
            <w:pPr>
              <w:spacing w:line="360" w:lineRule="auto"/>
              <w:jc w:val="center"/>
              <w:rPr>
                <w:rFonts w:ascii="宋体" w:hAnsi="宋体"/>
                <w:b/>
                <w:szCs w:val="21"/>
              </w:rPr>
            </w:pPr>
          </w:p>
        </w:tc>
      </w:tr>
    </w:tbl>
    <w:p>
      <w:pPr>
        <w:pStyle w:val="63"/>
        <w:spacing w:line="360" w:lineRule="auto"/>
        <w:ind w:firstLine="4560" w:firstLineChars="1900"/>
        <w:rPr>
          <w:rFonts w:ascii="宋体" w:hAnsi="宋体"/>
          <w:szCs w:val="24"/>
        </w:rPr>
      </w:pPr>
    </w:p>
    <w:p>
      <w:pPr>
        <w:pStyle w:val="63"/>
        <w:spacing w:line="360" w:lineRule="auto"/>
        <w:ind w:firstLine="3960" w:firstLineChars="1650"/>
        <w:rPr>
          <w:rFonts w:ascii="宋体" w:hAnsi="宋体"/>
          <w:szCs w:val="24"/>
        </w:rPr>
      </w:pPr>
    </w:p>
    <w:p>
      <w:pPr>
        <w:pStyle w:val="63"/>
        <w:spacing w:line="360" w:lineRule="auto"/>
        <w:ind w:firstLine="3120" w:firstLineChars="1300"/>
        <w:rPr>
          <w:rFonts w:ascii="宋体" w:hAnsi="宋体"/>
          <w:szCs w:val="24"/>
        </w:rPr>
      </w:pPr>
      <w:r>
        <w:rPr>
          <w:rFonts w:hint="eastAsia" w:ascii="宋体" w:hAnsi="宋体"/>
          <w:szCs w:val="24"/>
        </w:rPr>
        <w:t>投标人</w:t>
      </w:r>
      <w:r>
        <w:rPr>
          <w:rFonts w:ascii="宋体" w:hAnsi="宋体"/>
          <w:szCs w:val="24"/>
        </w:rPr>
        <w:t>：</w:t>
      </w:r>
      <w:r>
        <w:rPr>
          <w:rFonts w:ascii="宋体" w:hAnsi="宋体"/>
          <w:szCs w:val="24"/>
          <w:u w:val="single"/>
        </w:rPr>
        <w:t xml:space="preserve">                </w:t>
      </w:r>
      <w:r>
        <w:rPr>
          <w:rFonts w:ascii="宋体" w:hAnsi="宋体"/>
          <w:szCs w:val="24"/>
        </w:rPr>
        <w:t>（盖单位章）</w:t>
      </w:r>
    </w:p>
    <w:p>
      <w:pPr>
        <w:spacing w:line="360" w:lineRule="auto"/>
        <w:rPr>
          <w:rFonts w:ascii="宋体" w:hAnsi="宋体"/>
          <w:sz w:val="24"/>
        </w:rPr>
      </w:pPr>
      <w:r>
        <w:rPr>
          <w:rFonts w:ascii="宋体" w:hAnsi="宋体"/>
          <w:sz w:val="24"/>
        </w:rPr>
        <w:t xml:space="preserve">                          法定代表人或其委托代理人：</w:t>
      </w:r>
      <w:r>
        <w:rPr>
          <w:rFonts w:ascii="宋体" w:hAnsi="宋体"/>
          <w:sz w:val="24"/>
          <w:u w:val="single"/>
        </w:rPr>
        <w:t xml:space="preserve">   </w:t>
      </w:r>
      <w:r>
        <w:rPr>
          <w:rFonts w:ascii="宋体" w:hAnsi="宋体"/>
          <w:bCs/>
          <w:sz w:val="24"/>
          <w:u w:val="single"/>
        </w:rPr>
        <w:t>（签字或盖章）</w:t>
      </w:r>
    </w:p>
    <w:p>
      <w:pPr>
        <w:spacing w:line="360" w:lineRule="auto"/>
        <w:jc w:val="center"/>
        <w:rPr>
          <w:rFonts w:ascii="宋体" w:hAnsi="宋体"/>
          <w:b/>
        </w:rPr>
      </w:pPr>
    </w:p>
    <w:p>
      <w:pPr>
        <w:spacing w:line="360" w:lineRule="auto"/>
        <w:rPr>
          <w:rFonts w:ascii="宋体" w:hAnsi="宋体"/>
          <w:b/>
          <w:sz w:val="20"/>
          <w:szCs w:val="20"/>
        </w:rPr>
      </w:pPr>
    </w:p>
    <w:p>
      <w:pPr>
        <w:spacing w:line="360" w:lineRule="auto"/>
        <w:ind w:firstLine="420" w:firstLineChars="200"/>
        <w:rPr>
          <w:rFonts w:ascii="宋体" w:hAnsi="宋体"/>
          <w:szCs w:val="21"/>
        </w:rPr>
      </w:pPr>
      <w:r>
        <w:rPr>
          <w:rFonts w:hint="eastAsia" w:ascii="宋体" w:hAnsi="宋体"/>
          <w:szCs w:val="21"/>
        </w:rPr>
        <w:t>注：1. 投标人应如实、全面地填写</w:t>
      </w:r>
      <w:r>
        <w:rPr>
          <w:rFonts w:ascii="宋体" w:hAnsi="宋体"/>
          <w:szCs w:val="21"/>
        </w:rPr>
        <w:t>“</w:t>
      </w:r>
      <w:r>
        <w:rPr>
          <w:rFonts w:hint="eastAsia" w:ascii="宋体" w:hAnsi="宋体"/>
          <w:szCs w:val="21"/>
        </w:rPr>
        <w:t>投标</w:t>
      </w:r>
      <w:r>
        <w:rPr>
          <w:rFonts w:ascii="宋体" w:hAnsi="宋体"/>
          <w:szCs w:val="21"/>
        </w:rPr>
        <w:t>人</w:t>
      </w:r>
      <w:r>
        <w:rPr>
          <w:rFonts w:hint="eastAsia" w:ascii="宋体" w:hAnsi="宋体"/>
          <w:szCs w:val="21"/>
        </w:rPr>
        <w:t>关联企业情况表</w:t>
      </w:r>
      <w:r>
        <w:rPr>
          <w:rFonts w:ascii="宋体" w:hAnsi="宋体"/>
          <w:szCs w:val="21"/>
        </w:rPr>
        <w:t>”</w:t>
      </w:r>
      <w:r>
        <w:rPr>
          <w:rFonts w:hint="eastAsia" w:ascii="宋体" w:hAnsi="宋体"/>
          <w:szCs w:val="21"/>
        </w:rPr>
        <w:t>。若因投标人故意</w:t>
      </w:r>
      <w:r>
        <w:rPr>
          <w:rFonts w:ascii="宋体" w:hAnsi="宋体"/>
          <w:szCs w:val="21"/>
        </w:rPr>
        <w:t>隐瞒</w:t>
      </w:r>
      <w:r>
        <w:rPr>
          <w:rFonts w:hint="eastAsia" w:ascii="宋体" w:hAnsi="宋体"/>
          <w:szCs w:val="21"/>
        </w:rPr>
        <w:t>，一经查实，将视为投标人弄虚作假，提供了虚假资料，招标人将按相关规定以</w:t>
      </w:r>
      <w:r>
        <w:rPr>
          <w:rFonts w:ascii="宋体" w:hAnsi="宋体"/>
          <w:szCs w:val="21"/>
        </w:rPr>
        <w:t>弄虚作假行为</w:t>
      </w:r>
      <w:r>
        <w:rPr>
          <w:rFonts w:hint="eastAsia" w:ascii="宋体" w:hAnsi="宋体"/>
          <w:szCs w:val="21"/>
        </w:rPr>
        <w:t>处理。</w:t>
      </w:r>
    </w:p>
    <w:p>
      <w:pPr>
        <w:spacing w:line="360" w:lineRule="auto"/>
        <w:ind w:firstLine="420" w:firstLineChars="200"/>
        <w:rPr>
          <w:rFonts w:ascii="宋体" w:hAnsi="宋体"/>
          <w:szCs w:val="21"/>
        </w:rPr>
      </w:pPr>
      <w:r>
        <w:rPr>
          <w:rFonts w:hint="eastAsia" w:ascii="宋体" w:hAnsi="宋体"/>
          <w:szCs w:val="21"/>
        </w:rPr>
        <w:t>2.如投标人无上表中所述的相关情况，则投标人可在相应表栏中填写“无”。</w:t>
      </w:r>
    </w:p>
    <w:p>
      <w:pPr>
        <w:pStyle w:val="45"/>
        <w:spacing w:line="360" w:lineRule="auto"/>
        <w:ind w:firstLine="420" w:firstLineChars="200"/>
        <w:jc w:val="left"/>
        <w:rPr>
          <w:rFonts w:hAnsi="宋体"/>
          <w:b/>
          <w:sz w:val="32"/>
        </w:rPr>
      </w:pPr>
      <w:r>
        <w:rPr>
          <w:rFonts w:hint="eastAsia" w:hAnsi="宋体"/>
        </w:rPr>
        <w:t>3.单位负责人为同一人或者存在直接控股、管理关系的不同投标人，不得同时参加本招标项目的政府采购活动。</w:t>
      </w:r>
      <w:r>
        <w:rPr>
          <w:rFonts w:hAnsi="宋体"/>
          <w:b/>
          <w:sz w:val="32"/>
        </w:rPr>
        <w:br w:type="page"/>
      </w:r>
    </w:p>
    <w:p>
      <w:pPr>
        <w:pStyle w:val="5"/>
        <w:rPr>
          <w:rFonts w:ascii="宋体" w:hAnsi="宋体"/>
          <w:sz w:val="30"/>
          <w:szCs w:val="30"/>
        </w:rPr>
      </w:pPr>
      <w:bookmarkStart w:id="30" w:name="_Hlk147912100"/>
      <w:r>
        <w:rPr>
          <w:rFonts w:hint="eastAsia" w:ascii="宋体" w:hAnsi="宋体"/>
          <w:sz w:val="30"/>
          <w:szCs w:val="30"/>
        </w:rPr>
        <w:t>4、中小微企业证明文件等（如有）</w:t>
      </w:r>
    </w:p>
    <w:p>
      <w:pPr>
        <w:widowControl/>
        <w:spacing w:line="360" w:lineRule="auto"/>
        <w:jc w:val="center"/>
        <w:rPr>
          <w:rFonts w:ascii="宋体" w:hAnsi="宋体"/>
          <w:b/>
          <w:sz w:val="30"/>
          <w:szCs w:val="30"/>
        </w:rPr>
      </w:pPr>
      <w:r>
        <w:rPr>
          <w:rFonts w:ascii="宋体" w:hAnsi="宋体"/>
          <w:b/>
          <w:sz w:val="30"/>
          <w:szCs w:val="30"/>
        </w:rPr>
        <w:t>小微企业声明函</w:t>
      </w:r>
      <w:r>
        <w:rPr>
          <w:rFonts w:hint="eastAsia" w:ascii="宋体" w:hAnsi="宋体"/>
          <w:b/>
          <w:sz w:val="30"/>
          <w:szCs w:val="30"/>
        </w:rPr>
        <w:t>（工程、服务类，如有）</w:t>
      </w:r>
    </w:p>
    <w:p>
      <w:pPr>
        <w:spacing w:line="360" w:lineRule="auto"/>
        <w:jc w:val="center"/>
        <w:rPr>
          <w:rFonts w:ascii="宋体" w:hAnsi="宋体"/>
          <w:sz w:val="28"/>
          <w:szCs w:val="28"/>
        </w:rPr>
      </w:pPr>
      <w:r>
        <w:rPr>
          <w:rFonts w:hint="eastAsia" w:ascii="宋体" w:hAnsi="宋体"/>
          <w:sz w:val="28"/>
          <w:szCs w:val="28"/>
        </w:rPr>
        <w:t>（格式自制）</w:t>
      </w:r>
    </w:p>
    <w:p>
      <w:pPr>
        <w:adjustRightInd w:val="0"/>
        <w:snapToGrid w:val="0"/>
        <w:spacing w:line="360" w:lineRule="auto"/>
        <w:ind w:firstLine="600" w:firstLineChars="250"/>
        <w:rPr>
          <w:rFonts w:ascii="宋体" w:hAnsi="宋体"/>
          <w:sz w:val="24"/>
        </w:rPr>
      </w:pPr>
    </w:p>
    <w:p>
      <w:pPr>
        <w:tabs>
          <w:tab w:val="left" w:pos="6300"/>
        </w:tabs>
        <w:snapToGrid w:val="0"/>
        <w:spacing w:line="360" w:lineRule="auto"/>
        <w:ind w:firstLine="480" w:firstLineChars="200"/>
        <w:rPr>
          <w:rFonts w:ascii="宋体" w:hAnsi="宋体"/>
          <w:sz w:val="24"/>
        </w:rPr>
      </w:pPr>
      <w:r>
        <w:rPr>
          <w:rFonts w:ascii="宋体" w:hAnsi="宋体"/>
          <w:sz w:val="24"/>
        </w:rPr>
        <w:t>致：</w:t>
      </w:r>
      <w:r>
        <w:rPr>
          <w:rFonts w:ascii="宋体" w:hAnsi="宋体"/>
          <w:sz w:val="24"/>
          <w:u w:val="single"/>
        </w:rPr>
        <w:t xml:space="preserve">  （采购人名称）  </w:t>
      </w:r>
      <w:r>
        <w:rPr>
          <w:rFonts w:hint="eastAsia" w:ascii="宋体" w:hAnsi="宋体"/>
          <w:sz w:val="24"/>
          <w:u w:val="single"/>
        </w:rPr>
        <w:t xml:space="preserve"> </w:t>
      </w:r>
      <w:r>
        <w:rPr>
          <w:rFonts w:ascii="宋体" w:hAnsi="宋体"/>
          <w:sz w:val="24"/>
        </w:rPr>
        <w:t>：</w:t>
      </w:r>
    </w:p>
    <w:p>
      <w:pPr>
        <w:widowControl/>
        <w:adjustRightInd w:val="0"/>
        <w:snapToGrid w:val="0"/>
        <w:spacing w:line="360" w:lineRule="auto"/>
        <w:ind w:firstLine="504" w:firstLineChars="200"/>
        <w:rPr>
          <w:rFonts w:ascii="宋体" w:hAnsi="宋体" w:cs="宋体"/>
          <w:kern w:val="0"/>
          <w:sz w:val="24"/>
        </w:rPr>
      </w:pPr>
      <w:bookmarkStart w:id="31" w:name="_Hlk61509205"/>
      <w:r>
        <w:rPr>
          <w:rFonts w:hint="eastAsia" w:ascii="宋体" w:hAnsi="宋体" w:cs="宋体"/>
          <w:spacing w:val="6"/>
          <w:kern w:val="0"/>
          <w:sz w:val="24"/>
        </w:rPr>
        <w:t>本公司（联合体）郑重声明，根据《政府采购促进中小企业发展管理办法》（财库〔2020〕46号）的规定，本公司（联合体）参加</w:t>
      </w:r>
      <w:r>
        <w:rPr>
          <w:rFonts w:hint="eastAsia" w:ascii="宋体" w:hAnsi="宋体" w:cs="宋体"/>
          <w:spacing w:val="6"/>
          <w:kern w:val="0"/>
          <w:sz w:val="24"/>
          <w:u w:val="single"/>
        </w:rPr>
        <w:t>（单位名称）的（项目名称）</w:t>
      </w:r>
      <w:r>
        <w:rPr>
          <w:rFonts w:ascii="宋体" w:hAnsi="宋体" w:cs="宋体"/>
          <w:spacing w:val="6"/>
          <w:kern w:val="0"/>
          <w:sz w:val="24"/>
          <w:u w:val="single"/>
        </w:rPr>
        <w:t xml:space="preserve"> </w:t>
      </w:r>
      <w:r>
        <w:rPr>
          <w:rFonts w:hint="eastAsia" w:ascii="宋体" w:hAnsi="宋体" w:cs="宋体"/>
          <w:spacing w:val="6"/>
          <w:kern w:val="0"/>
          <w:sz w:val="24"/>
        </w:rPr>
        <w:t>的采购活动，</w:t>
      </w:r>
      <w:r>
        <w:rPr>
          <w:rFonts w:hint="eastAsia" w:ascii="宋体" w:hAnsi="宋体" w:cs="宋体"/>
          <w:kern w:val="0"/>
          <w:sz w:val="24"/>
        </w:rPr>
        <w:t>工程的施工单位全部为符合政策要求的中小企业（或者：服务全部由符合政策要求的中小企业承接 ）。相关企业（含联合体中的中小企业、签订分包意向协议的中小企业）的具体情况如下：</w:t>
      </w:r>
    </w:p>
    <w:p>
      <w:pPr>
        <w:widowControl/>
        <w:adjustRightInd w:val="0"/>
        <w:snapToGrid w:val="0"/>
        <w:spacing w:line="360" w:lineRule="auto"/>
        <w:ind w:firstLine="480" w:firstLineChars="200"/>
        <w:jc w:val="left"/>
        <w:rPr>
          <w:rFonts w:ascii="宋体" w:hAnsi="宋体" w:cs="宋体"/>
          <w:kern w:val="0"/>
          <w:sz w:val="24"/>
        </w:rPr>
      </w:pPr>
      <w:r>
        <w:rPr>
          <w:rFonts w:hint="eastAsia" w:ascii="宋体" w:hAnsi="宋体" w:cs="宋体"/>
          <w:kern w:val="0"/>
          <w:sz w:val="24"/>
        </w:rPr>
        <w:t>1.</w:t>
      </w:r>
      <w:r>
        <w:rPr>
          <w:rFonts w:hint="eastAsia" w:ascii="宋体" w:hAnsi="宋体" w:cs="宋体"/>
          <w:kern w:val="0"/>
          <w:sz w:val="24"/>
        </w:rPr>
        <w:tab/>
      </w:r>
      <w:r>
        <w:rPr>
          <w:rFonts w:hint="eastAsia" w:ascii="宋体" w:hAnsi="宋体" w:cs="宋体"/>
          <w:kern w:val="0"/>
          <w:sz w:val="24"/>
          <w:u w:val="single"/>
        </w:rPr>
        <w:t>(标的各称）</w:t>
      </w:r>
      <w:r>
        <w:rPr>
          <w:rFonts w:hint="eastAsia" w:ascii="宋体" w:hAnsi="宋体" w:cs="宋体"/>
          <w:kern w:val="0"/>
          <w:sz w:val="24"/>
        </w:rPr>
        <w:t>，属于</w:t>
      </w:r>
      <w:r>
        <w:rPr>
          <w:rFonts w:hint="eastAsia" w:ascii="宋体" w:hAnsi="宋体" w:cs="宋体"/>
          <w:kern w:val="0"/>
          <w:sz w:val="24"/>
          <w:u w:val="single"/>
        </w:rPr>
        <w:t>（采购文件中明确的所属行业）</w:t>
      </w:r>
      <w:r>
        <w:rPr>
          <w:rFonts w:hint="eastAsia" w:ascii="宋体" w:hAnsi="宋体" w:cs="宋体"/>
          <w:kern w:val="0"/>
          <w:sz w:val="24"/>
        </w:rPr>
        <w:t xml:space="preserve"> 承建（承接）企业为</w:t>
      </w:r>
      <w:r>
        <w:rPr>
          <w:rFonts w:hint="eastAsia" w:ascii="宋体" w:hAnsi="宋体" w:cs="宋体"/>
          <w:kern w:val="0"/>
          <w:sz w:val="24"/>
          <w:u w:val="single"/>
        </w:rPr>
        <w:t>（企业名称）</w:t>
      </w:r>
      <w:r>
        <w:rPr>
          <w:rFonts w:hint="eastAsia" w:ascii="宋体" w:hAnsi="宋体" w:cs="宋体"/>
          <w:kern w:val="0"/>
          <w:sz w:val="24"/>
        </w:rPr>
        <w:t>，从业人员</w:t>
      </w:r>
      <w:r>
        <w:rPr>
          <w:rFonts w:ascii="宋体" w:hAnsi="宋体" w:cs="宋体"/>
          <w:kern w:val="0"/>
          <w:sz w:val="24"/>
          <w:u w:val="single"/>
        </w:rPr>
        <w:t xml:space="preserve">   </w:t>
      </w:r>
      <w:r>
        <w:rPr>
          <w:rFonts w:hint="eastAsia" w:ascii="宋体" w:hAnsi="宋体" w:cs="宋体"/>
          <w:kern w:val="0"/>
          <w:sz w:val="24"/>
        </w:rPr>
        <w:t>人，营业收入为</w:t>
      </w:r>
      <w:r>
        <w:rPr>
          <w:rFonts w:hint="eastAsia" w:ascii="宋体" w:hAnsi="宋体" w:cs="宋体"/>
          <w:kern w:val="0"/>
          <w:sz w:val="24"/>
          <w:u w:val="single"/>
        </w:rPr>
        <w:t xml:space="preserve">    </w:t>
      </w:r>
      <w:r>
        <w:rPr>
          <w:rFonts w:hint="eastAsia" w:ascii="宋体" w:hAnsi="宋体" w:cs="宋体"/>
          <w:kern w:val="0"/>
          <w:sz w:val="24"/>
        </w:rPr>
        <w:t>万元， 资产总额为</w:t>
      </w:r>
      <w:r>
        <w:rPr>
          <w:rFonts w:hint="eastAsia" w:ascii="宋体" w:hAnsi="宋体" w:cs="宋体"/>
          <w:kern w:val="0"/>
          <w:sz w:val="24"/>
          <w:u w:val="single"/>
        </w:rPr>
        <w:t xml:space="preserve"> </w:t>
      </w:r>
      <w:r>
        <w:rPr>
          <w:rFonts w:ascii="宋体" w:hAnsi="宋体" w:cs="宋体"/>
          <w:kern w:val="0"/>
          <w:sz w:val="24"/>
          <w:u w:val="single"/>
        </w:rPr>
        <w:t xml:space="preserve">  </w:t>
      </w:r>
      <w:r>
        <w:rPr>
          <w:rFonts w:hint="eastAsia" w:ascii="宋体" w:hAnsi="宋体" w:cs="宋体"/>
          <w:kern w:val="0"/>
          <w:sz w:val="24"/>
        </w:rPr>
        <w:t xml:space="preserve">万元，属于（ </w:t>
      </w:r>
      <w:r>
        <w:rPr>
          <w:rFonts w:hint="eastAsia" w:ascii="宋体" w:hAnsi="宋体" w:cs="宋体"/>
          <w:kern w:val="0"/>
          <w:sz w:val="24"/>
          <w:u w:val="single"/>
        </w:rPr>
        <w:t>中型企业</w:t>
      </w:r>
      <w:r>
        <w:rPr>
          <w:rFonts w:hint="eastAsia" w:ascii="宋体" w:hAnsi="宋体" w:cs="宋体"/>
          <w:kern w:val="0"/>
          <w:sz w:val="24"/>
        </w:rPr>
        <w:t>、</w:t>
      </w:r>
      <w:r>
        <w:rPr>
          <w:rFonts w:hint="eastAsia" w:ascii="宋体" w:hAnsi="宋体" w:cs="宋体"/>
          <w:kern w:val="0"/>
          <w:sz w:val="24"/>
          <w:u w:val="single"/>
        </w:rPr>
        <w:t>小型企业</w:t>
      </w:r>
      <w:r>
        <w:rPr>
          <w:rFonts w:hint="eastAsia" w:ascii="宋体" w:hAnsi="宋体" w:cs="宋体"/>
          <w:kern w:val="0"/>
          <w:sz w:val="24"/>
        </w:rPr>
        <w:t>、</w:t>
      </w:r>
      <w:r>
        <w:rPr>
          <w:rFonts w:hint="eastAsia" w:ascii="宋体" w:hAnsi="宋体" w:cs="宋体"/>
          <w:kern w:val="0"/>
          <w:sz w:val="24"/>
          <w:u w:val="single"/>
        </w:rPr>
        <w:t>微型企业</w:t>
      </w:r>
      <w:r>
        <w:rPr>
          <w:rFonts w:hint="eastAsia" w:ascii="宋体" w:hAnsi="宋体" w:cs="宋体"/>
          <w:kern w:val="0"/>
          <w:sz w:val="24"/>
        </w:rPr>
        <w:t>),</w:t>
      </w:r>
    </w:p>
    <w:p>
      <w:pPr>
        <w:widowControl/>
        <w:adjustRightInd w:val="0"/>
        <w:snapToGrid w:val="0"/>
        <w:spacing w:line="360" w:lineRule="auto"/>
        <w:ind w:firstLine="480" w:firstLineChars="200"/>
        <w:jc w:val="left"/>
        <w:rPr>
          <w:rFonts w:ascii="宋体" w:hAnsi="宋体" w:cs="宋体"/>
          <w:kern w:val="0"/>
          <w:sz w:val="24"/>
        </w:rPr>
      </w:pPr>
      <w:r>
        <w:rPr>
          <w:rFonts w:hint="eastAsia" w:ascii="宋体" w:hAnsi="宋体" w:cs="宋体"/>
          <w:kern w:val="0"/>
          <w:sz w:val="24"/>
        </w:rPr>
        <w:t>2.</w:t>
      </w:r>
      <w:r>
        <w:rPr>
          <w:rFonts w:hint="eastAsia" w:ascii="宋体" w:hAnsi="宋体" w:cs="宋体"/>
          <w:kern w:val="0"/>
          <w:sz w:val="24"/>
        </w:rPr>
        <w:tab/>
      </w:r>
      <w:r>
        <w:rPr>
          <w:rFonts w:hint="eastAsia" w:ascii="宋体" w:hAnsi="宋体" w:cs="宋体"/>
          <w:kern w:val="0"/>
          <w:sz w:val="24"/>
          <w:u w:val="single"/>
        </w:rPr>
        <w:t>(标的名称）</w:t>
      </w:r>
      <w:r>
        <w:rPr>
          <w:rFonts w:hint="eastAsia" w:ascii="宋体" w:hAnsi="宋体" w:cs="宋体"/>
          <w:kern w:val="0"/>
          <w:sz w:val="24"/>
        </w:rPr>
        <w:t>，属于</w:t>
      </w:r>
      <w:r>
        <w:rPr>
          <w:rFonts w:hint="eastAsia" w:ascii="宋体" w:hAnsi="宋体" w:cs="宋体"/>
          <w:kern w:val="0"/>
          <w:sz w:val="24"/>
          <w:u w:val="single"/>
        </w:rPr>
        <w:t>（采购文件中明确的所属行业)</w:t>
      </w:r>
      <w:r>
        <w:rPr>
          <w:rFonts w:hint="eastAsia" w:ascii="宋体" w:hAnsi="宋体" w:cs="宋体"/>
          <w:kern w:val="0"/>
          <w:sz w:val="24"/>
        </w:rPr>
        <w:t>；承建（承接）企业为</w:t>
      </w:r>
      <w:r>
        <w:rPr>
          <w:rFonts w:hint="eastAsia" w:ascii="宋体" w:hAnsi="宋体" w:cs="宋体"/>
          <w:kern w:val="0"/>
          <w:sz w:val="24"/>
          <w:u w:val="single"/>
        </w:rPr>
        <w:t>（企业名称）</w:t>
      </w:r>
      <w:r>
        <w:rPr>
          <w:rFonts w:hint="eastAsia" w:ascii="宋体" w:hAnsi="宋体" w:cs="宋体"/>
          <w:kern w:val="0"/>
          <w:sz w:val="24"/>
        </w:rPr>
        <w:t>，从业人员</w:t>
      </w:r>
      <w:r>
        <w:rPr>
          <w:rFonts w:ascii="宋体" w:hAnsi="宋体" w:cs="宋体"/>
          <w:kern w:val="0"/>
          <w:sz w:val="24"/>
          <w:u w:val="single"/>
        </w:rPr>
        <w:t xml:space="preserve">   </w:t>
      </w:r>
      <w:r>
        <w:rPr>
          <w:rFonts w:hint="eastAsia" w:ascii="宋体" w:hAnsi="宋体" w:cs="宋体"/>
          <w:kern w:val="0"/>
          <w:sz w:val="24"/>
        </w:rPr>
        <w:t>人，营业收入为</w:t>
      </w:r>
      <w:r>
        <w:rPr>
          <w:rFonts w:hint="eastAsia" w:ascii="宋体" w:hAnsi="宋体" w:cs="宋体"/>
          <w:kern w:val="0"/>
          <w:sz w:val="24"/>
          <w:u w:val="single"/>
        </w:rPr>
        <w:t xml:space="preserve"> </w:t>
      </w:r>
      <w:r>
        <w:rPr>
          <w:rFonts w:ascii="宋体" w:hAnsi="宋体" w:cs="宋体"/>
          <w:kern w:val="0"/>
          <w:sz w:val="24"/>
          <w:u w:val="single"/>
        </w:rPr>
        <w:t xml:space="preserve">   </w:t>
      </w:r>
      <w:r>
        <w:rPr>
          <w:rFonts w:hint="eastAsia" w:ascii="宋体" w:hAnsi="宋体" w:cs="宋体"/>
          <w:kern w:val="0"/>
          <w:sz w:val="24"/>
        </w:rPr>
        <w:t>万元，资产总额为</w:t>
      </w:r>
      <w:r>
        <w:rPr>
          <w:rFonts w:ascii="宋体" w:hAnsi="宋体" w:cs="宋体"/>
          <w:kern w:val="0"/>
          <w:sz w:val="24"/>
          <w:u w:val="single"/>
        </w:rPr>
        <w:t xml:space="preserve">    </w:t>
      </w:r>
      <w:r>
        <w:rPr>
          <w:rFonts w:hint="eastAsia" w:ascii="宋体" w:hAnsi="宋体" w:cs="宋体"/>
          <w:kern w:val="0"/>
          <w:sz w:val="24"/>
        </w:rPr>
        <w:t>万元，属于（中型企业、小型企业、微型企业)。</w:t>
      </w:r>
    </w:p>
    <w:p>
      <w:pPr>
        <w:widowControl/>
        <w:adjustRightInd w:val="0"/>
        <w:snapToGrid w:val="0"/>
        <w:spacing w:line="360" w:lineRule="auto"/>
        <w:ind w:firstLine="480" w:firstLineChars="200"/>
        <w:jc w:val="left"/>
        <w:rPr>
          <w:rFonts w:ascii="宋体" w:hAnsi="宋体" w:cs="宋体"/>
          <w:kern w:val="0"/>
          <w:sz w:val="24"/>
        </w:rPr>
      </w:pPr>
      <w:r>
        <w:rPr>
          <w:rFonts w:hint="eastAsia" w:ascii="宋体" w:hAnsi="宋体" w:cs="宋体"/>
          <w:kern w:val="0"/>
          <w:sz w:val="24"/>
        </w:rPr>
        <w:t>……</w:t>
      </w:r>
    </w:p>
    <w:p>
      <w:pPr>
        <w:widowControl/>
        <w:adjustRightInd w:val="0"/>
        <w:snapToGrid w:val="0"/>
        <w:spacing w:line="360" w:lineRule="auto"/>
        <w:ind w:firstLine="480" w:firstLineChars="200"/>
        <w:jc w:val="left"/>
        <w:rPr>
          <w:rFonts w:ascii="宋体" w:hAnsi="宋体" w:cs="宋体"/>
          <w:kern w:val="0"/>
          <w:sz w:val="24"/>
        </w:rPr>
      </w:pPr>
      <w:r>
        <w:rPr>
          <w:rFonts w:hint="eastAsia" w:ascii="宋体" w:hAnsi="宋体" w:cs="宋体"/>
          <w:kern w:val="0"/>
          <w:sz w:val="24"/>
        </w:rPr>
        <w:t>以上企业，不属于大企业的分支机构，不存在控股股东为大企业的情形，也不存在与大企业的负责人为同一人的情形。</w:t>
      </w:r>
    </w:p>
    <w:p>
      <w:pPr>
        <w:widowControl/>
        <w:adjustRightInd w:val="0"/>
        <w:snapToGrid w:val="0"/>
        <w:spacing w:line="360" w:lineRule="auto"/>
        <w:ind w:firstLine="504" w:firstLineChars="200"/>
        <w:jc w:val="left"/>
        <w:rPr>
          <w:rFonts w:ascii="宋体" w:hAnsi="宋体" w:cs="宋体"/>
          <w:kern w:val="0"/>
          <w:sz w:val="24"/>
        </w:rPr>
      </w:pPr>
      <w:r>
        <w:rPr>
          <w:rFonts w:hint="eastAsia" w:ascii="宋体" w:hAnsi="宋体" w:cs="宋体"/>
          <w:spacing w:val="6"/>
          <w:kern w:val="0"/>
          <w:sz w:val="24"/>
        </w:rPr>
        <w:t>本公司对上述声明内容的真实性负责。如有虚假，将依法承担相应责任。</w:t>
      </w:r>
    </w:p>
    <w:bookmarkEnd w:id="31"/>
    <w:p>
      <w:pPr>
        <w:widowControl/>
        <w:adjustRightInd w:val="0"/>
        <w:snapToGrid w:val="0"/>
        <w:spacing w:line="360" w:lineRule="auto"/>
        <w:ind w:firstLine="504" w:firstLineChars="200"/>
        <w:jc w:val="center"/>
        <w:rPr>
          <w:rFonts w:ascii="宋体" w:hAnsi="宋体" w:cs="宋体"/>
          <w:spacing w:val="6"/>
          <w:kern w:val="0"/>
          <w:sz w:val="24"/>
        </w:rPr>
      </w:pPr>
      <w:r>
        <w:rPr>
          <w:rFonts w:ascii="宋体" w:hAnsi="宋体" w:cs="宋体"/>
          <w:spacing w:val="6"/>
          <w:kern w:val="0"/>
          <w:sz w:val="24"/>
        </w:rPr>
        <w:t xml:space="preserve">        </w:t>
      </w:r>
    </w:p>
    <w:p>
      <w:pPr>
        <w:spacing w:line="360" w:lineRule="auto"/>
        <w:ind w:firstLine="3600" w:firstLineChars="1500"/>
        <w:rPr>
          <w:rFonts w:ascii="宋体" w:hAnsi="宋体"/>
          <w:sz w:val="24"/>
          <w:u w:val="single"/>
        </w:rPr>
      </w:pPr>
      <w:r>
        <w:rPr>
          <w:rFonts w:hint="eastAsia" w:ascii="宋体" w:hAnsi="宋体"/>
          <w:sz w:val="24"/>
        </w:rPr>
        <w:t>企业名称：</w:t>
      </w:r>
      <w:r>
        <w:rPr>
          <w:rFonts w:hint="eastAsia" w:ascii="宋体" w:hAnsi="宋体"/>
          <w:bCs/>
          <w:sz w:val="24"/>
          <w:u w:val="single"/>
        </w:rPr>
        <w:t>（全称）</w:t>
      </w:r>
      <w:r>
        <w:rPr>
          <w:rFonts w:hint="eastAsia" w:ascii="宋体" w:hAnsi="宋体"/>
          <w:sz w:val="24"/>
          <w:u w:val="single"/>
        </w:rPr>
        <w:t>（盖章）</w:t>
      </w:r>
    </w:p>
    <w:p>
      <w:pPr>
        <w:pStyle w:val="278"/>
        <w:widowControl w:val="0"/>
        <w:spacing w:line="360" w:lineRule="auto"/>
        <w:ind w:firstLine="3600" w:firstLineChars="1500"/>
        <w:rPr>
          <w:rFonts w:ascii="宋体" w:hAnsi="宋体"/>
          <w:szCs w:val="24"/>
        </w:rPr>
      </w:pPr>
      <w:r>
        <w:rPr>
          <w:rFonts w:hint="eastAsia" w:ascii="宋体" w:hAnsi="宋体"/>
          <w:szCs w:val="24"/>
        </w:rPr>
        <w:t>日期：    年    月   日</w:t>
      </w:r>
    </w:p>
    <w:p>
      <w:pPr>
        <w:spacing w:line="360" w:lineRule="auto"/>
        <w:rPr>
          <w:rFonts w:ascii="宋体" w:hAnsi="宋体"/>
          <w:szCs w:val="21"/>
        </w:rPr>
      </w:pPr>
      <w:r>
        <w:rPr>
          <w:rFonts w:hint="eastAsia" w:ascii="宋体" w:hAnsi="宋体"/>
          <w:szCs w:val="21"/>
        </w:rPr>
        <w:t>说明：</w:t>
      </w:r>
    </w:p>
    <w:p>
      <w:pPr>
        <w:spacing w:line="360" w:lineRule="auto"/>
        <w:rPr>
          <w:rFonts w:ascii="宋体" w:hAnsi="宋体"/>
          <w:szCs w:val="21"/>
        </w:rPr>
      </w:pPr>
      <w:bookmarkStart w:id="32" w:name="_Hlk62123242"/>
      <w:r>
        <w:rPr>
          <w:rFonts w:hint="eastAsia" w:ascii="宋体" w:hAnsi="宋体"/>
          <w:szCs w:val="21"/>
        </w:rPr>
        <w:t>1.如所提供服务的单位为中小微企业的，须提供《声明函》，声明函内容不实的，属于提供虚假材料谋取中标、成交，依照《中华人民共和国政府采购法》等国家有关规定追究相应责任。</w:t>
      </w:r>
      <w:bookmarkEnd w:id="32"/>
    </w:p>
    <w:p>
      <w:pPr>
        <w:spacing w:line="360" w:lineRule="auto"/>
        <w:rPr>
          <w:rFonts w:ascii="宋体" w:hAnsi="宋体"/>
          <w:b/>
          <w:sz w:val="28"/>
          <w:szCs w:val="28"/>
        </w:rPr>
      </w:pPr>
      <w:r>
        <w:rPr>
          <w:rFonts w:ascii="宋体" w:hAnsi="宋体"/>
          <w:szCs w:val="21"/>
        </w:rPr>
        <w:t>2.</w:t>
      </w:r>
      <w:r>
        <w:rPr>
          <w:rFonts w:hint="eastAsia" w:ascii="宋体" w:hAnsi="宋体"/>
          <w:szCs w:val="21"/>
        </w:rPr>
        <w:t>从业人员、营业收入、资产总额填报上一年度数据， 无上一年度数据的新成立企业可不填报。</w:t>
      </w:r>
      <w:bookmarkEnd w:id="30"/>
    </w:p>
    <w:p>
      <w:pPr>
        <w:pStyle w:val="2"/>
        <w:rPr>
          <w:rFonts w:hAnsi="宋体"/>
          <w:sz w:val="30"/>
          <w:szCs w:val="30"/>
        </w:rPr>
      </w:pPr>
      <w:r>
        <w:rPr>
          <w:rFonts w:hint="eastAsia" w:hAnsi="宋体"/>
          <w:sz w:val="30"/>
          <w:szCs w:val="30"/>
        </w:rPr>
        <w:t>4</w:t>
      </w:r>
      <w:r>
        <w:rPr>
          <w:rFonts w:hAnsi="宋体"/>
          <w:sz w:val="30"/>
          <w:szCs w:val="30"/>
        </w:rPr>
        <w:t>-</w:t>
      </w:r>
      <w:r>
        <w:rPr>
          <w:rFonts w:hint="eastAsia" w:hAnsi="宋体"/>
          <w:sz w:val="30"/>
          <w:szCs w:val="30"/>
        </w:rPr>
        <w:t>2</w:t>
      </w:r>
      <w:r>
        <w:rPr>
          <w:rFonts w:hAnsi="宋体"/>
          <w:sz w:val="30"/>
          <w:szCs w:val="30"/>
        </w:rPr>
        <w:t xml:space="preserve"> 残疾人福利性单位声明函（如有）</w:t>
      </w:r>
    </w:p>
    <w:p>
      <w:pPr>
        <w:tabs>
          <w:tab w:val="left" w:pos="6300"/>
        </w:tabs>
        <w:snapToGrid w:val="0"/>
        <w:spacing w:line="360" w:lineRule="auto"/>
        <w:ind w:firstLine="480" w:firstLineChars="200"/>
        <w:rPr>
          <w:rFonts w:ascii="宋体" w:hAnsi="宋体"/>
          <w:sz w:val="24"/>
        </w:rPr>
      </w:pPr>
      <w:r>
        <w:rPr>
          <w:rFonts w:ascii="宋体" w:hAnsi="宋体"/>
          <w:sz w:val="24"/>
        </w:rPr>
        <w:t>本单位郑重声明，根据《财政部 民政部 中国残疾人联合会关于促进残疾人就业政府采购政策的通知》（财库〔2017〕 141号）的规定，本单位为符合条件的残疾人福利性单位，且本单位参加</w:t>
      </w:r>
      <w:r>
        <w:rPr>
          <w:rFonts w:ascii="宋体" w:hAnsi="宋体"/>
          <w:sz w:val="24"/>
          <w:u w:val="single"/>
        </w:rPr>
        <w:t>_（采购人）单位</w:t>
      </w:r>
      <w:r>
        <w:rPr>
          <w:rFonts w:ascii="宋体" w:hAnsi="宋体"/>
          <w:sz w:val="24"/>
        </w:rPr>
        <w:t>的______项目采购活动提供本单位制造的货物</w:t>
      </w:r>
      <w:r>
        <w:rPr>
          <w:rFonts w:ascii="宋体" w:hAnsi="宋体"/>
          <w:sz w:val="24"/>
          <w:u w:val="single"/>
        </w:rPr>
        <w:t>（由本单位承担工程/提供服务）</w:t>
      </w:r>
      <w:r>
        <w:rPr>
          <w:rFonts w:ascii="宋体" w:hAnsi="宋体"/>
          <w:sz w:val="24"/>
        </w:rPr>
        <w:t>，或者提供其他残疾人福利性单位制造的货物（不包括使用非残疾人福利性单位注册商标的货物）。</w:t>
      </w:r>
    </w:p>
    <w:p>
      <w:pPr>
        <w:tabs>
          <w:tab w:val="left" w:pos="6300"/>
        </w:tabs>
        <w:snapToGrid w:val="0"/>
        <w:spacing w:line="360" w:lineRule="auto"/>
        <w:ind w:firstLine="480" w:firstLineChars="200"/>
        <w:rPr>
          <w:rFonts w:ascii="宋体" w:hAnsi="宋体"/>
          <w:sz w:val="24"/>
        </w:rPr>
      </w:pPr>
      <w:r>
        <w:rPr>
          <w:rFonts w:ascii="宋体" w:hAnsi="宋体"/>
          <w:sz w:val="24"/>
        </w:rPr>
        <w:t>本单位对上述声明的真实性负责。如有虚假，将依法承担相应责任。</w:t>
      </w:r>
    </w:p>
    <w:p>
      <w:pPr>
        <w:tabs>
          <w:tab w:val="left" w:pos="6300"/>
        </w:tabs>
        <w:snapToGrid w:val="0"/>
        <w:spacing w:line="360" w:lineRule="auto"/>
        <w:ind w:firstLine="480" w:firstLineChars="200"/>
        <w:rPr>
          <w:rFonts w:ascii="宋体" w:hAnsi="宋体"/>
          <w:sz w:val="24"/>
        </w:rPr>
      </w:pPr>
    </w:p>
    <w:p>
      <w:pPr>
        <w:widowControl/>
        <w:adjustRightInd w:val="0"/>
        <w:snapToGrid w:val="0"/>
        <w:spacing w:line="360" w:lineRule="auto"/>
        <w:ind w:firstLine="480" w:firstLineChars="200"/>
        <w:jc w:val="center"/>
        <w:rPr>
          <w:rFonts w:ascii="宋体" w:hAnsi="宋体"/>
          <w:sz w:val="24"/>
        </w:rPr>
      </w:pPr>
    </w:p>
    <w:p>
      <w:pPr>
        <w:widowControl/>
        <w:adjustRightInd w:val="0"/>
        <w:snapToGrid w:val="0"/>
        <w:spacing w:line="360" w:lineRule="auto"/>
        <w:rPr>
          <w:rFonts w:ascii="宋体" w:hAnsi="宋体"/>
          <w:spacing w:val="6"/>
          <w:kern w:val="0"/>
          <w:sz w:val="24"/>
        </w:rPr>
      </w:pPr>
      <w:r>
        <w:rPr>
          <w:rFonts w:ascii="宋体" w:hAnsi="宋体"/>
          <w:spacing w:val="6"/>
          <w:kern w:val="0"/>
          <w:sz w:val="24"/>
        </w:rPr>
        <w:t>供应商名称：</w:t>
      </w:r>
      <w:r>
        <w:rPr>
          <w:rFonts w:ascii="宋体" w:hAnsi="宋体"/>
          <w:spacing w:val="6"/>
          <w:kern w:val="0"/>
          <w:sz w:val="24"/>
          <w:u w:val="single"/>
        </w:rPr>
        <w:t xml:space="preserve">    </w:t>
      </w:r>
      <w:r>
        <w:rPr>
          <w:rFonts w:ascii="宋体" w:hAnsi="宋体"/>
          <w:spacing w:val="6"/>
          <w:kern w:val="0"/>
          <w:sz w:val="24"/>
        </w:rPr>
        <w:t>（盖单位章）</w:t>
      </w:r>
    </w:p>
    <w:p>
      <w:pPr>
        <w:pStyle w:val="34"/>
        <w:spacing w:after="0" w:line="360" w:lineRule="auto"/>
        <w:rPr>
          <w:rFonts w:ascii="宋体" w:hAnsi="宋体"/>
          <w:bCs/>
          <w:sz w:val="24"/>
        </w:rPr>
      </w:pPr>
      <w:r>
        <w:rPr>
          <w:rFonts w:ascii="宋体" w:hAnsi="宋体"/>
          <w:bCs/>
          <w:sz w:val="24"/>
        </w:rPr>
        <w:t>法定代表人或委托代理人：</w:t>
      </w:r>
      <w:r>
        <w:rPr>
          <w:rFonts w:ascii="宋体" w:hAnsi="宋体"/>
          <w:bCs/>
          <w:sz w:val="24"/>
          <w:u w:val="single"/>
        </w:rPr>
        <w:t>（签字或盖章）</w:t>
      </w:r>
    </w:p>
    <w:p>
      <w:pPr>
        <w:widowControl/>
        <w:adjustRightInd w:val="0"/>
        <w:snapToGrid w:val="0"/>
        <w:spacing w:line="360" w:lineRule="auto"/>
        <w:rPr>
          <w:rFonts w:ascii="宋体" w:hAnsi="宋体"/>
          <w:sz w:val="24"/>
        </w:rPr>
      </w:pPr>
      <w:r>
        <w:rPr>
          <w:rFonts w:ascii="宋体" w:hAnsi="宋体"/>
          <w:spacing w:val="6"/>
          <w:kern w:val="0"/>
          <w:sz w:val="24"/>
        </w:rPr>
        <w:t>日期：</w:t>
      </w:r>
      <w:r>
        <w:rPr>
          <w:rFonts w:ascii="宋体" w:hAnsi="宋体"/>
          <w:sz w:val="24"/>
          <w:u w:val="single"/>
        </w:rPr>
        <w:t xml:space="preserve">        </w:t>
      </w:r>
      <w:r>
        <w:rPr>
          <w:rFonts w:ascii="宋体" w:hAnsi="宋体"/>
          <w:sz w:val="24"/>
        </w:rPr>
        <w:t>年</w:t>
      </w:r>
      <w:r>
        <w:rPr>
          <w:rFonts w:ascii="宋体" w:hAnsi="宋体"/>
          <w:sz w:val="24"/>
          <w:u w:val="single"/>
        </w:rPr>
        <w:t xml:space="preserve">    </w:t>
      </w:r>
      <w:r>
        <w:rPr>
          <w:rFonts w:ascii="宋体" w:hAnsi="宋体"/>
          <w:sz w:val="24"/>
        </w:rPr>
        <w:t>月</w:t>
      </w:r>
      <w:r>
        <w:rPr>
          <w:rFonts w:ascii="宋体" w:hAnsi="宋体"/>
          <w:sz w:val="24"/>
          <w:u w:val="single"/>
        </w:rPr>
        <w:t xml:space="preserve">   </w:t>
      </w:r>
      <w:r>
        <w:rPr>
          <w:rFonts w:ascii="宋体" w:hAnsi="宋体"/>
          <w:sz w:val="24"/>
        </w:rPr>
        <w:t>日</w:t>
      </w:r>
    </w:p>
    <w:p>
      <w:pPr>
        <w:spacing w:line="360" w:lineRule="auto"/>
        <w:jc w:val="center"/>
        <w:rPr>
          <w:rFonts w:ascii="宋体" w:hAnsi="宋体"/>
          <w:b/>
          <w:bCs/>
          <w:sz w:val="30"/>
          <w:szCs w:val="30"/>
        </w:rPr>
      </w:pPr>
      <w:r>
        <w:rPr>
          <w:rFonts w:ascii="宋体" w:hAnsi="宋体"/>
          <w:b/>
          <w:bCs/>
          <w:sz w:val="30"/>
          <w:szCs w:val="30"/>
        </w:rPr>
        <w:br w:type="page"/>
      </w:r>
    </w:p>
    <w:p>
      <w:pPr>
        <w:pStyle w:val="2"/>
        <w:rPr>
          <w:rFonts w:hAnsi="宋体"/>
          <w:sz w:val="30"/>
          <w:szCs w:val="30"/>
        </w:rPr>
      </w:pPr>
      <w:r>
        <w:rPr>
          <w:rFonts w:hint="eastAsia" w:hAnsi="宋体"/>
          <w:sz w:val="30"/>
          <w:szCs w:val="30"/>
        </w:rPr>
        <w:t>4</w:t>
      </w:r>
      <w:r>
        <w:rPr>
          <w:rFonts w:hAnsi="宋体"/>
          <w:sz w:val="30"/>
          <w:szCs w:val="30"/>
        </w:rPr>
        <w:t>-</w:t>
      </w:r>
      <w:r>
        <w:rPr>
          <w:rFonts w:hint="eastAsia" w:hAnsi="宋体"/>
          <w:sz w:val="30"/>
          <w:szCs w:val="30"/>
        </w:rPr>
        <w:t>3</w:t>
      </w:r>
      <w:r>
        <w:rPr>
          <w:rFonts w:hAnsi="宋体"/>
          <w:sz w:val="30"/>
          <w:szCs w:val="30"/>
        </w:rPr>
        <w:t>监狱企业证明文件（如有）</w:t>
      </w:r>
    </w:p>
    <w:p>
      <w:pPr>
        <w:spacing w:line="360" w:lineRule="auto"/>
        <w:ind w:firstLine="480" w:firstLineChars="200"/>
        <w:jc w:val="left"/>
        <w:rPr>
          <w:rFonts w:ascii="宋体" w:hAnsi="宋体"/>
          <w:sz w:val="24"/>
        </w:rPr>
      </w:pPr>
    </w:p>
    <w:p>
      <w:pPr>
        <w:spacing w:line="360" w:lineRule="auto"/>
        <w:ind w:firstLine="480" w:firstLineChars="200"/>
        <w:jc w:val="left"/>
        <w:rPr>
          <w:rFonts w:ascii="宋体" w:hAnsi="宋体"/>
          <w:sz w:val="24"/>
        </w:rPr>
      </w:pPr>
      <w:r>
        <w:rPr>
          <w:rFonts w:hint="eastAsia" w:ascii="宋体" w:hAnsi="宋体"/>
          <w:sz w:val="24"/>
        </w:rPr>
        <w:t>1</w:t>
      </w:r>
      <w:r>
        <w:rPr>
          <w:rFonts w:ascii="宋体" w:hAnsi="宋体"/>
          <w:sz w:val="24"/>
        </w:rPr>
        <w:t xml:space="preserve">. </w:t>
      </w:r>
      <w:r>
        <w:rPr>
          <w:rFonts w:hint="eastAsia" w:ascii="宋体" w:hAnsi="宋体"/>
          <w:sz w:val="24"/>
        </w:rPr>
        <w:t>监狱企业证明（如属于监狱企业，需提供由省级以上监狱管理局、戒毒管理局（含新疆生产建设兵团）出具的属于监狱企业的证明文件）；</w:t>
      </w:r>
    </w:p>
    <w:p>
      <w:pPr>
        <w:spacing w:line="360" w:lineRule="auto"/>
        <w:ind w:firstLine="480" w:firstLineChars="200"/>
        <w:jc w:val="left"/>
        <w:rPr>
          <w:rFonts w:ascii="宋体" w:hAnsi="宋体"/>
          <w:sz w:val="24"/>
        </w:rPr>
      </w:pPr>
      <w:r>
        <w:rPr>
          <w:rFonts w:hint="eastAsia" w:ascii="宋体" w:hAnsi="宋体"/>
          <w:sz w:val="24"/>
        </w:rPr>
        <w:t>2</w:t>
      </w:r>
      <w:r>
        <w:rPr>
          <w:rFonts w:ascii="宋体" w:hAnsi="宋体"/>
          <w:sz w:val="24"/>
        </w:rPr>
        <w:t>.</w:t>
      </w:r>
      <w:r>
        <w:rPr>
          <w:rFonts w:hint="eastAsia" w:ascii="宋体" w:hAnsi="宋体"/>
          <w:sz w:val="24"/>
        </w:rPr>
        <w:t>证明材料加盖投标人公章。</w:t>
      </w:r>
    </w:p>
    <w:p>
      <w:pPr>
        <w:spacing w:line="360" w:lineRule="auto"/>
        <w:rPr>
          <w:rFonts w:ascii="宋体" w:hAnsi="宋体"/>
          <w:sz w:val="24"/>
        </w:rPr>
      </w:pPr>
    </w:p>
    <w:p>
      <w:pPr>
        <w:spacing w:line="360" w:lineRule="auto"/>
        <w:rPr>
          <w:rFonts w:ascii="宋体" w:hAnsi="宋体"/>
          <w:sz w:val="24"/>
        </w:rPr>
      </w:pPr>
    </w:p>
    <w:p>
      <w:pPr>
        <w:widowControl/>
        <w:jc w:val="left"/>
        <w:rPr>
          <w:rFonts w:ascii="宋体" w:hAnsi="宋体" w:eastAsia="黑体"/>
          <w:b/>
          <w:kern w:val="0"/>
          <w:sz w:val="30"/>
          <w:szCs w:val="30"/>
        </w:rPr>
      </w:pPr>
      <w:r>
        <w:rPr>
          <w:rFonts w:ascii="宋体" w:hAnsi="宋体"/>
          <w:sz w:val="30"/>
          <w:szCs w:val="30"/>
        </w:rPr>
        <w:br w:type="page"/>
      </w:r>
    </w:p>
    <w:p>
      <w:pPr>
        <w:pStyle w:val="5"/>
        <w:rPr>
          <w:rFonts w:ascii="宋体" w:hAnsi="宋体"/>
          <w:sz w:val="30"/>
          <w:szCs w:val="30"/>
        </w:rPr>
      </w:pPr>
      <w:r>
        <w:rPr>
          <w:rFonts w:hint="eastAsia" w:ascii="宋体" w:hAnsi="宋体"/>
          <w:sz w:val="30"/>
          <w:szCs w:val="30"/>
        </w:rPr>
        <w:t>5</w:t>
      </w:r>
      <w:r>
        <w:rPr>
          <w:rFonts w:ascii="宋体" w:hAnsi="宋体"/>
          <w:sz w:val="30"/>
          <w:szCs w:val="30"/>
        </w:rPr>
        <w:t>、信用查询记录</w:t>
      </w:r>
    </w:p>
    <w:p>
      <w:pPr>
        <w:pStyle w:val="45"/>
        <w:spacing w:line="360" w:lineRule="auto"/>
        <w:jc w:val="center"/>
        <w:rPr>
          <w:rFonts w:hAnsi="宋体"/>
          <w:b/>
          <w:sz w:val="32"/>
        </w:rPr>
      </w:pPr>
    </w:p>
    <w:p>
      <w:pPr>
        <w:spacing w:line="360" w:lineRule="auto"/>
        <w:ind w:firstLine="480"/>
        <w:rPr>
          <w:rFonts w:ascii="宋体" w:hAnsi="宋体"/>
          <w:sz w:val="24"/>
        </w:rPr>
      </w:pPr>
      <w:r>
        <w:rPr>
          <w:rFonts w:ascii="宋体" w:hAnsi="宋体"/>
          <w:b/>
          <w:bCs/>
          <w:sz w:val="24"/>
        </w:rPr>
        <w:t>查询</w:t>
      </w:r>
      <w:r>
        <w:rPr>
          <w:rFonts w:ascii="宋体" w:hAnsi="宋体"/>
          <w:b/>
          <w:bCs/>
          <w:kern w:val="0"/>
          <w:sz w:val="24"/>
          <w:lang w:eastAsia="en-US"/>
        </w:rPr>
        <w:t>渠道</w:t>
      </w:r>
      <w:r>
        <w:rPr>
          <w:rFonts w:ascii="宋体" w:hAnsi="宋体"/>
          <w:b/>
          <w:bCs/>
          <w:sz w:val="24"/>
        </w:rPr>
        <w:t>为：</w:t>
      </w:r>
      <w:r>
        <w:rPr>
          <w:rFonts w:ascii="宋体" w:hAnsi="宋体"/>
          <w:kern w:val="0"/>
          <w:sz w:val="24"/>
          <w:lang w:eastAsia="en-US"/>
        </w:rPr>
        <w:t>“信用中国”网站（</w:t>
      </w:r>
      <w:r>
        <w:fldChar w:fldCharType="begin"/>
      </w:r>
      <w:r>
        <w:instrText xml:space="preserve"> HYPERLINK "http://www.creditchina.gov.cn" </w:instrText>
      </w:r>
      <w:r>
        <w:fldChar w:fldCharType="separate"/>
      </w:r>
      <w:r>
        <w:rPr>
          <w:rStyle w:val="95"/>
          <w:rFonts w:ascii="宋体" w:hAnsi="宋体"/>
          <w:color w:val="auto"/>
          <w:sz w:val="24"/>
        </w:rPr>
        <w:t>www.creditchina.gov.cn</w:t>
      </w:r>
      <w:r>
        <w:rPr>
          <w:rStyle w:val="95"/>
          <w:rFonts w:ascii="宋体" w:hAnsi="宋体"/>
          <w:color w:val="auto"/>
          <w:sz w:val="24"/>
        </w:rPr>
        <w:fldChar w:fldCharType="end"/>
      </w:r>
      <w:r>
        <w:rPr>
          <w:rFonts w:ascii="宋体" w:hAnsi="宋体"/>
          <w:kern w:val="0"/>
          <w:sz w:val="24"/>
          <w:lang w:eastAsia="en-US"/>
        </w:rPr>
        <w:t>）</w:t>
      </w:r>
      <w:r>
        <w:rPr>
          <w:rFonts w:ascii="宋体" w:hAnsi="宋体"/>
          <w:kern w:val="0"/>
          <w:sz w:val="24"/>
        </w:rPr>
        <w:t>及</w:t>
      </w:r>
      <w:r>
        <w:rPr>
          <w:rFonts w:ascii="宋体" w:hAnsi="宋体"/>
          <w:kern w:val="0"/>
          <w:sz w:val="24"/>
          <w:lang w:eastAsia="en-US"/>
        </w:rPr>
        <w:t>中国政府采购网（www.ccgp.gov.cn）</w:t>
      </w:r>
      <w:r>
        <w:rPr>
          <w:rFonts w:ascii="宋体" w:hAnsi="宋体"/>
          <w:sz w:val="24"/>
        </w:rPr>
        <w:t>。查询时间为自公告发布之日起至投标文件递交截止时间止（该时间段内任一时间）。</w:t>
      </w:r>
    </w:p>
    <w:p>
      <w:pPr>
        <w:spacing w:line="360" w:lineRule="auto"/>
        <w:ind w:firstLine="480"/>
        <w:rPr>
          <w:rFonts w:ascii="宋体" w:hAnsi="宋体"/>
          <w:sz w:val="28"/>
        </w:rPr>
      </w:pPr>
      <w:r>
        <w:rPr>
          <w:rFonts w:ascii="宋体" w:hAnsi="宋体"/>
          <w:sz w:val="28"/>
        </w:rPr>
        <w:t>附网页查询后的截图证明。</w:t>
      </w:r>
    </w:p>
    <w:p>
      <w:pPr>
        <w:spacing w:line="360" w:lineRule="auto"/>
        <w:rPr>
          <w:rFonts w:ascii="宋体" w:hAnsi="宋体"/>
          <w:b/>
          <w:sz w:val="32"/>
        </w:rPr>
      </w:pPr>
    </w:p>
    <w:p>
      <w:pPr>
        <w:widowControl/>
        <w:jc w:val="left"/>
        <w:rPr>
          <w:rFonts w:ascii="宋体" w:hAnsi="宋体"/>
          <w:b/>
          <w:sz w:val="28"/>
          <w:szCs w:val="28"/>
        </w:rPr>
      </w:pPr>
      <w:r>
        <w:rPr>
          <w:rFonts w:ascii="宋体" w:hAnsi="宋体"/>
          <w:b/>
          <w:sz w:val="28"/>
          <w:szCs w:val="28"/>
        </w:rPr>
        <w:br w:type="page"/>
      </w:r>
    </w:p>
    <w:p>
      <w:pPr>
        <w:pStyle w:val="5"/>
        <w:rPr>
          <w:rFonts w:ascii="宋体" w:hAnsi="宋体"/>
          <w:sz w:val="30"/>
          <w:szCs w:val="30"/>
        </w:rPr>
      </w:pPr>
      <w:r>
        <w:rPr>
          <w:rFonts w:ascii="宋体" w:hAnsi="宋体"/>
          <w:sz w:val="30"/>
          <w:szCs w:val="30"/>
        </w:rPr>
        <w:t>6、近三年内已完成的类似项目业绩</w:t>
      </w:r>
    </w:p>
    <w:p>
      <w:pPr>
        <w:spacing w:line="360" w:lineRule="auto"/>
        <w:ind w:firstLine="1313" w:firstLineChars="545"/>
        <w:rPr>
          <w:rFonts w:ascii="宋体" w:hAnsi="宋体"/>
          <w:b/>
          <w:sz w:val="24"/>
        </w:rPr>
      </w:pPr>
    </w:p>
    <w:p>
      <w:pPr>
        <w:spacing w:line="360" w:lineRule="auto"/>
        <w:ind w:firstLine="120" w:firstLineChars="50"/>
        <w:rPr>
          <w:rFonts w:ascii="宋体" w:hAnsi="宋体"/>
          <w:sz w:val="24"/>
          <w:u w:val="single"/>
        </w:rPr>
      </w:pPr>
      <w:r>
        <w:rPr>
          <w:rFonts w:ascii="宋体" w:hAnsi="宋体"/>
          <w:sz w:val="24"/>
        </w:rPr>
        <w:t>投标人名称（公章）：</w:t>
      </w:r>
      <w:r>
        <w:rPr>
          <w:rFonts w:ascii="宋体" w:hAnsi="宋体"/>
          <w:sz w:val="24"/>
          <w:u w:val="single"/>
        </w:rPr>
        <w:t xml:space="preserve">         　　　　　  </w:t>
      </w:r>
      <w:r>
        <w:rPr>
          <w:rFonts w:ascii="宋体" w:hAnsi="宋体"/>
          <w:sz w:val="24"/>
        </w:rPr>
        <w:t>项目编号/包号：</w:t>
      </w:r>
      <w:r>
        <w:rPr>
          <w:rFonts w:ascii="宋体" w:hAnsi="宋体"/>
          <w:sz w:val="24"/>
          <w:u w:val="single"/>
        </w:rPr>
        <w:t>　　　　　　　　　　　</w:t>
      </w:r>
    </w:p>
    <w:p>
      <w:pPr>
        <w:spacing w:line="360" w:lineRule="auto"/>
        <w:ind w:firstLine="1325" w:firstLineChars="550"/>
        <w:rPr>
          <w:rFonts w:ascii="宋体" w:hAnsi="宋体"/>
          <w:b/>
          <w:sz w:val="24"/>
        </w:rPr>
      </w:pPr>
    </w:p>
    <w:tbl>
      <w:tblPr>
        <w:tblStyle w:val="88"/>
        <w:tblW w:w="9072"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2"/>
        <w:gridCol w:w="1843"/>
        <w:gridCol w:w="1276"/>
        <w:gridCol w:w="1995"/>
        <w:gridCol w:w="1620"/>
        <w:gridCol w:w="13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992" w:type="dxa"/>
            <w:shd w:val="clear" w:color="auto" w:fill="E6E6E6"/>
            <w:noWrap/>
          </w:tcPr>
          <w:p>
            <w:pPr>
              <w:pStyle w:val="176"/>
              <w:spacing w:line="360" w:lineRule="auto"/>
              <w:jc w:val="center"/>
              <w:rPr>
                <w:rFonts w:ascii="宋体" w:hAnsi="宋体"/>
                <w:color w:val="auto"/>
              </w:rPr>
            </w:pPr>
            <w:r>
              <w:rPr>
                <w:rFonts w:ascii="宋体" w:hAnsi="宋体"/>
                <w:color w:val="auto"/>
              </w:rPr>
              <w:t>序号</w:t>
            </w:r>
          </w:p>
        </w:tc>
        <w:tc>
          <w:tcPr>
            <w:tcW w:w="1843" w:type="dxa"/>
            <w:shd w:val="clear" w:color="auto" w:fill="E6E6E6"/>
            <w:noWrap/>
          </w:tcPr>
          <w:p>
            <w:pPr>
              <w:pStyle w:val="176"/>
              <w:spacing w:line="360" w:lineRule="auto"/>
              <w:ind w:right="-107" w:rightChars="-51"/>
              <w:jc w:val="center"/>
              <w:rPr>
                <w:rFonts w:ascii="宋体" w:hAnsi="宋体"/>
                <w:color w:val="auto"/>
              </w:rPr>
            </w:pPr>
            <w:r>
              <w:rPr>
                <w:rFonts w:ascii="宋体" w:hAnsi="宋体"/>
                <w:color w:val="auto"/>
              </w:rPr>
              <w:t>项目名称</w:t>
            </w:r>
          </w:p>
        </w:tc>
        <w:tc>
          <w:tcPr>
            <w:tcW w:w="1276" w:type="dxa"/>
            <w:shd w:val="clear" w:color="auto" w:fill="E6E6E6"/>
            <w:noWrap/>
          </w:tcPr>
          <w:p>
            <w:pPr>
              <w:pStyle w:val="176"/>
              <w:spacing w:line="360" w:lineRule="auto"/>
              <w:ind w:right="-107" w:rightChars="-51"/>
              <w:jc w:val="center"/>
              <w:rPr>
                <w:rFonts w:ascii="宋体" w:hAnsi="宋体"/>
                <w:color w:val="auto"/>
              </w:rPr>
            </w:pPr>
            <w:r>
              <w:rPr>
                <w:rFonts w:ascii="宋体" w:hAnsi="宋体"/>
                <w:color w:val="auto"/>
              </w:rPr>
              <w:t>发包人</w:t>
            </w:r>
          </w:p>
        </w:tc>
        <w:tc>
          <w:tcPr>
            <w:tcW w:w="1995" w:type="dxa"/>
            <w:shd w:val="clear" w:color="auto" w:fill="E6E6E6"/>
            <w:noWrap/>
          </w:tcPr>
          <w:p>
            <w:pPr>
              <w:pStyle w:val="176"/>
              <w:spacing w:line="360" w:lineRule="auto"/>
              <w:ind w:firstLine="31" w:firstLineChars="13"/>
              <w:rPr>
                <w:rFonts w:ascii="宋体" w:hAnsi="宋体"/>
                <w:color w:val="auto"/>
              </w:rPr>
            </w:pPr>
            <w:r>
              <w:rPr>
                <w:rFonts w:ascii="宋体" w:hAnsi="宋体"/>
                <w:color w:val="auto"/>
              </w:rPr>
              <w:t>主要内容</w:t>
            </w:r>
          </w:p>
        </w:tc>
        <w:tc>
          <w:tcPr>
            <w:tcW w:w="1620" w:type="dxa"/>
            <w:shd w:val="clear" w:color="auto" w:fill="E6E6E6"/>
            <w:noWrap/>
          </w:tcPr>
          <w:p>
            <w:pPr>
              <w:pStyle w:val="176"/>
              <w:spacing w:line="360" w:lineRule="auto"/>
              <w:jc w:val="center"/>
              <w:rPr>
                <w:rFonts w:ascii="宋体" w:hAnsi="宋体"/>
                <w:color w:val="auto"/>
              </w:rPr>
            </w:pPr>
            <w:r>
              <w:rPr>
                <w:rFonts w:ascii="宋体" w:hAnsi="宋体"/>
                <w:color w:val="auto"/>
              </w:rPr>
              <w:t>交货时间</w:t>
            </w:r>
          </w:p>
        </w:tc>
        <w:tc>
          <w:tcPr>
            <w:tcW w:w="1346" w:type="dxa"/>
            <w:shd w:val="clear" w:color="auto" w:fill="E6E6E6"/>
            <w:noWrap/>
          </w:tcPr>
          <w:p>
            <w:pPr>
              <w:pStyle w:val="176"/>
              <w:spacing w:line="360" w:lineRule="auto"/>
              <w:jc w:val="center"/>
              <w:rPr>
                <w:rFonts w:ascii="宋体" w:hAnsi="宋体"/>
                <w:color w:val="auto"/>
              </w:rPr>
            </w:pPr>
            <w:r>
              <w:rPr>
                <w:rFonts w:ascii="宋体" w:hAnsi="宋体"/>
                <w:color w:val="auto"/>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992" w:type="dxa"/>
            <w:noWrap/>
          </w:tcPr>
          <w:p>
            <w:pPr>
              <w:spacing w:line="360" w:lineRule="auto"/>
              <w:rPr>
                <w:rFonts w:ascii="宋体" w:hAnsi="宋体"/>
                <w:sz w:val="24"/>
              </w:rPr>
            </w:pPr>
          </w:p>
        </w:tc>
        <w:tc>
          <w:tcPr>
            <w:tcW w:w="1843" w:type="dxa"/>
            <w:noWrap/>
          </w:tcPr>
          <w:p>
            <w:pPr>
              <w:spacing w:line="360" w:lineRule="auto"/>
              <w:rPr>
                <w:rFonts w:ascii="宋体" w:hAnsi="宋体"/>
                <w:sz w:val="24"/>
              </w:rPr>
            </w:pPr>
          </w:p>
        </w:tc>
        <w:tc>
          <w:tcPr>
            <w:tcW w:w="1276" w:type="dxa"/>
            <w:noWrap/>
          </w:tcPr>
          <w:p>
            <w:pPr>
              <w:spacing w:line="360" w:lineRule="auto"/>
              <w:rPr>
                <w:rFonts w:ascii="宋体" w:hAnsi="宋体"/>
                <w:sz w:val="24"/>
              </w:rPr>
            </w:pPr>
          </w:p>
        </w:tc>
        <w:tc>
          <w:tcPr>
            <w:tcW w:w="1995" w:type="dxa"/>
            <w:noWrap/>
          </w:tcPr>
          <w:p>
            <w:pPr>
              <w:spacing w:line="360" w:lineRule="auto"/>
              <w:rPr>
                <w:rFonts w:ascii="宋体" w:hAnsi="宋体"/>
                <w:sz w:val="24"/>
              </w:rPr>
            </w:pPr>
          </w:p>
        </w:tc>
        <w:tc>
          <w:tcPr>
            <w:tcW w:w="1620" w:type="dxa"/>
            <w:noWrap/>
          </w:tcPr>
          <w:p>
            <w:pPr>
              <w:spacing w:line="360" w:lineRule="auto"/>
              <w:rPr>
                <w:rFonts w:ascii="宋体" w:hAnsi="宋体"/>
                <w:sz w:val="24"/>
              </w:rPr>
            </w:pPr>
          </w:p>
        </w:tc>
        <w:tc>
          <w:tcPr>
            <w:tcW w:w="1346" w:type="dxa"/>
            <w:noWrap/>
          </w:tcPr>
          <w:p>
            <w:pPr>
              <w:spacing w:line="360" w:lineRule="auto"/>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992" w:type="dxa"/>
            <w:noWrap/>
          </w:tcPr>
          <w:p>
            <w:pPr>
              <w:spacing w:line="360" w:lineRule="auto"/>
              <w:rPr>
                <w:rFonts w:ascii="宋体" w:hAnsi="宋体"/>
                <w:sz w:val="24"/>
              </w:rPr>
            </w:pPr>
          </w:p>
        </w:tc>
        <w:tc>
          <w:tcPr>
            <w:tcW w:w="1843" w:type="dxa"/>
            <w:noWrap/>
          </w:tcPr>
          <w:p>
            <w:pPr>
              <w:spacing w:line="360" w:lineRule="auto"/>
              <w:rPr>
                <w:rFonts w:ascii="宋体" w:hAnsi="宋体"/>
                <w:sz w:val="24"/>
              </w:rPr>
            </w:pPr>
          </w:p>
        </w:tc>
        <w:tc>
          <w:tcPr>
            <w:tcW w:w="1276" w:type="dxa"/>
            <w:noWrap/>
          </w:tcPr>
          <w:p>
            <w:pPr>
              <w:spacing w:line="360" w:lineRule="auto"/>
              <w:rPr>
                <w:rFonts w:ascii="宋体" w:hAnsi="宋体"/>
                <w:sz w:val="24"/>
              </w:rPr>
            </w:pPr>
          </w:p>
        </w:tc>
        <w:tc>
          <w:tcPr>
            <w:tcW w:w="1995" w:type="dxa"/>
            <w:noWrap/>
          </w:tcPr>
          <w:p>
            <w:pPr>
              <w:spacing w:line="360" w:lineRule="auto"/>
              <w:rPr>
                <w:rFonts w:ascii="宋体" w:hAnsi="宋体"/>
                <w:sz w:val="24"/>
              </w:rPr>
            </w:pPr>
          </w:p>
        </w:tc>
        <w:tc>
          <w:tcPr>
            <w:tcW w:w="1620" w:type="dxa"/>
            <w:noWrap/>
          </w:tcPr>
          <w:p>
            <w:pPr>
              <w:spacing w:line="360" w:lineRule="auto"/>
              <w:rPr>
                <w:rFonts w:ascii="宋体" w:hAnsi="宋体"/>
                <w:sz w:val="24"/>
              </w:rPr>
            </w:pPr>
          </w:p>
        </w:tc>
        <w:tc>
          <w:tcPr>
            <w:tcW w:w="1346" w:type="dxa"/>
            <w:noWrap/>
          </w:tcPr>
          <w:p>
            <w:pPr>
              <w:spacing w:line="360" w:lineRule="auto"/>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92" w:type="dxa"/>
            <w:noWrap/>
          </w:tcPr>
          <w:p>
            <w:pPr>
              <w:spacing w:line="360" w:lineRule="auto"/>
              <w:rPr>
                <w:rFonts w:ascii="宋体" w:hAnsi="宋体"/>
                <w:sz w:val="24"/>
              </w:rPr>
            </w:pPr>
          </w:p>
        </w:tc>
        <w:tc>
          <w:tcPr>
            <w:tcW w:w="1843" w:type="dxa"/>
            <w:noWrap/>
          </w:tcPr>
          <w:p>
            <w:pPr>
              <w:spacing w:line="360" w:lineRule="auto"/>
              <w:rPr>
                <w:rFonts w:ascii="宋体" w:hAnsi="宋体"/>
                <w:sz w:val="24"/>
              </w:rPr>
            </w:pPr>
          </w:p>
        </w:tc>
        <w:tc>
          <w:tcPr>
            <w:tcW w:w="1276" w:type="dxa"/>
            <w:noWrap/>
          </w:tcPr>
          <w:p>
            <w:pPr>
              <w:spacing w:line="360" w:lineRule="auto"/>
              <w:rPr>
                <w:rFonts w:ascii="宋体" w:hAnsi="宋体"/>
                <w:sz w:val="24"/>
              </w:rPr>
            </w:pPr>
          </w:p>
        </w:tc>
        <w:tc>
          <w:tcPr>
            <w:tcW w:w="1995" w:type="dxa"/>
            <w:noWrap/>
          </w:tcPr>
          <w:p>
            <w:pPr>
              <w:spacing w:line="360" w:lineRule="auto"/>
              <w:rPr>
                <w:rFonts w:ascii="宋体" w:hAnsi="宋体"/>
                <w:sz w:val="24"/>
              </w:rPr>
            </w:pPr>
          </w:p>
        </w:tc>
        <w:tc>
          <w:tcPr>
            <w:tcW w:w="1620" w:type="dxa"/>
            <w:noWrap/>
          </w:tcPr>
          <w:p>
            <w:pPr>
              <w:spacing w:line="360" w:lineRule="auto"/>
              <w:rPr>
                <w:rFonts w:ascii="宋体" w:hAnsi="宋体"/>
                <w:sz w:val="24"/>
              </w:rPr>
            </w:pPr>
          </w:p>
        </w:tc>
        <w:tc>
          <w:tcPr>
            <w:tcW w:w="1346" w:type="dxa"/>
            <w:noWrap/>
          </w:tcPr>
          <w:p>
            <w:pPr>
              <w:spacing w:line="360" w:lineRule="auto"/>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92" w:type="dxa"/>
            <w:noWrap/>
          </w:tcPr>
          <w:p>
            <w:pPr>
              <w:spacing w:line="360" w:lineRule="auto"/>
              <w:rPr>
                <w:rFonts w:ascii="宋体" w:hAnsi="宋体"/>
                <w:sz w:val="24"/>
              </w:rPr>
            </w:pPr>
            <w:r>
              <w:rPr>
                <w:rFonts w:ascii="宋体" w:hAnsi="宋体"/>
                <w:sz w:val="24"/>
              </w:rPr>
              <w:t>…</w:t>
            </w:r>
          </w:p>
        </w:tc>
        <w:tc>
          <w:tcPr>
            <w:tcW w:w="1843" w:type="dxa"/>
            <w:noWrap/>
          </w:tcPr>
          <w:p>
            <w:pPr>
              <w:spacing w:line="360" w:lineRule="auto"/>
              <w:rPr>
                <w:rFonts w:ascii="宋体" w:hAnsi="宋体"/>
                <w:sz w:val="24"/>
              </w:rPr>
            </w:pPr>
          </w:p>
        </w:tc>
        <w:tc>
          <w:tcPr>
            <w:tcW w:w="1276" w:type="dxa"/>
            <w:noWrap/>
          </w:tcPr>
          <w:p>
            <w:pPr>
              <w:spacing w:line="360" w:lineRule="auto"/>
              <w:rPr>
                <w:rFonts w:ascii="宋体" w:hAnsi="宋体"/>
                <w:sz w:val="24"/>
              </w:rPr>
            </w:pPr>
            <w:r>
              <w:rPr>
                <w:rFonts w:ascii="宋体" w:hAnsi="宋体"/>
                <w:sz w:val="24"/>
              </w:rPr>
              <w:t>…</w:t>
            </w:r>
          </w:p>
        </w:tc>
        <w:tc>
          <w:tcPr>
            <w:tcW w:w="1995" w:type="dxa"/>
            <w:noWrap/>
          </w:tcPr>
          <w:p>
            <w:pPr>
              <w:spacing w:line="360" w:lineRule="auto"/>
              <w:rPr>
                <w:rFonts w:ascii="宋体" w:hAnsi="宋体"/>
                <w:sz w:val="24"/>
              </w:rPr>
            </w:pPr>
            <w:r>
              <w:rPr>
                <w:rFonts w:ascii="宋体" w:hAnsi="宋体"/>
                <w:sz w:val="24"/>
              </w:rPr>
              <w:t>…</w:t>
            </w:r>
          </w:p>
        </w:tc>
        <w:tc>
          <w:tcPr>
            <w:tcW w:w="1620" w:type="dxa"/>
            <w:noWrap/>
          </w:tcPr>
          <w:p>
            <w:pPr>
              <w:spacing w:line="360" w:lineRule="auto"/>
              <w:rPr>
                <w:rFonts w:ascii="宋体" w:hAnsi="宋体"/>
                <w:sz w:val="24"/>
              </w:rPr>
            </w:pPr>
            <w:r>
              <w:rPr>
                <w:rFonts w:ascii="宋体" w:hAnsi="宋体"/>
                <w:sz w:val="24"/>
              </w:rPr>
              <w:t>…</w:t>
            </w:r>
          </w:p>
        </w:tc>
        <w:tc>
          <w:tcPr>
            <w:tcW w:w="1346" w:type="dxa"/>
            <w:noWrap/>
          </w:tcPr>
          <w:p>
            <w:pPr>
              <w:spacing w:line="360" w:lineRule="auto"/>
              <w:rPr>
                <w:rFonts w:ascii="宋体" w:hAnsi="宋体"/>
                <w:sz w:val="24"/>
              </w:rPr>
            </w:pPr>
          </w:p>
        </w:tc>
      </w:tr>
    </w:tbl>
    <w:p>
      <w:pPr>
        <w:spacing w:line="360" w:lineRule="auto"/>
        <w:ind w:firstLine="480" w:firstLineChars="200"/>
        <w:rPr>
          <w:rFonts w:ascii="宋体" w:hAnsi="宋体"/>
          <w:b/>
          <w:sz w:val="24"/>
        </w:rPr>
      </w:pPr>
      <w:r>
        <w:rPr>
          <w:rFonts w:ascii="宋体" w:hAnsi="宋体"/>
          <w:sz w:val="24"/>
        </w:rPr>
        <w:t>我单位承诺以上填报内容真实。如不真实，将按照有关规定接受处理。</w:t>
      </w:r>
    </w:p>
    <w:p>
      <w:pPr>
        <w:spacing w:line="360" w:lineRule="auto"/>
        <w:rPr>
          <w:rFonts w:ascii="宋体" w:hAnsi="宋体"/>
          <w:szCs w:val="21"/>
        </w:rPr>
      </w:pPr>
      <w:r>
        <w:rPr>
          <w:rFonts w:ascii="宋体" w:hAnsi="宋体"/>
          <w:szCs w:val="21"/>
        </w:rPr>
        <w:t>注：1.按招标人要求的内容及范围提供相关类型的业绩。</w:t>
      </w:r>
    </w:p>
    <w:p>
      <w:pPr>
        <w:spacing w:line="360" w:lineRule="auto"/>
        <w:ind w:firstLine="420" w:firstLineChars="200"/>
        <w:rPr>
          <w:rFonts w:ascii="宋体" w:hAnsi="宋体"/>
          <w:szCs w:val="21"/>
        </w:rPr>
      </w:pPr>
      <w:r>
        <w:rPr>
          <w:rFonts w:ascii="宋体" w:hAnsi="宋体"/>
          <w:szCs w:val="21"/>
        </w:rPr>
        <w:t xml:space="preserve">2.本表后须附清晰可辨的、真实的合同协议书中标通知书等相关的证明材料。如未附证明材料或工作内容模糊不清的，其业绩将不予认定。有效业绩的认定详见投标人须知前附表。  </w:t>
      </w:r>
    </w:p>
    <w:p>
      <w:pPr>
        <w:spacing w:line="360" w:lineRule="auto"/>
        <w:ind w:firstLine="420" w:firstLineChars="200"/>
        <w:rPr>
          <w:rFonts w:ascii="宋体" w:hAnsi="宋体"/>
          <w:szCs w:val="21"/>
        </w:rPr>
      </w:pPr>
      <w:r>
        <w:rPr>
          <w:rFonts w:ascii="宋体" w:hAnsi="宋体"/>
          <w:szCs w:val="21"/>
        </w:rPr>
        <w:t>3.如近年来，投标人法人机构发生合法变更或重组或法人名称变更时，应提供相关部门的合法批件或其他相关证明材料来证明其所附业绩的继承性。</w:t>
      </w:r>
    </w:p>
    <w:p>
      <w:pPr>
        <w:spacing w:line="360" w:lineRule="auto"/>
        <w:rPr>
          <w:rFonts w:ascii="宋体" w:hAnsi="宋体"/>
          <w:b/>
          <w:sz w:val="28"/>
          <w:szCs w:val="28"/>
        </w:rPr>
      </w:pPr>
    </w:p>
    <w:p>
      <w:pPr>
        <w:widowControl/>
        <w:spacing w:line="360" w:lineRule="auto"/>
        <w:jc w:val="left"/>
        <w:rPr>
          <w:rFonts w:ascii="宋体" w:hAnsi="宋体"/>
          <w:b/>
          <w:sz w:val="32"/>
          <w:szCs w:val="32"/>
        </w:rPr>
      </w:pPr>
      <w:r>
        <w:rPr>
          <w:rFonts w:ascii="宋体" w:hAnsi="宋体"/>
          <w:b/>
          <w:sz w:val="32"/>
          <w:szCs w:val="32"/>
        </w:rPr>
        <w:br w:type="page"/>
      </w:r>
    </w:p>
    <w:p>
      <w:pPr>
        <w:spacing w:line="360" w:lineRule="auto"/>
        <w:jc w:val="center"/>
        <w:outlineLvl w:val="0"/>
        <w:rPr>
          <w:rFonts w:ascii="宋体" w:hAnsi="宋体"/>
          <w:b/>
          <w:sz w:val="32"/>
        </w:rPr>
      </w:pPr>
      <w:r>
        <w:rPr>
          <w:rFonts w:ascii="宋体" w:hAnsi="宋体"/>
          <w:b/>
          <w:sz w:val="32"/>
        </w:rPr>
        <w:t>（六）项目实施方案</w:t>
      </w:r>
    </w:p>
    <w:p>
      <w:pPr>
        <w:spacing w:line="360" w:lineRule="auto"/>
        <w:ind w:firstLine="560" w:firstLineChars="200"/>
        <w:rPr>
          <w:rFonts w:ascii="宋体" w:hAnsi="宋体"/>
          <w:sz w:val="28"/>
        </w:rPr>
      </w:pPr>
    </w:p>
    <w:p>
      <w:pPr>
        <w:spacing w:line="360" w:lineRule="auto"/>
        <w:jc w:val="center"/>
        <w:rPr>
          <w:rFonts w:ascii="宋体" w:hAnsi="宋体"/>
          <w:b/>
          <w:sz w:val="32"/>
          <w:szCs w:val="32"/>
        </w:rPr>
      </w:pPr>
      <w:r>
        <w:rPr>
          <w:rFonts w:ascii="宋体" w:hAnsi="宋体"/>
          <w:b/>
          <w:sz w:val="32"/>
          <w:szCs w:val="32"/>
        </w:rPr>
        <w:t>（根据需要编写，格式自制）</w:t>
      </w:r>
    </w:p>
    <w:p>
      <w:pPr>
        <w:spacing w:line="360" w:lineRule="auto"/>
        <w:ind w:firstLine="643" w:firstLineChars="200"/>
        <w:jc w:val="center"/>
        <w:rPr>
          <w:rFonts w:ascii="宋体" w:hAnsi="宋体"/>
          <w:b/>
          <w:sz w:val="32"/>
          <w:szCs w:val="32"/>
        </w:rPr>
      </w:pPr>
    </w:p>
    <w:p>
      <w:pPr>
        <w:spacing w:line="360" w:lineRule="auto"/>
        <w:rPr>
          <w:rFonts w:ascii="宋体" w:hAnsi="宋体"/>
          <w:sz w:val="24"/>
        </w:rPr>
      </w:pPr>
    </w:p>
    <w:p>
      <w:pPr>
        <w:spacing w:line="360" w:lineRule="auto"/>
        <w:rPr>
          <w:rFonts w:ascii="宋体" w:hAnsi="宋体"/>
          <w:szCs w:val="21"/>
        </w:rPr>
      </w:pPr>
      <w:r>
        <w:rPr>
          <w:rFonts w:ascii="宋体" w:hAnsi="宋体"/>
          <w:bCs/>
          <w:szCs w:val="21"/>
        </w:rPr>
        <w:t>注：1、内容中若需要表格请投标人自行编制。</w:t>
      </w:r>
    </w:p>
    <w:p>
      <w:pPr>
        <w:autoSpaceDE w:val="0"/>
        <w:autoSpaceDN w:val="0"/>
        <w:adjustRightInd w:val="0"/>
        <w:spacing w:line="360" w:lineRule="auto"/>
        <w:ind w:firstLine="735" w:firstLineChars="350"/>
        <w:rPr>
          <w:rFonts w:ascii="宋体" w:hAnsi="宋体"/>
          <w:kern w:val="0"/>
          <w:szCs w:val="21"/>
        </w:rPr>
      </w:pPr>
      <w:r>
        <w:rPr>
          <w:rFonts w:ascii="宋体" w:hAnsi="宋体"/>
          <w:kern w:val="0"/>
          <w:szCs w:val="21"/>
        </w:rPr>
        <w:t>2、项目建设方案应针对本项目情况</w:t>
      </w:r>
      <w:r>
        <w:rPr>
          <w:rFonts w:ascii="宋体" w:hAnsi="宋体"/>
          <w:bCs/>
          <w:szCs w:val="21"/>
        </w:rPr>
        <w:t>，投标人各自按照合理组织本项目应采取的措施，本着有利于为完成本项目</w:t>
      </w:r>
      <w:r>
        <w:rPr>
          <w:rFonts w:ascii="宋体" w:hAnsi="宋体"/>
          <w:kern w:val="0"/>
          <w:szCs w:val="21"/>
        </w:rPr>
        <w:t>的采购、安装内容和交货期、质量等要求，体现实现技术目标的可行性和先进性。</w:t>
      </w:r>
    </w:p>
    <w:p>
      <w:pPr>
        <w:pStyle w:val="285"/>
        <w:spacing w:line="360" w:lineRule="auto"/>
        <w:rPr>
          <w:rFonts w:ascii="宋体" w:hAnsi="宋体"/>
          <w:b/>
          <w:color w:val="auto"/>
          <w:sz w:val="28"/>
        </w:rPr>
      </w:pPr>
    </w:p>
    <w:p>
      <w:pPr>
        <w:spacing w:line="360" w:lineRule="auto"/>
        <w:jc w:val="left"/>
        <w:rPr>
          <w:rFonts w:ascii="宋体" w:hAnsi="宋体"/>
          <w:bCs/>
          <w:sz w:val="32"/>
          <w:szCs w:val="32"/>
        </w:rPr>
      </w:pPr>
    </w:p>
    <w:p>
      <w:pPr>
        <w:spacing w:line="360" w:lineRule="auto"/>
        <w:jc w:val="center"/>
        <w:rPr>
          <w:rFonts w:ascii="宋体" w:hAnsi="宋体"/>
        </w:rPr>
      </w:pPr>
    </w:p>
    <w:p>
      <w:pPr>
        <w:spacing w:line="360" w:lineRule="auto"/>
        <w:jc w:val="center"/>
        <w:rPr>
          <w:rFonts w:ascii="宋体" w:hAnsi="宋体"/>
        </w:rPr>
      </w:pPr>
    </w:p>
    <w:p>
      <w:pPr>
        <w:widowControl/>
        <w:spacing w:line="360" w:lineRule="auto"/>
        <w:jc w:val="left"/>
        <w:rPr>
          <w:rFonts w:ascii="宋体" w:hAnsi="宋体"/>
          <w:b/>
          <w:sz w:val="30"/>
          <w:szCs w:val="30"/>
        </w:rPr>
      </w:pPr>
      <w:r>
        <w:rPr>
          <w:rFonts w:ascii="宋体" w:hAnsi="宋体"/>
          <w:b/>
          <w:sz w:val="30"/>
          <w:szCs w:val="30"/>
        </w:rPr>
        <w:br w:type="page"/>
      </w:r>
    </w:p>
    <w:p>
      <w:pPr>
        <w:spacing w:line="360" w:lineRule="auto"/>
        <w:jc w:val="center"/>
        <w:outlineLvl w:val="0"/>
        <w:rPr>
          <w:rFonts w:ascii="宋体" w:hAnsi="宋体"/>
          <w:b/>
          <w:sz w:val="32"/>
        </w:rPr>
      </w:pPr>
      <w:r>
        <w:rPr>
          <w:rFonts w:ascii="宋体" w:hAnsi="宋体"/>
          <w:b/>
          <w:sz w:val="32"/>
        </w:rPr>
        <w:t>（七）有关投标产品结构、技术性能详述</w:t>
      </w:r>
    </w:p>
    <w:p>
      <w:pPr>
        <w:spacing w:line="360" w:lineRule="auto"/>
        <w:ind w:left="525" w:hanging="525" w:hangingChars="250"/>
        <w:rPr>
          <w:rFonts w:ascii="宋体" w:hAnsi="宋体"/>
          <w:szCs w:val="21"/>
        </w:rPr>
      </w:pPr>
    </w:p>
    <w:p>
      <w:pPr>
        <w:autoSpaceDE w:val="0"/>
        <w:spacing w:line="360" w:lineRule="auto"/>
        <w:rPr>
          <w:rFonts w:ascii="宋体" w:hAnsi="宋体"/>
          <w:sz w:val="24"/>
          <w:u w:val="single"/>
        </w:rPr>
      </w:pPr>
      <w:r>
        <w:rPr>
          <w:rFonts w:ascii="宋体" w:hAnsi="宋体"/>
          <w:sz w:val="24"/>
        </w:rPr>
        <w:t>投标人名称 ：</w:t>
      </w:r>
      <w:r>
        <w:rPr>
          <w:rFonts w:ascii="宋体" w:hAnsi="宋体"/>
          <w:sz w:val="2"/>
          <w:szCs w:val="2"/>
        </w:rPr>
        <w:t>UU</w:t>
      </w:r>
      <w:r>
        <w:rPr>
          <w:rFonts w:ascii="宋体" w:hAnsi="宋体"/>
          <w:sz w:val="24"/>
          <w:u w:val="single"/>
        </w:rPr>
        <w:t xml:space="preserve">         　　　　　  </w:t>
      </w:r>
      <w:r>
        <w:rPr>
          <w:rFonts w:ascii="宋体" w:hAnsi="宋体"/>
          <w:sz w:val="2"/>
          <w:szCs w:val="2"/>
        </w:rPr>
        <w:t>UU</w:t>
      </w:r>
      <w:r>
        <w:rPr>
          <w:rFonts w:ascii="宋体" w:hAnsi="宋体"/>
          <w:sz w:val="24"/>
        </w:rPr>
        <w:t>项目编号/合同包号：</w:t>
      </w:r>
      <w:r>
        <w:rPr>
          <w:rFonts w:ascii="宋体" w:hAnsi="宋体"/>
          <w:sz w:val="2"/>
          <w:szCs w:val="2"/>
        </w:rPr>
        <w:t>UU</w:t>
      </w:r>
      <w:r>
        <w:rPr>
          <w:rFonts w:ascii="宋体" w:hAnsi="宋体"/>
          <w:sz w:val="24"/>
          <w:u w:val="single"/>
        </w:rPr>
        <w:t>　　　　　　　　　</w:t>
      </w:r>
    </w:p>
    <w:p>
      <w:pPr>
        <w:spacing w:line="360" w:lineRule="auto"/>
        <w:rPr>
          <w:rFonts w:ascii="宋体" w:hAnsi="宋体"/>
          <w:sz w:val="24"/>
          <w:u w:val="single"/>
        </w:rPr>
      </w:pPr>
    </w:p>
    <w:tbl>
      <w:tblPr>
        <w:tblStyle w:val="88"/>
        <w:tblW w:w="87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1492"/>
        <w:gridCol w:w="2776"/>
        <w:gridCol w:w="2208"/>
        <w:gridCol w:w="13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trPr>
        <w:tc>
          <w:tcPr>
            <w:tcW w:w="956" w:type="dxa"/>
            <w:noWrap/>
            <w:vAlign w:val="center"/>
          </w:tcPr>
          <w:p>
            <w:pPr>
              <w:spacing w:line="360" w:lineRule="auto"/>
              <w:jc w:val="center"/>
              <w:rPr>
                <w:rFonts w:ascii="宋体" w:hAnsi="宋体"/>
                <w:sz w:val="24"/>
              </w:rPr>
            </w:pPr>
            <w:r>
              <w:rPr>
                <w:rFonts w:ascii="宋体" w:hAnsi="宋体"/>
                <w:sz w:val="24"/>
              </w:rPr>
              <w:t>序号</w:t>
            </w:r>
          </w:p>
        </w:tc>
        <w:tc>
          <w:tcPr>
            <w:tcW w:w="1492" w:type="dxa"/>
            <w:noWrap/>
            <w:vAlign w:val="center"/>
          </w:tcPr>
          <w:p>
            <w:pPr>
              <w:spacing w:line="360" w:lineRule="auto"/>
              <w:jc w:val="center"/>
              <w:rPr>
                <w:rFonts w:ascii="宋体" w:hAnsi="宋体"/>
                <w:sz w:val="24"/>
              </w:rPr>
            </w:pPr>
            <w:r>
              <w:rPr>
                <w:rFonts w:ascii="宋体" w:hAnsi="宋体"/>
                <w:sz w:val="24"/>
              </w:rPr>
              <w:t>设备名称</w:t>
            </w:r>
          </w:p>
        </w:tc>
        <w:tc>
          <w:tcPr>
            <w:tcW w:w="2776" w:type="dxa"/>
            <w:noWrap/>
            <w:vAlign w:val="center"/>
          </w:tcPr>
          <w:p>
            <w:pPr>
              <w:spacing w:line="360" w:lineRule="auto"/>
              <w:jc w:val="center"/>
              <w:rPr>
                <w:rFonts w:ascii="宋体" w:hAnsi="宋体"/>
                <w:sz w:val="24"/>
              </w:rPr>
            </w:pPr>
            <w:r>
              <w:rPr>
                <w:rFonts w:ascii="宋体" w:hAnsi="宋体"/>
                <w:sz w:val="24"/>
              </w:rPr>
              <w:t xml:space="preserve">规格型号及主要技术参数（详述）   </w:t>
            </w:r>
          </w:p>
        </w:tc>
        <w:tc>
          <w:tcPr>
            <w:tcW w:w="2208" w:type="dxa"/>
            <w:noWrap/>
            <w:vAlign w:val="center"/>
          </w:tcPr>
          <w:p>
            <w:pPr>
              <w:spacing w:line="360" w:lineRule="auto"/>
              <w:jc w:val="center"/>
              <w:rPr>
                <w:rFonts w:ascii="宋体" w:hAnsi="宋体"/>
                <w:sz w:val="24"/>
              </w:rPr>
            </w:pPr>
            <w:r>
              <w:rPr>
                <w:rFonts w:ascii="宋体" w:hAnsi="宋体"/>
                <w:sz w:val="24"/>
              </w:rPr>
              <w:t>性能说明（详述）</w:t>
            </w:r>
          </w:p>
        </w:tc>
        <w:tc>
          <w:tcPr>
            <w:tcW w:w="1348" w:type="dxa"/>
            <w:noWrap/>
            <w:vAlign w:val="center"/>
          </w:tcPr>
          <w:p>
            <w:pPr>
              <w:spacing w:line="360" w:lineRule="auto"/>
              <w:jc w:val="center"/>
              <w:rPr>
                <w:rFonts w:ascii="宋体" w:hAnsi="宋体"/>
                <w:sz w:val="24"/>
              </w:rPr>
            </w:pPr>
            <w:r>
              <w:rPr>
                <w:rFonts w:ascii="宋体" w:hAnsi="宋体"/>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5" w:hRule="atLeast"/>
        </w:trPr>
        <w:tc>
          <w:tcPr>
            <w:tcW w:w="956" w:type="dxa"/>
            <w:noWrap/>
            <w:vAlign w:val="center"/>
          </w:tcPr>
          <w:p>
            <w:pPr>
              <w:spacing w:line="360" w:lineRule="auto"/>
              <w:jc w:val="center"/>
              <w:rPr>
                <w:rFonts w:ascii="宋体" w:hAnsi="宋体"/>
                <w:sz w:val="24"/>
              </w:rPr>
            </w:pPr>
            <w:r>
              <w:rPr>
                <w:rFonts w:ascii="宋体" w:hAnsi="宋体"/>
                <w:sz w:val="24"/>
              </w:rPr>
              <w:t>1</w:t>
            </w:r>
          </w:p>
        </w:tc>
        <w:tc>
          <w:tcPr>
            <w:tcW w:w="1492" w:type="dxa"/>
            <w:noWrap/>
            <w:vAlign w:val="center"/>
          </w:tcPr>
          <w:p>
            <w:pPr>
              <w:spacing w:line="360" w:lineRule="auto"/>
              <w:jc w:val="center"/>
              <w:rPr>
                <w:rFonts w:ascii="宋体" w:hAnsi="宋体"/>
                <w:sz w:val="24"/>
              </w:rPr>
            </w:pPr>
          </w:p>
        </w:tc>
        <w:tc>
          <w:tcPr>
            <w:tcW w:w="2776" w:type="dxa"/>
            <w:noWrap/>
            <w:vAlign w:val="center"/>
          </w:tcPr>
          <w:p>
            <w:pPr>
              <w:spacing w:line="360" w:lineRule="auto"/>
              <w:jc w:val="center"/>
              <w:rPr>
                <w:rFonts w:ascii="宋体" w:hAnsi="宋体"/>
                <w:sz w:val="24"/>
              </w:rPr>
            </w:pPr>
          </w:p>
        </w:tc>
        <w:tc>
          <w:tcPr>
            <w:tcW w:w="2208" w:type="dxa"/>
            <w:noWrap/>
            <w:vAlign w:val="center"/>
          </w:tcPr>
          <w:p>
            <w:pPr>
              <w:spacing w:line="360" w:lineRule="auto"/>
              <w:jc w:val="center"/>
              <w:rPr>
                <w:rFonts w:ascii="宋体" w:hAnsi="宋体"/>
                <w:sz w:val="24"/>
              </w:rPr>
            </w:pPr>
          </w:p>
        </w:tc>
        <w:tc>
          <w:tcPr>
            <w:tcW w:w="1348" w:type="dxa"/>
            <w:noWrap/>
            <w:vAlign w:val="center"/>
          </w:tcPr>
          <w:p>
            <w:pPr>
              <w:spacing w:line="360" w:lineRule="auto"/>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5" w:hRule="atLeast"/>
        </w:trPr>
        <w:tc>
          <w:tcPr>
            <w:tcW w:w="956" w:type="dxa"/>
            <w:noWrap/>
            <w:vAlign w:val="center"/>
          </w:tcPr>
          <w:p>
            <w:pPr>
              <w:spacing w:line="360" w:lineRule="auto"/>
              <w:jc w:val="center"/>
              <w:rPr>
                <w:rFonts w:ascii="宋体" w:hAnsi="宋体"/>
                <w:sz w:val="24"/>
              </w:rPr>
            </w:pPr>
            <w:r>
              <w:rPr>
                <w:rFonts w:ascii="宋体" w:hAnsi="宋体"/>
                <w:sz w:val="24"/>
              </w:rPr>
              <w:t>2</w:t>
            </w:r>
          </w:p>
        </w:tc>
        <w:tc>
          <w:tcPr>
            <w:tcW w:w="1492" w:type="dxa"/>
            <w:noWrap/>
            <w:vAlign w:val="center"/>
          </w:tcPr>
          <w:p>
            <w:pPr>
              <w:spacing w:line="360" w:lineRule="auto"/>
              <w:jc w:val="center"/>
              <w:rPr>
                <w:rFonts w:ascii="宋体" w:hAnsi="宋体"/>
                <w:sz w:val="24"/>
              </w:rPr>
            </w:pPr>
          </w:p>
        </w:tc>
        <w:tc>
          <w:tcPr>
            <w:tcW w:w="2776" w:type="dxa"/>
            <w:noWrap/>
            <w:vAlign w:val="center"/>
          </w:tcPr>
          <w:p>
            <w:pPr>
              <w:spacing w:line="360" w:lineRule="auto"/>
              <w:jc w:val="center"/>
              <w:rPr>
                <w:rFonts w:ascii="宋体" w:hAnsi="宋体"/>
                <w:sz w:val="24"/>
              </w:rPr>
            </w:pPr>
          </w:p>
        </w:tc>
        <w:tc>
          <w:tcPr>
            <w:tcW w:w="2208" w:type="dxa"/>
            <w:noWrap/>
            <w:vAlign w:val="center"/>
          </w:tcPr>
          <w:p>
            <w:pPr>
              <w:spacing w:line="360" w:lineRule="auto"/>
              <w:jc w:val="center"/>
              <w:rPr>
                <w:rFonts w:ascii="宋体" w:hAnsi="宋体"/>
                <w:sz w:val="24"/>
              </w:rPr>
            </w:pPr>
          </w:p>
        </w:tc>
        <w:tc>
          <w:tcPr>
            <w:tcW w:w="1348" w:type="dxa"/>
            <w:noWrap/>
            <w:vAlign w:val="center"/>
          </w:tcPr>
          <w:p>
            <w:pPr>
              <w:spacing w:line="360" w:lineRule="auto"/>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trPr>
        <w:tc>
          <w:tcPr>
            <w:tcW w:w="956" w:type="dxa"/>
            <w:noWrap/>
            <w:vAlign w:val="center"/>
          </w:tcPr>
          <w:p>
            <w:pPr>
              <w:spacing w:line="360" w:lineRule="auto"/>
              <w:jc w:val="center"/>
              <w:rPr>
                <w:rFonts w:ascii="宋体" w:hAnsi="宋体"/>
                <w:sz w:val="24"/>
              </w:rPr>
            </w:pPr>
            <w:r>
              <w:rPr>
                <w:rFonts w:ascii="宋体" w:hAnsi="宋体"/>
                <w:sz w:val="24"/>
              </w:rPr>
              <w:t>3</w:t>
            </w:r>
          </w:p>
        </w:tc>
        <w:tc>
          <w:tcPr>
            <w:tcW w:w="1492" w:type="dxa"/>
            <w:noWrap/>
            <w:vAlign w:val="center"/>
          </w:tcPr>
          <w:p>
            <w:pPr>
              <w:spacing w:line="360" w:lineRule="auto"/>
              <w:jc w:val="center"/>
              <w:rPr>
                <w:rFonts w:ascii="宋体" w:hAnsi="宋体"/>
                <w:sz w:val="24"/>
              </w:rPr>
            </w:pPr>
          </w:p>
        </w:tc>
        <w:tc>
          <w:tcPr>
            <w:tcW w:w="2776" w:type="dxa"/>
            <w:noWrap/>
            <w:vAlign w:val="center"/>
          </w:tcPr>
          <w:p>
            <w:pPr>
              <w:spacing w:line="360" w:lineRule="auto"/>
              <w:jc w:val="center"/>
              <w:rPr>
                <w:rFonts w:ascii="宋体" w:hAnsi="宋体"/>
                <w:sz w:val="24"/>
              </w:rPr>
            </w:pPr>
          </w:p>
        </w:tc>
        <w:tc>
          <w:tcPr>
            <w:tcW w:w="2208" w:type="dxa"/>
            <w:noWrap/>
            <w:vAlign w:val="center"/>
          </w:tcPr>
          <w:p>
            <w:pPr>
              <w:spacing w:line="360" w:lineRule="auto"/>
              <w:jc w:val="center"/>
              <w:rPr>
                <w:rFonts w:ascii="宋体" w:hAnsi="宋体"/>
                <w:sz w:val="24"/>
              </w:rPr>
            </w:pPr>
          </w:p>
        </w:tc>
        <w:tc>
          <w:tcPr>
            <w:tcW w:w="1348" w:type="dxa"/>
            <w:noWrap/>
            <w:vAlign w:val="center"/>
          </w:tcPr>
          <w:p>
            <w:pPr>
              <w:spacing w:line="360" w:lineRule="auto"/>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trPr>
        <w:tc>
          <w:tcPr>
            <w:tcW w:w="956" w:type="dxa"/>
            <w:noWrap/>
            <w:vAlign w:val="center"/>
          </w:tcPr>
          <w:p>
            <w:pPr>
              <w:spacing w:line="360" w:lineRule="auto"/>
              <w:jc w:val="center"/>
              <w:rPr>
                <w:rFonts w:ascii="宋体" w:hAnsi="宋体"/>
                <w:sz w:val="24"/>
              </w:rPr>
            </w:pPr>
            <w:r>
              <w:rPr>
                <w:rFonts w:ascii="宋体" w:hAnsi="宋体"/>
                <w:sz w:val="24"/>
              </w:rPr>
              <w:t>4</w:t>
            </w:r>
          </w:p>
        </w:tc>
        <w:tc>
          <w:tcPr>
            <w:tcW w:w="1492" w:type="dxa"/>
            <w:noWrap/>
            <w:vAlign w:val="center"/>
          </w:tcPr>
          <w:p>
            <w:pPr>
              <w:spacing w:line="360" w:lineRule="auto"/>
              <w:jc w:val="center"/>
              <w:rPr>
                <w:rFonts w:ascii="宋体" w:hAnsi="宋体"/>
                <w:sz w:val="24"/>
              </w:rPr>
            </w:pPr>
          </w:p>
        </w:tc>
        <w:tc>
          <w:tcPr>
            <w:tcW w:w="2776" w:type="dxa"/>
            <w:noWrap/>
            <w:vAlign w:val="center"/>
          </w:tcPr>
          <w:p>
            <w:pPr>
              <w:spacing w:line="360" w:lineRule="auto"/>
              <w:jc w:val="center"/>
              <w:rPr>
                <w:rFonts w:ascii="宋体" w:hAnsi="宋体"/>
                <w:sz w:val="24"/>
              </w:rPr>
            </w:pPr>
          </w:p>
        </w:tc>
        <w:tc>
          <w:tcPr>
            <w:tcW w:w="2208" w:type="dxa"/>
            <w:noWrap/>
            <w:vAlign w:val="center"/>
          </w:tcPr>
          <w:p>
            <w:pPr>
              <w:spacing w:line="360" w:lineRule="auto"/>
              <w:jc w:val="center"/>
              <w:rPr>
                <w:rFonts w:ascii="宋体" w:hAnsi="宋体"/>
                <w:sz w:val="24"/>
              </w:rPr>
            </w:pPr>
          </w:p>
        </w:tc>
        <w:tc>
          <w:tcPr>
            <w:tcW w:w="1348" w:type="dxa"/>
            <w:noWrap/>
            <w:vAlign w:val="center"/>
          </w:tcPr>
          <w:p>
            <w:pPr>
              <w:spacing w:line="360" w:lineRule="auto"/>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trPr>
        <w:tc>
          <w:tcPr>
            <w:tcW w:w="956" w:type="dxa"/>
            <w:noWrap/>
            <w:vAlign w:val="center"/>
          </w:tcPr>
          <w:p>
            <w:pPr>
              <w:spacing w:line="360" w:lineRule="auto"/>
              <w:jc w:val="center"/>
              <w:rPr>
                <w:rFonts w:ascii="宋体" w:hAnsi="宋体"/>
                <w:sz w:val="24"/>
              </w:rPr>
            </w:pPr>
            <w:r>
              <w:rPr>
                <w:rFonts w:ascii="宋体" w:hAnsi="宋体"/>
                <w:sz w:val="24"/>
              </w:rPr>
              <w:t>5</w:t>
            </w:r>
          </w:p>
        </w:tc>
        <w:tc>
          <w:tcPr>
            <w:tcW w:w="1492" w:type="dxa"/>
            <w:noWrap/>
            <w:vAlign w:val="center"/>
          </w:tcPr>
          <w:p>
            <w:pPr>
              <w:spacing w:line="360" w:lineRule="auto"/>
              <w:jc w:val="center"/>
              <w:rPr>
                <w:rFonts w:ascii="宋体" w:hAnsi="宋体"/>
                <w:sz w:val="24"/>
              </w:rPr>
            </w:pPr>
          </w:p>
        </w:tc>
        <w:tc>
          <w:tcPr>
            <w:tcW w:w="2776" w:type="dxa"/>
            <w:noWrap/>
            <w:vAlign w:val="center"/>
          </w:tcPr>
          <w:p>
            <w:pPr>
              <w:spacing w:line="360" w:lineRule="auto"/>
              <w:jc w:val="center"/>
              <w:rPr>
                <w:rFonts w:ascii="宋体" w:hAnsi="宋体"/>
                <w:sz w:val="24"/>
              </w:rPr>
            </w:pPr>
          </w:p>
        </w:tc>
        <w:tc>
          <w:tcPr>
            <w:tcW w:w="2208" w:type="dxa"/>
            <w:noWrap/>
            <w:vAlign w:val="center"/>
          </w:tcPr>
          <w:p>
            <w:pPr>
              <w:spacing w:line="360" w:lineRule="auto"/>
              <w:jc w:val="center"/>
              <w:rPr>
                <w:rFonts w:ascii="宋体" w:hAnsi="宋体"/>
                <w:sz w:val="24"/>
              </w:rPr>
            </w:pPr>
          </w:p>
        </w:tc>
        <w:tc>
          <w:tcPr>
            <w:tcW w:w="1348" w:type="dxa"/>
            <w:noWrap/>
            <w:vAlign w:val="center"/>
          </w:tcPr>
          <w:p>
            <w:pPr>
              <w:spacing w:line="360" w:lineRule="auto"/>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trPr>
        <w:tc>
          <w:tcPr>
            <w:tcW w:w="956" w:type="dxa"/>
            <w:noWrap/>
            <w:vAlign w:val="center"/>
          </w:tcPr>
          <w:p>
            <w:pPr>
              <w:spacing w:line="360" w:lineRule="auto"/>
              <w:jc w:val="center"/>
              <w:rPr>
                <w:rFonts w:ascii="宋体" w:hAnsi="宋体"/>
                <w:sz w:val="24"/>
              </w:rPr>
            </w:pPr>
            <w:r>
              <w:rPr>
                <w:rFonts w:ascii="宋体" w:hAnsi="宋体"/>
                <w:sz w:val="24"/>
              </w:rPr>
              <w:t>6</w:t>
            </w:r>
          </w:p>
        </w:tc>
        <w:tc>
          <w:tcPr>
            <w:tcW w:w="1492" w:type="dxa"/>
            <w:noWrap/>
            <w:vAlign w:val="center"/>
          </w:tcPr>
          <w:p>
            <w:pPr>
              <w:spacing w:line="360" w:lineRule="auto"/>
              <w:jc w:val="center"/>
              <w:rPr>
                <w:rFonts w:ascii="宋体" w:hAnsi="宋体"/>
                <w:sz w:val="24"/>
              </w:rPr>
            </w:pPr>
          </w:p>
        </w:tc>
        <w:tc>
          <w:tcPr>
            <w:tcW w:w="2776" w:type="dxa"/>
            <w:noWrap/>
            <w:vAlign w:val="center"/>
          </w:tcPr>
          <w:p>
            <w:pPr>
              <w:spacing w:line="360" w:lineRule="auto"/>
              <w:jc w:val="center"/>
              <w:rPr>
                <w:rFonts w:ascii="宋体" w:hAnsi="宋体"/>
                <w:sz w:val="24"/>
              </w:rPr>
            </w:pPr>
          </w:p>
        </w:tc>
        <w:tc>
          <w:tcPr>
            <w:tcW w:w="2208" w:type="dxa"/>
            <w:noWrap/>
            <w:vAlign w:val="center"/>
          </w:tcPr>
          <w:p>
            <w:pPr>
              <w:spacing w:line="360" w:lineRule="auto"/>
              <w:jc w:val="center"/>
              <w:rPr>
                <w:rFonts w:ascii="宋体" w:hAnsi="宋体"/>
                <w:sz w:val="24"/>
              </w:rPr>
            </w:pPr>
          </w:p>
        </w:tc>
        <w:tc>
          <w:tcPr>
            <w:tcW w:w="1348" w:type="dxa"/>
            <w:noWrap/>
            <w:vAlign w:val="center"/>
          </w:tcPr>
          <w:p>
            <w:pPr>
              <w:spacing w:line="360" w:lineRule="auto"/>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trPr>
        <w:tc>
          <w:tcPr>
            <w:tcW w:w="956" w:type="dxa"/>
            <w:noWrap/>
            <w:vAlign w:val="center"/>
          </w:tcPr>
          <w:p>
            <w:pPr>
              <w:spacing w:line="360" w:lineRule="auto"/>
              <w:jc w:val="center"/>
              <w:rPr>
                <w:rFonts w:ascii="宋体" w:hAnsi="宋体"/>
                <w:sz w:val="24"/>
              </w:rPr>
            </w:pPr>
            <w:r>
              <w:rPr>
                <w:rFonts w:ascii="宋体" w:hAnsi="宋体"/>
                <w:sz w:val="24"/>
              </w:rPr>
              <w:t>…</w:t>
            </w:r>
          </w:p>
        </w:tc>
        <w:tc>
          <w:tcPr>
            <w:tcW w:w="1492" w:type="dxa"/>
            <w:noWrap/>
            <w:vAlign w:val="center"/>
          </w:tcPr>
          <w:p>
            <w:pPr>
              <w:spacing w:line="360" w:lineRule="auto"/>
              <w:jc w:val="center"/>
              <w:rPr>
                <w:rFonts w:ascii="宋体" w:hAnsi="宋体"/>
                <w:sz w:val="24"/>
              </w:rPr>
            </w:pPr>
          </w:p>
        </w:tc>
        <w:tc>
          <w:tcPr>
            <w:tcW w:w="2776" w:type="dxa"/>
            <w:noWrap/>
            <w:vAlign w:val="center"/>
          </w:tcPr>
          <w:p>
            <w:pPr>
              <w:spacing w:line="360" w:lineRule="auto"/>
              <w:jc w:val="center"/>
              <w:rPr>
                <w:rFonts w:ascii="宋体" w:hAnsi="宋体"/>
                <w:sz w:val="24"/>
              </w:rPr>
            </w:pPr>
          </w:p>
        </w:tc>
        <w:tc>
          <w:tcPr>
            <w:tcW w:w="2208" w:type="dxa"/>
            <w:noWrap/>
            <w:vAlign w:val="center"/>
          </w:tcPr>
          <w:p>
            <w:pPr>
              <w:spacing w:line="360" w:lineRule="auto"/>
              <w:jc w:val="center"/>
              <w:rPr>
                <w:rFonts w:ascii="宋体" w:hAnsi="宋体"/>
                <w:sz w:val="24"/>
              </w:rPr>
            </w:pPr>
          </w:p>
        </w:tc>
        <w:tc>
          <w:tcPr>
            <w:tcW w:w="1348" w:type="dxa"/>
            <w:noWrap/>
            <w:vAlign w:val="center"/>
          </w:tcPr>
          <w:p>
            <w:pPr>
              <w:spacing w:line="360" w:lineRule="auto"/>
              <w:jc w:val="center"/>
              <w:rPr>
                <w:rFonts w:ascii="宋体" w:hAnsi="宋体"/>
                <w:sz w:val="24"/>
              </w:rPr>
            </w:pPr>
          </w:p>
        </w:tc>
      </w:tr>
    </w:tbl>
    <w:p>
      <w:pPr>
        <w:spacing w:line="360" w:lineRule="auto"/>
        <w:rPr>
          <w:rFonts w:ascii="宋体" w:hAnsi="宋体"/>
          <w:sz w:val="24"/>
        </w:rPr>
      </w:pPr>
    </w:p>
    <w:p>
      <w:pPr>
        <w:spacing w:line="360" w:lineRule="auto"/>
        <w:rPr>
          <w:rFonts w:ascii="宋体" w:hAnsi="宋体"/>
          <w:sz w:val="18"/>
          <w:szCs w:val="18"/>
        </w:rPr>
      </w:pPr>
      <w:r>
        <w:rPr>
          <w:rFonts w:ascii="宋体" w:hAnsi="宋体"/>
          <w:sz w:val="18"/>
          <w:szCs w:val="18"/>
        </w:rPr>
        <w:t>注：此表需详列投标的每种设备，对投标产品规格技术参数及性能要求详述；后附所投设备的扫描件或复印件（资料中应能简要反映出设备的规格型号、主要技术参数及性能说明）。</w:t>
      </w:r>
    </w:p>
    <w:p>
      <w:pPr>
        <w:spacing w:line="360" w:lineRule="auto"/>
        <w:rPr>
          <w:rFonts w:ascii="宋体" w:hAnsi="宋体"/>
          <w:sz w:val="18"/>
          <w:szCs w:val="18"/>
        </w:rPr>
      </w:pPr>
    </w:p>
    <w:p>
      <w:pPr>
        <w:spacing w:line="360" w:lineRule="auto"/>
        <w:rPr>
          <w:rFonts w:ascii="宋体" w:hAnsi="宋体"/>
          <w:sz w:val="18"/>
          <w:szCs w:val="18"/>
        </w:rPr>
      </w:pPr>
    </w:p>
    <w:p>
      <w:pPr>
        <w:spacing w:line="360" w:lineRule="auto"/>
        <w:rPr>
          <w:rFonts w:ascii="宋体" w:hAnsi="宋体"/>
          <w:sz w:val="18"/>
          <w:szCs w:val="18"/>
        </w:rPr>
      </w:pPr>
    </w:p>
    <w:p>
      <w:pPr>
        <w:pStyle w:val="34"/>
        <w:spacing w:after="0" w:line="360" w:lineRule="auto"/>
        <w:ind w:firstLine="3840" w:firstLineChars="1600"/>
        <w:rPr>
          <w:rFonts w:ascii="宋体" w:hAnsi="宋体"/>
          <w:bCs/>
          <w:sz w:val="24"/>
          <w:u w:val="single"/>
        </w:rPr>
      </w:pPr>
      <w:r>
        <w:rPr>
          <w:rFonts w:ascii="宋体" w:hAnsi="宋体"/>
          <w:bCs/>
          <w:sz w:val="24"/>
        </w:rPr>
        <w:t>投标单位：</w:t>
      </w:r>
      <w:r>
        <w:rPr>
          <w:rFonts w:ascii="宋体" w:hAnsi="宋体"/>
          <w:bCs/>
          <w:sz w:val="24"/>
          <w:u w:val="single"/>
        </w:rPr>
        <w:t xml:space="preserve">   （全称）（盖章）  </w:t>
      </w:r>
    </w:p>
    <w:p>
      <w:pPr>
        <w:pStyle w:val="34"/>
        <w:spacing w:after="0" w:line="360" w:lineRule="auto"/>
        <w:ind w:firstLine="3840" w:firstLineChars="1600"/>
        <w:rPr>
          <w:rFonts w:ascii="宋体" w:hAnsi="宋体"/>
          <w:bCs/>
          <w:sz w:val="24"/>
          <w:u w:val="single"/>
        </w:rPr>
      </w:pPr>
      <w:r>
        <w:rPr>
          <w:rFonts w:ascii="宋体" w:hAnsi="宋体"/>
          <w:bCs/>
          <w:sz w:val="24"/>
        </w:rPr>
        <w:t>法定代表人或委托代理人：</w:t>
      </w:r>
      <w:r>
        <w:rPr>
          <w:rFonts w:ascii="宋体" w:hAnsi="宋体"/>
          <w:bCs/>
          <w:sz w:val="24"/>
          <w:u w:val="single"/>
        </w:rPr>
        <w:t>（签字或盖章）</w:t>
      </w:r>
    </w:p>
    <w:p>
      <w:pPr>
        <w:pStyle w:val="34"/>
        <w:spacing w:after="0" w:line="360" w:lineRule="auto"/>
        <w:ind w:firstLine="3840" w:firstLineChars="1600"/>
        <w:rPr>
          <w:rFonts w:ascii="宋体" w:hAnsi="宋体"/>
          <w:sz w:val="24"/>
        </w:rPr>
      </w:pPr>
      <w:r>
        <w:rPr>
          <w:rFonts w:ascii="宋体" w:hAnsi="宋体"/>
          <w:sz w:val="24"/>
        </w:rPr>
        <w:t>日 期：</w:t>
      </w:r>
      <w:r>
        <w:rPr>
          <w:rFonts w:ascii="宋体" w:hAnsi="宋体"/>
          <w:bCs/>
          <w:sz w:val="24"/>
        </w:rPr>
        <w:t>20</w:t>
      </w:r>
      <w:r>
        <w:rPr>
          <w:rFonts w:ascii="宋体" w:hAnsi="宋体"/>
          <w:bCs/>
          <w:sz w:val="24"/>
          <w:u w:val="single"/>
        </w:rPr>
        <w:t>　　</w:t>
      </w:r>
      <w:r>
        <w:rPr>
          <w:rFonts w:ascii="宋体" w:hAnsi="宋体"/>
          <w:bCs/>
          <w:sz w:val="24"/>
        </w:rPr>
        <w:t>年</w:t>
      </w:r>
      <w:r>
        <w:rPr>
          <w:rFonts w:ascii="宋体" w:hAnsi="宋体"/>
          <w:bCs/>
          <w:sz w:val="24"/>
          <w:u w:val="single"/>
        </w:rPr>
        <w:t>　</w:t>
      </w:r>
      <w:r>
        <w:rPr>
          <w:rFonts w:ascii="宋体" w:hAnsi="宋体"/>
          <w:bCs/>
          <w:sz w:val="24"/>
        </w:rPr>
        <w:t>月日</w:t>
      </w:r>
    </w:p>
    <w:p>
      <w:pPr>
        <w:spacing w:line="360" w:lineRule="auto"/>
        <w:rPr>
          <w:rFonts w:ascii="宋体" w:hAnsi="宋体"/>
          <w:b/>
          <w:sz w:val="30"/>
        </w:rPr>
      </w:pPr>
    </w:p>
    <w:p>
      <w:pPr>
        <w:spacing w:line="360" w:lineRule="auto"/>
        <w:ind w:left="2880" w:hanging="2880"/>
        <w:jc w:val="center"/>
        <w:rPr>
          <w:rFonts w:ascii="宋体" w:hAnsi="宋体"/>
          <w:b/>
          <w:sz w:val="30"/>
        </w:rPr>
      </w:pPr>
    </w:p>
    <w:p>
      <w:pPr>
        <w:spacing w:line="360" w:lineRule="auto"/>
        <w:jc w:val="center"/>
        <w:rPr>
          <w:rFonts w:ascii="宋体" w:hAnsi="宋体"/>
          <w:b/>
          <w:szCs w:val="21"/>
        </w:rPr>
      </w:pPr>
    </w:p>
    <w:p>
      <w:pPr>
        <w:spacing w:line="360" w:lineRule="auto"/>
        <w:rPr>
          <w:rFonts w:ascii="宋体" w:hAnsi="宋体"/>
          <w:b/>
          <w:sz w:val="30"/>
        </w:rPr>
      </w:pPr>
    </w:p>
    <w:p>
      <w:pPr>
        <w:widowControl/>
        <w:spacing w:line="360" w:lineRule="auto"/>
        <w:jc w:val="left"/>
        <w:rPr>
          <w:rFonts w:ascii="宋体" w:hAnsi="宋体"/>
          <w:b/>
          <w:sz w:val="30"/>
        </w:rPr>
      </w:pPr>
      <w:r>
        <w:rPr>
          <w:rFonts w:ascii="宋体" w:hAnsi="宋体"/>
          <w:b/>
          <w:sz w:val="30"/>
        </w:rPr>
        <w:br w:type="page"/>
      </w:r>
    </w:p>
    <w:p>
      <w:pPr>
        <w:spacing w:line="360" w:lineRule="auto"/>
        <w:jc w:val="center"/>
        <w:outlineLvl w:val="0"/>
        <w:rPr>
          <w:rFonts w:ascii="宋体" w:hAnsi="宋体"/>
          <w:b/>
          <w:sz w:val="32"/>
        </w:rPr>
      </w:pPr>
      <w:r>
        <w:rPr>
          <w:rFonts w:ascii="宋体" w:hAnsi="宋体"/>
          <w:b/>
          <w:sz w:val="32"/>
        </w:rPr>
        <w:t>（八）有关投标产品的检测证书或检测报告或产品鉴定证书等</w:t>
      </w:r>
    </w:p>
    <w:p>
      <w:pPr>
        <w:spacing w:line="360" w:lineRule="auto"/>
        <w:ind w:firstLine="420" w:firstLineChars="200"/>
        <w:rPr>
          <w:rFonts w:ascii="宋体" w:hAnsi="宋体"/>
          <w:szCs w:val="21"/>
        </w:rPr>
      </w:pPr>
      <w:r>
        <w:rPr>
          <w:rFonts w:ascii="宋体" w:hAnsi="宋体"/>
          <w:szCs w:val="21"/>
        </w:rPr>
        <w:t>注：</w:t>
      </w:r>
    </w:p>
    <w:p>
      <w:pPr>
        <w:spacing w:line="360" w:lineRule="auto"/>
        <w:ind w:left="420" w:leftChars="200"/>
        <w:rPr>
          <w:rFonts w:ascii="宋体" w:hAnsi="宋体"/>
          <w:szCs w:val="21"/>
        </w:rPr>
      </w:pPr>
      <w:r>
        <w:rPr>
          <w:rFonts w:ascii="宋体" w:hAnsi="宋体"/>
          <w:szCs w:val="21"/>
        </w:rPr>
        <w:t>1.附投标产品的证明文件、检测报告或产品鉴定证书的扫描复印件(并加盖投标单位章)等相关证明资料。</w:t>
      </w:r>
    </w:p>
    <w:p>
      <w:pPr>
        <w:spacing w:line="360" w:lineRule="auto"/>
        <w:ind w:left="420"/>
        <w:rPr>
          <w:rFonts w:ascii="宋体" w:hAnsi="宋体"/>
          <w:b/>
          <w:sz w:val="28"/>
          <w:szCs w:val="28"/>
        </w:rPr>
      </w:pPr>
      <w:r>
        <w:rPr>
          <w:rFonts w:ascii="宋体" w:hAnsi="宋体"/>
          <w:szCs w:val="21"/>
        </w:rPr>
        <w:t>2.投标供货产品的质量及环保必须达到国家相关检测标准。</w:t>
      </w:r>
    </w:p>
    <w:p>
      <w:pPr>
        <w:spacing w:line="360" w:lineRule="auto"/>
        <w:ind w:left="420"/>
        <w:rPr>
          <w:rFonts w:ascii="宋体" w:hAnsi="宋体"/>
          <w:szCs w:val="21"/>
        </w:rPr>
      </w:pPr>
      <w:r>
        <w:rPr>
          <w:rFonts w:ascii="宋体" w:hAnsi="宋体"/>
          <w:bCs/>
          <w:kern w:val="0"/>
          <w:sz w:val="24"/>
        </w:rPr>
        <w:t>3.</w:t>
      </w:r>
      <w:r>
        <w:rPr>
          <w:rFonts w:ascii="宋体" w:hAnsi="宋体"/>
          <w:szCs w:val="21"/>
        </w:rPr>
        <w:t>所投产品必须通过国家权威机构进行检测，必须提供全部内容的《试验报告》的扫描复印件（复印件加盖公章）。</w:t>
      </w:r>
    </w:p>
    <w:p>
      <w:pPr>
        <w:spacing w:line="360" w:lineRule="auto"/>
        <w:ind w:left="420"/>
        <w:rPr>
          <w:rFonts w:ascii="宋体" w:hAnsi="宋体"/>
          <w:szCs w:val="21"/>
        </w:rPr>
      </w:pPr>
      <w:r>
        <w:rPr>
          <w:rFonts w:ascii="宋体" w:hAnsi="宋体"/>
          <w:szCs w:val="21"/>
        </w:rPr>
        <w:t>4.必须是有效的检测报告或证明。</w:t>
      </w:r>
    </w:p>
    <w:p>
      <w:pPr>
        <w:spacing w:line="360" w:lineRule="auto"/>
        <w:rPr>
          <w:rFonts w:ascii="宋体" w:hAnsi="宋体"/>
          <w:b/>
          <w:sz w:val="30"/>
        </w:rPr>
      </w:pPr>
    </w:p>
    <w:p>
      <w:pPr>
        <w:widowControl/>
        <w:spacing w:line="360" w:lineRule="auto"/>
        <w:jc w:val="left"/>
        <w:rPr>
          <w:rFonts w:ascii="宋体" w:hAnsi="宋体"/>
          <w:b/>
          <w:sz w:val="30"/>
        </w:rPr>
      </w:pPr>
      <w:r>
        <w:rPr>
          <w:rFonts w:ascii="宋体" w:hAnsi="宋体"/>
          <w:b/>
          <w:sz w:val="30"/>
        </w:rPr>
        <w:br w:type="page"/>
      </w:r>
    </w:p>
    <w:p>
      <w:pPr>
        <w:spacing w:line="360" w:lineRule="auto"/>
        <w:jc w:val="center"/>
        <w:outlineLvl w:val="0"/>
        <w:rPr>
          <w:rFonts w:ascii="宋体" w:hAnsi="宋体"/>
          <w:b/>
          <w:sz w:val="32"/>
        </w:rPr>
      </w:pPr>
      <w:r>
        <w:rPr>
          <w:rFonts w:ascii="宋体" w:hAnsi="宋体"/>
          <w:b/>
          <w:sz w:val="32"/>
        </w:rPr>
        <w:t>（九）技术参数、功能偏离表</w:t>
      </w:r>
    </w:p>
    <w:p>
      <w:pPr>
        <w:spacing w:line="360" w:lineRule="auto"/>
        <w:ind w:left="2880" w:hanging="2880"/>
        <w:jc w:val="center"/>
        <w:rPr>
          <w:rFonts w:ascii="宋体" w:hAnsi="宋体"/>
          <w:b/>
          <w:sz w:val="30"/>
        </w:rPr>
      </w:pPr>
    </w:p>
    <w:p>
      <w:pPr>
        <w:autoSpaceDE w:val="0"/>
        <w:spacing w:line="360" w:lineRule="auto"/>
        <w:rPr>
          <w:rFonts w:ascii="宋体" w:hAnsi="宋体"/>
          <w:sz w:val="24"/>
          <w:u w:val="single"/>
        </w:rPr>
      </w:pPr>
      <w:r>
        <w:rPr>
          <w:rFonts w:ascii="宋体" w:hAnsi="宋体"/>
          <w:sz w:val="24"/>
        </w:rPr>
        <w:t>投标人名称：</w:t>
      </w:r>
      <w:r>
        <w:rPr>
          <w:rFonts w:ascii="宋体" w:hAnsi="宋体"/>
          <w:sz w:val="2"/>
          <w:szCs w:val="2"/>
        </w:rPr>
        <w:t>UU</w:t>
      </w:r>
      <w:r>
        <w:rPr>
          <w:rFonts w:ascii="宋体" w:hAnsi="宋体"/>
          <w:sz w:val="24"/>
          <w:u w:val="single"/>
        </w:rPr>
        <w:t xml:space="preserve">         　　　　　   </w:t>
      </w:r>
      <w:r>
        <w:rPr>
          <w:rFonts w:ascii="宋体" w:hAnsi="宋体"/>
          <w:sz w:val="2"/>
          <w:szCs w:val="2"/>
        </w:rPr>
        <w:t>UU</w:t>
      </w:r>
      <w:r>
        <w:rPr>
          <w:rFonts w:ascii="宋体" w:hAnsi="宋体"/>
          <w:sz w:val="24"/>
        </w:rPr>
        <w:t>项目编号/合同包号：</w:t>
      </w:r>
      <w:r>
        <w:rPr>
          <w:rFonts w:ascii="宋体" w:hAnsi="宋体"/>
          <w:sz w:val="2"/>
          <w:szCs w:val="2"/>
        </w:rPr>
        <w:t>UU</w:t>
      </w:r>
      <w:r>
        <w:rPr>
          <w:rFonts w:ascii="宋体" w:hAnsi="宋体"/>
          <w:sz w:val="24"/>
          <w:u w:val="single"/>
        </w:rPr>
        <w:t>　　　　　　　　　</w:t>
      </w:r>
    </w:p>
    <w:p>
      <w:pPr>
        <w:spacing w:line="360" w:lineRule="auto"/>
        <w:rPr>
          <w:rFonts w:ascii="宋体" w:hAnsi="宋体"/>
          <w:sz w:val="24"/>
          <w:u w:val="single"/>
        </w:rPr>
      </w:pPr>
    </w:p>
    <w:tbl>
      <w:tblPr>
        <w:tblStyle w:val="88"/>
        <w:tblW w:w="8512" w:type="dxa"/>
        <w:tblInd w:w="15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3"/>
        <w:gridCol w:w="1960"/>
        <w:gridCol w:w="1527"/>
        <w:gridCol w:w="1559"/>
        <w:gridCol w:w="1559"/>
        <w:gridCol w:w="10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trPr>
        <w:tc>
          <w:tcPr>
            <w:tcW w:w="863" w:type="dxa"/>
            <w:noWrap/>
            <w:vAlign w:val="center"/>
          </w:tcPr>
          <w:p>
            <w:pPr>
              <w:spacing w:line="360" w:lineRule="auto"/>
              <w:jc w:val="center"/>
              <w:rPr>
                <w:rFonts w:ascii="宋体" w:hAnsi="宋体"/>
                <w:sz w:val="24"/>
              </w:rPr>
            </w:pPr>
            <w:r>
              <w:rPr>
                <w:rFonts w:ascii="宋体" w:hAnsi="宋体"/>
                <w:sz w:val="24"/>
              </w:rPr>
              <w:t>序号</w:t>
            </w:r>
          </w:p>
        </w:tc>
        <w:tc>
          <w:tcPr>
            <w:tcW w:w="1960" w:type="dxa"/>
            <w:noWrap/>
            <w:vAlign w:val="center"/>
          </w:tcPr>
          <w:p>
            <w:pPr>
              <w:spacing w:line="360" w:lineRule="auto"/>
              <w:jc w:val="center"/>
              <w:rPr>
                <w:rFonts w:ascii="宋体" w:hAnsi="宋体"/>
                <w:sz w:val="24"/>
              </w:rPr>
            </w:pPr>
            <w:r>
              <w:rPr>
                <w:rFonts w:ascii="宋体" w:hAnsi="宋体"/>
                <w:sz w:val="24"/>
              </w:rPr>
              <w:t>招标文件规格条目号</w:t>
            </w:r>
          </w:p>
        </w:tc>
        <w:tc>
          <w:tcPr>
            <w:tcW w:w="1527" w:type="dxa"/>
            <w:noWrap/>
            <w:vAlign w:val="center"/>
          </w:tcPr>
          <w:p>
            <w:pPr>
              <w:spacing w:line="360" w:lineRule="auto"/>
              <w:jc w:val="center"/>
              <w:rPr>
                <w:rFonts w:ascii="宋体" w:hAnsi="宋体"/>
                <w:sz w:val="24"/>
              </w:rPr>
            </w:pPr>
            <w:r>
              <w:rPr>
                <w:rFonts w:ascii="宋体" w:hAnsi="宋体"/>
                <w:sz w:val="24"/>
              </w:rPr>
              <w:t>招标规格</w:t>
            </w:r>
          </w:p>
        </w:tc>
        <w:tc>
          <w:tcPr>
            <w:tcW w:w="1559" w:type="dxa"/>
            <w:noWrap/>
            <w:vAlign w:val="center"/>
          </w:tcPr>
          <w:p>
            <w:pPr>
              <w:spacing w:line="360" w:lineRule="auto"/>
              <w:jc w:val="center"/>
              <w:rPr>
                <w:rFonts w:ascii="宋体" w:hAnsi="宋体"/>
                <w:sz w:val="24"/>
              </w:rPr>
            </w:pPr>
            <w:r>
              <w:rPr>
                <w:rFonts w:ascii="宋体" w:hAnsi="宋体"/>
                <w:sz w:val="24"/>
              </w:rPr>
              <w:t>投标规格</w:t>
            </w:r>
          </w:p>
        </w:tc>
        <w:tc>
          <w:tcPr>
            <w:tcW w:w="1559" w:type="dxa"/>
            <w:noWrap/>
            <w:vAlign w:val="center"/>
          </w:tcPr>
          <w:p>
            <w:pPr>
              <w:spacing w:line="360" w:lineRule="auto"/>
              <w:jc w:val="center"/>
              <w:rPr>
                <w:rFonts w:ascii="宋体" w:hAnsi="宋体"/>
                <w:sz w:val="24"/>
              </w:rPr>
            </w:pPr>
            <w:r>
              <w:rPr>
                <w:rFonts w:ascii="宋体" w:hAnsi="宋体"/>
                <w:sz w:val="24"/>
              </w:rPr>
              <w:t>偏离</w:t>
            </w:r>
          </w:p>
        </w:tc>
        <w:tc>
          <w:tcPr>
            <w:tcW w:w="1044" w:type="dxa"/>
            <w:noWrap/>
            <w:vAlign w:val="center"/>
          </w:tcPr>
          <w:p>
            <w:pPr>
              <w:spacing w:line="360" w:lineRule="auto"/>
              <w:jc w:val="center"/>
              <w:rPr>
                <w:rFonts w:ascii="宋体" w:hAnsi="宋体"/>
                <w:sz w:val="24"/>
              </w:rPr>
            </w:pPr>
            <w:r>
              <w:rPr>
                <w:rFonts w:ascii="宋体" w:hAnsi="宋体"/>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trPr>
        <w:tc>
          <w:tcPr>
            <w:tcW w:w="863" w:type="dxa"/>
            <w:noWrap/>
          </w:tcPr>
          <w:p>
            <w:pPr>
              <w:spacing w:line="360" w:lineRule="auto"/>
              <w:rPr>
                <w:rFonts w:ascii="宋体" w:hAnsi="宋体"/>
                <w:sz w:val="24"/>
              </w:rPr>
            </w:pPr>
          </w:p>
          <w:p>
            <w:pPr>
              <w:spacing w:line="360" w:lineRule="auto"/>
              <w:rPr>
                <w:rFonts w:ascii="宋体" w:hAnsi="宋体"/>
                <w:sz w:val="24"/>
              </w:rPr>
            </w:pPr>
          </w:p>
        </w:tc>
        <w:tc>
          <w:tcPr>
            <w:tcW w:w="1960" w:type="dxa"/>
            <w:noWrap/>
          </w:tcPr>
          <w:p>
            <w:pPr>
              <w:widowControl/>
              <w:spacing w:line="360" w:lineRule="auto"/>
              <w:jc w:val="left"/>
              <w:rPr>
                <w:rFonts w:ascii="宋体" w:hAnsi="宋体"/>
                <w:sz w:val="24"/>
              </w:rPr>
            </w:pPr>
          </w:p>
          <w:p>
            <w:pPr>
              <w:spacing w:line="360" w:lineRule="auto"/>
              <w:rPr>
                <w:rFonts w:ascii="宋体" w:hAnsi="宋体"/>
                <w:sz w:val="24"/>
              </w:rPr>
            </w:pPr>
          </w:p>
        </w:tc>
        <w:tc>
          <w:tcPr>
            <w:tcW w:w="1527" w:type="dxa"/>
            <w:noWrap/>
          </w:tcPr>
          <w:p>
            <w:pPr>
              <w:spacing w:line="360" w:lineRule="auto"/>
              <w:rPr>
                <w:rFonts w:ascii="宋体" w:hAnsi="宋体"/>
                <w:sz w:val="24"/>
              </w:rPr>
            </w:pPr>
          </w:p>
        </w:tc>
        <w:tc>
          <w:tcPr>
            <w:tcW w:w="1559" w:type="dxa"/>
            <w:noWrap/>
          </w:tcPr>
          <w:p>
            <w:pPr>
              <w:spacing w:line="360" w:lineRule="auto"/>
              <w:rPr>
                <w:rFonts w:ascii="宋体" w:hAnsi="宋体"/>
                <w:sz w:val="24"/>
              </w:rPr>
            </w:pPr>
          </w:p>
        </w:tc>
        <w:tc>
          <w:tcPr>
            <w:tcW w:w="1559" w:type="dxa"/>
            <w:noWrap/>
          </w:tcPr>
          <w:p>
            <w:pPr>
              <w:spacing w:line="360" w:lineRule="auto"/>
              <w:rPr>
                <w:rFonts w:ascii="宋体" w:hAnsi="宋体"/>
                <w:sz w:val="24"/>
              </w:rPr>
            </w:pPr>
          </w:p>
        </w:tc>
        <w:tc>
          <w:tcPr>
            <w:tcW w:w="1044" w:type="dxa"/>
            <w:noWrap/>
          </w:tcPr>
          <w:p>
            <w:pPr>
              <w:spacing w:line="360" w:lineRule="auto"/>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90" w:hRule="atLeast"/>
        </w:trPr>
        <w:tc>
          <w:tcPr>
            <w:tcW w:w="863" w:type="dxa"/>
            <w:noWrap/>
          </w:tcPr>
          <w:p>
            <w:pPr>
              <w:spacing w:line="360" w:lineRule="auto"/>
              <w:rPr>
                <w:rFonts w:ascii="宋体" w:hAnsi="宋体"/>
                <w:sz w:val="24"/>
              </w:rPr>
            </w:pPr>
          </w:p>
          <w:p>
            <w:pPr>
              <w:spacing w:line="360" w:lineRule="auto"/>
              <w:rPr>
                <w:rFonts w:ascii="宋体" w:hAnsi="宋体"/>
                <w:sz w:val="24"/>
              </w:rPr>
            </w:pPr>
          </w:p>
        </w:tc>
        <w:tc>
          <w:tcPr>
            <w:tcW w:w="1960" w:type="dxa"/>
            <w:noWrap/>
          </w:tcPr>
          <w:p>
            <w:pPr>
              <w:widowControl/>
              <w:spacing w:line="360" w:lineRule="auto"/>
              <w:jc w:val="left"/>
              <w:rPr>
                <w:rFonts w:ascii="宋体" w:hAnsi="宋体"/>
                <w:sz w:val="24"/>
              </w:rPr>
            </w:pPr>
          </w:p>
          <w:p>
            <w:pPr>
              <w:spacing w:line="360" w:lineRule="auto"/>
              <w:rPr>
                <w:rFonts w:ascii="宋体" w:hAnsi="宋体"/>
                <w:sz w:val="24"/>
              </w:rPr>
            </w:pPr>
          </w:p>
        </w:tc>
        <w:tc>
          <w:tcPr>
            <w:tcW w:w="1527" w:type="dxa"/>
            <w:noWrap/>
          </w:tcPr>
          <w:p>
            <w:pPr>
              <w:spacing w:line="360" w:lineRule="auto"/>
              <w:rPr>
                <w:rFonts w:ascii="宋体" w:hAnsi="宋体"/>
                <w:sz w:val="24"/>
              </w:rPr>
            </w:pPr>
          </w:p>
        </w:tc>
        <w:tc>
          <w:tcPr>
            <w:tcW w:w="1559" w:type="dxa"/>
            <w:noWrap/>
          </w:tcPr>
          <w:p>
            <w:pPr>
              <w:spacing w:line="360" w:lineRule="auto"/>
              <w:rPr>
                <w:rFonts w:ascii="宋体" w:hAnsi="宋体"/>
                <w:sz w:val="24"/>
              </w:rPr>
            </w:pPr>
          </w:p>
        </w:tc>
        <w:tc>
          <w:tcPr>
            <w:tcW w:w="1559" w:type="dxa"/>
            <w:noWrap/>
          </w:tcPr>
          <w:p>
            <w:pPr>
              <w:spacing w:line="360" w:lineRule="auto"/>
              <w:rPr>
                <w:rFonts w:ascii="宋体" w:hAnsi="宋体"/>
                <w:sz w:val="24"/>
              </w:rPr>
            </w:pPr>
          </w:p>
        </w:tc>
        <w:tc>
          <w:tcPr>
            <w:tcW w:w="1044" w:type="dxa"/>
            <w:noWrap/>
          </w:tcPr>
          <w:p>
            <w:pPr>
              <w:spacing w:line="360" w:lineRule="auto"/>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trPr>
        <w:tc>
          <w:tcPr>
            <w:tcW w:w="863" w:type="dxa"/>
            <w:noWrap/>
          </w:tcPr>
          <w:p>
            <w:pPr>
              <w:spacing w:line="360" w:lineRule="auto"/>
              <w:rPr>
                <w:rFonts w:ascii="宋体" w:hAnsi="宋体"/>
                <w:sz w:val="24"/>
              </w:rPr>
            </w:pPr>
          </w:p>
          <w:p>
            <w:pPr>
              <w:spacing w:line="360" w:lineRule="auto"/>
              <w:rPr>
                <w:rFonts w:ascii="宋体" w:hAnsi="宋体"/>
                <w:sz w:val="24"/>
              </w:rPr>
            </w:pPr>
          </w:p>
        </w:tc>
        <w:tc>
          <w:tcPr>
            <w:tcW w:w="1960" w:type="dxa"/>
            <w:noWrap/>
          </w:tcPr>
          <w:p>
            <w:pPr>
              <w:widowControl/>
              <w:spacing w:line="360" w:lineRule="auto"/>
              <w:jc w:val="left"/>
              <w:rPr>
                <w:rFonts w:ascii="宋体" w:hAnsi="宋体"/>
                <w:sz w:val="24"/>
              </w:rPr>
            </w:pPr>
          </w:p>
          <w:p>
            <w:pPr>
              <w:spacing w:line="360" w:lineRule="auto"/>
              <w:rPr>
                <w:rFonts w:ascii="宋体" w:hAnsi="宋体"/>
                <w:sz w:val="24"/>
              </w:rPr>
            </w:pPr>
          </w:p>
        </w:tc>
        <w:tc>
          <w:tcPr>
            <w:tcW w:w="1527" w:type="dxa"/>
            <w:noWrap/>
          </w:tcPr>
          <w:p>
            <w:pPr>
              <w:spacing w:line="360" w:lineRule="auto"/>
              <w:rPr>
                <w:rFonts w:ascii="宋体" w:hAnsi="宋体"/>
                <w:sz w:val="24"/>
              </w:rPr>
            </w:pPr>
          </w:p>
        </w:tc>
        <w:tc>
          <w:tcPr>
            <w:tcW w:w="1559" w:type="dxa"/>
            <w:noWrap/>
          </w:tcPr>
          <w:p>
            <w:pPr>
              <w:spacing w:line="360" w:lineRule="auto"/>
              <w:rPr>
                <w:rFonts w:ascii="宋体" w:hAnsi="宋体"/>
                <w:sz w:val="24"/>
              </w:rPr>
            </w:pPr>
          </w:p>
        </w:tc>
        <w:tc>
          <w:tcPr>
            <w:tcW w:w="1559" w:type="dxa"/>
            <w:noWrap/>
          </w:tcPr>
          <w:p>
            <w:pPr>
              <w:spacing w:line="360" w:lineRule="auto"/>
              <w:rPr>
                <w:rFonts w:ascii="宋体" w:hAnsi="宋体"/>
                <w:sz w:val="24"/>
              </w:rPr>
            </w:pPr>
          </w:p>
        </w:tc>
        <w:tc>
          <w:tcPr>
            <w:tcW w:w="1044" w:type="dxa"/>
            <w:noWrap/>
          </w:tcPr>
          <w:p>
            <w:pPr>
              <w:spacing w:line="360" w:lineRule="auto"/>
              <w:rPr>
                <w:rFonts w:ascii="宋体" w:hAnsi="宋体"/>
                <w:sz w:val="24"/>
              </w:rPr>
            </w:pPr>
          </w:p>
        </w:tc>
      </w:tr>
    </w:tbl>
    <w:p>
      <w:pPr>
        <w:adjustRightInd w:val="0"/>
        <w:snapToGrid w:val="0"/>
        <w:spacing w:line="360" w:lineRule="auto"/>
        <w:rPr>
          <w:rFonts w:ascii="宋体" w:hAnsi="宋体"/>
          <w:szCs w:val="21"/>
        </w:rPr>
      </w:pPr>
      <w:r>
        <w:rPr>
          <w:rFonts w:ascii="宋体" w:hAnsi="宋体"/>
          <w:szCs w:val="21"/>
        </w:rPr>
        <w:t>注：与招标文件要求逐条对应填写。投标人要将投标文件与招标文件在技术部分的差异之处汇集成此表。投标方必须详细填写偏离表，偏离表未声明事项视为认同招标文件标准。</w:t>
      </w:r>
    </w:p>
    <w:p>
      <w:pPr>
        <w:adjustRightInd w:val="0"/>
        <w:snapToGrid w:val="0"/>
        <w:spacing w:line="360" w:lineRule="auto"/>
        <w:rPr>
          <w:rFonts w:ascii="宋体" w:hAnsi="宋体"/>
          <w:szCs w:val="21"/>
        </w:rPr>
      </w:pPr>
    </w:p>
    <w:p>
      <w:pPr>
        <w:adjustRightInd w:val="0"/>
        <w:snapToGrid w:val="0"/>
        <w:spacing w:line="360" w:lineRule="auto"/>
        <w:rPr>
          <w:rFonts w:ascii="宋体" w:hAnsi="宋体"/>
          <w:szCs w:val="21"/>
        </w:rPr>
      </w:pPr>
    </w:p>
    <w:p>
      <w:pPr>
        <w:pStyle w:val="34"/>
        <w:spacing w:after="0" w:line="360" w:lineRule="auto"/>
        <w:ind w:firstLine="3840" w:firstLineChars="1600"/>
        <w:rPr>
          <w:rFonts w:ascii="宋体" w:hAnsi="宋体"/>
          <w:bCs/>
          <w:sz w:val="24"/>
          <w:u w:val="single"/>
        </w:rPr>
      </w:pPr>
      <w:r>
        <w:rPr>
          <w:rFonts w:ascii="宋体" w:hAnsi="宋体"/>
          <w:bCs/>
          <w:sz w:val="24"/>
        </w:rPr>
        <w:t>投标单位：</w:t>
      </w:r>
      <w:r>
        <w:rPr>
          <w:rFonts w:ascii="宋体" w:hAnsi="宋体"/>
          <w:bCs/>
          <w:sz w:val="24"/>
          <w:u w:val="single"/>
        </w:rPr>
        <w:t xml:space="preserve">   （全称）（盖章）  </w:t>
      </w:r>
    </w:p>
    <w:p>
      <w:pPr>
        <w:pStyle w:val="34"/>
        <w:spacing w:after="0" w:line="360" w:lineRule="auto"/>
        <w:ind w:firstLine="3840" w:firstLineChars="1600"/>
        <w:rPr>
          <w:rFonts w:ascii="宋体" w:hAnsi="宋体"/>
          <w:bCs/>
          <w:sz w:val="24"/>
          <w:u w:val="single"/>
        </w:rPr>
      </w:pPr>
      <w:r>
        <w:rPr>
          <w:rFonts w:ascii="宋体" w:hAnsi="宋体"/>
          <w:bCs/>
          <w:sz w:val="24"/>
        </w:rPr>
        <w:t>法定代表人或委托代理人：</w:t>
      </w:r>
      <w:r>
        <w:rPr>
          <w:rFonts w:ascii="宋体" w:hAnsi="宋体"/>
          <w:bCs/>
          <w:sz w:val="24"/>
          <w:u w:val="single"/>
        </w:rPr>
        <w:t>（签字或盖章）</w:t>
      </w:r>
    </w:p>
    <w:p>
      <w:pPr>
        <w:pStyle w:val="34"/>
        <w:spacing w:after="0" w:line="360" w:lineRule="auto"/>
        <w:ind w:firstLine="3840" w:firstLineChars="1600"/>
        <w:rPr>
          <w:rFonts w:ascii="宋体" w:hAnsi="宋体"/>
          <w:sz w:val="24"/>
        </w:rPr>
      </w:pPr>
      <w:r>
        <w:rPr>
          <w:rFonts w:ascii="宋体" w:hAnsi="宋体"/>
          <w:sz w:val="24"/>
        </w:rPr>
        <w:t>日 期：</w:t>
      </w:r>
      <w:r>
        <w:rPr>
          <w:rFonts w:ascii="宋体" w:hAnsi="宋体"/>
          <w:bCs/>
          <w:sz w:val="24"/>
        </w:rPr>
        <w:t>20</w:t>
      </w:r>
      <w:r>
        <w:rPr>
          <w:rFonts w:ascii="宋体" w:hAnsi="宋体"/>
          <w:bCs/>
          <w:sz w:val="24"/>
          <w:u w:val="single"/>
        </w:rPr>
        <w:t>　　</w:t>
      </w:r>
      <w:r>
        <w:rPr>
          <w:rFonts w:ascii="宋体" w:hAnsi="宋体"/>
          <w:bCs/>
          <w:sz w:val="24"/>
        </w:rPr>
        <w:t>年</w:t>
      </w:r>
      <w:r>
        <w:rPr>
          <w:rFonts w:ascii="宋体" w:hAnsi="宋体"/>
          <w:bCs/>
          <w:sz w:val="24"/>
          <w:u w:val="single"/>
        </w:rPr>
        <w:t>　</w:t>
      </w:r>
      <w:r>
        <w:rPr>
          <w:rFonts w:ascii="宋体" w:hAnsi="宋体"/>
          <w:bCs/>
          <w:sz w:val="24"/>
        </w:rPr>
        <w:t>月日</w:t>
      </w:r>
    </w:p>
    <w:p>
      <w:pPr>
        <w:spacing w:line="360" w:lineRule="auto"/>
        <w:rPr>
          <w:rFonts w:ascii="宋体" w:hAnsi="宋体"/>
        </w:rPr>
      </w:pPr>
    </w:p>
    <w:p>
      <w:pPr>
        <w:spacing w:line="360" w:lineRule="auto"/>
        <w:jc w:val="center"/>
        <w:rPr>
          <w:rFonts w:ascii="宋体" w:hAnsi="宋体"/>
          <w:b/>
          <w:sz w:val="30"/>
        </w:rPr>
      </w:pPr>
    </w:p>
    <w:p>
      <w:pPr>
        <w:widowControl/>
        <w:spacing w:line="360" w:lineRule="auto"/>
        <w:jc w:val="left"/>
        <w:rPr>
          <w:rFonts w:ascii="宋体" w:hAnsi="宋体"/>
          <w:b/>
          <w:sz w:val="30"/>
        </w:rPr>
      </w:pPr>
      <w:r>
        <w:rPr>
          <w:rFonts w:ascii="宋体" w:hAnsi="宋体"/>
          <w:b/>
          <w:sz w:val="30"/>
        </w:rPr>
        <w:br w:type="page"/>
      </w:r>
    </w:p>
    <w:p>
      <w:pPr>
        <w:spacing w:line="360" w:lineRule="auto"/>
        <w:jc w:val="center"/>
        <w:outlineLvl w:val="0"/>
        <w:rPr>
          <w:rFonts w:ascii="宋体" w:hAnsi="宋体"/>
          <w:b/>
          <w:sz w:val="32"/>
        </w:rPr>
      </w:pPr>
      <w:r>
        <w:rPr>
          <w:rFonts w:ascii="宋体" w:hAnsi="宋体"/>
          <w:b/>
          <w:sz w:val="32"/>
        </w:rPr>
        <w:t>（十）商务条款偏离表</w:t>
      </w:r>
    </w:p>
    <w:p>
      <w:pPr>
        <w:spacing w:line="360" w:lineRule="auto"/>
        <w:jc w:val="center"/>
        <w:rPr>
          <w:rFonts w:ascii="宋体" w:hAnsi="宋体"/>
          <w:b/>
          <w:sz w:val="30"/>
        </w:rPr>
      </w:pPr>
    </w:p>
    <w:p>
      <w:pPr>
        <w:autoSpaceDE w:val="0"/>
        <w:spacing w:line="360" w:lineRule="auto"/>
        <w:rPr>
          <w:rFonts w:ascii="宋体" w:hAnsi="宋体"/>
          <w:sz w:val="24"/>
          <w:u w:val="single"/>
        </w:rPr>
      </w:pPr>
      <w:r>
        <w:rPr>
          <w:rFonts w:ascii="宋体" w:hAnsi="宋体"/>
          <w:sz w:val="24"/>
        </w:rPr>
        <w:t>投标人名称：</w:t>
      </w:r>
      <w:r>
        <w:rPr>
          <w:rFonts w:ascii="宋体" w:hAnsi="宋体"/>
          <w:sz w:val="2"/>
          <w:szCs w:val="2"/>
        </w:rPr>
        <w:t>UU</w:t>
      </w:r>
      <w:r>
        <w:rPr>
          <w:rFonts w:ascii="宋体" w:hAnsi="宋体"/>
          <w:sz w:val="24"/>
          <w:u w:val="single"/>
        </w:rPr>
        <w:t xml:space="preserve">         　　　  </w:t>
      </w:r>
      <w:r>
        <w:rPr>
          <w:rFonts w:ascii="宋体" w:hAnsi="宋体"/>
          <w:sz w:val="2"/>
          <w:szCs w:val="2"/>
        </w:rPr>
        <w:t>UU</w:t>
      </w:r>
      <w:r>
        <w:rPr>
          <w:rFonts w:ascii="宋体" w:hAnsi="宋体"/>
          <w:sz w:val="24"/>
        </w:rPr>
        <w:t>项目编号/合同包号：</w:t>
      </w:r>
      <w:r>
        <w:rPr>
          <w:rFonts w:ascii="宋体" w:hAnsi="宋体"/>
          <w:sz w:val="2"/>
          <w:szCs w:val="2"/>
        </w:rPr>
        <w:t>UU</w:t>
      </w:r>
      <w:r>
        <w:rPr>
          <w:rFonts w:ascii="宋体" w:hAnsi="宋体"/>
          <w:sz w:val="24"/>
          <w:u w:val="single"/>
        </w:rPr>
        <w:t>　　　　　　　　　　　</w:t>
      </w:r>
    </w:p>
    <w:p>
      <w:pPr>
        <w:spacing w:line="360" w:lineRule="auto"/>
        <w:rPr>
          <w:rFonts w:ascii="宋体" w:hAnsi="宋体"/>
          <w:sz w:val="24"/>
          <w:u w:val="single"/>
        </w:rPr>
      </w:pPr>
    </w:p>
    <w:tbl>
      <w:tblPr>
        <w:tblStyle w:val="88"/>
        <w:tblW w:w="9137" w:type="dxa"/>
        <w:tblInd w:w="15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1939"/>
        <w:gridCol w:w="2552"/>
        <w:gridCol w:w="2551"/>
        <w:gridCol w:w="12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4" w:hRule="atLeast"/>
        </w:trPr>
        <w:tc>
          <w:tcPr>
            <w:tcW w:w="851" w:type="dxa"/>
            <w:noWrap/>
            <w:vAlign w:val="center"/>
          </w:tcPr>
          <w:p>
            <w:pPr>
              <w:spacing w:line="360" w:lineRule="auto"/>
              <w:jc w:val="center"/>
              <w:rPr>
                <w:rFonts w:ascii="宋体" w:hAnsi="宋体"/>
                <w:sz w:val="24"/>
              </w:rPr>
            </w:pPr>
            <w:r>
              <w:rPr>
                <w:rFonts w:ascii="宋体" w:hAnsi="宋体"/>
                <w:sz w:val="24"/>
              </w:rPr>
              <w:t>序号</w:t>
            </w:r>
          </w:p>
        </w:tc>
        <w:tc>
          <w:tcPr>
            <w:tcW w:w="1939" w:type="dxa"/>
            <w:noWrap/>
            <w:vAlign w:val="center"/>
          </w:tcPr>
          <w:p>
            <w:pPr>
              <w:spacing w:line="360" w:lineRule="auto"/>
              <w:jc w:val="center"/>
              <w:rPr>
                <w:rFonts w:ascii="宋体" w:hAnsi="宋体"/>
                <w:sz w:val="24"/>
              </w:rPr>
            </w:pPr>
            <w:r>
              <w:rPr>
                <w:rFonts w:ascii="宋体" w:hAnsi="宋体"/>
                <w:sz w:val="24"/>
              </w:rPr>
              <w:t>招标文件</w:t>
            </w:r>
          </w:p>
          <w:p>
            <w:pPr>
              <w:spacing w:line="360" w:lineRule="auto"/>
              <w:jc w:val="center"/>
              <w:rPr>
                <w:rFonts w:ascii="宋体" w:hAnsi="宋体"/>
                <w:sz w:val="24"/>
              </w:rPr>
            </w:pPr>
            <w:r>
              <w:rPr>
                <w:rFonts w:ascii="宋体" w:hAnsi="宋体"/>
                <w:sz w:val="24"/>
              </w:rPr>
              <w:t>条目号</w:t>
            </w:r>
          </w:p>
        </w:tc>
        <w:tc>
          <w:tcPr>
            <w:tcW w:w="2552" w:type="dxa"/>
            <w:noWrap/>
            <w:vAlign w:val="center"/>
          </w:tcPr>
          <w:p>
            <w:pPr>
              <w:spacing w:line="360" w:lineRule="auto"/>
              <w:jc w:val="center"/>
              <w:rPr>
                <w:rFonts w:ascii="宋体" w:hAnsi="宋体"/>
                <w:sz w:val="24"/>
              </w:rPr>
            </w:pPr>
            <w:r>
              <w:rPr>
                <w:rFonts w:ascii="宋体" w:hAnsi="宋体"/>
                <w:sz w:val="24"/>
              </w:rPr>
              <w:t>招标文件的商务条款</w:t>
            </w:r>
          </w:p>
        </w:tc>
        <w:tc>
          <w:tcPr>
            <w:tcW w:w="2551" w:type="dxa"/>
            <w:noWrap/>
            <w:vAlign w:val="center"/>
          </w:tcPr>
          <w:p>
            <w:pPr>
              <w:spacing w:line="360" w:lineRule="auto"/>
              <w:jc w:val="center"/>
              <w:rPr>
                <w:rFonts w:ascii="宋体" w:hAnsi="宋体"/>
                <w:sz w:val="24"/>
              </w:rPr>
            </w:pPr>
            <w:r>
              <w:rPr>
                <w:rFonts w:ascii="宋体" w:hAnsi="宋体"/>
                <w:sz w:val="24"/>
              </w:rPr>
              <w:t>投标文件的商务条款</w:t>
            </w:r>
          </w:p>
        </w:tc>
        <w:tc>
          <w:tcPr>
            <w:tcW w:w="1244" w:type="dxa"/>
            <w:noWrap/>
            <w:vAlign w:val="center"/>
          </w:tcPr>
          <w:p>
            <w:pPr>
              <w:spacing w:line="360" w:lineRule="auto"/>
              <w:jc w:val="center"/>
              <w:rPr>
                <w:rFonts w:ascii="宋体" w:hAnsi="宋体"/>
                <w:sz w:val="24"/>
              </w:rPr>
            </w:pPr>
            <w:r>
              <w:rPr>
                <w:rFonts w:ascii="宋体" w:hAnsi="宋体"/>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5" w:hRule="atLeast"/>
        </w:trPr>
        <w:tc>
          <w:tcPr>
            <w:tcW w:w="851" w:type="dxa"/>
            <w:noWrap/>
          </w:tcPr>
          <w:p>
            <w:pPr>
              <w:spacing w:line="360" w:lineRule="auto"/>
              <w:rPr>
                <w:rFonts w:ascii="宋体" w:hAnsi="宋体"/>
                <w:sz w:val="24"/>
              </w:rPr>
            </w:pPr>
          </w:p>
          <w:p>
            <w:pPr>
              <w:spacing w:line="360" w:lineRule="auto"/>
              <w:rPr>
                <w:rFonts w:ascii="宋体" w:hAnsi="宋体"/>
                <w:sz w:val="24"/>
              </w:rPr>
            </w:pPr>
          </w:p>
        </w:tc>
        <w:tc>
          <w:tcPr>
            <w:tcW w:w="1939" w:type="dxa"/>
            <w:noWrap/>
          </w:tcPr>
          <w:p>
            <w:pPr>
              <w:widowControl/>
              <w:spacing w:line="360" w:lineRule="auto"/>
              <w:jc w:val="left"/>
              <w:rPr>
                <w:rFonts w:ascii="宋体" w:hAnsi="宋体"/>
                <w:sz w:val="24"/>
              </w:rPr>
            </w:pPr>
          </w:p>
          <w:p>
            <w:pPr>
              <w:spacing w:line="360" w:lineRule="auto"/>
              <w:rPr>
                <w:rFonts w:ascii="宋体" w:hAnsi="宋体"/>
                <w:sz w:val="24"/>
              </w:rPr>
            </w:pPr>
          </w:p>
        </w:tc>
        <w:tc>
          <w:tcPr>
            <w:tcW w:w="2552" w:type="dxa"/>
            <w:noWrap/>
          </w:tcPr>
          <w:p>
            <w:pPr>
              <w:spacing w:line="360" w:lineRule="auto"/>
              <w:rPr>
                <w:rFonts w:ascii="宋体" w:hAnsi="宋体"/>
                <w:sz w:val="24"/>
              </w:rPr>
            </w:pPr>
          </w:p>
        </w:tc>
        <w:tc>
          <w:tcPr>
            <w:tcW w:w="2551" w:type="dxa"/>
            <w:noWrap/>
          </w:tcPr>
          <w:p>
            <w:pPr>
              <w:spacing w:line="360" w:lineRule="auto"/>
              <w:rPr>
                <w:rFonts w:ascii="宋体" w:hAnsi="宋体"/>
                <w:sz w:val="24"/>
              </w:rPr>
            </w:pPr>
          </w:p>
        </w:tc>
        <w:tc>
          <w:tcPr>
            <w:tcW w:w="1244" w:type="dxa"/>
            <w:noWrap/>
          </w:tcPr>
          <w:p>
            <w:pPr>
              <w:spacing w:line="360" w:lineRule="auto"/>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0" w:hRule="atLeast"/>
        </w:trPr>
        <w:tc>
          <w:tcPr>
            <w:tcW w:w="851" w:type="dxa"/>
            <w:noWrap/>
          </w:tcPr>
          <w:p>
            <w:pPr>
              <w:spacing w:line="360" w:lineRule="auto"/>
              <w:rPr>
                <w:rFonts w:ascii="宋体" w:hAnsi="宋体"/>
                <w:sz w:val="24"/>
              </w:rPr>
            </w:pPr>
          </w:p>
          <w:p>
            <w:pPr>
              <w:spacing w:line="360" w:lineRule="auto"/>
              <w:rPr>
                <w:rFonts w:ascii="宋体" w:hAnsi="宋体"/>
                <w:sz w:val="24"/>
              </w:rPr>
            </w:pPr>
          </w:p>
        </w:tc>
        <w:tc>
          <w:tcPr>
            <w:tcW w:w="1939" w:type="dxa"/>
            <w:noWrap/>
          </w:tcPr>
          <w:p>
            <w:pPr>
              <w:widowControl/>
              <w:spacing w:line="360" w:lineRule="auto"/>
              <w:jc w:val="left"/>
              <w:rPr>
                <w:rFonts w:ascii="宋体" w:hAnsi="宋体"/>
                <w:sz w:val="24"/>
              </w:rPr>
            </w:pPr>
          </w:p>
          <w:p>
            <w:pPr>
              <w:spacing w:line="360" w:lineRule="auto"/>
              <w:rPr>
                <w:rFonts w:ascii="宋体" w:hAnsi="宋体"/>
                <w:sz w:val="24"/>
              </w:rPr>
            </w:pPr>
          </w:p>
        </w:tc>
        <w:tc>
          <w:tcPr>
            <w:tcW w:w="2552" w:type="dxa"/>
            <w:noWrap/>
          </w:tcPr>
          <w:p>
            <w:pPr>
              <w:spacing w:line="360" w:lineRule="auto"/>
              <w:rPr>
                <w:rFonts w:ascii="宋体" w:hAnsi="宋体"/>
                <w:sz w:val="24"/>
              </w:rPr>
            </w:pPr>
          </w:p>
        </w:tc>
        <w:tc>
          <w:tcPr>
            <w:tcW w:w="2551" w:type="dxa"/>
            <w:noWrap/>
          </w:tcPr>
          <w:p>
            <w:pPr>
              <w:spacing w:line="360" w:lineRule="auto"/>
              <w:rPr>
                <w:rFonts w:ascii="宋体" w:hAnsi="宋体"/>
                <w:sz w:val="24"/>
              </w:rPr>
            </w:pPr>
          </w:p>
        </w:tc>
        <w:tc>
          <w:tcPr>
            <w:tcW w:w="1244" w:type="dxa"/>
            <w:noWrap/>
          </w:tcPr>
          <w:p>
            <w:pPr>
              <w:spacing w:line="360" w:lineRule="auto"/>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5" w:hRule="atLeast"/>
        </w:trPr>
        <w:tc>
          <w:tcPr>
            <w:tcW w:w="851" w:type="dxa"/>
            <w:noWrap/>
          </w:tcPr>
          <w:p>
            <w:pPr>
              <w:spacing w:line="360" w:lineRule="auto"/>
              <w:rPr>
                <w:rFonts w:ascii="宋体" w:hAnsi="宋体"/>
                <w:sz w:val="24"/>
              </w:rPr>
            </w:pPr>
          </w:p>
          <w:p>
            <w:pPr>
              <w:spacing w:line="360" w:lineRule="auto"/>
              <w:rPr>
                <w:rFonts w:ascii="宋体" w:hAnsi="宋体"/>
                <w:sz w:val="24"/>
              </w:rPr>
            </w:pPr>
          </w:p>
        </w:tc>
        <w:tc>
          <w:tcPr>
            <w:tcW w:w="1939" w:type="dxa"/>
            <w:noWrap/>
          </w:tcPr>
          <w:p>
            <w:pPr>
              <w:widowControl/>
              <w:spacing w:line="360" w:lineRule="auto"/>
              <w:jc w:val="left"/>
              <w:rPr>
                <w:rFonts w:ascii="宋体" w:hAnsi="宋体"/>
                <w:sz w:val="24"/>
              </w:rPr>
            </w:pPr>
          </w:p>
          <w:p>
            <w:pPr>
              <w:spacing w:line="360" w:lineRule="auto"/>
              <w:rPr>
                <w:rFonts w:ascii="宋体" w:hAnsi="宋体"/>
                <w:sz w:val="24"/>
              </w:rPr>
            </w:pPr>
          </w:p>
        </w:tc>
        <w:tc>
          <w:tcPr>
            <w:tcW w:w="2552" w:type="dxa"/>
            <w:noWrap/>
          </w:tcPr>
          <w:p>
            <w:pPr>
              <w:spacing w:line="360" w:lineRule="auto"/>
              <w:rPr>
                <w:rFonts w:ascii="宋体" w:hAnsi="宋体"/>
                <w:sz w:val="24"/>
              </w:rPr>
            </w:pPr>
          </w:p>
        </w:tc>
        <w:tc>
          <w:tcPr>
            <w:tcW w:w="2551" w:type="dxa"/>
            <w:noWrap/>
          </w:tcPr>
          <w:p>
            <w:pPr>
              <w:spacing w:line="360" w:lineRule="auto"/>
              <w:rPr>
                <w:rFonts w:ascii="宋体" w:hAnsi="宋体"/>
                <w:sz w:val="24"/>
              </w:rPr>
            </w:pPr>
          </w:p>
        </w:tc>
        <w:tc>
          <w:tcPr>
            <w:tcW w:w="1244" w:type="dxa"/>
            <w:noWrap/>
          </w:tcPr>
          <w:p>
            <w:pPr>
              <w:spacing w:line="360" w:lineRule="auto"/>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5" w:hRule="atLeast"/>
        </w:trPr>
        <w:tc>
          <w:tcPr>
            <w:tcW w:w="851" w:type="dxa"/>
            <w:noWrap/>
          </w:tcPr>
          <w:p>
            <w:pPr>
              <w:spacing w:line="360" w:lineRule="auto"/>
              <w:rPr>
                <w:rFonts w:ascii="宋体" w:hAnsi="宋体"/>
                <w:sz w:val="24"/>
              </w:rPr>
            </w:pPr>
          </w:p>
          <w:p>
            <w:pPr>
              <w:spacing w:line="360" w:lineRule="auto"/>
              <w:rPr>
                <w:rFonts w:ascii="宋体" w:hAnsi="宋体"/>
                <w:sz w:val="24"/>
              </w:rPr>
            </w:pPr>
          </w:p>
        </w:tc>
        <w:tc>
          <w:tcPr>
            <w:tcW w:w="1939" w:type="dxa"/>
            <w:noWrap/>
          </w:tcPr>
          <w:p>
            <w:pPr>
              <w:widowControl/>
              <w:spacing w:line="360" w:lineRule="auto"/>
              <w:jc w:val="left"/>
              <w:rPr>
                <w:rFonts w:ascii="宋体" w:hAnsi="宋体"/>
                <w:sz w:val="24"/>
              </w:rPr>
            </w:pPr>
          </w:p>
          <w:p>
            <w:pPr>
              <w:spacing w:line="360" w:lineRule="auto"/>
              <w:rPr>
                <w:rFonts w:ascii="宋体" w:hAnsi="宋体"/>
                <w:sz w:val="24"/>
              </w:rPr>
            </w:pPr>
          </w:p>
        </w:tc>
        <w:tc>
          <w:tcPr>
            <w:tcW w:w="2552" w:type="dxa"/>
            <w:noWrap/>
          </w:tcPr>
          <w:p>
            <w:pPr>
              <w:spacing w:line="360" w:lineRule="auto"/>
              <w:rPr>
                <w:rFonts w:ascii="宋体" w:hAnsi="宋体"/>
                <w:sz w:val="24"/>
              </w:rPr>
            </w:pPr>
          </w:p>
        </w:tc>
        <w:tc>
          <w:tcPr>
            <w:tcW w:w="2551" w:type="dxa"/>
            <w:noWrap/>
          </w:tcPr>
          <w:p>
            <w:pPr>
              <w:spacing w:line="360" w:lineRule="auto"/>
              <w:rPr>
                <w:rFonts w:ascii="宋体" w:hAnsi="宋体"/>
                <w:sz w:val="24"/>
              </w:rPr>
            </w:pPr>
          </w:p>
        </w:tc>
        <w:tc>
          <w:tcPr>
            <w:tcW w:w="1244" w:type="dxa"/>
            <w:noWrap/>
          </w:tcPr>
          <w:p>
            <w:pPr>
              <w:spacing w:line="360" w:lineRule="auto"/>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85" w:hRule="atLeast"/>
        </w:trPr>
        <w:tc>
          <w:tcPr>
            <w:tcW w:w="851" w:type="dxa"/>
            <w:noWrap/>
          </w:tcPr>
          <w:p>
            <w:pPr>
              <w:spacing w:line="360" w:lineRule="auto"/>
              <w:rPr>
                <w:rFonts w:ascii="宋体" w:hAnsi="宋体"/>
                <w:sz w:val="24"/>
              </w:rPr>
            </w:pPr>
          </w:p>
        </w:tc>
        <w:tc>
          <w:tcPr>
            <w:tcW w:w="1939" w:type="dxa"/>
            <w:noWrap/>
          </w:tcPr>
          <w:p>
            <w:pPr>
              <w:spacing w:line="360" w:lineRule="auto"/>
              <w:rPr>
                <w:rFonts w:ascii="宋体" w:hAnsi="宋体"/>
                <w:sz w:val="24"/>
              </w:rPr>
            </w:pPr>
          </w:p>
        </w:tc>
        <w:tc>
          <w:tcPr>
            <w:tcW w:w="2552" w:type="dxa"/>
            <w:noWrap/>
          </w:tcPr>
          <w:p>
            <w:pPr>
              <w:spacing w:line="360" w:lineRule="auto"/>
              <w:rPr>
                <w:rFonts w:ascii="宋体" w:hAnsi="宋体"/>
                <w:sz w:val="24"/>
              </w:rPr>
            </w:pPr>
          </w:p>
          <w:p>
            <w:pPr>
              <w:spacing w:line="360" w:lineRule="auto"/>
              <w:rPr>
                <w:rFonts w:ascii="宋体" w:hAnsi="宋体"/>
                <w:sz w:val="24"/>
              </w:rPr>
            </w:pPr>
          </w:p>
        </w:tc>
        <w:tc>
          <w:tcPr>
            <w:tcW w:w="2551" w:type="dxa"/>
            <w:noWrap/>
          </w:tcPr>
          <w:p>
            <w:pPr>
              <w:widowControl/>
              <w:spacing w:line="360" w:lineRule="auto"/>
              <w:jc w:val="left"/>
              <w:rPr>
                <w:rFonts w:ascii="宋体" w:hAnsi="宋体"/>
                <w:sz w:val="24"/>
              </w:rPr>
            </w:pPr>
          </w:p>
          <w:p>
            <w:pPr>
              <w:spacing w:line="360" w:lineRule="auto"/>
              <w:rPr>
                <w:rFonts w:ascii="宋体" w:hAnsi="宋体"/>
                <w:sz w:val="24"/>
              </w:rPr>
            </w:pPr>
          </w:p>
        </w:tc>
        <w:tc>
          <w:tcPr>
            <w:tcW w:w="1244" w:type="dxa"/>
            <w:noWrap/>
          </w:tcPr>
          <w:p>
            <w:pPr>
              <w:spacing w:line="360" w:lineRule="auto"/>
              <w:rPr>
                <w:rFonts w:ascii="宋体" w:hAnsi="宋体"/>
                <w:sz w:val="24"/>
              </w:rPr>
            </w:pPr>
          </w:p>
        </w:tc>
      </w:tr>
    </w:tbl>
    <w:p>
      <w:pPr>
        <w:adjustRightInd w:val="0"/>
        <w:snapToGrid w:val="0"/>
        <w:spacing w:line="360" w:lineRule="auto"/>
        <w:rPr>
          <w:rFonts w:ascii="宋体" w:hAnsi="宋体"/>
          <w:szCs w:val="21"/>
        </w:rPr>
      </w:pPr>
      <w:r>
        <w:rPr>
          <w:rFonts w:ascii="宋体" w:hAnsi="宋体"/>
          <w:szCs w:val="21"/>
        </w:rPr>
        <w:t>注：投标人要将投标文件与招标文件在商务部分的差异之处汇集成此表。投标方必须详细填写偏离表，偏离表未声明事项视为认同招标文件标准。</w:t>
      </w:r>
    </w:p>
    <w:p>
      <w:pPr>
        <w:spacing w:line="360" w:lineRule="auto"/>
        <w:rPr>
          <w:rFonts w:ascii="宋体" w:hAnsi="宋体"/>
          <w:sz w:val="24"/>
        </w:rPr>
      </w:pPr>
    </w:p>
    <w:p>
      <w:pPr>
        <w:spacing w:line="360" w:lineRule="auto"/>
        <w:rPr>
          <w:rFonts w:ascii="宋体" w:hAnsi="宋体"/>
          <w:sz w:val="24"/>
        </w:rPr>
      </w:pPr>
    </w:p>
    <w:p>
      <w:pPr>
        <w:pStyle w:val="34"/>
        <w:spacing w:after="0" w:line="360" w:lineRule="auto"/>
        <w:ind w:firstLine="3840" w:firstLineChars="1600"/>
        <w:rPr>
          <w:rFonts w:ascii="宋体" w:hAnsi="宋体"/>
          <w:bCs/>
          <w:sz w:val="24"/>
          <w:u w:val="single"/>
        </w:rPr>
      </w:pPr>
      <w:r>
        <w:rPr>
          <w:rFonts w:ascii="宋体" w:hAnsi="宋体"/>
          <w:bCs/>
          <w:sz w:val="24"/>
        </w:rPr>
        <w:t>投标单位：</w:t>
      </w:r>
      <w:r>
        <w:rPr>
          <w:rFonts w:ascii="宋体" w:hAnsi="宋体"/>
          <w:bCs/>
          <w:sz w:val="24"/>
          <w:u w:val="single"/>
        </w:rPr>
        <w:t xml:space="preserve">   （全称）（盖章）  </w:t>
      </w:r>
    </w:p>
    <w:p>
      <w:pPr>
        <w:pStyle w:val="34"/>
        <w:spacing w:after="0" w:line="360" w:lineRule="auto"/>
        <w:ind w:firstLine="3840" w:firstLineChars="1600"/>
        <w:rPr>
          <w:rFonts w:ascii="宋体" w:hAnsi="宋体"/>
          <w:bCs/>
          <w:sz w:val="24"/>
          <w:u w:val="single"/>
        </w:rPr>
      </w:pPr>
      <w:r>
        <w:rPr>
          <w:rFonts w:ascii="宋体" w:hAnsi="宋体"/>
          <w:bCs/>
          <w:sz w:val="24"/>
        </w:rPr>
        <w:t>法定代表人或委托代理人：</w:t>
      </w:r>
      <w:r>
        <w:rPr>
          <w:rFonts w:ascii="宋体" w:hAnsi="宋体"/>
          <w:bCs/>
          <w:sz w:val="24"/>
          <w:u w:val="single"/>
        </w:rPr>
        <w:t>（签字或盖章）</w:t>
      </w:r>
    </w:p>
    <w:p>
      <w:pPr>
        <w:pStyle w:val="34"/>
        <w:spacing w:after="0" w:line="360" w:lineRule="auto"/>
        <w:ind w:firstLine="3840" w:firstLineChars="1600"/>
        <w:rPr>
          <w:rFonts w:ascii="宋体" w:hAnsi="宋体"/>
          <w:sz w:val="24"/>
        </w:rPr>
      </w:pPr>
      <w:r>
        <w:rPr>
          <w:rFonts w:ascii="宋体" w:hAnsi="宋体"/>
          <w:sz w:val="24"/>
        </w:rPr>
        <w:t>日 期：</w:t>
      </w:r>
      <w:r>
        <w:rPr>
          <w:rFonts w:ascii="宋体" w:hAnsi="宋体"/>
          <w:bCs/>
          <w:sz w:val="24"/>
        </w:rPr>
        <w:t>20</w:t>
      </w:r>
      <w:r>
        <w:rPr>
          <w:rFonts w:ascii="宋体" w:hAnsi="宋体"/>
          <w:bCs/>
          <w:sz w:val="24"/>
          <w:u w:val="single"/>
        </w:rPr>
        <w:t>　　</w:t>
      </w:r>
      <w:r>
        <w:rPr>
          <w:rFonts w:ascii="宋体" w:hAnsi="宋体"/>
          <w:bCs/>
          <w:sz w:val="24"/>
        </w:rPr>
        <w:t>年</w:t>
      </w:r>
      <w:r>
        <w:rPr>
          <w:rFonts w:ascii="宋体" w:hAnsi="宋体"/>
          <w:bCs/>
          <w:sz w:val="24"/>
          <w:u w:val="single"/>
        </w:rPr>
        <w:t>　</w:t>
      </w:r>
      <w:r>
        <w:rPr>
          <w:rFonts w:ascii="宋体" w:hAnsi="宋体"/>
          <w:bCs/>
          <w:sz w:val="24"/>
        </w:rPr>
        <w:t>月日</w:t>
      </w:r>
    </w:p>
    <w:p>
      <w:pPr>
        <w:spacing w:line="360" w:lineRule="auto"/>
        <w:rPr>
          <w:rFonts w:ascii="宋体" w:hAnsi="宋体"/>
          <w:b/>
          <w:sz w:val="30"/>
        </w:rPr>
      </w:pPr>
    </w:p>
    <w:p>
      <w:pPr>
        <w:spacing w:line="360" w:lineRule="auto"/>
        <w:rPr>
          <w:rFonts w:ascii="宋体" w:hAnsi="宋体"/>
          <w:b/>
          <w:sz w:val="30"/>
        </w:rPr>
      </w:pPr>
    </w:p>
    <w:p>
      <w:pPr>
        <w:spacing w:line="360" w:lineRule="auto"/>
        <w:rPr>
          <w:rFonts w:ascii="宋体" w:hAnsi="宋体"/>
          <w:b/>
          <w:sz w:val="30"/>
        </w:rPr>
      </w:pPr>
    </w:p>
    <w:p>
      <w:pPr>
        <w:widowControl/>
        <w:spacing w:line="360" w:lineRule="auto"/>
        <w:jc w:val="left"/>
        <w:rPr>
          <w:rFonts w:ascii="宋体" w:hAnsi="宋体"/>
          <w:b/>
          <w:sz w:val="28"/>
          <w:szCs w:val="28"/>
        </w:rPr>
      </w:pPr>
      <w:r>
        <w:rPr>
          <w:rFonts w:ascii="宋体" w:hAnsi="宋体"/>
          <w:b/>
          <w:sz w:val="28"/>
          <w:szCs w:val="28"/>
        </w:rPr>
        <w:br w:type="page"/>
      </w:r>
    </w:p>
    <w:p>
      <w:pPr>
        <w:spacing w:line="360" w:lineRule="auto"/>
        <w:jc w:val="center"/>
        <w:outlineLvl w:val="0"/>
        <w:rPr>
          <w:rFonts w:ascii="宋体" w:hAnsi="宋体"/>
          <w:b/>
          <w:sz w:val="32"/>
        </w:rPr>
      </w:pPr>
      <w:r>
        <w:rPr>
          <w:rFonts w:ascii="宋体" w:hAnsi="宋体"/>
          <w:b/>
          <w:sz w:val="32"/>
        </w:rPr>
        <w:t>（十一）售后服务承诺书（含优惠条件）及维修、培训等计划（详述）</w:t>
      </w:r>
    </w:p>
    <w:p>
      <w:pPr>
        <w:pStyle w:val="176"/>
        <w:spacing w:line="360" w:lineRule="auto"/>
        <w:rPr>
          <w:rFonts w:ascii="宋体" w:hAnsi="宋体"/>
          <w:b/>
          <w:color w:val="auto"/>
          <w:sz w:val="30"/>
        </w:rPr>
      </w:pPr>
    </w:p>
    <w:p>
      <w:pPr>
        <w:pStyle w:val="176"/>
        <w:spacing w:line="360" w:lineRule="auto"/>
        <w:rPr>
          <w:rFonts w:ascii="宋体" w:hAnsi="宋体"/>
          <w:bCs/>
          <w:color w:val="auto"/>
          <w:sz w:val="21"/>
          <w:szCs w:val="21"/>
        </w:rPr>
      </w:pPr>
      <w:r>
        <w:rPr>
          <w:rFonts w:ascii="宋体" w:hAnsi="宋体"/>
          <w:b/>
          <w:color w:val="auto"/>
          <w:sz w:val="21"/>
          <w:szCs w:val="21"/>
        </w:rPr>
        <w:t xml:space="preserve"> 说明：</w:t>
      </w:r>
      <w:r>
        <w:rPr>
          <w:rFonts w:ascii="宋体" w:hAnsi="宋体"/>
          <w:bCs/>
          <w:color w:val="auto"/>
          <w:sz w:val="21"/>
          <w:szCs w:val="21"/>
        </w:rPr>
        <w:t>承诺书格式由投标商自行确定，但必须包括以下内容：</w:t>
      </w:r>
    </w:p>
    <w:p>
      <w:pPr>
        <w:pStyle w:val="176"/>
        <w:spacing w:line="360" w:lineRule="auto"/>
        <w:rPr>
          <w:rFonts w:ascii="宋体" w:hAnsi="宋体"/>
          <w:bCs/>
          <w:color w:val="auto"/>
          <w:sz w:val="21"/>
          <w:szCs w:val="21"/>
        </w:rPr>
      </w:pPr>
      <w:r>
        <w:rPr>
          <w:rFonts w:ascii="宋体" w:hAnsi="宋体"/>
          <w:bCs/>
          <w:color w:val="auto"/>
          <w:sz w:val="21"/>
          <w:szCs w:val="21"/>
        </w:rPr>
        <w:t>1、投标商报价应含其成本和相关的一切费用；</w:t>
      </w:r>
    </w:p>
    <w:p>
      <w:pPr>
        <w:pStyle w:val="176"/>
        <w:spacing w:line="360" w:lineRule="auto"/>
        <w:rPr>
          <w:rFonts w:ascii="宋体" w:hAnsi="宋体"/>
          <w:bCs/>
          <w:color w:val="auto"/>
          <w:sz w:val="21"/>
          <w:szCs w:val="21"/>
        </w:rPr>
      </w:pPr>
      <w:r>
        <w:rPr>
          <w:rFonts w:ascii="宋体" w:hAnsi="宋体"/>
          <w:bCs/>
          <w:color w:val="auto"/>
          <w:sz w:val="21"/>
          <w:szCs w:val="21"/>
        </w:rPr>
        <w:t>2、加强产品售前、售中和售后的技术培训和服务，并有详细的培训计划。要求必须明确投标产品的售后服务期限和服务承诺，要有本地化售后服务的具体措施和保障机制，明确售后服务响应时间，建立违约责任追究制度。要提供各售后服务联系机构名单、联系人和联系电话。</w:t>
      </w:r>
    </w:p>
    <w:p>
      <w:pPr>
        <w:pStyle w:val="176"/>
        <w:spacing w:line="360" w:lineRule="auto"/>
        <w:rPr>
          <w:rFonts w:ascii="宋体" w:hAnsi="宋体"/>
          <w:bCs/>
          <w:color w:val="auto"/>
          <w:sz w:val="21"/>
          <w:szCs w:val="21"/>
        </w:rPr>
      </w:pPr>
      <w:r>
        <w:rPr>
          <w:rFonts w:ascii="宋体" w:hAnsi="宋体"/>
          <w:bCs/>
          <w:color w:val="auto"/>
          <w:sz w:val="21"/>
          <w:szCs w:val="21"/>
        </w:rPr>
        <w:t>3、随本次招标货物一起提供的专用工具、易损件、备品备件专用件清单、质保期内供本工程的备品备件价格清单及优惠程度；</w:t>
      </w:r>
    </w:p>
    <w:p>
      <w:pPr>
        <w:pStyle w:val="176"/>
        <w:spacing w:line="360" w:lineRule="auto"/>
        <w:rPr>
          <w:rFonts w:ascii="宋体" w:hAnsi="宋体"/>
          <w:bCs/>
          <w:color w:val="auto"/>
          <w:sz w:val="21"/>
          <w:szCs w:val="21"/>
        </w:rPr>
      </w:pPr>
      <w:r>
        <w:rPr>
          <w:rFonts w:ascii="宋体" w:hAnsi="宋体"/>
          <w:bCs/>
          <w:color w:val="auto"/>
          <w:sz w:val="21"/>
          <w:szCs w:val="21"/>
        </w:rPr>
        <w:t>4、是否在本地区有常设售后服务点、是否提供上门服务，售后服务体系等并提供证明文件，质保期内和质保期后的应急服务预案，如设备出现故障，在接到通知后小时内派工程技术人员到达现场解决问题；</w:t>
      </w:r>
    </w:p>
    <w:p>
      <w:pPr>
        <w:pStyle w:val="176"/>
        <w:spacing w:line="360" w:lineRule="auto"/>
        <w:rPr>
          <w:rFonts w:ascii="宋体" w:hAnsi="宋体"/>
          <w:bCs/>
          <w:color w:val="auto"/>
          <w:sz w:val="21"/>
          <w:szCs w:val="21"/>
        </w:rPr>
      </w:pPr>
      <w:r>
        <w:rPr>
          <w:rFonts w:ascii="宋体" w:hAnsi="宋体"/>
          <w:bCs/>
          <w:color w:val="auto"/>
          <w:sz w:val="21"/>
          <w:szCs w:val="21"/>
        </w:rPr>
        <w:t>5、售后服务承诺函（根据项目实际需求进行承诺）；</w:t>
      </w:r>
    </w:p>
    <w:p>
      <w:pPr>
        <w:pStyle w:val="176"/>
        <w:spacing w:line="360" w:lineRule="auto"/>
        <w:rPr>
          <w:rFonts w:ascii="宋体" w:hAnsi="宋体"/>
          <w:bCs/>
          <w:color w:val="auto"/>
          <w:sz w:val="21"/>
          <w:szCs w:val="21"/>
        </w:rPr>
      </w:pPr>
      <w:r>
        <w:rPr>
          <w:rFonts w:ascii="宋体" w:hAnsi="宋体"/>
          <w:bCs/>
          <w:color w:val="auto"/>
          <w:sz w:val="21"/>
          <w:szCs w:val="21"/>
        </w:rPr>
        <w:t>6、优惠条件包括（但不仅限于）供货期的长短以及质保期的长短等。</w:t>
      </w:r>
    </w:p>
    <w:p>
      <w:pPr>
        <w:pStyle w:val="176"/>
        <w:spacing w:line="360" w:lineRule="auto"/>
        <w:rPr>
          <w:rFonts w:ascii="宋体" w:hAnsi="宋体"/>
          <w:bCs/>
          <w:color w:val="auto"/>
          <w:sz w:val="21"/>
          <w:szCs w:val="21"/>
        </w:rPr>
      </w:pPr>
      <w:r>
        <w:rPr>
          <w:rFonts w:ascii="宋体" w:hAnsi="宋体"/>
          <w:bCs/>
          <w:color w:val="auto"/>
          <w:sz w:val="21"/>
          <w:szCs w:val="21"/>
        </w:rPr>
        <w:t>7、其他投标商认为必要的承诺内容及优惠条件。</w:t>
      </w:r>
    </w:p>
    <w:p>
      <w:pPr>
        <w:spacing w:line="360" w:lineRule="auto"/>
        <w:rPr>
          <w:rFonts w:ascii="宋体" w:hAnsi="宋体"/>
          <w:sz w:val="30"/>
        </w:rPr>
      </w:pPr>
    </w:p>
    <w:p>
      <w:pPr>
        <w:spacing w:line="360" w:lineRule="auto"/>
        <w:rPr>
          <w:rFonts w:ascii="宋体" w:hAnsi="宋体"/>
          <w:sz w:val="30"/>
        </w:rPr>
      </w:pPr>
    </w:p>
    <w:p>
      <w:pPr>
        <w:pStyle w:val="34"/>
        <w:spacing w:after="0" w:line="360" w:lineRule="auto"/>
        <w:ind w:firstLine="3840" w:firstLineChars="1600"/>
        <w:rPr>
          <w:rFonts w:ascii="宋体" w:hAnsi="宋体"/>
          <w:bCs/>
          <w:sz w:val="24"/>
          <w:u w:val="single"/>
        </w:rPr>
      </w:pPr>
      <w:r>
        <w:rPr>
          <w:rFonts w:ascii="宋体" w:hAnsi="宋体"/>
          <w:bCs/>
          <w:sz w:val="24"/>
        </w:rPr>
        <w:t>投标单位：</w:t>
      </w:r>
      <w:r>
        <w:rPr>
          <w:rFonts w:ascii="宋体" w:hAnsi="宋体"/>
          <w:bCs/>
          <w:sz w:val="24"/>
          <w:u w:val="single"/>
        </w:rPr>
        <w:t xml:space="preserve">   （全称）（盖章）  </w:t>
      </w:r>
    </w:p>
    <w:p>
      <w:pPr>
        <w:pStyle w:val="34"/>
        <w:spacing w:after="0" w:line="360" w:lineRule="auto"/>
        <w:ind w:firstLine="3840" w:firstLineChars="1600"/>
        <w:rPr>
          <w:rFonts w:ascii="宋体" w:hAnsi="宋体"/>
          <w:bCs/>
          <w:sz w:val="24"/>
          <w:u w:val="single"/>
        </w:rPr>
      </w:pPr>
      <w:r>
        <w:rPr>
          <w:rFonts w:ascii="宋体" w:hAnsi="宋体"/>
          <w:bCs/>
          <w:sz w:val="24"/>
        </w:rPr>
        <w:t>法定代表人或委托代理人：</w:t>
      </w:r>
      <w:r>
        <w:rPr>
          <w:rFonts w:ascii="宋体" w:hAnsi="宋体"/>
          <w:bCs/>
          <w:sz w:val="24"/>
          <w:u w:val="single"/>
        </w:rPr>
        <w:t>（签字或盖章）</w:t>
      </w:r>
    </w:p>
    <w:p>
      <w:pPr>
        <w:pStyle w:val="34"/>
        <w:spacing w:after="0" w:line="360" w:lineRule="auto"/>
        <w:ind w:firstLine="3840" w:firstLineChars="1600"/>
        <w:rPr>
          <w:rFonts w:ascii="宋体" w:hAnsi="宋体"/>
          <w:sz w:val="24"/>
        </w:rPr>
      </w:pPr>
      <w:r>
        <w:rPr>
          <w:rFonts w:ascii="宋体" w:hAnsi="宋体"/>
          <w:sz w:val="24"/>
        </w:rPr>
        <w:t>日 期：</w:t>
      </w:r>
      <w:r>
        <w:rPr>
          <w:rFonts w:ascii="宋体" w:hAnsi="宋体"/>
          <w:bCs/>
          <w:sz w:val="24"/>
        </w:rPr>
        <w:t>20</w:t>
      </w:r>
      <w:r>
        <w:rPr>
          <w:rFonts w:ascii="宋体" w:hAnsi="宋体"/>
          <w:bCs/>
          <w:sz w:val="24"/>
          <w:u w:val="single"/>
        </w:rPr>
        <w:t>　　</w:t>
      </w:r>
      <w:r>
        <w:rPr>
          <w:rFonts w:ascii="宋体" w:hAnsi="宋体"/>
          <w:bCs/>
          <w:sz w:val="24"/>
        </w:rPr>
        <w:t>年</w:t>
      </w:r>
      <w:r>
        <w:rPr>
          <w:rFonts w:ascii="宋体" w:hAnsi="宋体"/>
          <w:bCs/>
          <w:sz w:val="24"/>
          <w:u w:val="single"/>
        </w:rPr>
        <w:t>　</w:t>
      </w:r>
      <w:r>
        <w:rPr>
          <w:rFonts w:ascii="宋体" w:hAnsi="宋体"/>
          <w:bCs/>
          <w:sz w:val="24"/>
        </w:rPr>
        <w:t>月日</w:t>
      </w:r>
    </w:p>
    <w:p>
      <w:pPr>
        <w:spacing w:line="360" w:lineRule="auto"/>
        <w:rPr>
          <w:rFonts w:ascii="宋体" w:hAnsi="宋体"/>
          <w:sz w:val="30"/>
        </w:rPr>
      </w:pPr>
    </w:p>
    <w:p>
      <w:pPr>
        <w:spacing w:line="360" w:lineRule="auto"/>
        <w:jc w:val="center"/>
        <w:rPr>
          <w:rFonts w:ascii="宋体" w:hAnsi="宋体"/>
          <w:b/>
          <w:sz w:val="30"/>
        </w:rPr>
      </w:pPr>
    </w:p>
    <w:p>
      <w:pPr>
        <w:spacing w:line="360" w:lineRule="auto"/>
        <w:jc w:val="center"/>
        <w:rPr>
          <w:rFonts w:ascii="宋体" w:hAnsi="宋体"/>
          <w:b/>
          <w:sz w:val="30"/>
        </w:rPr>
      </w:pPr>
    </w:p>
    <w:p>
      <w:pPr>
        <w:spacing w:line="360" w:lineRule="auto"/>
        <w:rPr>
          <w:rFonts w:ascii="宋体" w:hAnsi="宋体"/>
          <w:b/>
          <w:sz w:val="30"/>
        </w:rPr>
      </w:pPr>
    </w:p>
    <w:p>
      <w:pPr>
        <w:widowControl/>
        <w:spacing w:line="360" w:lineRule="auto"/>
        <w:jc w:val="left"/>
        <w:rPr>
          <w:rFonts w:ascii="宋体" w:hAnsi="宋体"/>
          <w:b/>
          <w:sz w:val="30"/>
        </w:rPr>
      </w:pPr>
      <w:r>
        <w:rPr>
          <w:rFonts w:ascii="宋体" w:hAnsi="宋体"/>
          <w:b/>
          <w:sz w:val="30"/>
        </w:rPr>
        <w:br w:type="page"/>
      </w:r>
    </w:p>
    <w:p>
      <w:pPr>
        <w:spacing w:line="360" w:lineRule="auto"/>
        <w:ind w:left="2880" w:hanging="2880"/>
        <w:rPr>
          <w:rFonts w:ascii="宋体" w:hAnsi="宋体"/>
          <w:sz w:val="24"/>
        </w:rPr>
      </w:pPr>
      <w:r>
        <w:rPr>
          <w:rFonts w:ascii="宋体" w:hAnsi="宋体"/>
          <w:b/>
          <w:sz w:val="28"/>
          <w:szCs w:val="28"/>
        </w:rPr>
        <w:t>附表：易损件、备品备件报价表</w:t>
      </w:r>
    </w:p>
    <w:p>
      <w:pPr>
        <w:spacing w:line="360" w:lineRule="auto"/>
        <w:rPr>
          <w:rFonts w:ascii="宋体" w:hAnsi="宋体"/>
          <w:sz w:val="24"/>
          <w:u w:val="single"/>
        </w:rPr>
      </w:pPr>
      <w:r>
        <w:rPr>
          <w:rFonts w:ascii="宋体" w:hAnsi="宋体"/>
          <w:sz w:val="24"/>
        </w:rPr>
        <w:t>投标人名称：</w:t>
      </w:r>
      <w:r>
        <w:rPr>
          <w:rFonts w:ascii="宋体" w:hAnsi="宋体"/>
          <w:sz w:val="24"/>
          <w:u w:val="single"/>
        </w:rPr>
        <w:t xml:space="preserve">         　　　　　  </w:t>
      </w:r>
      <w:r>
        <w:rPr>
          <w:rFonts w:ascii="宋体" w:hAnsi="宋体"/>
          <w:sz w:val="24"/>
        </w:rPr>
        <w:t>项目编号/合同包号：</w:t>
      </w:r>
      <w:r>
        <w:rPr>
          <w:rFonts w:ascii="宋体" w:hAnsi="宋体"/>
          <w:sz w:val="24"/>
          <w:u w:val="single"/>
        </w:rPr>
        <w:t>　　　　　　　　　　　</w:t>
      </w:r>
    </w:p>
    <w:tbl>
      <w:tblPr>
        <w:tblStyle w:val="88"/>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1973"/>
        <w:gridCol w:w="1680"/>
        <w:gridCol w:w="1470"/>
        <w:gridCol w:w="840"/>
        <w:gridCol w:w="1068"/>
        <w:gridCol w:w="12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trPr>
        <w:tc>
          <w:tcPr>
            <w:tcW w:w="817" w:type="dxa"/>
            <w:noWrap/>
            <w:vAlign w:val="center"/>
          </w:tcPr>
          <w:p>
            <w:pPr>
              <w:spacing w:line="360" w:lineRule="auto"/>
              <w:jc w:val="center"/>
              <w:rPr>
                <w:rFonts w:ascii="宋体" w:hAnsi="宋体"/>
                <w:sz w:val="24"/>
              </w:rPr>
            </w:pPr>
            <w:r>
              <w:rPr>
                <w:rFonts w:ascii="宋体" w:hAnsi="宋体"/>
                <w:sz w:val="24"/>
              </w:rPr>
              <w:t>序号</w:t>
            </w:r>
          </w:p>
        </w:tc>
        <w:tc>
          <w:tcPr>
            <w:tcW w:w="1973" w:type="dxa"/>
            <w:noWrap/>
            <w:vAlign w:val="center"/>
          </w:tcPr>
          <w:p>
            <w:pPr>
              <w:spacing w:line="360" w:lineRule="auto"/>
              <w:jc w:val="center"/>
              <w:rPr>
                <w:rFonts w:ascii="宋体" w:hAnsi="宋体"/>
                <w:sz w:val="24"/>
              </w:rPr>
            </w:pPr>
            <w:r>
              <w:rPr>
                <w:rFonts w:ascii="宋体" w:hAnsi="宋体"/>
                <w:sz w:val="24"/>
              </w:rPr>
              <w:t>产品名称</w:t>
            </w:r>
          </w:p>
        </w:tc>
        <w:tc>
          <w:tcPr>
            <w:tcW w:w="1680" w:type="dxa"/>
            <w:noWrap/>
            <w:vAlign w:val="center"/>
          </w:tcPr>
          <w:p>
            <w:pPr>
              <w:spacing w:line="360" w:lineRule="auto"/>
              <w:jc w:val="center"/>
              <w:rPr>
                <w:rFonts w:ascii="宋体" w:hAnsi="宋体"/>
                <w:sz w:val="24"/>
              </w:rPr>
            </w:pPr>
            <w:r>
              <w:rPr>
                <w:rFonts w:ascii="宋体" w:hAnsi="宋体"/>
                <w:sz w:val="24"/>
              </w:rPr>
              <w:t>规格型号</w:t>
            </w:r>
          </w:p>
        </w:tc>
        <w:tc>
          <w:tcPr>
            <w:tcW w:w="1470" w:type="dxa"/>
            <w:noWrap/>
            <w:vAlign w:val="center"/>
          </w:tcPr>
          <w:p>
            <w:pPr>
              <w:spacing w:line="360" w:lineRule="auto"/>
              <w:jc w:val="center"/>
              <w:rPr>
                <w:rFonts w:ascii="宋体" w:hAnsi="宋体"/>
                <w:sz w:val="24"/>
              </w:rPr>
            </w:pPr>
            <w:r>
              <w:rPr>
                <w:rFonts w:ascii="宋体" w:hAnsi="宋体"/>
                <w:sz w:val="24"/>
              </w:rPr>
              <w:t>制造商</w:t>
            </w:r>
          </w:p>
        </w:tc>
        <w:tc>
          <w:tcPr>
            <w:tcW w:w="840" w:type="dxa"/>
            <w:noWrap/>
            <w:vAlign w:val="center"/>
          </w:tcPr>
          <w:p>
            <w:pPr>
              <w:spacing w:line="360" w:lineRule="auto"/>
              <w:jc w:val="center"/>
              <w:rPr>
                <w:rFonts w:ascii="宋体" w:hAnsi="宋体"/>
                <w:sz w:val="24"/>
              </w:rPr>
            </w:pPr>
            <w:r>
              <w:rPr>
                <w:rFonts w:ascii="宋体" w:hAnsi="宋体"/>
                <w:sz w:val="24"/>
              </w:rPr>
              <w:t>数量</w:t>
            </w:r>
          </w:p>
        </w:tc>
        <w:tc>
          <w:tcPr>
            <w:tcW w:w="1068" w:type="dxa"/>
            <w:noWrap/>
            <w:vAlign w:val="center"/>
          </w:tcPr>
          <w:p>
            <w:pPr>
              <w:spacing w:line="360" w:lineRule="auto"/>
              <w:jc w:val="center"/>
              <w:rPr>
                <w:rFonts w:ascii="宋体" w:hAnsi="宋体"/>
                <w:sz w:val="24"/>
              </w:rPr>
            </w:pPr>
            <w:r>
              <w:rPr>
                <w:rFonts w:ascii="宋体" w:hAnsi="宋体"/>
                <w:sz w:val="24"/>
              </w:rPr>
              <w:t>单价</w:t>
            </w:r>
          </w:p>
        </w:tc>
        <w:tc>
          <w:tcPr>
            <w:tcW w:w="1260" w:type="dxa"/>
            <w:noWrap/>
            <w:vAlign w:val="center"/>
          </w:tcPr>
          <w:p>
            <w:pPr>
              <w:spacing w:line="360" w:lineRule="auto"/>
              <w:rPr>
                <w:rFonts w:ascii="宋体" w:hAnsi="宋体"/>
                <w:sz w:val="24"/>
              </w:rPr>
            </w:pPr>
            <w:r>
              <w:rPr>
                <w:rFonts w:ascii="宋体" w:hAnsi="宋体"/>
                <w:sz w:val="24"/>
              </w:rPr>
              <w:t>备注 （优惠程度）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trPr>
        <w:tc>
          <w:tcPr>
            <w:tcW w:w="9108" w:type="dxa"/>
            <w:gridSpan w:val="7"/>
            <w:noWrap/>
            <w:vAlign w:val="center"/>
          </w:tcPr>
          <w:p>
            <w:pPr>
              <w:spacing w:line="360" w:lineRule="auto"/>
              <w:jc w:val="center"/>
              <w:rPr>
                <w:rFonts w:ascii="宋体" w:hAnsi="宋体"/>
                <w:sz w:val="24"/>
              </w:rPr>
            </w:pPr>
            <w:r>
              <w:rPr>
                <w:rFonts w:ascii="宋体" w:hAnsi="宋体"/>
                <w:sz w:val="24"/>
              </w:rPr>
              <w:t>以下为质保期内随货免费提供的备品备件和常用配件等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5" w:hRule="atLeast"/>
        </w:trPr>
        <w:tc>
          <w:tcPr>
            <w:tcW w:w="817" w:type="dxa"/>
            <w:noWrap/>
            <w:vAlign w:val="center"/>
          </w:tcPr>
          <w:p>
            <w:pPr>
              <w:spacing w:line="360" w:lineRule="auto"/>
              <w:jc w:val="center"/>
              <w:rPr>
                <w:rFonts w:ascii="宋体" w:hAnsi="宋体"/>
                <w:sz w:val="24"/>
              </w:rPr>
            </w:pPr>
            <w:r>
              <w:rPr>
                <w:rFonts w:ascii="宋体" w:hAnsi="宋体"/>
                <w:sz w:val="24"/>
              </w:rPr>
              <w:t>1</w:t>
            </w:r>
          </w:p>
        </w:tc>
        <w:tc>
          <w:tcPr>
            <w:tcW w:w="1973" w:type="dxa"/>
            <w:noWrap/>
            <w:vAlign w:val="center"/>
          </w:tcPr>
          <w:p>
            <w:pPr>
              <w:spacing w:line="360" w:lineRule="auto"/>
              <w:jc w:val="center"/>
              <w:rPr>
                <w:rFonts w:ascii="宋体" w:hAnsi="宋体"/>
                <w:sz w:val="24"/>
              </w:rPr>
            </w:pPr>
          </w:p>
        </w:tc>
        <w:tc>
          <w:tcPr>
            <w:tcW w:w="1680" w:type="dxa"/>
            <w:noWrap/>
            <w:vAlign w:val="center"/>
          </w:tcPr>
          <w:p>
            <w:pPr>
              <w:spacing w:line="360" w:lineRule="auto"/>
              <w:jc w:val="center"/>
              <w:rPr>
                <w:rFonts w:ascii="宋体" w:hAnsi="宋体"/>
                <w:sz w:val="24"/>
              </w:rPr>
            </w:pPr>
          </w:p>
        </w:tc>
        <w:tc>
          <w:tcPr>
            <w:tcW w:w="1470" w:type="dxa"/>
            <w:noWrap/>
            <w:vAlign w:val="center"/>
          </w:tcPr>
          <w:p>
            <w:pPr>
              <w:spacing w:line="360" w:lineRule="auto"/>
              <w:jc w:val="center"/>
              <w:rPr>
                <w:rFonts w:ascii="宋体" w:hAnsi="宋体"/>
                <w:sz w:val="24"/>
              </w:rPr>
            </w:pPr>
          </w:p>
        </w:tc>
        <w:tc>
          <w:tcPr>
            <w:tcW w:w="840" w:type="dxa"/>
            <w:noWrap/>
            <w:vAlign w:val="center"/>
          </w:tcPr>
          <w:p>
            <w:pPr>
              <w:spacing w:line="360" w:lineRule="auto"/>
              <w:jc w:val="center"/>
              <w:rPr>
                <w:rFonts w:ascii="宋体" w:hAnsi="宋体"/>
                <w:sz w:val="24"/>
              </w:rPr>
            </w:pPr>
          </w:p>
        </w:tc>
        <w:tc>
          <w:tcPr>
            <w:tcW w:w="1068" w:type="dxa"/>
            <w:noWrap/>
            <w:vAlign w:val="center"/>
          </w:tcPr>
          <w:p>
            <w:pPr>
              <w:spacing w:line="360" w:lineRule="auto"/>
              <w:jc w:val="center"/>
              <w:rPr>
                <w:rFonts w:ascii="宋体" w:hAnsi="宋体"/>
                <w:sz w:val="24"/>
              </w:rPr>
            </w:pPr>
          </w:p>
        </w:tc>
        <w:tc>
          <w:tcPr>
            <w:tcW w:w="1260" w:type="dxa"/>
            <w:noWrap/>
            <w:vAlign w:val="center"/>
          </w:tcPr>
          <w:p>
            <w:pPr>
              <w:spacing w:line="360" w:lineRule="auto"/>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5" w:hRule="atLeast"/>
        </w:trPr>
        <w:tc>
          <w:tcPr>
            <w:tcW w:w="817" w:type="dxa"/>
            <w:noWrap/>
            <w:vAlign w:val="center"/>
          </w:tcPr>
          <w:p>
            <w:pPr>
              <w:spacing w:line="360" w:lineRule="auto"/>
              <w:jc w:val="center"/>
              <w:rPr>
                <w:rFonts w:ascii="宋体" w:hAnsi="宋体"/>
                <w:sz w:val="24"/>
              </w:rPr>
            </w:pPr>
            <w:r>
              <w:rPr>
                <w:rFonts w:ascii="宋体" w:hAnsi="宋体"/>
                <w:sz w:val="24"/>
              </w:rPr>
              <w:t>2</w:t>
            </w:r>
          </w:p>
        </w:tc>
        <w:tc>
          <w:tcPr>
            <w:tcW w:w="1973" w:type="dxa"/>
            <w:noWrap/>
            <w:vAlign w:val="center"/>
          </w:tcPr>
          <w:p>
            <w:pPr>
              <w:spacing w:line="360" w:lineRule="auto"/>
              <w:jc w:val="center"/>
              <w:rPr>
                <w:rFonts w:ascii="宋体" w:hAnsi="宋体"/>
                <w:sz w:val="24"/>
              </w:rPr>
            </w:pPr>
          </w:p>
        </w:tc>
        <w:tc>
          <w:tcPr>
            <w:tcW w:w="1680" w:type="dxa"/>
            <w:noWrap/>
            <w:vAlign w:val="center"/>
          </w:tcPr>
          <w:p>
            <w:pPr>
              <w:spacing w:line="360" w:lineRule="auto"/>
              <w:jc w:val="center"/>
              <w:rPr>
                <w:rFonts w:ascii="宋体" w:hAnsi="宋体"/>
                <w:sz w:val="24"/>
              </w:rPr>
            </w:pPr>
          </w:p>
        </w:tc>
        <w:tc>
          <w:tcPr>
            <w:tcW w:w="1470" w:type="dxa"/>
            <w:noWrap/>
            <w:vAlign w:val="center"/>
          </w:tcPr>
          <w:p>
            <w:pPr>
              <w:spacing w:line="360" w:lineRule="auto"/>
              <w:jc w:val="center"/>
              <w:rPr>
                <w:rFonts w:ascii="宋体" w:hAnsi="宋体"/>
                <w:sz w:val="24"/>
              </w:rPr>
            </w:pPr>
          </w:p>
        </w:tc>
        <w:tc>
          <w:tcPr>
            <w:tcW w:w="840" w:type="dxa"/>
            <w:noWrap/>
            <w:vAlign w:val="center"/>
          </w:tcPr>
          <w:p>
            <w:pPr>
              <w:spacing w:line="360" w:lineRule="auto"/>
              <w:jc w:val="center"/>
              <w:rPr>
                <w:rFonts w:ascii="宋体" w:hAnsi="宋体"/>
                <w:sz w:val="24"/>
              </w:rPr>
            </w:pPr>
          </w:p>
        </w:tc>
        <w:tc>
          <w:tcPr>
            <w:tcW w:w="1068" w:type="dxa"/>
            <w:noWrap/>
            <w:vAlign w:val="center"/>
          </w:tcPr>
          <w:p>
            <w:pPr>
              <w:spacing w:line="360" w:lineRule="auto"/>
              <w:jc w:val="center"/>
              <w:rPr>
                <w:rFonts w:ascii="宋体" w:hAnsi="宋体"/>
                <w:sz w:val="24"/>
              </w:rPr>
            </w:pPr>
          </w:p>
        </w:tc>
        <w:tc>
          <w:tcPr>
            <w:tcW w:w="1260" w:type="dxa"/>
            <w:noWrap/>
            <w:vAlign w:val="center"/>
          </w:tcPr>
          <w:p>
            <w:pPr>
              <w:spacing w:line="360" w:lineRule="auto"/>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trPr>
        <w:tc>
          <w:tcPr>
            <w:tcW w:w="817" w:type="dxa"/>
            <w:noWrap/>
            <w:vAlign w:val="center"/>
          </w:tcPr>
          <w:p>
            <w:pPr>
              <w:spacing w:line="360" w:lineRule="auto"/>
              <w:jc w:val="center"/>
              <w:rPr>
                <w:rFonts w:ascii="宋体" w:hAnsi="宋体"/>
                <w:sz w:val="24"/>
              </w:rPr>
            </w:pPr>
            <w:r>
              <w:rPr>
                <w:rFonts w:ascii="宋体" w:hAnsi="宋体"/>
                <w:sz w:val="24"/>
              </w:rPr>
              <w:t>3</w:t>
            </w:r>
          </w:p>
        </w:tc>
        <w:tc>
          <w:tcPr>
            <w:tcW w:w="1973" w:type="dxa"/>
            <w:noWrap/>
            <w:vAlign w:val="center"/>
          </w:tcPr>
          <w:p>
            <w:pPr>
              <w:spacing w:line="360" w:lineRule="auto"/>
              <w:jc w:val="center"/>
              <w:rPr>
                <w:rFonts w:ascii="宋体" w:hAnsi="宋体"/>
                <w:sz w:val="24"/>
              </w:rPr>
            </w:pPr>
          </w:p>
        </w:tc>
        <w:tc>
          <w:tcPr>
            <w:tcW w:w="1680" w:type="dxa"/>
            <w:noWrap/>
            <w:vAlign w:val="center"/>
          </w:tcPr>
          <w:p>
            <w:pPr>
              <w:spacing w:line="360" w:lineRule="auto"/>
              <w:jc w:val="center"/>
              <w:rPr>
                <w:rFonts w:ascii="宋体" w:hAnsi="宋体"/>
                <w:sz w:val="24"/>
              </w:rPr>
            </w:pPr>
          </w:p>
        </w:tc>
        <w:tc>
          <w:tcPr>
            <w:tcW w:w="1470" w:type="dxa"/>
            <w:noWrap/>
            <w:vAlign w:val="center"/>
          </w:tcPr>
          <w:p>
            <w:pPr>
              <w:spacing w:line="360" w:lineRule="auto"/>
              <w:jc w:val="center"/>
              <w:rPr>
                <w:rFonts w:ascii="宋体" w:hAnsi="宋体"/>
                <w:sz w:val="24"/>
              </w:rPr>
            </w:pPr>
          </w:p>
        </w:tc>
        <w:tc>
          <w:tcPr>
            <w:tcW w:w="840" w:type="dxa"/>
            <w:noWrap/>
            <w:vAlign w:val="center"/>
          </w:tcPr>
          <w:p>
            <w:pPr>
              <w:spacing w:line="360" w:lineRule="auto"/>
              <w:jc w:val="center"/>
              <w:rPr>
                <w:rFonts w:ascii="宋体" w:hAnsi="宋体"/>
                <w:sz w:val="24"/>
              </w:rPr>
            </w:pPr>
          </w:p>
        </w:tc>
        <w:tc>
          <w:tcPr>
            <w:tcW w:w="1068" w:type="dxa"/>
            <w:noWrap/>
            <w:vAlign w:val="center"/>
          </w:tcPr>
          <w:p>
            <w:pPr>
              <w:spacing w:line="360" w:lineRule="auto"/>
              <w:jc w:val="center"/>
              <w:rPr>
                <w:rFonts w:ascii="宋体" w:hAnsi="宋体"/>
                <w:sz w:val="24"/>
              </w:rPr>
            </w:pPr>
          </w:p>
        </w:tc>
        <w:tc>
          <w:tcPr>
            <w:tcW w:w="1260" w:type="dxa"/>
            <w:noWrap/>
            <w:vAlign w:val="center"/>
          </w:tcPr>
          <w:p>
            <w:pPr>
              <w:spacing w:line="360" w:lineRule="auto"/>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trPr>
        <w:tc>
          <w:tcPr>
            <w:tcW w:w="817" w:type="dxa"/>
            <w:noWrap/>
            <w:vAlign w:val="center"/>
          </w:tcPr>
          <w:p>
            <w:pPr>
              <w:spacing w:line="360" w:lineRule="auto"/>
              <w:jc w:val="center"/>
              <w:rPr>
                <w:rFonts w:ascii="宋体" w:hAnsi="宋体"/>
                <w:sz w:val="24"/>
              </w:rPr>
            </w:pPr>
            <w:r>
              <w:rPr>
                <w:rFonts w:ascii="宋体" w:hAnsi="宋体"/>
                <w:sz w:val="24"/>
              </w:rPr>
              <w:t>…</w:t>
            </w:r>
          </w:p>
        </w:tc>
        <w:tc>
          <w:tcPr>
            <w:tcW w:w="1973" w:type="dxa"/>
            <w:noWrap/>
            <w:vAlign w:val="center"/>
          </w:tcPr>
          <w:p>
            <w:pPr>
              <w:adjustRightInd w:val="0"/>
              <w:snapToGrid w:val="0"/>
              <w:spacing w:line="360" w:lineRule="auto"/>
              <w:rPr>
                <w:rFonts w:ascii="宋体" w:hAnsi="宋体"/>
                <w:szCs w:val="21"/>
              </w:rPr>
            </w:pPr>
          </w:p>
        </w:tc>
        <w:tc>
          <w:tcPr>
            <w:tcW w:w="1680" w:type="dxa"/>
            <w:noWrap/>
            <w:vAlign w:val="center"/>
          </w:tcPr>
          <w:p>
            <w:pPr>
              <w:spacing w:line="360" w:lineRule="auto"/>
              <w:jc w:val="center"/>
              <w:rPr>
                <w:rFonts w:ascii="宋体" w:hAnsi="宋体"/>
                <w:sz w:val="24"/>
              </w:rPr>
            </w:pPr>
          </w:p>
        </w:tc>
        <w:tc>
          <w:tcPr>
            <w:tcW w:w="1470" w:type="dxa"/>
            <w:noWrap/>
            <w:vAlign w:val="center"/>
          </w:tcPr>
          <w:p>
            <w:pPr>
              <w:spacing w:line="360" w:lineRule="auto"/>
              <w:jc w:val="center"/>
              <w:rPr>
                <w:rFonts w:ascii="宋体" w:hAnsi="宋体"/>
                <w:sz w:val="24"/>
              </w:rPr>
            </w:pPr>
          </w:p>
        </w:tc>
        <w:tc>
          <w:tcPr>
            <w:tcW w:w="840" w:type="dxa"/>
            <w:noWrap/>
            <w:vAlign w:val="center"/>
          </w:tcPr>
          <w:p>
            <w:pPr>
              <w:spacing w:line="360" w:lineRule="auto"/>
              <w:jc w:val="center"/>
              <w:rPr>
                <w:rFonts w:ascii="宋体" w:hAnsi="宋体"/>
                <w:sz w:val="24"/>
              </w:rPr>
            </w:pPr>
          </w:p>
        </w:tc>
        <w:tc>
          <w:tcPr>
            <w:tcW w:w="1068" w:type="dxa"/>
            <w:noWrap/>
            <w:vAlign w:val="center"/>
          </w:tcPr>
          <w:p>
            <w:pPr>
              <w:spacing w:line="360" w:lineRule="auto"/>
              <w:jc w:val="center"/>
              <w:rPr>
                <w:rFonts w:ascii="宋体" w:hAnsi="宋体"/>
                <w:sz w:val="24"/>
              </w:rPr>
            </w:pPr>
          </w:p>
        </w:tc>
        <w:tc>
          <w:tcPr>
            <w:tcW w:w="1260" w:type="dxa"/>
            <w:noWrap/>
            <w:vAlign w:val="center"/>
          </w:tcPr>
          <w:p>
            <w:pPr>
              <w:spacing w:line="360" w:lineRule="auto"/>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trPr>
        <w:tc>
          <w:tcPr>
            <w:tcW w:w="9108" w:type="dxa"/>
            <w:gridSpan w:val="7"/>
            <w:noWrap/>
            <w:vAlign w:val="center"/>
          </w:tcPr>
          <w:p>
            <w:pPr>
              <w:spacing w:line="360" w:lineRule="auto"/>
              <w:jc w:val="center"/>
              <w:rPr>
                <w:rFonts w:ascii="宋体" w:hAnsi="宋体"/>
                <w:sz w:val="24"/>
              </w:rPr>
            </w:pPr>
            <w:r>
              <w:rPr>
                <w:rFonts w:ascii="宋体" w:hAnsi="宋体"/>
                <w:sz w:val="24"/>
              </w:rPr>
              <w:t>以下为质保期满后优惠提供的备品备件和常用配件、耗材等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trPr>
        <w:tc>
          <w:tcPr>
            <w:tcW w:w="817" w:type="dxa"/>
            <w:noWrap/>
            <w:vAlign w:val="center"/>
          </w:tcPr>
          <w:p>
            <w:pPr>
              <w:spacing w:line="360" w:lineRule="auto"/>
              <w:jc w:val="center"/>
              <w:rPr>
                <w:rFonts w:ascii="宋体" w:hAnsi="宋体"/>
                <w:sz w:val="24"/>
              </w:rPr>
            </w:pPr>
            <w:r>
              <w:rPr>
                <w:rFonts w:ascii="宋体" w:hAnsi="宋体"/>
                <w:sz w:val="24"/>
              </w:rPr>
              <w:t>1</w:t>
            </w:r>
          </w:p>
        </w:tc>
        <w:tc>
          <w:tcPr>
            <w:tcW w:w="1973" w:type="dxa"/>
            <w:noWrap/>
            <w:vAlign w:val="center"/>
          </w:tcPr>
          <w:p>
            <w:pPr>
              <w:adjustRightInd w:val="0"/>
              <w:snapToGrid w:val="0"/>
              <w:spacing w:line="360" w:lineRule="auto"/>
              <w:rPr>
                <w:rFonts w:ascii="宋体" w:hAnsi="宋体"/>
                <w:szCs w:val="21"/>
              </w:rPr>
            </w:pPr>
          </w:p>
        </w:tc>
        <w:tc>
          <w:tcPr>
            <w:tcW w:w="1680" w:type="dxa"/>
            <w:noWrap/>
            <w:vAlign w:val="center"/>
          </w:tcPr>
          <w:p>
            <w:pPr>
              <w:spacing w:line="360" w:lineRule="auto"/>
              <w:jc w:val="center"/>
              <w:rPr>
                <w:rFonts w:ascii="宋体" w:hAnsi="宋体"/>
                <w:sz w:val="24"/>
              </w:rPr>
            </w:pPr>
          </w:p>
        </w:tc>
        <w:tc>
          <w:tcPr>
            <w:tcW w:w="1470" w:type="dxa"/>
            <w:noWrap/>
            <w:vAlign w:val="center"/>
          </w:tcPr>
          <w:p>
            <w:pPr>
              <w:spacing w:line="360" w:lineRule="auto"/>
              <w:jc w:val="center"/>
              <w:rPr>
                <w:rFonts w:ascii="宋体" w:hAnsi="宋体"/>
                <w:sz w:val="24"/>
              </w:rPr>
            </w:pPr>
          </w:p>
        </w:tc>
        <w:tc>
          <w:tcPr>
            <w:tcW w:w="840" w:type="dxa"/>
            <w:noWrap/>
            <w:vAlign w:val="center"/>
          </w:tcPr>
          <w:p>
            <w:pPr>
              <w:spacing w:line="360" w:lineRule="auto"/>
              <w:jc w:val="center"/>
              <w:rPr>
                <w:rFonts w:ascii="宋体" w:hAnsi="宋体"/>
                <w:sz w:val="24"/>
              </w:rPr>
            </w:pPr>
          </w:p>
        </w:tc>
        <w:tc>
          <w:tcPr>
            <w:tcW w:w="1068" w:type="dxa"/>
            <w:noWrap/>
            <w:vAlign w:val="center"/>
          </w:tcPr>
          <w:p>
            <w:pPr>
              <w:spacing w:line="360" w:lineRule="auto"/>
              <w:jc w:val="center"/>
              <w:rPr>
                <w:rFonts w:ascii="宋体" w:hAnsi="宋体"/>
                <w:sz w:val="24"/>
              </w:rPr>
            </w:pPr>
          </w:p>
        </w:tc>
        <w:tc>
          <w:tcPr>
            <w:tcW w:w="1260" w:type="dxa"/>
            <w:noWrap/>
            <w:vAlign w:val="center"/>
          </w:tcPr>
          <w:p>
            <w:pPr>
              <w:spacing w:line="360" w:lineRule="auto"/>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trPr>
        <w:tc>
          <w:tcPr>
            <w:tcW w:w="817" w:type="dxa"/>
            <w:noWrap/>
            <w:vAlign w:val="center"/>
          </w:tcPr>
          <w:p>
            <w:pPr>
              <w:spacing w:line="360" w:lineRule="auto"/>
              <w:jc w:val="center"/>
              <w:rPr>
                <w:rFonts w:ascii="宋体" w:hAnsi="宋体"/>
                <w:sz w:val="24"/>
              </w:rPr>
            </w:pPr>
            <w:r>
              <w:rPr>
                <w:rFonts w:ascii="宋体" w:hAnsi="宋体"/>
                <w:sz w:val="24"/>
              </w:rPr>
              <w:t>2</w:t>
            </w:r>
          </w:p>
        </w:tc>
        <w:tc>
          <w:tcPr>
            <w:tcW w:w="1973" w:type="dxa"/>
            <w:noWrap/>
            <w:vAlign w:val="center"/>
          </w:tcPr>
          <w:p>
            <w:pPr>
              <w:adjustRightInd w:val="0"/>
              <w:snapToGrid w:val="0"/>
              <w:spacing w:line="360" w:lineRule="auto"/>
              <w:rPr>
                <w:rFonts w:ascii="宋体" w:hAnsi="宋体"/>
                <w:szCs w:val="21"/>
              </w:rPr>
            </w:pPr>
          </w:p>
        </w:tc>
        <w:tc>
          <w:tcPr>
            <w:tcW w:w="1680" w:type="dxa"/>
            <w:noWrap/>
            <w:vAlign w:val="center"/>
          </w:tcPr>
          <w:p>
            <w:pPr>
              <w:spacing w:line="360" w:lineRule="auto"/>
              <w:jc w:val="center"/>
              <w:rPr>
                <w:rFonts w:ascii="宋体" w:hAnsi="宋体"/>
                <w:sz w:val="24"/>
              </w:rPr>
            </w:pPr>
          </w:p>
        </w:tc>
        <w:tc>
          <w:tcPr>
            <w:tcW w:w="1470" w:type="dxa"/>
            <w:noWrap/>
            <w:vAlign w:val="center"/>
          </w:tcPr>
          <w:p>
            <w:pPr>
              <w:spacing w:line="360" w:lineRule="auto"/>
              <w:jc w:val="center"/>
              <w:rPr>
                <w:rFonts w:ascii="宋体" w:hAnsi="宋体"/>
                <w:sz w:val="24"/>
              </w:rPr>
            </w:pPr>
          </w:p>
        </w:tc>
        <w:tc>
          <w:tcPr>
            <w:tcW w:w="840" w:type="dxa"/>
            <w:noWrap/>
            <w:vAlign w:val="center"/>
          </w:tcPr>
          <w:p>
            <w:pPr>
              <w:spacing w:line="360" w:lineRule="auto"/>
              <w:jc w:val="center"/>
              <w:rPr>
                <w:rFonts w:ascii="宋体" w:hAnsi="宋体"/>
                <w:sz w:val="24"/>
              </w:rPr>
            </w:pPr>
          </w:p>
        </w:tc>
        <w:tc>
          <w:tcPr>
            <w:tcW w:w="1068" w:type="dxa"/>
            <w:noWrap/>
            <w:vAlign w:val="center"/>
          </w:tcPr>
          <w:p>
            <w:pPr>
              <w:spacing w:line="360" w:lineRule="auto"/>
              <w:jc w:val="center"/>
              <w:rPr>
                <w:rFonts w:ascii="宋体" w:hAnsi="宋体"/>
                <w:sz w:val="24"/>
              </w:rPr>
            </w:pPr>
          </w:p>
        </w:tc>
        <w:tc>
          <w:tcPr>
            <w:tcW w:w="1260" w:type="dxa"/>
            <w:noWrap/>
            <w:vAlign w:val="center"/>
          </w:tcPr>
          <w:p>
            <w:pPr>
              <w:spacing w:line="360" w:lineRule="auto"/>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trPr>
        <w:tc>
          <w:tcPr>
            <w:tcW w:w="817" w:type="dxa"/>
            <w:noWrap/>
            <w:vAlign w:val="center"/>
          </w:tcPr>
          <w:p>
            <w:pPr>
              <w:spacing w:line="360" w:lineRule="auto"/>
              <w:jc w:val="center"/>
              <w:rPr>
                <w:rFonts w:ascii="宋体" w:hAnsi="宋体"/>
                <w:sz w:val="24"/>
              </w:rPr>
            </w:pPr>
            <w:r>
              <w:rPr>
                <w:rFonts w:ascii="宋体" w:hAnsi="宋体"/>
                <w:sz w:val="24"/>
              </w:rPr>
              <w:t>3</w:t>
            </w:r>
          </w:p>
        </w:tc>
        <w:tc>
          <w:tcPr>
            <w:tcW w:w="1973" w:type="dxa"/>
            <w:noWrap/>
            <w:vAlign w:val="center"/>
          </w:tcPr>
          <w:p>
            <w:pPr>
              <w:adjustRightInd w:val="0"/>
              <w:snapToGrid w:val="0"/>
              <w:spacing w:line="360" w:lineRule="auto"/>
              <w:rPr>
                <w:rFonts w:ascii="宋体" w:hAnsi="宋体"/>
                <w:szCs w:val="21"/>
              </w:rPr>
            </w:pPr>
          </w:p>
        </w:tc>
        <w:tc>
          <w:tcPr>
            <w:tcW w:w="1680" w:type="dxa"/>
            <w:noWrap/>
            <w:vAlign w:val="center"/>
          </w:tcPr>
          <w:p>
            <w:pPr>
              <w:spacing w:line="360" w:lineRule="auto"/>
              <w:jc w:val="center"/>
              <w:rPr>
                <w:rFonts w:ascii="宋体" w:hAnsi="宋体"/>
                <w:sz w:val="24"/>
              </w:rPr>
            </w:pPr>
          </w:p>
        </w:tc>
        <w:tc>
          <w:tcPr>
            <w:tcW w:w="1470" w:type="dxa"/>
            <w:noWrap/>
            <w:vAlign w:val="center"/>
          </w:tcPr>
          <w:p>
            <w:pPr>
              <w:spacing w:line="360" w:lineRule="auto"/>
              <w:jc w:val="center"/>
              <w:rPr>
                <w:rFonts w:ascii="宋体" w:hAnsi="宋体"/>
                <w:sz w:val="24"/>
              </w:rPr>
            </w:pPr>
          </w:p>
        </w:tc>
        <w:tc>
          <w:tcPr>
            <w:tcW w:w="840" w:type="dxa"/>
            <w:noWrap/>
            <w:vAlign w:val="center"/>
          </w:tcPr>
          <w:p>
            <w:pPr>
              <w:spacing w:line="360" w:lineRule="auto"/>
              <w:jc w:val="center"/>
              <w:rPr>
                <w:rFonts w:ascii="宋体" w:hAnsi="宋体"/>
                <w:sz w:val="24"/>
              </w:rPr>
            </w:pPr>
          </w:p>
        </w:tc>
        <w:tc>
          <w:tcPr>
            <w:tcW w:w="1068" w:type="dxa"/>
            <w:noWrap/>
            <w:vAlign w:val="center"/>
          </w:tcPr>
          <w:p>
            <w:pPr>
              <w:spacing w:line="360" w:lineRule="auto"/>
              <w:jc w:val="center"/>
              <w:rPr>
                <w:rFonts w:ascii="宋体" w:hAnsi="宋体"/>
                <w:sz w:val="24"/>
              </w:rPr>
            </w:pPr>
          </w:p>
        </w:tc>
        <w:tc>
          <w:tcPr>
            <w:tcW w:w="1260" w:type="dxa"/>
            <w:noWrap/>
            <w:vAlign w:val="center"/>
          </w:tcPr>
          <w:p>
            <w:pPr>
              <w:spacing w:line="360" w:lineRule="auto"/>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trPr>
        <w:tc>
          <w:tcPr>
            <w:tcW w:w="817" w:type="dxa"/>
            <w:noWrap/>
            <w:vAlign w:val="center"/>
          </w:tcPr>
          <w:p>
            <w:pPr>
              <w:spacing w:line="360" w:lineRule="auto"/>
              <w:jc w:val="center"/>
              <w:rPr>
                <w:rFonts w:ascii="宋体" w:hAnsi="宋体"/>
                <w:sz w:val="24"/>
              </w:rPr>
            </w:pPr>
            <w:r>
              <w:rPr>
                <w:rFonts w:ascii="宋体" w:hAnsi="宋体"/>
                <w:sz w:val="24"/>
              </w:rPr>
              <w:t>…</w:t>
            </w:r>
          </w:p>
        </w:tc>
        <w:tc>
          <w:tcPr>
            <w:tcW w:w="1973" w:type="dxa"/>
            <w:noWrap/>
            <w:vAlign w:val="center"/>
          </w:tcPr>
          <w:p>
            <w:pPr>
              <w:adjustRightInd w:val="0"/>
              <w:snapToGrid w:val="0"/>
              <w:spacing w:line="360" w:lineRule="auto"/>
              <w:rPr>
                <w:rFonts w:ascii="宋体" w:hAnsi="宋体"/>
                <w:szCs w:val="21"/>
              </w:rPr>
            </w:pPr>
          </w:p>
        </w:tc>
        <w:tc>
          <w:tcPr>
            <w:tcW w:w="1680" w:type="dxa"/>
            <w:noWrap/>
            <w:vAlign w:val="center"/>
          </w:tcPr>
          <w:p>
            <w:pPr>
              <w:spacing w:line="360" w:lineRule="auto"/>
              <w:jc w:val="center"/>
              <w:rPr>
                <w:rFonts w:ascii="宋体" w:hAnsi="宋体"/>
                <w:sz w:val="24"/>
              </w:rPr>
            </w:pPr>
          </w:p>
        </w:tc>
        <w:tc>
          <w:tcPr>
            <w:tcW w:w="1470" w:type="dxa"/>
            <w:noWrap/>
            <w:vAlign w:val="center"/>
          </w:tcPr>
          <w:p>
            <w:pPr>
              <w:spacing w:line="360" w:lineRule="auto"/>
              <w:jc w:val="center"/>
              <w:rPr>
                <w:rFonts w:ascii="宋体" w:hAnsi="宋体"/>
                <w:sz w:val="24"/>
              </w:rPr>
            </w:pPr>
          </w:p>
        </w:tc>
        <w:tc>
          <w:tcPr>
            <w:tcW w:w="840" w:type="dxa"/>
            <w:noWrap/>
            <w:vAlign w:val="center"/>
          </w:tcPr>
          <w:p>
            <w:pPr>
              <w:spacing w:line="360" w:lineRule="auto"/>
              <w:jc w:val="center"/>
              <w:rPr>
                <w:rFonts w:ascii="宋体" w:hAnsi="宋体"/>
                <w:sz w:val="24"/>
              </w:rPr>
            </w:pPr>
          </w:p>
        </w:tc>
        <w:tc>
          <w:tcPr>
            <w:tcW w:w="1068" w:type="dxa"/>
            <w:noWrap/>
            <w:vAlign w:val="center"/>
          </w:tcPr>
          <w:p>
            <w:pPr>
              <w:spacing w:line="360" w:lineRule="auto"/>
              <w:jc w:val="center"/>
              <w:rPr>
                <w:rFonts w:ascii="宋体" w:hAnsi="宋体"/>
                <w:sz w:val="24"/>
              </w:rPr>
            </w:pPr>
          </w:p>
        </w:tc>
        <w:tc>
          <w:tcPr>
            <w:tcW w:w="1260" w:type="dxa"/>
            <w:noWrap/>
            <w:vAlign w:val="center"/>
          </w:tcPr>
          <w:p>
            <w:pPr>
              <w:spacing w:line="360" w:lineRule="auto"/>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trPr>
        <w:tc>
          <w:tcPr>
            <w:tcW w:w="9108" w:type="dxa"/>
            <w:gridSpan w:val="7"/>
            <w:noWrap/>
            <w:vAlign w:val="center"/>
          </w:tcPr>
          <w:p>
            <w:pPr>
              <w:spacing w:line="360" w:lineRule="auto"/>
              <w:jc w:val="center"/>
              <w:rPr>
                <w:rFonts w:ascii="宋体" w:hAnsi="宋体"/>
                <w:sz w:val="24"/>
              </w:rPr>
            </w:pPr>
            <w:r>
              <w:rPr>
                <w:rFonts w:ascii="宋体" w:hAnsi="宋体"/>
                <w:sz w:val="24"/>
              </w:rPr>
              <w:t>以下为质保期满后优惠提供的维保费用报价（供招标人参考）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trPr>
        <w:tc>
          <w:tcPr>
            <w:tcW w:w="817" w:type="dxa"/>
            <w:noWrap/>
            <w:vAlign w:val="center"/>
          </w:tcPr>
          <w:p>
            <w:pPr>
              <w:spacing w:line="360" w:lineRule="auto"/>
              <w:jc w:val="center"/>
              <w:rPr>
                <w:rFonts w:ascii="宋体" w:hAnsi="宋体"/>
                <w:sz w:val="24"/>
              </w:rPr>
            </w:pPr>
          </w:p>
        </w:tc>
        <w:tc>
          <w:tcPr>
            <w:tcW w:w="1973" w:type="dxa"/>
            <w:noWrap/>
            <w:vAlign w:val="center"/>
          </w:tcPr>
          <w:p>
            <w:pPr>
              <w:adjustRightInd w:val="0"/>
              <w:snapToGrid w:val="0"/>
              <w:spacing w:line="360" w:lineRule="auto"/>
              <w:rPr>
                <w:rFonts w:ascii="宋体" w:hAnsi="宋体"/>
                <w:szCs w:val="21"/>
              </w:rPr>
            </w:pPr>
          </w:p>
        </w:tc>
        <w:tc>
          <w:tcPr>
            <w:tcW w:w="1680" w:type="dxa"/>
            <w:noWrap/>
            <w:vAlign w:val="center"/>
          </w:tcPr>
          <w:p>
            <w:pPr>
              <w:spacing w:line="360" w:lineRule="auto"/>
              <w:jc w:val="center"/>
              <w:rPr>
                <w:rFonts w:ascii="宋体" w:hAnsi="宋体"/>
                <w:sz w:val="24"/>
              </w:rPr>
            </w:pPr>
          </w:p>
        </w:tc>
        <w:tc>
          <w:tcPr>
            <w:tcW w:w="1470" w:type="dxa"/>
            <w:noWrap/>
            <w:vAlign w:val="center"/>
          </w:tcPr>
          <w:p>
            <w:pPr>
              <w:spacing w:line="360" w:lineRule="auto"/>
              <w:jc w:val="center"/>
              <w:rPr>
                <w:rFonts w:ascii="宋体" w:hAnsi="宋体"/>
                <w:sz w:val="24"/>
              </w:rPr>
            </w:pPr>
          </w:p>
        </w:tc>
        <w:tc>
          <w:tcPr>
            <w:tcW w:w="840" w:type="dxa"/>
            <w:noWrap/>
            <w:vAlign w:val="center"/>
          </w:tcPr>
          <w:p>
            <w:pPr>
              <w:spacing w:line="360" w:lineRule="auto"/>
              <w:jc w:val="center"/>
              <w:rPr>
                <w:rFonts w:ascii="宋体" w:hAnsi="宋体"/>
                <w:sz w:val="24"/>
              </w:rPr>
            </w:pPr>
          </w:p>
        </w:tc>
        <w:tc>
          <w:tcPr>
            <w:tcW w:w="1068" w:type="dxa"/>
            <w:noWrap/>
            <w:vAlign w:val="center"/>
          </w:tcPr>
          <w:p>
            <w:pPr>
              <w:spacing w:line="360" w:lineRule="auto"/>
              <w:jc w:val="center"/>
              <w:rPr>
                <w:rFonts w:ascii="宋体" w:hAnsi="宋体"/>
                <w:sz w:val="24"/>
              </w:rPr>
            </w:pPr>
          </w:p>
        </w:tc>
        <w:tc>
          <w:tcPr>
            <w:tcW w:w="1260" w:type="dxa"/>
            <w:noWrap/>
            <w:vAlign w:val="center"/>
          </w:tcPr>
          <w:p>
            <w:pPr>
              <w:spacing w:line="360" w:lineRule="auto"/>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trPr>
        <w:tc>
          <w:tcPr>
            <w:tcW w:w="817" w:type="dxa"/>
            <w:noWrap/>
            <w:vAlign w:val="center"/>
          </w:tcPr>
          <w:p>
            <w:pPr>
              <w:spacing w:line="360" w:lineRule="auto"/>
              <w:jc w:val="center"/>
              <w:rPr>
                <w:rFonts w:ascii="宋体" w:hAnsi="宋体"/>
                <w:sz w:val="24"/>
              </w:rPr>
            </w:pPr>
          </w:p>
        </w:tc>
        <w:tc>
          <w:tcPr>
            <w:tcW w:w="1973" w:type="dxa"/>
            <w:noWrap/>
            <w:vAlign w:val="center"/>
          </w:tcPr>
          <w:p>
            <w:pPr>
              <w:adjustRightInd w:val="0"/>
              <w:snapToGrid w:val="0"/>
              <w:spacing w:line="360" w:lineRule="auto"/>
              <w:rPr>
                <w:rFonts w:ascii="宋体" w:hAnsi="宋体"/>
                <w:szCs w:val="21"/>
              </w:rPr>
            </w:pPr>
          </w:p>
        </w:tc>
        <w:tc>
          <w:tcPr>
            <w:tcW w:w="1680" w:type="dxa"/>
            <w:noWrap/>
            <w:vAlign w:val="center"/>
          </w:tcPr>
          <w:p>
            <w:pPr>
              <w:spacing w:line="360" w:lineRule="auto"/>
              <w:jc w:val="center"/>
              <w:rPr>
                <w:rFonts w:ascii="宋体" w:hAnsi="宋体"/>
                <w:sz w:val="24"/>
              </w:rPr>
            </w:pPr>
          </w:p>
        </w:tc>
        <w:tc>
          <w:tcPr>
            <w:tcW w:w="1470" w:type="dxa"/>
            <w:noWrap/>
            <w:vAlign w:val="center"/>
          </w:tcPr>
          <w:p>
            <w:pPr>
              <w:spacing w:line="360" w:lineRule="auto"/>
              <w:jc w:val="center"/>
              <w:rPr>
                <w:rFonts w:ascii="宋体" w:hAnsi="宋体"/>
                <w:sz w:val="24"/>
              </w:rPr>
            </w:pPr>
          </w:p>
        </w:tc>
        <w:tc>
          <w:tcPr>
            <w:tcW w:w="840" w:type="dxa"/>
            <w:noWrap/>
            <w:vAlign w:val="center"/>
          </w:tcPr>
          <w:p>
            <w:pPr>
              <w:spacing w:line="360" w:lineRule="auto"/>
              <w:jc w:val="center"/>
              <w:rPr>
                <w:rFonts w:ascii="宋体" w:hAnsi="宋体"/>
                <w:sz w:val="24"/>
              </w:rPr>
            </w:pPr>
          </w:p>
        </w:tc>
        <w:tc>
          <w:tcPr>
            <w:tcW w:w="1068" w:type="dxa"/>
            <w:noWrap/>
            <w:vAlign w:val="center"/>
          </w:tcPr>
          <w:p>
            <w:pPr>
              <w:spacing w:line="360" w:lineRule="auto"/>
              <w:jc w:val="center"/>
              <w:rPr>
                <w:rFonts w:ascii="宋体" w:hAnsi="宋体"/>
                <w:sz w:val="24"/>
              </w:rPr>
            </w:pPr>
          </w:p>
        </w:tc>
        <w:tc>
          <w:tcPr>
            <w:tcW w:w="1260" w:type="dxa"/>
            <w:noWrap/>
            <w:vAlign w:val="center"/>
          </w:tcPr>
          <w:p>
            <w:pPr>
              <w:spacing w:line="360" w:lineRule="auto"/>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trPr>
        <w:tc>
          <w:tcPr>
            <w:tcW w:w="817" w:type="dxa"/>
            <w:noWrap/>
            <w:vAlign w:val="center"/>
          </w:tcPr>
          <w:p>
            <w:pPr>
              <w:spacing w:line="360" w:lineRule="auto"/>
              <w:jc w:val="center"/>
              <w:rPr>
                <w:rFonts w:ascii="宋体" w:hAnsi="宋体"/>
                <w:sz w:val="24"/>
              </w:rPr>
            </w:pPr>
          </w:p>
        </w:tc>
        <w:tc>
          <w:tcPr>
            <w:tcW w:w="1973" w:type="dxa"/>
            <w:noWrap/>
            <w:vAlign w:val="center"/>
          </w:tcPr>
          <w:p>
            <w:pPr>
              <w:adjustRightInd w:val="0"/>
              <w:snapToGrid w:val="0"/>
              <w:spacing w:line="360" w:lineRule="auto"/>
              <w:jc w:val="center"/>
              <w:rPr>
                <w:rFonts w:ascii="宋体" w:hAnsi="宋体"/>
                <w:bCs/>
                <w:szCs w:val="21"/>
              </w:rPr>
            </w:pPr>
            <w:r>
              <w:rPr>
                <w:rFonts w:ascii="宋体" w:hAnsi="宋体"/>
                <w:bCs/>
                <w:szCs w:val="21"/>
              </w:rPr>
              <w:t>合    计</w:t>
            </w:r>
          </w:p>
        </w:tc>
        <w:tc>
          <w:tcPr>
            <w:tcW w:w="1680" w:type="dxa"/>
            <w:noWrap/>
            <w:vAlign w:val="center"/>
          </w:tcPr>
          <w:p>
            <w:pPr>
              <w:spacing w:line="360" w:lineRule="auto"/>
              <w:jc w:val="center"/>
              <w:rPr>
                <w:rFonts w:ascii="宋体" w:hAnsi="宋体"/>
                <w:sz w:val="24"/>
              </w:rPr>
            </w:pPr>
          </w:p>
        </w:tc>
        <w:tc>
          <w:tcPr>
            <w:tcW w:w="1470" w:type="dxa"/>
            <w:noWrap/>
            <w:vAlign w:val="center"/>
          </w:tcPr>
          <w:p>
            <w:pPr>
              <w:spacing w:line="360" w:lineRule="auto"/>
              <w:jc w:val="center"/>
              <w:rPr>
                <w:rFonts w:ascii="宋体" w:hAnsi="宋体"/>
                <w:sz w:val="24"/>
              </w:rPr>
            </w:pPr>
          </w:p>
        </w:tc>
        <w:tc>
          <w:tcPr>
            <w:tcW w:w="840" w:type="dxa"/>
            <w:noWrap/>
            <w:vAlign w:val="center"/>
          </w:tcPr>
          <w:p>
            <w:pPr>
              <w:spacing w:line="360" w:lineRule="auto"/>
              <w:jc w:val="center"/>
              <w:rPr>
                <w:rFonts w:ascii="宋体" w:hAnsi="宋体"/>
                <w:sz w:val="24"/>
              </w:rPr>
            </w:pPr>
          </w:p>
        </w:tc>
        <w:tc>
          <w:tcPr>
            <w:tcW w:w="1068" w:type="dxa"/>
            <w:noWrap/>
            <w:vAlign w:val="center"/>
          </w:tcPr>
          <w:p>
            <w:pPr>
              <w:spacing w:line="360" w:lineRule="auto"/>
              <w:jc w:val="center"/>
              <w:rPr>
                <w:rFonts w:ascii="宋体" w:hAnsi="宋体"/>
                <w:sz w:val="24"/>
              </w:rPr>
            </w:pPr>
          </w:p>
        </w:tc>
        <w:tc>
          <w:tcPr>
            <w:tcW w:w="1260" w:type="dxa"/>
            <w:noWrap/>
            <w:vAlign w:val="center"/>
          </w:tcPr>
          <w:p>
            <w:pPr>
              <w:spacing w:line="360" w:lineRule="auto"/>
              <w:jc w:val="center"/>
              <w:rPr>
                <w:rFonts w:ascii="宋体" w:hAnsi="宋体"/>
                <w:sz w:val="24"/>
              </w:rPr>
            </w:pPr>
          </w:p>
        </w:tc>
      </w:tr>
    </w:tbl>
    <w:p>
      <w:pPr>
        <w:spacing w:line="360" w:lineRule="auto"/>
        <w:rPr>
          <w:rFonts w:ascii="宋体" w:hAnsi="宋体"/>
          <w:b/>
          <w:bCs/>
          <w:szCs w:val="21"/>
        </w:rPr>
      </w:pPr>
      <w:r>
        <w:rPr>
          <w:rFonts w:ascii="宋体" w:hAnsi="宋体"/>
          <w:szCs w:val="21"/>
        </w:rPr>
        <w:t>注：1、此表需详列各类投标产品在质保期内，投标人自愿免费提供的</w:t>
      </w:r>
      <w:r>
        <w:rPr>
          <w:rFonts w:ascii="宋体" w:hAnsi="宋体"/>
          <w:b/>
          <w:bCs/>
          <w:szCs w:val="21"/>
        </w:rPr>
        <w:t>常用配件清单及耗材报价单，质保期内免费提供的备品备件应已包含在报价内，招标人不再另行支付费用。</w:t>
      </w:r>
    </w:p>
    <w:p>
      <w:pPr>
        <w:spacing w:line="360" w:lineRule="auto"/>
        <w:ind w:firstLine="315" w:firstLineChars="150"/>
        <w:rPr>
          <w:rFonts w:ascii="宋体" w:hAnsi="宋体"/>
          <w:szCs w:val="21"/>
        </w:rPr>
      </w:pPr>
      <w:r>
        <w:rPr>
          <w:rFonts w:ascii="宋体" w:hAnsi="宋体"/>
          <w:szCs w:val="21"/>
        </w:rPr>
        <w:t>2、质保期满后优惠提供的备品备件产品，仅作为维保期间的材料采购价格参考，不含在报价内。供货价格须真实，招标人或评委将依此评价投标设备投入运行后的运行成本。</w:t>
      </w:r>
    </w:p>
    <w:p>
      <w:pPr>
        <w:spacing w:line="360" w:lineRule="auto"/>
        <w:ind w:firstLine="210" w:firstLineChars="100"/>
        <w:rPr>
          <w:rFonts w:ascii="宋体" w:hAnsi="宋体"/>
          <w:b/>
          <w:sz w:val="30"/>
        </w:rPr>
      </w:pPr>
      <w:r>
        <w:rPr>
          <w:rFonts w:ascii="宋体" w:hAnsi="宋体"/>
          <w:szCs w:val="21"/>
        </w:rPr>
        <w:t xml:space="preserve"> 3、请详细列明</w:t>
      </w:r>
      <w:r>
        <w:rPr>
          <w:rFonts w:ascii="宋体" w:hAnsi="宋体"/>
          <w:bCs/>
          <w:szCs w:val="21"/>
        </w:rPr>
        <w:t>常用配件清单及耗材（</w:t>
      </w:r>
      <w:r>
        <w:rPr>
          <w:rFonts w:ascii="宋体" w:hAnsi="宋体"/>
          <w:szCs w:val="21"/>
        </w:rPr>
        <w:t>备品、备件</w:t>
      </w:r>
      <w:r>
        <w:rPr>
          <w:rFonts w:ascii="宋体" w:hAnsi="宋体"/>
          <w:bCs/>
          <w:szCs w:val="21"/>
        </w:rPr>
        <w:t>）</w:t>
      </w:r>
      <w:r>
        <w:rPr>
          <w:rFonts w:ascii="宋体" w:hAnsi="宋体"/>
          <w:bCs/>
          <w:kern w:val="0"/>
          <w:szCs w:val="21"/>
        </w:rPr>
        <w:t>可能给予供应的优惠条件或程度。</w:t>
      </w:r>
    </w:p>
    <w:p>
      <w:pPr>
        <w:spacing w:line="360" w:lineRule="auto"/>
        <w:rPr>
          <w:rFonts w:ascii="宋体" w:hAnsi="宋体"/>
          <w:szCs w:val="21"/>
        </w:rPr>
      </w:pPr>
      <w:r>
        <w:rPr>
          <w:rFonts w:ascii="宋体" w:hAnsi="宋体"/>
          <w:szCs w:val="21"/>
        </w:rPr>
        <w:t>报价要求：本表价格不计入投标总价。投标人承诺的质保期满后易损件、备品备件供货价格须真实，评委将依此评价投标设备投入运行后的运行成本。</w:t>
      </w:r>
    </w:p>
    <w:p>
      <w:pPr>
        <w:pStyle w:val="34"/>
        <w:spacing w:after="0" w:line="360" w:lineRule="auto"/>
        <w:ind w:firstLine="3840" w:firstLineChars="1600"/>
        <w:rPr>
          <w:rFonts w:ascii="宋体" w:hAnsi="宋体"/>
          <w:bCs/>
          <w:sz w:val="24"/>
          <w:u w:val="single"/>
        </w:rPr>
      </w:pPr>
      <w:r>
        <w:rPr>
          <w:rFonts w:ascii="宋体" w:hAnsi="宋体"/>
          <w:bCs/>
          <w:sz w:val="24"/>
        </w:rPr>
        <w:t>投标单位：</w:t>
      </w:r>
      <w:r>
        <w:rPr>
          <w:rFonts w:ascii="宋体" w:hAnsi="宋体"/>
          <w:bCs/>
          <w:sz w:val="24"/>
          <w:u w:val="single"/>
        </w:rPr>
        <w:t xml:space="preserve">   （全称）（盖章）  </w:t>
      </w:r>
    </w:p>
    <w:p>
      <w:pPr>
        <w:pStyle w:val="34"/>
        <w:spacing w:after="0" w:line="360" w:lineRule="auto"/>
        <w:ind w:firstLine="3840" w:firstLineChars="1600"/>
        <w:rPr>
          <w:rFonts w:ascii="宋体" w:hAnsi="宋体"/>
          <w:bCs/>
          <w:sz w:val="24"/>
          <w:u w:val="single"/>
        </w:rPr>
      </w:pPr>
      <w:r>
        <w:rPr>
          <w:rFonts w:ascii="宋体" w:hAnsi="宋体"/>
          <w:bCs/>
          <w:sz w:val="24"/>
        </w:rPr>
        <w:t>法定代表人或委托代理人：</w:t>
      </w:r>
      <w:r>
        <w:rPr>
          <w:rFonts w:ascii="宋体" w:hAnsi="宋体"/>
          <w:bCs/>
          <w:sz w:val="24"/>
          <w:u w:val="single"/>
        </w:rPr>
        <w:t>（签字或盖章）</w:t>
      </w:r>
    </w:p>
    <w:p>
      <w:pPr>
        <w:pStyle w:val="34"/>
        <w:spacing w:after="0" w:line="360" w:lineRule="auto"/>
        <w:ind w:firstLine="3840" w:firstLineChars="1600"/>
        <w:rPr>
          <w:rFonts w:ascii="宋体" w:hAnsi="宋体"/>
          <w:b/>
          <w:sz w:val="30"/>
        </w:rPr>
      </w:pPr>
      <w:r>
        <w:rPr>
          <w:rFonts w:ascii="宋体" w:hAnsi="宋体"/>
          <w:sz w:val="24"/>
        </w:rPr>
        <w:t>日 期：</w:t>
      </w:r>
      <w:r>
        <w:rPr>
          <w:rFonts w:ascii="宋体" w:hAnsi="宋体"/>
          <w:bCs/>
          <w:sz w:val="24"/>
        </w:rPr>
        <w:t>20</w:t>
      </w:r>
      <w:r>
        <w:rPr>
          <w:rFonts w:ascii="宋体" w:hAnsi="宋体"/>
          <w:bCs/>
          <w:sz w:val="24"/>
          <w:u w:val="single"/>
        </w:rPr>
        <w:t>　　</w:t>
      </w:r>
      <w:r>
        <w:rPr>
          <w:rFonts w:ascii="宋体" w:hAnsi="宋体"/>
          <w:bCs/>
          <w:sz w:val="24"/>
        </w:rPr>
        <w:t>年</w:t>
      </w:r>
      <w:r>
        <w:rPr>
          <w:rFonts w:ascii="宋体" w:hAnsi="宋体"/>
          <w:bCs/>
          <w:sz w:val="24"/>
          <w:u w:val="single"/>
        </w:rPr>
        <w:t>　</w:t>
      </w:r>
      <w:r>
        <w:rPr>
          <w:rFonts w:ascii="宋体" w:hAnsi="宋体"/>
          <w:bCs/>
          <w:sz w:val="24"/>
        </w:rPr>
        <w:t>月日</w:t>
      </w:r>
      <w:r>
        <w:rPr>
          <w:rFonts w:ascii="宋体" w:hAnsi="宋体"/>
          <w:b/>
          <w:sz w:val="30"/>
        </w:rPr>
        <w:br w:type="page"/>
      </w:r>
    </w:p>
    <w:p>
      <w:pPr>
        <w:widowControl/>
        <w:spacing w:before="100" w:beforeAutospacing="1" w:after="100" w:afterAutospacing="1" w:line="360" w:lineRule="auto"/>
        <w:jc w:val="center"/>
        <w:outlineLvl w:val="0"/>
        <w:rPr>
          <w:rFonts w:ascii="宋体" w:hAnsi="宋体"/>
          <w:b/>
          <w:sz w:val="30"/>
        </w:rPr>
      </w:pPr>
      <w:r>
        <w:rPr>
          <w:rFonts w:ascii="宋体" w:hAnsi="宋体"/>
          <w:b/>
          <w:sz w:val="30"/>
        </w:rPr>
        <w:t>（十二）质量保证书</w:t>
      </w:r>
    </w:p>
    <w:p>
      <w:pPr>
        <w:spacing w:line="360" w:lineRule="auto"/>
        <w:rPr>
          <w:rFonts w:ascii="宋体" w:hAnsi="宋体"/>
          <w:bCs/>
          <w:sz w:val="24"/>
          <w:u w:val="single"/>
        </w:rPr>
      </w:pPr>
    </w:p>
    <w:p>
      <w:pPr>
        <w:spacing w:line="360" w:lineRule="auto"/>
        <w:rPr>
          <w:rFonts w:ascii="宋体" w:hAnsi="宋体"/>
          <w:bCs/>
          <w:sz w:val="24"/>
        </w:rPr>
      </w:pPr>
      <w:r>
        <w:rPr>
          <w:rFonts w:ascii="宋体" w:hAnsi="宋体"/>
          <w:bCs/>
          <w:sz w:val="24"/>
        </w:rPr>
        <w:t>（采购人）：</w:t>
      </w:r>
    </w:p>
    <w:p>
      <w:pPr>
        <w:spacing w:line="360" w:lineRule="auto"/>
        <w:ind w:firstLine="480" w:firstLineChars="200"/>
        <w:rPr>
          <w:rFonts w:ascii="宋体" w:hAnsi="宋体"/>
          <w:bCs/>
          <w:sz w:val="24"/>
        </w:rPr>
      </w:pPr>
      <w:r>
        <w:rPr>
          <w:rFonts w:ascii="宋体" w:hAnsi="宋体"/>
          <w:bCs/>
          <w:sz w:val="24"/>
        </w:rPr>
        <w:t>本质量保证书作为</w:t>
      </w:r>
      <w:r>
        <w:rPr>
          <w:rFonts w:ascii="宋体" w:hAnsi="宋体"/>
          <w:bCs/>
          <w:sz w:val="24"/>
          <w:u w:val="single"/>
        </w:rPr>
        <w:t>（投标人名称）</w:t>
      </w:r>
      <w:r>
        <w:rPr>
          <w:rFonts w:ascii="宋体" w:hAnsi="宋体"/>
          <w:bCs/>
          <w:sz w:val="24"/>
        </w:rPr>
        <w:t>参与</w:t>
      </w:r>
      <w:r>
        <w:rPr>
          <w:rFonts w:ascii="宋体" w:hAnsi="宋体"/>
          <w:bCs/>
          <w:sz w:val="24"/>
          <w:u w:val="single"/>
        </w:rPr>
        <w:t>（招标代理机构名称）</w:t>
      </w:r>
      <w:r>
        <w:rPr>
          <w:rFonts w:ascii="宋体" w:hAnsi="宋体"/>
          <w:bCs/>
          <w:sz w:val="24"/>
        </w:rPr>
        <w:t>组织的“项目”的货物及服务采购，对所提供的货物设备的质量保证的证明。现郑重承诺提供以下质量保证并承担相应的法律责任：</w:t>
      </w:r>
    </w:p>
    <w:p>
      <w:pPr>
        <w:spacing w:line="360" w:lineRule="auto"/>
        <w:ind w:firstLine="480" w:firstLineChars="200"/>
        <w:rPr>
          <w:rFonts w:ascii="宋体" w:hAnsi="宋体"/>
          <w:bCs/>
          <w:sz w:val="24"/>
        </w:rPr>
      </w:pPr>
      <w:r>
        <w:rPr>
          <w:rFonts w:ascii="宋体" w:hAnsi="宋体"/>
          <w:bCs/>
          <w:sz w:val="24"/>
        </w:rPr>
        <w:t>1、提供的投标货物均是全新、制造厂商具有质量合格证和国家有关质量检测部门检测合格、手续齐全且合法的产品；</w:t>
      </w:r>
    </w:p>
    <w:p>
      <w:pPr>
        <w:spacing w:line="360" w:lineRule="auto"/>
        <w:ind w:firstLine="480" w:firstLineChars="200"/>
        <w:rPr>
          <w:rFonts w:ascii="宋体" w:hAnsi="宋体"/>
          <w:bCs/>
          <w:sz w:val="24"/>
        </w:rPr>
      </w:pPr>
      <w:r>
        <w:rPr>
          <w:rFonts w:ascii="宋体" w:hAnsi="宋体"/>
          <w:bCs/>
          <w:sz w:val="24"/>
        </w:rPr>
        <w:t>2、提供的投标货物均是符合招标文件规定的质量、规格和要求的；</w:t>
      </w:r>
    </w:p>
    <w:p>
      <w:pPr>
        <w:spacing w:line="360" w:lineRule="auto"/>
        <w:ind w:firstLine="480" w:firstLineChars="200"/>
        <w:rPr>
          <w:rFonts w:ascii="宋体" w:hAnsi="宋体"/>
          <w:bCs/>
          <w:sz w:val="24"/>
        </w:rPr>
      </w:pPr>
      <w:r>
        <w:rPr>
          <w:rFonts w:ascii="宋体" w:hAnsi="宋体"/>
          <w:bCs/>
          <w:sz w:val="24"/>
        </w:rPr>
        <w:t>3、提供《售后服务承诺书》所承诺的全部服务项目；</w:t>
      </w:r>
    </w:p>
    <w:p>
      <w:pPr>
        <w:spacing w:line="360" w:lineRule="auto"/>
        <w:ind w:firstLine="480" w:firstLineChars="200"/>
        <w:rPr>
          <w:rFonts w:ascii="宋体" w:hAnsi="宋体"/>
          <w:bCs/>
          <w:sz w:val="24"/>
        </w:rPr>
      </w:pPr>
      <w:r>
        <w:rPr>
          <w:rFonts w:ascii="宋体" w:hAnsi="宋体"/>
          <w:bCs/>
          <w:sz w:val="24"/>
        </w:rPr>
        <w:t>4、若产品质量不合格或缺陷，作为货物的提供方，我方愿接受招标方及相关部门的处罚，一切费用和损失由我方承担。</w:t>
      </w:r>
    </w:p>
    <w:p>
      <w:pPr>
        <w:spacing w:line="360" w:lineRule="auto"/>
        <w:ind w:firstLine="480" w:firstLineChars="200"/>
        <w:rPr>
          <w:rFonts w:ascii="宋体" w:hAnsi="宋体"/>
          <w:bCs/>
          <w:sz w:val="24"/>
        </w:rPr>
      </w:pPr>
    </w:p>
    <w:p>
      <w:pPr>
        <w:pStyle w:val="34"/>
        <w:spacing w:after="0" w:line="360" w:lineRule="auto"/>
        <w:ind w:firstLine="3840" w:firstLineChars="1600"/>
        <w:rPr>
          <w:rFonts w:ascii="宋体" w:hAnsi="宋体"/>
          <w:bCs/>
          <w:sz w:val="24"/>
        </w:rPr>
      </w:pPr>
    </w:p>
    <w:p>
      <w:pPr>
        <w:pStyle w:val="34"/>
        <w:spacing w:after="0" w:line="360" w:lineRule="auto"/>
        <w:ind w:firstLine="3840" w:firstLineChars="1600"/>
        <w:rPr>
          <w:rFonts w:ascii="宋体" w:hAnsi="宋体"/>
          <w:bCs/>
          <w:sz w:val="24"/>
          <w:u w:val="single"/>
        </w:rPr>
      </w:pPr>
      <w:r>
        <w:rPr>
          <w:rFonts w:ascii="宋体" w:hAnsi="宋体"/>
          <w:bCs/>
          <w:sz w:val="24"/>
        </w:rPr>
        <w:t>投标单位：</w:t>
      </w:r>
      <w:r>
        <w:rPr>
          <w:rFonts w:ascii="宋体" w:hAnsi="宋体"/>
          <w:bCs/>
          <w:sz w:val="24"/>
          <w:u w:val="single"/>
        </w:rPr>
        <w:t xml:space="preserve">   （全称）（盖章）  </w:t>
      </w:r>
    </w:p>
    <w:p>
      <w:pPr>
        <w:pStyle w:val="34"/>
        <w:spacing w:after="0" w:line="360" w:lineRule="auto"/>
        <w:ind w:firstLine="3840" w:firstLineChars="1600"/>
        <w:rPr>
          <w:rFonts w:ascii="宋体" w:hAnsi="宋体"/>
          <w:bCs/>
          <w:sz w:val="24"/>
          <w:u w:val="single"/>
        </w:rPr>
      </w:pPr>
      <w:r>
        <w:rPr>
          <w:rFonts w:ascii="宋体" w:hAnsi="宋体"/>
          <w:bCs/>
          <w:sz w:val="24"/>
        </w:rPr>
        <w:t>法定代表人或委托代理人：</w:t>
      </w:r>
      <w:r>
        <w:rPr>
          <w:rFonts w:ascii="宋体" w:hAnsi="宋体"/>
          <w:bCs/>
          <w:sz w:val="24"/>
          <w:u w:val="single"/>
        </w:rPr>
        <w:t>（签字或盖章）</w:t>
      </w:r>
    </w:p>
    <w:p>
      <w:pPr>
        <w:pStyle w:val="34"/>
        <w:spacing w:after="0" w:line="360" w:lineRule="auto"/>
        <w:ind w:firstLine="3840" w:firstLineChars="1600"/>
        <w:rPr>
          <w:rFonts w:ascii="宋体" w:hAnsi="宋体"/>
          <w:sz w:val="24"/>
        </w:rPr>
      </w:pPr>
      <w:r>
        <w:rPr>
          <w:rFonts w:ascii="宋体" w:hAnsi="宋体"/>
          <w:sz w:val="24"/>
        </w:rPr>
        <w:t>日 期：</w:t>
      </w:r>
      <w:r>
        <w:rPr>
          <w:rFonts w:ascii="宋体" w:hAnsi="宋体"/>
          <w:bCs/>
          <w:sz w:val="24"/>
        </w:rPr>
        <w:t>20</w:t>
      </w:r>
      <w:r>
        <w:rPr>
          <w:rFonts w:ascii="宋体" w:hAnsi="宋体"/>
          <w:bCs/>
          <w:sz w:val="24"/>
          <w:u w:val="single"/>
        </w:rPr>
        <w:t>　　</w:t>
      </w:r>
      <w:r>
        <w:rPr>
          <w:rFonts w:ascii="宋体" w:hAnsi="宋体"/>
          <w:bCs/>
          <w:sz w:val="24"/>
        </w:rPr>
        <w:t>年</w:t>
      </w:r>
      <w:r>
        <w:rPr>
          <w:rFonts w:ascii="宋体" w:hAnsi="宋体"/>
          <w:bCs/>
          <w:sz w:val="24"/>
          <w:u w:val="single"/>
        </w:rPr>
        <w:t>　</w:t>
      </w:r>
      <w:r>
        <w:rPr>
          <w:rFonts w:ascii="宋体" w:hAnsi="宋体"/>
          <w:bCs/>
          <w:sz w:val="24"/>
        </w:rPr>
        <w:t>月日</w:t>
      </w:r>
    </w:p>
    <w:p>
      <w:pPr>
        <w:spacing w:line="360" w:lineRule="auto"/>
        <w:rPr>
          <w:rFonts w:ascii="宋体" w:hAnsi="宋体"/>
          <w:b/>
          <w:sz w:val="30"/>
          <w:szCs w:val="30"/>
        </w:rPr>
      </w:pPr>
    </w:p>
    <w:p>
      <w:pPr>
        <w:spacing w:line="360" w:lineRule="auto"/>
        <w:rPr>
          <w:rFonts w:ascii="宋体" w:hAnsi="宋体"/>
          <w:b/>
          <w:sz w:val="30"/>
          <w:szCs w:val="30"/>
        </w:rPr>
      </w:pPr>
    </w:p>
    <w:p>
      <w:pPr>
        <w:spacing w:line="360" w:lineRule="auto"/>
        <w:rPr>
          <w:rFonts w:ascii="宋体" w:hAnsi="宋体"/>
          <w:b/>
          <w:sz w:val="30"/>
        </w:rPr>
      </w:pPr>
    </w:p>
    <w:p>
      <w:pPr>
        <w:spacing w:line="360" w:lineRule="auto"/>
        <w:rPr>
          <w:rFonts w:ascii="宋体" w:hAnsi="宋体"/>
          <w:b/>
          <w:sz w:val="30"/>
          <w:szCs w:val="30"/>
        </w:rPr>
      </w:pPr>
    </w:p>
    <w:p>
      <w:pPr>
        <w:spacing w:line="360" w:lineRule="auto"/>
        <w:rPr>
          <w:rFonts w:ascii="宋体" w:hAnsi="宋体"/>
          <w:b/>
          <w:sz w:val="30"/>
          <w:szCs w:val="30"/>
        </w:rPr>
      </w:pPr>
    </w:p>
    <w:p>
      <w:pPr>
        <w:spacing w:line="360" w:lineRule="auto"/>
        <w:rPr>
          <w:rFonts w:ascii="宋体" w:hAnsi="宋体"/>
          <w:b/>
          <w:sz w:val="30"/>
          <w:szCs w:val="30"/>
        </w:rPr>
      </w:pPr>
    </w:p>
    <w:p>
      <w:pPr>
        <w:spacing w:line="360" w:lineRule="auto"/>
        <w:rPr>
          <w:rFonts w:ascii="宋体" w:hAnsi="宋体"/>
          <w:b/>
          <w:sz w:val="30"/>
          <w:szCs w:val="30"/>
        </w:rPr>
      </w:pPr>
    </w:p>
    <w:p>
      <w:pPr>
        <w:widowControl/>
        <w:spacing w:line="360" w:lineRule="auto"/>
        <w:jc w:val="left"/>
        <w:rPr>
          <w:rFonts w:ascii="宋体" w:hAnsi="宋体"/>
        </w:rPr>
      </w:pPr>
      <w:r>
        <w:rPr>
          <w:rFonts w:ascii="宋体" w:hAnsi="宋体"/>
        </w:rPr>
        <w:br w:type="page"/>
      </w:r>
    </w:p>
    <w:p>
      <w:pPr>
        <w:widowControl/>
        <w:tabs>
          <w:tab w:val="left" w:pos="3568"/>
        </w:tabs>
        <w:spacing w:before="100" w:beforeAutospacing="1" w:after="100" w:afterAutospacing="1" w:line="360" w:lineRule="auto"/>
        <w:jc w:val="center"/>
        <w:outlineLvl w:val="0"/>
        <w:rPr>
          <w:rFonts w:ascii="宋体" w:hAnsi="宋体"/>
          <w:b/>
          <w:sz w:val="30"/>
        </w:rPr>
      </w:pPr>
      <w:r>
        <w:rPr>
          <w:rFonts w:ascii="宋体" w:hAnsi="宋体"/>
          <w:b/>
          <w:sz w:val="30"/>
          <w:szCs w:val="30"/>
        </w:rPr>
        <w:t>（十三）</w:t>
      </w:r>
      <w:r>
        <w:rPr>
          <w:rFonts w:ascii="宋体" w:hAnsi="宋体"/>
          <w:b/>
          <w:sz w:val="30"/>
        </w:rPr>
        <w:t>投标单位反商业贿赂承诺书</w:t>
      </w:r>
    </w:p>
    <w:p>
      <w:pPr>
        <w:widowControl/>
        <w:spacing w:before="100" w:beforeAutospacing="1" w:after="100" w:afterAutospacing="1" w:line="360" w:lineRule="auto"/>
        <w:jc w:val="center"/>
        <w:rPr>
          <w:rFonts w:ascii="宋体" w:hAnsi="宋体"/>
          <w:b/>
          <w:sz w:val="30"/>
        </w:rPr>
      </w:pPr>
      <w:r>
        <w:rPr>
          <w:rFonts w:ascii="宋体" w:hAnsi="宋体"/>
          <w:b/>
          <w:sz w:val="30"/>
        </w:rPr>
        <w:t>承诺书（1）</w:t>
      </w:r>
    </w:p>
    <w:p>
      <w:pPr>
        <w:widowControl/>
        <w:autoSpaceDE w:val="0"/>
        <w:spacing w:before="100" w:beforeAutospacing="1" w:after="100" w:afterAutospacing="1" w:line="360" w:lineRule="auto"/>
        <w:ind w:firstLine="480" w:firstLineChars="200"/>
        <w:jc w:val="left"/>
        <w:rPr>
          <w:rFonts w:ascii="宋体" w:hAnsi="宋体"/>
          <w:sz w:val="24"/>
        </w:rPr>
      </w:pPr>
      <w:r>
        <w:rPr>
          <w:rFonts w:ascii="宋体" w:hAnsi="宋体"/>
          <w:sz w:val="24"/>
        </w:rPr>
        <w:t>我公司承诺在</w:t>
      </w:r>
      <w:r>
        <w:rPr>
          <w:rFonts w:ascii="宋体" w:hAnsi="宋体"/>
          <w:sz w:val="2"/>
          <w:szCs w:val="2"/>
        </w:rPr>
        <w:t>UU</w:t>
      </w:r>
      <w:r>
        <w:rPr>
          <w:rFonts w:ascii="宋体" w:hAnsi="宋体"/>
          <w:sz w:val="24"/>
          <w:u w:val="single"/>
        </w:rPr>
        <w:t>（项目编号、项目名称、合同包号）</w:t>
      </w:r>
      <w:r>
        <w:rPr>
          <w:rFonts w:ascii="宋体" w:hAnsi="宋体"/>
          <w:sz w:val="2"/>
          <w:szCs w:val="2"/>
        </w:rPr>
        <w:t>UU</w:t>
      </w:r>
      <w:r>
        <w:rPr>
          <w:rFonts w:ascii="宋体" w:hAnsi="宋体"/>
          <w:sz w:val="24"/>
        </w:rPr>
        <w:t>招标活动中，不给予国家工作人员以及中介机构工作人员及其亲属各种形式的商业贿赂（包括送礼金礼品、有价证券、购物券、回扣、佣金、咨询费、劳务费、赞助费、宣传费、支付旅游费用、报销各种消费凭证、宴请、娱乐等），如有上述行为，我公司及项目参与人员愿意按照《反不正当竞争法》的有关规定接受处罚。 </w:t>
      </w:r>
    </w:p>
    <w:p>
      <w:pPr>
        <w:pStyle w:val="34"/>
        <w:spacing w:after="0" w:line="360" w:lineRule="auto"/>
        <w:ind w:firstLine="3840" w:firstLineChars="1600"/>
        <w:rPr>
          <w:rFonts w:ascii="宋体" w:hAnsi="宋体"/>
          <w:bCs/>
          <w:sz w:val="24"/>
          <w:u w:val="single"/>
        </w:rPr>
      </w:pPr>
      <w:r>
        <w:rPr>
          <w:rFonts w:ascii="宋体" w:hAnsi="宋体"/>
          <w:bCs/>
          <w:sz w:val="24"/>
        </w:rPr>
        <w:t>投标单位：</w:t>
      </w:r>
      <w:r>
        <w:rPr>
          <w:rFonts w:ascii="宋体" w:hAnsi="宋体"/>
          <w:bCs/>
          <w:sz w:val="24"/>
          <w:u w:val="single"/>
        </w:rPr>
        <w:t xml:space="preserve">   （全称）（盖章）  </w:t>
      </w:r>
    </w:p>
    <w:p>
      <w:pPr>
        <w:pStyle w:val="34"/>
        <w:spacing w:after="0" w:line="360" w:lineRule="auto"/>
        <w:ind w:firstLine="3840" w:firstLineChars="1600"/>
        <w:rPr>
          <w:rFonts w:ascii="宋体" w:hAnsi="宋体"/>
          <w:bCs/>
          <w:sz w:val="24"/>
          <w:u w:val="single"/>
        </w:rPr>
      </w:pPr>
      <w:r>
        <w:rPr>
          <w:rFonts w:ascii="宋体" w:hAnsi="宋体"/>
          <w:bCs/>
          <w:sz w:val="24"/>
        </w:rPr>
        <w:t>法定代表人或委托代理人：</w:t>
      </w:r>
      <w:r>
        <w:rPr>
          <w:rFonts w:ascii="宋体" w:hAnsi="宋体"/>
          <w:bCs/>
          <w:sz w:val="24"/>
          <w:u w:val="single"/>
        </w:rPr>
        <w:t>（签字或盖章）</w:t>
      </w:r>
    </w:p>
    <w:p>
      <w:pPr>
        <w:pStyle w:val="34"/>
        <w:spacing w:after="0" w:line="360" w:lineRule="auto"/>
        <w:ind w:firstLine="3840" w:firstLineChars="1600"/>
        <w:rPr>
          <w:rFonts w:ascii="宋体" w:hAnsi="宋体"/>
          <w:sz w:val="24"/>
        </w:rPr>
      </w:pPr>
      <w:r>
        <w:rPr>
          <w:rFonts w:ascii="宋体" w:hAnsi="宋体"/>
          <w:sz w:val="24"/>
        </w:rPr>
        <w:t>日 期：</w:t>
      </w:r>
      <w:r>
        <w:rPr>
          <w:rFonts w:ascii="宋体" w:hAnsi="宋体"/>
          <w:bCs/>
          <w:sz w:val="24"/>
        </w:rPr>
        <w:t>20</w:t>
      </w:r>
      <w:r>
        <w:rPr>
          <w:rFonts w:ascii="宋体" w:hAnsi="宋体"/>
          <w:bCs/>
          <w:sz w:val="24"/>
          <w:u w:val="single"/>
        </w:rPr>
        <w:t>　　</w:t>
      </w:r>
      <w:r>
        <w:rPr>
          <w:rFonts w:ascii="宋体" w:hAnsi="宋体"/>
          <w:bCs/>
          <w:sz w:val="24"/>
        </w:rPr>
        <w:t>年</w:t>
      </w:r>
      <w:r>
        <w:rPr>
          <w:rFonts w:ascii="宋体" w:hAnsi="宋体"/>
          <w:bCs/>
          <w:sz w:val="24"/>
          <w:u w:val="single"/>
        </w:rPr>
        <w:t>　</w:t>
      </w:r>
      <w:r>
        <w:rPr>
          <w:rFonts w:ascii="宋体" w:hAnsi="宋体"/>
          <w:bCs/>
          <w:sz w:val="24"/>
        </w:rPr>
        <w:t>月日</w:t>
      </w:r>
    </w:p>
    <w:p>
      <w:pPr>
        <w:spacing w:line="360" w:lineRule="auto"/>
        <w:rPr>
          <w:rFonts w:ascii="宋体" w:hAnsi="宋体"/>
          <w:b/>
          <w:sz w:val="30"/>
          <w:szCs w:val="30"/>
        </w:rPr>
      </w:pPr>
    </w:p>
    <w:p>
      <w:pPr>
        <w:spacing w:line="360" w:lineRule="auto"/>
        <w:jc w:val="center"/>
        <w:rPr>
          <w:rFonts w:ascii="宋体" w:hAnsi="宋体"/>
          <w:b/>
          <w:sz w:val="30"/>
          <w:szCs w:val="30"/>
        </w:rPr>
      </w:pPr>
      <w:r>
        <w:rPr>
          <w:rFonts w:ascii="宋体" w:hAnsi="宋体"/>
          <w:b/>
          <w:sz w:val="30"/>
          <w:szCs w:val="30"/>
        </w:rPr>
        <w:t>承诺书（2）</w:t>
      </w:r>
    </w:p>
    <w:p>
      <w:pPr>
        <w:spacing w:line="360" w:lineRule="auto"/>
        <w:rPr>
          <w:rFonts w:ascii="宋体" w:hAnsi="宋体"/>
          <w:b/>
          <w:sz w:val="30"/>
          <w:szCs w:val="30"/>
        </w:rPr>
      </w:pPr>
    </w:p>
    <w:p>
      <w:pPr>
        <w:spacing w:line="360" w:lineRule="auto"/>
        <w:rPr>
          <w:rFonts w:ascii="宋体" w:hAnsi="宋体"/>
          <w:sz w:val="24"/>
        </w:rPr>
      </w:pPr>
      <w:r>
        <w:rPr>
          <w:rFonts w:ascii="宋体" w:hAnsi="宋体"/>
          <w:sz w:val="24"/>
        </w:rPr>
        <w:t>投标单位承诺书 </w:t>
      </w:r>
    </w:p>
    <w:p>
      <w:pPr>
        <w:autoSpaceDE w:val="0"/>
        <w:spacing w:line="360" w:lineRule="auto"/>
        <w:ind w:firstLine="480" w:firstLineChars="200"/>
        <w:rPr>
          <w:rFonts w:ascii="宋体" w:hAnsi="宋体"/>
          <w:sz w:val="24"/>
        </w:rPr>
      </w:pPr>
      <w:r>
        <w:rPr>
          <w:rFonts w:ascii="宋体" w:hAnsi="宋体"/>
          <w:sz w:val="24"/>
        </w:rPr>
        <w:t>我公司承诺在参加本次</w:t>
      </w:r>
      <w:r>
        <w:rPr>
          <w:rFonts w:ascii="宋体" w:hAnsi="宋体"/>
          <w:sz w:val="2"/>
          <w:szCs w:val="2"/>
        </w:rPr>
        <w:t>UU</w:t>
      </w:r>
      <w:r>
        <w:rPr>
          <w:rFonts w:ascii="宋体" w:hAnsi="宋体"/>
          <w:sz w:val="24"/>
          <w:u w:val="single"/>
        </w:rPr>
        <w:t>（项目编号、项目名称、合同包号）</w:t>
      </w:r>
      <w:r>
        <w:rPr>
          <w:rFonts w:ascii="宋体" w:hAnsi="宋体"/>
          <w:sz w:val="2"/>
          <w:szCs w:val="2"/>
        </w:rPr>
        <w:t>UU</w:t>
      </w:r>
      <w:r>
        <w:rPr>
          <w:rFonts w:ascii="宋体" w:hAnsi="宋体"/>
          <w:sz w:val="24"/>
        </w:rPr>
        <w:t>投标前三年内，无以下行为：</w:t>
      </w:r>
    </w:p>
    <w:p>
      <w:pPr>
        <w:spacing w:line="360" w:lineRule="auto"/>
        <w:rPr>
          <w:rFonts w:ascii="宋体" w:hAnsi="宋体"/>
          <w:sz w:val="24"/>
        </w:rPr>
      </w:pPr>
      <w:r>
        <w:rPr>
          <w:rFonts w:ascii="宋体" w:hAnsi="宋体"/>
          <w:sz w:val="24"/>
        </w:rPr>
        <w:t xml:space="preserve">    重大违法行为；</w:t>
      </w:r>
    </w:p>
    <w:p>
      <w:pPr>
        <w:spacing w:line="360" w:lineRule="auto"/>
        <w:rPr>
          <w:rFonts w:ascii="宋体" w:hAnsi="宋体"/>
          <w:sz w:val="24"/>
        </w:rPr>
      </w:pPr>
      <w:r>
        <w:rPr>
          <w:rFonts w:ascii="宋体" w:hAnsi="宋体"/>
          <w:sz w:val="24"/>
        </w:rPr>
        <w:t xml:space="preserve">    商业贿赂行为；</w:t>
      </w:r>
    </w:p>
    <w:p>
      <w:pPr>
        <w:spacing w:line="360" w:lineRule="auto"/>
        <w:rPr>
          <w:rFonts w:ascii="宋体" w:hAnsi="宋体"/>
          <w:sz w:val="24"/>
        </w:rPr>
      </w:pPr>
      <w:r>
        <w:rPr>
          <w:rFonts w:ascii="宋体" w:hAnsi="宋体"/>
          <w:sz w:val="24"/>
        </w:rPr>
        <w:t xml:space="preserve">    政府采购法《第七十七条》，列入不良行为记录名单的各种行为；</w:t>
      </w:r>
    </w:p>
    <w:p>
      <w:pPr>
        <w:spacing w:line="360" w:lineRule="auto"/>
        <w:rPr>
          <w:rFonts w:ascii="宋体" w:hAnsi="宋体"/>
          <w:sz w:val="24"/>
        </w:rPr>
      </w:pPr>
      <w:r>
        <w:rPr>
          <w:rFonts w:ascii="宋体" w:hAnsi="宋体"/>
          <w:sz w:val="24"/>
        </w:rPr>
        <w:t xml:space="preserve">    如有上述行为，我公司及项目参与人员自愿放弃本次项目的投标、报价资格，若为预中标、成交人，也自愿放弃中标、成交资格。 </w:t>
      </w:r>
    </w:p>
    <w:p>
      <w:pPr>
        <w:spacing w:line="360" w:lineRule="auto"/>
        <w:rPr>
          <w:rFonts w:ascii="宋体" w:hAnsi="宋体"/>
          <w:sz w:val="24"/>
        </w:rPr>
      </w:pPr>
    </w:p>
    <w:p>
      <w:pPr>
        <w:pStyle w:val="34"/>
        <w:spacing w:after="0" w:line="360" w:lineRule="auto"/>
        <w:ind w:firstLine="3840" w:firstLineChars="1600"/>
        <w:rPr>
          <w:rFonts w:ascii="宋体" w:hAnsi="宋体"/>
          <w:bCs/>
          <w:sz w:val="24"/>
          <w:u w:val="single"/>
        </w:rPr>
      </w:pPr>
      <w:r>
        <w:rPr>
          <w:rFonts w:ascii="宋体" w:hAnsi="宋体"/>
          <w:bCs/>
          <w:sz w:val="24"/>
        </w:rPr>
        <w:t>投标单位：</w:t>
      </w:r>
      <w:r>
        <w:rPr>
          <w:rFonts w:ascii="宋体" w:hAnsi="宋体"/>
          <w:bCs/>
          <w:sz w:val="24"/>
          <w:u w:val="single"/>
        </w:rPr>
        <w:t xml:space="preserve">   （全称）（盖章）  </w:t>
      </w:r>
    </w:p>
    <w:p>
      <w:pPr>
        <w:pStyle w:val="34"/>
        <w:spacing w:after="0" w:line="360" w:lineRule="auto"/>
        <w:ind w:firstLine="3840" w:firstLineChars="1600"/>
        <w:rPr>
          <w:rFonts w:ascii="宋体" w:hAnsi="宋体"/>
          <w:bCs/>
          <w:sz w:val="24"/>
          <w:u w:val="single"/>
        </w:rPr>
      </w:pPr>
      <w:r>
        <w:rPr>
          <w:rFonts w:ascii="宋体" w:hAnsi="宋体"/>
          <w:bCs/>
          <w:sz w:val="24"/>
        </w:rPr>
        <w:t>法定代表人或委托代理人：</w:t>
      </w:r>
      <w:r>
        <w:rPr>
          <w:rFonts w:ascii="宋体" w:hAnsi="宋体"/>
          <w:bCs/>
          <w:sz w:val="24"/>
          <w:u w:val="single"/>
        </w:rPr>
        <w:t>（签字或盖章）</w:t>
      </w:r>
    </w:p>
    <w:p>
      <w:pPr>
        <w:pStyle w:val="34"/>
        <w:spacing w:after="0" w:line="360" w:lineRule="auto"/>
        <w:ind w:firstLine="3840" w:firstLineChars="1600"/>
        <w:rPr>
          <w:rFonts w:ascii="宋体" w:hAnsi="宋体"/>
          <w:bCs/>
          <w:sz w:val="24"/>
        </w:rPr>
      </w:pPr>
      <w:r>
        <w:rPr>
          <w:rFonts w:ascii="宋体" w:hAnsi="宋体"/>
          <w:sz w:val="24"/>
        </w:rPr>
        <w:t>日 期：</w:t>
      </w:r>
      <w:r>
        <w:rPr>
          <w:rFonts w:ascii="宋体" w:hAnsi="宋体"/>
          <w:bCs/>
          <w:sz w:val="24"/>
        </w:rPr>
        <w:t>20</w:t>
      </w:r>
      <w:r>
        <w:rPr>
          <w:rFonts w:ascii="宋体" w:hAnsi="宋体"/>
          <w:bCs/>
          <w:sz w:val="24"/>
          <w:u w:val="single"/>
        </w:rPr>
        <w:t>　　</w:t>
      </w:r>
      <w:r>
        <w:rPr>
          <w:rFonts w:ascii="宋体" w:hAnsi="宋体"/>
          <w:bCs/>
          <w:sz w:val="24"/>
        </w:rPr>
        <w:t>年</w:t>
      </w:r>
      <w:r>
        <w:rPr>
          <w:rFonts w:ascii="宋体" w:hAnsi="宋体"/>
          <w:bCs/>
          <w:sz w:val="24"/>
          <w:u w:val="single"/>
        </w:rPr>
        <w:t>　</w:t>
      </w:r>
      <w:r>
        <w:rPr>
          <w:rFonts w:ascii="宋体" w:hAnsi="宋体"/>
          <w:bCs/>
          <w:sz w:val="24"/>
        </w:rPr>
        <w:t>月</w:t>
      </w:r>
      <w:r>
        <w:rPr>
          <w:rFonts w:ascii="宋体" w:hAnsi="宋体"/>
          <w:bCs/>
          <w:sz w:val="24"/>
          <w:u w:val="single"/>
        </w:rPr>
        <w:t>　</w:t>
      </w:r>
      <w:r>
        <w:rPr>
          <w:rFonts w:ascii="宋体" w:hAnsi="宋体"/>
          <w:bCs/>
          <w:sz w:val="24"/>
        </w:rPr>
        <w:t>日</w:t>
      </w:r>
      <w:bookmarkEnd w:id="29"/>
    </w:p>
    <w:p>
      <w:pPr>
        <w:widowControl/>
        <w:jc w:val="left"/>
      </w:pPr>
      <w:r>
        <w:br w:type="page"/>
      </w:r>
    </w:p>
    <w:p>
      <w:pPr>
        <w:widowControl/>
        <w:tabs>
          <w:tab w:val="left" w:pos="3568"/>
        </w:tabs>
        <w:spacing w:before="100" w:beforeAutospacing="1" w:after="100" w:afterAutospacing="1" w:line="360" w:lineRule="auto"/>
        <w:jc w:val="center"/>
        <w:outlineLvl w:val="0"/>
        <w:rPr>
          <w:rFonts w:ascii="宋体" w:hAnsi="宋体"/>
          <w:b/>
          <w:sz w:val="30"/>
          <w:szCs w:val="30"/>
        </w:rPr>
      </w:pPr>
      <w:r>
        <w:rPr>
          <w:rFonts w:ascii="宋体" w:hAnsi="宋体"/>
          <w:b/>
          <w:sz w:val="30"/>
          <w:szCs w:val="30"/>
        </w:rPr>
        <w:t xml:space="preserve">  (</w:t>
      </w:r>
      <w:r>
        <w:rPr>
          <w:rFonts w:hint="eastAsia" w:ascii="宋体" w:hAnsi="宋体"/>
          <w:b/>
          <w:sz w:val="30"/>
          <w:szCs w:val="30"/>
        </w:rPr>
        <w:t>十四</w:t>
      </w:r>
      <w:r>
        <w:rPr>
          <w:rFonts w:ascii="宋体" w:hAnsi="宋体"/>
          <w:b/>
          <w:sz w:val="30"/>
          <w:szCs w:val="30"/>
        </w:rPr>
        <w:t xml:space="preserve">) </w:t>
      </w:r>
      <w:r>
        <w:rPr>
          <w:rFonts w:hint="eastAsia" w:ascii="宋体" w:hAnsi="宋体"/>
          <w:b/>
          <w:sz w:val="30"/>
          <w:szCs w:val="30"/>
        </w:rPr>
        <w:t>招标文件要求的其他资料或是投标人认为有利的资料</w:t>
      </w:r>
    </w:p>
    <w:sectPr>
      <w:pgSz w:w="11906" w:h="16838"/>
      <w:pgMar w:top="1644" w:right="1474" w:bottom="1531" w:left="1474" w:header="851" w:footer="794"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魏碑体">
    <w:altName w:val="宋体"/>
    <w:panose1 w:val="00000000000000000000"/>
    <w:charset w:val="86"/>
    <w:family w:val="swiss"/>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楷体_GB2312">
    <w:altName w:val="楷体"/>
    <w:panose1 w:val="00000000000000000000"/>
    <w:charset w:val="86"/>
    <w:family w:val="modern"/>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0000000000000000000"/>
    <w:charset w:val="86"/>
    <w:family w:val="modern"/>
    <w:pitch w:val="default"/>
    <w:sig w:usb0="00000000" w:usb1="00000000" w:usb2="00000010" w:usb3="00000000" w:csb0="00040000" w:csb1="00000000"/>
  </w:font>
  <w:font w:name="Arial Black">
    <w:panose1 w:val="020B0A04020102020204"/>
    <w:charset w:val="00"/>
    <w:family w:val="swiss"/>
    <w:pitch w:val="default"/>
    <w:sig w:usb0="A00002AF" w:usb1="400078FB" w:usb2="00000000" w:usb3="00000000" w:csb0="6000009F" w:csb1="DFD70000"/>
  </w:font>
  <w:font w:name="公文小标宋简">
    <w:altName w:val="宋体"/>
    <w:panose1 w:val="00000000000000000000"/>
    <w:charset w:val="00"/>
    <w:family w:val="auto"/>
    <w:pitch w:val="default"/>
    <w:sig w:usb0="00000000" w:usb1="00000000" w:usb2="00000000" w:usb3="00000000" w:csb0="00040001" w:csb1="00000000"/>
  </w:font>
  <w:font w:name="Tms Rmn">
    <w:altName w:val="Segoe Print"/>
    <w:panose1 w:val="02020603040505020304"/>
    <w:charset w:val="00"/>
    <w:family w:val="roman"/>
    <w:pitch w:val="default"/>
    <w:sig w:usb0="00000000" w:usb1="00000000" w:usb2="00000000" w:usb3="00000000" w:csb0="00000001" w:csb1="00000000"/>
  </w:font>
  <w:font w:name="Arial Unicode MS">
    <w:altName w:val="宋体"/>
    <w:panose1 w:val="020B0604020202020204"/>
    <w:charset w:val="86"/>
    <w:family w:val="swiss"/>
    <w:pitch w:val="default"/>
    <w:sig w:usb0="00000000" w:usb1="00000000" w:usb2="0000003F" w:usb3="00000000" w:csb0="603F01FF" w:csb1="FFFF0000"/>
  </w:font>
  <w:font w:name="Cambria">
    <w:panose1 w:val="02040503050406030204"/>
    <w:charset w:val="00"/>
    <w:family w:val="roman"/>
    <w:pitch w:val="default"/>
    <w:sig w:usb0="E00006FF" w:usb1="420024FF" w:usb2="02000000" w:usb3="00000000" w:csb0="2000019F" w:csb1="00000000"/>
  </w:font>
  <w:font w:name="Footlight MT Light">
    <w:altName w:val="Segoe Print"/>
    <w:panose1 w:val="0204060206030A020304"/>
    <w:charset w:val="00"/>
    <w:family w:val="roman"/>
    <w:pitch w:val="default"/>
    <w:sig w:usb0="00000000" w:usb1="00000000" w:usb2="00000000" w:usb3="00000000" w:csb0="20000001" w:csb1="00000000"/>
  </w:font>
  <w:font w:name="宋体-方正超大字符集">
    <w:altName w:val="宋体"/>
    <w:panose1 w:val="00000000000000000000"/>
    <w:charset w:val="86"/>
    <w:family w:val="script"/>
    <w:pitch w:val="default"/>
    <w:sig w:usb0="00000000" w:usb1="00000000" w:usb2="00000010" w:usb3="00000000" w:csb0="00040000" w:csb1="00000000"/>
  </w:font>
  <w:font w:name="华文彩云">
    <w:altName w:val="微软雅黑"/>
    <w:panose1 w:val="02010800040101010101"/>
    <w:charset w:val="86"/>
    <w:family w:val="auto"/>
    <w:pitch w:val="default"/>
    <w:sig w:usb0="00000000" w:usb1="00000000" w:usb2="00000000" w:usb3="00000000" w:csb0="00040000" w:csb1="00000000"/>
  </w:font>
  <w:font w:name="Century">
    <w:altName w:val="Times New Roman"/>
    <w:panose1 w:val="02040604050505020304"/>
    <w:charset w:val="00"/>
    <w:family w:val="roman"/>
    <w:pitch w:val="default"/>
    <w:sig w:usb0="00000000" w:usb1="00000000" w:usb2="00000000" w:usb3="00000000" w:csb0="2000009F" w:csb1="DFD70000"/>
  </w:font>
  <w:font w:name="ˎ̥">
    <w:altName w:val="Times New Roman"/>
    <w:panose1 w:val="00000000000000000000"/>
    <w:charset w:val="00"/>
    <w:family w:val="roman"/>
    <w:pitch w:val="default"/>
    <w:sig w:usb0="00000000" w:usb1="00000000" w:usb2="00000000" w:usb3="00000000" w:csb0="00040001" w:csb1="00000000"/>
  </w:font>
  <w:font w:name="??">
    <w:altName w:val="Times New Roman"/>
    <w:panose1 w:val="00000000000000000000"/>
    <w:charset w:val="00"/>
    <w:family w:val="auto"/>
    <w:pitch w:val="default"/>
    <w:sig w:usb0="00000000" w:usb1="00000000" w:usb2="00000000" w:usb3="00000000" w:csb0="00000001" w:csb1="00000000"/>
  </w:font>
  <w:font w:name="Univers LT Std 45 Light">
    <w:altName w:val="微软雅黑"/>
    <w:panose1 w:val="00000000000000000000"/>
    <w:charset w:val="00"/>
    <w:family w:val="auto"/>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framePr w:wrap="around" w:vAnchor="text" w:hAnchor="margin" w:xAlign="center" w:y="1"/>
      <w:rPr>
        <w:rStyle w:val="93"/>
      </w:rPr>
    </w:pPr>
    <w:r>
      <w:fldChar w:fldCharType="begin"/>
    </w:r>
    <w:r>
      <w:rPr>
        <w:rStyle w:val="93"/>
      </w:rPr>
      <w:instrText xml:space="preserve">PAGE  </w:instrText>
    </w:r>
    <w:r>
      <w:fldChar w:fldCharType="separate"/>
    </w:r>
    <w:r>
      <w:rPr>
        <w:rStyle w:val="93"/>
      </w:rPr>
      <w:t>17</w:t>
    </w:r>
    <w:r>
      <w:fldChar w:fldCharType="end"/>
    </w:r>
  </w:p>
  <w:p>
    <w:pPr>
      <w:pStyle w:val="55"/>
      <w:ind w:right="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53035"/>
              <wp:effectExtent l="0" t="0" r="0" b="0"/>
              <wp:wrapNone/>
              <wp:docPr id="2" name="文本框 1026"/>
              <wp:cNvGraphicFramePr/>
              <a:graphic xmlns:a="http://schemas.openxmlformats.org/drawingml/2006/main">
                <a:graphicData uri="http://schemas.microsoft.com/office/word/2010/wordprocessingShape">
                  <wps:wsp>
                    <wps:cNvSpPr txBox="1"/>
                    <wps:spPr>
                      <a:xfrm>
                        <a:off x="0" y="0"/>
                        <a:ext cx="114935" cy="153035"/>
                      </a:xfrm>
                      <a:prstGeom prst="rect">
                        <a:avLst/>
                      </a:prstGeom>
                      <a:noFill/>
                      <a:ln w="15875">
                        <a:noFill/>
                      </a:ln>
                    </wps:spPr>
                    <wps:txbx>
                      <w:txbxContent>
                        <w:p/>
                      </w:txbxContent>
                    </wps:txbx>
                    <wps:bodyPr wrap="none" lIns="0" tIns="0" rIns="0" bIns="0" upright="1">
                      <a:spAutoFit/>
                    </wps:bodyPr>
                  </wps:wsp>
                </a:graphicData>
              </a:graphic>
            </wp:anchor>
          </w:drawing>
        </mc:Choice>
        <mc:Fallback>
          <w:pict>
            <v:shape id="文本框 1026" o:spid="_x0000_s1026" o:spt="202" type="#_x0000_t202" style="position:absolute;left:0pt;margin-top:0pt;height:12.05pt;width:9.05pt;mso-position-horizontal:center;mso-position-horizontal-relative:margin;mso-wrap-style:none;z-index:251659264;mso-width-relative:page;mso-height-relative:page;" filled="f" stroked="f" coordsize="21600,21600" o:gfxdata="UEsDBAoAAAAAAIdO4kAAAAAAAAAAAAAAAAAEAAAAZHJzL1BLAwQUAAAACACHTuJACuz2U9QAAAAD&#10;AQAADwAAAGRycy9kb3ducmV2LnhtbE2PQUvDQBCF70L/wzIFL8XuppQSYyYFhd4UbBW8brNjkpqd&#10;DbvbtPrr3Xqpl4HHe7z3Tbk+216M5EPnGCGbKxDEtTMdNwjvb5u7HESImo3uHRPCNwVYV5ObUhfG&#10;nXhL4y42IpVwKDRCG+NQSBnqlqwOczcQJ+/Teatjkr6RxutTKre9XCi1klZ3nBZaPdBTS/XX7mgR&#10;Pp5/iLb542w2Lg8Hrzb3r7V8QbydZuoBRKRzvIbhgp/QoUpMe3dkE0SPkB6Jf/fi5RmIPcJimYGs&#10;SvmfvfoFUEsDBBQAAAAIAIdO4kC6ORQd1wEAAKQDAAAOAAAAZHJzL2Uyb0RvYy54bWytU82O0zAQ&#10;viPxDpbvNEmXLkvUdAWqFiEhQFp4ANexG0v+k8dt0heAN+DEhTvP1edg7CRdtFz2wMUZe2a+me+b&#10;yfp2MJocRQDlbEOrRUmJsNy1yu4b+vXL3YsbSiAy2zLtrGjoSQC93Tx/tu59LZauc7oVgSCIhbr3&#10;De1i9HVRAO+EYbBwXlh0ShcMi3gN+6INrEd0o4tlWV4XvQutD44LAHzdjk46IYanADopFRdbxw9G&#10;2DiiBqFZRErQKQ90k7uVUvD4SUoQkeiGItOYTyyC9i6dxWbN6n1gvlN8aoE9pYVHnAxTFoteoLYs&#10;MnII6h8oo3hw4GRccGeKkUhWBFlU5SNt7jvmReaCUoO/iA7/D5Z/PH4ORLUNXVJimcGBn398P//8&#10;ff71jVTl8jop1HuoMfDeY2gc3roB92Z+B3xMxAcZTPoiJYJ+1Pd00VcMkfCUVL18fbWihKOrWl2V&#10;aCN68ZDsA8R3whmSjIYGHF9WlR0/QBxD55BUy7o7pXUeobakT6A3r1Y54+JCdG2xSOIw9pqsOOyG&#10;idjOtSfk1eMONNTiylOi31uUOK3LbITZ2M3GwQe177DJKtcD/+YQsZ3cZaowwk6FcXiZ57RoaTv+&#10;vueoh59r8w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AK7PZT1AAAAAMBAAAPAAAAAAAAAAEAIAAA&#10;ACIAAABkcnMvZG93bnJldi54bWxQSwECFAAUAAAACACHTuJAujkUHdcBAACkAwAADgAAAAAAAAAB&#10;ACAAAAAjAQAAZHJzL2Uyb0RvYy54bWxQSwUGAAAAAAYABgBZAQAAbAUAAAAA&#10;">
              <v:fill on="f" focussize="0,0"/>
              <v:stroke on="f" weight="1.25pt"/>
              <v:imagedata o:title=""/>
              <o:lock v:ext="edit" aspectratio="f"/>
              <v:textbox inset="0mm,0mm,0mm,0mm" style="mso-fit-shape-to-text:t;">
                <w:txbxContent>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framePr w:wrap="around" w:vAnchor="text" w:hAnchor="margin" w:xAlign="center" w:y="1"/>
      <w:rPr>
        <w:rStyle w:val="93"/>
      </w:rPr>
    </w:pPr>
    <w:r>
      <w:fldChar w:fldCharType="begin"/>
    </w:r>
    <w:r>
      <w:rPr>
        <w:rStyle w:val="93"/>
      </w:rPr>
      <w:instrText xml:space="preserve">PAGE  </w:instrText>
    </w:r>
    <w:r>
      <w:fldChar w:fldCharType="end"/>
    </w:r>
  </w:p>
  <w:p>
    <w:pPr>
      <w:pStyle w:val="55"/>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53035"/>
              <wp:effectExtent l="0" t="0" r="0" b="0"/>
              <wp:wrapNone/>
              <wp:docPr id="1" name="文本框 1025"/>
              <wp:cNvGraphicFramePr/>
              <a:graphic xmlns:a="http://schemas.openxmlformats.org/drawingml/2006/main">
                <a:graphicData uri="http://schemas.microsoft.com/office/word/2010/wordprocessingShape">
                  <wps:wsp>
                    <wps:cNvSpPr txBox="1"/>
                    <wps:spPr>
                      <a:xfrm>
                        <a:off x="0" y="0"/>
                        <a:ext cx="114935" cy="153035"/>
                      </a:xfrm>
                      <a:prstGeom prst="rect">
                        <a:avLst/>
                      </a:prstGeom>
                      <a:noFill/>
                      <a:ln w="15875">
                        <a:noFill/>
                      </a:ln>
                    </wps:spPr>
                    <wps:txbx>
                      <w:txbxContent>
                        <w:p/>
                      </w:txbxContent>
                    </wps:txbx>
                    <wps:bodyPr wrap="none" lIns="0" tIns="0" rIns="0" bIns="0" upright="1">
                      <a:spAutoFit/>
                    </wps:bodyPr>
                  </wps:wsp>
                </a:graphicData>
              </a:graphic>
            </wp:anchor>
          </w:drawing>
        </mc:Choice>
        <mc:Fallback>
          <w:pict>
            <v:shape id="文本框 1025" o:spid="_x0000_s1026" o:spt="202" type="#_x0000_t202" style="position:absolute;left:0pt;margin-top:0pt;height:12.05pt;width:9.05pt;mso-position-horizontal:center;mso-position-horizontal-relative:margin;mso-wrap-style:none;z-index:251660288;mso-width-relative:page;mso-height-relative:page;" filled="f" stroked="f" coordsize="21600,21600" o:gfxdata="UEsDBAoAAAAAAIdO4kAAAAAAAAAAAAAAAAAEAAAAZHJzL1BLAwQUAAAACACHTuJACuz2U9QAAAAD&#10;AQAADwAAAGRycy9kb3ducmV2LnhtbE2PQUvDQBCF70L/wzIFL8XuppQSYyYFhd4UbBW8brNjkpqd&#10;DbvbtPrr3Xqpl4HHe7z3Tbk+216M5EPnGCGbKxDEtTMdNwjvb5u7HESImo3uHRPCNwVYV5ObUhfG&#10;nXhL4y42IpVwKDRCG+NQSBnqlqwOczcQJ+/Teatjkr6RxutTKre9XCi1klZ3nBZaPdBTS/XX7mgR&#10;Pp5/iLb542w2Lg8Hrzb3r7V8QbydZuoBRKRzvIbhgp/QoUpMe3dkE0SPkB6Jf/fi5RmIPcJimYGs&#10;SvmfvfoFUEsDBBQAAAAIAIdO4kCnWq261wEAAKQDAAAOAAAAZHJzL2Uyb0RvYy54bWytU0tu2zAQ&#10;3RfoHQjua0lO3aaC5aCFkaJA0QZIegCaIi0C/IFDW/IFkht01U33PZfPkSElO0W6yaIbajifN/Me&#10;R8urwWiyFwGUsw2tZiUlwnLXKrtt6I+76zeXlEBktmXaWdHQgwB6tXr9atn7Wsxd53QrAkEQC3Xv&#10;G9rF6OuiAN4Jw2DmvLAYlC4YFvEatkUbWI/oRhfzsnxX9C60PjguANC7HoN0QgwvAXRSKi7Wju+M&#10;sHFEDUKziJSgUx7oKk8rpeDxu5QgItENRaYxn9gE7U06i9WS1dvAfKf4NAJ7yQjPOBmmLDY9Q61Z&#10;ZGQX1D9QRvHgwMk4484UI5GsCLKoymfa3HbMi8wFpQZ/Fh3+Hyz/tr8JRLW4CZRYZvDBjz8fjr/+&#10;HH/fk6qcL5JCvYcaE289psbhkxtS9uQHdCbigwwmfZESwTjqezjrK4ZIeCqq3n64WFDCMVQtLkq0&#10;EaV4KvYB4mfhDElGQwM+X1aV7b9CHFNPKamXdddKa/SzWlvSJ9DL94tccQ4hurbYJHEYZ01WHDbD&#10;RGDj2gPy6nEHGmpx5SnRXyxKnNblZISTsTkZOx/UtsMhq9wP/MddxHHylKnDCDs1xsfLPKdFS9vx&#10;9z1nPf1cq0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AK7PZT1AAAAAMBAAAPAAAAAAAAAAEAIAAA&#10;ACIAAABkcnMvZG93bnJldi54bWxQSwECFAAUAAAACACHTuJAp1qtutcBAACkAwAADgAAAAAAAAAB&#10;ACAAAAAjAQAAZHJzL2Uyb0RvYy54bWxQSwUGAAAAAAYABgBZAQAAbAUAAAAA&#10;">
              <v:fill on="f" focussize="0,0"/>
              <v:stroke on="f" weight="1.25pt"/>
              <v:imagedata o:title=""/>
              <o:lock v:ext="edit" aspectratio="f"/>
              <v:textbox inset="0mm,0mm,0mm,0mm" style="mso-fit-shape-to-text:t;">
                <w:txbxContent>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437990"/>
      <w:docPartObj>
        <w:docPartGallery w:val="autotext"/>
      </w:docPartObj>
    </w:sdtPr>
    <w:sdtContent>
      <w:p>
        <w:pPr>
          <w:pStyle w:val="55"/>
          <w:jc w:val="center"/>
        </w:pPr>
        <w:r>
          <w:fldChar w:fldCharType="begin"/>
        </w:r>
        <w:r>
          <w:instrText xml:space="preserve">PAGE   \* MERGEFORMAT</w:instrText>
        </w:r>
        <w:r>
          <w:fldChar w:fldCharType="separate"/>
        </w:r>
        <w:r>
          <w:rPr>
            <w:lang w:val="zh-CN"/>
          </w:rPr>
          <w:t>2</w:t>
        </w:r>
        <w:r>
          <w:fldChar w:fldCharType="end"/>
        </w:r>
      </w:p>
    </w:sdtContent>
  </w:sdt>
  <w:p>
    <w:pPr>
      <w:pStyle w:val="55"/>
      <w:ind w:right="360"/>
      <w:jc w:val="right"/>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437990"/>
      <w:docPartObj>
        <w:docPartGallery w:val="autotext"/>
      </w:docPartObj>
    </w:sdtPr>
    <w:sdtContent>
      <w:p>
        <w:pPr>
          <w:pStyle w:val="55"/>
          <w:jc w:val="center"/>
        </w:pPr>
        <w:r>
          <w:fldChar w:fldCharType="begin"/>
        </w:r>
        <w:r>
          <w:instrText xml:space="preserve">PAGE   \* MERGEFORMAT</w:instrText>
        </w:r>
        <w:r>
          <w:fldChar w:fldCharType="separate"/>
        </w:r>
        <w:r>
          <w:rPr>
            <w:lang w:val="zh-CN"/>
          </w:rPr>
          <w:t>2</w:t>
        </w:r>
        <w:r>
          <w:fldChar w:fldCharType="end"/>
        </w:r>
      </w:p>
    </w:sdtContent>
  </w:sdt>
  <w:p>
    <w:pPr>
      <w:pStyle w:val="55"/>
      <w:ind w:right="360"/>
      <w:jc w:val="right"/>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7"/>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7"/>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rPr>
        <w:sz w:val="24"/>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rPr>
        <w:sz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EE00623"/>
    <w:multiLevelType w:val="singleLevel"/>
    <w:tmpl w:val="EEE00623"/>
    <w:lvl w:ilvl="0" w:tentative="0">
      <w:start w:val="1"/>
      <w:numFmt w:val="decimal"/>
      <w:suff w:val="nothing"/>
      <w:lvlText w:val="%1、"/>
      <w:lvlJc w:val="left"/>
    </w:lvl>
  </w:abstractNum>
  <w:abstractNum w:abstractNumId="1">
    <w:nsid w:val="FFFFFF7C"/>
    <w:multiLevelType w:val="singleLevel"/>
    <w:tmpl w:val="FFFFFF7C"/>
    <w:lvl w:ilvl="0" w:tentative="0">
      <w:start w:val="1"/>
      <w:numFmt w:val="decimal"/>
      <w:pStyle w:val="65"/>
      <w:lvlText w:val="%1."/>
      <w:lvlJc w:val="left"/>
      <w:pPr>
        <w:tabs>
          <w:tab w:val="left" w:pos="2040"/>
        </w:tabs>
        <w:ind w:left="2040" w:hanging="360"/>
      </w:pPr>
    </w:lvl>
  </w:abstractNum>
  <w:abstractNum w:abstractNumId="2">
    <w:nsid w:val="FFFFFF7D"/>
    <w:multiLevelType w:val="singleLevel"/>
    <w:tmpl w:val="FFFFFF7D"/>
    <w:lvl w:ilvl="0" w:tentative="0">
      <w:start w:val="1"/>
      <w:numFmt w:val="decimal"/>
      <w:pStyle w:val="47"/>
      <w:lvlText w:val="%1."/>
      <w:lvlJc w:val="left"/>
      <w:pPr>
        <w:tabs>
          <w:tab w:val="left" w:pos="1620"/>
        </w:tabs>
        <w:ind w:left="1620" w:hanging="360"/>
      </w:pPr>
    </w:lvl>
  </w:abstractNum>
  <w:abstractNum w:abstractNumId="3">
    <w:nsid w:val="FFFFFF7E"/>
    <w:multiLevelType w:val="singleLevel"/>
    <w:tmpl w:val="FFFFFF7E"/>
    <w:lvl w:ilvl="0" w:tentative="0">
      <w:start w:val="1"/>
      <w:numFmt w:val="decimal"/>
      <w:pStyle w:val="36"/>
      <w:lvlText w:val="%1."/>
      <w:lvlJc w:val="left"/>
      <w:pPr>
        <w:tabs>
          <w:tab w:val="left" w:pos="1200"/>
        </w:tabs>
        <w:ind w:left="1200" w:hanging="360"/>
      </w:pPr>
    </w:lvl>
  </w:abstractNum>
  <w:abstractNum w:abstractNumId="4">
    <w:nsid w:val="FFFFFF7F"/>
    <w:multiLevelType w:val="singleLevel"/>
    <w:tmpl w:val="FFFFFF7F"/>
    <w:lvl w:ilvl="0" w:tentative="0">
      <w:start w:val="1"/>
      <w:numFmt w:val="decimal"/>
      <w:pStyle w:val="14"/>
      <w:lvlText w:val="%1."/>
      <w:lvlJc w:val="left"/>
      <w:pPr>
        <w:tabs>
          <w:tab w:val="left" w:pos="780"/>
        </w:tabs>
        <w:ind w:left="780" w:hanging="360"/>
      </w:pPr>
    </w:lvl>
  </w:abstractNum>
  <w:abstractNum w:abstractNumId="5">
    <w:nsid w:val="FFFFFF80"/>
    <w:multiLevelType w:val="singleLevel"/>
    <w:tmpl w:val="FFFFFF80"/>
    <w:lvl w:ilvl="0" w:tentative="0">
      <w:start w:val="1"/>
      <w:numFmt w:val="bullet"/>
      <w:pStyle w:val="46"/>
      <w:lvlText w:val=""/>
      <w:lvlJc w:val="left"/>
      <w:pPr>
        <w:tabs>
          <w:tab w:val="left" w:pos="2040"/>
        </w:tabs>
        <w:ind w:left="2040" w:hanging="360"/>
      </w:pPr>
      <w:rPr>
        <w:rFonts w:hint="default" w:ascii="Wingdings" w:hAnsi="Wingdings"/>
      </w:rPr>
    </w:lvl>
  </w:abstractNum>
  <w:abstractNum w:abstractNumId="6">
    <w:nsid w:val="FFFFFF81"/>
    <w:multiLevelType w:val="singleLevel"/>
    <w:tmpl w:val="FFFFFF81"/>
    <w:lvl w:ilvl="0" w:tentative="0">
      <w:start w:val="1"/>
      <w:numFmt w:val="bullet"/>
      <w:pStyle w:val="17"/>
      <w:lvlText w:val=""/>
      <w:lvlJc w:val="left"/>
      <w:pPr>
        <w:tabs>
          <w:tab w:val="left" w:pos="1620"/>
        </w:tabs>
        <w:ind w:left="1620" w:hanging="360"/>
      </w:pPr>
      <w:rPr>
        <w:rFonts w:hint="default" w:ascii="Wingdings" w:hAnsi="Wingdings"/>
      </w:rPr>
    </w:lvl>
  </w:abstractNum>
  <w:abstractNum w:abstractNumId="7">
    <w:nsid w:val="FFFFFF82"/>
    <w:multiLevelType w:val="singleLevel"/>
    <w:tmpl w:val="FFFFFF82"/>
    <w:lvl w:ilvl="0" w:tentative="0">
      <w:start w:val="1"/>
      <w:numFmt w:val="bullet"/>
      <w:pStyle w:val="33"/>
      <w:lvlText w:val=""/>
      <w:lvlJc w:val="left"/>
      <w:pPr>
        <w:tabs>
          <w:tab w:val="left" w:pos="1200"/>
        </w:tabs>
        <w:ind w:left="120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4"/>
      <w:lvlText w:val=""/>
      <w:lvlJc w:val="left"/>
      <w:pPr>
        <w:tabs>
          <w:tab w:val="left" w:pos="360"/>
        </w:tabs>
        <w:ind w:left="360" w:hanging="360"/>
      </w:pPr>
      <w:rPr>
        <w:rFonts w:hint="default" w:ascii="Wingdings" w:hAnsi="Wingdings"/>
      </w:rPr>
    </w:lvl>
  </w:abstractNum>
  <w:abstractNum w:abstractNumId="10">
    <w:nsid w:val="2B10DEFA"/>
    <w:multiLevelType w:val="singleLevel"/>
    <w:tmpl w:val="2B10DEFA"/>
    <w:lvl w:ilvl="0" w:tentative="0">
      <w:start w:val="1"/>
      <w:numFmt w:val="decimal"/>
      <w:lvlText w:val="%1."/>
      <w:lvlJc w:val="left"/>
      <w:pPr>
        <w:tabs>
          <w:tab w:val="left" w:pos="312"/>
        </w:tabs>
      </w:pPr>
    </w:lvl>
  </w:abstractNum>
  <w:abstractNum w:abstractNumId="11">
    <w:nsid w:val="5A720C63"/>
    <w:multiLevelType w:val="singleLevel"/>
    <w:tmpl w:val="5A720C63"/>
    <w:lvl w:ilvl="0" w:tentative="0">
      <w:start w:val="1"/>
      <w:numFmt w:val="decimal"/>
      <w:suff w:val="nothing"/>
      <w:lvlText w:val="%1、"/>
      <w:lvlJc w:val="left"/>
    </w:lvl>
  </w:abstractNum>
  <w:abstractNum w:abstractNumId="12">
    <w:nsid w:val="5EE12C8E"/>
    <w:multiLevelType w:val="multilevel"/>
    <w:tmpl w:val="5EE12C8E"/>
    <w:lvl w:ilvl="0" w:tentative="0">
      <w:start w:val="1"/>
      <w:numFmt w:val="chineseCountingThousand"/>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3">
    <w:nsid w:val="654F48E9"/>
    <w:multiLevelType w:val="singleLevel"/>
    <w:tmpl w:val="654F48E9"/>
    <w:lvl w:ilvl="0" w:tentative="0">
      <w:start w:val="1"/>
      <w:numFmt w:val="decimal"/>
      <w:suff w:val="nothing"/>
      <w:lvlText w:val="%1、"/>
      <w:lvlJc w:val="left"/>
    </w:lvl>
  </w:abstractNum>
  <w:abstractNum w:abstractNumId="14">
    <w:nsid w:val="72F6B28D"/>
    <w:multiLevelType w:val="singleLevel"/>
    <w:tmpl w:val="72F6B28D"/>
    <w:lvl w:ilvl="0" w:tentative="0">
      <w:start w:val="7"/>
      <w:numFmt w:val="chineseCounting"/>
      <w:suff w:val="nothing"/>
      <w:lvlText w:val="%1、"/>
      <w:lvlJc w:val="left"/>
      <w:rPr>
        <w:rFonts w:hint="eastAsia"/>
      </w:rPr>
    </w:lvl>
  </w:abstractNum>
  <w:abstractNum w:abstractNumId="15">
    <w:nsid w:val="7454124B"/>
    <w:multiLevelType w:val="singleLevel"/>
    <w:tmpl w:val="7454124B"/>
    <w:lvl w:ilvl="0" w:tentative="0">
      <w:start w:val="2"/>
      <w:numFmt w:val="decimal"/>
      <w:suff w:val="space"/>
      <w:lvlText w:val="%1."/>
      <w:lvlJc w:val="left"/>
      <w:pPr>
        <w:ind w:left="420" w:firstLine="0"/>
      </w:pPr>
    </w:lvl>
  </w:abstractNum>
  <w:abstractNum w:abstractNumId="16">
    <w:nsid w:val="7E48569F"/>
    <w:multiLevelType w:val="singleLevel"/>
    <w:tmpl w:val="7E48569F"/>
    <w:lvl w:ilvl="0" w:tentative="0">
      <w:start w:val="1"/>
      <w:numFmt w:val="decimal"/>
      <w:suff w:val="nothing"/>
      <w:lvlText w:val="%1、"/>
      <w:lvlJc w:val="left"/>
    </w:lvl>
  </w:abstractNum>
  <w:num w:numId="1">
    <w:abstractNumId w:val="4"/>
  </w:num>
  <w:num w:numId="2">
    <w:abstractNumId w:val="6"/>
  </w:num>
  <w:num w:numId="3">
    <w:abstractNumId w:val="8"/>
  </w:num>
  <w:num w:numId="4">
    <w:abstractNumId w:val="9"/>
  </w:num>
  <w:num w:numId="5">
    <w:abstractNumId w:val="7"/>
  </w:num>
  <w:num w:numId="6">
    <w:abstractNumId w:val="3"/>
  </w:num>
  <w:num w:numId="7">
    <w:abstractNumId w:val="5"/>
  </w:num>
  <w:num w:numId="8">
    <w:abstractNumId w:val="2"/>
  </w:num>
  <w:num w:numId="9">
    <w:abstractNumId w:val="1"/>
  </w:num>
  <w:num w:numId="10">
    <w:abstractNumId w:val="14"/>
  </w:num>
  <w:num w:numId="11">
    <w:abstractNumId w:val="12"/>
  </w:num>
  <w:num w:numId="12">
    <w:abstractNumId w:val="0"/>
  </w:num>
  <w:num w:numId="13">
    <w:abstractNumId w:val="16"/>
  </w:num>
  <w:num w:numId="14">
    <w:abstractNumId w:val="13"/>
  </w:num>
  <w:num w:numId="15">
    <w:abstractNumId w:val="11"/>
  </w:num>
  <w:num w:numId="16">
    <w:abstractNumId w:val="10"/>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mZjMmFhZmU4N2NhYjc2YTZjNzEyNWRmYTVmMzY0Y2YifQ=="/>
  </w:docVars>
  <w:rsids>
    <w:rsidRoot w:val="00172A27"/>
    <w:rsid w:val="00000551"/>
    <w:rsid w:val="0000192E"/>
    <w:rsid w:val="000022C8"/>
    <w:rsid w:val="00002349"/>
    <w:rsid w:val="00002706"/>
    <w:rsid w:val="00002A0A"/>
    <w:rsid w:val="00003672"/>
    <w:rsid w:val="00003939"/>
    <w:rsid w:val="000043C6"/>
    <w:rsid w:val="00005184"/>
    <w:rsid w:val="000053C3"/>
    <w:rsid w:val="00005965"/>
    <w:rsid w:val="0000603F"/>
    <w:rsid w:val="0000685D"/>
    <w:rsid w:val="000107E0"/>
    <w:rsid w:val="000124DC"/>
    <w:rsid w:val="000134A2"/>
    <w:rsid w:val="000149AA"/>
    <w:rsid w:val="00014D9A"/>
    <w:rsid w:val="00015105"/>
    <w:rsid w:val="00015B2A"/>
    <w:rsid w:val="00015C71"/>
    <w:rsid w:val="00016325"/>
    <w:rsid w:val="0002025C"/>
    <w:rsid w:val="00020918"/>
    <w:rsid w:val="00020937"/>
    <w:rsid w:val="00020B9B"/>
    <w:rsid w:val="0002117A"/>
    <w:rsid w:val="00021769"/>
    <w:rsid w:val="000221F2"/>
    <w:rsid w:val="00022659"/>
    <w:rsid w:val="00022976"/>
    <w:rsid w:val="00027562"/>
    <w:rsid w:val="000279E6"/>
    <w:rsid w:val="00027B17"/>
    <w:rsid w:val="00027DAA"/>
    <w:rsid w:val="0003032B"/>
    <w:rsid w:val="00030AFB"/>
    <w:rsid w:val="000310FB"/>
    <w:rsid w:val="000320F1"/>
    <w:rsid w:val="00033571"/>
    <w:rsid w:val="000339B2"/>
    <w:rsid w:val="00033BAF"/>
    <w:rsid w:val="00033E86"/>
    <w:rsid w:val="00034C72"/>
    <w:rsid w:val="00035630"/>
    <w:rsid w:val="000364BA"/>
    <w:rsid w:val="00036F28"/>
    <w:rsid w:val="000373CC"/>
    <w:rsid w:val="000375BA"/>
    <w:rsid w:val="00040674"/>
    <w:rsid w:val="00042B52"/>
    <w:rsid w:val="00042B6A"/>
    <w:rsid w:val="00042D98"/>
    <w:rsid w:val="000433DA"/>
    <w:rsid w:val="000439A0"/>
    <w:rsid w:val="00043C57"/>
    <w:rsid w:val="00043D3D"/>
    <w:rsid w:val="000450BE"/>
    <w:rsid w:val="00045221"/>
    <w:rsid w:val="00045677"/>
    <w:rsid w:val="000457E7"/>
    <w:rsid w:val="00045832"/>
    <w:rsid w:val="00046404"/>
    <w:rsid w:val="00046893"/>
    <w:rsid w:val="00046B66"/>
    <w:rsid w:val="00046E18"/>
    <w:rsid w:val="0004711B"/>
    <w:rsid w:val="000475FE"/>
    <w:rsid w:val="00047BEB"/>
    <w:rsid w:val="0005000E"/>
    <w:rsid w:val="00054225"/>
    <w:rsid w:val="0005471D"/>
    <w:rsid w:val="00054A23"/>
    <w:rsid w:val="00054FB0"/>
    <w:rsid w:val="000551FF"/>
    <w:rsid w:val="00055208"/>
    <w:rsid w:val="00055D42"/>
    <w:rsid w:val="0005659F"/>
    <w:rsid w:val="00057C62"/>
    <w:rsid w:val="00060D26"/>
    <w:rsid w:val="0006384C"/>
    <w:rsid w:val="00063AFC"/>
    <w:rsid w:val="000640CB"/>
    <w:rsid w:val="00064967"/>
    <w:rsid w:val="000655AE"/>
    <w:rsid w:val="0006562D"/>
    <w:rsid w:val="0006673C"/>
    <w:rsid w:val="00070386"/>
    <w:rsid w:val="0007069E"/>
    <w:rsid w:val="00072EB4"/>
    <w:rsid w:val="00073199"/>
    <w:rsid w:val="000732A3"/>
    <w:rsid w:val="00073745"/>
    <w:rsid w:val="00073844"/>
    <w:rsid w:val="00073B03"/>
    <w:rsid w:val="00077573"/>
    <w:rsid w:val="00077C06"/>
    <w:rsid w:val="00077DE8"/>
    <w:rsid w:val="00077E15"/>
    <w:rsid w:val="0008196F"/>
    <w:rsid w:val="000823D0"/>
    <w:rsid w:val="00082C96"/>
    <w:rsid w:val="0008342E"/>
    <w:rsid w:val="000836FD"/>
    <w:rsid w:val="00083955"/>
    <w:rsid w:val="000848A3"/>
    <w:rsid w:val="00084F04"/>
    <w:rsid w:val="000858F4"/>
    <w:rsid w:val="000861A4"/>
    <w:rsid w:val="000864D8"/>
    <w:rsid w:val="0008702B"/>
    <w:rsid w:val="0009078B"/>
    <w:rsid w:val="00090D91"/>
    <w:rsid w:val="00094070"/>
    <w:rsid w:val="00094B80"/>
    <w:rsid w:val="000950AD"/>
    <w:rsid w:val="000977E5"/>
    <w:rsid w:val="00097B46"/>
    <w:rsid w:val="00097C6F"/>
    <w:rsid w:val="00097E1E"/>
    <w:rsid w:val="00097E1F"/>
    <w:rsid w:val="000A0A66"/>
    <w:rsid w:val="000A0F59"/>
    <w:rsid w:val="000A1E2B"/>
    <w:rsid w:val="000A2455"/>
    <w:rsid w:val="000A3228"/>
    <w:rsid w:val="000A39FD"/>
    <w:rsid w:val="000A3D02"/>
    <w:rsid w:val="000A5EC0"/>
    <w:rsid w:val="000A6A92"/>
    <w:rsid w:val="000A7CE1"/>
    <w:rsid w:val="000A7D57"/>
    <w:rsid w:val="000B1086"/>
    <w:rsid w:val="000B28E9"/>
    <w:rsid w:val="000B3636"/>
    <w:rsid w:val="000B381B"/>
    <w:rsid w:val="000B4AD7"/>
    <w:rsid w:val="000B4CFD"/>
    <w:rsid w:val="000B5048"/>
    <w:rsid w:val="000B5D7A"/>
    <w:rsid w:val="000B6263"/>
    <w:rsid w:val="000B630A"/>
    <w:rsid w:val="000B70AB"/>
    <w:rsid w:val="000B7392"/>
    <w:rsid w:val="000B743F"/>
    <w:rsid w:val="000B775E"/>
    <w:rsid w:val="000C0695"/>
    <w:rsid w:val="000C06CE"/>
    <w:rsid w:val="000C0B44"/>
    <w:rsid w:val="000C0ED7"/>
    <w:rsid w:val="000C1B20"/>
    <w:rsid w:val="000C21E2"/>
    <w:rsid w:val="000C28E7"/>
    <w:rsid w:val="000C39D7"/>
    <w:rsid w:val="000C3BFB"/>
    <w:rsid w:val="000C3D7C"/>
    <w:rsid w:val="000C4692"/>
    <w:rsid w:val="000C523D"/>
    <w:rsid w:val="000C5F3C"/>
    <w:rsid w:val="000C6B6B"/>
    <w:rsid w:val="000D0C89"/>
    <w:rsid w:val="000D1939"/>
    <w:rsid w:val="000D1B40"/>
    <w:rsid w:val="000D2522"/>
    <w:rsid w:val="000D2795"/>
    <w:rsid w:val="000D28FD"/>
    <w:rsid w:val="000D2A6B"/>
    <w:rsid w:val="000D3A01"/>
    <w:rsid w:val="000D3C1B"/>
    <w:rsid w:val="000D3CCA"/>
    <w:rsid w:val="000D45A0"/>
    <w:rsid w:val="000D578C"/>
    <w:rsid w:val="000D580D"/>
    <w:rsid w:val="000D5B37"/>
    <w:rsid w:val="000D6547"/>
    <w:rsid w:val="000D7199"/>
    <w:rsid w:val="000D7376"/>
    <w:rsid w:val="000E0B75"/>
    <w:rsid w:val="000E1B5E"/>
    <w:rsid w:val="000E2126"/>
    <w:rsid w:val="000E254E"/>
    <w:rsid w:val="000E46A1"/>
    <w:rsid w:val="000E595C"/>
    <w:rsid w:val="000E7634"/>
    <w:rsid w:val="000E7DFD"/>
    <w:rsid w:val="000F0149"/>
    <w:rsid w:val="000F0427"/>
    <w:rsid w:val="000F0E18"/>
    <w:rsid w:val="000F300E"/>
    <w:rsid w:val="000F3373"/>
    <w:rsid w:val="000F344B"/>
    <w:rsid w:val="000F5969"/>
    <w:rsid w:val="000F5CF1"/>
    <w:rsid w:val="000F6A92"/>
    <w:rsid w:val="000F6C33"/>
    <w:rsid w:val="000F7B26"/>
    <w:rsid w:val="00100312"/>
    <w:rsid w:val="00100B09"/>
    <w:rsid w:val="00101B71"/>
    <w:rsid w:val="00102333"/>
    <w:rsid w:val="00102927"/>
    <w:rsid w:val="00102C15"/>
    <w:rsid w:val="00102C16"/>
    <w:rsid w:val="00103493"/>
    <w:rsid w:val="001037B3"/>
    <w:rsid w:val="00105F70"/>
    <w:rsid w:val="00106F94"/>
    <w:rsid w:val="00110CE7"/>
    <w:rsid w:val="00111EC0"/>
    <w:rsid w:val="0011241B"/>
    <w:rsid w:val="00113BD3"/>
    <w:rsid w:val="00115126"/>
    <w:rsid w:val="001158C9"/>
    <w:rsid w:val="00115B79"/>
    <w:rsid w:val="00116B85"/>
    <w:rsid w:val="00116F52"/>
    <w:rsid w:val="00117DE6"/>
    <w:rsid w:val="00117FF4"/>
    <w:rsid w:val="001201F5"/>
    <w:rsid w:val="00120AD1"/>
    <w:rsid w:val="00121859"/>
    <w:rsid w:val="001222C0"/>
    <w:rsid w:val="00122831"/>
    <w:rsid w:val="00122940"/>
    <w:rsid w:val="00123CF2"/>
    <w:rsid w:val="00124609"/>
    <w:rsid w:val="00124791"/>
    <w:rsid w:val="00124EEC"/>
    <w:rsid w:val="001255EB"/>
    <w:rsid w:val="00125C67"/>
    <w:rsid w:val="00126036"/>
    <w:rsid w:val="001271BE"/>
    <w:rsid w:val="001278E1"/>
    <w:rsid w:val="00134FDD"/>
    <w:rsid w:val="0013602D"/>
    <w:rsid w:val="00136302"/>
    <w:rsid w:val="00137871"/>
    <w:rsid w:val="00142A20"/>
    <w:rsid w:val="00143305"/>
    <w:rsid w:val="0014345D"/>
    <w:rsid w:val="001436E5"/>
    <w:rsid w:val="0014374D"/>
    <w:rsid w:val="001438F0"/>
    <w:rsid w:val="001461F7"/>
    <w:rsid w:val="00146860"/>
    <w:rsid w:val="00147610"/>
    <w:rsid w:val="00147C8C"/>
    <w:rsid w:val="00147DC0"/>
    <w:rsid w:val="00150F06"/>
    <w:rsid w:val="0015129E"/>
    <w:rsid w:val="00151441"/>
    <w:rsid w:val="001517A5"/>
    <w:rsid w:val="00151F52"/>
    <w:rsid w:val="00153689"/>
    <w:rsid w:val="0015554F"/>
    <w:rsid w:val="001560F0"/>
    <w:rsid w:val="00156921"/>
    <w:rsid w:val="00156E97"/>
    <w:rsid w:val="00160AF8"/>
    <w:rsid w:val="00161B6A"/>
    <w:rsid w:val="00163A5B"/>
    <w:rsid w:val="00163EFC"/>
    <w:rsid w:val="001643AE"/>
    <w:rsid w:val="00164E3F"/>
    <w:rsid w:val="00165645"/>
    <w:rsid w:val="00165A0A"/>
    <w:rsid w:val="00165E3E"/>
    <w:rsid w:val="00165E79"/>
    <w:rsid w:val="00166D2E"/>
    <w:rsid w:val="00167436"/>
    <w:rsid w:val="00170040"/>
    <w:rsid w:val="00170EB2"/>
    <w:rsid w:val="00171171"/>
    <w:rsid w:val="00172A27"/>
    <w:rsid w:val="00173191"/>
    <w:rsid w:val="00173D73"/>
    <w:rsid w:val="001742B4"/>
    <w:rsid w:val="00176113"/>
    <w:rsid w:val="00176954"/>
    <w:rsid w:val="00176D06"/>
    <w:rsid w:val="00177258"/>
    <w:rsid w:val="00177273"/>
    <w:rsid w:val="00177440"/>
    <w:rsid w:val="00177AE3"/>
    <w:rsid w:val="001804DD"/>
    <w:rsid w:val="00181348"/>
    <w:rsid w:val="00181934"/>
    <w:rsid w:val="00181989"/>
    <w:rsid w:val="00181CDE"/>
    <w:rsid w:val="00182AE6"/>
    <w:rsid w:val="001837F1"/>
    <w:rsid w:val="0018416F"/>
    <w:rsid w:val="0018432B"/>
    <w:rsid w:val="00184621"/>
    <w:rsid w:val="00184FB4"/>
    <w:rsid w:val="001850DD"/>
    <w:rsid w:val="00185614"/>
    <w:rsid w:val="001864CD"/>
    <w:rsid w:val="00190C9F"/>
    <w:rsid w:val="00191655"/>
    <w:rsid w:val="001919F1"/>
    <w:rsid w:val="00191C06"/>
    <w:rsid w:val="00192421"/>
    <w:rsid w:val="0019257B"/>
    <w:rsid w:val="00192DCD"/>
    <w:rsid w:val="00193374"/>
    <w:rsid w:val="00194015"/>
    <w:rsid w:val="00195131"/>
    <w:rsid w:val="0019590D"/>
    <w:rsid w:val="00195CC9"/>
    <w:rsid w:val="00196672"/>
    <w:rsid w:val="001A0BCF"/>
    <w:rsid w:val="001A10F7"/>
    <w:rsid w:val="001A17CB"/>
    <w:rsid w:val="001A18E1"/>
    <w:rsid w:val="001A1A09"/>
    <w:rsid w:val="001A23C8"/>
    <w:rsid w:val="001A273A"/>
    <w:rsid w:val="001A2AFE"/>
    <w:rsid w:val="001A2B50"/>
    <w:rsid w:val="001A2BFE"/>
    <w:rsid w:val="001A2DF2"/>
    <w:rsid w:val="001A4AC9"/>
    <w:rsid w:val="001A5161"/>
    <w:rsid w:val="001A55FB"/>
    <w:rsid w:val="001A5F66"/>
    <w:rsid w:val="001A6FDF"/>
    <w:rsid w:val="001B0156"/>
    <w:rsid w:val="001B0F81"/>
    <w:rsid w:val="001B1C1D"/>
    <w:rsid w:val="001B25EA"/>
    <w:rsid w:val="001B2991"/>
    <w:rsid w:val="001B2C53"/>
    <w:rsid w:val="001B357A"/>
    <w:rsid w:val="001B36F6"/>
    <w:rsid w:val="001B4278"/>
    <w:rsid w:val="001B5823"/>
    <w:rsid w:val="001B5C5D"/>
    <w:rsid w:val="001B60A5"/>
    <w:rsid w:val="001B64A0"/>
    <w:rsid w:val="001C04C5"/>
    <w:rsid w:val="001C1453"/>
    <w:rsid w:val="001C2848"/>
    <w:rsid w:val="001C4429"/>
    <w:rsid w:val="001C4645"/>
    <w:rsid w:val="001C4B5F"/>
    <w:rsid w:val="001C57BB"/>
    <w:rsid w:val="001C6DB3"/>
    <w:rsid w:val="001C71D3"/>
    <w:rsid w:val="001C7765"/>
    <w:rsid w:val="001C777E"/>
    <w:rsid w:val="001D035B"/>
    <w:rsid w:val="001D0996"/>
    <w:rsid w:val="001D160F"/>
    <w:rsid w:val="001D16FE"/>
    <w:rsid w:val="001D1CAA"/>
    <w:rsid w:val="001D2D1F"/>
    <w:rsid w:val="001D2F64"/>
    <w:rsid w:val="001D396E"/>
    <w:rsid w:val="001D3C73"/>
    <w:rsid w:val="001D5BF6"/>
    <w:rsid w:val="001D6336"/>
    <w:rsid w:val="001D6513"/>
    <w:rsid w:val="001D7765"/>
    <w:rsid w:val="001E1110"/>
    <w:rsid w:val="001E1A68"/>
    <w:rsid w:val="001E1FD4"/>
    <w:rsid w:val="001E2B5F"/>
    <w:rsid w:val="001E3983"/>
    <w:rsid w:val="001E39E3"/>
    <w:rsid w:val="001E42ED"/>
    <w:rsid w:val="001E4667"/>
    <w:rsid w:val="001E4882"/>
    <w:rsid w:val="001E500D"/>
    <w:rsid w:val="001F167B"/>
    <w:rsid w:val="001F2ADD"/>
    <w:rsid w:val="001F2D16"/>
    <w:rsid w:val="001F385F"/>
    <w:rsid w:val="001F38CC"/>
    <w:rsid w:val="00200052"/>
    <w:rsid w:val="002003B7"/>
    <w:rsid w:val="002008FA"/>
    <w:rsid w:val="0020141D"/>
    <w:rsid w:val="002021F9"/>
    <w:rsid w:val="00202C94"/>
    <w:rsid w:val="002038B4"/>
    <w:rsid w:val="00206A2D"/>
    <w:rsid w:val="00207302"/>
    <w:rsid w:val="0020791D"/>
    <w:rsid w:val="00207FCA"/>
    <w:rsid w:val="00210812"/>
    <w:rsid w:val="00210EC4"/>
    <w:rsid w:val="00211628"/>
    <w:rsid w:val="00211951"/>
    <w:rsid w:val="0021366D"/>
    <w:rsid w:val="00215EC3"/>
    <w:rsid w:val="00216AA3"/>
    <w:rsid w:val="00216B04"/>
    <w:rsid w:val="00216CED"/>
    <w:rsid w:val="00217312"/>
    <w:rsid w:val="00217759"/>
    <w:rsid w:val="002179FC"/>
    <w:rsid w:val="00217CF3"/>
    <w:rsid w:val="00217E64"/>
    <w:rsid w:val="0022023F"/>
    <w:rsid w:val="0022263F"/>
    <w:rsid w:val="0022324E"/>
    <w:rsid w:val="00224138"/>
    <w:rsid w:val="002242D9"/>
    <w:rsid w:val="002246D9"/>
    <w:rsid w:val="002260A0"/>
    <w:rsid w:val="00226EF0"/>
    <w:rsid w:val="00227597"/>
    <w:rsid w:val="00230A17"/>
    <w:rsid w:val="002326A3"/>
    <w:rsid w:val="00234C71"/>
    <w:rsid w:val="00235743"/>
    <w:rsid w:val="00235921"/>
    <w:rsid w:val="00235E90"/>
    <w:rsid w:val="00235F00"/>
    <w:rsid w:val="00236866"/>
    <w:rsid w:val="0023697D"/>
    <w:rsid w:val="00240370"/>
    <w:rsid w:val="00241329"/>
    <w:rsid w:val="00241A82"/>
    <w:rsid w:val="00242781"/>
    <w:rsid w:val="00243AD0"/>
    <w:rsid w:val="00244115"/>
    <w:rsid w:val="00244386"/>
    <w:rsid w:val="00246207"/>
    <w:rsid w:val="00246621"/>
    <w:rsid w:val="0024683C"/>
    <w:rsid w:val="00246C95"/>
    <w:rsid w:val="00250FCF"/>
    <w:rsid w:val="0025168D"/>
    <w:rsid w:val="00251906"/>
    <w:rsid w:val="00252884"/>
    <w:rsid w:val="00253385"/>
    <w:rsid w:val="00256D01"/>
    <w:rsid w:val="00256E37"/>
    <w:rsid w:val="00256FFE"/>
    <w:rsid w:val="00262D2E"/>
    <w:rsid w:val="0026357F"/>
    <w:rsid w:val="002643BB"/>
    <w:rsid w:val="00264405"/>
    <w:rsid w:val="0026480F"/>
    <w:rsid w:val="00264DE8"/>
    <w:rsid w:val="00265E35"/>
    <w:rsid w:val="0026634E"/>
    <w:rsid w:val="00266ACE"/>
    <w:rsid w:val="00266F66"/>
    <w:rsid w:val="00266F97"/>
    <w:rsid w:val="0026710F"/>
    <w:rsid w:val="002672CD"/>
    <w:rsid w:val="0026774E"/>
    <w:rsid w:val="002700D5"/>
    <w:rsid w:val="00270139"/>
    <w:rsid w:val="00270AED"/>
    <w:rsid w:val="00271CB3"/>
    <w:rsid w:val="00274081"/>
    <w:rsid w:val="002758B5"/>
    <w:rsid w:val="00275D7A"/>
    <w:rsid w:val="00276FAF"/>
    <w:rsid w:val="00277675"/>
    <w:rsid w:val="00277880"/>
    <w:rsid w:val="00277FE7"/>
    <w:rsid w:val="00280172"/>
    <w:rsid w:val="002801BA"/>
    <w:rsid w:val="00280B19"/>
    <w:rsid w:val="00280DC9"/>
    <w:rsid w:val="00280F23"/>
    <w:rsid w:val="0028119D"/>
    <w:rsid w:val="0028236F"/>
    <w:rsid w:val="00283538"/>
    <w:rsid w:val="00283779"/>
    <w:rsid w:val="00286F17"/>
    <w:rsid w:val="00287AFB"/>
    <w:rsid w:val="00287E53"/>
    <w:rsid w:val="00290855"/>
    <w:rsid w:val="00290D16"/>
    <w:rsid w:val="00290D7B"/>
    <w:rsid w:val="00292164"/>
    <w:rsid w:val="00292F06"/>
    <w:rsid w:val="00293083"/>
    <w:rsid w:val="00294260"/>
    <w:rsid w:val="0029497C"/>
    <w:rsid w:val="00294DCD"/>
    <w:rsid w:val="00295732"/>
    <w:rsid w:val="00296E5E"/>
    <w:rsid w:val="00296FCA"/>
    <w:rsid w:val="002974A8"/>
    <w:rsid w:val="002A0212"/>
    <w:rsid w:val="002A0F28"/>
    <w:rsid w:val="002A1949"/>
    <w:rsid w:val="002A304D"/>
    <w:rsid w:val="002A40E5"/>
    <w:rsid w:val="002A5104"/>
    <w:rsid w:val="002A62BD"/>
    <w:rsid w:val="002A79C7"/>
    <w:rsid w:val="002A7A43"/>
    <w:rsid w:val="002B2589"/>
    <w:rsid w:val="002B374F"/>
    <w:rsid w:val="002B4418"/>
    <w:rsid w:val="002B5507"/>
    <w:rsid w:val="002B5BD3"/>
    <w:rsid w:val="002B5BF7"/>
    <w:rsid w:val="002B6507"/>
    <w:rsid w:val="002B6642"/>
    <w:rsid w:val="002C14AF"/>
    <w:rsid w:val="002C2BD4"/>
    <w:rsid w:val="002C3A8D"/>
    <w:rsid w:val="002C4BAD"/>
    <w:rsid w:val="002C4F3E"/>
    <w:rsid w:val="002C71C6"/>
    <w:rsid w:val="002C721F"/>
    <w:rsid w:val="002D0675"/>
    <w:rsid w:val="002D076E"/>
    <w:rsid w:val="002D108E"/>
    <w:rsid w:val="002D1273"/>
    <w:rsid w:val="002D20F4"/>
    <w:rsid w:val="002D360F"/>
    <w:rsid w:val="002D37B6"/>
    <w:rsid w:val="002D45DC"/>
    <w:rsid w:val="002D4658"/>
    <w:rsid w:val="002D5500"/>
    <w:rsid w:val="002D5BB7"/>
    <w:rsid w:val="002D6354"/>
    <w:rsid w:val="002D7D31"/>
    <w:rsid w:val="002E0260"/>
    <w:rsid w:val="002E06EC"/>
    <w:rsid w:val="002E0AEC"/>
    <w:rsid w:val="002E0E70"/>
    <w:rsid w:val="002E19DD"/>
    <w:rsid w:val="002E2149"/>
    <w:rsid w:val="002E219A"/>
    <w:rsid w:val="002E310F"/>
    <w:rsid w:val="002F025E"/>
    <w:rsid w:val="002F03E3"/>
    <w:rsid w:val="002F1220"/>
    <w:rsid w:val="002F1869"/>
    <w:rsid w:val="002F2043"/>
    <w:rsid w:val="002F23BC"/>
    <w:rsid w:val="002F28E6"/>
    <w:rsid w:val="002F2916"/>
    <w:rsid w:val="002F3283"/>
    <w:rsid w:val="002F3C08"/>
    <w:rsid w:val="002F4860"/>
    <w:rsid w:val="002F5227"/>
    <w:rsid w:val="002F58B7"/>
    <w:rsid w:val="002F68C7"/>
    <w:rsid w:val="002F6959"/>
    <w:rsid w:val="002F74AC"/>
    <w:rsid w:val="002F7CCF"/>
    <w:rsid w:val="0030045C"/>
    <w:rsid w:val="003013D5"/>
    <w:rsid w:val="0030162B"/>
    <w:rsid w:val="0030351B"/>
    <w:rsid w:val="00303ADB"/>
    <w:rsid w:val="0030470C"/>
    <w:rsid w:val="00305996"/>
    <w:rsid w:val="00305F71"/>
    <w:rsid w:val="00306FE5"/>
    <w:rsid w:val="00306FF3"/>
    <w:rsid w:val="003071B0"/>
    <w:rsid w:val="003076ED"/>
    <w:rsid w:val="00311087"/>
    <w:rsid w:val="003144D5"/>
    <w:rsid w:val="003157A1"/>
    <w:rsid w:val="00316D29"/>
    <w:rsid w:val="00317706"/>
    <w:rsid w:val="0032114B"/>
    <w:rsid w:val="00322E7F"/>
    <w:rsid w:val="0032358E"/>
    <w:rsid w:val="00323F69"/>
    <w:rsid w:val="00324EA7"/>
    <w:rsid w:val="00325CAD"/>
    <w:rsid w:val="0032654F"/>
    <w:rsid w:val="0032659E"/>
    <w:rsid w:val="0032674A"/>
    <w:rsid w:val="00326856"/>
    <w:rsid w:val="00327112"/>
    <w:rsid w:val="003278D1"/>
    <w:rsid w:val="003313B4"/>
    <w:rsid w:val="003317FF"/>
    <w:rsid w:val="00331DDF"/>
    <w:rsid w:val="0033249A"/>
    <w:rsid w:val="00332E28"/>
    <w:rsid w:val="003331A5"/>
    <w:rsid w:val="003332D1"/>
    <w:rsid w:val="003333D0"/>
    <w:rsid w:val="003335CE"/>
    <w:rsid w:val="00333F70"/>
    <w:rsid w:val="0033571F"/>
    <w:rsid w:val="003357A8"/>
    <w:rsid w:val="00335A40"/>
    <w:rsid w:val="00335F2E"/>
    <w:rsid w:val="003362A4"/>
    <w:rsid w:val="003362BC"/>
    <w:rsid w:val="0033793E"/>
    <w:rsid w:val="00337E69"/>
    <w:rsid w:val="00342349"/>
    <w:rsid w:val="003426DA"/>
    <w:rsid w:val="0034379F"/>
    <w:rsid w:val="003449DB"/>
    <w:rsid w:val="00345570"/>
    <w:rsid w:val="00346452"/>
    <w:rsid w:val="00346927"/>
    <w:rsid w:val="00346C14"/>
    <w:rsid w:val="0035051B"/>
    <w:rsid w:val="00353C48"/>
    <w:rsid w:val="00356EE7"/>
    <w:rsid w:val="00357C2B"/>
    <w:rsid w:val="0036017E"/>
    <w:rsid w:val="00361B34"/>
    <w:rsid w:val="00361B89"/>
    <w:rsid w:val="003620AF"/>
    <w:rsid w:val="003620DB"/>
    <w:rsid w:val="00362836"/>
    <w:rsid w:val="00362993"/>
    <w:rsid w:val="00363522"/>
    <w:rsid w:val="00363F77"/>
    <w:rsid w:val="0036464B"/>
    <w:rsid w:val="003661A5"/>
    <w:rsid w:val="00366E27"/>
    <w:rsid w:val="003672D2"/>
    <w:rsid w:val="00371C94"/>
    <w:rsid w:val="003725F4"/>
    <w:rsid w:val="00372E6F"/>
    <w:rsid w:val="003757BC"/>
    <w:rsid w:val="00375FDC"/>
    <w:rsid w:val="00376175"/>
    <w:rsid w:val="00376B00"/>
    <w:rsid w:val="00377301"/>
    <w:rsid w:val="0038181C"/>
    <w:rsid w:val="00382141"/>
    <w:rsid w:val="003833F3"/>
    <w:rsid w:val="003834CF"/>
    <w:rsid w:val="003835EE"/>
    <w:rsid w:val="00384537"/>
    <w:rsid w:val="003847CE"/>
    <w:rsid w:val="00384B4E"/>
    <w:rsid w:val="00384D3B"/>
    <w:rsid w:val="003851E0"/>
    <w:rsid w:val="00386E1E"/>
    <w:rsid w:val="00387792"/>
    <w:rsid w:val="0039020F"/>
    <w:rsid w:val="00390810"/>
    <w:rsid w:val="00390959"/>
    <w:rsid w:val="00391307"/>
    <w:rsid w:val="00391660"/>
    <w:rsid w:val="00392485"/>
    <w:rsid w:val="00393091"/>
    <w:rsid w:val="003935A2"/>
    <w:rsid w:val="0039606C"/>
    <w:rsid w:val="00396817"/>
    <w:rsid w:val="00396F38"/>
    <w:rsid w:val="003A0BE0"/>
    <w:rsid w:val="003A1522"/>
    <w:rsid w:val="003A383A"/>
    <w:rsid w:val="003A3CB0"/>
    <w:rsid w:val="003A45CC"/>
    <w:rsid w:val="003A590A"/>
    <w:rsid w:val="003A5E2F"/>
    <w:rsid w:val="003A605A"/>
    <w:rsid w:val="003A63BF"/>
    <w:rsid w:val="003A7766"/>
    <w:rsid w:val="003A7EEE"/>
    <w:rsid w:val="003B0B39"/>
    <w:rsid w:val="003B1821"/>
    <w:rsid w:val="003B296F"/>
    <w:rsid w:val="003B3084"/>
    <w:rsid w:val="003B4048"/>
    <w:rsid w:val="003B5069"/>
    <w:rsid w:val="003B51C6"/>
    <w:rsid w:val="003B5EEC"/>
    <w:rsid w:val="003B5F85"/>
    <w:rsid w:val="003B69B9"/>
    <w:rsid w:val="003B6DBA"/>
    <w:rsid w:val="003B7892"/>
    <w:rsid w:val="003C0DBF"/>
    <w:rsid w:val="003C15EE"/>
    <w:rsid w:val="003C21A4"/>
    <w:rsid w:val="003C3306"/>
    <w:rsid w:val="003C3479"/>
    <w:rsid w:val="003C35B8"/>
    <w:rsid w:val="003C377E"/>
    <w:rsid w:val="003C421A"/>
    <w:rsid w:val="003C45B2"/>
    <w:rsid w:val="003C4B6F"/>
    <w:rsid w:val="003C55C0"/>
    <w:rsid w:val="003C56B0"/>
    <w:rsid w:val="003C6C09"/>
    <w:rsid w:val="003C7D35"/>
    <w:rsid w:val="003D0957"/>
    <w:rsid w:val="003D0C9D"/>
    <w:rsid w:val="003D16B3"/>
    <w:rsid w:val="003D1AC5"/>
    <w:rsid w:val="003D1E65"/>
    <w:rsid w:val="003D3001"/>
    <w:rsid w:val="003D35EA"/>
    <w:rsid w:val="003D47B2"/>
    <w:rsid w:val="003D4B39"/>
    <w:rsid w:val="003D4C2E"/>
    <w:rsid w:val="003D4E6E"/>
    <w:rsid w:val="003D4E90"/>
    <w:rsid w:val="003D6979"/>
    <w:rsid w:val="003D764A"/>
    <w:rsid w:val="003E1A2A"/>
    <w:rsid w:val="003E2578"/>
    <w:rsid w:val="003E33ED"/>
    <w:rsid w:val="003E3626"/>
    <w:rsid w:val="003E3912"/>
    <w:rsid w:val="003E3941"/>
    <w:rsid w:val="003E4106"/>
    <w:rsid w:val="003E4D5B"/>
    <w:rsid w:val="003E52AC"/>
    <w:rsid w:val="003E680E"/>
    <w:rsid w:val="003E7C0D"/>
    <w:rsid w:val="003F0898"/>
    <w:rsid w:val="003F1169"/>
    <w:rsid w:val="003F1E36"/>
    <w:rsid w:val="003F273E"/>
    <w:rsid w:val="003F3021"/>
    <w:rsid w:val="003F4419"/>
    <w:rsid w:val="003F778E"/>
    <w:rsid w:val="003F7A57"/>
    <w:rsid w:val="003F7B61"/>
    <w:rsid w:val="00401AED"/>
    <w:rsid w:val="00401D6E"/>
    <w:rsid w:val="00404B73"/>
    <w:rsid w:val="00404E67"/>
    <w:rsid w:val="004051F2"/>
    <w:rsid w:val="00407C68"/>
    <w:rsid w:val="00410A2C"/>
    <w:rsid w:val="004121D9"/>
    <w:rsid w:val="004124F9"/>
    <w:rsid w:val="00416636"/>
    <w:rsid w:val="004205B7"/>
    <w:rsid w:val="00420D11"/>
    <w:rsid w:val="0042127A"/>
    <w:rsid w:val="00421461"/>
    <w:rsid w:val="00421C46"/>
    <w:rsid w:val="00422B81"/>
    <w:rsid w:val="004239AE"/>
    <w:rsid w:val="0042514D"/>
    <w:rsid w:val="0042588C"/>
    <w:rsid w:val="0042599F"/>
    <w:rsid w:val="00425FD1"/>
    <w:rsid w:val="00426A7E"/>
    <w:rsid w:val="00426BAE"/>
    <w:rsid w:val="004316C8"/>
    <w:rsid w:val="004324C2"/>
    <w:rsid w:val="00435D79"/>
    <w:rsid w:val="00435EC6"/>
    <w:rsid w:val="004364C5"/>
    <w:rsid w:val="00436DCA"/>
    <w:rsid w:val="00437D2F"/>
    <w:rsid w:val="00437DFC"/>
    <w:rsid w:val="00440938"/>
    <w:rsid w:val="00440CCA"/>
    <w:rsid w:val="00440E6F"/>
    <w:rsid w:val="00441BE1"/>
    <w:rsid w:val="00443208"/>
    <w:rsid w:val="00443388"/>
    <w:rsid w:val="004447B0"/>
    <w:rsid w:val="00444B9E"/>
    <w:rsid w:val="004450FC"/>
    <w:rsid w:val="004452C7"/>
    <w:rsid w:val="00445E0C"/>
    <w:rsid w:val="004460D0"/>
    <w:rsid w:val="004461DA"/>
    <w:rsid w:val="00446499"/>
    <w:rsid w:val="004467DF"/>
    <w:rsid w:val="00446E91"/>
    <w:rsid w:val="00451E8B"/>
    <w:rsid w:val="004526F6"/>
    <w:rsid w:val="0045321B"/>
    <w:rsid w:val="004548F2"/>
    <w:rsid w:val="00454B8B"/>
    <w:rsid w:val="00455320"/>
    <w:rsid w:val="004553A8"/>
    <w:rsid w:val="0046047C"/>
    <w:rsid w:val="00460C24"/>
    <w:rsid w:val="00463694"/>
    <w:rsid w:val="004647AD"/>
    <w:rsid w:val="00465490"/>
    <w:rsid w:val="0046576E"/>
    <w:rsid w:val="00465A5E"/>
    <w:rsid w:val="00467CEF"/>
    <w:rsid w:val="00470F54"/>
    <w:rsid w:val="00471F2D"/>
    <w:rsid w:val="0047205A"/>
    <w:rsid w:val="00472ABE"/>
    <w:rsid w:val="00472B7B"/>
    <w:rsid w:val="00472CB4"/>
    <w:rsid w:val="004736FA"/>
    <w:rsid w:val="00473BA6"/>
    <w:rsid w:val="00474DB5"/>
    <w:rsid w:val="00475C12"/>
    <w:rsid w:val="00475C74"/>
    <w:rsid w:val="00476157"/>
    <w:rsid w:val="0047716B"/>
    <w:rsid w:val="00477BA8"/>
    <w:rsid w:val="004808FF"/>
    <w:rsid w:val="00482854"/>
    <w:rsid w:val="00482A33"/>
    <w:rsid w:val="004833EE"/>
    <w:rsid w:val="004835AA"/>
    <w:rsid w:val="00483BE5"/>
    <w:rsid w:val="004842E9"/>
    <w:rsid w:val="0048501F"/>
    <w:rsid w:val="004857B0"/>
    <w:rsid w:val="00485C7B"/>
    <w:rsid w:val="0048605E"/>
    <w:rsid w:val="00486D85"/>
    <w:rsid w:val="0048798E"/>
    <w:rsid w:val="00487D69"/>
    <w:rsid w:val="00490DF8"/>
    <w:rsid w:val="0049176F"/>
    <w:rsid w:val="0049184A"/>
    <w:rsid w:val="00492622"/>
    <w:rsid w:val="0049352F"/>
    <w:rsid w:val="004956FB"/>
    <w:rsid w:val="004A13C2"/>
    <w:rsid w:val="004A40FB"/>
    <w:rsid w:val="004A64FF"/>
    <w:rsid w:val="004A6DAD"/>
    <w:rsid w:val="004A76D3"/>
    <w:rsid w:val="004A78E4"/>
    <w:rsid w:val="004B2915"/>
    <w:rsid w:val="004B30CC"/>
    <w:rsid w:val="004B44C0"/>
    <w:rsid w:val="004B4FF1"/>
    <w:rsid w:val="004B5257"/>
    <w:rsid w:val="004B5F4F"/>
    <w:rsid w:val="004B608F"/>
    <w:rsid w:val="004B63E0"/>
    <w:rsid w:val="004B68E3"/>
    <w:rsid w:val="004B7B43"/>
    <w:rsid w:val="004C034A"/>
    <w:rsid w:val="004C075B"/>
    <w:rsid w:val="004C14AE"/>
    <w:rsid w:val="004C2590"/>
    <w:rsid w:val="004C25F7"/>
    <w:rsid w:val="004C5B6F"/>
    <w:rsid w:val="004C5F1F"/>
    <w:rsid w:val="004C5FF3"/>
    <w:rsid w:val="004C62A5"/>
    <w:rsid w:val="004C698E"/>
    <w:rsid w:val="004C76F2"/>
    <w:rsid w:val="004C781B"/>
    <w:rsid w:val="004D067C"/>
    <w:rsid w:val="004D0807"/>
    <w:rsid w:val="004D14E3"/>
    <w:rsid w:val="004D2FAA"/>
    <w:rsid w:val="004D32CC"/>
    <w:rsid w:val="004D3C43"/>
    <w:rsid w:val="004D42B1"/>
    <w:rsid w:val="004D4D65"/>
    <w:rsid w:val="004D6FD7"/>
    <w:rsid w:val="004D714E"/>
    <w:rsid w:val="004D790D"/>
    <w:rsid w:val="004E0012"/>
    <w:rsid w:val="004E0E7F"/>
    <w:rsid w:val="004E102B"/>
    <w:rsid w:val="004E197A"/>
    <w:rsid w:val="004E1F76"/>
    <w:rsid w:val="004E3505"/>
    <w:rsid w:val="004E35E0"/>
    <w:rsid w:val="004E3F73"/>
    <w:rsid w:val="004E53C3"/>
    <w:rsid w:val="004E57F8"/>
    <w:rsid w:val="004E5E55"/>
    <w:rsid w:val="004E6177"/>
    <w:rsid w:val="004E6189"/>
    <w:rsid w:val="004E73F6"/>
    <w:rsid w:val="004F04BA"/>
    <w:rsid w:val="004F07F7"/>
    <w:rsid w:val="004F188E"/>
    <w:rsid w:val="004F199B"/>
    <w:rsid w:val="004F1A25"/>
    <w:rsid w:val="004F30A4"/>
    <w:rsid w:val="004F30CC"/>
    <w:rsid w:val="004F34EB"/>
    <w:rsid w:val="004F3A7D"/>
    <w:rsid w:val="004F3E2B"/>
    <w:rsid w:val="004F50E3"/>
    <w:rsid w:val="004F51B8"/>
    <w:rsid w:val="004F5FFC"/>
    <w:rsid w:val="004F6CC3"/>
    <w:rsid w:val="00500BEF"/>
    <w:rsid w:val="005029BB"/>
    <w:rsid w:val="005036E6"/>
    <w:rsid w:val="00504BD4"/>
    <w:rsid w:val="005054AC"/>
    <w:rsid w:val="005061E8"/>
    <w:rsid w:val="00506A1A"/>
    <w:rsid w:val="005073BE"/>
    <w:rsid w:val="0050794E"/>
    <w:rsid w:val="00510D80"/>
    <w:rsid w:val="0051157A"/>
    <w:rsid w:val="0051268E"/>
    <w:rsid w:val="00512BE1"/>
    <w:rsid w:val="00512C44"/>
    <w:rsid w:val="00512E14"/>
    <w:rsid w:val="0051307E"/>
    <w:rsid w:val="0051363F"/>
    <w:rsid w:val="005140F5"/>
    <w:rsid w:val="00514CB2"/>
    <w:rsid w:val="00515273"/>
    <w:rsid w:val="005153ED"/>
    <w:rsid w:val="00517DF3"/>
    <w:rsid w:val="00520044"/>
    <w:rsid w:val="0052125C"/>
    <w:rsid w:val="005214A7"/>
    <w:rsid w:val="00522506"/>
    <w:rsid w:val="00523257"/>
    <w:rsid w:val="0052362B"/>
    <w:rsid w:val="005237A1"/>
    <w:rsid w:val="00527400"/>
    <w:rsid w:val="00527EEF"/>
    <w:rsid w:val="00530A89"/>
    <w:rsid w:val="00530B80"/>
    <w:rsid w:val="00531C93"/>
    <w:rsid w:val="00531DCB"/>
    <w:rsid w:val="00531E53"/>
    <w:rsid w:val="0053200C"/>
    <w:rsid w:val="0053223B"/>
    <w:rsid w:val="00532FE0"/>
    <w:rsid w:val="00533FB3"/>
    <w:rsid w:val="005352E4"/>
    <w:rsid w:val="00535AAB"/>
    <w:rsid w:val="00535B07"/>
    <w:rsid w:val="005368C6"/>
    <w:rsid w:val="00536D9C"/>
    <w:rsid w:val="00536FFC"/>
    <w:rsid w:val="00540E94"/>
    <w:rsid w:val="005422C0"/>
    <w:rsid w:val="005437BB"/>
    <w:rsid w:val="00543848"/>
    <w:rsid w:val="00543FD4"/>
    <w:rsid w:val="005443A5"/>
    <w:rsid w:val="00544F12"/>
    <w:rsid w:val="005456B8"/>
    <w:rsid w:val="00545A2D"/>
    <w:rsid w:val="005476AE"/>
    <w:rsid w:val="0055025C"/>
    <w:rsid w:val="005508F7"/>
    <w:rsid w:val="00550B1B"/>
    <w:rsid w:val="005513ED"/>
    <w:rsid w:val="005528D5"/>
    <w:rsid w:val="00552B5F"/>
    <w:rsid w:val="0055344A"/>
    <w:rsid w:val="005543A7"/>
    <w:rsid w:val="005552B8"/>
    <w:rsid w:val="00555349"/>
    <w:rsid w:val="00556466"/>
    <w:rsid w:val="00556592"/>
    <w:rsid w:val="0055697A"/>
    <w:rsid w:val="00557065"/>
    <w:rsid w:val="00557797"/>
    <w:rsid w:val="00557ED6"/>
    <w:rsid w:val="00560644"/>
    <w:rsid w:val="00561125"/>
    <w:rsid w:val="005612AD"/>
    <w:rsid w:val="00563731"/>
    <w:rsid w:val="005647EB"/>
    <w:rsid w:val="005648A7"/>
    <w:rsid w:val="00565985"/>
    <w:rsid w:val="00566077"/>
    <w:rsid w:val="005666ED"/>
    <w:rsid w:val="00566C4A"/>
    <w:rsid w:val="005672E3"/>
    <w:rsid w:val="00567997"/>
    <w:rsid w:val="00570AE1"/>
    <w:rsid w:val="0057127A"/>
    <w:rsid w:val="0057198E"/>
    <w:rsid w:val="005721CC"/>
    <w:rsid w:val="00574A12"/>
    <w:rsid w:val="00574FFE"/>
    <w:rsid w:val="00575774"/>
    <w:rsid w:val="00576B22"/>
    <w:rsid w:val="00577BF0"/>
    <w:rsid w:val="005803ED"/>
    <w:rsid w:val="005807CB"/>
    <w:rsid w:val="00580C08"/>
    <w:rsid w:val="00581BEE"/>
    <w:rsid w:val="005823DF"/>
    <w:rsid w:val="0058257A"/>
    <w:rsid w:val="00584424"/>
    <w:rsid w:val="005861E2"/>
    <w:rsid w:val="005879DE"/>
    <w:rsid w:val="00590CF5"/>
    <w:rsid w:val="0059148E"/>
    <w:rsid w:val="0059158C"/>
    <w:rsid w:val="00591C84"/>
    <w:rsid w:val="00592207"/>
    <w:rsid w:val="005935B3"/>
    <w:rsid w:val="00593D83"/>
    <w:rsid w:val="00594F32"/>
    <w:rsid w:val="005959CC"/>
    <w:rsid w:val="005964E8"/>
    <w:rsid w:val="0059677D"/>
    <w:rsid w:val="005967B0"/>
    <w:rsid w:val="005968CF"/>
    <w:rsid w:val="00596975"/>
    <w:rsid w:val="005971F1"/>
    <w:rsid w:val="00597263"/>
    <w:rsid w:val="005975D5"/>
    <w:rsid w:val="005A1BBB"/>
    <w:rsid w:val="005A2251"/>
    <w:rsid w:val="005A376F"/>
    <w:rsid w:val="005A6139"/>
    <w:rsid w:val="005A6613"/>
    <w:rsid w:val="005A762F"/>
    <w:rsid w:val="005A7B25"/>
    <w:rsid w:val="005A7B78"/>
    <w:rsid w:val="005B0628"/>
    <w:rsid w:val="005B0BCF"/>
    <w:rsid w:val="005B14A3"/>
    <w:rsid w:val="005B17AF"/>
    <w:rsid w:val="005B1CF9"/>
    <w:rsid w:val="005B2AAD"/>
    <w:rsid w:val="005B2CAD"/>
    <w:rsid w:val="005B3780"/>
    <w:rsid w:val="005B4163"/>
    <w:rsid w:val="005B481E"/>
    <w:rsid w:val="005B52B8"/>
    <w:rsid w:val="005B660A"/>
    <w:rsid w:val="005B6B5F"/>
    <w:rsid w:val="005B7576"/>
    <w:rsid w:val="005C05D0"/>
    <w:rsid w:val="005C1823"/>
    <w:rsid w:val="005C1CED"/>
    <w:rsid w:val="005C1F11"/>
    <w:rsid w:val="005C2FDD"/>
    <w:rsid w:val="005C3962"/>
    <w:rsid w:val="005C453D"/>
    <w:rsid w:val="005C558C"/>
    <w:rsid w:val="005C5D57"/>
    <w:rsid w:val="005C603F"/>
    <w:rsid w:val="005C63EC"/>
    <w:rsid w:val="005C667A"/>
    <w:rsid w:val="005C6916"/>
    <w:rsid w:val="005C6DC1"/>
    <w:rsid w:val="005C7111"/>
    <w:rsid w:val="005D0218"/>
    <w:rsid w:val="005D1862"/>
    <w:rsid w:val="005D2E3A"/>
    <w:rsid w:val="005D2E44"/>
    <w:rsid w:val="005D365E"/>
    <w:rsid w:val="005D3703"/>
    <w:rsid w:val="005D3C19"/>
    <w:rsid w:val="005D3D7F"/>
    <w:rsid w:val="005D6583"/>
    <w:rsid w:val="005D6760"/>
    <w:rsid w:val="005D6E91"/>
    <w:rsid w:val="005D7350"/>
    <w:rsid w:val="005D7ED3"/>
    <w:rsid w:val="005E0CCF"/>
    <w:rsid w:val="005E154A"/>
    <w:rsid w:val="005E29D8"/>
    <w:rsid w:val="005E2D57"/>
    <w:rsid w:val="005E2F03"/>
    <w:rsid w:val="005F162C"/>
    <w:rsid w:val="005F175E"/>
    <w:rsid w:val="005F30BD"/>
    <w:rsid w:val="005F3C23"/>
    <w:rsid w:val="005F525C"/>
    <w:rsid w:val="005F54B7"/>
    <w:rsid w:val="005F5B9C"/>
    <w:rsid w:val="005F5C4F"/>
    <w:rsid w:val="005F641A"/>
    <w:rsid w:val="005F6EDB"/>
    <w:rsid w:val="00601461"/>
    <w:rsid w:val="00603A35"/>
    <w:rsid w:val="0060428F"/>
    <w:rsid w:val="0060460C"/>
    <w:rsid w:val="00605126"/>
    <w:rsid w:val="006058AF"/>
    <w:rsid w:val="0060661A"/>
    <w:rsid w:val="00606EF2"/>
    <w:rsid w:val="00606F18"/>
    <w:rsid w:val="006076E9"/>
    <w:rsid w:val="0060790E"/>
    <w:rsid w:val="00607C52"/>
    <w:rsid w:val="00610012"/>
    <w:rsid w:val="00611A00"/>
    <w:rsid w:val="00611EF0"/>
    <w:rsid w:val="00613642"/>
    <w:rsid w:val="0061367C"/>
    <w:rsid w:val="00614181"/>
    <w:rsid w:val="00614E11"/>
    <w:rsid w:val="006154B6"/>
    <w:rsid w:val="00615B11"/>
    <w:rsid w:val="00615E68"/>
    <w:rsid w:val="00620171"/>
    <w:rsid w:val="006205A4"/>
    <w:rsid w:val="00621656"/>
    <w:rsid w:val="00621B3A"/>
    <w:rsid w:val="00621C33"/>
    <w:rsid w:val="006223EA"/>
    <w:rsid w:val="00622802"/>
    <w:rsid w:val="00622AC4"/>
    <w:rsid w:val="00622F0E"/>
    <w:rsid w:val="00625684"/>
    <w:rsid w:val="00625DDE"/>
    <w:rsid w:val="00631B50"/>
    <w:rsid w:val="00631C2B"/>
    <w:rsid w:val="00631E2C"/>
    <w:rsid w:val="00631FC5"/>
    <w:rsid w:val="00632AC1"/>
    <w:rsid w:val="0063349D"/>
    <w:rsid w:val="00633AC3"/>
    <w:rsid w:val="00633D55"/>
    <w:rsid w:val="00633ED4"/>
    <w:rsid w:val="00634039"/>
    <w:rsid w:val="00634063"/>
    <w:rsid w:val="006358E6"/>
    <w:rsid w:val="00636BA6"/>
    <w:rsid w:val="00637932"/>
    <w:rsid w:val="006402F2"/>
    <w:rsid w:val="00640E6D"/>
    <w:rsid w:val="00641A16"/>
    <w:rsid w:val="00642CB5"/>
    <w:rsid w:val="006434E6"/>
    <w:rsid w:val="0064357E"/>
    <w:rsid w:val="00643CA0"/>
    <w:rsid w:val="0064408D"/>
    <w:rsid w:val="00644600"/>
    <w:rsid w:val="00644EFE"/>
    <w:rsid w:val="006458F8"/>
    <w:rsid w:val="00645DC2"/>
    <w:rsid w:val="00645F4C"/>
    <w:rsid w:val="00646E28"/>
    <w:rsid w:val="00647DB1"/>
    <w:rsid w:val="00650220"/>
    <w:rsid w:val="0065107C"/>
    <w:rsid w:val="00652159"/>
    <w:rsid w:val="00652FE2"/>
    <w:rsid w:val="00654137"/>
    <w:rsid w:val="00654A49"/>
    <w:rsid w:val="00654B31"/>
    <w:rsid w:val="00654BB8"/>
    <w:rsid w:val="006562D4"/>
    <w:rsid w:val="0066122A"/>
    <w:rsid w:val="00662884"/>
    <w:rsid w:val="00663117"/>
    <w:rsid w:val="00664C21"/>
    <w:rsid w:val="00664CE4"/>
    <w:rsid w:val="00666183"/>
    <w:rsid w:val="006671EF"/>
    <w:rsid w:val="00667BE1"/>
    <w:rsid w:val="0067042D"/>
    <w:rsid w:val="006715B4"/>
    <w:rsid w:val="00672021"/>
    <w:rsid w:val="00673405"/>
    <w:rsid w:val="00673637"/>
    <w:rsid w:val="00674BB4"/>
    <w:rsid w:val="00675034"/>
    <w:rsid w:val="006755D2"/>
    <w:rsid w:val="00676A7D"/>
    <w:rsid w:val="00676C6B"/>
    <w:rsid w:val="0067714B"/>
    <w:rsid w:val="006825FD"/>
    <w:rsid w:val="006827C1"/>
    <w:rsid w:val="00682A96"/>
    <w:rsid w:val="00685CA7"/>
    <w:rsid w:val="0068606D"/>
    <w:rsid w:val="00690B08"/>
    <w:rsid w:val="0069149D"/>
    <w:rsid w:val="00691B38"/>
    <w:rsid w:val="00691DEB"/>
    <w:rsid w:val="006933CB"/>
    <w:rsid w:val="00694188"/>
    <w:rsid w:val="006941E8"/>
    <w:rsid w:val="0069429E"/>
    <w:rsid w:val="00695228"/>
    <w:rsid w:val="00695AA5"/>
    <w:rsid w:val="00697234"/>
    <w:rsid w:val="006A1441"/>
    <w:rsid w:val="006A14F6"/>
    <w:rsid w:val="006A1BB2"/>
    <w:rsid w:val="006A1F04"/>
    <w:rsid w:val="006A285E"/>
    <w:rsid w:val="006A2A72"/>
    <w:rsid w:val="006A3782"/>
    <w:rsid w:val="006A4B34"/>
    <w:rsid w:val="006A4EE7"/>
    <w:rsid w:val="006A54B3"/>
    <w:rsid w:val="006A55E6"/>
    <w:rsid w:val="006A6313"/>
    <w:rsid w:val="006A64FD"/>
    <w:rsid w:val="006A651E"/>
    <w:rsid w:val="006A7E2E"/>
    <w:rsid w:val="006B0D22"/>
    <w:rsid w:val="006B0E3C"/>
    <w:rsid w:val="006B1C85"/>
    <w:rsid w:val="006B31CB"/>
    <w:rsid w:val="006B36B1"/>
    <w:rsid w:val="006B4CFD"/>
    <w:rsid w:val="006B548F"/>
    <w:rsid w:val="006B5C4B"/>
    <w:rsid w:val="006B6346"/>
    <w:rsid w:val="006B6B95"/>
    <w:rsid w:val="006B7309"/>
    <w:rsid w:val="006B7F31"/>
    <w:rsid w:val="006C1793"/>
    <w:rsid w:val="006C447E"/>
    <w:rsid w:val="006C4652"/>
    <w:rsid w:val="006C4BCB"/>
    <w:rsid w:val="006C582E"/>
    <w:rsid w:val="006C6ADB"/>
    <w:rsid w:val="006C7845"/>
    <w:rsid w:val="006C7E63"/>
    <w:rsid w:val="006D0388"/>
    <w:rsid w:val="006D0986"/>
    <w:rsid w:val="006D0AA9"/>
    <w:rsid w:val="006D178A"/>
    <w:rsid w:val="006D1A46"/>
    <w:rsid w:val="006D3071"/>
    <w:rsid w:val="006D3EBC"/>
    <w:rsid w:val="006D4B54"/>
    <w:rsid w:val="006D509D"/>
    <w:rsid w:val="006D554D"/>
    <w:rsid w:val="006D6350"/>
    <w:rsid w:val="006D79A9"/>
    <w:rsid w:val="006E0A7B"/>
    <w:rsid w:val="006E142B"/>
    <w:rsid w:val="006E25F8"/>
    <w:rsid w:val="006E277C"/>
    <w:rsid w:val="006E2822"/>
    <w:rsid w:val="006E2AA9"/>
    <w:rsid w:val="006E2E7E"/>
    <w:rsid w:val="006E3860"/>
    <w:rsid w:val="006E46CD"/>
    <w:rsid w:val="006E4B4D"/>
    <w:rsid w:val="006E4BA2"/>
    <w:rsid w:val="006E570B"/>
    <w:rsid w:val="006E7F7D"/>
    <w:rsid w:val="006F121E"/>
    <w:rsid w:val="006F1D47"/>
    <w:rsid w:val="006F248B"/>
    <w:rsid w:val="006F283F"/>
    <w:rsid w:val="006F56B3"/>
    <w:rsid w:val="006F72C4"/>
    <w:rsid w:val="006F7AD5"/>
    <w:rsid w:val="00700896"/>
    <w:rsid w:val="00700922"/>
    <w:rsid w:val="00701A41"/>
    <w:rsid w:val="00701FB3"/>
    <w:rsid w:val="00702B37"/>
    <w:rsid w:val="00703376"/>
    <w:rsid w:val="007037D4"/>
    <w:rsid w:val="00704411"/>
    <w:rsid w:val="00704A14"/>
    <w:rsid w:val="00705257"/>
    <w:rsid w:val="00705F89"/>
    <w:rsid w:val="00707D4F"/>
    <w:rsid w:val="00711AFB"/>
    <w:rsid w:val="0071239D"/>
    <w:rsid w:val="00713CB6"/>
    <w:rsid w:val="00714386"/>
    <w:rsid w:val="00714738"/>
    <w:rsid w:val="00714AF2"/>
    <w:rsid w:val="007151EB"/>
    <w:rsid w:val="007152CA"/>
    <w:rsid w:val="007156C8"/>
    <w:rsid w:val="0071643F"/>
    <w:rsid w:val="00716630"/>
    <w:rsid w:val="0072053E"/>
    <w:rsid w:val="00721895"/>
    <w:rsid w:val="007218F0"/>
    <w:rsid w:val="00721A6B"/>
    <w:rsid w:val="00722093"/>
    <w:rsid w:val="00722E07"/>
    <w:rsid w:val="00724DD6"/>
    <w:rsid w:val="00725442"/>
    <w:rsid w:val="007254A4"/>
    <w:rsid w:val="007254B1"/>
    <w:rsid w:val="007256E0"/>
    <w:rsid w:val="00726193"/>
    <w:rsid w:val="0072629B"/>
    <w:rsid w:val="007274FD"/>
    <w:rsid w:val="0073000C"/>
    <w:rsid w:val="00730256"/>
    <w:rsid w:val="00731A0D"/>
    <w:rsid w:val="00732538"/>
    <w:rsid w:val="00732B42"/>
    <w:rsid w:val="007330D1"/>
    <w:rsid w:val="007345D3"/>
    <w:rsid w:val="00734DC3"/>
    <w:rsid w:val="0073522E"/>
    <w:rsid w:val="00735C7C"/>
    <w:rsid w:val="00737519"/>
    <w:rsid w:val="00741499"/>
    <w:rsid w:val="007416D7"/>
    <w:rsid w:val="00742842"/>
    <w:rsid w:val="00742FFA"/>
    <w:rsid w:val="007442DC"/>
    <w:rsid w:val="00746242"/>
    <w:rsid w:val="00746542"/>
    <w:rsid w:val="00746838"/>
    <w:rsid w:val="0074726A"/>
    <w:rsid w:val="00747489"/>
    <w:rsid w:val="007512D6"/>
    <w:rsid w:val="007521B9"/>
    <w:rsid w:val="00752856"/>
    <w:rsid w:val="00752D8D"/>
    <w:rsid w:val="007542BF"/>
    <w:rsid w:val="0075459B"/>
    <w:rsid w:val="00754702"/>
    <w:rsid w:val="00755E20"/>
    <w:rsid w:val="00756070"/>
    <w:rsid w:val="007563D8"/>
    <w:rsid w:val="007573D2"/>
    <w:rsid w:val="007576D0"/>
    <w:rsid w:val="00757841"/>
    <w:rsid w:val="00760633"/>
    <w:rsid w:val="00762BC6"/>
    <w:rsid w:val="007635C1"/>
    <w:rsid w:val="00764FF7"/>
    <w:rsid w:val="00765A64"/>
    <w:rsid w:val="00767435"/>
    <w:rsid w:val="00770A14"/>
    <w:rsid w:val="00770E3A"/>
    <w:rsid w:val="00771AC8"/>
    <w:rsid w:val="00771B68"/>
    <w:rsid w:val="00771BDB"/>
    <w:rsid w:val="0077262F"/>
    <w:rsid w:val="007770D1"/>
    <w:rsid w:val="00780883"/>
    <w:rsid w:val="007836F0"/>
    <w:rsid w:val="00783E1C"/>
    <w:rsid w:val="00786435"/>
    <w:rsid w:val="00786654"/>
    <w:rsid w:val="007872BE"/>
    <w:rsid w:val="007873AB"/>
    <w:rsid w:val="00790A19"/>
    <w:rsid w:val="00790F97"/>
    <w:rsid w:val="0079186F"/>
    <w:rsid w:val="00792597"/>
    <w:rsid w:val="007926EE"/>
    <w:rsid w:val="00793147"/>
    <w:rsid w:val="007935A6"/>
    <w:rsid w:val="00793808"/>
    <w:rsid w:val="0079443A"/>
    <w:rsid w:val="00795485"/>
    <w:rsid w:val="0079584F"/>
    <w:rsid w:val="007958EE"/>
    <w:rsid w:val="00795CE0"/>
    <w:rsid w:val="00797442"/>
    <w:rsid w:val="00797784"/>
    <w:rsid w:val="007A03E4"/>
    <w:rsid w:val="007A0F80"/>
    <w:rsid w:val="007A1129"/>
    <w:rsid w:val="007A32DB"/>
    <w:rsid w:val="007A37C1"/>
    <w:rsid w:val="007A3A5B"/>
    <w:rsid w:val="007A3BB3"/>
    <w:rsid w:val="007A512E"/>
    <w:rsid w:val="007A6A29"/>
    <w:rsid w:val="007A6ED3"/>
    <w:rsid w:val="007B1146"/>
    <w:rsid w:val="007B39D6"/>
    <w:rsid w:val="007B3B6A"/>
    <w:rsid w:val="007B4B82"/>
    <w:rsid w:val="007B4CC8"/>
    <w:rsid w:val="007B59A1"/>
    <w:rsid w:val="007B79ED"/>
    <w:rsid w:val="007C0A99"/>
    <w:rsid w:val="007C0BC8"/>
    <w:rsid w:val="007C0BCD"/>
    <w:rsid w:val="007C11AD"/>
    <w:rsid w:val="007C1F94"/>
    <w:rsid w:val="007C2862"/>
    <w:rsid w:val="007C2A0E"/>
    <w:rsid w:val="007C3676"/>
    <w:rsid w:val="007C3BE0"/>
    <w:rsid w:val="007C484E"/>
    <w:rsid w:val="007C4BF2"/>
    <w:rsid w:val="007C7AC3"/>
    <w:rsid w:val="007C7E59"/>
    <w:rsid w:val="007D0633"/>
    <w:rsid w:val="007D083B"/>
    <w:rsid w:val="007D0D92"/>
    <w:rsid w:val="007D2886"/>
    <w:rsid w:val="007D2ECB"/>
    <w:rsid w:val="007D31C5"/>
    <w:rsid w:val="007D3B5A"/>
    <w:rsid w:val="007D4DA6"/>
    <w:rsid w:val="007D5977"/>
    <w:rsid w:val="007D5D48"/>
    <w:rsid w:val="007D6F74"/>
    <w:rsid w:val="007D7030"/>
    <w:rsid w:val="007D755C"/>
    <w:rsid w:val="007E24F7"/>
    <w:rsid w:val="007E3AED"/>
    <w:rsid w:val="007E3FBA"/>
    <w:rsid w:val="007E5BAC"/>
    <w:rsid w:val="007E7C37"/>
    <w:rsid w:val="007E7E4C"/>
    <w:rsid w:val="007E7FA3"/>
    <w:rsid w:val="007F018A"/>
    <w:rsid w:val="007F0482"/>
    <w:rsid w:val="007F1F73"/>
    <w:rsid w:val="007F30CF"/>
    <w:rsid w:val="007F37BE"/>
    <w:rsid w:val="007F38EB"/>
    <w:rsid w:val="007F3A33"/>
    <w:rsid w:val="007F5CF9"/>
    <w:rsid w:val="007F7679"/>
    <w:rsid w:val="007F7746"/>
    <w:rsid w:val="008006D0"/>
    <w:rsid w:val="008007C2"/>
    <w:rsid w:val="00800C8E"/>
    <w:rsid w:val="00800D15"/>
    <w:rsid w:val="00800DD2"/>
    <w:rsid w:val="00801322"/>
    <w:rsid w:val="008023EE"/>
    <w:rsid w:val="00802E83"/>
    <w:rsid w:val="00802F73"/>
    <w:rsid w:val="00803860"/>
    <w:rsid w:val="0080410A"/>
    <w:rsid w:val="00805E03"/>
    <w:rsid w:val="00806933"/>
    <w:rsid w:val="0080771D"/>
    <w:rsid w:val="00807F73"/>
    <w:rsid w:val="00810138"/>
    <w:rsid w:val="00810311"/>
    <w:rsid w:val="008125D7"/>
    <w:rsid w:val="00812B3E"/>
    <w:rsid w:val="00814116"/>
    <w:rsid w:val="0081496B"/>
    <w:rsid w:val="00815279"/>
    <w:rsid w:val="008153AF"/>
    <w:rsid w:val="0081553E"/>
    <w:rsid w:val="00815DC6"/>
    <w:rsid w:val="008162EB"/>
    <w:rsid w:val="008163BC"/>
    <w:rsid w:val="00816E63"/>
    <w:rsid w:val="008179B2"/>
    <w:rsid w:val="00817D22"/>
    <w:rsid w:val="0082052C"/>
    <w:rsid w:val="00820743"/>
    <w:rsid w:val="008208C6"/>
    <w:rsid w:val="008208E2"/>
    <w:rsid w:val="00820FFD"/>
    <w:rsid w:val="0082107B"/>
    <w:rsid w:val="00821738"/>
    <w:rsid w:val="00821800"/>
    <w:rsid w:val="00821B98"/>
    <w:rsid w:val="00821F49"/>
    <w:rsid w:val="00821F98"/>
    <w:rsid w:val="008238B1"/>
    <w:rsid w:val="00824173"/>
    <w:rsid w:val="008241BD"/>
    <w:rsid w:val="00825C2A"/>
    <w:rsid w:val="00825C6D"/>
    <w:rsid w:val="008262F1"/>
    <w:rsid w:val="00826775"/>
    <w:rsid w:val="00826C4C"/>
    <w:rsid w:val="00827AA5"/>
    <w:rsid w:val="00827D16"/>
    <w:rsid w:val="00827F22"/>
    <w:rsid w:val="00831DD8"/>
    <w:rsid w:val="008325D9"/>
    <w:rsid w:val="008338FC"/>
    <w:rsid w:val="00833BF5"/>
    <w:rsid w:val="008353C7"/>
    <w:rsid w:val="0083553C"/>
    <w:rsid w:val="008360D2"/>
    <w:rsid w:val="00836B31"/>
    <w:rsid w:val="00836B6B"/>
    <w:rsid w:val="008375EB"/>
    <w:rsid w:val="00837F9F"/>
    <w:rsid w:val="00837FE6"/>
    <w:rsid w:val="0084055D"/>
    <w:rsid w:val="008407C0"/>
    <w:rsid w:val="00841532"/>
    <w:rsid w:val="00841971"/>
    <w:rsid w:val="00841C75"/>
    <w:rsid w:val="00841F02"/>
    <w:rsid w:val="008422C2"/>
    <w:rsid w:val="00842C95"/>
    <w:rsid w:val="00842CB1"/>
    <w:rsid w:val="00843BEE"/>
    <w:rsid w:val="008443EB"/>
    <w:rsid w:val="00844581"/>
    <w:rsid w:val="00844D96"/>
    <w:rsid w:val="00844EE1"/>
    <w:rsid w:val="00845BB9"/>
    <w:rsid w:val="00845D68"/>
    <w:rsid w:val="008461AD"/>
    <w:rsid w:val="008461FD"/>
    <w:rsid w:val="00846692"/>
    <w:rsid w:val="008475AA"/>
    <w:rsid w:val="008501C1"/>
    <w:rsid w:val="00850977"/>
    <w:rsid w:val="00850983"/>
    <w:rsid w:val="008516C0"/>
    <w:rsid w:val="0085606B"/>
    <w:rsid w:val="008562AE"/>
    <w:rsid w:val="00856B0A"/>
    <w:rsid w:val="00856DD8"/>
    <w:rsid w:val="0085751A"/>
    <w:rsid w:val="008627F2"/>
    <w:rsid w:val="00863608"/>
    <w:rsid w:val="00863661"/>
    <w:rsid w:val="00864A1A"/>
    <w:rsid w:val="008659AA"/>
    <w:rsid w:val="00867447"/>
    <w:rsid w:val="00867489"/>
    <w:rsid w:val="0087011C"/>
    <w:rsid w:val="00870B1E"/>
    <w:rsid w:val="00872281"/>
    <w:rsid w:val="00872DF6"/>
    <w:rsid w:val="00877492"/>
    <w:rsid w:val="008775A3"/>
    <w:rsid w:val="00880B58"/>
    <w:rsid w:val="0088170D"/>
    <w:rsid w:val="00881B5C"/>
    <w:rsid w:val="00881EAA"/>
    <w:rsid w:val="00882C42"/>
    <w:rsid w:val="008834DD"/>
    <w:rsid w:val="00885E0F"/>
    <w:rsid w:val="008869AB"/>
    <w:rsid w:val="00886CDA"/>
    <w:rsid w:val="00887160"/>
    <w:rsid w:val="00890ADA"/>
    <w:rsid w:val="00890C40"/>
    <w:rsid w:val="00890DB5"/>
    <w:rsid w:val="00890EE7"/>
    <w:rsid w:val="00891225"/>
    <w:rsid w:val="00892C34"/>
    <w:rsid w:val="008930C6"/>
    <w:rsid w:val="00893118"/>
    <w:rsid w:val="0089327E"/>
    <w:rsid w:val="008937CB"/>
    <w:rsid w:val="008940EF"/>
    <w:rsid w:val="008942ED"/>
    <w:rsid w:val="00894C96"/>
    <w:rsid w:val="00895A16"/>
    <w:rsid w:val="00896ABE"/>
    <w:rsid w:val="008A0567"/>
    <w:rsid w:val="008A15F3"/>
    <w:rsid w:val="008A18B5"/>
    <w:rsid w:val="008A2B49"/>
    <w:rsid w:val="008A3421"/>
    <w:rsid w:val="008A3E39"/>
    <w:rsid w:val="008A4498"/>
    <w:rsid w:val="008A4B4F"/>
    <w:rsid w:val="008A56EC"/>
    <w:rsid w:val="008A6193"/>
    <w:rsid w:val="008A65F0"/>
    <w:rsid w:val="008B1C6E"/>
    <w:rsid w:val="008B1E56"/>
    <w:rsid w:val="008B2E18"/>
    <w:rsid w:val="008B491E"/>
    <w:rsid w:val="008B53A9"/>
    <w:rsid w:val="008B7212"/>
    <w:rsid w:val="008B7345"/>
    <w:rsid w:val="008C0298"/>
    <w:rsid w:val="008C06FB"/>
    <w:rsid w:val="008C0BC1"/>
    <w:rsid w:val="008C1EBB"/>
    <w:rsid w:val="008C59D9"/>
    <w:rsid w:val="008C644C"/>
    <w:rsid w:val="008C64E3"/>
    <w:rsid w:val="008C65C4"/>
    <w:rsid w:val="008C6B4C"/>
    <w:rsid w:val="008C761E"/>
    <w:rsid w:val="008D3294"/>
    <w:rsid w:val="008D332E"/>
    <w:rsid w:val="008D7CCD"/>
    <w:rsid w:val="008E025A"/>
    <w:rsid w:val="008E0CFB"/>
    <w:rsid w:val="008E1080"/>
    <w:rsid w:val="008E117E"/>
    <w:rsid w:val="008E25DF"/>
    <w:rsid w:val="008E3D5D"/>
    <w:rsid w:val="008E5113"/>
    <w:rsid w:val="008E6263"/>
    <w:rsid w:val="008E7A17"/>
    <w:rsid w:val="008E7CA6"/>
    <w:rsid w:val="008F00AD"/>
    <w:rsid w:val="008F096A"/>
    <w:rsid w:val="008F0C23"/>
    <w:rsid w:val="008F370B"/>
    <w:rsid w:val="008F3C25"/>
    <w:rsid w:val="008F43D7"/>
    <w:rsid w:val="008F444A"/>
    <w:rsid w:val="008F5585"/>
    <w:rsid w:val="008F5E41"/>
    <w:rsid w:val="008F66DF"/>
    <w:rsid w:val="008F7723"/>
    <w:rsid w:val="008F7A50"/>
    <w:rsid w:val="009002FB"/>
    <w:rsid w:val="00900458"/>
    <w:rsid w:val="00900B7F"/>
    <w:rsid w:val="00900D76"/>
    <w:rsid w:val="00901AF3"/>
    <w:rsid w:val="00902D7B"/>
    <w:rsid w:val="00903166"/>
    <w:rsid w:val="0090379C"/>
    <w:rsid w:val="00904AD0"/>
    <w:rsid w:val="00904E3C"/>
    <w:rsid w:val="00905799"/>
    <w:rsid w:val="00905B0A"/>
    <w:rsid w:val="00906828"/>
    <w:rsid w:val="00906E97"/>
    <w:rsid w:val="00907639"/>
    <w:rsid w:val="00907B40"/>
    <w:rsid w:val="00910751"/>
    <w:rsid w:val="00911264"/>
    <w:rsid w:val="0091241B"/>
    <w:rsid w:val="009129F4"/>
    <w:rsid w:val="009131B9"/>
    <w:rsid w:val="00913DF4"/>
    <w:rsid w:val="0091428E"/>
    <w:rsid w:val="009150B7"/>
    <w:rsid w:val="0091573D"/>
    <w:rsid w:val="00915FD5"/>
    <w:rsid w:val="00916B6E"/>
    <w:rsid w:val="00917A21"/>
    <w:rsid w:val="00917F3F"/>
    <w:rsid w:val="009204B9"/>
    <w:rsid w:val="00920542"/>
    <w:rsid w:val="00920A2C"/>
    <w:rsid w:val="009221D6"/>
    <w:rsid w:val="009235E8"/>
    <w:rsid w:val="009239C9"/>
    <w:rsid w:val="00925499"/>
    <w:rsid w:val="009257ED"/>
    <w:rsid w:val="00925BF1"/>
    <w:rsid w:val="0092655E"/>
    <w:rsid w:val="0093141E"/>
    <w:rsid w:val="00931475"/>
    <w:rsid w:val="0093230C"/>
    <w:rsid w:val="0093269F"/>
    <w:rsid w:val="00933862"/>
    <w:rsid w:val="009346FE"/>
    <w:rsid w:val="009356DC"/>
    <w:rsid w:val="0093794E"/>
    <w:rsid w:val="00937F04"/>
    <w:rsid w:val="00941417"/>
    <w:rsid w:val="009417CC"/>
    <w:rsid w:val="009419CD"/>
    <w:rsid w:val="00941DBD"/>
    <w:rsid w:val="009422A4"/>
    <w:rsid w:val="00943BFA"/>
    <w:rsid w:val="00943CA7"/>
    <w:rsid w:val="009448B5"/>
    <w:rsid w:val="00945C36"/>
    <w:rsid w:val="00947F49"/>
    <w:rsid w:val="00952A62"/>
    <w:rsid w:val="00952EBF"/>
    <w:rsid w:val="00953141"/>
    <w:rsid w:val="009537AB"/>
    <w:rsid w:val="00953946"/>
    <w:rsid w:val="00953FBB"/>
    <w:rsid w:val="00954599"/>
    <w:rsid w:val="00957411"/>
    <w:rsid w:val="009606D9"/>
    <w:rsid w:val="0096088F"/>
    <w:rsid w:val="0096153D"/>
    <w:rsid w:val="00961BCE"/>
    <w:rsid w:val="009628C9"/>
    <w:rsid w:val="00962B7B"/>
    <w:rsid w:val="0096334F"/>
    <w:rsid w:val="009646AA"/>
    <w:rsid w:val="00966004"/>
    <w:rsid w:val="0096611B"/>
    <w:rsid w:val="009662DE"/>
    <w:rsid w:val="00966B10"/>
    <w:rsid w:val="009678BD"/>
    <w:rsid w:val="00970D17"/>
    <w:rsid w:val="00971496"/>
    <w:rsid w:val="009717F1"/>
    <w:rsid w:val="00971D98"/>
    <w:rsid w:val="009734E6"/>
    <w:rsid w:val="00973ED7"/>
    <w:rsid w:val="0097486D"/>
    <w:rsid w:val="00974AA7"/>
    <w:rsid w:val="00974EB1"/>
    <w:rsid w:val="009750BD"/>
    <w:rsid w:val="00975507"/>
    <w:rsid w:val="00976F57"/>
    <w:rsid w:val="00977755"/>
    <w:rsid w:val="0098136F"/>
    <w:rsid w:val="00981986"/>
    <w:rsid w:val="00982C4D"/>
    <w:rsid w:val="00982D49"/>
    <w:rsid w:val="00983895"/>
    <w:rsid w:val="00985166"/>
    <w:rsid w:val="00985382"/>
    <w:rsid w:val="00986B5C"/>
    <w:rsid w:val="00986F75"/>
    <w:rsid w:val="00987315"/>
    <w:rsid w:val="0099051F"/>
    <w:rsid w:val="00991217"/>
    <w:rsid w:val="0099188B"/>
    <w:rsid w:val="00994C05"/>
    <w:rsid w:val="0099591E"/>
    <w:rsid w:val="009959C9"/>
    <w:rsid w:val="00995B6C"/>
    <w:rsid w:val="009A0769"/>
    <w:rsid w:val="009A0A97"/>
    <w:rsid w:val="009A10ED"/>
    <w:rsid w:val="009A11EA"/>
    <w:rsid w:val="009A12D2"/>
    <w:rsid w:val="009A3B5E"/>
    <w:rsid w:val="009A6B09"/>
    <w:rsid w:val="009A7D2F"/>
    <w:rsid w:val="009B3272"/>
    <w:rsid w:val="009B42F9"/>
    <w:rsid w:val="009B47E0"/>
    <w:rsid w:val="009B48D9"/>
    <w:rsid w:val="009B58E9"/>
    <w:rsid w:val="009B6692"/>
    <w:rsid w:val="009B66C8"/>
    <w:rsid w:val="009C02E6"/>
    <w:rsid w:val="009C09DB"/>
    <w:rsid w:val="009C1392"/>
    <w:rsid w:val="009C260F"/>
    <w:rsid w:val="009C3404"/>
    <w:rsid w:val="009C3A9F"/>
    <w:rsid w:val="009C3CC3"/>
    <w:rsid w:val="009C4094"/>
    <w:rsid w:val="009C495E"/>
    <w:rsid w:val="009C52FB"/>
    <w:rsid w:val="009C57E5"/>
    <w:rsid w:val="009C593E"/>
    <w:rsid w:val="009C6823"/>
    <w:rsid w:val="009C6B89"/>
    <w:rsid w:val="009C79D8"/>
    <w:rsid w:val="009D029E"/>
    <w:rsid w:val="009D101B"/>
    <w:rsid w:val="009D3281"/>
    <w:rsid w:val="009D3D05"/>
    <w:rsid w:val="009D410E"/>
    <w:rsid w:val="009D48F4"/>
    <w:rsid w:val="009D5324"/>
    <w:rsid w:val="009D6A91"/>
    <w:rsid w:val="009E1F13"/>
    <w:rsid w:val="009E2CCC"/>
    <w:rsid w:val="009E2FEB"/>
    <w:rsid w:val="009E3578"/>
    <w:rsid w:val="009E37B6"/>
    <w:rsid w:val="009E3F07"/>
    <w:rsid w:val="009E4C74"/>
    <w:rsid w:val="009E60E0"/>
    <w:rsid w:val="009F2EA8"/>
    <w:rsid w:val="009F48B5"/>
    <w:rsid w:val="009F4984"/>
    <w:rsid w:val="009F4E84"/>
    <w:rsid w:val="00A00EB2"/>
    <w:rsid w:val="00A0249A"/>
    <w:rsid w:val="00A029F9"/>
    <w:rsid w:val="00A02AFD"/>
    <w:rsid w:val="00A02CCA"/>
    <w:rsid w:val="00A04F5C"/>
    <w:rsid w:val="00A05804"/>
    <w:rsid w:val="00A05D61"/>
    <w:rsid w:val="00A05E4A"/>
    <w:rsid w:val="00A05F9A"/>
    <w:rsid w:val="00A07F86"/>
    <w:rsid w:val="00A10131"/>
    <w:rsid w:val="00A1102C"/>
    <w:rsid w:val="00A1134D"/>
    <w:rsid w:val="00A12D8D"/>
    <w:rsid w:val="00A1322B"/>
    <w:rsid w:val="00A1369B"/>
    <w:rsid w:val="00A141F2"/>
    <w:rsid w:val="00A16C9A"/>
    <w:rsid w:val="00A16E52"/>
    <w:rsid w:val="00A16E80"/>
    <w:rsid w:val="00A17ABD"/>
    <w:rsid w:val="00A209FF"/>
    <w:rsid w:val="00A22042"/>
    <w:rsid w:val="00A23083"/>
    <w:rsid w:val="00A230E7"/>
    <w:rsid w:val="00A2318E"/>
    <w:rsid w:val="00A26188"/>
    <w:rsid w:val="00A30A9F"/>
    <w:rsid w:val="00A318FE"/>
    <w:rsid w:val="00A31D09"/>
    <w:rsid w:val="00A327BA"/>
    <w:rsid w:val="00A33756"/>
    <w:rsid w:val="00A3392F"/>
    <w:rsid w:val="00A33F8A"/>
    <w:rsid w:val="00A3403D"/>
    <w:rsid w:val="00A34D01"/>
    <w:rsid w:val="00A35BC7"/>
    <w:rsid w:val="00A36537"/>
    <w:rsid w:val="00A37774"/>
    <w:rsid w:val="00A378D7"/>
    <w:rsid w:val="00A37D9E"/>
    <w:rsid w:val="00A37F8C"/>
    <w:rsid w:val="00A415AB"/>
    <w:rsid w:val="00A421B9"/>
    <w:rsid w:val="00A42AA0"/>
    <w:rsid w:val="00A430C3"/>
    <w:rsid w:val="00A4358B"/>
    <w:rsid w:val="00A4391C"/>
    <w:rsid w:val="00A448D6"/>
    <w:rsid w:val="00A45C5E"/>
    <w:rsid w:val="00A45FFA"/>
    <w:rsid w:val="00A46EC0"/>
    <w:rsid w:val="00A50938"/>
    <w:rsid w:val="00A520EF"/>
    <w:rsid w:val="00A53795"/>
    <w:rsid w:val="00A53D1F"/>
    <w:rsid w:val="00A53E0C"/>
    <w:rsid w:val="00A540A0"/>
    <w:rsid w:val="00A543E5"/>
    <w:rsid w:val="00A54559"/>
    <w:rsid w:val="00A55DAE"/>
    <w:rsid w:val="00A5612A"/>
    <w:rsid w:val="00A56CC1"/>
    <w:rsid w:val="00A57711"/>
    <w:rsid w:val="00A57771"/>
    <w:rsid w:val="00A57A3E"/>
    <w:rsid w:val="00A57ABC"/>
    <w:rsid w:val="00A57CCA"/>
    <w:rsid w:val="00A60BE3"/>
    <w:rsid w:val="00A614D5"/>
    <w:rsid w:val="00A614FF"/>
    <w:rsid w:val="00A61D42"/>
    <w:rsid w:val="00A624FB"/>
    <w:rsid w:val="00A63D72"/>
    <w:rsid w:val="00A6461B"/>
    <w:rsid w:val="00A6475F"/>
    <w:rsid w:val="00A657D8"/>
    <w:rsid w:val="00A6608C"/>
    <w:rsid w:val="00A666D0"/>
    <w:rsid w:val="00A666EA"/>
    <w:rsid w:val="00A706E0"/>
    <w:rsid w:val="00A718B4"/>
    <w:rsid w:val="00A720CF"/>
    <w:rsid w:val="00A72478"/>
    <w:rsid w:val="00A72B56"/>
    <w:rsid w:val="00A73452"/>
    <w:rsid w:val="00A737AF"/>
    <w:rsid w:val="00A73CCD"/>
    <w:rsid w:val="00A758F0"/>
    <w:rsid w:val="00A75BBC"/>
    <w:rsid w:val="00A77110"/>
    <w:rsid w:val="00A777B7"/>
    <w:rsid w:val="00A80150"/>
    <w:rsid w:val="00A801D8"/>
    <w:rsid w:val="00A81394"/>
    <w:rsid w:val="00A81FF1"/>
    <w:rsid w:val="00A831A0"/>
    <w:rsid w:val="00A83360"/>
    <w:rsid w:val="00A83A78"/>
    <w:rsid w:val="00A841D4"/>
    <w:rsid w:val="00A854E1"/>
    <w:rsid w:val="00A861C8"/>
    <w:rsid w:val="00A873CA"/>
    <w:rsid w:val="00A91176"/>
    <w:rsid w:val="00A91196"/>
    <w:rsid w:val="00A91BAC"/>
    <w:rsid w:val="00A927BE"/>
    <w:rsid w:val="00A92BF2"/>
    <w:rsid w:val="00A92C0C"/>
    <w:rsid w:val="00A93578"/>
    <w:rsid w:val="00A938BB"/>
    <w:rsid w:val="00A93EA9"/>
    <w:rsid w:val="00A95593"/>
    <w:rsid w:val="00A957FF"/>
    <w:rsid w:val="00A958CC"/>
    <w:rsid w:val="00A95D32"/>
    <w:rsid w:val="00A96133"/>
    <w:rsid w:val="00A96190"/>
    <w:rsid w:val="00A9626F"/>
    <w:rsid w:val="00A96B02"/>
    <w:rsid w:val="00A96D87"/>
    <w:rsid w:val="00A96DA9"/>
    <w:rsid w:val="00A970DB"/>
    <w:rsid w:val="00AA0598"/>
    <w:rsid w:val="00AA0954"/>
    <w:rsid w:val="00AA139A"/>
    <w:rsid w:val="00AA2043"/>
    <w:rsid w:val="00AA2981"/>
    <w:rsid w:val="00AA3311"/>
    <w:rsid w:val="00AA34A8"/>
    <w:rsid w:val="00AA4778"/>
    <w:rsid w:val="00AA4B3B"/>
    <w:rsid w:val="00AA6359"/>
    <w:rsid w:val="00AA67BA"/>
    <w:rsid w:val="00AA7ED3"/>
    <w:rsid w:val="00AA7F18"/>
    <w:rsid w:val="00AB005D"/>
    <w:rsid w:val="00AB0399"/>
    <w:rsid w:val="00AB1BD9"/>
    <w:rsid w:val="00AB1FD3"/>
    <w:rsid w:val="00AB7DAF"/>
    <w:rsid w:val="00AC27A3"/>
    <w:rsid w:val="00AC3482"/>
    <w:rsid w:val="00AC3A5B"/>
    <w:rsid w:val="00AC3F1C"/>
    <w:rsid w:val="00AC5095"/>
    <w:rsid w:val="00AC517C"/>
    <w:rsid w:val="00AC5494"/>
    <w:rsid w:val="00AC6007"/>
    <w:rsid w:val="00AC603E"/>
    <w:rsid w:val="00AC7A85"/>
    <w:rsid w:val="00AC7AAB"/>
    <w:rsid w:val="00AD0474"/>
    <w:rsid w:val="00AD1701"/>
    <w:rsid w:val="00AD1DCE"/>
    <w:rsid w:val="00AD38FC"/>
    <w:rsid w:val="00AD6EF3"/>
    <w:rsid w:val="00AE2257"/>
    <w:rsid w:val="00AE23B3"/>
    <w:rsid w:val="00AE413B"/>
    <w:rsid w:val="00AE572C"/>
    <w:rsid w:val="00AE5D95"/>
    <w:rsid w:val="00AE6F35"/>
    <w:rsid w:val="00AF0DFF"/>
    <w:rsid w:val="00AF0F65"/>
    <w:rsid w:val="00AF18F6"/>
    <w:rsid w:val="00AF1A43"/>
    <w:rsid w:val="00AF1DD1"/>
    <w:rsid w:val="00AF2A6E"/>
    <w:rsid w:val="00AF336E"/>
    <w:rsid w:val="00AF4149"/>
    <w:rsid w:val="00AF559F"/>
    <w:rsid w:val="00AF56BD"/>
    <w:rsid w:val="00AF5EF8"/>
    <w:rsid w:val="00AF656E"/>
    <w:rsid w:val="00AF76A7"/>
    <w:rsid w:val="00AF7B8A"/>
    <w:rsid w:val="00B02455"/>
    <w:rsid w:val="00B0276D"/>
    <w:rsid w:val="00B032A5"/>
    <w:rsid w:val="00B0361A"/>
    <w:rsid w:val="00B04A0F"/>
    <w:rsid w:val="00B057CF"/>
    <w:rsid w:val="00B05804"/>
    <w:rsid w:val="00B06C0E"/>
    <w:rsid w:val="00B07928"/>
    <w:rsid w:val="00B10176"/>
    <w:rsid w:val="00B1273E"/>
    <w:rsid w:val="00B128F1"/>
    <w:rsid w:val="00B12A1E"/>
    <w:rsid w:val="00B131A1"/>
    <w:rsid w:val="00B13C9C"/>
    <w:rsid w:val="00B151AA"/>
    <w:rsid w:val="00B1776F"/>
    <w:rsid w:val="00B229DC"/>
    <w:rsid w:val="00B23CFA"/>
    <w:rsid w:val="00B23F70"/>
    <w:rsid w:val="00B24BF9"/>
    <w:rsid w:val="00B25CDC"/>
    <w:rsid w:val="00B26148"/>
    <w:rsid w:val="00B26AC1"/>
    <w:rsid w:val="00B26C76"/>
    <w:rsid w:val="00B278F9"/>
    <w:rsid w:val="00B27A41"/>
    <w:rsid w:val="00B27E76"/>
    <w:rsid w:val="00B27F25"/>
    <w:rsid w:val="00B27F5A"/>
    <w:rsid w:val="00B3002B"/>
    <w:rsid w:val="00B30669"/>
    <w:rsid w:val="00B3187B"/>
    <w:rsid w:val="00B324FC"/>
    <w:rsid w:val="00B32684"/>
    <w:rsid w:val="00B32E75"/>
    <w:rsid w:val="00B34390"/>
    <w:rsid w:val="00B34743"/>
    <w:rsid w:val="00B35C3A"/>
    <w:rsid w:val="00B36B6F"/>
    <w:rsid w:val="00B37D3F"/>
    <w:rsid w:val="00B407DD"/>
    <w:rsid w:val="00B40C34"/>
    <w:rsid w:val="00B41932"/>
    <w:rsid w:val="00B42197"/>
    <w:rsid w:val="00B4246E"/>
    <w:rsid w:val="00B428BB"/>
    <w:rsid w:val="00B44099"/>
    <w:rsid w:val="00B44AF9"/>
    <w:rsid w:val="00B44C09"/>
    <w:rsid w:val="00B453A0"/>
    <w:rsid w:val="00B45453"/>
    <w:rsid w:val="00B45E78"/>
    <w:rsid w:val="00B46C67"/>
    <w:rsid w:val="00B477AA"/>
    <w:rsid w:val="00B47E90"/>
    <w:rsid w:val="00B50102"/>
    <w:rsid w:val="00B50176"/>
    <w:rsid w:val="00B51E7F"/>
    <w:rsid w:val="00B523F7"/>
    <w:rsid w:val="00B5244D"/>
    <w:rsid w:val="00B53DAA"/>
    <w:rsid w:val="00B5546B"/>
    <w:rsid w:val="00B569F1"/>
    <w:rsid w:val="00B56B5A"/>
    <w:rsid w:val="00B575D0"/>
    <w:rsid w:val="00B57676"/>
    <w:rsid w:val="00B61C70"/>
    <w:rsid w:val="00B62F5A"/>
    <w:rsid w:val="00B6326F"/>
    <w:rsid w:val="00B6335F"/>
    <w:rsid w:val="00B647AC"/>
    <w:rsid w:val="00B64CD4"/>
    <w:rsid w:val="00B662C3"/>
    <w:rsid w:val="00B676C4"/>
    <w:rsid w:val="00B67B5D"/>
    <w:rsid w:val="00B70081"/>
    <w:rsid w:val="00B703DE"/>
    <w:rsid w:val="00B70A82"/>
    <w:rsid w:val="00B70FED"/>
    <w:rsid w:val="00B712B7"/>
    <w:rsid w:val="00B7135B"/>
    <w:rsid w:val="00B7163D"/>
    <w:rsid w:val="00B7202F"/>
    <w:rsid w:val="00B721E3"/>
    <w:rsid w:val="00B72F1B"/>
    <w:rsid w:val="00B73C83"/>
    <w:rsid w:val="00B73F8B"/>
    <w:rsid w:val="00B74400"/>
    <w:rsid w:val="00B76344"/>
    <w:rsid w:val="00B767A1"/>
    <w:rsid w:val="00B76E5F"/>
    <w:rsid w:val="00B77156"/>
    <w:rsid w:val="00B77B51"/>
    <w:rsid w:val="00B801C2"/>
    <w:rsid w:val="00B802AA"/>
    <w:rsid w:val="00B809F1"/>
    <w:rsid w:val="00B82AEF"/>
    <w:rsid w:val="00B84E63"/>
    <w:rsid w:val="00B84E90"/>
    <w:rsid w:val="00B85290"/>
    <w:rsid w:val="00B85AF4"/>
    <w:rsid w:val="00B85BDC"/>
    <w:rsid w:val="00B85F83"/>
    <w:rsid w:val="00B86C1B"/>
    <w:rsid w:val="00B86FD6"/>
    <w:rsid w:val="00B87C3C"/>
    <w:rsid w:val="00B900A9"/>
    <w:rsid w:val="00B904ED"/>
    <w:rsid w:val="00B91844"/>
    <w:rsid w:val="00B92431"/>
    <w:rsid w:val="00B92A54"/>
    <w:rsid w:val="00B92C63"/>
    <w:rsid w:val="00B93289"/>
    <w:rsid w:val="00B96810"/>
    <w:rsid w:val="00B96AB5"/>
    <w:rsid w:val="00BA07E7"/>
    <w:rsid w:val="00BA1C16"/>
    <w:rsid w:val="00BA5006"/>
    <w:rsid w:val="00BA5336"/>
    <w:rsid w:val="00BA5609"/>
    <w:rsid w:val="00BA6B9A"/>
    <w:rsid w:val="00BA6D9C"/>
    <w:rsid w:val="00BA7598"/>
    <w:rsid w:val="00BA7FA5"/>
    <w:rsid w:val="00BB0EE0"/>
    <w:rsid w:val="00BB16B4"/>
    <w:rsid w:val="00BB2851"/>
    <w:rsid w:val="00BB33DC"/>
    <w:rsid w:val="00BB4713"/>
    <w:rsid w:val="00BB4C38"/>
    <w:rsid w:val="00BB6E82"/>
    <w:rsid w:val="00BB72ED"/>
    <w:rsid w:val="00BB743E"/>
    <w:rsid w:val="00BB767A"/>
    <w:rsid w:val="00BB7FA8"/>
    <w:rsid w:val="00BC00AE"/>
    <w:rsid w:val="00BC05A3"/>
    <w:rsid w:val="00BC0EE4"/>
    <w:rsid w:val="00BC1938"/>
    <w:rsid w:val="00BC1DB4"/>
    <w:rsid w:val="00BC2119"/>
    <w:rsid w:val="00BC2409"/>
    <w:rsid w:val="00BC24B3"/>
    <w:rsid w:val="00BC2BF8"/>
    <w:rsid w:val="00BC3551"/>
    <w:rsid w:val="00BC361A"/>
    <w:rsid w:val="00BC3D21"/>
    <w:rsid w:val="00BC4ECE"/>
    <w:rsid w:val="00BC53B2"/>
    <w:rsid w:val="00BC5CAC"/>
    <w:rsid w:val="00BC6210"/>
    <w:rsid w:val="00BC63DB"/>
    <w:rsid w:val="00BD1557"/>
    <w:rsid w:val="00BD173D"/>
    <w:rsid w:val="00BD175A"/>
    <w:rsid w:val="00BD1985"/>
    <w:rsid w:val="00BD1FFD"/>
    <w:rsid w:val="00BD28F2"/>
    <w:rsid w:val="00BD5985"/>
    <w:rsid w:val="00BD60A6"/>
    <w:rsid w:val="00BD632A"/>
    <w:rsid w:val="00BD6618"/>
    <w:rsid w:val="00BD746F"/>
    <w:rsid w:val="00BD7AC6"/>
    <w:rsid w:val="00BE021E"/>
    <w:rsid w:val="00BE0BBA"/>
    <w:rsid w:val="00BE1294"/>
    <w:rsid w:val="00BE1883"/>
    <w:rsid w:val="00BE1992"/>
    <w:rsid w:val="00BE2255"/>
    <w:rsid w:val="00BE3EF0"/>
    <w:rsid w:val="00BE3EF1"/>
    <w:rsid w:val="00BE4A5F"/>
    <w:rsid w:val="00BE4DFB"/>
    <w:rsid w:val="00BE7134"/>
    <w:rsid w:val="00BF0D21"/>
    <w:rsid w:val="00BF1105"/>
    <w:rsid w:val="00BF2F35"/>
    <w:rsid w:val="00BF3967"/>
    <w:rsid w:val="00BF5198"/>
    <w:rsid w:val="00BF7035"/>
    <w:rsid w:val="00C002C3"/>
    <w:rsid w:val="00C0109D"/>
    <w:rsid w:val="00C02BD0"/>
    <w:rsid w:val="00C0417F"/>
    <w:rsid w:val="00C05F5E"/>
    <w:rsid w:val="00C0636F"/>
    <w:rsid w:val="00C06E83"/>
    <w:rsid w:val="00C07424"/>
    <w:rsid w:val="00C07752"/>
    <w:rsid w:val="00C104A3"/>
    <w:rsid w:val="00C10762"/>
    <w:rsid w:val="00C110EA"/>
    <w:rsid w:val="00C12940"/>
    <w:rsid w:val="00C12A9D"/>
    <w:rsid w:val="00C13436"/>
    <w:rsid w:val="00C15396"/>
    <w:rsid w:val="00C16EA5"/>
    <w:rsid w:val="00C173A2"/>
    <w:rsid w:val="00C17509"/>
    <w:rsid w:val="00C1752F"/>
    <w:rsid w:val="00C17F33"/>
    <w:rsid w:val="00C21705"/>
    <w:rsid w:val="00C2180B"/>
    <w:rsid w:val="00C218E1"/>
    <w:rsid w:val="00C21D41"/>
    <w:rsid w:val="00C224D7"/>
    <w:rsid w:val="00C2263C"/>
    <w:rsid w:val="00C2336C"/>
    <w:rsid w:val="00C25592"/>
    <w:rsid w:val="00C265C7"/>
    <w:rsid w:val="00C27BBB"/>
    <w:rsid w:val="00C316D1"/>
    <w:rsid w:val="00C316DC"/>
    <w:rsid w:val="00C31D04"/>
    <w:rsid w:val="00C326FB"/>
    <w:rsid w:val="00C32F08"/>
    <w:rsid w:val="00C33A29"/>
    <w:rsid w:val="00C36C18"/>
    <w:rsid w:val="00C41001"/>
    <w:rsid w:val="00C41D12"/>
    <w:rsid w:val="00C456C2"/>
    <w:rsid w:val="00C4582B"/>
    <w:rsid w:val="00C46BA6"/>
    <w:rsid w:val="00C5070F"/>
    <w:rsid w:val="00C51882"/>
    <w:rsid w:val="00C525BA"/>
    <w:rsid w:val="00C529EC"/>
    <w:rsid w:val="00C535CE"/>
    <w:rsid w:val="00C557FD"/>
    <w:rsid w:val="00C55861"/>
    <w:rsid w:val="00C55F6C"/>
    <w:rsid w:val="00C56F17"/>
    <w:rsid w:val="00C57E9B"/>
    <w:rsid w:val="00C600B4"/>
    <w:rsid w:val="00C61907"/>
    <w:rsid w:val="00C62482"/>
    <w:rsid w:val="00C62892"/>
    <w:rsid w:val="00C62E1E"/>
    <w:rsid w:val="00C6405F"/>
    <w:rsid w:val="00C64CD7"/>
    <w:rsid w:val="00C6539A"/>
    <w:rsid w:val="00C65D02"/>
    <w:rsid w:val="00C65EFA"/>
    <w:rsid w:val="00C6752B"/>
    <w:rsid w:val="00C67752"/>
    <w:rsid w:val="00C67A91"/>
    <w:rsid w:val="00C67B65"/>
    <w:rsid w:val="00C7141F"/>
    <w:rsid w:val="00C716C6"/>
    <w:rsid w:val="00C718C1"/>
    <w:rsid w:val="00C71C45"/>
    <w:rsid w:val="00C72251"/>
    <w:rsid w:val="00C73610"/>
    <w:rsid w:val="00C738AC"/>
    <w:rsid w:val="00C73FAE"/>
    <w:rsid w:val="00C73FB5"/>
    <w:rsid w:val="00C74175"/>
    <w:rsid w:val="00C74B93"/>
    <w:rsid w:val="00C7557C"/>
    <w:rsid w:val="00C77BE1"/>
    <w:rsid w:val="00C812CB"/>
    <w:rsid w:val="00C8132D"/>
    <w:rsid w:val="00C831F6"/>
    <w:rsid w:val="00C8384E"/>
    <w:rsid w:val="00C85D2F"/>
    <w:rsid w:val="00C866B0"/>
    <w:rsid w:val="00C873F4"/>
    <w:rsid w:val="00C90854"/>
    <w:rsid w:val="00C90A6E"/>
    <w:rsid w:val="00C91038"/>
    <w:rsid w:val="00C92E5D"/>
    <w:rsid w:val="00C93C18"/>
    <w:rsid w:val="00C94F55"/>
    <w:rsid w:val="00C96220"/>
    <w:rsid w:val="00C97BE8"/>
    <w:rsid w:val="00CA2EA8"/>
    <w:rsid w:val="00CA3BEF"/>
    <w:rsid w:val="00CA3C2F"/>
    <w:rsid w:val="00CA41F3"/>
    <w:rsid w:val="00CA540D"/>
    <w:rsid w:val="00CA5841"/>
    <w:rsid w:val="00CA586F"/>
    <w:rsid w:val="00CA5A6A"/>
    <w:rsid w:val="00CA7C0A"/>
    <w:rsid w:val="00CB0D1C"/>
    <w:rsid w:val="00CB1165"/>
    <w:rsid w:val="00CB1416"/>
    <w:rsid w:val="00CB26DB"/>
    <w:rsid w:val="00CB29F9"/>
    <w:rsid w:val="00CB2FA1"/>
    <w:rsid w:val="00CB447E"/>
    <w:rsid w:val="00CB4809"/>
    <w:rsid w:val="00CB48C0"/>
    <w:rsid w:val="00CB4DFF"/>
    <w:rsid w:val="00CB6CB6"/>
    <w:rsid w:val="00CB71FA"/>
    <w:rsid w:val="00CB7B02"/>
    <w:rsid w:val="00CB7ECA"/>
    <w:rsid w:val="00CC091C"/>
    <w:rsid w:val="00CC0EE2"/>
    <w:rsid w:val="00CC258B"/>
    <w:rsid w:val="00CC2D7F"/>
    <w:rsid w:val="00CC3644"/>
    <w:rsid w:val="00CC426C"/>
    <w:rsid w:val="00CC44E2"/>
    <w:rsid w:val="00CC589B"/>
    <w:rsid w:val="00CC6145"/>
    <w:rsid w:val="00CC6A91"/>
    <w:rsid w:val="00CC7BED"/>
    <w:rsid w:val="00CD03D7"/>
    <w:rsid w:val="00CD102F"/>
    <w:rsid w:val="00CD258B"/>
    <w:rsid w:val="00CD3615"/>
    <w:rsid w:val="00CD3771"/>
    <w:rsid w:val="00CD3E5E"/>
    <w:rsid w:val="00CD4DC0"/>
    <w:rsid w:val="00CD4DD4"/>
    <w:rsid w:val="00CD5889"/>
    <w:rsid w:val="00CD5981"/>
    <w:rsid w:val="00CD69B7"/>
    <w:rsid w:val="00CD7077"/>
    <w:rsid w:val="00CD728A"/>
    <w:rsid w:val="00CE060F"/>
    <w:rsid w:val="00CE0AAF"/>
    <w:rsid w:val="00CE227B"/>
    <w:rsid w:val="00CE2522"/>
    <w:rsid w:val="00CE27B6"/>
    <w:rsid w:val="00CE2E8F"/>
    <w:rsid w:val="00CE3DE4"/>
    <w:rsid w:val="00CE40B7"/>
    <w:rsid w:val="00CE46C6"/>
    <w:rsid w:val="00CE472E"/>
    <w:rsid w:val="00CE4E96"/>
    <w:rsid w:val="00CE56B9"/>
    <w:rsid w:val="00CE664E"/>
    <w:rsid w:val="00CE6CEC"/>
    <w:rsid w:val="00CE7B0A"/>
    <w:rsid w:val="00CF02D4"/>
    <w:rsid w:val="00CF1A61"/>
    <w:rsid w:val="00CF3004"/>
    <w:rsid w:val="00CF40A5"/>
    <w:rsid w:val="00CF4AD7"/>
    <w:rsid w:val="00CF4DAC"/>
    <w:rsid w:val="00CF4F92"/>
    <w:rsid w:val="00CF5416"/>
    <w:rsid w:val="00D003B1"/>
    <w:rsid w:val="00D0173C"/>
    <w:rsid w:val="00D01954"/>
    <w:rsid w:val="00D024D4"/>
    <w:rsid w:val="00D025BB"/>
    <w:rsid w:val="00D0407E"/>
    <w:rsid w:val="00D04375"/>
    <w:rsid w:val="00D04527"/>
    <w:rsid w:val="00D0494E"/>
    <w:rsid w:val="00D051E1"/>
    <w:rsid w:val="00D0561D"/>
    <w:rsid w:val="00D06535"/>
    <w:rsid w:val="00D06F63"/>
    <w:rsid w:val="00D077BF"/>
    <w:rsid w:val="00D07835"/>
    <w:rsid w:val="00D10E70"/>
    <w:rsid w:val="00D13015"/>
    <w:rsid w:val="00D147D5"/>
    <w:rsid w:val="00D14E0A"/>
    <w:rsid w:val="00D161F9"/>
    <w:rsid w:val="00D17418"/>
    <w:rsid w:val="00D200C8"/>
    <w:rsid w:val="00D2185A"/>
    <w:rsid w:val="00D2191B"/>
    <w:rsid w:val="00D23D37"/>
    <w:rsid w:val="00D24DF3"/>
    <w:rsid w:val="00D252B3"/>
    <w:rsid w:val="00D25BC5"/>
    <w:rsid w:val="00D26C94"/>
    <w:rsid w:val="00D30265"/>
    <w:rsid w:val="00D30579"/>
    <w:rsid w:val="00D308FD"/>
    <w:rsid w:val="00D30CA3"/>
    <w:rsid w:val="00D30CE6"/>
    <w:rsid w:val="00D30F31"/>
    <w:rsid w:val="00D313B0"/>
    <w:rsid w:val="00D317C2"/>
    <w:rsid w:val="00D31C03"/>
    <w:rsid w:val="00D342A8"/>
    <w:rsid w:val="00D34C69"/>
    <w:rsid w:val="00D34CB3"/>
    <w:rsid w:val="00D3516C"/>
    <w:rsid w:val="00D35443"/>
    <w:rsid w:val="00D35BE7"/>
    <w:rsid w:val="00D403EA"/>
    <w:rsid w:val="00D42391"/>
    <w:rsid w:val="00D43581"/>
    <w:rsid w:val="00D45078"/>
    <w:rsid w:val="00D4528E"/>
    <w:rsid w:val="00D45C21"/>
    <w:rsid w:val="00D4627E"/>
    <w:rsid w:val="00D46B58"/>
    <w:rsid w:val="00D46F33"/>
    <w:rsid w:val="00D503F5"/>
    <w:rsid w:val="00D50F65"/>
    <w:rsid w:val="00D51B95"/>
    <w:rsid w:val="00D51D47"/>
    <w:rsid w:val="00D52784"/>
    <w:rsid w:val="00D54B0E"/>
    <w:rsid w:val="00D55780"/>
    <w:rsid w:val="00D56097"/>
    <w:rsid w:val="00D56D37"/>
    <w:rsid w:val="00D61229"/>
    <w:rsid w:val="00D61DCF"/>
    <w:rsid w:val="00D6369D"/>
    <w:rsid w:val="00D652EC"/>
    <w:rsid w:val="00D657C9"/>
    <w:rsid w:val="00D6588C"/>
    <w:rsid w:val="00D667B7"/>
    <w:rsid w:val="00D66AD4"/>
    <w:rsid w:val="00D678D0"/>
    <w:rsid w:val="00D70E02"/>
    <w:rsid w:val="00D70E4B"/>
    <w:rsid w:val="00D716B9"/>
    <w:rsid w:val="00D722ED"/>
    <w:rsid w:val="00D73671"/>
    <w:rsid w:val="00D73B8F"/>
    <w:rsid w:val="00D76478"/>
    <w:rsid w:val="00D766EB"/>
    <w:rsid w:val="00D8031C"/>
    <w:rsid w:val="00D80455"/>
    <w:rsid w:val="00D809A3"/>
    <w:rsid w:val="00D815D7"/>
    <w:rsid w:val="00D82469"/>
    <w:rsid w:val="00D82690"/>
    <w:rsid w:val="00D82A7B"/>
    <w:rsid w:val="00D8388F"/>
    <w:rsid w:val="00D84BC3"/>
    <w:rsid w:val="00D878FA"/>
    <w:rsid w:val="00D9063E"/>
    <w:rsid w:val="00D9100E"/>
    <w:rsid w:val="00D920F6"/>
    <w:rsid w:val="00D933DD"/>
    <w:rsid w:val="00D955EE"/>
    <w:rsid w:val="00D968D2"/>
    <w:rsid w:val="00D96C41"/>
    <w:rsid w:val="00D97784"/>
    <w:rsid w:val="00DA1BAA"/>
    <w:rsid w:val="00DA2E7C"/>
    <w:rsid w:val="00DA4022"/>
    <w:rsid w:val="00DA48A1"/>
    <w:rsid w:val="00DA5342"/>
    <w:rsid w:val="00DA5802"/>
    <w:rsid w:val="00DA684B"/>
    <w:rsid w:val="00DA75C0"/>
    <w:rsid w:val="00DA783C"/>
    <w:rsid w:val="00DA7B4A"/>
    <w:rsid w:val="00DA7C92"/>
    <w:rsid w:val="00DB134E"/>
    <w:rsid w:val="00DB14DC"/>
    <w:rsid w:val="00DB1B58"/>
    <w:rsid w:val="00DB29EE"/>
    <w:rsid w:val="00DB356A"/>
    <w:rsid w:val="00DB3857"/>
    <w:rsid w:val="00DB40CF"/>
    <w:rsid w:val="00DB5C4E"/>
    <w:rsid w:val="00DB5FBC"/>
    <w:rsid w:val="00DB6762"/>
    <w:rsid w:val="00DB679E"/>
    <w:rsid w:val="00DB7891"/>
    <w:rsid w:val="00DB7A1B"/>
    <w:rsid w:val="00DC08FC"/>
    <w:rsid w:val="00DC0964"/>
    <w:rsid w:val="00DC0D24"/>
    <w:rsid w:val="00DC103E"/>
    <w:rsid w:val="00DC1EB0"/>
    <w:rsid w:val="00DC244B"/>
    <w:rsid w:val="00DC24CE"/>
    <w:rsid w:val="00DC27FC"/>
    <w:rsid w:val="00DC2810"/>
    <w:rsid w:val="00DC28F7"/>
    <w:rsid w:val="00DC29AD"/>
    <w:rsid w:val="00DC2A13"/>
    <w:rsid w:val="00DC2BCF"/>
    <w:rsid w:val="00DC3612"/>
    <w:rsid w:val="00DC3BF7"/>
    <w:rsid w:val="00DC5010"/>
    <w:rsid w:val="00DC5ABA"/>
    <w:rsid w:val="00DC6B30"/>
    <w:rsid w:val="00DC7793"/>
    <w:rsid w:val="00DD09A9"/>
    <w:rsid w:val="00DD1623"/>
    <w:rsid w:val="00DD17BA"/>
    <w:rsid w:val="00DD271E"/>
    <w:rsid w:val="00DD2E8B"/>
    <w:rsid w:val="00DD353F"/>
    <w:rsid w:val="00DD3F20"/>
    <w:rsid w:val="00DD4C42"/>
    <w:rsid w:val="00DD5A7F"/>
    <w:rsid w:val="00DD7011"/>
    <w:rsid w:val="00DD7A21"/>
    <w:rsid w:val="00DE0D2B"/>
    <w:rsid w:val="00DE1901"/>
    <w:rsid w:val="00DE2859"/>
    <w:rsid w:val="00DE2B5C"/>
    <w:rsid w:val="00DE3E53"/>
    <w:rsid w:val="00DE64D7"/>
    <w:rsid w:val="00DE6634"/>
    <w:rsid w:val="00DE685E"/>
    <w:rsid w:val="00DF04A8"/>
    <w:rsid w:val="00DF2113"/>
    <w:rsid w:val="00DF251F"/>
    <w:rsid w:val="00DF2877"/>
    <w:rsid w:val="00DF2C0D"/>
    <w:rsid w:val="00DF46D5"/>
    <w:rsid w:val="00DF4E9D"/>
    <w:rsid w:val="00DF593C"/>
    <w:rsid w:val="00DF76CD"/>
    <w:rsid w:val="00DF7E67"/>
    <w:rsid w:val="00E0120D"/>
    <w:rsid w:val="00E0264E"/>
    <w:rsid w:val="00E030ED"/>
    <w:rsid w:val="00E037E5"/>
    <w:rsid w:val="00E03A8E"/>
    <w:rsid w:val="00E0499D"/>
    <w:rsid w:val="00E04BEB"/>
    <w:rsid w:val="00E05574"/>
    <w:rsid w:val="00E055E4"/>
    <w:rsid w:val="00E05784"/>
    <w:rsid w:val="00E0637F"/>
    <w:rsid w:val="00E06E92"/>
    <w:rsid w:val="00E06FCC"/>
    <w:rsid w:val="00E10444"/>
    <w:rsid w:val="00E10DA5"/>
    <w:rsid w:val="00E10F2E"/>
    <w:rsid w:val="00E12328"/>
    <w:rsid w:val="00E12F3B"/>
    <w:rsid w:val="00E136AC"/>
    <w:rsid w:val="00E13976"/>
    <w:rsid w:val="00E13A11"/>
    <w:rsid w:val="00E13D18"/>
    <w:rsid w:val="00E156AD"/>
    <w:rsid w:val="00E161C9"/>
    <w:rsid w:val="00E16613"/>
    <w:rsid w:val="00E16AAB"/>
    <w:rsid w:val="00E16DDA"/>
    <w:rsid w:val="00E20CD0"/>
    <w:rsid w:val="00E20E4F"/>
    <w:rsid w:val="00E22A35"/>
    <w:rsid w:val="00E24F1D"/>
    <w:rsid w:val="00E25C1C"/>
    <w:rsid w:val="00E279DB"/>
    <w:rsid w:val="00E30529"/>
    <w:rsid w:val="00E30DB1"/>
    <w:rsid w:val="00E31070"/>
    <w:rsid w:val="00E32A45"/>
    <w:rsid w:val="00E32EB8"/>
    <w:rsid w:val="00E32F36"/>
    <w:rsid w:val="00E336A9"/>
    <w:rsid w:val="00E34502"/>
    <w:rsid w:val="00E3486D"/>
    <w:rsid w:val="00E348D4"/>
    <w:rsid w:val="00E353D9"/>
    <w:rsid w:val="00E35B2B"/>
    <w:rsid w:val="00E36286"/>
    <w:rsid w:val="00E37462"/>
    <w:rsid w:val="00E40043"/>
    <w:rsid w:val="00E40D9E"/>
    <w:rsid w:val="00E41019"/>
    <w:rsid w:val="00E413AE"/>
    <w:rsid w:val="00E41D43"/>
    <w:rsid w:val="00E42A8A"/>
    <w:rsid w:val="00E42F96"/>
    <w:rsid w:val="00E4426B"/>
    <w:rsid w:val="00E44337"/>
    <w:rsid w:val="00E45FF4"/>
    <w:rsid w:val="00E46172"/>
    <w:rsid w:val="00E47EA0"/>
    <w:rsid w:val="00E5003F"/>
    <w:rsid w:val="00E5048B"/>
    <w:rsid w:val="00E5088D"/>
    <w:rsid w:val="00E50B64"/>
    <w:rsid w:val="00E511D0"/>
    <w:rsid w:val="00E51DF3"/>
    <w:rsid w:val="00E52DAD"/>
    <w:rsid w:val="00E53747"/>
    <w:rsid w:val="00E53AC7"/>
    <w:rsid w:val="00E54732"/>
    <w:rsid w:val="00E54D8A"/>
    <w:rsid w:val="00E54F6B"/>
    <w:rsid w:val="00E55184"/>
    <w:rsid w:val="00E56072"/>
    <w:rsid w:val="00E56990"/>
    <w:rsid w:val="00E56D0F"/>
    <w:rsid w:val="00E56EBB"/>
    <w:rsid w:val="00E56F6D"/>
    <w:rsid w:val="00E571D7"/>
    <w:rsid w:val="00E60695"/>
    <w:rsid w:val="00E614C1"/>
    <w:rsid w:val="00E62B2C"/>
    <w:rsid w:val="00E62E0D"/>
    <w:rsid w:val="00E637A8"/>
    <w:rsid w:val="00E63AA6"/>
    <w:rsid w:val="00E63C34"/>
    <w:rsid w:val="00E63D9E"/>
    <w:rsid w:val="00E669EA"/>
    <w:rsid w:val="00E66A45"/>
    <w:rsid w:val="00E66DA0"/>
    <w:rsid w:val="00E67677"/>
    <w:rsid w:val="00E70BE4"/>
    <w:rsid w:val="00E70C85"/>
    <w:rsid w:val="00E70F6C"/>
    <w:rsid w:val="00E7248E"/>
    <w:rsid w:val="00E746E0"/>
    <w:rsid w:val="00E7496E"/>
    <w:rsid w:val="00E7564E"/>
    <w:rsid w:val="00E77131"/>
    <w:rsid w:val="00E772EE"/>
    <w:rsid w:val="00E82080"/>
    <w:rsid w:val="00E822F4"/>
    <w:rsid w:val="00E8426D"/>
    <w:rsid w:val="00E84CB8"/>
    <w:rsid w:val="00E850FD"/>
    <w:rsid w:val="00E86056"/>
    <w:rsid w:val="00E866AC"/>
    <w:rsid w:val="00E87613"/>
    <w:rsid w:val="00E9009A"/>
    <w:rsid w:val="00E907F8"/>
    <w:rsid w:val="00E9195D"/>
    <w:rsid w:val="00E92091"/>
    <w:rsid w:val="00E92A50"/>
    <w:rsid w:val="00E92EA3"/>
    <w:rsid w:val="00E93F71"/>
    <w:rsid w:val="00E95E6C"/>
    <w:rsid w:val="00E96C67"/>
    <w:rsid w:val="00E96F57"/>
    <w:rsid w:val="00E97222"/>
    <w:rsid w:val="00E9730D"/>
    <w:rsid w:val="00E97725"/>
    <w:rsid w:val="00E97B95"/>
    <w:rsid w:val="00EA05AD"/>
    <w:rsid w:val="00EA1568"/>
    <w:rsid w:val="00EA2A40"/>
    <w:rsid w:val="00EA4073"/>
    <w:rsid w:val="00EA5A6F"/>
    <w:rsid w:val="00EA6D6A"/>
    <w:rsid w:val="00EB1B19"/>
    <w:rsid w:val="00EB37AC"/>
    <w:rsid w:val="00EB3E6A"/>
    <w:rsid w:val="00EB4B43"/>
    <w:rsid w:val="00EB4DF6"/>
    <w:rsid w:val="00EB5735"/>
    <w:rsid w:val="00EB6DA9"/>
    <w:rsid w:val="00EC0404"/>
    <w:rsid w:val="00EC258F"/>
    <w:rsid w:val="00EC2A29"/>
    <w:rsid w:val="00EC2B9E"/>
    <w:rsid w:val="00EC3535"/>
    <w:rsid w:val="00EC4C75"/>
    <w:rsid w:val="00EC54EF"/>
    <w:rsid w:val="00EC5E0D"/>
    <w:rsid w:val="00EC626D"/>
    <w:rsid w:val="00EC70A9"/>
    <w:rsid w:val="00ED0597"/>
    <w:rsid w:val="00ED0A85"/>
    <w:rsid w:val="00ED0ECE"/>
    <w:rsid w:val="00ED146C"/>
    <w:rsid w:val="00ED2595"/>
    <w:rsid w:val="00ED54CE"/>
    <w:rsid w:val="00ED58BD"/>
    <w:rsid w:val="00ED5DF5"/>
    <w:rsid w:val="00ED6291"/>
    <w:rsid w:val="00ED7DE7"/>
    <w:rsid w:val="00EE1571"/>
    <w:rsid w:val="00EE16D4"/>
    <w:rsid w:val="00EE1991"/>
    <w:rsid w:val="00EE1C8F"/>
    <w:rsid w:val="00EE249C"/>
    <w:rsid w:val="00EE280D"/>
    <w:rsid w:val="00EE2E72"/>
    <w:rsid w:val="00EE306C"/>
    <w:rsid w:val="00EE50C3"/>
    <w:rsid w:val="00EE5EA9"/>
    <w:rsid w:val="00EE6BC8"/>
    <w:rsid w:val="00EE757F"/>
    <w:rsid w:val="00EE75B9"/>
    <w:rsid w:val="00EF0C20"/>
    <w:rsid w:val="00EF11D3"/>
    <w:rsid w:val="00EF20F4"/>
    <w:rsid w:val="00EF4171"/>
    <w:rsid w:val="00EF4399"/>
    <w:rsid w:val="00EF5FCF"/>
    <w:rsid w:val="00EF64EF"/>
    <w:rsid w:val="00EF6570"/>
    <w:rsid w:val="00EF6EDC"/>
    <w:rsid w:val="00EF7290"/>
    <w:rsid w:val="00EF77B5"/>
    <w:rsid w:val="00EF7DD8"/>
    <w:rsid w:val="00F00112"/>
    <w:rsid w:val="00F00396"/>
    <w:rsid w:val="00F006B8"/>
    <w:rsid w:val="00F01C27"/>
    <w:rsid w:val="00F0212F"/>
    <w:rsid w:val="00F02205"/>
    <w:rsid w:val="00F02799"/>
    <w:rsid w:val="00F029C1"/>
    <w:rsid w:val="00F04BCD"/>
    <w:rsid w:val="00F04C9D"/>
    <w:rsid w:val="00F075E5"/>
    <w:rsid w:val="00F07829"/>
    <w:rsid w:val="00F07CAA"/>
    <w:rsid w:val="00F07F2E"/>
    <w:rsid w:val="00F123B5"/>
    <w:rsid w:val="00F13741"/>
    <w:rsid w:val="00F166EE"/>
    <w:rsid w:val="00F1749E"/>
    <w:rsid w:val="00F1755B"/>
    <w:rsid w:val="00F20448"/>
    <w:rsid w:val="00F2111C"/>
    <w:rsid w:val="00F2123C"/>
    <w:rsid w:val="00F216AE"/>
    <w:rsid w:val="00F22037"/>
    <w:rsid w:val="00F2266E"/>
    <w:rsid w:val="00F24CA0"/>
    <w:rsid w:val="00F264F1"/>
    <w:rsid w:val="00F26906"/>
    <w:rsid w:val="00F26EDA"/>
    <w:rsid w:val="00F302CB"/>
    <w:rsid w:val="00F3033D"/>
    <w:rsid w:val="00F30A7B"/>
    <w:rsid w:val="00F30BEA"/>
    <w:rsid w:val="00F3217B"/>
    <w:rsid w:val="00F3255B"/>
    <w:rsid w:val="00F33860"/>
    <w:rsid w:val="00F33B74"/>
    <w:rsid w:val="00F36120"/>
    <w:rsid w:val="00F36CF2"/>
    <w:rsid w:val="00F3708E"/>
    <w:rsid w:val="00F40CE1"/>
    <w:rsid w:val="00F40CFA"/>
    <w:rsid w:val="00F41957"/>
    <w:rsid w:val="00F421CC"/>
    <w:rsid w:val="00F43268"/>
    <w:rsid w:val="00F436E2"/>
    <w:rsid w:val="00F44B1A"/>
    <w:rsid w:val="00F44D77"/>
    <w:rsid w:val="00F4502F"/>
    <w:rsid w:val="00F4514B"/>
    <w:rsid w:val="00F45728"/>
    <w:rsid w:val="00F45C30"/>
    <w:rsid w:val="00F47C9A"/>
    <w:rsid w:val="00F5074D"/>
    <w:rsid w:val="00F53DE7"/>
    <w:rsid w:val="00F53FA8"/>
    <w:rsid w:val="00F54418"/>
    <w:rsid w:val="00F54B23"/>
    <w:rsid w:val="00F5556D"/>
    <w:rsid w:val="00F5592D"/>
    <w:rsid w:val="00F56B02"/>
    <w:rsid w:val="00F57327"/>
    <w:rsid w:val="00F57984"/>
    <w:rsid w:val="00F61E49"/>
    <w:rsid w:val="00F62622"/>
    <w:rsid w:val="00F62F01"/>
    <w:rsid w:val="00F63A5D"/>
    <w:rsid w:val="00F63B73"/>
    <w:rsid w:val="00F63F3C"/>
    <w:rsid w:val="00F6417B"/>
    <w:rsid w:val="00F6490B"/>
    <w:rsid w:val="00F65B40"/>
    <w:rsid w:val="00F66C5B"/>
    <w:rsid w:val="00F67B03"/>
    <w:rsid w:val="00F704F6"/>
    <w:rsid w:val="00F70912"/>
    <w:rsid w:val="00F70C4A"/>
    <w:rsid w:val="00F719D4"/>
    <w:rsid w:val="00F71A27"/>
    <w:rsid w:val="00F71BA3"/>
    <w:rsid w:val="00F71E0B"/>
    <w:rsid w:val="00F71F6D"/>
    <w:rsid w:val="00F7260E"/>
    <w:rsid w:val="00F731A4"/>
    <w:rsid w:val="00F73E43"/>
    <w:rsid w:val="00F7401B"/>
    <w:rsid w:val="00F74221"/>
    <w:rsid w:val="00F743FA"/>
    <w:rsid w:val="00F74B39"/>
    <w:rsid w:val="00F75279"/>
    <w:rsid w:val="00F75B40"/>
    <w:rsid w:val="00F75C42"/>
    <w:rsid w:val="00F76084"/>
    <w:rsid w:val="00F7707B"/>
    <w:rsid w:val="00F77AE6"/>
    <w:rsid w:val="00F804A5"/>
    <w:rsid w:val="00F80A8C"/>
    <w:rsid w:val="00F80FF9"/>
    <w:rsid w:val="00F8262D"/>
    <w:rsid w:val="00F82C95"/>
    <w:rsid w:val="00F835B6"/>
    <w:rsid w:val="00F842A1"/>
    <w:rsid w:val="00F85259"/>
    <w:rsid w:val="00F85651"/>
    <w:rsid w:val="00F85B8A"/>
    <w:rsid w:val="00F85DBE"/>
    <w:rsid w:val="00F86244"/>
    <w:rsid w:val="00F87034"/>
    <w:rsid w:val="00F90555"/>
    <w:rsid w:val="00F906FB"/>
    <w:rsid w:val="00F90FEE"/>
    <w:rsid w:val="00F9106A"/>
    <w:rsid w:val="00F91817"/>
    <w:rsid w:val="00F91DAE"/>
    <w:rsid w:val="00F92E81"/>
    <w:rsid w:val="00F9321D"/>
    <w:rsid w:val="00F93F0F"/>
    <w:rsid w:val="00F93F62"/>
    <w:rsid w:val="00F94718"/>
    <w:rsid w:val="00F95DDD"/>
    <w:rsid w:val="00F96CE5"/>
    <w:rsid w:val="00F96F1D"/>
    <w:rsid w:val="00F9765B"/>
    <w:rsid w:val="00F97B70"/>
    <w:rsid w:val="00F97FF0"/>
    <w:rsid w:val="00FA05A7"/>
    <w:rsid w:val="00FA15D3"/>
    <w:rsid w:val="00FA1A15"/>
    <w:rsid w:val="00FA1FD7"/>
    <w:rsid w:val="00FA29E9"/>
    <w:rsid w:val="00FA32E2"/>
    <w:rsid w:val="00FA4A4F"/>
    <w:rsid w:val="00FA54DB"/>
    <w:rsid w:val="00FA5D0C"/>
    <w:rsid w:val="00FA6FED"/>
    <w:rsid w:val="00FB1AE3"/>
    <w:rsid w:val="00FB1F42"/>
    <w:rsid w:val="00FB2FA6"/>
    <w:rsid w:val="00FB344E"/>
    <w:rsid w:val="00FB351C"/>
    <w:rsid w:val="00FB372C"/>
    <w:rsid w:val="00FB5E0C"/>
    <w:rsid w:val="00FB625C"/>
    <w:rsid w:val="00FB74C1"/>
    <w:rsid w:val="00FC093D"/>
    <w:rsid w:val="00FC11D5"/>
    <w:rsid w:val="00FC3687"/>
    <w:rsid w:val="00FC36D8"/>
    <w:rsid w:val="00FC4E77"/>
    <w:rsid w:val="00FC5BD1"/>
    <w:rsid w:val="00FC66EF"/>
    <w:rsid w:val="00FC700B"/>
    <w:rsid w:val="00FC7A2C"/>
    <w:rsid w:val="00FD02F8"/>
    <w:rsid w:val="00FD09D3"/>
    <w:rsid w:val="00FD112F"/>
    <w:rsid w:val="00FD1558"/>
    <w:rsid w:val="00FD34A5"/>
    <w:rsid w:val="00FD37DA"/>
    <w:rsid w:val="00FD3882"/>
    <w:rsid w:val="00FD46DE"/>
    <w:rsid w:val="00FD5E6B"/>
    <w:rsid w:val="00FD6767"/>
    <w:rsid w:val="00FD69AD"/>
    <w:rsid w:val="00FD6CFD"/>
    <w:rsid w:val="00FD6F6E"/>
    <w:rsid w:val="00FD7537"/>
    <w:rsid w:val="00FD7A91"/>
    <w:rsid w:val="00FE0138"/>
    <w:rsid w:val="00FE075D"/>
    <w:rsid w:val="00FE2CEC"/>
    <w:rsid w:val="00FE3BBF"/>
    <w:rsid w:val="00FE4124"/>
    <w:rsid w:val="00FE4629"/>
    <w:rsid w:val="00FE4885"/>
    <w:rsid w:val="00FE512E"/>
    <w:rsid w:val="00FF11B6"/>
    <w:rsid w:val="00FF2173"/>
    <w:rsid w:val="00FF2311"/>
    <w:rsid w:val="00FF3E3E"/>
    <w:rsid w:val="00FF65E0"/>
    <w:rsid w:val="00FF7DBC"/>
    <w:rsid w:val="00FF7F73"/>
    <w:rsid w:val="010B4A32"/>
    <w:rsid w:val="010C6AE2"/>
    <w:rsid w:val="012D3C0F"/>
    <w:rsid w:val="013B4944"/>
    <w:rsid w:val="01635C49"/>
    <w:rsid w:val="01762E4F"/>
    <w:rsid w:val="01B2216D"/>
    <w:rsid w:val="01BD35AB"/>
    <w:rsid w:val="01DA1EC3"/>
    <w:rsid w:val="020E02AA"/>
    <w:rsid w:val="02385327"/>
    <w:rsid w:val="026D3223"/>
    <w:rsid w:val="02A03E14"/>
    <w:rsid w:val="02BA21E0"/>
    <w:rsid w:val="02BF3353"/>
    <w:rsid w:val="02DF7BB7"/>
    <w:rsid w:val="02FC45A7"/>
    <w:rsid w:val="031D0DE8"/>
    <w:rsid w:val="031E4AE8"/>
    <w:rsid w:val="032E569E"/>
    <w:rsid w:val="03345B70"/>
    <w:rsid w:val="0338402A"/>
    <w:rsid w:val="034877EC"/>
    <w:rsid w:val="0362373B"/>
    <w:rsid w:val="03624D25"/>
    <w:rsid w:val="0367660A"/>
    <w:rsid w:val="036A59B4"/>
    <w:rsid w:val="036B7036"/>
    <w:rsid w:val="038A33AB"/>
    <w:rsid w:val="047F2D99"/>
    <w:rsid w:val="04AC7907"/>
    <w:rsid w:val="04CB5FDF"/>
    <w:rsid w:val="04D02894"/>
    <w:rsid w:val="04EC0D5C"/>
    <w:rsid w:val="04FE4F42"/>
    <w:rsid w:val="052D4EEB"/>
    <w:rsid w:val="0571302A"/>
    <w:rsid w:val="05761AD7"/>
    <w:rsid w:val="058F5DB4"/>
    <w:rsid w:val="05AB5E10"/>
    <w:rsid w:val="05C84C0A"/>
    <w:rsid w:val="05D435B9"/>
    <w:rsid w:val="05E15C44"/>
    <w:rsid w:val="05E41700"/>
    <w:rsid w:val="066009EE"/>
    <w:rsid w:val="066405E3"/>
    <w:rsid w:val="06852281"/>
    <w:rsid w:val="068E3768"/>
    <w:rsid w:val="06FA2BAB"/>
    <w:rsid w:val="07126147"/>
    <w:rsid w:val="07176168"/>
    <w:rsid w:val="07181283"/>
    <w:rsid w:val="071D689A"/>
    <w:rsid w:val="07327D3C"/>
    <w:rsid w:val="073B2CA6"/>
    <w:rsid w:val="078F59E9"/>
    <w:rsid w:val="079E5C2C"/>
    <w:rsid w:val="07AA2823"/>
    <w:rsid w:val="07AD114B"/>
    <w:rsid w:val="07B161F9"/>
    <w:rsid w:val="07F12200"/>
    <w:rsid w:val="081704EC"/>
    <w:rsid w:val="081A49A0"/>
    <w:rsid w:val="088E70AF"/>
    <w:rsid w:val="08CA7962"/>
    <w:rsid w:val="08CE7D92"/>
    <w:rsid w:val="094C661F"/>
    <w:rsid w:val="094D5B46"/>
    <w:rsid w:val="096010C6"/>
    <w:rsid w:val="096D1D5A"/>
    <w:rsid w:val="09751F49"/>
    <w:rsid w:val="097906FF"/>
    <w:rsid w:val="09A3683A"/>
    <w:rsid w:val="09DF285C"/>
    <w:rsid w:val="09F96E9F"/>
    <w:rsid w:val="0A270109"/>
    <w:rsid w:val="0AE76696"/>
    <w:rsid w:val="0AEB73DB"/>
    <w:rsid w:val="0B13396A"/>
    <w:rsid w:val="0B527F16"/>
    <w:rsid w:val="0B5F3EE1"/>
    <w:rsid w:val="0B8011DE"/>
    <w:rsid w:val="0BBC0A06"/>
    <w:rsid w:val="0BD47E6F"/>
    <w:rsid w:val="0BDB0C0B"/>
    <w:rsid w:val="0BE544EC"/>
    <w:rsid w:val="0C012C2E"/>
    <w:rsid w:val="0C0F70F9"/>
    <w:rsid w:val="0C1D4C8F"/>
    <w:rsid w:val="0C436DA2"/>
    <w:rsid w:val="0C674B17"/>
    <w:rsid w:val="0C716E1E"/>
    <w:rsid w:val="0C987507"/>
    <w:rsid w:val="0CA9106F"/>
    <w:rsid w:val="0CAC2B9A"/>
    <w:rsid w:val="0CB16402"/>
    <w:rsid w:val="0CB428CD"/>
    <w:rsid w:val="0CD251A0"/>
    <w:rsid w:val="0CD265BB"/>
    <w:rsid w:val="0D134441"/>
    <w:rsid w:val="0D1418BD"/>
    <w:rsid w:val="0D1644B7"/>
    <w:rsid w:val="0D224C0A"/>
    <w:rsid w:val="0D3C216F"/>
    <w:rsid w:val="0D78058E"/>
    <w:rsid w:val="0D897F73"/>
    <w:rsid w:val="0DC9777B"/>
    <w:rsid w:val="0DD21072"/>
    <w:rsid w:val="0E5232CD"/>
    <w:rsid w:val="0E54439E"/>
    <w:rsid w:val="0E741495"/>
    <w:rsid w:val="0EAF071F"/>
    <w:rsid w:val="0EB9334C"/>
    <w:rsid w:val="0EC87C6F"/>
    <w:rsid w:val="0EE04D7C"/>
    <w:rsid w:val="0EE435E9"/>
    <w:rsid w:val="0F415365"/>
    <w:rsid w:val="0F957915"/>
    <w:rsid w:val="0FAA29F0"/>
    <w:rsid w:val="0FFD2E4C"/>
    <w:rsid w:val="10207B26"/>
    <w:rsid w:val="10595032"/>
    <w:rsid w:val="105B3E21"/>
    <w:rsid w:val="108E7D99"/>
    <w:rsid w:val="10B613A6"/>
    <w:rsid w:val="10ED552F"/>
    <w:rsid w:val="10F245EE"/>
    <w:rsid w:val="111224E3"/>
    <w:rsid w:val="11274EE5"/>
    <w:rsid w:val="11394B2E"/>
    <w:rsid w:val="1146477A"/>
    <w:rsid w:val="116713AF"/>
    <w:rsid w:val="118D5CDA"/>
    <w:rsid w:val="11991213"/>
    <w:rsid w:val="11A42091"/>
    <w:rsid w:val="11AE2F10"/>
    <w:rsid w:val="11C542B3"/>
    <w:rsid w:val="11F03FD1"/>
    <w:rsid w:val="11F642C8"/>
    <w:rsid w:val="121E62E8"/>
    <w:rsid w:val="124B0398"/>
    <w:rsid w:val="12826F8C"/>
    <w:rsid w:val="12837EF9"/>
    <w:rsid w:val="12942106"/>
    <w:rsid w:val="129E1819"/>
    <w:rsid w:val="129F232E"/>
    <w:rsid w:val="12DF627E"/>
    <w:rsid w:val="13164507"/>
    <w:rsid w:val="13255264"/>
    <w:rsid w:val="132E0CE3"/>
    <w:rsid w:val="13606B93"/>
    <w:rsid w:val="138057B3"/>
    <w:rsid w:val="138959E3"/>
    <w:rsid w:val="13A00166"/>
    <w:rsid w:val="13C24A51"/>
    <w:rsid w:val="13C539D9"/>
    <w:rsid w:val="13D84217"/>
    <w:rsid w:val="13E56991"/>
    <w:rsid w:val="14136B30"/>
    <w:rsid w:val="141379A2"/>
    <w:rsid w:val="14382F65"/>
    <w:rsid w:val="14445DAD"/>
    <w:rsid w:val="146B53FA"/>
    <w:rsid w:val="149270FE"/>
    <w:rsid w:val="14B15087"/>
    <w:rsid w:val="14DE1D5E"/>
    <w:rsid w:val="15120EDF"/>
    <w:rsid w:val="151F78A1"/>
    <w:rsid w:val="1564010D"/>
    <w:rsid w:val="157601E9"/>
    <w:rsid w:val="159F5383"/>
    <w:rsid w:val="15BC38F3"/>
    <w:rsid w:val="15D60C87"/>
    <w:rsid w:val="15DB004C"/>
    <w:rsid w:val="15E861DA"/>
    <w:rsid w:val="15F4191E"/>
    <w:rsid w:val="16067856"/>
    <w:rsid w:val="16141A1B"/>
    <w:rsid w:val="163559AE"/>
    <w:rsid w:val="16506F54"/>
    <w:rsid w:val="165E3E02"/>
    <w:rsid w:val="16744805"/>
    <w:rsid w:val="167F131F"/>
    <w:rsid w:val="16970417"/>
    <w:rsid w:val="16B051C2"/>
    <w:rsid w:val="16B40FC8"/>
    <w:rsid w:val="16CB4F13"/>
    <w:rsid w:val="16CC6633"/>
    <w:rsid w:val="16E774B2"/>
    <w:rsid w:val="170F61FF"/>
    <w:rsid w:val="171404B3"/>
    <w:rsid w:val="171C6B6E"/>
    <w:rsid w:val="172779EC"/>
    <w:rsid w:val="17697C1C"/>
    <w:rsid w:val="176B39B6"/>
    <w:rsid w:val="176D5A98"/>
    <w:rsid w:val="176F3141"/>
    <w:rsid w:val="17AB3CB3"/>
    <w:rsid w:val="17D245F5"/>
    <w:rsid w:val="17F02914"/>
    <w:rsid w:val="180D1503"/>
    <w:rsid w:val="18147845"/>
    <w:rsid w:val="181D5E95"/>
    <w:rsid w:val="182061EA"/>
    <w:rsid w:val="18316649"/>
    <w:rsid w:val="1844637C"/>
    <w:rsid w:val="18814EDA"/>
    <w:rsid w:val="18F338FE"/>
    <w:rsid w:val="192E28FF"/>
    <w:rsid w:val="19402796"/>
    <w:rsid w:val="195425EF"/>
    <w:rsid w:val="19753AD3"/>
    <w:rsid w:val="198479D5"/>
    <w:rsid w:val="19847EA0"/>
    <w:rsid w:val="19AE61A3"/>
    <w:rsid w:val="19AF3CC9"/>
    <w:rsid w:val="19B968F6"/>
    <w:rsid w:val="19D46BAA"/>
    <w:rsid w:val="19DD09F6"/>
    <w:rsid w:val="19EE47F1"/>
    <w:rsid w:val="1A026AE5"/>
    <w:rsid w:val="1AAA366A"/>
    <w:rsid w:val="1AB1581F"/>
    <w:rsid w:val="1AB772D9"/>
    <w:rsid w:val="1AD36AD3"/>
    <w:rsid w:val="1B4F753F"/>
    <w:rsid w:val="1B530684"/>
    <w:rsid w:val="1B7E3953"/>
    <w:rsid w:val="1B9565C1"/>
    <w:rsid w:val="1BCA47E1"/>
    <w:rsid w:val="1BD87507"/>
    <w:rsid w:val="1C0636A6"/>
    <w:rsid w:val="1C085913"/>
    <w:rsid w:val="1C547A87"/>
    <w:rsid w:val="1C5B1EE6"/>
    <w:rsid w:val="1C7D1E5D"/>
    <w:rsid w:val="1CB55A3D"/>
    <w:rsid w:val="1CBA09BB"/>
    <w:rsid w:val="1CE8703F"/>
    <w:rsid w:val="1D1423E0"/>
    <w:rsid w:val="1D1C4FB7"/>
    <w:rsid w:val="1D3030C6"/>
    <w:rsid w:val="1D3466A4"/>
    <w:rsid w:val="1D5A0B64"/>
    <w:rsid w:val="1D841E68"/>
    <w:rsid w:val="1D8C7A44"/>
    <w:rsid w:val="1DA000C0"/>
    <w:rsid w:val="1DA23EDF"/>
    <w:rsid w:val="1DB55ABB"/>
    <w:rsid w:val="1DCD444A"/>
    <w:rsid w:val="1DCE2A70"/>
    <w:rsid w:val="1DD41F50"/>
    <w:rsid w:val="1DD66E32"/>
    <w:rsid w:val="1DE2340F"/>
    <w:rsid w:val="1E045907"/>
    <w:rsid w:val="1E0E12BD"/>
    <w:rsid w:val="1E343300"/>
    <w:rsid w:val="1E38335E"/>
    <w:rsid w:val="1E5D5AFB"/>
    <w:rsid w:val="1E8F66F3"/>
    <w:rsid w:val="1EB23ED3"/>
    <w:rsid w:val="1EB86A6B"/>
    <w:rsid w:val="1EE75CB3"/>
    <w:rsid w:val="1EEA7A5D"/>
    <w:rsid w:val="1F176598"/>
    <w:rsid w:val="1F563910"/>
    <w:rsid w:val="1FA34140"/>
    <w:rsid w:val="1FBE4E86"/>
    <w:rsid w:val="201223FB"/>
    <w:rsid w:val="2023109F"/>
    <w:rsid w:val="203942EC"/>
    <w:rsid w:val="20436F19"/>
    <w:rsid w:val="205F725E"/>
    <w:rsid w:val="2083393E"/>
    <w:rsid w:val="208A2D9A"/>
    <w:rsid w:val="208A747B"/>
    <w:rsid w:val="20A12F63"/>
    <w:rsid w:val="20A82A63"/>
    <w:rsid w:val="20E04F89"/>
    <w:rsid w:val="21020436"/>
    <w:rsid w:val="21033A1E"/>
    <w:rsid w:val="21092238"/>
    <w:rsid w:val="210D7D9F"/>
    <w:rsid w:val="212925B3"/>
    <w:rsid w:val="2132134C"/>
    <w:rsid w:val="213D4A03"/>
    <w:rsid w:val="21A50AD6"/>
    <w:rsid w:val="21A70A44"/>
    <w:rsid w:val="21E464DA"/>
    <w:rsid w:val="222358F0"/>
    <w:rsid w:val="22277D90"/>
    <w:rsid w:val="222B55FF"/>
    <w:rsid w:val="22804455"/>
    <w:rsid w:val="22833F45"/>
    <w:rsid w:val="22C02AA3"/>
    <w:rsid w:val="22C1107C"/>
    <w:rsid w:val="23130E25"/>
    <w:rsid w:val="232327E5"/>
    <w:rsid w:val="232658FD"/>
    <w:rsid w:val="23337965"/>
    <w:rsid w:val="235C6C70"/>
    <w:rsid w:val="23A14683"/>
    <w:rsid w:val="23B1063E"/>
    <w:rsid w:val="23DF77EC"/>
    <w:rsid w:val="241F1A4B"/>
    <w:rsid w:val="246833F2"/>
    <w:rsid w:val="2482328C"/>
    <w:rsid w:val="24AA3523"/>
    <w:rsid w:val="24BD4ADD"/>
    <w:rsid w:val="24D32F62"/>
    <w:rsid w:val="24D62A8E"/>
    <w:rsid w:val="24E231A5"/>
    <w:rsid w:val="24E24F53"/>
    <w:rsid w:val="25130C8A"/>
    <w:rsid w:val="25254E1F"/>
    <w:rsid w:val="2538544A"/>
    <w:rsid w:val="25D36F91"/>
    <w:rsid w:val="25F11241"/>
    <w:rsid w:val="260A1B86"/>
    <w:rsid w:val="26350D06"/>
    <w:rsid w:val="263D16C0"/>
    <w:rsid w:val="263E265D"/>
    <w:rsid w:val="26677F84"/>
    <w:rsid w:val="268E3FB4"/>
    <w:rsid w:val="26AB5818"/>
    <w:rsid w:val="26AD208A"/>
    <w:rsid w:val="26AD333E"/>
    <w:rsid w:val="26D33207"/>
    <w:rsid w:val="26D70151"/>
    <w:rsid w:val="27025D0F"/>
    <w:rsid w:val="27085BD9"/>
    <w:rsid w:val="27160EE4"/>
    <w:rsid w:val="27334666"/>
    <w:rsid w:val="276460F3"/>
    <w:rsid w:val="277560F7"/>
    <w:rsid w:val="27797286"/>
    <w:rsid w:val="27B84691"/>
    <w:rsid w:val="27BF01FC"/>
    <w:rsid w:val="27F348ED"/>
    <w:rsid w:val="28310BF8"/>
    <w:rsid w:val="284E42F0"/>
    <w:rsid w:val="2878447F"/>
    <w:rsid w:val="28B74948"/>
    <w:rsid w:val="28BD1C09"/>
    <w:rsid w:val="28BE2AAF"/>
    <w:rsid w:val="28C80E84"/>
    <w:rsid w:val="28C831FB"/>
    <w:rsid w:val="28DB0637"/>
    <w:rsid w:val="28DC43AF"/>
    <w:rsid w:val="28DE2B78"/>
    <w:rsid w:val="28F9286B"/>
    <w:rsid w:val="29015BC3"/>
    <w:rsid w:val="2912392D"/>
    <w:rsid w:val="291853E7"/>
    <w:rsid w:val="29193C51"/>
    <w:rsid w:val="291C47AB"/>
    <w:rsid w:val="291D0F56"/>
    <w:rsid w:val="29876946"/>
    <w:rsid w:val="2A152AE0"/>
    <w:rsid w:val="2A1D1A0C"/>
    <w:rsid w:val="2A6035FA"/>
    <w:rsid w:val="2A6E7832"/>
    <w:rsid w:val="2A992557"/>
    <w:rsid w:val="2AA21368"/>
    <w:rsid w:val="2AA8279A"/>
    <w:rsid w:val="2AAD0D3B"/>
    <w:rsid w:val="2ACD4FD1"/>
    <w:rsid w:val="2B284736"/>
    <w:rsid w:val="2B980A61"/>
    <w:rsid w:val="2B9B22FF"/>
    <w:rsid w:val="2BAB10A3"/>
    <w:rsid w:val="2BB86A0D"/>
    <w:rsid w:val="2BC85CFF"/>
    <w:rsid w:val="2BC86A33"/>
    <w:rsid w:val="2BD82C0B"/>
    <w:rsid w:val="2BDF6B05"/>
    <w:rsid w:val="2BFE0A24"/>
    <w:rsid w:val="2C0D257E"/>
    <w:rsid w:val="2C157A26"/>
    <w:rsid w:val="2C1B0006"/>
    <w:rsid w:val="2C3A303C"/>
    <w:rsid w:val="2C8933F6"/>
    <w:rsid w:val="2C8A4EF3"/>
    <w:rsid w:val="2C916E65"/>
    <w:rsid w:val="2C923702"/>
    <w:rsid w:val="2C99485D"/>
    <w:rsid w:val="2CAA6046"/>
    <w:rsid w:val="2CB41F5D"/>
    <w:rsid w:val="2CFE473D"/>
    <w:rsid w:val="2D1B36F8"/>
    <w:rsid w:val="2D7231BA"/>
    <w:rsid w:val="2D930021"/>
    <w:rsid w:val="2D957987"/>
    <w:rsid w:val="2DA3256D"/>
    <w:rsid w:val="2DBF0C71"/>
    <w:rsid w:val="2DD81D49"/>
    <w:rsid w:val="2DE47479"/>
    <w:rsid w:val="2E597CFC"/>
    <w:rsid w:val="2E750BE6"/>
    <w:rsid w:val="2E9C43C4"/>
    <w:rsid w:val="2E9D1EEA"/>
    <w:rsid w:val="2EA5185D"/>
    <w:rsid w:val="2EA9088F"/>
    <w:rsid w:val="2EAC7E87"/>
    <w:rsid w:val="2EBF568F"/>
    <w:rsid w:val="2F3B59F9"/>
    <w:rsid w:val="2F3C5BA7"/>
    <w:rsid w:val="2F416B90"/>
    <w:rsid w:val="2F532603"/>
    <w:rsid w:val="2F792957"/>
    <w:rsid w:val="2FAA0D63"/>
    <w:rsid w:val="2FD73318"/>
    <w:rsid w:val="2FEE50F3"/>
    <w:rsid w:val="301E750B"/>
    <w:rsid w:val="30244BAD"/>
    <w:rsid w:val="305A3018"/>
    <w:rsid w:val="30616E68"/>
    <w:rsid w:val="30744ECD"/>
    <w:rsid w:val="30B86196"/>
    <w:rsid w:val="30DD6F16"/>
    <w:rsid w:val="30E44C1E"/>
    <w:rsid w:val="30E81B43"/>
    <w:rsid w:val="30F71D86"/>
    <w:rsid w:val="31076657"/>
    <w:rsid w:val="310D15A9"/>
    <w:rsid w:val="31277B54"/>
    <w:rsid w:val="313522D4"/>
    <w:rsid w:val="316D61B7"/>
    <w:rsid w:val="31772CB5"/>
    <w:rsid w:val="31BC4D7D"/>
    <w:rsid w:val="31CF0B1C"/>
    <w:rsid w:val="31EF5B2B"/>
    <w:rsid w:val="31F6028F"/>
    <w:rsid w:val="32176E7C"/>
    <w:rsid w:val="3230504D"/>
    <w:rsid w:val="324334B4"/>
    <w:rsid w:val="327A3E59"/>
    <w:rsid w:val="32C938B6"/>
    <w:rsid w:val="32E14A9C"/>
    <w:rsid w:val="32FA3DAF"/>
    <w:rsid w:val="32FC6C58"/>
    <w:rsid w:val="33114A93"/>
    <w:rsid w:val="3311784A"/>
    <w:rsid w:val="33157CC6"/>
    <w:rsid w:val="332631B6"/>
    <w:rsid w:val="336455C2"/>
    <w:rsid w:val="33666950"/>
    <w:rsid w:val="339064C2"/>
    <w:rsid w:val="33BE2727"/>
    <w:rsid w:val="33C36948"/>
    <w:rsid w:val="33CF2B46"/>
    <w:rsid w:val="34A74878"/>
    <w:rsid w:val="34AC67AE"/>
    <w:rsid w:val="34C344B6"/>
    <w:rsid w:val="350C6A50"/>
    <w:rsid w:val="354E03E2"/>
    <w:rsid w:val="356035C6"/>
    <w:rsid w:val="35705CCE"/>
    <w:rsid w:val="35752982"/>
    <w:rsid w:val="358B3EFE"/>
    <w:rsid w:val="35D9006C"/>
    <w:rsid w:val="35D91063"/>
    <w:rsid w:val="36062A6B"/>
    <w:rsid w:val="361E07D8"/>
    <w:rsid w:val="363B36EF"/>
    <w:rsid w:val="36853990"/>
    <w:rsid w:val="36C04CE2"/>
    <w:rsid w:val="36CF50E2"/>
    <w:rsid w:val="36D60E17"/>
    <w:rsid w:val="37022309"/>
    <w:rsid w:val="370C40B1"/>
    <w:rsid w:val="374E735C"/>
    <w:rsid w:val="37914FF2"/>
    <w:rsid w:val="37955E55"/>
    <w:rsid w:val="37B07096"/>
    <w:rsid w:val="37D3697D"/>
    <w:rsid w:val="382D3C16"/>
    <w:rsid w:val="38703EF4"/>
    <w:rsid w:val="38DE20FA"/>
    <w:rsid w:val="38F03692"/>
    <w:rsid w:val="38F2147E"/>
    <w:rsid w:val="39113C01"/>
    <w:rsid w:val="39292523"/>
    <w:rsid w:val="392A6A70"/>
    <w:rsid w:val="393A4AA1"/>
    <w:rsid w:val="395125A7"/>
    <w:rsid w:val="396F1683"/>
    <w:rsid w:val="3994149D"/>
    <w:rsid w:val="39AB0F94"/>
    <w:rsid w:val="39C23CD1"/>
    <w:rsid w:val="39D46D3A"/>
    <w:rsid w:val="39F7142D"/>
    <w:rsid w:val="39F96B40"/>
    <w:rsid w:val="3A06127C"/>
    <w:rsid w:val="3A4A1178"/>
    <w:rsid w:val="3A735A2E"/>
    <w:rsid w:val="3A783D9C"/>
    <w:rsid w:val="3A87215A"/>
    <w:rsid w:val="3B0B4711"/>
    <w:rsid w:val="3B2A2D58"/>
    <w:rsid w:val="3BD038FF"/>
    <w:rsid w:val="3BDC4967"/>
    <w:rsid w:val="3BED2D27"/>
    <w:rsid w:val="3BFB12B5"/>
    <w:rsid w:val="3C131A3E"/>
    <w:rsid w:val="3C2C12BF"/>
    <w:rsid w:val="3C5A141B"/>
    <w:rsid w:val="3C687FDC"/>
    <w:rsid w:val="3C7A20DC"/>
    <w:rsid w:val="3C9D2CF9"/>
    <w:rsid w:val="3CE5162C"/>
    <w:rsid w:val="3D1418C5"/>
    <w:rsid w:val="3D3C76DC"/>
    <w:rsid w:val="3D4445A5"/>
    <w:rsid w:val="3D5B4EF6"/>
    <w:rsid w:val="3D78424E"/>
    <w:rsid w:val="3D9170BE"/>
    <w:rsid w:val="3D987738"/>
    <w:rsid w:val="3DA93389"/>
    <w:rsid w:val="3DAC5D60"/>
    <w:rsid w:val="3DE6740A"/>
    <w:rsid w:val="3E152BD2"/>
    <w:rsid w:val="3E412EA8"/>
    <w:rsid w:val="3E725142"/>
    <w:rsid w:val="3E832EAB"/>
    <w:rsid w:val="3E8D3536"/>
    <w:rsid w:val="3E903A13"/>
    <w:rsid w:val="3E9649EE"/>
    <w:rsid w:val="3EAE67F0"/>
    <w:rsid w:val="3EB43FB6"/>
    <w:rsid w:val="3EDD0366"/>
    <w:rsid w:val="3EF56C9B"/>
    <w:rsid w:val="3F2C346C"/>
    <w:rsid w:val="3F485EA2"/>
    <w:rsid w:val="3F502186"/>
    <w:rsid w:val="3F9547D9"/>
    <w:rsid w:val="3FA72BC9"/>
    <w:rsid w:val="3FB62E0C"/>
    <w:rsid w:val="3FD85E20"/>
    <w:rsid w:val="3FE67B95"/>
    <w:rsid w:val="4021297B"/>
    <w:rsid w:val="403C12E3"/>
    <w:rsid w:val="405B6533"/>
    <w:rsid w:val="40816E5F"/>
    <w:rsid w:val="410D4CAE"/>
    <w:rsid w:val="41283409"/>
    <w:rsid w:val="41445E21"/>
    <w:rsid w:val="414A254E"/>
    <w:rsid w:val="41AC096A"/>
    <w:rsid w:val="41AC0B61"/>
    <w:rsid w:val="41E46B19"/>
    <w:rsid w:val="422C5607"/>
    <w:rsid w:val="426C3C56"/>
    <w:rsid w:val="428611BC"/>
    <w:rsid w:val="42885625"/>
    <w:rsid w:val="42A716A4"/>
    <w:rsid w:val="42B95DBA"/>
    <w:rsid w:val="430976F7"/>
    <w:rsid w:val="43142AC3"/>
    <w:rsid w:val="43353893"/>
    <w:rsid w:val="43781512"/>
    <w:rsid w:val="43853221"/>
    <w:rsid w:val="43C50FE7"/>
    <w:rsid w:val="43D1290A"/>
    <w:rsid w:val="43D434EA"/>
    <w:rsid w:val="43DF2FA1"/>
    <w:rsid w:val="43EC2FD6"/>
    <w:rsid w:val="43ED637B"/>
    <w:rsid w:val="43F16F39"/>
    <w:rsid w:val="443609BF"/>
    <w:rsid w:val="446C2633"/>
    <w:rsid w:val="44817E8C"/>
    <w:rsid w:val="448E2397"/>
    <w:rsid w:val="44AD6ED3"/>
    <w:rsid w:val="4510707A"/>
    <w:rsid w:val="45844CF3"/>
    <w:rsid w:val="45983BAA"/>
    <w:rsid w:val="46050649"/>
    <w:rsid w:val="460E1316"/>
    <w:rsid w:val="462C563F"/>
    <w:rsid w:val="46E35277"/>
    <w:rsid w:val="46FA0B93"/>
    <w:rsid w:val="46FE6003"/>
    <w:rsid w:val="4716386F"/>
    <w:rsid w:val="47695B01"/>
    <w:rsid w:val="476D2F23"/>
    <w:rsid w:val="47CA7D9C"/>
    <w:rsid w:val="47FC1B17"/>
    <w:rsid w:val="47FC237E"/>
    <w:rsid w:val="481E59F2"/>
    <w:rsid w:val="485A1120"/>
    <w:rsid w:val="489074C2"/>
    <w:rsid w:val="48913093"/>
    <w:rsid w:val="489472C3"/>
    <w:rsid w:val="48D20267"/>
    <w:rsid w:val="491D214E"/>
    <w:rsid w:val="494315F7"/>
    <w:rsid w:val="49757894"/>
    <w:rsid w:val="499A554C"/>
    <w:rsid w:val="49EA0282"/>
    <w:rsid w:val="4A227360"/>
    <w:rsid w:val="4A8D0D5D"/>
    <w:rsid w:val="4A912EB6"/>
    <w:rsid w:val="4AA30431"/>
    <w:rsid w:val="4AA502C4"/>
    <w:rsid w:val="4AD8457E"/>
    <w:rsid w:val="4AEA38FC"/>
    <w:rsid w:val="4B0C247A"/>
    <w:rsid w:val="4B1472F8"/>
    <w:rsid w:val="4B226013"/>
    <w:rsid w:val="4B2562B0"/>
    <w:rsid w:val="4B312CAE"/>
    <w:rsid w:val="4B8D15C5"/>
    <w:rsid w:val="4C2C5BFE"/>
    <w:rsid w:val="4C325F10"/>
    <w:rsid w:val="4C564A1F"/>
    <w:rsid w:val="4C6A0571"/>
    <w:rsid w:val="4C886E35"/>
    <w:rsid w:val="4CA010CC"/>
    <w:rsid w:val="4CB83514"/>
    <w:rsid w:val="4CC6225B"/>
    <w:rsid w:val="4D1F0243"/>
    <w:rsid w:val="4D1F6494"/>
    <w:rsid w:val="4D347D62"/>
    <w:rsid w:val="4D3B3EEC"/>
    <w:rsid w:val="4DA206A7"/>
    <w:rsid w:val="4DE21AEF"/>
    <w:rsid w:val="4E1F1C50"/>
    <w:rsid w:val="4E726A98"/>
    <w:rsid w:val="4E7F7F7D"/>
    <w:rsid w:val="4EB63951"/>
    <w:rsid w:val="4ECF5C98"/>
    <w:rsid w:val="4ED84B4D"/>
    <w:rsid w:val="4EFE1FDB"/>
    <w:rsid w:val="4F137383"/>
    <w:rsid w:val="4F795FF7"/>
    <w:rsid w:val="4F833B6A"/>
    <w:rsid w:val="4F844CD5"/>
    <w:rsid w:val="4FAE276C"/>
    <w:rsid w:val="4FEF4951"/>
    <w:rsid w:val="4FF35227"/>
    <w:rsid w:val="5051105B"/>
    <w:rsid w:val="50717456"/>
    <w:rsid w:val="50772144"/>
    <w:rsid w:val="507A104B"/>
    <w:rsid w:val="507C775A"/>
    <w:rsid w:val="50B42235"/>
    <w:rsid w:val="50E6770A"/>
    <w:rsid w:val="50F5385F"/>
    <w:rsid w:val="51404C2B"/>
    <w:rsid w:val="515C7A47"/>
    <w:rsid w:val="516C2A20"/>
    <w:rsid w:val="5181771E"/>
    <w:rsid w:val="51A83615"/>
    <w:rsid w:val="52045397"/>
    <w:rsid w:val="52053C91"/>
    <w:rsid w:val="521A36CE"/>
    <w:rsid w:val="52381E68"/>
    <w:rsid w:val="52412344"/>
    <w:rsid w:val="525A1D1D"/>
    <w:rsid w:val="52894BAA"/>
    <w:rsid w:val="52EB5F15"/>
    <w:rsid w:val="52F74D15"/>
    <w:rsid w:val="530970EF"/>
    <w:rsid w:val="532109F3"/>
    <w:rsid w:val="53261907"/>
    <w:rsid w:val="53283BC9"/>
    <w:rsid w:val="5376697B"/>
    <w:rsid w:val="53794425"/>
    <w:rsid w:val="539F3E8B"/>
    <w:rsid w:val="53A92F5C"/>
    <w:rsid w:val="53AE6C61"/>
    <w:rsid w:val="53E15854"/>
    <w:rsid w:val="540E757D"/>
    <w:rsid w:val="542358AE"/>
    <w:rsid w:val="543A6111"/>
    <w:rsid w:val="5448484F"/>
    <w:rsid w:val="545D5AF4"/>
    <w:rsid w:val="54714232"/>
    <w:rsid w:val="5494510F"/>
    <w:rsid w:val="54B35714"/>
    <w:rsid w:val="54BF7FC7"/>
    <w:rsid w:val="54E806DE"/>
    <w:rsid w:val="54FE453C"/>
    <w:rsid w:val="55445770"/>
    <w:rsid w:val="55517AB0"/>
    <w:rsid w:val="55652EE7"/>
    <w:rsid w:val="55C27DC6"/>
    <w:rsid w:val="55C776C9"/>
    <w:rsid w:val="55DE3AD4"/>
    <w:rsid w:val="56155C85"/>
    <w:rsid w:val="56183E1F"/>
    <w:rsid w:val="56262F22"/>
    <w:rsid w:val="56644F18"/>
    <w:rsid w:val="56723418"/>
    <w:rsid w:val="56FE35BF"/>
    <w:rsid w:val="56FE68E2"/>
    <w:rsid w:val="5712700E"/>
    <w:rsid w:val="57346FE0"/>
    <w:rsid w:val="57607DD5"/>
    <w:rsid w:val="57612B1D"/>
    <w:rsid w:val="57804DA3"/>
    <w:rsid w:val="57895469"/>
    <w:rsid w:val="57C72F5D"/>
    <w:rsid w:val="57F10A2D"/>
    <w:rsid w:val="583A7F3A"/>
    <w:rsid w:val="586456A3"/>
    <w:rsid w:val="58B2640F"/>
    <w:rsid w:val="58BC3C86"/>
    <w:rsid w:val="58BE1257"/>
    <w:rsid w:val="58D6509E"/>
    <w:rsid w:val="59084281"/>
    <w:rsid w:val="5919023C"/>
    <w:rsid w:val="59374E8B"/>
    <w:rsid w:val="596E737A"/>
    <w:rsid w:val="5A1153B7"/>
    <w:rsid w:val="5A170548"/>
    <w:rsid w:val="5A203357"/>
    <w:rsid w:val="5A2F276A"/>
    <w:rsid w:val="5A701ABB"/>
    <w:rsid w:val="5ABC17C7"/>
    <w:rsid w:val="5ACC7530"/>
    <w:rsid w:val="5ACD76C2"/>
    <w:rsid w:val="5B170246"/>
    <w:rsid w:val="5B2353A2"/>
    <w:rsid w:val="5B7469B9"/>
    <w:rsid w:val="5B9C5154"/>
    <w:rsid w:val="5BA1276A"/>
    <w:rsid w:val="5BC33FCF"/>
    <w:rsid w:val="5BDB135C"/>
    <w:rsid w:val="5BEF797A"/>
    <w:rsid w:val="5BFC346F"/>
    <w:rsid w:val="5C2869E8"/>
    <w:rsid w:val="5C62746E"/>
    <w:rsid w:val="5CA43F90"/>
    <w:rsid w:val="5CC02B6E"/>
    <w:rsid w:val="5CC14DE8"/>
    <w:rsid w:val="5CC73208"/>
    <w:rsid w:val="5D0A3484"/>
    <w:rsid w:val="5D0E3E30"/>
    <w:rsid w:val="5D121B72"/>
    <w:rsid w:val="5D1A6C78"/>
    <w:rsid w:val="5D4B5084"/>
    <w:rsid w:val="5D666A10"/>
    <w:rsid w:val="5D7F4ADA"/>
    <w:rsid w:val="5DA1134E"/>
    <w:rsid w:val="5DB674A2"/>
    <w:rsid w:val="5DD97295"/>
    <w:rsid w:val="5E056E7A"/>
    <w:rsid w:val="5E1D07CE"/>
    <w:rsid w:val="5E384F14"/>
    <w:rsid w:val="5E851A0A"/>
    <w:rsid w:val="5F0674B4"/>
    <w:rsid w:val="5F105688"/>
    <w:rsid w:val="5F1270AE"/>
    <w:rsid w:val="5F184BB5"/>
    <w:rsid w:val="5F9725FD"/>
    <w:rsid w:val="5FBE4C56"/>
    <w:rsid w:val="5FBE7D8F"/>
    <w:rsid w:val="5FF86B47"/>
    <w:rsid w:val="5FFE63DD"/>
    <w:rsid w:val="60126AB0"/>
    <w:rsid w:val="60341DFF"/>
    <w:rsid w:val="60483AFC"/>
    <w:rsid w:val="604A33D1"/>
    <w:rsid w:val="604D2C0D"/>
    <w:rsid w:val="60767583"/>
    <w:rsid w:val="60932FCA"/>
    <w:rsid w:val="60C03693"/>
    <w:rsid w:val="60DD017A"/>
    <w:rsid w:val="61007F33"/>
    <w:rsid w:val="6118223F"/>
    <w:rsid w:val="61227EAA"/>
    <w:rsid w:val="614D0641"/>
    <w:rsid w:val="61735DAF"/>
    <w:rsid w:val="61B435A1"/>
    <w:rsid w:val="61DC44FC"/>
    <w:rsid w:val="61E772D9"/>
    <w:rsid w:val="61FF5AFE"/>
    <w:rsid w:val="62145DE7"/>
    <w:rsid w:val="62232108"/>
    <w:rsid w:val="6243457B"/>
    <w:rsid w:val="62507264"/>
    <w:rsid w:val="626369CC"/>
    <w:rsid w:val="629B7F14"/>
    <w:rsid w:val="62AD259C"/>
    <w:rsid w:val="62F51D1A"/>
    <w:rsid w:val="63184985"/>
    <w:rsid w:val="631B1054"/>
    <w:rsid w:val="632919C3"/>
    <w:rsid w:val="633D546F"/>
    <w:rsid w:val="634B193A"/>
    <w:rsid w:val="635A1B7D"/>
    <w:rsid w:val="63667031"/>
    <w:rsid w:val="636E02AA"/>
    <w:rsid w:val="63C05480"/>
    <w:rsid w:val="63C55531"/>
    <w:rsid w:val="63D27965"/>
    <w:rsid w:val="63D77F02"/>
    <w:rsid w:val="641C7D58"/>
    <w:rsid w:val="64333AA9"/>
    <w:rsid w:val="643B5AE2"/>
    <w:rsid w:val="643C5726"/>
    <w:rsid w:val="647924D6"/>
    <w:rsid w:val="647B624F"/>
    <w:rsid w:val="64875A84"/>
    <w:rsid w:val="64B21544"/>
    <w:rsid w:val="64BE00A9"/>
    <w:rsid w:val="64C00105"/>
    <w:rsid w:val="64E363C6"/>
    <w:rsid w:val="653A1C66"/>
    <w:rsid w:val="65491EA9"/>
    <w:rsid w:val="654938EE"/>
    <w:rsid w:val="654F4FE5"/>
    <w:rsid w:val="65680360"/>
    <w:rsid w:val="656960A7"/>
    <w:rsid w:val="659E5C1E"/>
    <w:rsid w:val="65BB69DC"/>
    <w:rsid w:val="66154959"/>
    <w:rsid w:val="663F505A"/>
    <w:rsid w:val="66482160"/>
    <w:rsid w:val="665C60F6"/>
    <w:rsid w:val="666117D5"/>
    <w:rsid w:val="668B7622"/>
    <w:rsid w:val="66926377"/>
    <w:rsid w:val="66BA2BF4"/>
    <w:rsid w:val="66F73FD5"/>
    <w:rsid w:val="672B36D8"/>
    <w:rsid w:val="675B2C20"/>
    <w:rsid w:val="677B0F35"/>
    <w:rsid w:val="678A5EE9"/>
    <w:rsid w:val="67904C08"/>
    <w:rsid w:val="67C57D42"/>
    <w:rsid w:val="68432FCD"/>
    <w:rsid w:val="684709BA"/>
    <w:rsid w:val="6853545A"/>
    <w:rsid w:val="68610785"/>
    <w:rsid w:val="68866D48"/>
    <w:rsid w:val="6892296D"/>
    <w:rsid w:val="68A1024E"/>
    <w:rsid w:val="68A15AAC"/>
    <w:rsid w:val="68D036A0"/>
    <w:rsid w:val="68E048D2"/>
    <w:rsid w:val="68FF5FCA"/>
    <w:rsid w:val="694D37A1"/>
    <w:rsid w:val="69782D5D"/>
    <w:rsid w:val="69AF0748"/>
    <w:rsid w:val="6A1707C7"/>
    <w:rsid w:val="6A1D278B"/>
    <w:rsid w:val="6A3F7D1E"/>
    <w:rsid w:val="6A641533"/>
    <w:rsid w:val="6A6E6993"/>
    <w:rsid w:val="6A985B49"/>
    <w:rsid w:val="6AC35933"/>
    <w:rsid w:val="6ADB164D"/>
    <w:rsid w:val="6ADC31BD"/>
    <w:rsid w:val="6AFE7291"/>
    <w:rsid w:val="6B032335"/>
    <w:rsid w:val="6B2C4776"/>
    <w:rsid w:val="6B6F63E1"/>
    <w:rsid w:val="6B8F0831"/>
    <w:rsid w:val="6BBC2070"/>
    <w:rsid w:val="6BF84629"/>
    <w:rsid w:val="6C1315D1"/>
    <w:rsid w:val="6C2C6080"/>
    <w:rsid w:val="6C404DBF"/>
    <w:rsid w:val="6C527983"/>
    <w:rsid w:val="6C9D6EE8"/>
    <w:rsid w:val="6CAD5413"/>
    <w:rsid w:val="6CAE6EF3"/>
    <w:rsid w:val="6CCD1786"/>
    <w:rsid w:val="6CD24E7A"/>
    <w:rsid w:val="6CFE5C6F"/>
    <w:rsid w:val="6D063CA2"/>
    <w:rsid w:val="6D190D34"/>
    <w:rsid w:val="6D2A1B96"/>
    <w:rsid w:val="6D2C6FFB"/>
    <w:rsid w:val="6D516268"/>
    <w:rsid w:val="6D732B2F"/>
    <w:rsid w:val="6D7E7CEE"/>
    <w:rsid w:val="6D836174"/>
    <w:rsid w:val="6DA20B09"/>
    <w:rsid w:val="6DAC78C2"/>
    <w:rsid w:val="6DCF23BF"/>
    <w:rsid w:val="6DFF60EA"/>
    <w:rsid w:val="6E062DDB"/>
    <w:rsid w:val="6E192634"/>
    <w:rsid w:val="6E1D432C"/>
    <w:rsid w:val="6E3B25AB"/>
    <w:rsid w:val="6E4C2A0A"/>
    <w:rsid w:val="6E571090"/>
    <w:rsid w:val="6E647AFF"/>
    <w:rsid w:val="6E6B0EA8"/>
    <w:rsid w:val="6E6D2E41"/>
    <w:rsid w:val="6E761C3E"/>
    <w:rsid w:val="6EB72428"/>
    <w:rsid w:val="6ED22F0F"/>
    <w:rsid w:val="6ED722D3"/>
    <w:rsid w:val="6ED76746"/>
    <w:rsid w:val="6EE449F0"/>
    <w:rsid w:val="6F351955"/>
    <w:rsid w:val="6F3B4F58"/>
    <w:rsid w:val="6F4F27B2"/>
    <w:rsid w:val="6F5E4B01"/>
    <w:rsid w:val="6F743FC6"/>
    <w:rsid w:val="6F7A2808"/>
    <w:rsid w:val="6F8862D0"/>
    <w:rsid w:val="6F8E34A0"/>
    <w:rsid w:val="6FA61F7F"/>
    <w:rsid w:val="6FD56FBD"/>
    <w:rsid w:val="70082960"/>
    <w:rsid w:val="700D1FC1"/>
    <w:rsid w:val="70197BFF"/>
    <w:rsid w:val="702E0619"/>
    <w:rsid w:val="706972C8"/>
    <w:rsid w:val="707D6EAA"/>
    <w:rsid w:val="70B81EFE"/>
    <w:rsid w:val="70BB1FD1"/>
    <w:rsid w:val="70C769F2"/>
    <w:rsid w:val="70CC388D"/>
    <w:rsid w:val="70FB27E1"/>
    <w:rsid w:val="71720EFC"/>
    <w:rsid w:val="71801743"/>
    <w:rsid w:val="719F2B78"/>
    <w:rsid w:val="71B608C6"/>
    <w:rsid w:val="722816A5"/>
    <w:rsid w:val="7228635C"/>
    <w:rsid w:val="722F5BD6"/>
    <w:rsid w:val="72477770"/>
    <w:rsid w:val="724A7260"/>
    <w:rsid w:val="725B146D"/>
    <w:rsid w:val="72641F5F"/>
    <w:rsid w:val="727F71B4"/>
    <w:rsid w:val="728E0BCD"/>
    <w:rsid w:val="72AA7CFF"/>
    <w:rsid w:val="72B37254"/>
    <w:rsid w:val="72B62B48"/>
    <w:rsid w:val="72C10A76"/>
    <w:rsid w:val="72F664B4"/>
    <w:rsid w:val="731A4E85"/>
    <w:rsid w:val="73437FFB"/>
    <w:rsid w:val="73C6500C"/>
    <w:rsid w:val="74011176"/>
    <w:rsid w:val="74055B35"/>
    <w:rsid w:val="74131DC3"/>
    <w:rsid w:val="741A2264"/>
    <w:rsid w:val="741E4E65"/>
    <w:rsid w:val="741F27B3"/>
    <w:rsid w:val="743964C5"/>
    <w:rsid w:val="74604B19"/>
    <w:rsid w:val="746C3252"/>
    <w:rsid w:val="74786A09"/>
    <w:rsid w:val="7480289B"/>
    <w:rsid w:val="74AB5A4B"/>
    <w:rsid w:val="74AF0062"/>
    <w:rsid w:val="74CA346D"/>
    <w:rsid w:val="74E93935"/>
    <w:rsid w:val="74EE65C9"/>
    <w:rsid w:val="74F6547D"/>
    <w:rsid w:val="74FB66C4"/>
    <w:rsid w:val="750E5C0A"/>
    <w:rsid w:val="7524023C"/>
    <w:rsid w:val="7534026E"/>
    <w:rsid w:val="754220E2"/>
    <w:rsid w:val="75475CD9"/>
    <w:rsid w:val="75AD1C5D"/>
    <w:rsid w:val="75C630A2"/>
    <w:rsid w:val="75CF1603"/>
    <w:rsid w:val="75E50B21"/>
    <w:rsid w:val="76011FCF"/>
    <w:rsid w:val="765A7BD2"/>
    <w:rsid w:val="766102BD"/>
    <w:rsid w:val="76AF3F51"/>
    <w:rsid w:val="76CC0B8C"/>
    <w:rsid w:val="770C71DA"/>
    <w:rsid w:val="770F0D35"/>
    <w:rsid w:val="771542E1"/>
    <w:rsid w:val="772B7660"/>
    <w:rsid w:val="774A5E58"/>
    <w:rsid w:val="775E6C72"/>
    <w:rsid w:val="77967613"/>
    <w:rsid w:val="77B1236E"/>
    <w:rsid w:val="77B92EBE"/>
    <w:rsid w:val="77C04E5D"/>
    <w:rsid w:val="781A1759"/>
    <w:rsid w:val="78267E28"/>
    <w:rsid w:val="782F49E5"/>
    <w:rsid w:val="783B7D77"/>
    <w:rsid w:val="78D44D9E"/>
    <w:rsid w:val="78F9553C"/>
    <w:rsid w:val="79075507"/>
    <w:rsid w:val="79447CE9"/>
    <w:rsid w:val="794B3FEA"/>
    <w:rsid w:val="795862E5"/>
    <w:rsid w:val="796055BB"/>
    <w:rsid w:val="797D7F1B"/>
    <w:rsid w:val="7992259E"/>
    <w:rsid w:val="79E54733"/>
    <w:rsid w:val="7A083270"/>
    <w:rsid w:val="7A3F4529"/>
    <w:rsid w:val="7A52068A"/>
    <w:rsid w:val="7A5A304A"/>
    <w:rsid w:val="7A8A6D94"/>
    <w:rsid w:val="7A9E3B24"/>
    <w:rsid w:val="7A9E7A00"/>
    <w:rsid w:val="7ACF185B"/>
    <w:rsid w:val="7AEA5251"/>
    <w:rsid w:val="7B242D44"/>
    <w:rsid w:val="7B2C4D1C"/>
    <w:rsid w:val="7B6034AD"/>
    <w:rsid w:val="7B6A4936"/>
    <w:rsid w:val="7B89388B"/>
    <w:rsid w:val="7BB2374E"/>
    <w:rsid w:val="7BF54043"/>
    <w:rsid w:val="7C1525B1"/>
    <w:rsid w:val="7C417C7D"/>
    <w:rsid w:val="7C54688B"/>
    <w:rsid w:val="7C9061B7"/>
    <w:rsid w:val="7CA66700"/>
    <w:rsid w:val="7CC31327"/>
    <w:rsid w:val="7D4739FE"/>
    <w:rsid w:val="7D626CDB"/>
    <w:rsid w:val="7D6E00FA"/>
    <w:rsid w:val="7D7852C0"/>
    <w:rsid w:val="7DC70C40"/>
    <w:rsid w:val="7DDD542C"/>
    <w:rsid w:val="7E374B3D"/>
    <w:rsid w:val="7E3F60E7"/>
    <w:rsid w:val="7E527BC8"/>
    <w:rsid w:val="7E6E42D6"/>
    <w:rsid w:val="7E7B6FE3"/>
    <w:rsid w:val="7E832EB6"/>
    <w:rsid w:val="7E8B0457"/>
    <w:rsid w:val="7E8D6E52"/>
    <w:rsid w:val="7EAF6610"/>
    <w:rsid w:val="7EBC2EF5"/>
    <w:rsid w:val="7ED213F8"/>
    <w:rsid w:val="7F072585"/>
    <w:rsid w:val="7F264BB1"/>
    <w:rsid w:val="7F385F91"/>
    <w:rsid w:val="7F45772D"/>
    <w:rsid w:val="7F5035A9"/>
    <w:rsid w:val="7F587AB8"/>
    <w:rsid w:val="7F764496"/>
    <w:rsid w:val="7F805A9C"/>
    <w:rsid w:val="7F865B48"/>
    <w:rsid w:val="7FA6122F"/>
    <w:rsid w:val="7FAC4F3F"/>
    <w:rsid w:val="7FB1091F"/>
    <w:rsid w:val="7FD50AB1"/>
    <w:rsid w:val="7FE40CF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qFormat="1" w:unhideWhenUsed="0" w:uiPriority="0" w:name="table of authorities"/>
    <w:lsdException w:qFormat="1" w:unhideWhenUsed="0" w:uiPriority="0" w:name="macro"/>
    <w:lsdException w:qFormat="1" w:unhideWhenUsed="0" w:uiPriority="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99" w:semiHidden="0" w:name="Plain Text"/>
    <w:lsdException w:qFormat="1" w:unhideWhenUsed="0" w:uiPriority="0" w:semiHidden="0" w:name="E-mail Signature"/>
    <w:lsdException w:qFormat="1" w:unhideWhenUsed="0" w:uiPriority="99" w:semiHidden="0" w:name="Normal (Web)"/>
    <w:lsdException w:unhideWhenUsed="0" w:uiPriority="0" w:semiHidden="0" w:name="HTML Acronym"/>
    <w:lsdException w:qFormat="1"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4">
    <w:name w:val="heading 1"/>
    <w:basedOn w:val="1"/>
    <w:next w:val="1"/>
    <w:link w:val="341"/>
    <w:qFormat/>
    <w:uiPriority w:val="9"/>
    <w:pPr>
      <w:keepNext/>
      <w:keepLines/>
      <w:adjustRightInd w:val="0"/>
      <w:spacing w:line="460" w:lineRule="exact"/>
      <w:jc w:val="left"/>
      <w:textAlignment w:val="baseline"/>
      <w:outlineLvl w:val="0"/>
    </w:pPr>
    <w:rPr>
      <w:b/>
      <w:kern w:val="44"/>
      <w:sz w:val="32"/>
      <w:szCs w:val="20"/>
    </w:rPr>
  </w:style>
  <w:style w:type="paragraph" w:styleId="5">
    <w:name w:val="heading 2"/>
    <w:basedOn w:val="1"/>
    <w:next w:val="1"/>
    <w:link w:val="349"/>
    <w:qFormat/>
    <w:uiPriority w:val="9"/>
    <w:pPr>
      <w:keepNext/>
      <w:keepLines/>
      <w:autoSpaceDE w:val="0"/>
      <w:autoSpaceDN w:val="0"/>
      <w:adjustRightInd w:val="0"/>
      <w:spacing w:before="260" w:after="260" w:line="413" w:lineRule="auto"/>
      <w:jc w:val="left"/>
      <w:textAlignment w:val="baseline"/>
      <w:outlineLvl w:val="1"/>
    </w:pPr>
    <w:rPr>
      <w:rFonts w:ascii="Arial" w:hAnsi="Arial" w:eastAsia="黑体"/>
      <w:b/>
      <w:kern w:val="0"/>
      <w:sz w:val="32"/>
      <w:szCs w:val="20"/>
    </w:rPr>
  </w:style>
  <w:style w:type="paragraph" w:styleId="2">
    <w:name w:val="heading 3"/>
    <w:basedOn w:val="1"/>
    <w:next w:val="1"/>
    <w:link w:val="390"/>
    <w:qFormat/>
    <w:uiPriority w:val="0"/>
    <w:pPr>
      <w:keepNext/>
      <w:keepLines/>
      <w:autoSpaceDE w:val="0"/>
      <w:autoSpaceDN w:val="0"/>
      <w:adjustRightInd w:val="0"/>
      <w:spacing w:before="260" w:after="260" w:line="413" w:lineRule="auto"/>
      <w:jc w:val="left"/>
      <w:textAlignment w:val="baseline"/>
      <w:outlineLvl w:val="2"/>
    </w:pPr>
    <w:rPr>
      <w:rFonts w:ascii="宋体"/>
      <w:b/>
      <w:kern w:val="0"/>
      <w:sz w:val="32"/>
      <w:szCs w:val="20"/>
    </w:rPr>
  </w:style>
  <w:style w:type="paragraph" w:styleId="6">
    <w:name w:val="heading 4"/>
    <w:basedOn w:val="1"/>
    <w:next w:val="1"/>
    <w:qFormat/>
    <w:uiPriority w:val="0"/>
    <w:pPr>
      <w:tabs>
        <w:tab w:val="left" w:pos="720"/>
      </w:tabs>
      <w:adjustRightInd w:val="0"/>
      <w:spacing w:line="460" w:lineRule="exact"/>
      <w:jc w:val="left"/>
      <w:textAlignment w:val="baseline"/>
      <w:outlineLvl w:val="3"/>
    </w:pPr>
    <w:rPr>
      <w:kern w:val="0"/>
      <w:sz w:val="24"/>
      <w:szCs w:val="20"/>
    </w:rPr>
  </w:style>
  <w:style w:type="paragraph" w:styleId="7">
    <w:name w:val="heading 5"/>
    <w:basedOn w:val="1"/>
    <w:next w:val="1"/>
    <w:qFormat/>
    <w:uiPriority w:val="0"/>
    <w:pPr>
      <w:tabs>
        <w:tab w:val="left" w:pos="360"/>
      </w:tabs>
      <w:adjustRightInd w:val="0"/>
      <w:spacing w:line="360" w:lineRule="auto"/>
      <w:textAlignment w:val="baseline"/>
      <w:outlineLvl w:val="4"/>
    </w:pPr>
    <w:rPr>
      <w:kern w:val="0"/>
      <w:sz w:val="24"/>
      <w:szCs w:val="20"/>
    </w:rPr>
  </w:style>
  <w:style w:type="paragraph" w:styleId="8">
    <w:name w:val="heading 6"/>
    <w:basedOn w:val="1"/>
    <w:next w:val="1"/>
    <w:qFormat/>
    <w:uiPriority w:val="0"/>
    <w:pPr>
      <w:tabs>
        <w:tab w:val="left" w:pos="0"/>
      </w:tabs>
      <w:adjustRightInd w:val="0"/>
      <w:spacing w:line="460" w:lineRule="exact"/>
      <w:jc w:val="left"/>
      <w:textAlignment w:val="baseline"/>
      <w:outlineLvl w:val="5"/>
    </w:pPr>
    <w:rPr>
      <w:kern w:val="0"/>
      <w:sz w:val="24"/>
      <w:szCs w:val="20"/>
    </w:rPr>
  </w:style>
  <w:style w:type="paragraph" w:styleId="9">
    <w:name w:val="heading 7"/>
    <w:basedOn w:val="1"/>
    <w:next w:val="1"/>
    <w:qFormat/>
    <w:uiPriority w:val="0"/>
    <w:pPr>
      <w:tabs>
        <w:tab w:val="left" w:pos="0"/>
      </w:tabs>
      <w:adjustRightInd w:val="0"/>
      <w:spacing w:line="460" w:lineRule="exact"/>
      <w:jc w:val="left"/>
      <w:textAlignment w:val="baseline"/>
      <w:outlineLvl w:val="6"/>
    </w:pPr>
    <w:rPr>
      <w:kern w:val="0"/>
      <w:sz w:val="24"/>
      <w:szCs w:val="20"/>
    </w:rPr>
  </w:style>
  <w:style w:type="paragraph" w:styleId="10">
    <w:name w:val="heading 8"/>
    <w:basedOn w:val="1"/>
    <w:next w:val="1"/>
    <w:qFormat/>
    <w:uiPriority w:val="0"/>
    <w:pPr>
      <w:tabs>
        <w:tab w:val="left" w:pos="0"/>
      </w:tabs>
      <w:adjustRightInd w:val="0"/>
      <w:spacing w:line="460" w:lineRule="exact"/>
      <w:jc w:val="left"/>
      <w:textAlignment w:val="baseline"/>
      <w:outlineLvl w:val="7"/>
    </w:pPr>
    <w:rPr>
      <w:kern w:val="0"/>
      <w:sz w:val="24"/>
      <w:szCs w:val="20"/>
    </w:rPr>
  </w:style>
  <w:style w:type="paragraph" w:styleId="11">
    <w:name w:val="heading 9"/>
    <w:basedOn w:val="1"/>
    <w:next w:val="1"/>
    <w:qFormat/>
    <w:uiPriority w:val="0"/>
    <w:pPr>
      <w:keepNext/>
      <w:keepLines/>
      <w:tabs>
        <w:tab w:val="left" w:pos="0"/>
      </w:tabs>
      <w:adjustRightInd w:val="0"/>
      <w:spacing w:before="240" w:after="64" w:line="320" w:lineRule="atLeast"/>
      <w:jc w:val="left"/>
      <w:textAlignment w:val="baseline"/>
      <w:outlineLvl w:val="8"/>
    </w:pPr>
    <w:rPr>
      <w:rFonts w:ascii="Arial" w:hAnsi="Arial" w:eastAsia="黑体"/>
      <w:kern w:val="0"/>
      <w:sz w:val="24"/>
      <w:szCs w:val="20"/>
    </w:rPr>
  </w:style>
  <w:style w:type="character" w:default="1" w:styleId="90">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3">
    <w:name w:val="macro"/>
    <w:semiHidden/>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宋体" w:cs="Courier New"/>
      <w:kern w:val="2"/>
      <w:sz w:val="24"/>
      <w:szCs w:val="24"/>
      <w:lang w:val="en-US" w:eastAsia="zh-CN" w:bidi="ar-SA"/>
    </w:rPr>
  </w:style>
  <w:style w:type="paragraph" w:styleId="12">
    <w:name w:val="List 3"/>
    <w:basedOn w:val="1"/>
    <w:qFormat/>
    <w:uiPriority w:val="0"/>
    <w:pPr>
      <w:ind w:left="100" w:leftChars="400" w:hanging="200" w:hangingChars="200"/>
    </w:pPr>
  </w:style>
  <w:style w:type="paragraph" w:styleId="13">
    <w:name w:val="toc 7"/>
    <w:basedOn w:val="1"/>
    <w:next w:val="1"/>
    <w:qFormat/>
    <w:uiPriority w:val="0"/>
    <w:pPr>
      <w:ind w:left="1260"/>
      <w:jc w:val="left"/>
    </w:pPr>
    <w:rPr>
      <w:sz w:val="18"/>
      <w:szCs w:val="20"/>
    </w:rPr>
  </w:style>
  <w:style w:type="paragraph" w:styleId="14">
    <w:name w:val="List Number 2"/>
    <w:basedOn w:val="1"/>
    <w:qFormat/>
    <w:uiPriority w:val="0"/>
    <w:pPr>
      <w:numPr>
        <w:ilvl w:val="0"/>
        <w:numId w:val="1"/>
      </w:numPr>
    </w:pPr>
  </w:style>
  <w:style w:type="paragraph" w:styleId="15">
    <w:name w:val="table of authorities"/>
    <w:basedOn w:val="1"/>
    <w:next w:val="1"/>
    <w:semiHidden/>
    <w:qFormat/>
    <w:uiPriority w:val="0"/>
    <w:pPr>
      <w:ind w:left="420" w:leftChars="200"/>
    </w:pPr>
  </w:style>
  <w:style w:type="paragraph" w:styleId="16">
    <w:name w:val="Note Heading"/>
    <w:basedOn w:val="1"/>
    <w:next w:val="1"/>
    <w:qFormat/>
    <w:uiPriority w:val="0"/>
    <w:pPr>
      <w:jc w:val="center"/>
    </w:pPr>
  </w:style>
  <w:style w:type="paragraph" w:styleId="17">
    <w:name w:val="List Bullet 4"/>
    <w:basedOn w:val="1"/>
    <w:qFormat/>
    <w:uiPriority w:val="0"/>
    <w:pPr>
      <w:numPr>
        <w:ilvl w:val="0"/>
        <w:numId w:val="2"/>
      </w:numPr>
    </w:pPr>
  </w:style>
  <w:style w:type="paragraph" w:styleId="18">
    <w:name w:val="index 8"/>
    <w:basedOn w:val="1"/>
    <w:next w:val="1"/>
    <w:qFormat/>
    <w:uiPriority w:val="0"/>
    <w:pPr>
      <w:ind w:left="1400" w:leftChars="1400"/>
    </w:pPr>
    <w:rPr>
      <w:szCs w:val="20"/>
      <w:lang w:bidi="he-IL"/>
    </w:rPr>
  </w:style>
  <w:style w:type="paragraph" w:styleId="19">
    <w:name w:val="E-mail Signature"/>
    <w:basedOn w:val="1"/>
    <w:qFormat/>
    <w:uiPriority w:val="0"/>
  </w:style>
  <w:style w:type="paragraph" w:styleId="20">
    <w:name w:val="List Number"/>
    <w:basedOn w:val="1"/>
    <w:qFormat/>
    <w:uiPriority w:val="0"/>
    <w:pPr>
      <w:numPr>
        <w:ilvl w:val="0"/>
        <w:numId w:val="3"/>
      </w:numPr>
    </w:pPr>
  </w:style>
  <w:style w:type="paragraph" w:styleId="21">
    <w:name w:val="Normal Indent"/>
    <w:basedOn w:val="1"/>
    <w:next w:val="1"/>
    <w:link w:val="431"/>
    <w:qFormat/>
    <w:uiPriority w:val="0"/>
    <w:pPr>
      <w:autoSpaceDE w:val="0"/>
      <w:autoSpaceDN w:val="0"/>
      <w:adjustRightInd w:val="0"/>
      <w:ind w:firstLine="420"/>
      <w:jc w:val="left"/>
      <w:textAlignment w:val="baseline"/>
    </w:pPr>
    <w:rPr>
      <w:rFonts w:ascii="宋体"/>
      <w:kern w:val="0"/>
      <w:sz w:val="34"/>
      <w:szCs w:val="20"/>
    </w:rPr>
  </w:style>
  <w:style w:type="paragraph" w:styleId="22">
    <w:name w:val="caption"/>
    <w:basedOn w:val="1"/>
    <w:next w:val="1"/>
    <w:qFormat/>
    <w:uiPriority w:val="0"/>
    <w:pPr>
      <w:spacing w:before="152" w:after="160"/>
    </w:pPr>
    <w:rPr>
      <w:rFonts w:ascii="Arial" w:hAnsi="Arial" w:eastAsia="黑体" w:cs="Arial"/>
      <w:sz w:val="20"/>
      <w:szCs w:val="20"/>
    </w:rPr>
  </w:style>
  <w:style w:type="paragraph" w:styleId="23">
    <w:name w:val="index 5"/>
    <w:basedOn w:val="1"/>
    <w:next w:val="1"/>
    <w:qFormat/>
    <w:uiPriority w:val="0"/>
    <w:pPr>
      <w:ind w:left="800" w:leftChars="800"/>
    </w:pPr>
    <w:rPr>
      <w:szCs w:val="20"/>
      <w:lang w:bidi="he-IL"/>
    </w:rPr>
  </w:style>
  <w:style w:type="paragraph" w:styleId="24">
    <w:name w:val="List Bullet"/>
    <w:basedOn w:val="1"/>
    <w:qFormat/>
    <w:uiPriority w:val="0"/>
    <w:pPr>
      <w:numPr>
        <w:ilvl w:val="0"/>
        <w:numId w:val="4"/>
      </w:numPr>
    </w:pPr>
  </w:style>
  <w:style w:type="paragraph" w:styleId="25">
    <w:name w:val="envelope address"/>
    <w:basedOn w:val="1"/>
    <w:qFormat/>
    <w:uiPriority w:val="0"/>
    <w:pPr>
      <w:adjustRightInd w:val="0"/>
      <w:spacing w:line="480" w:lineRule="atLeast"/>
      <w:ind w:left="2880"/>
      <w:textAlignment w:val="baseline"/>
    </w:pPr>
    <w:rPr>
      <w:rFonts w:eastAsia="魏碑体"/>
      <w:spacing w:val="10"/>
      <w:kern w:val="0"/>
      <w:sz w:val="32"/>
      <w:szCs w:val="20"/>
    </w:rPr>
  </w:style>
  <w:style w:type="paragraph" w:styleId="26">
    <w:name w:val="Document Map"/>
    <w:basedOn w:val="1"/>
    <w:qFormat/>
    <w:uiPriority w:val="0"/>
    <w:pPr>
      <w:shd w:val="clear" w:color="auto" w:fill="000080"/>
    </w:pPr>
    <w:rPr>
      <w:szCs w:val="20"/>
    </w:rPr>
  </w:style>
  <w:style w:type="paragraph" w:styleId="27">
    <w:name w:val="toa heading"/>
    <w:basedOn w:val="1"/>
    <w:next w:val="1"/>
    <w:semiHidden/>
    <w:qFormat/>
    <w:uiPriority w:val="0"/>
    <w:pPr>
      <w:spacing w:before="120"/>
    </w:pPr>
    <w:rPr>
      <w:rFonts w:ascii="Arial" w:hAnsi="Arial" w:cs="Arial"/>
      <w:sz w:val="24"/>
    </w:rPr>
  </w:style>
  <w:style w:type="paragraph" w:styleId="28">
    <w:name w:val="annotation text"/>
    <w:basedOn w:val="1"/>
    <w:link w:val="439"/>
    <w:qFormat/>
    <w:uiPriority w:val="0"/>
    <w:pPr>
      <w:adjustRightInd w:val="0"/>
      <w:spacing w:line="360" w:lineRule="atLeast"/>
      <w:jc w:val="left"/>
      <w:textAlignment w:val="baseline"/>
    </w:pPr>
    <w:rPr>
      <w:kern w:val="0"/>
      <w:sz w:val="24"/>
      <w:szCs w:val="20"/>
    </w:rPr>
  </w:style>
  <w:style w:type="paragraph" w:styleId="29">
    <w:name w:val="index 6"/>
    <w:basedOn w:val="1"/>
    <w:next w:val="1"/>
    <w:qFormat/>
    <w:uiPriority w:val="0"/>
    <w:pPr>
      <w:ind w:left="1000" w:leftChars="1000"/>
    </w:pPr>
    <w:rPr>
      <w:szCs w:val="20"/>
      <w:lang w:bidi="he-IL"/>
    </w:rPr>
  </w:style>
  <w:style w:type="paragraph" w:styleId="30">
    <w:name w:val="Salutation"/>
    <w:basedOn w:val="1"/>
    <w:next w:val="1"/>
    <w:qFormat/>
    <w:uiPriority w:val="0"/>
  </w:style>
  <w:style w:type="paragraph" w:styleId="31">
    <w:name w:val="Body Text 3"/>
    <w:basedOn w:val="1"/>
    <w:qFormat/>
    <w:uiPriority w:val="0"/>
    <w:pPr>
      <w:spacing w:before="60" w:after="60" w:line="460" w:lineRule="exact"/>
      <w:ind w:right="-304"/>
    </w:pPr>
    <w:rPr>
      <w:sz w:val="24"/>
    </w:rPr>
  </w:style>
  <w:style w:type="paragraph" w:styleId="32">
    <w:name w:val="Closing"/>
    <w:basedOn w:val="1"/>
    <w:qFormat/>
    <w:uiPriority w:val="0"/>
    <w:pPr>
      <w:ind w:left="100" w:leftChars="2100"/>
    </w:pPr>
  </w:style>
  <w:style w:type="paragraph" w:styleId="33">
    <w:name w:val="List Bullet 3"/>
    <w:basedOn w:val="1"/>
    <w:qFormat/>
    <w:uiPriority w:val="0"/>
    <w:pPr>
      <w:numPr>
        <w:ilvl w:val="0"/>
        <w:numId w:val="5"/>
      </w:numPr>
    </w:pPr>
  </w:style>
  <w:style w:type="paragraph" w:styleId="34">
    <w:name w:val="Body Text"/>
    <w:basedOn w:val="1"/>
    <w:next w:val="1"/>
    <w:link w:val="389"/>
    <w:qFormat/>
    <w:uiPriority w:val="0"/>
    <w:pPr>
      <w:spacing w:after="120"/>
    </w:pPr>
    <w:rPr>
      <w:rFonts w:ascii="Verdana" w:hAnsi="Verdana"/>
    </w:rPr>
  </w:style>
  <w:style w:type="paragraph" w:styleId="35">
    <w:name w:val="Body Text Indent"/>
    <w:basedOn w:val="1"/>
    <w:next w:val="1"/>
    <w:link w:val="355"/>
    <w:qFormat/>
    <w:uiPriority w:val="0"/>
    <w:pPr>
      <w:spacing w:line="360" w:lineRule="auto"/>
      <w:ind w:firstLine="425"/>
    </w:pPr>
    <w:rPr>
      <w:color w:val="FF0000"/>
      <w:sz w:val="24"/>
      <w:szCs w:val="20"/>
    </w:rPr>
  </w:style>
  <w:style w:type="paragraph" w:styleId="36">
    <w:name w:val="List Number 3"/>
    <w:basedOn w:val="1"/>
    <w:qFormat/>
    <w:uiPriority w:val="0"/>
    <w:pPr>
      <w:numPr>
        <w:ilvl w:val="0"/>
        <w:numId w:val="6"/>
      </w:numPr>
    </w:pPr>
  </w:style>
  <w:style w:type="paragraph" w:styleId="37">
    <w:name w:val="List 2"/>
    <w:basedOn w:val="1"/>
    <w:qFormat/>
    <w:uiPriority w:val="0"/>
    <w:pPr>
      <w:ind w:left="400" w:leftChars="200" w:hanging="200" w:hangingChars="200"/>
    </w:pPr>
    <w:rPr>
      <w:szCs w:val="20"/>
    </w:rPr>
  </w:style>
  <w:style w:type="paragraph" w:styleId="38">
    <w:name w:val="List Continue"/>
    <w:basedOn w:val="1"/>
    <w:qFormat/>
    <w:uiPriority w:val="0"/>
    <w:pPr>
      <w:spacing w:after="120"/>
      <w:ind w:left="420" w:leftChars="200"/>
    </w:pPr>
  </w:style>
  <w:style w:type="paragraph" w:styleId="39">
    <w:name w:val="Block Text"/>
    <w:basedOn w:val="1"/>
    <w:qFormat/>
    <w:uiPriority w:val="0"/>
    <w:pPr>
      <w:spacing w:before="120" w:after="120" w:line="360" w:lineRule="auto"/>
      <w:ind w:left="630" w:right="202"/>
    </w:pPr>
    <w:rPr>
      <w:rFonts w:ascii="宋体"/>
      <w:sz w:val="24"/>
      <w:szCs w:val="20"/>
    </w:rPr>
  </w:style>
  <w:style w:type="paragraph" w:styleId="40">
    <w:name w:val="List Bullet 2"/>
    <w:basedOn w:val="1"/>
    <w:qFormat/>
    <w:uiPriority w:val="0"/>
    <w:pPr>
      <w:widowControl/>
      <w:adjustRightInd w:val="0"/>
      <w:spacing w:line="360" w:lineRule="auto"/>
      <w:ind w:left="723"/>
      <w:jc w:val="left"/>
      <w:textAlignment w:val="baseline"/>
    </w:pPr>
    <w:rPr>
      <w:kern w:val="0"/>
      <w:sz w:val="24"/>
      <w:szCs w:val="20"/>
    </w:rPr>
  </w:style>
  <w:style w:type="paragraph" w:styleId="41">
    <w:name w:val="HTML Address"/>
    <w:basedOn w:val="1"/>
    <w:qFormat/>
    <w:uiPriority w:val="0"/>
    <w:rPr>
      <w:i/>
      <w:iCs/>
    </w:rPr>
  </w:style>
  <w:style w:type="paragraph" w:styleId="42">
    <w:name w:val="index 4"/>
    <w:basedOn w:val="1"/>
    <w:next w:val="1"/>
    <w:qFormat/>
    <w:uiPriority w:val="0"/>
    <w:pPr>
      <w:ind w:left="600" w:leftChars="600"/>
    </w:pPr>
    <w:rPr>
      <w:szCs w:val="20"/>
      <w:lang w:bidi="he-IL"/>
    </w:rPr>
  </w:style>
  <w:style w:type="paragraph" w:styleId="43">
    <w:name w:val="toc 5"/>
    <w:basedOn w:val="1"/>
    <w:next w:val="1"/>
    <w:qFormat/>
    <w:uiPriority w:val="0"/>
    <w:pPr>
      <w:ind w:left="840"/>
      <w:jc w:val="left"/>
    </w:pPr>
    <w:rPr>
      <w:sz w:val="18"/>
      <w:szCs w:val="20"/>
    </w:rPr>
  </w:style>
  <w:style w:type="paragraph" w:styleId="44">
    <w:name w:val="toc 3"/>
    <w:basedOn w:val="1"/>
    <w:next w:val="1"/>
    <w:qFormat/>
    <w:uiPriority w:val="0"/>
    <w:pPr>
      <w:ind w:left="420"/>
      <w:jc w:val="left"/>
    </w:pPr>
    <w:rPr>
      <w:i/>
      <w:sz w:val="20"/>
      <w:szCs w:val="20"/>
    </w:rPr>
  </w:style>
  <w:style w:type="paragraph" w:styleId="45">
    <w:name w:val="Plain Text"/>
    <w:basedOn w:val="1"/>
    <w:link w:val="384"/>
    <w:qFormat/>
    <w:uiPriority w:val="99"/>
    <w:rPr>
      <w:rFonts w:ascii="宋体" w:hAnsi="Courier New"/>
      <w:szCs w:val="21"/>
    </w:rPr>
  </w:style>
  <w:style w:type="paragraph" w:styleId="46">
    <w:name w:val="List Bullet 5"/>
    <w:basedOn w:val="1"/>
    <w:qFormat/>
    <w:uiPriority w:val="0"/>
    <w:pPr>
      <w:numPr>
        <w:ilvl w:val="0"/>
        <w:numId w:val="7"/>
      </w:numPr>
    </w:pPr>
  </w:style>
  <w:style w:type="paragraph" w:styleId="47">
    <w:name w:val="List Number 4"/>
    <w:basedOn w:val="1"/>
    <w:qFormat/>
    <w:uiPriority w:val="0"/>
    <w:pPr>
      <w:numPr>
        <w:ilvl w:val="0"/>
        <w:numId w:val="8"/>
      </w:numPr>
    </w:pPr>
  </w:style>
  <w:style w:type="paragraph" w:styleId="48">
    <w:name w:val="toc 8"/>
    <w:basedOn w:val="1"/>
    <w:next w:val="1"/>
    <w:qFormat/>
    <w:uiPriority w:val="0"/>
    <w:pPr>
      <w:ind w:left="1470"/>
      <w:jc w:val="left"/>
    </w:pPr>
    <w:rPr>
      <w:sz w:val="18"/>
      <w:szCs w:val="20"/>
    </w:rPr>
  </w:style>
  <w:style w:type="paragraph" w:styleId="49">
    <w:name w:val="index 3"/>
    <w:basedOn w:val="1"/>
    <w:next w:val="1"/>
    <w:qFormat/>
    <w:uiPriority w:val="0"/>
    <w:pPr>
      <w:ind w:left="400" w:leftChars="400"/>
    </w:pPr>
    <w:rPr>
      <w:szCs w:val="20"/>
      <w:lang w:bidi="he-IL"/>
    </w:rPr>
  </w:style>
  <w:style w:type="paragraph" w:styleId="50">
    <w:name w:val="Date"/>
    <w:basedOn w:val="1"/>
    <w:next w:val="1"/>
    <w:qFormat/>
    <w:uiPriority w:val="0"/>
    <w:rPr>
      <w:sz w:val="24"/>
      <w:szCs w:val="20"/>
    </w:rPr>
  </w:style>
  <w:style w:type="paragraph" w:styleId="51">
    <w:name w:val="Body Text Indent 2"/>
    <w:basedOn w:val="1"/>
    <w:qFormat/>
    <w:uiPriority w:val="0"/>
    <w:pPr>
      <w:spacing w:after="120" w:line="480" w:lineRule="auto"/>
      <w:ind w:left="420" w:leftChars="200"/>
    </w:pPr>
  </w:style>
  <w:style w:type="paragraph" w:styleId="52">
    <w:name w:val="endnote text"/>
    <w:basedOn w:val="1"/>
    <w:qFormat/>
    <w:uiPriority w:val="0"/>
    <w:pPr>
      <w:snapToGrid w:val="0"/>
      <w:jc w:val="left"/>
    </w:pPr>
    <w:rPr>
      <w:szCs w:val="20"/>
      <w:lang w:bidi="he-IL"/>
    </w:rPr>
  </w:style>
  <w:style w:type="paragraph" w:styleId="53">
    <w:name w:val="List Continue 5"/>
    <w:basedOn w:val="1"/>
    <w:qFormat/>
    <w:uiPriority w:val="0"/>
    <w:pPr>
      <w:spacing w:after="120"/>
      <w:ind w:left="2100" w:leftChars="1000"/>
    </w:pPr>
  </w:style>
  <w:style w:type="paragraph" w:styleId="54">
    <w:name w:val="Balloon Text"/>
    <w:basedOn w:val="1"/>
    <w:link w:val="351"/>
    <w:qFormat/>
    <w:uiPriority w:val="99"/>
    <w:rPr>
      <w:rFonts w:ascii="Verdana" w:hAnsi="Verdana"/>
      <w:sz w:val="18"/>
      <w:szCs w:val="18"/>
    </w:rPr>
  </w:style>
  <w:style w:type="paragraph" w:styleId="55">
    <w:name w:val="footer"/>
    <w:basedOn w:val="1"/>
    <w:link w:val="347"/>
    <w:qFormat/>
    <w:uiPriority w:val="99"/>
    <w:pPr>
      <w:tabs>
        <w:tab w:val="center" w:pos="4153"/>
        <w:tab w:val="right" w:pos="8306"/>
      </w:tabs>
      <w:snapToGrid w:val="0"/>
      <w:jc w:val="left"/>
    </w:pPr>
    <w:rPr>
      <w:rFonts w:ascii="Verdana" w:hAnsi="Verdana"/>
      <w:sz w:val="18"/>
      <w:szCs w:val="18"/>
    </w:rPr>
  </w:style>
  <w:style w:type="paragraph" w:styleId="56">
    <w:name w:val="envelope return"/>
    <w:basedOn w:val="1"/>
    <w:qFormat/>
    <w:uiPriority w:val="0"/>
    <w:pPr>
      <w:snapToGrid w:val="0"/>
    </w:pPr>
    <w:rPr>
      <w:rFonts w:ascii="Arial" w:hAnsi="Arial" w:cs="Arial"/>
    </w:rPr>
  </w:style>
  <w:style w:type="paragraph" w:styleId="57">
    <w:name w:val="header"/>
    <w:basedOn w:val="1"/>
    <w:link w:val="362"/>
    <w:qFormat/>
    <w:uiPriority w:val="0"/>
    <w:pPr>
      <w:pBdr>
        <w:bottom w:val="single" w:color="auto" w:sz="6" w:space="1"/>
      </w:pBdr>
      <w:tabs>
        <w:tab w:val="center" w:pos="4153"/>
        <w:tab w:val="right" w:pos="8306"/>
      </w:tabs>
      <w:snapToGrid w:val="0"/>
      <w:jc w:val="center"/>
    </w:pPr>
    <w:rPr>
      <w:rFonts w:ascii="Verdana" w:hAnsi="Verdana"/>
      <w:sz w:val="18"/>
      <w:szCs w:val="18"/>
    </w:rPr>
  </w:style>
  <w:style w:type="paragraph" w:styleId="58">
    <w:name w:val="Signature"/>
    <w:basedOn w:val="1"/>
    <w:qFormat/>
    <w:uiPriority w:val="0"/>
    <w:pPr>
      <w:ind w:left="4320"/>
    </w:pPr>
    <w:rPr>
      <w:rFonts w:eastAsia="楷体_GB2312"/>
      <w:szCs w:val="20"/>
    </w:rPr>
  </w:style>
  <w:style w:type="paragraph" w:styleId="59">
    <w:name w:val="toc 1"/>
    <w:basedOn w:val="1"/>
    <w:next w:val="1"/>
    <w:qFormat/>
    <w:uiPriority w:val="0"/>
    <w:pPr>
      <w:spacing w:before="312" w:after="156"/>
    </w:pPr>
    <w:rPr>
      <w:kern w:val="0"/>
      <w:sz w:val="18"/>
      <w:szCs w:val="18"/>
    </w:rPr>
  </w:style>
  <w:style w:type="paragraph" w:styleId="60">
    <w:name w:val="List Continue 4"/>
    <w:basedOn w:val="1"/>
    <w:qFormat/>
    <w:uiPriority w:val="0"/>
    <w:pPr>
      <w:spacing w:after="120"/>
      <w:ind w:left="1680" w:leftChars="800"/>
    </w:pPr>
  </w:style>
  <w:style w:type="paragraph" w:styleId="61">
    <w:name w:val="toc 4"/>
    <w:basedOn w:val="1"/>
    <w:next w:val="1"/>
    <w:qFormat/>
    <w:uiPriority w:val="0"/>
    <w:pPr>
      <w:ind w:left="630"/>
      <w:jc w:val="left"/>
    </w:pPr>
    <w:rPr>
      <w:sz w:val="18"/>
      <w:szCs w:val="20"/>
    </w:rPr>
  </w:style>
  <w:style w:type="paragraph" w:styleId="62">
    <w:name w:val="index heading"/>
    <w:basedOn w:val="1"/>
    <w:next w:val="63"/>
    <w:qFormat/>
    <w:uiPriority w:val="0"/>
    <w:rPr>
      <w:szCs w:val="20"/>
      <w:lang w:bidi="he-IL"/>
    </w:rPr>
  </w:style>
  <w:style w:type="paragraph" w:styleId="63">
    <w:name w:val="index 1"/>
    <w:basedOn w:val="1"/>
    <w:next w:val="1"/>
    <w:qFormat/>
    <w:uiPriority w:val="0"/>
    <w:rPr>
      <w:kern w:val="0"/>
      <w:sz w:val="24"/>
      <w:szCs w:val="21"/>
    </w:rPr>
  </w:style>
  <w:style w:type="paragraph" w:styleId="64">
    <w:name w:val="Subtitle"/>
    <w:basedOn w:val="1"/>
    <w:qFormat/>
    <w:uiPriority w:val="0"/>
    <w:pPr>
      <w:spacing w:before="240" w:after="60" w:line="312" w:lineRule="auto"/>
      <w:jc w:val="center"/>
      <w:outlineLvl w:val="1"/>
    </w:pPr>
    <w:rPr>
      <w:rFonts w:ascii="Arial" w:hAnsi="Arial" w:cs="Arial"/>
      <w:b/>
      <w:bCs/>
      <w:kern w:val="28"/>
      <w:sz w:val="32"/>
      <w:szCs w:val="32"/>
    </w:rPr>
  </w:style>
  <w:style w:type="paragraph" w:styleId="65">
    <w:name w:val="List Number 5"/>
    <w:basedOn w:val="1"/>
    <w:qFormat/>
    <w:uiPriority w:val="0"/>
    <w:pPr>
      <w:numPr>
        <w:ilvl w:val="0"/>
        <w:numId w:val="9"/>
      </w:numPr>
    </w:pPr>
  </w:style>
  <w:style w:type="paragraph" w:styleId="66">
    <w:name w:val="List"/>
    <w:basedOn w:val="1"/>
    <w:qFormat/>
    <w:uiPriority w:val="0"/>
    <w:pPr>
      <w:ind w:left="420" w:hanging="420"/>
    </w:pPr>
    <w:rPr>
      <w:sz w:val="24"/>
      <w:szCs w:val="20"/>
    </w:rPr>
  </w:style>
  <w:style w:type="paragraph" w:styleId="67">
    <w:name w:val="footnote text"/>
    <w:basedOn w:val="1"/>
    <w:qFormat/>
    <w:uiPriority w:val="0"/>
    <w:pPr>
      <w:snapToGrid w:val="0"/>
      <w:jc w:val="left"/>
    </w:pPr>
    <w:rPr>
      <w:rFonts w:eastAsia="楷体_GB2312"/>
      <w:sz w:val="18"/>
      <w:szCs w:val="18"/>
    </w:rPr>
  </w:style>
  <w:style w:type="paragraph" w:styleId="68">
    <w:name w:val="toc 6"/>
    <w:basedOn w:val="1"/>
    <w:next w:val="1"/>
    <w:qFormat/>
    <w:uiPriority w:val="0"/>
    <w:pPr>
      <w:ind w:left="1050"/>
      <w:jc w:val="left"/>
    </w:pPr>
    <w:rPr>
      <w:sz w:val="18"/>
      <w:szCs w:val="20"/>
    </w:rPr>
  </w:style>
  <w:style w:type="paragraph" w:styleId="69">
    <w:name w:val="List 5"/>
    <w:basedOn w:val="1"/>
    <w:qFormat/>
    <w:uiPriority w:val="0"/>
    <w:pPr>
      <w:ind w:left="100" w:leftChars="800" w:hanging="200" w:hangingChars="200"/>
    </w:pPr>
  </w:style>
  <w:style w:type="paragraph" w:styleId="70">
    <w:name w:val="Body Text Indent 3"/>
    <w:basedOn w:val="1"/>
    <w:qFormat/>
    <w:uiPriority w:val="0"/>
    <w:pPr>
      <w:adjustRightInd w:val="0"/>
      <w:spacing w:line="360" w:lineRule="exact"/>
      <w:ind w:firstLine="520"/>
      <w:jc w:val="left"/>
      <w:textAlignment w:val="baseline"/>
    </w:pPr>
    <w:rPr>
      <w:rFonts w:ascii="宋体"/>
      <w:kern w:val="0"/>
      <w:sz w:val="24"/>
      <w:szCs w:val="20"/>
    </w:rPr>
  </w:style>
  <w:style w:type="paragraph" w:styleId="71">
    <w:name w:val="index 7"/>
    <w:basedOn w:val="1"/>
    <w:next w:val="1"/>
    <w:qFormat/>
    <w:uiPriority w:val="0"/>
    <w:pPr>
      <w:ind w:left="1200" w:leftChars="1200"/>
    </w:pPr>
    <w:rPr>
      <w:szCs w:val="20"/>
      <w:lang w:bidi="he-IL"/>
    </w:rPr>
  </w:style>
  <w:style w:type="paragraph" w:styleId="72">
    <w:name w:val="index 9"/>
    <w:basedOn w:val="1"/>
    <w:next w:val="1"/>
    <w:qFormat/>
    <w:uiPriority w:val="0"/>
    <w:pPr>
      <w:ind w:left="1600" w:leftChars="1600"/>
    </w:pPr>
    <w:rPr>
      <w:szCs w:val="20"/>
      <w:lang w:bidi="he-IL"/>
    </w:rPr>
  </w:style>
  <w:style w:type="paragraph" w:styleId="73">
    <w:name w:val="table of figures"/>
    <w:basedOn w:val="1"/>
    <w:next w:val="1"/>
    <w:qFormat/>
    <w:uiPriority w:val="0"/>
    <w:pPr>
      <w:ind w:left="840" w:leftChars="200" w:hanging="420" w:hangingChars="200"/>
    </w:pPr>
    <w:rPr>
      <w:szCs w:val="20"/>
    </w:rPr>
  </w:style>
  <w:style w:type="paragraph" w:styleId="74">
    <w:name w:val="toc 2"/>
    <w:basedOn w:val="1"/>
    <w:next w:val="1"/>
    <w:qFormat/>
    <w:uiPriority w:val="0"/>
    <w:pPr>
      <w:spacing w:line="360" w:lineRule="auto"/>
    </w:pPr>
    <w:rPr>
      <w:rFonts w:ascii="宋体" w:hAnsi="宋体"/>
      <w:kern w:val="0"/>
      <w:sz w:val="28"/>
      <w:szCs w:val="28"/>
    </w:rPr>
  </w:style>
  <w:style w:type="paragraph" w:styleId="75">
    <w:name w:val="toc 9"/>
    <w:basedOn w:val="1"/>
    <w:next w:val="1"/>
    <w:qFormat/>
    <w:uiPriority w:val="0"/>
    <w:pPr>
      <w:ind w:left="1680"/>
      <w:jc w:val="left"/>
    </w:pPr>
    <w:rPr>
      <w:sz w:val="18"/>
      <w:szCs w:val="20"/>
    </w:rPr>
  </w:style>
  <w:style w:type="paragraph" w:styleId="76">
    <w:name w:val="Body Text 2"/>
    <w:basedOn w:val="1"/>
    <w:qFormat/>
    <w:uiPriority w:val="0"/>
    <w:pPr>
      <w:spacing w:after="120" w:line="480" w:lineRule="auto"/>
    </w:pPr>
  </w:style>
  <w:style w:type="paragraph" w:styleId="77">
    <w:name w:val="List 4"/>
    <w:basedOn w:val="1"/>
    <w:qFormat/>
    <w:uiPriority w:val="0"/>
    <w:pPr>
      <w:ind w:left="100" w:leftChars="600" w:hanging="200" w:hangingChars="200"/>
    </w:pPr>
  </w:style>
  <w:style w:type="paragraph" w:styleId="78">
    <w:name w:val="List Continue 2"/>
    <w:basedOn w:val="1"/>
    <w:qFormat/>
    <w:uiPriority w:val="0"/>
    <w:pPr>
      <w:spacing w:after="120"/>
      <w:ind w:left="400" w:leftChars="400"/>
    </w:pPr>
  </w:style>
  <w:style w:type="paragraph" w:styleId="79">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Arial" w:hAnsi="Arial" w:cs="Arial"/>
      <w:sz w:val="24"/>
    </w:rPr>
  </w:style>
  <w:style w:type="paragraph" w:styleId="80">
    <w:name w:val="HTML Preformatted"/>
    <w:basedOn w:val="1"/>
    <w:link w:val="343"/>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sz w:val="24"/>
      <w:lang w:eastAsia="en-US"/>
    </w:rPr>
  </w:style>
  <w:style w:type="paragraph" w:styleId="81">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82">
    <w:name w:val="List Continue 3"/>
    <w:basedOn w:val="1"/>
    <w:qFormat/>
    <w:uiPriority w:val="0"/>
    <w:pPr>
      <w:spacing w:after="120"/>
      <w:ind w:left="1260" w:leftChars="600"/>
    </w:pPr>
  </w:style>
  <w:style w:type="paragraph" w:styleId="83">
    <w:name w:val="index 2"/>
    <w:basedOn w:val="1"/>
    <w:next w:val="1"/>
    <w:qFormat/>
    <w:uiPriority w:val="0"/>
    <w:pPr>
      <w:ind w:left="200" w:leftChars="200"/>
    </w:pPr>
    <w:rPr>
      <w:szCs w:val="20"/>
      <w:lang w:bidi="he-IL"/>
    </w:rPr>
  </w:style>
  <w:style w:type="paragraph" w:styleId="84">
    <w:name w:val="Title"/>
    <w:basedOn w:val="1"/>
    <w:next w:val="1"/>
    <w:qFormat/>
    <w:uiPriority w:val="0"/>
    <w:pPr>
      <w:adjustRightInd w:val="0"/>
      <w:snapToGrid w:val="0"/>
      <w:spacing w:before="120" w:after="120" w:line="520" w:lineRule="exact"/>
      <w:jc w:val="center"/>
      <w:outlineLvl w:val="0"/>
    </w:pPr>
    <w:rPr>
      <w:rFonts w:ascii="黑体" w:eastAsia="黑体"/>
      <w:snapToGrid w:val="0"/>
      <w:kern w:val="0"/>
      <w:sz w:val="28"/>
      <w:szCs w:val="20"/>
    </w:rPr>
  </w:style>
  <w:style w:type="paragraph" w:styleId="85">
    <w:name w:val="annotation subject"/>
    <w:basedOn w:val="28"/>
    <w:next w:val="28"/>
    <w:qFormat/>
    <w:uiPriority w:val="0"/>
    <w:pPr>
      <w:adjustRightInd/>
      <w:spacing w:line="240" w:lineRule="auto"/>
      <w:textAlignment w:val="auto"/>
    </w:pPr>
    <w:rPr>
      <w:b/>
      <w:bCs/>
      <w:kern w:val="2"/>
      <w:sz w:val="21"/>
      <w:lang w:bidi="he-IL"/>
    </w:rPr>
  </w:style>
  <w:style w:type="paragraph" w:styleId="86">
    <w:name w:val="Body Text First Indent"/>
    <w:basedOn w:val="34"/>
    <w:qFormat/>
    <w:uiPriority w:val="0"/>
    <w:pPr>
      <w:ind w:firstLine="420" w:firstLineChars="100"/>
    </w:pPr>
    <w:rPr>
      <w:szCs w:val="20"/>
    </w:rPr>
  </w:style>
  <w:style w:type="paragraph" w:styleId="87">
    <w:name w:val="Body Text First Indent 2"/>
    <w:basedOn w:val="35"/>
    <w:qFormat/>
    <w:uiPriority w:val="0"/>
    <w:pPr>
      <w:spacing w:after="120" w:line="240" w:lineRule="auto"/>
      <w:ind w:left="420" w:leftChars="200" w:firstLine="420" w:firstLineChars="200"/>
    </w:pPr>
    <w:rPr>
      <w:color w:val="auto"/>
      <w:sz w:val="21"/>
      <w:szCs w:val="24"/>
    </w:rPr>
  </w:style>
  <w:style w:type="table" w:styleId="89">
    <w:name w:val="Table Grid"/>
    <w:basedOn w:val="8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1">
    <w:name w:val="Strong"/>
    <w:basedOn w:val="90"/>
    <w:qFormat/>
    <w:uiPriority w:val="0"/>
    <w:rPr>
      <w:b/>
      <w:bCs/>
    </w:rPr>
  </w:style>
  <w:style w:type="character" w:styleId="92">
    <w:name w:val="endnote reference"/>
    <w:qFormat/>
    <w:uiPriority w:val="0"/>
    <w:rPr>
      <w:rFonts w:ascii="Verdana" w:hAnsi="Verdana"/>
      <w:kern w:val="0"/>
      <w:sz w:val="20"/>
      <w:vertAlign w:val="superscript"/>
      <w:lang w:eastAsia="en-US"/>
    </w:rPr>
  </w:style>
  <w:style w:type="character" w:styleId="93">
    <w:name w:val="page number"/>
    <w:basedOn w:val="90"/>
    <w:qFormat/>
    <w:uiPriority w:val="0"/>
  </w:style>
  <w:style w:type="character" w:styleId="94">
    <w:name w:val="FollowedHyperlink"/>
    <w:qFormat/>
    <w:uiPriority w:val="99"/>
    <w:rPr>
      <w:rFonts w:ascii="Verdana" w:hAnsi="Verdana"/>
      <w:color w:val="800080"/>
      <w:kern w:val="0"/>
      <w:sz w:val="20"/>
      <w:u w:val="single"/>
      <w:lang w:eastAsia="en-US"/>
    </w:rPr>
  </w:style>
  <w:style w:type="character" w:styleId="95">
    <w:name w:val="Hyperlink"/>
    <w:qFormat/>
    <w:uiPriority w:val="99"/>
    <w:rPr>
      <w:rFonts w:ascii="Verdana" w:hAnsi="Verdana"/>
      <w:color w:val="0000FF"/>
      <w:kern w:val="0"/>
      <w:sz w:val="20"/>
      <w:u w:val="single"/>
      <w:lang w:eastAsia="en-US"/>
    </w:rPr>
  </w:style>
  <w:style w:type="character" w:styleId="96">
    <w:name w:val="annotation reference"/>
    <w:qFormat/>
    <w:uiPriority w:val="0"/>
    <w:rPr>
      <w:rFonts w:ascii="Verdana" w:hAnsi="Verdana"/>
      <w:kern w:val="0"/>
      <w:sz w:val="21"/>
      <w:lang w:eastAsia="en-US"/>
    </w:rPr>
  </w:style>
  <w:style w:type="character" w:styleId="97">
    <w:name w:val="footnote reference"/>
    <w:qFormat/>
    <w:uiPriority w:val="0"/>
    <w:rPr>
      <w:vertAlign w:val="superscript"/>
    </w:rPr>
  </w:style>
  <w:style w:type="paragraph" w:customStyle="1" w:styleId="98">
    <w:name w:val="xl70"/>
    <w:basedOn w:val="1"/>
    <w:qFormat/>
    <w:uiPriority w:val="0"/>
    <w:pPr>
      <w:widowControl/>
      <w:spacing w:before="100" w:beforeAutospacing="1" w:after="100" w:afterAutospacing="1"/>
      <w:jc w:val="left"/>
      <w:textAlignment w:val="center"/>
    </w:pPr>
    <w:rPr>
      <w:kern w:val="0"/>
      <w:sz w:val="24"/>
    </w:rPr>
  </w:style>
  <w:style w:type="paragraph" w:customStyle="1" w:styleId="99">
    <w:name w:val="正文 New"/>
    <w:qFormat/>
    <w:uiPriority w:val="0"/>
    <w:pPr>
      <w:widowControl w:val="0"/>
      <w:jc w:val="both"/>
    </w:pPr>
    <w:rPr>
      <w:rFonts w:ascii="Calibri" w:hAnsi="Calibri" w:eastAsia="宋体" w:cs="Times New Roman"/>
      <w:kern w:val="2"/>
      <w:sz w:val="21"/>
      <w:lang w:val="en-US" w:eastAsia="zh-CN" w:bidi="ar-SA"/>
    </w:rPr>
  </w:style>
  <w:style w:type="paragraph" w:customStyle="1" w:styleId="100">
    <w:name w:val="样式 样式 样式 左侧:  2 字符1 + 首行缩进:  2 字符1 + 首行缩进:  2 字符"/>
    <w:basedOn w:val="1"/>
    <w:qFormat/>
    <w:uiPriority w:val="0"/>
    <w:pPr>
      <w:widowControl/>
      <w:adjustRightInd w:val="0"/>
      <w:spacing w:before="60" w:after="120" w:line="440" w:lineRule="atLeast"/>
      <w:ind w:firstLine="480"/>
      <w:textAlignment w:val="baseline"/>
    </w:pPr>
    <w:rPr>
      <w:sz w:val="24"/>
      <w:szCs w:val="20"/>
    </w:rPr>
  </w:style>
  <w:style w:type="paragraph" w:customStyle="1" w:styleId="101">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kern w:val="0"/>
      <w:sz w:val="20"/>
      <w:szCs w:val="20"/>
    </w:rPr>
  </w:style>
  <w:style w:type="paragraph" w:customStyle="1" w:styleId="102">
    <w:name w:val="subtitle 2"/>
    <w:basedOn w:val="1"/>
    <w:qFormat/>
    <w:uiPriority w:val="0"/>
    <w:pPr>
      <w:spacing w:before="240" w:after="240" w:line="312" w:lineRule="atLeast"/>
    </w:pPr>
    <w:rPr>
      <w:rFonts w:eastAsia="黑体"/>
      <w:snapToGrid w:val="0"/>
      <w:kern w:val="0"/>
      <w:sz w:val="24"/>
      <w:szCs w:val="20"/>
    </w:rPr>
  </w:style>
  <w:style w:type="paragraph" w:customStyle="1" w:styleId="103">
    <w:name w:val="xl34"/>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kern w:val="0"/>
      <w:sz w:val="24"/>
    </w:rPr>
  </w:style>
  <w:style w:type="paragraph" w:customStyle="1" w:styleId="104">
    <w:name w:val="1 Char Char Char Char"/>
    <w:basedOn w:val="1"/>
    <w:qFormat/>
    <w:uiPriority w:val="0"/>
    <w:rPr>
      <w:rFonts w:ascii="Tahoma" w:hAnsi="Tahoma"/>
      <w:sz w:val="24"/>
      <w:szCs w:val="20"/>
    </w:rPr>
  </w:style>
  <w:style w:type="paragraph" w:customStyle="1" w:styleId="105">
    <w:name w:val="xl98"/>
    <w:basedOn w:val="1"/>
    <w:qFormat/>
    <w:uiPriority w:val="0"/>
    <w:pPr>
      <w:widowControl/>
      <w:spacing w:before="100" w:beforeAutospacing="1" w:after="100" w:afterAutospacing="1"/>
      <w:jc w:val="left"/>
    </w:pPr>
    <w:rPr>
      <w:rFonts w:ascii="宋体" w:cs="宋体"/>
      <w:color w:val="FF0000"/>
      <w:kern w:val="0"/>
      <w:sz w:val="14"/>
      <w:szCs w:val="14"/>
    </w:rPr>
  </w:style>
  <w:style w:type="paragraph" w:customStyle="1" w:styleId="106">
    <w:name w:val="样式 标题 1合同标题H1PIM 1h11Header 1Heading 0Header1标书1L1boc..."/>
    <w:basedOn w:val="4"/>
    <w:qFormat/>
    <w:uiPriority w:val="0"/>
    <w:pPr>
      <w:adjustRightInd/>
      <w:spacing w:before="100" w:beforeAutospacing="1" w:after="100" w:afterAutospacing="1" w:line="480" w:lineRule="auto"/>
      <w:jc w:val="center"/>
      <w:textAlignment w:val="auto"/>
    </w:pPr>
    <w:rPr>
      <w:rFonts w:eastAsia="黑体" w:cs="宋体"/>
      <w:bCs/>
    </w:rPr>
  </w:style>
  <w:style w:type="paragraph" w:customStyle="1" w:styleId="107">
    <w:name w:val="图"/>
    <w:basedOn w:val="1"/>
    <w:qFormat/>
    <w:uiPriority w:val="0"/>
    <w:pPr>
      <w:keepNext/>
      <w:adjustRightInd w:val="0"/>
      <w:spacing w:before="60" w:after="60" w:line="300" w:lineRule="auto"/>
      <w:jc w:val="center"/>
      <w:textAlignment w:val="center"/>
    </w:pPr>
    <w:rPr>
      <w:snapToGrid w:val="0"/>
      <w:spacing w:val="20"/>
      <w:kern w:val="0"/>
      <w:sz w:val="24"/>
      <w:szCs w:val="20"/>
    </w:rPr>
  </w:style>
  <w:style w:type="paragraph" w:customStyle="1" w:styleId="108">
    <w:name w:val="xl20"/>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rPr>
  </w:style>
  <w:style w:type="paragraph" w:customStyle="1" w:styleId="109">
    <w:name w:val="Char Char Char Char Char1 Char Char Char Char Char Char Char Char Char Char Char Char Char Char Char Char Char Char Char1"/>
    <w:basedOn w:val="1"/>
    <w:qFormat/>
    <w:uiPriority w:val="0"/>
    <w:pPr>
      <w:keepNext/>
      <w:tabs>
        <w:tab w:val="left" w:pos="2940"/>
      </w:tabs>
      <w:autoSpaceDE w:val="0"/>
      <w:autoSpaceDN w:val="0"/>
      <w:adjustRightInd w:val="0"/>
      <w:ind w:hanging="420"/>
      <w:jc w:val="left"/>
    </w:pPr>
  </w:style>
  <w:style w:type="paragraph" w:customStyle="1" w:styleId="110">
    <w:name w:val="索引 11"/>
    <w:basedOn w:val="1"/>
    <w:next w:val="1"/>
    <w:qFormat/>
    <w:uiPriority w:val="0"/>
  </w:style>
  <w:style w:type="paragraph" w:customStyle="1" w:styleId="111">
    <w:name w:val="new样式1"/>
    <w:basedOn w:val="4"/>
    <w:qFormat/>
    <w:uiPriority w:val="0"/>
    <w:pPr>
      <w:adjustRightInd/>
      <w:spacing w:line="360" w:lineRule="auto"/>
      <w:jc w:val="center"/>
      <w:textAlignment w:val="auto"/>
    </w:pPr>
    <w:rPr>
      <w:rFonts w:ascii="黑体" w:eastAsia="黑体"/>
      <w:b w:val="0"/>
      <w:bCs/>
      <w:sz w:val="28"/>
      <w:szCs w:val="28"/>
    </w:rPr>
  </w:style>
  <w:style w:type="paragraph" w:customStyle="1" w:styleId="112">
    <w:name w:val="xl35"/>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宋体" w:hAnsi="宋体"/>
      <w:kern w:val="0"/>
      <w:sz w:val="24"/>
    </w:rPr>
  </w:style>
  <w:style w:type="paragraph" w:customStyle="1" w:styleId="113">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kern w:val="0"/>
      <w:sz w:val="24"/>
    </w:rPr>
  </w:style>
  <w:style w:type="paragraph" w:customStyle="1" w:styleId="114">
    <w:name w:val="文档正文"/>
    <w:basedOn w:val="1"/>
    <w:qFormat/>
    <w:uiPriority w:val="0"/>
    <w:rPr>
      <w:rFonts w:ascii="Arial" w:hAnsi="Arial" w:cs="Arial"/>
      <w:bCs/>
      <w:sz w:val="24"/>
    </w:rPr>
  </w:style>
  <w:style w:type="paragraph" w:customStyle="1" w:styleId="115">
    <w:name w:val="Char3"/>
    <w:basedOn w:val="1"/>
    <w:qFormat/>
    <w:uiPriority w:val="0"/>
  </w:style>
  <w:style w:type="paragraph" w:customStyle="1" w:styleId="116">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kern w:val="0"/>
      <w:sz w:val="20"/>
      <w:szCs w:val="20"/>
    </w:rPr>
  </w:style>
  <w:style w:type="paragraph" w:customStyle="1" w:styleId="117">
    <w:name w:val="Char1 Char Char1 Char Char Char Char Char Char Char Char Char Char1"/>
    <w:basedOn w:val="1"/>
    <w:qFormat/>
    <w:uiPriority w:val="0"/>
    <w:pPr>
      <w:tabs>
        <w:tab w:val="left" w:pos="425"/>
      </w:tabs>
      <w:ind w:left="425" w:hanging="425"/>
    </w:pPr>
    <w:rPr>
      <w:sz w:val="24"/>
    </w:rPr>
  </w:style>
  <w:style w:type="paragraph" w:customStyle="1" w:styleId="118">
    <w:name w:val="xl74"/>
    <w:basedOn w:val="1"/>
    <w:qFormat/>
    <w:uiPriority w:val="0"/>
    <w:pPr>
      <w:widowControl/>
      <w:spacing w:before="100" w:beforeAutospacing="1" w:after="100" w:afterAutospacing="1"/>
      <w:jc w:val="left"/>
      <w:textAlignment w:val="center"/>
    </w:pPr>
    <w:rPr>
      <w:kern w:val="0"/>
      <w:sz w:val="20"/>
      <w:szCs w:val="20"/>
    </w:rPr>
  </w:style>
  <w:style w:type="paragraph" w:customStyle="1" w:styleId="119">
    <w:name w:val="样式5"/>
    <w:basedOn w:val="120"/>
    <w:next w:val="120"/>
    <w:qFormat/>
    <w:uiPriority w:val="0"/>
    <w:pPr>
      <w:tabs>
        <w:tab w:val="left" w:pos="1319"/>
      </w:tabs>
      <w:adjustRightInd/>
      <w:spacing w:before="120" w:after="120" w:line="240" w:lineRule="auto"/>
      <w:textAlignment w:val="auto"/>
    </w:pPr>
    <w:rPr>
      <w:rFonts w:eastAsia="宋体"/>
      <w:spacing w:val="0"/>
      <w:kern w:val="2"/>
      <w:sz w:val="21"/>
      <w:szCs w:val="24"/>
    </w:rPr>
  </w:style>
  <w:style w:type="paragraph" w:customStyle="1" w:styleId="120">
    <w:name w:val="样式4"/>
    <w:basedOn w:val="1"/>
    <w:qFormat/>
    <w:uiPriority w:val="0"/>
    <w:pPr>
      <w:adjustRightInd w:val="0"/>
      <w:spacing w:line="480" w:lineRule="auto"/>
      <w:textAlignment w:val="baseline"/>
    </w:pPr>
    <w:rPr>
      <w:rFonts w:eastAsia="黑体"/>
      <w:spacing w:val="10"/>
      <w:kern w:val="28"/>
      <w:sz w:val="48"/>
      <w:szCs w:val="20"/>
    </w:rPr>
  </w:style>
  <w:style w:type="paragraph" w:customStyle="1" w:styleId="121">
    <w:name w:val="正文缩进11"/>
    <w:basedOn w:val="1"/>
    <w:qFormat/>
    <w:uiPriority w:val="0"/>
    <w:pPr>
      <w:ind w:firstLine="567"/>
    </w:pPr>
    <w:rPr>
      <w:spacing w:val="20"/>
      <w:sz w:val="24"/>
      <w:szCs w:val="20"/>
    </w:rPr>
  </w:style>
  <w:style w:type="paragraph" w:customStyle="1" w:styleId="122">
    <w:name w:val="font1"/>
    <w:basedOn w:val="1"/>
    <w:qFormat/>
    <w:uiPriority w:val="0"/>
    <w:pPr>
      <w:widowControl/>
      <w:spacing w:before="100" w:beforeAutospacing="1" w:after="100" w:afterAutospacing="1"/>
      <w:jc w:val="left"/>
    </w:pPr>
    <w:rPr>
      <w:rFonts w:ascii="宋体" w:cs="宋体"/>
      <w:kern w:val="0"/>
      <w:sz w:val="24"/>
    </w:rPr>
  </w:style>
  <w:style w:type="paragraph" w:customStyle="1" w:styleId="123">
    <w:name w:val="小标"/>
    <w:basedOn w:val="1"/>
    <w:qFormat/>
    <w:uiPriority w:val="0"/>
    <w:rPr>
      <w:rFonts w:hint="eastAsia" w:ascii="黑体" w:eastAsia="黑体"/>
      <w:spacing w:val="20"/>
      <w:szCs w:val="20"/>
    </w:rPr>
  </w:style>
  <w:style w:type="paragraph" w:customStyle="1" w:styleId="124">
    <w:name w:val="Body Text 21"/>
    <w:basedOn w:val="1"/>
    <w:qFormat/>
    <w:uiPriority w:val="0"/>
    <w:pPr>
      <w:adjustRightInd w:val="0"/>
      <w:spacing w:line="240" w:lineRule="exact"/>
      <w:textAlignment w:val="baseline"/>
    </w:pPr>
    <w:rPr>
      <w:rFonts w:ascii="宋体"/>
      <w:kern w:val="0"/>
      <w:sz w:val="18"/>
      <w:szCs w:val="20"/>
    </w:rPr>
  </w:style>
  <w:style w:type="paragraph" w:customStyle="1" w:styleId="125">
    <w:name w:val="样式 正文文字缩进 + 宋体 首行缩进:  2 字符"/>
    <w:basedOn w:val="35"/>
    <w:qFormat/>
    <w:uiPriority w:val="0"/>
    <w:pPr>
      <w:spacing w:line="400" w:lineRule="exact"/>
      <w:ind w:firstLine="200" w:firstLineChars="200"/>
    </w:pPr>
    <w:rPr>
      <w:rFonts w:cs="宋体"/>
      <w:color w:val="auto"/>
      <w:szCs w:val="24"/>
    </w:rPr>
  </w:style>
  <w:style w:type="paragraph" w:customStyle="1" w:styleId="126">
    <w:name w:val="xl24"/>
    <w:basedOn w:val="1"/>
    <w:qFormat/>
    <w:uiPriority w:val="0"/>
    <w:pPr>
      <w:widowControl/>
      <w:spacing w:before="100" w:beforeAutospacing="1" w:after="100" w:afterAutospacing="1"/>
      <w:jc w:val="center"/>
    </w:pPr>
    <w:rPr>
      <w:rFonts w:ascii="宋体" w:hAnsi="宋体"/>
      <w:kern w:val="0"/>
      <w:sz w:val="24"/>
    </w:rPr>
  </w:style>
  <w:style w:type="paragraph" w:customStyle="1" w:styleId="127">
    <w:name w:val="纯文本1"/>
    <w:basedOn w:val="1"/>
    <w:qFormat/>
    <w:uiPriority w:val="0"/>
    <w:pPr>
      <w:adjustRightInd w:val="0"/>
      <w:textAlignment w:val="baseline"/>
    </w:pPr>
    <w:rPr>
      <w:rFonts w:ascii="宋体" w:hAnsi="Courier New" w:eastAsia="楷体_GB2312"/>
      <w:sz w:val="28"/>
      <w:szCs w:val="20"/>
    </w:rPr>
  </w:style>
  <w:style w:type="paragraph" w:customStyle="1" w:styleId="128">
    <w:name w:val="Default"/>
    <w:qFormat/>
    <w:uiPriority w:val="0"/>
    <w:pPr>
      <w:widowControl w:val="0"/>
      <w:tabs>
        <w:tab w:val="left" w:pos="924"/>
      </w:tabs>
      <w:autoSpaceDE w:val="0"/>
      <w:autoSpaceDN w:val="0"/>
      <w:adjustRightInd w:val="0"/>
    </w:pPr>
    <w:rPr>
      <w:rFonts w:ascii="Arial" w:hAnsi="Arial" w:eastAsia="宋体" w:cs="Arial"/>
      <w:color w:val="000000"/>
      <w:sz w:val="24"/>
      <w:szCs w:val="24"/>
      <w:lang w:val="en-US" w:eastAsia="zh-CN" w:bidi="ar-SA"/>
    </w:rPr>
  </w:style>
  <w:style w:type="paragraph" w:customStyle="1" w:styleId="129">
    <w:name w:val="xl66"/>
    <w:basedOn w:val="1"/>
    <w:qFormat/>
    <w:uiPriority w:val="0"/>
    <w:pPr>
      <w:widowControl/>
      <w:spacing w:before="100" w:beforeAutospacing="1" w:after="100" w:afterAutospacing="1"/>
      <w:jc w:val="left"/>
    </w:pPr>
    <w:rPr>
      <w:rFonts w:ascii="宋体" w:hAnsi="宋体" w:cs="宋体"/>
      <w:color w:val="000000"/>
      <w:kern w:val="0"/>
      <w:sz w:val="20"/>
      <w:szCs w:val="20"/>
    </w:rPr>
  </w:style>
  <w:style w:type="paragraph" w:customStyle="1" w:styleId="130">
    <w:name w:val="font9"/>
    <w:basedOn w:val="1"/>
    <w:qFormat/>
    <w:uiPriority w:val="0"/>
    <w:pPr>
      <w:widowControl/>
      <w:spacing w:before="100" w:beforeAutospacing="1" w:after="100" w:afterAutospacing="1"/>
      <w:jc w:val="left"/>
    </w:pPr>
    <w:rPr>
      <w:rFonts w:ascii="宋体" w:cs="宋体"/>
      <w:kern w:val="0"/>
      <w:sz w:val="18"/>
      <w:szCs w:val="18"/>
    </w:rPr>
  </w:style>
  <w:style w:type="paragraph" w:customStyle="1" w:styleId="131">
    <w:name w:val="xl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cs="宋体"/>
      <w:kern w:val="0"/>
      <w:sz w:val="14"/>
      <w:szCs w:val="14"/>
    </w:rPr>
  </w:style>
  <w:style w:type="paragraph" w:customStyle="1" w:styleId="132">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kern w:val="0"/>
      <w:sz w:val="20"/>
      <w:szCs w:val="20"/>
    </w:rPr>
  </w:style>
  <w:style w:type="paragraph" w:customStyle="1" w:styleId="133">
    <w:name w:val="修订1"/>
    <w:qFormat/>
    <w:uiPriority w:val="0"/>
    <w:rPr>
      <w:rFonts w:ascii="Calibri" w:hAnsi="Calibri" w:eastAsia="宋体" w:cs="Times New Roman"/>
      <w:szCs w:val="24"/>
      <w:lang w:val="en-US" w:eastAsia="zh-CN" w:bidi="ar-SA"/>
    </w:rPr>
  </w:style>
  <w:style w:type="paragraph" w:customStyle="1" w:styleId="134">
    <w:name w:val="xl88"/>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kern w:val="0"/>
      <w:sz w:val="36"/>
      <w:szCs w:val="36"/>
    </w:rPr>
  </w:style>
  <w:style w:type="paragraph" w:customStyle="1" w:styleId="135">
    <w:name w:val="Table Text"/>
    <w:qFormat/>
    <w:uiPriority w:val="0"/>
    <w:pPr>
      <w:snapToGrid w:val="0"/>
      <w:spacing w:before="80" w:after="80"/>
    </w:pPr>
    <w:rPr>
      <w:rFonts w:ascii="Arial" w:hAnsi="Arial" w:eastAsia="宋体" w:cs="Arial"/>
      <w:sz w:val="18"/>
      <w:szCs w:val="18"/>
      <w:lang w:val="en-US" w:eastAsia="zh-CN" w:bidi="ar-SA"/>
    </w:rPr>
  </w:style>
  <w:style w:type="paragraph" w:customStyle="1" w:styleId="136">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kern w:val="0"/>
      <w:sz w:val="20"/>
      <w:szCs w:val="20"/>
    </w:rPr>
  </w:style>
  <w:style w:type="paragraph" w:customStyle="1" w:styleId="137">
    <w:name w:val="Char Char Char Char Char Char Char Char Char Char Char Char Char Char Char Char"/>
    <w:basedOn w:val="1"/>
    <w:qFormat/>
    <w:uiPriority w:val="0"/>
    <w:pPr>
      <w:tabs>
        <w:tab w:val="left" w:pos="360"/>
      </w:tabs>
      <w:spacing w:line="360" w:lineRule="auto"/>
      <w:ind w:left="482" w:firstLine="200" w:firstLineChars="200"/>
    </w:pPr>
    <w:rPr>
      <w:rFonts w:ascii="宋体"/>
      <w:sz w:val="24"/>
    </w:rPr>
  </w:style>
  <w:style w:type="paragraph" w:customStyle="1" w:styleId="138">
    <w:name w:val="我的正文格式"/>
    <w:basedOn w:val="1"/>
    <w:next w:val="1"/>
    <w:qFormat/>
    <w:uiPriority w:val="0"/>
    <w:pPr>
      <w:snapToGrid w:val="0"/>
      <w:spacing w:line="288" w:lineRule="auto"/>
      <w:ind w:left="540" w:hanging="540" w:hangingChars="225"/>
    </w:pPr>
    <w:rPr>
      <w:sz w:val="24"/>
    </w:rPr>
  </w:style>
  <w:style w:type="paragraph" w:customStyle="1" w:styleId="139">
    <w:name w:val="编号2级"/>
    <w:qFormat/>
    <w:uiPriority w:val="0"/>
    <w:pPr>
      <w:tabs>
        <w:tab w:val="left" w:pos="1134"/>
      </w:tabs>
      <w:spacing w:line="360" w:lineRule="auto"/>
      <w:ind w:left="1134" w:hanging="425"/>
    </w:pPr>
    <w:rPr>
      <w:rFonts w:ascii="Calibri" w:hAnsi="Calibri" w:eastAsia="宋体" w:cs="Times New Roman"/>
      <w:kern w:val="24"/>
      <w:sz w:val="24"/>
      <w:szCs w:val="18"/>
      <w:lang w:val="en-US" w:eastAsia="zh-CN" w:bidi="ar-SA"/>
    </w:rPr>
  </w:style>
  <w:style w:type="paragraph" w:customStyle="1" w:styleId="140">
    <w:name w:val="4"/>
    <w:basedOn w:val="1"/>
    <w:next w:val="34"/>
    <w:qFormat/>
    <w:uiPriority w:val="0"/>
    <w:pPr>
      <w:spacing w:after="120"/>
    </w:pPr>
    <w:rPr>
      <w:szCs w:val="21"/>
    </w:rPr>
  </w:style>
  <w:style w:type="paragraph" w:customStyle="1" w:styleId="141">
    <w:name w:val="Char Char1 Char"/>
    <w:basedOn w:val="1"/>
    <w:qFormat/>
    <w:uiPriority w:val="0"/>
    <w:pPr>
      <w:widowControl/>
      <w:snapToGrid w:val="0"/>
      <w:spacing w:before="120" w:after="160" w:line="360" w:lineRule="auto"/>
      <w:ind w:right="-360"/>
      <w:jc w:val="left"/>
    </w:pPr>
    <w:rPr>
      <w:rFonts w:ascii="Arial" w:hAnsi="Arial"/>
      <w:kern w:val="0"/>
      <w:sz w:val="24"/>
      <w:lang w:eastAsia="en-US"/>
    </w:rPr>
  </w:style>
  <w:style w:type="paragraph" w:customStyle="1" w:styleId="142">
    <w:name w:val="表格正文2"/>
    <w:basedOn w:val="1"/>
    <w:qFormat/>
    <w:uiPriority w:val="0"/>
    <w:pPr>
      <w:adjustRightInd w:val="0"/>
      <w:snapToGrid w:val="0"/>
      <w:spacing w:line="400" w:lineRule="atLeast"/>
      <w:jc w:val="left"/>
    </w:pPr>
    <w:rPr>
      <w:sz w:val="24"/>
      <w:szCs w:val="20"/>
    </w:rPr>
  </w:style>
  <w:style w:type="paragraph" w:customStyle="1" w:styleId="143">
    <w:name w:val="公司抬头"/>
    <w:basedOn w:val="1"/>
    <w:qFormat/>
    <w:uiPriority w:val="0"/>
    <w:pPr>
      <w:adjustRightInd w:val="0"/>
      <w:snapToGrid w:val="0"/>
      <w:jc w:val="center"/>
    </w:pPr>
    <w:rPr>
      <w:rFonts w:ascii="仿宋_GB2312" w:hAnsi="仿宋_GB2312"/>
      <w:b/>
      <w:bCs/>
      <w:smallCaps/>
      <w:snapToGrid w:val="0"/>
      <w:color w:val="FF0000"/>
      <w:spacing w:val="-6"/>
      <w:kern w:val="0"/>
      <w:sz w:val="52"/>
      <w:szCs w:val="52"/>
    </w:rPr>
  </w:style>
  <w:style w:type="paragraph" w:customStyle="1" w:styleId="144">
    <w:name w:val="xl30"/>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kern w:val="0"/>
      <w:sz w:val="24"/>
    </w:rPr>
  </w:style>
  <w:style w:type="paragraph" w:customStyle="1" w:styleId="145">
    <w:name w:val="公司名称"/>
    <w:basedOn w:val="1"/>
    <w:qFormat/>
    <w:uiPriority w:val="0"/>
    <w:pPr>
      <w:keepLines/>
      <w:widowControl/>
      <w:shd w:val="solid" w:color="auto" w:fill="auto"/>
      <w:spacing w:line="320" w:lineRule="atLeast"/>
      <w:jc w:val="left"/>
    </w:pPr>
    <w:rPr>
      <w:rFonts w:ascii="Arial Black" w:hAnsi="Arial Black" w:eastAsia="黑体"/>
      <w:color w:val="FFFFFF"/>
      <w:spacing w:val="-15"/>
      <w:kern w:val="0"/>
      <w:sz w:val="32"/>
      <w:szCs w:val="20"/>
      <w:lang w:bidi="he-IL"/>
    </w:rPr>
  </w:style>
  <w:style w:type="paragraph" w:customStyle="1" w:styleId="146">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sz w:val="24"/>
    </w:rPr>
  </w:style>
  <w:style w:type="paragraph" w:customStyle="1" w:styleId="147">
    <w:name w:val="标题样式"/>
    <w:qFormat/>
    <w:uiPriority w:val="0"/>
    <w:pPr>
      <w:spacing w:line="560" w:lineRule="exact"/>
      <w:jc w:val="center"/>
    </w:pPr>
    <w:rPr>
      <w:rFonts w:ascii="公文小标宋简" w:hAnsi="Calibri" w:eastAsia="公文小标宋简" w:cs="Times New Roman"/>
      <w:bCs/>
      <w:kern w:val="2"/>
      <w:sz w:val="44"/>
      <w:szCs w:val="32"/>
      <w:lang w:val="en-US" w:eastAsia="zh-CN" w:bidi="ar-SA"/>
    </w:rPr>
  </w:style>
  <w:style w:type="paragraph" w:customStyle="1" w:styleId="148">
    <w:name w:val="_Style 25"/>
    <w:basedOn w:val="1"/>
    <w:next w:val="51"/>
    <w:qFormat/>
    <w:uiPriority w:val="0"/>
    <w:pPr>
      <w:snapToGrid w:val="0"/>
      <w:spacing w:line="360" w:lineRule="auto"/>
      <w:ind w:firstLine="560" w:firstLineChars="200"/>
    </w:pPr>
    <w:rPr>
      <w:sz w:val="28"/>
    </w:rPr>
  </w:style>
  <w:style w:type="paragraph" w:customStyle="1" w:styleId="149">
    <w:name w:val="p0"/>
    <w:basedOn w:val="1"/>
    <w:qFormat/>
    <w:uiPriority w:val="0"/>
    <w:pPr>
      <w:widowControl/>
    </w:pPr>
    <w:rPr>
      <w:kern w:val="0"/>
      <w:szCs w:val="21"/>
    </w:rPr>
  </w:style>
  <w:style w:type="paragraph" w:customStyle="1" w:styleId="150">
    <w:name w:val="默认段落字体 Para Char"/>
    <w:basedOn w:val="1"/>
    <w:qFormat/>
    <w:uiPriority w:val="0"/>
    <w:pPr>
      <w:adjustRightInd w:val="0"/>
      <w:spacing w:line="360" w:lineRule="auto"/>
    </w:pPr>
    <w:rPr>
      <w:rFonts w:ascii="宋体" w:cs="宋体"/>
      <w:kern w:val="0"/>
      <w:sz w:val="24"/>
      <w:szCs w:val="20"/>
    </w:rPr>
  </w:style>
  <w:style w:type="paragraph" w:customStyle="1" w:styleId="151">
    <w:name w:val="正文文本 21"/>
    <w:basedOn w:val="1"/>
    <w:qFormat/>
    <w:uiPriority w:val="0"/>
    <w:pPr>
      <w:adjustRightInd w:val="0"/>
      <w:spacing w:line="300" w:lineRule="auto"/>
      <w:jc w:val="center"/>
      <w:textAlignment w:val="baseline"/>
    </w:pPr>
    <w:rPr>
      <w:rFonts w:ascii="宋体"/>
      <w:sz w:val="24"/>
      <w:szCs w:val="20"/>
    </w:rPr>
  </w:style>
  <w:style w:type="paragraph" w:customStyle="1" w:styleId="152">
    <w:name w:val="z1"/>
    <w:basedOn w:val="1"/>
    <w:qFormat/>
    <w:uiPriority w:val="0"/>
    <w:pPr>
      <w:widowControl/>
      <w:wordWrap w:val="0"/>
      <w:adjustRightInd w:val="0"/>
      <w:snapToGrid w:val="0"/>
      <w:spacing w:beforeLines="50" w:afterLines="50" w:line="300" w:lineRule="auto"/>
      <w:ind w:left="171" w:leftChars="171" w:firstLine="200" w:firstLineChars="200"/>
    </w:pPr>
    <w:rPr>
      <w:rFonts w:ascii="Arial" w:hAnsi="Arial"/>
      <w:sz w:val="24"/>
      <w:szCs w:val="21"/>
    </w:rPr>
  </w:style>
  <w:style w:type="paragraph" w:customStyle="1" w:styleId="153">
    <w:name w:val="_Style 152"/>
    <w:qFormat/>
    <w:uiPriority w:val="0"/>
    <w:rPr>
      <w:rFonts w:ascii="Calibri" w:hAnsi="Calibri" w:eastAsia="宋体" w:cs="Times New Roman"/>
      <w:kern w:val="2"/>
      <w:sz w:val="21"/>
      <w:szCs w:val="24"/>
      <w:lang w:val="en-US" w:eastAsia="zh-CN" w:bidi="ar-SA"/>
    </w:rPr>
  </w:style>
  <w:style w:type="paragraph" w:customStyle="1" w:styleId="154">
    <w:name w:val="Figure Description"/>
    <w:basedOn w:val="1"/>
    <w:qFormat/>
    <w:uiPriority w:val="0"/>
    <w:pPr>
      <w:ind w:left="1701"/>
    </w:pPr>
    <w:rPr>
      <w:szCs w:val="20"/>
    </w:rPr>
  </w:style>
  <w:style w:type="paragraph" w:customStyle="1" w:styleId="155">
    <w:name w:val="xl89"/>
    <w:basedOn w:val="1"/>
    <w:qFormat/>
    <w:uiPriority w:val="0"/>
    <w:pPr>
      <w:widowControl/>
      <w:pBdr>
        <w:left w:val="single" w:color="auto" w:sz="4" w:space="0"/>
        <w:bottom w:val="single" w:color="auto" w:sz="4" w:space="0"/>
      </w:pBdr>
      <w:spacing w:before="100" w:beforeAutospacing="1" w:after="100" w:afterAutospacing="1"/>
      <w:jc w:val="center"/>
      <w:textAlignment w:val="center"/>
    </w:pPr>
    <w:rPr>
      <w:b/>
      <w:bCs/>
      <w:kern w:val="0"/>
      <w:sz w:val="36"/>
      <w:szCs w:val="36"/>
    </w:rPr>
  </w:style>
  <w:style w:type="paragraph" w:customStyle="1" w:styleId="156">
    <w:name w:val="打印正文1"/>
    <w:basedOn w:val="1"/>
    <w:qFormat/>
    <w:uiPriority w:val="0"/>
    <w:pPr>
      <w:tabs>
        <w:tab w:val="left" w:pos="705"/>
      </w:tabs>
      <w:spacing w:line="480" w:lineRule="atLeast"/>
      <w:ind w:left="705" w:hanging="705"/>
    </w:pPr>
    <w:rPr>
      <w:rFonts w:ascii="宋体" w:hAnsi="宋体"/>
      <w:bCs/>
      <w:spacing w:val="10"/>
      <w:kern w:val="28"/>
      <w:szCs w:val="21"/>
    </w:rPr>
  </w:style>
  <w:style w:type="paragraph" w:customStyle="1" w:styleId="157">
    <w:name w:val="Char1 Char Char Char"/>
    <w:basedOn w:val="1"/>
    <w:qFormat/>
    <w:uiPriority w:val="0"/>
    <w:rPr>
      <w:rFonts w:ascii="Tahoma" w:hAnsi="Tahoma"/>
      <w:sz w:val="24"/>
      <w:szCs w:val="20"/>
    </w:rPr>
  </w:style>
  <w:style w:type="paragraph" w:customStyle="1" w:styleId="158">
    <w:name w:val="样式 样式 标题 5 + 宋体 小四 段前: 6 磅 段后: 0 磅 行距: 1.5 倍行距 + 首行缩进:  2 字符"/>
    <w:basedOn w:val="1"/>
    <w:qFormat/>
    <w:uiPriority w:val="0"/>
    <w:pPr>
      <w:keepNext/>
      <w:keepLines/>
      <w:spacing w:before="120" w:line="360" w:lineRule="auto"/>
      <w:ind w:firstLine="200" w:firstLineChars="200"/>
      <w:outlineLvl w:val="4"/>
    </w:pPr>
    <w:rPr>
      <w:rFonts w:cs="宋体"/>
      <w:b/>
      <w:bCs/>
      <w:sz w:val="24"/>
    </w:rPr>
  </w:style>
  <w:style w:type="paragraph" w:customStyle="1" w:styleId="159">
    <w:name w:val="(1)"/>
    <w:basedOn w:val="1"/>
    <w:qFormat/>
    <w:uiPriority w:val="0"/>
    <w:pPr>
      <w:tabs>
        <w:tab w:val="left" w:pos="573"/>
      </w:tabs>
      <w:adjustRightInd w:val="0"/>
      <w:snapToGrid w:val="0"/>
      <w:spacing w:before="80" w:after="100" w:line="240" w:lineRule="atLeast"/>
      <w:textAlignment w:val="baseline"/>
    </w:pPr>
    <w:rPr>
      <w:rFonts w:ascii="Arial" w:hAnsi="Arial"/>
      <w:kern w:val="44"/>
      <w:sz w:val="24"/>
    </w:rPr>
  </w:style>
  <w:style w:type="paragraph" w:customStyle="1" w:styleId="160">
    <w:name w:val="正文文本 31"/>
    <w:basedOn w:val="1"/>
    <w:qFormat/>
    <w:uiPriority w:val="0"/>
    <w:pPr>
      <w:jc w:val="center"/>
    </w:pPr>
    <w:rPr>
      <w:kern w:val="0"/>
      <w:sz w:val="24"/>
      <w:szCs w:val="20"/>
    </w:rPr>
  </w:style>
  <w:style w:type="paragraph" w:customStyle="1" w:styleId="161">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b/>
      <w:bCs/>
      <w:kern w:val="0"/>
      <w:sz w:val="22"/>
      <w:szCs w:val="22"/>
    </w:rPr>
  </w:style>
  <w:style w:type="paragraph" w:customStyle="1" w:styleId="162">
    <w:name w:val="正文文本 22"/>
    <w:basedOn w:val="1"/>
    <w:qFormat/>
    <w:uiPriority w:val="0"/>
    <w:pPr>
      <w:adjustRightInd w:val="0"/>
      <w:spacing w:line="312" w:lineRule="atLeast"/>
      <w:ind w:firstLine="600"/>
      <w:textAlignment w:val="baseline"/>
    </w:pPr>
    <w:rPr>
      <w:rFonts w:ascii="宋体"/>
      <w:kern w:val="0"/>
      <w:sz w:val="28"/>
      <w:szCs w:val="20"/>
    </w:rPr>
  </w:style>
  <w:style w:type="paragraph" w:customStyle="1" w:styleId="163">
    <w:name w:val="表格1"/>
    <w:basedOn w:val="1"/>
    <w:qFormat/>
    <w:uiPriority w:val="0"/>
    <w:pPr>
      <w:tabs>
        <w:tab w:val="left" w:pos="0"/>
      </w:tabs>
      <w:adjustRightInd w:val="0"/>
      <w:snapToGrid w:val="0"/>
      <w:spacing w:line="360" w:lineRule="atLeast"/>
      <w:jc w:val="center"/>
      <w:textAlignment w:val="baseline"/>
    </w:pPr>
    <w:rPr>
      <w:kern w:val="0"/>
      <w:szCs w:val="21"/>
    </w:rPr>
  </w:style>
  <w:style w:type="paragraph" w:customStyle="1" w:styleId="164">
    <w:name w:val="Document Map1"/>
    <w:basedOn w:val="1"/>
    <w:qFormat/>
    <w:uiPriority w:val="0"/>
    <w:pPr>
      <w:shd w:val="clear" w:color="auto" w:fill="000080"/>
      <w:autoSpaceDE w:val="0"/>
      <w:autoSpaceDN w:val="0"/>
      <w:adjustRightInd w:val="0"/>
      <w:spacing w:line="312" w:lineRule="atLeast"/>
      <w:textAlignment w:val="baseline"/>
    </w:pPr>
    <w:rPr>
      <w:rFonts w:ascii="宋体" w:hAnsi="Tms Rmn"/>
      <w:kern w:val="0"/>
      <w:szCs w:val="20"/>
    </w:rPr>
  </w:style>
  <w:style w:type="paragraph" w:customStyle="1" w:styleId="165">
    <w:name w:val="正文缩进1"/>
    <w:basedOn w:val="1"/>
    <w:qFormat/>
    <w:uiPriority w:val="0"/>
    <w:pPr>
      <w:ind w:firstLine="200" w:firstLineChars="200"/>
    </w:pPr>
    <w:rPr>
      <w:rFonts w:eastAsia="楷体_GB2312"/>
      <w:kern w:val="0"/>
      <w:sz w:val="28"/>
      <w:szCs w:val="20"/>
    </w:rPr>
  </w:style>
  <w:style w:type="paragraph" w:customStyle="1" w:styleId="166">
    <w:name w:val="抄送机关"/>
    <w:basedOn w:val="1"/>
    <w:qFormat/>
    <w:uiPriority w:val="0"/>
    <w:pPr>
      <w:spacing w:line="500" w:lineRule="exact"/>
    </w:pPr>
    <w:rPr>
      <w:rFonts w:ascii="仿宋_GB2312" w:eastAsia="仿宋_GB2312"/>
      <w:sz w:val="32"/>
      <w:szCs w:val="32"/>
      <w:u w:color="FF0000"/>
    </w:rPr>
  </w:style>
  <w:style w:type="paragraph" w:customStyle="1" w:styleId="167">
    <w:name w:val="font8"/>
    <w:basedOn w:val="1"/>
    <w:qFormat/>
    <w:uiPriority w:val="0"/>
    <w:pPr>
      <w:widowControl/>
      <w:spacing w:before="100" w:beforeAutospacing="1" w:after="100" w:afterAutospacing="1"/>
      <w:jc w:val="left"/>
    </w:pPr>
    <w:rPr>
      <w:rFonts w:ascii="宋体" w:cs="宋体"/>
      <w:kern w:val="0"/>
      <w:sz w:val="20"/>
      <w:szCs w:val="20"/>
    </w:rPr>
  </w:style>
  <w:style w:type="paragraph" w:customStyle="1" w:styleId="168">
    <w:name w:val="样式2"/>
    <w:basedOn w:val="1"/>
    <w:qFormat/>
    <w:uiPriority w:val="0"/>
    <w:pPr>
      <w:adjustRightInd w:val="0"/>
      <w:spacing w:line="410" w:lineRule="atLeast"/>
      <w:jc w:val="left"/>
      <w:textAlignment w:val="baseline"/>
    </w:pPr>
    <w:rPr>
      <w:kern w:val="0"/>
      <w:sz w:val="24"/>
      <w:szCs w:val="20"/>
    </w:rPr>
  </w:style>
  <w:style w:type="paragraph" w:customStyle="1" w:styleId="169">
    <w:name w:val="xl32"/>
    <w:basedOn w:val="1"/>
    <w:qFormat/>
    <w:uiPriority w:val="0"/>
    <w:pPr>
      <w:widowControl/>
      <w:pBdr>
        <w:top w:val="single" w:color="auto" w:sz="4" w:space="0"/>
        <w:bottom w:val="single" w:color="auto" w:sz="4" w:space="0"/>
      </w:pBdr>
      <w:spacing w:before="100" w:beforeAutospacing="1" w:after="100" w:afterAutospacing="1"/>
      <w:jc w:val="center"/>
    </w:pPr>
    <w:rPr>
      <w:rFonts w:ascii="宋体" w:hAnsi="宋体"/>
      <w:kern w:val="0"/>
      <w:sz w:val="24"/>
    </w:rPr>
  </w:style>
  <w:style w:type="paragraph" w:customStyle="1" w:styleId="170">
    <w:name w:val="1正文"/>
    <w:basedOn w:val="1"/>
    <w:qFormat/>
    <w:uiPriority w:val="0"/>
    <w:pPr>
      <w:adjustRightInd w:val="0"/>
      <w:spacing w:line="300" w:lineRule="auto"/>
      <w:ind w:firstLine="480"/>
      <w:textAlignment w:val="baseline"/>
    </w:pPr>
    <w:rPr>
      <w:rFonts w:eastAsia="仿宋_GB2312"/>
      <w:kern w:val="0"/>
      <w:sz w:val="24"/>
      <w:szCs w:val="20"/>
    </w:rPr>
  </w:style>
  <w:style w:type="paragraph" w:customStyle="1" w:styleId="171">
    <w:name w:val="正文内容"/>
    <w:basedOn w:val="1"/>
    <w:qFormat/>
    <w:uiPriority w:val="0"/>
    <w:rPr>
      <w:rFonts w:ascii="Arial" w:hAnsi="Arial"/>
      <w:spacing w:val="-12"/>
      <w:szCs w:val="20"/>
    </w:rPr>
  </w:style>
  <w:style w:type="paragraph" w:customStyle="1" w:styleId="172">
    <w:name w:val="xl51"/>
    <w:basedOn w:val="1"/>
    <w:qFormat/>
    <w:uiPriority w:val="0"/>
    <w:pPr>
      <w:widowControl/>
      <w:pBdr>
        <w:bottom w:val="single" w:color="auto" w:sz="4" w:space="0"/>
        <w:right w:val="single" w:color="auto" w:sz="4" w:space="0"/>
      </w:pBdr>
      <w:tabs>
        <w:tab w:val="left" w:pos="1739"/>
      </w:tabs>
      <w:spacing w:before="100" w:beforeAutospacing="1" w:after="100" w:afterAutospacing="1"/>
      <w:textAlignment w:val="center"/>
    </w:pPr>
    <w:rPr>
      <w:rFonts w:ascii="Arial" w:hAnsi="Arial" w:eastAsia="Arial Unicode MS" w:cs="Arial"/>
      <w:kern w:val="0"/>
      <w:szCs w:val="21"/>
    </w:rPr>
  </w:style>
  <w:style w:type="paragraph" w:customStyle="1" w:styleId="173">
    <w:name w:val="Char Char Char Char Char Char1"/>
    <w:basedOn w:val="1"/>
    <w:qFormat/>
    <w:uiPriority w:val="0"/>
    <w:pPr>
      <w:ind w:firstLine="200" w:firstLineChars="200"/>
    </w:pPr>
    <w:rPr>
      <w:rFonts w:ascii="Tahoma" w:hAnsi="Tahoma"/>
      <w:sz w:val="24"/>
      <w:szCs w:val="20"/>
    </w:rPr>
  </w:style>
  <w:style w:type="paragraph" w:customStyle="1" w:styleId="174">
    <w:name w:val="Char Char Char Char Char Char Char1"/>
    <w:basedOn w:val="1"/>
    <w:qFormat/>
    <w:uiPriority w:val="0"/>
  </w:style>
  <w:style w:type="paragraph" w:customStyle="1" w:styleId="175">
    <w:name w:val="--规划正文"/>
    <w:basedOn w:val="1"/>
    <w:qFormat/>
    <w:uiPriority w:val="0"/>
    <w:pPr>
      <w:spacing w:line="360" w:lineRule="auto"/>
      <w:ind w:firstLine="200" w:firstLineChars="200"/>
    </w:pPr>
    <w:rPr>
      <w:szCs w:val="20"/>
    </w:rPr>
  </w:style>
  <w:style w:type="paragraph" w:customStyle="1" w:styleId="176">
    <w:name w:val="Default Text"/>
    <w:link w:val="385"/>
    <w:qFormat/>
    <w:uiPriority w:val="0"/>
    <w:pPr>
      <w:widowControl w:val="0"/>
      <w:autoSpaceDE w:val="0"/>
      <w:autoSpaceDN w:val="0"/>
      <w:adjustRightInd w:val="0"/>
    </w:pPr>
    <w:rPr>
      <w:rFonts w:ascii="Calibri" w:hAnsi="Calibri" w:eastAsia="宋体" w:cs="Times New Roman"/>
      <w:color w:val="000000"/>
      <w:sz w:val="24"/>
      <w:szCs w:val="24"/>
      <w:lang w:val="en-US" w:eastAsia="zh-CN" w:bidi="ar-SA"/>
    </w:rPr>
  </w:style>
  <w:style w:type="paragraph" w:customStyle="1" w:styleId="177">
    <w:name w:val="xl45"/>
    <w:basedOn w:val="1"/>
    <w:qFormat/>
    <w:uiPriority w:val="0"/>
    <w:pPr>
      <w:widowControl/>
      <w:pBdr>
        <w:top w:val="single" w:color="auto" w:sz="4" w:space="0"/>
        <w:bottom w:val="single" w:color="auto" w:sz="4" w:space="0"/>
      </w:pBdr>
      <w:spacing w:before="100" w:beforeAutospacing="1" w:after="100" w:afterAutospacing="1"/>
      <w:jc w:val="left"/>
      <w:textAlignment w:val="center"/>
    </w:pPr>
    <w:rPr>
      <w:rFonts w:ascii="宋体"/>
      <w:kern w:val="0"/>
      <w:sz w:val="22"/>
      <w:szCs w:val="22"/>
    </w:rPr>
  </w:style>
  <w:style w:type="paragraph" w:customStyle="1" w:styleId="178">
    <w:name w:val="正文样式"/>
    <w:basedOn w:val="1"/>
    <w:qFormat/>
    <w:uiPriority w:val="0"/>
    <w:pPr>
      <w:tabs>
        <w:tab w:val="left" w:pos="1560"/>
      </w:tabs>
      <w:spacing w:before="163" w:after="163" w:line="300" w:lineRule="auto"/>
      <w:ind w:left="1560" w:hanging="360"/>
    </w:pPr>
    <w:rPr>
      <w:rFonts w:ascii="宋体"/>
      <w:sz w:val="24"/>
    </w:rPr>
  </w:style>
  <w:style w:type="paragraph" w:customStyle="1" w:styleId="179">
    <w:name w:val="xl95"/>
    <w:basedOn w:val="1"/>
    <w:qFormat/>
    <w:uiPriority w:val="0"/>
    <w:pPr>
      <w:widowControl/>
      <w:spacing w:before="100" w:beforeAutospacing="1" w:after="100" w:afterAutospacing="1"/>
      <w:jc w:val="center"/>
    </w:pPr>
    <w:rPr>
      <w:rFonts w:ascii="宋体" w:cs="宋体"/>
      <w:color w:val="FF0000"/>
      <w:kern w:val="0"/>
      <w:sz w:val="14"/>
      <w:szCs w:val="14"/>
    </w:rPr>
  </w:style>
  <w:style w:type="paragraph" w:customStyle="1" w:styleId="180">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kern w:val="0"/>
      <w:sz w:val="20"/>
      <w:szCs w:val="20"/>
    </w:rPr>
  </w:style>
  <w:style w:type="paragraph" w:customStyle="1" w:styleId="181">
    <w:name w:val="表格侧编号"/>
    <w:next w:val="1"/>
    <w:qFormat/>
    <w:uiPriority w:val="0"/>
    <w:pPr>
      <w:widowControl w:val="0"/>
      <w:adjustRightInd w:val="0"/>
      <w:snapToGrid w:val="0"/>
      <w:spacing w:before="40" w:after="20" w:line="240" w:lineRule="atLeast"/>
      <w:jc w:val="center"/>
      <w:textAlignment w:val="baseline"/>
    </w:pPr>
    <w:rPr>
      <w:rFonts w:ascii="Arial" w:hAnsi="Arial" w:eastAsia="宋体" w:cs="Times New Roman"/>
      <w:sz w:val="24"/>
      <w:szCs w:val="24"/>
      <w:lang w:val="en-US" w:eastAsia="zh-CN" w:bidi="ar-SA"/>
    </w:rPr>
  </w:style>
  <w:style w:type="paragraph" w:customStyle="1" w:styleId="182">
    <w:name w:val="编号4级"/>
    <w:qFormat/>
    <w:uiPriority w:val="0"/>
    <w:pPr>
      <w:tabs>
        <w:tab w:val="left" w:pos="1843"/>
      </w:tabs>
      <w:spacing w:line="360" w:lineRule="auto"/>
      <w:ind w:left="1843" w:hanging="284"/>
    </w:pPr>
    <w:rPr>
      <w:rFonts w:ascii="Calibri" w:hAnsi="Calibri" w:eastAsia="宋体" w:cs="Times New Roman"/>
      <w:kern w:val="24"/>
      <w:sz w:val="24"/>
      <w:szCs w:val="18"/>
      <w:lang w:val="en-US" w:eastAsia="zh-CN" w:bidi="ar-SA"/>
    </w:rPr>
  </w:style>
  <w:style w:type="paragraph" w:customStyle="1" w:styleId="183">
    <w:name w:val="xl42"/>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kern w:val="0"/>
      <w:sz w:val="22"/>
      <w:szCs w:val="22"/>
    </w:rPr>
  </w:style>
  <w:style w:type="paragraph" w:customStyle="1" w:styleId="184">
    <w:name w:val="样式1"/>
    <w:basedOn w:val="1"/>
    <w:link w:val="368"/>
    <w:qFormat/>
    <w:uiPriority w:val="0"/>
    <w:pPr>
      <w:adjustRightInd w:val="0"/>
      <w:spacing w:line="420" w:lineRule="auto"/>
      <w:jc w:val="center"/>
      <w:textAlignment w:val="baseline"/>
    </w:pPr>
    <w:rPr>
      <w:rFonts w:ascii="宋体"/>
      <w:kern w:val="0"/>
      <w:sz w:val="24"/>
      <w:szCs w:val="20"/>
    </w:rPr>
  </w:style>
  <w:style w:type="paragraph" w:customStyle="1" w:styleId="185">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186">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187">
    <w:name w:val="标题1"/>
    <w:basedOn w:val="4"/>
    <w:qFormat/>
    <w:uiPriority w:val="0"/>
    <w:pPr>
      <w:keepNext w:val="0"/>
      <w:tabs>
        <w:tab w:val="left" w:pos="924"/>
      </w:tabs>
      <w:spacing w:line="360" w:lineRule="auto"/>
      <w:ind w:left="1276" w:hanging="425"/>
    </w:pPr>
    <w:rPr>
      <w:rFonts w:ascii="黑体" w:hAnsi="宋体" w:eastAsia="黑体"/>
      <w:kern w:val="11"/>
      <w:sz w:val="28"/>
    </w:rPr>
  </w:style>
  <w:style w:type="paragraph" w:customStyle="1" w:styleId="188">
    <w:name w:val="日期1"/>
    <w:basedOn w:val="1"/>
    <w:next w:val="1"/>
    <w:qFormat/>
    <w:uiPriority w:val="0"/>
    <w:pPr>
      <w:autoSpaceDE w:val="0"/>
      <w:autoSpaceDN w:val="0"/>
      <w:adjustRightInd w:val="0"/>
      <w:spacing w:line="400" w:lineRule="atLeast"/>
      <w:jc w:val="left"/>
      <w:textAlignment w:val="baseline"/>
    </w:pPr>
    <w:rPr>
      <w:rFonts w:ascii="宋体"/>
      <w:kern w:val="0"/>
      <w:sz w:val="24"/>
      <w:szCs w:val="20"/>
    </w:rPr>
  </w:style>
  <w:style w:type="paragraph" w:customStyle="1" w:styleId="189">
    <w:name w:val="文本块1"/>
    <w:basedOn w:val="1"/>
    <w:qFormat/>
    <w:uiPriority w:val="0"/>
    <w:pPr>
      <w:spacing w:after="120"/>
      <w:ind w:left="700" w:leftChars="700" w:right="700" w:rightChars="700"/>
    </w:pPr>
    <w:rPr>
      <w:szCs w:val="21"/>
    </w:rPr>
  </w:style>
  <w:style w:type="paragraph" w:customStyle="1" w:styleId="190">
    <w:name w:val="文档结构图1"/>
    <w:basedOn w:val="1"/>
    <w:qFormat/>
    <w:uiPriority w:val="0"/>
    <w:pPr>
      <w:shd w:val="clear" w:color="auto" w:fill="000080"/>
      <w:autoSpaceDE w:val="0"/>
      <w:autoSpaceDN w:val="0"/>
      <w:adjustRightInd w:val="0"/>
      <w:spacing w:line="312" w:lineRule="atLeast"/>
      <w:textAlignment w:val="baseline"/>
    </w:pPr>
    <w:rPr>
      <w:rFonts w:ascii="宋体" w:hAnsi="Tms Rmn"/>
      <w:kern w:val="0"/>
      <w:szCs w:val="20"/>
    </w:rPr>
  </w:style>
  <w:style w:type="paragraph" w:customStyle="1" w:styleId="191">
    <w:name w:val="xl10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cs="宋体"/>
      <w:b/>
      <w:bCs/>
      <w:color w:val="000000"/>
      <w:kern w:val="0"/>
      <w:sz w:val="14"/>
      <w:szCs w:val="14"/>
    </w:rPr>
  </w:style>
  <w:style w:type="paragraph" w:customStyle="1" w:styleId="192">
    <w:name w:val="Char1 Char Char Char Char Char Char1"/>
    <w:basedOn w:val="1"/>
    <w:qFormat/>
    <w:uiPriority w:val="0"/>
    <w:pPr>
      <w:tabs>
        <w:tab w:val="left" w:pos="360"/>
      </w:tabs>
      <w:ind w:left="360" w:hanging="360"/>
    </w:pPr>
    <w:rPr>
      <w:sz w:val="24"/>
    </w:rPr>
  </w:style>
  <w:style w:type="paragraph" w:customStyle="1" w:styleId="193">
    <w:name w:val="Char Char Char"/>
    <w:basedOn w:val="26"/>
    <w:qFormat/>
    <w:uiPriority w:val="0"/>
    <w:rPr>
      <w:rFonts w:ascii="Tahoma" w:hAnsi="Tahoma"/>
      <w:sz w:val="24"/>
      <w:szCs w:val="24"/>
    </w:rPr>
  </w:style>
  <w:style w:type="paragraph" w:customStyle="1" w:styleId="194">
    <w:name w:val="Char Char Char Char Char Char1 Char1"/>
    <w:basedOn w:val="1"/>
    <w:qFormat/>
    <w:uiPriority w:val="0"/>
    <w:pPr>
      <w:widowControl/>
      <w:spacing w:after="160" w:line="240" w:lineRule="exact"/>
      <w:jc w:val="left"/>
    </w:pPr>
    <w:rPr>
      <w:rFonts w:ascii="Verdana" w:hAnsi="Verdana"/>
      <w:kern w:val="0"/>
      <w:szCs w:val="20"/>
      <w:lang w:eastAsia="en-US"/>
    </w:rPr>
  </w:style>
  <w:style w:type="paragraph" w:customStyle="1" w:styleId="195">
    <w:name w:val="编号3级"/>
    <w:qFormat/>
    <w:uiPriority w:val="0"/>
    <w:pPr>
      <w:tabs>
        <w:tab w:val="left" w:pos="1559"/>
      </w:tabs>
      <w:spacing w:line="360" w:lineRule="auto"/>
      <w:ind w:left="1559" w:hanging="425"/>
    </w:pPr>
    <w:rPr>
      <w:rFonts w:ascii="Calibri" w:hAnsi="Calibri" w:eastAsia="宋体" w:cs="Times New Roman"/>
      <w:kern w:val="24"/>
      <w:sz w:val="24"/>
      <w:szCs w:val="18"/>
      <w:lang w:val="en-US" w:eastAsia="zh-CN" w:bidi="ar-SA"/>
    </w:rPr>
  </w:style>
  <w:style w:type="paragraph" w:customStyle="1" w:styleId="196">
    <w:name w:val="xl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cs="宋体"/>
      <w:b/>
      <w:bCs/>
      <w:color w:val="000000"/>
      <w:kern w:val="0"/>
      <w:sz w:val="14"/>
      <w:szCs w:val="14"/>
    </w:rPr>
  </w:style>
  <w:style w:type="paragraph" w:customStyle="1" w:styleId="197">
    <w:name w:val="Char"/>
    <w:basedOn w:val="1"/>
    <w:qFormat/>
    <w:uiPriority w:val="0"/>
  </w:style>
  <w:style w:type="paragraph" w:customStyle="1" w:styleId="198">
    <w:name w:val="Char1 Char Char Char Char Char Char"/>
    <w:basedOn w:val="1"/>
    <w:qFormat/>
    <w:uiPriority w:val="0"/>
    <w:pPr>
      <w:tabs>
        <w:tab w:val="left" w:pos="360"/>
      </w:tabs>
      <w:ind w:left="360" w:hanging="360"/>
    </w:pPr>
    <w:rPr>
      <w:sz w:val="24"/>
    </w:rPr>
  </w:style>
  <w:style w:type="paragraph" w:customStyle="1" w:styleId="199">
    <w:name w:val="方案正文样式"/>
    <w:basedOn w:val="21"/>
    <w:qFormat/>
    <w:uiPriority w:val="0"/>
    <w:pPr>
      <w:autoSpaceDE/>
      <w:autoSpaceDN/>
      <w:spacing w:before="120" w:after="120"/>
      <w:ind w:left="600" w:firstLine="200"/>
      <w:jc w:val="both"/>
    </w:pPr>
    <w:rPr>
      <w:rFonts w:hAnsi="宋体"/>
      <w:color w:val="000000"/>
      <w:spacing w:val="4"/>
      <w:sz w:val="21"/>
    </w:rPr>
  </w:style>
  <w:style w:type="paragraph" w:customStyle="1" w:styleId="200">
    <w:name w:val="xl9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cs="宋体"/>
      <w:b/>
      <w:bCs/>
      <w:color w:val="000000"/>
      <w:kern w:val="0"/>
      <w:sz w:val="14"/>
      <w:szCs w:val="14"/>
    </w:rPr>
  </w:style>
  <w:style w:type="paragraph" w:customStyle="1" w:styleId="201">
    <w:name w:val="一级条标题"/>
    <w:next w:val="1"/>
    <w:qFormat/>
    <w:uiPriority w:val="0"/>
    <w:pPr>
      <w:outlineLvl w:val="2"/>
    </w:pPr>
    <w:rPr>
      <w:rFonts w:ascii="Calibri" w:hAnsi="Calibri" w:eastAsia="黑体" w:cs="Times New Roman"/>
      <w:sz w:val="21"/>
      <w:lang w:val="en-US" w:eastAsia="zh-CN" w:bidi="ar-SA"/>
    </w:rPr>
  </w:style>
  <w:style w:type="paragraph" w:customStyle="1" w:styleId="202">
    <w:name w:val="font6"/>
    <w:basedOn w:val="1"/>
    <w:qFormat/>
    <w:uiPriority w:val="0"/>
    <w:pPr>
      <w:widowControl/>
      <w:spacing w:before="100" w:beforeAutospacing="1" w:after="100" w:afterAutospacing="1"/>
      <w:jc w:val="left"/>
    </w:pPr>
    <w:rPr>
      <w:kern w:val="0"/>
      <w:sz w:val="20"/>
      <w:szCs w:val="20"/>
    </w:rPr>
  </w:style>
  <w:style w:type="paragraph" w:customStyle="1" w:styleId="203">
    <w:name w:val="xl99"/>
    <w:basedOn w:val="1"/>
    <w:qFormat/>
    <w:uiPriority w:val="0"/>
    <w:pPr>
      <w:widowControl/>
      <w:spacing w:before="100" w:beforeAutospacing="1" w:after="100" w:afterAutospacing="1"/>
      <w:jc w:val="left"/>
    </w:pPr>
    <w:rPr>
      <w:rFonts w:ascii="宋体" w:cs="宋体"/>
      <w:kern w:val="0"/>
      <w:sz w:val="14"/>
      <w:szCs w:val="14"/>
    </w:rPr>
  </w:style>
  <w:style w:type="paragraph" w:customStyle="1" w:styleId="204">
    <w:name w:val="xl87"/>
    <w:basedOn w:val="1"/>
    <w:qFormat/>
    <w:uiPriority w:val="0"/>
    <w:pPr>
      <w:widowControl/>
      <w:pBdr>
        <w:bottom w:val="single" w:color="auto" w:sz="4" w:space="0"/>
        <w:right w:val="single" w:color="auto" w:sz="4" w:space="0"/>
      </w:pBdr>
      <w:spacing w:before="100" w:beforeAutospacing="1" w:after="100" w:afterAutospacing="1"/>
      <w:jc w:val="center"/>
      <w:textAlignment w:val="center"/>
    </w:pPr>
    <w:rPr>
      <w:rFonts w:ascii="宋体" w:cs="宋体"/>
      <w:b/>
      <w:bCs/>
      <w:kern w:val="0"/>
      <w:sz w:val="36"/>
      <w:szCs w:val="36"/>
    </w:rPr>
  </w:style>
  <w:style w:type="paragraph" w:customStyle="1" w:styleId="205">
    <w:name w:val="二级条标题"/>
    <w:basedOn w:val="201"/>
    <w:next w:val="1"/>
    <w:qFormat/>
    <w:uiPriority w:val="0"/>
    <w:pPr>
      <w:outlineLvl w:val="3"/>
    </w:pPr>
  </w:style>
  <w:style w:type="paragraph" w:customStyle="1" w:styleId="206">
    <w:name w:val="xl79"/>
    <w:basedOn w:val="1"/>
    <w:qFormat/>
    <w:uiPriority w:val="0"/>
    <w:pPr>
      <w:widowControl/>
      <w:shd w:val="clear" w:color="000000" w:fill="FFFF00"/>
      <w:spacing w:before="100" w:beforeAutospacing="1" w:after="100" w:afterAutospacing="1"/>
      <w:jc w:val="left"/>
      <w:textAlignment w:val="center"/>
    </w:pPr>
    <w:rPr>
      <w:kern w:val="0"/>
      <w:sz w:val="20"/>
      <w:szCs w:val="20"/>
    </w:rPr>
  </w:style>
  <w:style w:type="paragraph" w:customStyle="1" w:styleId="207">
    <w:name w:val="xl46"/>
    <w:basedOn w:val="1"/>
    <w:qFormat/>
    <w:uiPriority w:val="0"/>
    <w:pPr>
      <w:widowControl/>
      <w:spacing w:before="100" w:beforeAutospacing="1" w:after="100" w:afterAutospacing="1"/>
      <w:jc w:val="left"/>
      <w:textAlignment w:val="center"/>
    </w:pPr>
    <w:rPr>
      <w:rFonts w:ascii="宋体"/>
      <w:kern w:val="0"/>
      <w:sz w:val="22"/>
      <w:szCs w:val="22"/>
    </w:rPr>
  </w:style>
  <w:style w:type="paragraph" w:customStyle="1" w:styleId="208">
    <w:name w:val="_Style 207"/>
    <w:basedOn w:val="4"/>
    <w:next w:val="1"/>
    <w:qFormat/>
    <w:uiPriority w:val="0"/>
    <w:pPr>
      <w:widowControl/>
      <w:adjustRightInd/>
      <w:spacing w:before="480" w:line="276" w:lineRule="auto"/>
      <w:textAlignment w:val="auto"/>
      <w:outlineLvl w:val="9"/>
    </w:pPr>
    <w:rPr>
      <w:rFonts w:ascii="Cambria" w:hAnsi="Cambria"/>
      <w:bCs/>
      <w:color w:val="365F91"/>
      <w:kern w:val="0"/>
      <w:sz w:val="28"/>
      <w:szCs w:val="28"/>
    </w:rPr>
  </w:style>
  <w:style w:type="paragraph" w:customStyle="1" w:styleId="209">
    <w:name w:val="Body"/>
    <w:basedOn w:val="1"/>
    <w:qFormat/>
    <w:uiPriority w:val="0"/>
    <w:pPr>
      <w:widowControl/>
      <w:tabs>
        <w:tab w:val="left" w:pos="1980"/>
      </w:tabs>
      <w:spacing w:before="80" w:after="80" w:line="360" w:lineRule="auto"/>
      <w:ind w:left="1259"/>
      <w:jc w:val="left"/>
    </w:pPr>
    <w:rPr>
      <w:kern w:val="0"/>
      <w:szCs w:val="21"/>
    </w:rPr>
  </w:style>
  <w:style w:type="paragraph" w:customStyle="1" w:styleId="210">
    <w:name w:val="段"/>
    <w:qFormat/>
    <w:uiPriority w:val="0"/>
    <w:pPr>
      <w:autoSpaceDE w:val="0"/>
      <w:autoSpaceDN w:val="0"/>
      <w:ind w:firstLine="200" w:firstLineChars="200"/>
      <w:jc w:val="both"/>
    </w:pPr>
    <w:rPr>
      <w:rFonts w:ascii="宋体" w:hAnsi="Calibri" w:eastAsia="宋体" w:cs="Times New Roman"/>
      <w:sz w:val="21"/>
      <w:lang w:val="en-US" w:eastAsia="zh-CN" w:bidi="ar-SA"/>
    </w:rPr>
  </w:style>
  <w:style w:type="paragraph" w:customStyle="1" w:styleId="211">
    <w:name w:val="Char Char Char Char Char Char1 Char"/>
    <w:basedOn w:val="1"/>
    <w:qFormat/>
    <w:uiPriority w:val="0"/>
    <w:pPr>
      <w:widowControl/>
      <w:spacing w:after="160" w:line="240" w:lineRule="exact"/>
      <w:jc w:val="left"/>
    </w:pPr>
    <w:rPr>
      <w:rFonts w:ascii="Verdana" w:hAnsi="Verdana"/>
      <w:kern w:val="0"/>
      <w:szCs w:val="20"/>
      <w:lang w:eastAsia="en-US"/>
    </w:rPr>
  </w:style>
  <w:style w:type="paragraph" w:customStyle="1" w:styleId="212">
    <w:name w:val="Char2"/>
    <w:basedOn w:val="1"/>
    <w:qFormat/>
    <w:uiPriority w:val="0"/>
    <w:pPr>
      <w:tabs>
        <w:tab w:val="left" w:pos="425"/>
      </w:tabs>
      <w:ind w:left="425" w:hanging="425"/>
    </w:pPr>
    <w:rPr>
      <w:sz w:val="24"/>
    </w:rPr>
  </w:style>
  <w:style w:type="paragraph" w:customStyle="1" w:styleId="213">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rPr>
  </w:style>
  <w:style w:type="paragraph" w:customStyle="1" w:styleId="214">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kern w:val="0"/>
      <w:sz w:val="24"/>
    </w:rPr>
  </w:style>
  <w:style w:type="paragraph" w:customStyle="1" w:styleId="215">
    <w:name w:val="标题4 Char"/>
    <w:basedOn w:val="6"/>
    <w:qFormat/>
    <w:uiPriority w:val="0"/>
    <w:pPr>
      <w:keepNext/>
      <w:tabs>
        <w:tab w:val="left" w:pos="425"/>
        <w:tab w:val="clear" w:pos="720"/>
      </w:tabs>
      <w:spacing w:line="360" w:lineRule="auto"/>
      <w:ind w:left="425" w:hanging="425"/>
      <w:jc w:val="both"/>
    </w:pPr>
    <w:rPr>
      <w:rFonts w:ascii="Arial" w:hAnsi="Arial"/>
    </w:rPr>
  </w:style>
  <w:style w:type="paragraph" w:customStyle="1" w:styleId="216">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kern w:val="0"/>
      <w:sz w:val="20"/>
      <w:szCs w:val="20"/>
    </w:rPr>
  </w:style>
  <w:style w:type="paragraph" w:customStyle="1" w:styleId="217">
    <w:name w:val="索引标题1"/>
    <w:basedOn w:val="1"/>
    <w:next w:val="110"/>
    <w:qFormat/>
    <w:uiPriority w:val="0"/>
    <w:pPr>
      <w:spacing w:line="360" w:lineRule="auto"/>
      <w:ind w:firstLine="482"/>
    </w:pPr>
    <w:rPr>
      <w:rFonts w:ascii="Footlight MT Light" w:hAnsi="Footlight MT Light"/>
      <w:sz w:val="24"/>
      <w:szCs w:val="20"/>
    </w:rPr>
  </w:style>
  <w:style w:type="paragraph" w:customStyle="1" w:styleId="218">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219">
    <w:name w:val="标题4"/>
    <w:basedOn w:val="6"/>
    <w:qFormat/>
    <w:uiPriority w:val="0"/>
    <w:pPr>
      <w:keepNext/>
      <w:tabs>
        <w:tab w:val="clear" w:pos="720"/>
      </w:tabs>
      <w:spacing w:line="360" w:lineRule="auto"/>
      <w:jc w:val="both"/>
    </w:pPr>
    <w:rPr>
      <w:rFonts w:ascii="Arial" w:hAnsi="Arial"/>
    </w:rPr>
  </w:style>
  <w:style w:type="paragraph" w:customStyle="1" w:styleId="220">
    <w:name w:val="xl72"/>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kern w:val="0"/>
      <w:sz w:val="20"/>
      <w:szCs w:val="20"/>
    </w:rPr>
  </w:style>
  <w:style w:type="paragraph" w:customStyle="1" w:styleId="221">
    <w:name w:val="签名1"/>
    <w:basedOn w:val="1"/>
    <w:qFormat/>
    <w:uiPriority w:val="0"/>
    <w:pPr>
      <w:ind w:left="4320"/>
    </w:pPr>
    <w:rPr>
      <w:rFonts w:eastAsia="楷体_GB2312"/>
      <w:kern w:val="0"/>
      <w:sz w:val="20"/>
      <w:szCs w:val="20"/>
    </w:rPr>
  </w:style>
  <w:style w:type="paragraph" w:customStyle="1" w:styleId="222">
    <w:name w:val="收函单位"/>
    <w:basedOn w:val="223"/>
    <w:qFormat/>
    <w:uiPriority w:val="0"/>
  </w:style>
  <w:style w:type="paragraph" w:customStyle="1" w:styleId="223">
    <w:name w:val="公文正文"/>
    <w:qFormat/>
    <w:uiPriority w:val="0"/>
    <w:pPr>
      <w:spacing w:line="560" w:lineRule="exact"/>
      <w:jc w:val="both"/>
    </w:pPr>
    <w:rPr>
      <w:rFonts w:ascii="仿宋_GB2312" w:hAnsi="Calibri" w:eastAsia="仿宋_GB2312" w:cs="Times New Roman"/>
      <w:bCs/>
      <w:kern w:val="2"/>
      <w:sz w:val="32"/>
      <w:szCs w:val="32"/>
      <w:lang w:val="en-US" w:eastAsia="zh-CN" w:bidi="ar-SA"/>
    </w:rPr>
  </w:style>
  <w:style w:type="paragraph" w:customStyle="1" w:styleId="224">
    <w:name w:val="序言中的项目"/>
    <w:basedOn w:val="1"/>
    <w:qFormat/>
    <w:uiPriority w:val="0"/>
    <w:pPr>
      <w:tabs>
        <w:tab w:val="left" w:pos="1781"/>
      </w:tabs>
      <w:ind w:left="1781" w:hanging="420"/>
    </w:pPr>
  </w:style>
  <w:style w:type="paragraph" w:customStyle="1" w:styleId="225">
    <w:name w:val="Table Body"/>
    <w:basedOn w:val="1"/>
    <w:qFormat/>
    <w:uiPriority w:val="0"/>
    <w:pPr>
      <w:widowControl/>
      <w:jc w:val="center"/>
    </w:pPr>
    <w:rPr>
      <w:rFonts w:ascii="Arial" w:hAnsi="Arial"/>
      <w:snapToGrid w:val="0"/>
      <w:kern w:val="0"/>
      <w:sz w:val="18"/>
      <w:szCs w:val="20"/>
    </w:rPr>
  </w:style>
  <w:style w:type="paragraph" w:customStyle="1" w:styleId="226">
    <w:name w:val="表格标题1"/>
    <w:basedOn w:val="227"/>
    <w:qFormat/>
    <w:uiPriority w:val="0"/>
    <w:pPr>
      <w:tabs>
        <w:tab w:val="left" w:pos="855"/>
      </w:tabs>
      <w:ind w:left="855" w:hanging="360"/>
      <w:jc w:val="both"/>
      <w:textAlignment w:val="bottom"/>
    </w:pPr>
    <w:rPr>
      <w:rFonts w:ascii="Times New Roman"/>
      <w:sz w:val="21"/>
      <w:szCs w:val="21"/>
    </w:rPr>
  </w:style>
  <w:style w:type="paragraph" w:customStyle="1" w:styleId="227">
    <w:name w:val="表格"/>
    <w:basedOn w:val="1"/>
    <w:qFormat/>
    <w:uiPriority w:val="0"/>
    <w:pPr>
      <w:adjustRightInd w:val="0"/>
      <w:spacing w:before="60" w:after="60"/>
      <w:jc w:val="center"/>
      <w:textAlignment w:val="baseline"/>
    </w:pPr>
    <w:rPr>
      <w:rFonts w:ascii="宋体"/>
      <w:kern w:val="0"/>
      <w:sz w:val="24"/>
      <w:szCs w:val="20"/>
    </w:rPr>
  </w:style>
  <w:style w:type="paragraph" w:customStyle="1" w:styleId="228">
    <w:name w:val="xl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cs="宋体"/>
      <w:color w:val="000000"/>
      <w:kern w:val="0"/>
      <w:sz w:val="14"/>
      <w:szCs w:val="14"/>
    </w:rPr>
  </w:style>
  <w:style w:type="paragraph" w:customStyle="1" w:styleId="229">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cs="宋体"/>
      <w:kern w:val="0"/>
      <w:sz w:val="14"/>
      <w:szCs w:val="14"/>
    </w:rPr>
  </w:style>
  <w:style w:type="paragraph" w:customStyle="1" w:styleId="230">
    <w:name w:val="表文"/>
    <w:basedOn w:val="1"/>
    <w:qFormat/>
    <w:uiPriority w:val="0"/>
    <w:pPr>
      <w:spacing w:line="300" w:lineRule="auto"/>
      <w:jc w:val="center"/>
      <w:textAlignment w:val="baseline"/>
    </w:pPr>
    <w:rPr>
      <w:kern w:val="0"/>
      <w:szCs w:val="20"/>
    </w:rPr>
  </w:style>
  <w:style w:type="paragraph" w:customStyle="1" w:styleId="231">
    <w:name w:val="抄送、分送机关"/>
    <w:basedOn w:val="1"/>
    <w:qFormat/>
    <w:uiPriority w:val="0"/>
    <w:pPr>
      <w:spacing w:line="500" w:lineRule="exact"/>
    </w:pPr>
    <w:rPr>
      <w:rFonts w:ascii="仿宋_GB2312" w:eastAsia="仿宋_GB2312"/>
      <w:sz w:val="32"/>
      <w:szCs w:val="32"/>
      <w:u w:color="FF0000"/>
    </w:rPr>
  </w:style>
  <w:style w:type="paragraph" w:customStyle="1" w:styleId="232">
    <w:name w:val="zw_12_25"/>
    <w:basedOn w:val="1"/>
    <w:qFormat/>
    <w:uiPriority w:val="0"/>
    <w:pPr>
      <w:widowControl/>
      <w:spacing w:before="100" w:beforeAutospacing="1" w:after="100" w:afterAutospacing="1" w:line="300" w:lineRule="atLeast"/>
      <w:jc w:val="left"/>
    </w:pPr>
    <w:rPr>
      <w:color w:val="333399"/>
      <w:kern w:val="0"/>
      <w:sz w:val="23"/>
      <w:szCs w:val="23"/>
    </w:rPr>
  </w:style>
  <w:style w:type="paragraph" w:customStyle="1" w:styleId="233">
    <w:name w:val="Table Heading"/>
    <w:qFormat/>
    <w:uiPriority w:val="0"/>
    <w:pPr>
      <w:keepNext/>
      <w:snapToGrid w:val="0"/>
      <w:spacing w:before="80" w:after="80"/>
      <w:jc w:val="center"/>
    </w:pPr>
    <w:rPr>
      <w:rFonts w:ascii="Arial" w:hAnsi="Arial" w:eastAsia="黑体" w:cs="Arial"/>
      <w:sz w:val="18"/>
      <w:szCs w:val="18"/>
      <w:lang w:val="en-US" w:eastAsia="zh-CN" w:bidi="ar-SA"/>
    </w:rPr>
  </w:style>
  <w:style w:type="paragraph" w:customStyle="1" w:styleId="234">
    <w:name w:val="Char Char Char1"/>
    <w:basedOn w:val="26"/>
    <w:qFormat/>
    <w:uiPriority w:val="0"/>
    <w:rPr>
      <w:rFonts w:ascii="Tahoma" w:hAnsi="Tahoma"/>
      <w:sz w:val="24"/>
      <w:szCs w:val="24"/>
    </w:rPr>
  </w:style>
  <w:style w:type="paragraph" w:customStyle="1" w:styleId="235">
    <w:name w:val="Char Char1 Char Char Char Char Char Char"/>
    <w:basedOn w:val="1"/>
    <w:qFormat/>
    <w:uiPriority w:val="0"/>
    <w:pPr>
      <w:widowControl/>
      <w:adjustRightInd w:val="0"/>
      <w:snapToGrid w:val="0"/>
      <w:spacing w:beforeLines="25" w:afterLines="25" w:line="240" w:lineRule="exact"/>
      <w:ind w:firstLine="192" w:firstLineChars="192"/>
      <w:jc w:val="left"/>
    </w:pPr>
    <w:rPr>
      <w:rFonts w:ascii="宋体"/>
      <w:kern w:val="0"/>
      <w:sz w:val="28"/>
      <w:szCs w:val="28"/>
      <w:lang w:eastAsia="en-US"/>
    </w:rPr>
  </w:style>
  <w:style w:type="paragraph" w:customStyle="1" w:styleId="236">
    <w:name w:val="Normal Indent1"/>
    <w:basedOn w:val="1"/>
    <w:qFormat/>
    <w:uiPriority w:val="0"/>
    <w:pPr>
      <w:ind w:firstLine="420" w:firstLineChars="200"/>
    </w:pPr>
    <w:rPr>
      <w:szCs w:val="20"/>
    </w:rPr>
  </w:style>
  <w:style w:type="paragraph" w:customStyle="1" w:styleId="237">
    <w:name w:val="正文首行缩进1"/>
    <w:basedOn w:val="34"/>
    <w:qFormat/>
    <w:uiPriority w:val="0"/>
    <w:pPr>
      <w:ind w:firstLine="100" w:firstLineChars="100"/>
    </w:pPr>
    <w:rPr>
      <w:kern w:val="0"/>
      <w:sz w:val="20"/>
      <w:szCs w:val="20"/>
    </w:rPr>
  </w:style>
  <w:style w:type="paragraph" w:customStyle="1" w:styleId="238">
    <w:name w:val="Char Char1"/>
    <w:basedOn w:val="1"/>
    <w:qFormat/>
    <w:uiPriority w:val="0"/>
    <w:pPr>
      <w:tabs>
        <w:tab w:val="left" w:pos="990"/>
      </w:tabs>
      <w:ind w:left="990" w:hanging="420"/>
    </w:pPr>
  </w:style>
  <w:style w:type="paragraph" w:customStyle="1" w:styleId="239">
    <w:name w:val="Default Text:1"/>
    <w:basedOn w:val="1"/>
    <w:qFormat/>
    <w:uiPriority w:val="0"/>
    <w:pPr>
      <w:widowControl/>
      <w:overflowPunct w:val="0"/>
      <w:autoSpaceDE w:val="0"/>
      <w:autoSpaceDN w:val="0"/>
      <w:adjustRightInd w:val="0"/>
      <w:jc w:val="left"/>
      <w:textAlignment w:val="baseline"/>
    </w:pPr>
    <w:rPr>
      <w:kern w:val="0"/>
      <w:sz w:val="24"/>
      <w:szCs w:val="20"/>
    </w:rPr>
  </w:style>
  <w:style w:type="paragraph" w:customStyle="1" w:styleId="240">
    <w:name w:val="正文文本缩进1"/>
    <w:basedOn w:val="1"/>
    <w:qFormat/>
    <w:uiPriority w:val="0"/>
    <w:pPr>
      <w:spacing w:line="360" w:lineRule="auto"/>
      <w:ind w:firstLine="200" w:firstLineChars="200"/>
    </w:pPr>
    <w:rPr>
      <w:rFonts w:ascii="楷体_GB2312" w:eastAsia="楷体_GB2312"/>
      <w:kern w:val="0"/>
      <w:sz w:val="28"/>
      <w:szCs w:val="31"/>
    </w:rPr>
  </w:style>
  <w:style w:type="paragraph" w:customStyle="1" w:styleId="241">
    <w:name w:val="无间隔1"/>
    <w:qFormat/>
    <w:uiPriority w:val="0"/>
    <w:pPr>
      <w:widowControl w:val="0"/>
      <w:jc w:val="both"/>
    </w:pPr>
    <w:rPr>
      <w:rFonts w:ascii="Calibri" w:hAnsi="Calibri" w:eastAsia="宋体" w:cs="Times New Roman"/>
      <w:kern w:val="2"/>
      <w:sz w:val="21"/>
      <w:szCs w:val="22"/>
      <w:lang w:val="en-US" w:eastAsia="zh-CN" w:bidi="ar-SA"/>
    </w:rPr>
  </w:style>
  <w:style w:type="paragraph" w:customStyle="1" w:styleId="242">
    <w:name w:val="xl96"/>
    <w:basedOn w:val="1"/>
    <w:qFormat/>
    <w:uiPriority w:val="0"/>
    <w:pPr>
      <w:widowControl/>
      <w:spacing w:before="100" w:beforeAutospacing="1" w:after="100" w:afterAutospacing="1"/>
      <w:jc w:val="left"/>
    </w:pPr>
    <w:rPr>
      <w:rFonts w:ascii="宋体" w:cs="宋体"/>
      <w:color w:val="000000"/>
      <w:kern w:val="0"/>
      <w:sz w:val="14"/>
      <w:szCs w:val="14"/>
    </w:rPr>
  </w:style>
  <w:style w:type="paragraph" w:customStyle="1" w:styleId="243">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kern w:val="0"/>
      <w:sz w:val="20"/>
      <w:szCs w:val="20"/>
    </w:rPr>
  </w:style>
  <w:style w:type="paragraph" w:customStyle="1" w:styleId="244">
    <w:name w:val="正文 + 宋体"/>
    <w:basedOn w:val="51"/>
    <w:qFormat/>
    <w:uiPriority w:val="0"/>
    <w:pPr>
      <w:spacing w:line="480" w:lineRule="exact"/>
      <w:ind w:left="0" w:leftChars="0"/>
    </w:pPr>
    <w:rPr>
      <w:rFonts w:ascii="宋体" w:hAnsi="宋体"/>
      <w:b/>
      <w:sz w:val="24"/>
    </w:rPr>
  </w:style>
  <w:style w:type="paragraph" w:customStyle="1" w:styleId="245">
    <w:name w:val="_Style 64"/>
    <w:basedOn w:val="1"/>
    <w:qFormat/>
    <w:uiPriority w:val="0"/>
    <w:pPr>
      <w:tabs>
        <w:tab w:val="left" w:pos="990"/>
      </w:tabs>
      <w:ind w:left="990" w:hanging="420"/>
    </w:pPr>
  </w:style>
  <w:style w:type="paragraph" w:customStyle="1" w:styleId="246">
    <w:name w:val="正文缩进2"/>
    <w:basedOn w:val="1"/>
    <w:qFormat/>
    <w:uiPriority w:val="0"/>
    <w:pPr>
      <w:adjustRightInd w:val="0"/>
      <w:spacing w:line="440" w:lineRule="exact"/>
      <w:ind w:firstLine="200" w:firstLineChars="200"/>
    </w:pPr>
    <w:rPr>
      <w:rFonts w:eastAsia="仿宋_GB2312"/>
      <w:sz w:val="28"/>
      <w:szCs w:val="28"/>
    </w:rPr>
  </w:style>
  <w:style w:type="paragraph" w:customStyle="1" w:styleId="247">
    <w:name w:val="Default Text:"/>
    <w:basedOn w:val="1"/>
    <w:qFormat/>
    <w:uiPriority w:val="0"/>
    <w:pPr>
      <w:widowControl/>
      <w:overflowPunct w:val="0"/>
      <w:autoSpaceDE w:val="0"/>
      <w:autoSpaceDN w:val="0"/>
      <w:adjustRightInd w:val="0"/>
      <w:jc w:val="left"/>
      <w:textAlignment w:val="baseline"/>
    </w:pPr>
    <w:rPr>
      <w:kern w:val="0"/>
      <w:sz w:val="24"/>
      <w:szCs w:val="20"/>
    </w:rPr>
  </w:style>
  <w:style w:type="paragraph" w:customStyle="1" w:styleId="248">
    <w:name w:val="章标题"/>
    <w:next w:val="1"/>
    <w:qFormat/>
    <w:uiPriority w:val="0"/>
    <w:pPr>
      <w:spacing w:beforeLines="50" w:afterLines="50"/>
      <w:jc w:val="both"/>
      <w:outlineLvl w:val="1"/>
    </w:pPr>
    <w:rPr>
      <w:rFonts w:ascii="黑体" w:hAnsi="Calibri" w:eastAsia="黑体" w:cs="Times New Roman"/>
      <w:sz w:val="21"/>
      <w:lang w:val="en-US" w:eastAsia="zh-CN" w:bidi="ar-SA"/>
    </w:rPr>
  </w:style>
  <w:style w:type="paragraph" w:customStyle="1" w:styleId="249">
    <w:name w:val="font10"/>
    <w:basedOn w:val="1"/>
    <w:qFormat/>
    <w:uiPriority w:val="0"/>
    <w:pPr>
      <w:widowControl/>
      <w:spacing w:before="100" w:beforeAutospacing="1" w:after="100" w:afterAutospacing="1"/>
      <w:jc w:val="left"/>
    </w:pPr>
    <w:rPr>
      <w:rFonts w:ascii="宋体" w:cs="宋体"/>
      <w:kern w:val="0"/>
      <w:sz w:val="20"/>
      <w:szCs w:val="20"/>
    </w:rPr>
  </w:style>
  <w:style w:type="paragraph" w:customStyle="1" w:styleId="250">
    <w:name w:val="标题3"/>
    <w:basedOn w:val="2"/>
    <w:qFormat/>
    <w:uiPriority w:val="0"/>
    <w:pPr>
      <w:keepLines w:val="0"/>
      <w:tabs>
        <w:tab w:val="left" w:pos="851"/>
      </w:tabs>
      <w:autoSpaceDE/>
      <w:autoSpaceDN/>
      <w:spacing w:before="0" w:after="0" w:line="360" w:lineRule="auto"/>
      <w:ind w:left="1260" w:hanging="420"/>
      <w:jc w:val="both"/>
    </w:pPr>
    <w:rPr>
      <w:rFonts w:ascii="Times New Roman"/>
      <w:b w:val="0"/>
      <w:sz w:val="24"/>
    </w:rPr>
  </w:style>
  <w:style w:type="paragraph" w:customStyle="1" w:styleId="251">
    <w:name w:val="正"/>
    <w:basedOn w:val="1"/>
    <w:qFormat/>
    <w:uiPriority w:val="0"/>
    <w:pPr>
      <w:ind w:firstLine="525"/>
    </w:pPr>
    <w:rPr>
      <w:spacing w:val="20"/>
      <w:szCs w:val="20"/>
    </w:rPr>
  </w:style>
  <w:style w:type="paragraph" w:customStyle="1" w:styleId="252">
    <w:name w:val="普通(网站)1"/>
    <w:basedOn w:val="1"/>
    <w:qFormat/>
    <w:uiPriority w:val="0"/>
    <w:pPr>
      <w:widowControl/>
      <w:spacing w:before="100" w:beforeAutospacing="1" w:after="100" w:afterAutospacing="1"/>
      <w:jc w:val="left"/>
    </w:pPr>
    <w:rPr>
      <w:rFonts w:ascii="宋体" w:cs="宋体"/>
      <w:kern w:val="0"/>
      <w:sz w:val="24"/>
    </w:rPr>
  </w:style>
  <w:style w:type="paragraph" w:customStyle="1" w:styleId="253">
    <w:name w:val="样式3"/>
    <w:basedOn w:val="1"/>
    <w:qFormat/>
    <w:uiPriority w:val="0"/>
    <w:pPr>
      <w:adjustRightInd w:val="0"/>
      <w:snapToGrid w:val="0"/>
      <w:spacing w:line="1900" w:lineRule="exact"/>
      <w:jc w:val="center"/>
    </w:pPr>
    <w:rPr>
      <w:rFonts w:ascii="宋体-方正超大字符集" w:hAnsi="仿宋_GB2312" w:eastAsia="宋体-方正超大字符集"/>
      <w:sz w:val="160"/>
      <w:szCs w:val="144"/>
    </w:rPr>
  </w:style>
  <w:style w:type="paragraph" w:customStyle="1" w:styleId="254">
    <w:name w:val="Char Char Char Char Char Char"/>
    <w:basedOn w:val="1"/>
    <w:qFormat/>
    <w:uiPriority w:val="0"/>
    <w:pPr>
      <w:ind w:firstLine="200" w:firstLineChars="200"/>
    </w:pPr>
    <w:rPr>
      <w:rFonts w:ascii="Tahoma" w:hAnsi="Tahoma"/>
      <w:sz w:val="24"/>
      <w:szCs w:val="20"/>
    </w:rPr>
  </w:style>
  <w:style w:type="paragraph" w:customStyle="1" w:styleId="255">
    <w:name w:val="关于"/>
    <w:basedOn w:val="1"/>
    <w:next w:val="1"/>
    <w:qFormat/>
    <w:uiPriority w:val="0"/>
    <w:pPr>
      <w:keepNext/>
      <w:keepLines/>
      <w:widowControl/>
      <w:tabs>
        <w:tab w:val="left" w:pos="600"/>
        <w:tab w:val="left" w:pos="960"/>
        <w:tab w:val="left" w:pos="1080"/>
      </w:tabs>
      <w:overflowPunct w:val="0"/>
      <w:spacing w:before="220" w:line="360" w:lineRule="auto"/>
      <w:ind w:right="28" w:firstLine="480"/>
    </w:pPr>
    <w:rPr>
      <w:rFonts w:ascii="宋体"/>
      <w:kern w:val="0"/>
      <w:sz w:val="24"/>
      <w:szCs w:val="20"/>
    </w:rPr>
  </w:style>
  <w:style w:type="paragraph" w:customStyle="1" w:styleId="256">
    <w:name w:val="xl39"/>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textAlignment w:val="center"/>
    </w:pPr>
    <w:rPr>
      <w:rFonts w:ascii="宋体"/>
      <w:kern w:val="0"/>
      <w:sz w:val="22"/>
      <w:szCs w:val="22"/>
    </w:rPr>
  </w:style>
  <w:style w:type="paragraph" w:customStyle="1" w:styleId="257">
    <w:name w:val="Char Char Char Char Char1 Char Char Char Char Char Char Char Char Char Char Char Char Char Char Char Char Char Char Char"/>
    <w:basedOn w:val="1"/>
    <w:qFormat/>
    <w:uiPriority w:val="0"/>
    <w:pPr>
      <w:keepNext/>
      <w:tabs>
        <w:tab w:val="left" w:pos="2940"/>
      </w:tabs>
      <w:autoSpaceDE w:val="0"/>
      <w:autoSpaceDN w:val="0"/>
      <w:adjustRightInd w:val="0"/>
      <w:ind w:hanging="420"/>
      <w:jc w:val="left"/>
    </w:pPr>
  </w:style>
  <w:style w:type="paragraph" w:customStyle="1" w:styleId="258">
    <w:name w:val="xl33"/>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宋体" w:hAnsi="宋体"/>
      <w:kern w:val="0"/>
      <w:sz w:val="24"/>
    </w:rPr>
  </w:style>
  <w:style w:type="paragraph" w:customStyle="1" w:styleId="259">
    <w:name w:val="列表 21"/>
    <w:basedOn w:val="1"/>
    <w:qFormat/>
    <w:uiPriority w:val="0"/>
    <w:pPr>
      <w:ind w:left="400" w:leftChars="200" w:hanging="200" w:hangingChars="200"/>
    </w:pPr>
    <w:rPr>
      <w:szCs w:val="20"/>
    </w:rPr>
  </w:style>
  <w:style w:type="paragraph" w:customStyle="1" w:styleId="260">
    <w:name w:val="xl37"/>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宋体" w:hAnsi="宋体"/>
      <w:kern w:val="0"/>
      <w:sz w:val="24"/>
    </w:rPr>
  </w:style>
  <w:style w:type="paragraph" w:customStyle="1" w:styleId="261">
    <w:name w:val="Char1"/>
    <w:basedOn w:val="1"/>
    <w:qFormat/>
    <w:uiPriority w:val="0"/>
    <w:rPr>
      <w:rFonts w:ascii="Tahoma" w:hAnsi="Tahoma"/>
      <w:sz w:val="24"/>
      <w:szCs w:val="20"/>
    </w:rPr>
  </w:style>
  <w:style w:type="paragraph" w:customStyle="1" w:styleId="262">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263">
    <w:name w:val="Char Char Char Char Char Char Char Char Char Char Char"/>
    <w:basedOn w:val="1"/>
    <w:qFormat/>
    <w:uiPriority w:val="0"/>
    <w:rPr>
      <w:rFonts w:ascii="Tahoma" w:hAnsi="Tahoma"/>
      <w:sz w:val="24"/>
      <w:szCs w:val="20"/>
    </w:rPr>
  </w:style>
  <w:style w:type="paragraph" w:customStyle="1" w:styleId="264">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265">
    <w:name w:val="font7"/>
    <w:basedOn w:val="1"/>
    <w:qFormat/>
    <w:uiPriority w:val="0"/>
    <w:pPr>
      <w:widowControl/>
      <w:spacing w:before="100" w:beforeAutospacing="1" w:after="100" w:afterAutospacing="1"/>
      <w:jc w:val="left"/>
    </w:pPr>
    <w:rPr>
      <w:rFonts w:ascii="宋体" w:cs="宋体"/>
      <w:kern w:val="0"/>
      <w:sz w:val="18"/>
      <w:szCs w:val="18"/>
    </w:rPr>
  </w:style>
  <w:style w:type="paragraph" w:customStyle="1" w:styleId="266">
    <w:name w:val="样式 首行缩进:  2 字符2 + 居中"/>
    <w:basedOn w:val="267"/>
    <w:qFormat/>
    <w:uiPriority w:val="0"/>
    <w:pPr>
      <w:adjustRightInd/>
      <w:snapToGrid/>
      <w:ind w:firstLine="0" w:firstLineChars="0"/>
      <w:jc w:val="center"/>
    </w:pPr>
    <w:rPr>
      <w:sz w:val="28"/>
      <w:szCs w:val="20"/>
    </w:rPr>
  </w:style>
  <w:style w:type="paragraph" w:customStyle="1" w:styleId="267">
    <w:name w:val="首行缩进:  2 字符2"/>
    <w:basedOn w:val="1"/>
    <w:qFormat/>
    <w:uiPriority w:val="0"/>
    <w:pPr>
      <w:adjustRightInd w:val="0"/>
      <w:snapToGrid w:val="0"/>
      <w:spacing w:line="360" w:lineRule="auto"/>
      <w:ind w:firstLine="480" w:firstLineChars="200"/>
    </w:pPr>
    <w:rPr>
      <w:rFonts w:ascii="宋体" w:hAnsi="宋体" w:cs="宋体"/>
      <w:sz w:val="24"/>
    </w:rPr>
  </w:style>
  <w:style w:type="paragraph" w:customStyle="1" w:styleId="268">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kern w:val="0"/>
      <w:sz w:val="20"/>
      <w:szCs w:val="20"/>
    </w:rPr>
  </w:style>
  <w:style w:type="paragraph" w:customStyle="1" w:styleId="269">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rPr>
  </w:style>
  <w:style w:type="paragraph" w:customStyle="1" w:styleId="270">
    <w:name w:val="地铁正文缩进"/>
    <w:qFormat/>
    <w:uiPriority w:val="0"/>
    <w:pPr>
      <w:adjustRightInd w:val="0"/>
      <w:snapToGrid w:val="0"/>
      <w:spacing w:line="360" w:lineRule="auto"/>
      <w:ind w:firstLine="200" w:firstLineChars="200"/>
    </w:pPr>
    <w:rPr>
      <w:rFonts w:ascii="宋体" w:hAnsi="Calibri" w:eastAsia="宋体" w:cs="宋体"/>
      <w:snapToGrid w:val="0"/>
      <w:sz w:val="21"/>
      <w:szCs w:val="24"/>
      <w:lang w:val="en-US" w:eastAsia="zh-CN" w:bidi="ar-SA"/>
    </w:rPr>
  </w:style>
  <w:style w:type="paragraph" w:customStyle="1" w:styleId="271">
    <w:name w:val="_Style 195"/>
    <w:next w:val="1"/>
    <w:qFormat/>
    <w:uiPriority w:val="0"/>
    <w:pPr>
      <w:widowControl w:val="0"/>
      <w:jc w:val="both"/>
    </w:pPr>
    <w:rPr>
      <w:rFonts w:ascii="Calibri" w:hAnsi="Calibri" w:eastAsia="宋体" w:cs="Times New Roman"/>
      <w:kern w:val="2"/>
      <w:sz w:val="21"/>
      <w:szCs w:val="24"/>
      <w:lang w:val="en-US" w:eastAsia="zh-CN" w:bidi="ar-SA"/>
    </w:rPr>
  </w:style>
  <w:style w:type="paragraph" w:customStyle="1" w:styleId="272">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73">
    <w:name w:val="样式 标题 1章节标题b1 + 段前: 6 磅"/>
    <w:basedOn w:val="4"/>
    <w:qFormat/>
    <w:uiPriority w:val="0"/>
    <w:pPr>
      <w:adjustRightInd/>
      <w:spacing w:line="360" w:lineRule="auto"/>
      <w:jc w:val="both"/>
      <w:textAlignment w:val="auto"/>
    </w:pPr>
    <w:rPr>
      <w:rFonts w:ascii="宋体" w:hAnsi="宋体" w:cs="宋体"/>
      <w:bCs/>
      <w:color w:val="000000"/>
      <w:kern w:val="2"/>
      <w:sz w:val="28"/>
      <w:szCs w:val="21"/>
    </w:rPr>
  </w:style>
  <w:style w:type="paragraph" w:customStyle="1" w:styleId="274">
    <w:name w:val="纯文本2"/>
    <w:basedOn w:val="1"/>
    <w:qFormat/>
    <w:uiPriority w:val="0"/>
    <w:pPr>
      <w:adjustRightInd w:val="0"/>
      <w:textAlignment w:val="baseline"/>
    </w:pPr>
    <w:rPr>
      <w:rFonts w:ascii="宋体" w:hAnsi="Courier New" w:eastAsia="楷体_GB2312"/>
      <w:sz w:val="28"/>
      <w:szCs w:val="20"/>
    </w:rPr>
  </w:style>
  <w:style w:type="paragraph" w:styleId="275">
    <w:name w:val="List Paragraph"/>
    <w:basedOn w:val="1"/>
    <w:qFormat/>
    <w:uiPriority w:val="34"/>
    <w:pPr>
      <w:ind w:firstLine="200" w:firstLineChars="200"/>
    </w:pPr>
    <w:rPr>
      <w:szCs w:val="22"/>
    </w:rPr>
  </w:style>
  <w:style w:type="paragraph" w:customStyle="1" w:styleId="276">
    <w:name w:val="标准正文"/>
    <w:basedOn w:val="35"/>
    <w:qFormat/>
    <w:uiPriority w:val="0"/>
    <w:pPr>
      <w:spacing w:before="60" w:after="60"/>
      <w:ind w:firstLine="482"/>
    </w:pPr>
    <w:rPr>
      <w:color w:val="auto"/>
      <w:kern w:val="0"/>
    </w:rPr>
  </w:style>
  <w:style w:type="paragraph" w:customStyle="1" w:styleId="277">
    <w:name w:val="范本正文"/>
    <w:basedOn w:val="1"/>
    <w:qFormat/>
    <w:uiPriority w:val="99"/>
    <w:pPr>
      <w:spacing w:line="360" w:lineRule="auto"/>
      <w:ind w:firstLine="200" w:firstLineChars="200"/>
      <w:jc w:val="left"/>
    </w:pPr>
    <w:rPr>
      <w:rFonts w:ascii="宋体" w:hAnsi="宋体"/>
      <w:sz w:val="28"/>
      <w:szCs w:val="28"/>
    </w:rPr>
  </w:style>
  <w:style w:type="paragraph" w:customStyle="1" w:styleId="278">
    <w:name w:val="È±Ê¡ÎÄ±¾"/>
    <w:basedOn w:val="1"/>
    <w:qFormat/>
    <w:uiPriority w:val="0"/>
    <w:pPr>
      <w:widowControl/>
      <w:overflowPunct w:val="0"/>
      <w:autoSpaceDE w:val="0"/>
      <w:autoSpaceDN w:val="0"/>
      <w:adjustRightInd w:val="0"/>
      <w:jc w:val="left"/>
      <w:textAlignment w:val="baseline"/>
    </w:pPr>
    <w:rPr>
      <w:kern w:val="0"/>
      <w:sz w:val="24"/>
      <w:szCs w:val="20"/>
    </w:rPr>
  </w:style>
  <w:style w:type="paragraph" w:customStyle="1" w:styleId="279">
    <w:name w:val="批注主题1"/>
    <w:basedOn w:val="28"/>
    <w:next w:val="28"/>
    <w:qFormat/>
    <w:uiPriority w:val="0"/>
    <w:pPr>
      <w:adjustRightInd/>
      <w:spacing w:line="240" w:lineRule="auto"/>
      <w:textAlignment w:val="auto"/>
    </w:pPr>
    <w:rPr>
      <w:b/>
      <w:bCs/>
      <w:sz w:val="20"/>
    </w:rPr>
  </w:style>
  <w:style w:type="paragraph" w:customStyle="1" w:styleId="280">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281">
    <w:name w:val="正文1"/>
    <w:qFormat/>
    <w:uiPriority w:val="0"/>
    <w:pPr>
      <w:widowControl w:val="0"/>
      <w:autoSpaceDE w:val="0"/>
      <w:autoSpaceDN w:val="0"/>
      <w:adjustRightInd w:val="0"/>
      <w:spacing w:line="360" w:lineRule="atLeast"/>
      <w:ind w:left="425" w:hanging="425"/>
      <w:textAlignment w:val="bottom"/>
    </w:pPr>
    <w:rPr>
      <w:rFonts w:ascii="宋体" w:hAnsi="Calibri" w:eastAsia="宋体" w:cs="Times New Roman"/>
      <w:position w:val="-6"/>
      <w:sz w:val="32"/>
      <w:lang w:val="en-US" w:eastAsia="zh-CN" w:bidi="ar-SA"/>
    </w:rPr>
  </w:style>
  <w:style w:type="paragraph" w:customStyle="1" w:styleId="282">
    <w:name w:val="纯文本11"/>
    <w:basedOn w:val="1"/>
    <w:qFormat/>
    <w:uiPriority w:val="0"/>
    <w:pPr>
      <w:adjustRightInd w:val="0"/>
      <w:textAlignment w:val="baseline"/>
    </w:pPr>
    <w:rPr>
      <w:rFonts w:ascii="宋体" w:hAnsi="宋体" w:eastAsia="楷体_GB2312"/>
      <w:sz w:val="26"/>
      <w:szCs w:val="20"/>
    </w:rPr>
  </w:style>
  <w:style w:type="paragraph" w:customStyle="1" w:styleId="283">
    <w:name w:val="Char Char1 Char Char Char Char Char Char Char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284">
    <w:name w:val="标题5"/>
    <w:basedOn w:val="1"/>
    <w:qFormat/>
    <w:uiPriority w:val="0"/>
    <w:pPr>
      <w:spacing w:before="120" w:after="120"/>
    </w:pPr>
    <w:rPr>
      <w:rFonts w:ascii="宋体"/>
      <w:b/>
      <w:sz w:val="28"/>
    </w:rPr>
  </w:style>
  <w:style w:type="paragraph" w:customStyle="1" w:styleId="285">
    <w:name w:val="缺省文本"/>
    <w:qFormat/>
    <w:uiPriority w:val="0"/>
    <w:pPr>
      <w:widowControl w:val="0"/>
      <w:autoSpaceDE w:val="0"/>
      <w:autoSpaceDN w:val="0"/>
      <w:adjustRightInd w:val="0"/>
    </w:pPr>
    <w:rPr>
      <w:rFonts w:ascii="Calibri" w:hAnsi="Calibri" w:eastAsia="宋体" w:cs="Times New Roman"/>
      <w:color w:val="000000"/>
      <w:szCs w:val="24"/>
      <w:lang w:val="en-US" w:eastAsia="zh-CN" w:bidi="ar-SA"/>
    </w:rPr>
  </w:style>
  <w:style w:type="paragraph" w:customStyle="1" w:styleId="286">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287">
    <w:name w:val="Char Char Char Char"/>
    <w:basedOn w:val="26"/>
    <w:qFormat/>
    <w:uiPriority w:val="0"/>
    <w:pPr>
      <w:widowControl/>
      <w:spacing w:after="160" w:line="240" w:lineRule="exact"/>
      <w:jc w:val="left"/>
    </w:pPr>
    <w:rPr>
      <w:rFonts w:ascii="Verdana" w:hAnsi="Verdana"/>
      <w:kern w:val="0"/>
      <w:sz w:val="20"/>
      <w:lang w:eastAsia="en-US"/>
    </w:rPr>
  </w:style>
  <w:style w:type="paragraph" w:customStyle="1" w:styleId="288">
    <w:name w:val="Char Char1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289">
    <w:name w:val="默认段落字体 Para Char Char Char Char Char Char Char"/>
    <w:basedOn w:val="1"/>
    <w:qFormat/>
    <w:uiPriority w:val="0"/>
    <w:rPr>
      <w:sz w:val="24"/>
    </w:rPr>
  </w:style>
  <w:style w:type="paragraph" w:customStyle="1" w:styleId="290">
    <w:name w:val="xl4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kern w:val="0"/>
      <w:sz w:val="22"/>
      <w:szCs w:val="22"/>
    </w:rPr>
  </w:style>
  <w:style w:type="paragraph" w:customStyle="1" w:styleId="291">
    <w:name w:val="新样式3"/>
    <w:basedOn w:val="1"/>
    <w:qFormat/>
    <w:uiPriority w:val="0"/>
    <w:pPr>
      <w:keepNext/>
      <w:keepLines/>
      <w:spacing w:line="360" w:lineRule="auto"/>
      <w:jc w:val="center"/>
      <w:outlineLvl w:val="1"/>
    </w:pPr>
    <w:rPr>
      <w:rFonts w:ascii="仿宋_GB2312" w:hAnsi="Arial" w:eastAsia="仿宋_GB2312"/>
      <w:bCs/>
      <w:sz w:val="28"/>
      <w:szCs w:val="28"/>
    </w:rPr>
  </w:style>
  <w:style w:type="paragraph" w:customStyle="1" w:styleId="292">
    <w:name w:val="图表文字"/>
    <w:qFormat/>
    <w:uiPriority w:val="0"/>
    <w:rPr>
      <w:rFonts w:ascii="Calibri" w:hAnsi="Calibri" w:eastAsia="宋体" w:cs="Times New Roman"/>
      <w:sz w:val="21"/>
      <w:szCs w:val="21"/>
      <w:lang w:val="en-US" w:eastAsia="zh-CN" w:bidi="ar-SA"/>
    </w:rPr>
  </w:style>
  <w:style w:type="paragraph" w:customStyle="1" w:styleId="293">
    <w:name w:val="样式 样式 标题 4 + 宋体 段前: 12 磅 段后: 6 磅 行距: 1.5 倍行距1 + 首行缩进:  2 字符"/>
    <w:basedOn w:val="1"/>
    <w:qFormat/>
    <w:uiPriority w:val="0"/>
    <w:pPr>
      <w:keepNext/>
      <w:keepLines/>
      <w:spacing w:before="240" w:after="120" w:line="360" w:lineRule="auto"/>
      <w:outlineLvl w:val="3"/>
    </w:pPr>
    <w:rPr>
      <w:rFonts w:cs="宋体"/>
      <w:b/>
      <w:bCs/>
      <w:sz w:val="28"/>
      <w:szCs w:val="28"/>
    </w:rPr>
  </w:style>
  <w:style w:type="paragraph" w:customStyle="1" w:styleId="294">
    <w:name w:val="英文标号正文"/>
    <w:basedOn w:val="1"/>
    <w:qFormat/>
    <w:uiPriority w:val="0"/>
    <w:pPr>
      <w:widowControl/>
      <w:tabs>
        <w:tab w:val="left" w:pos="425"/>
      </w:tabs>
      <w:autoSpaceDE w:val="0"/>
      <w:autoSpaceDN w:val="0"/>
      <w:ind w:left="425" w:hanging="425"/>
    </w:pPr>
    <w:rPr>
      <w:kern w:val="0"/>
      <w:sz w:val="24"/>
      <w:szCs w:val="20"/>
    </w:rPr>
  </w:style>
  <w:style w:type="paragraph" w:customStyle="1" w:styleId="295">
    <w:name w:val="签名 - 公司"/>
    <w:basedOn w:val="58"/>
    <w:next w:val="255"/>
    <w:qFormat/>
    <w:uiPriority w:val="0"/>
    <w:pPr>
      <w:keepNext/>
      <w:widowControl/>
      <w:tabs>
        <w:tab w:val="left" w:pos="600"/>
        <w:tab w:val="left" w:pos="960"/>
        <w:tab w:val="left" w:pos="1080"/>
      </w:tabs>
      <w:overflowPunct w:val="0"/>
      <w:spacing w:line="360" w:lineRule="auto"/>
      <w:ind w:left="0" w:right="28" w:firstLine="480"/>
      <w:jc w:val="right"/>
    </w:pPr>
    <w:rPr>
      <w:rFonts w:ascii="宋体" w:eastAsia="宋体"/>
      <w:kern w:val="0"/>
    </w:rPr>
  </w:style>
  <w:style w:type="paragraph" w:customStyle="1" w:styleId="296">
    <w:name w:val="xl31"/>
    <w:basedOn w:val="1"/>
    <w:qFormat/>
    <w:uiPriority w:val="0"/>
    <w:pPr>
      <w:widowControl/>
      <w:pBdr>
        <w:top w:val="single" w:color="auto" w:sz="4" w:space="0"/>
        <w:bottom w:val="single" w:color="auto" w:sz="4" w:space="0"/>
      </w:pBdr>
      <w:spacing w:before="100" w:beforeAutospacing="1" w:after="100" w:afterAutospacing="1"/>
      <w:jc w:val="left"/>
    </w:pPr>
    <w:rPr>
      <w:rFonts w:ascii="宋体" w:hAnsi="宋体"/>
      <w:kern w:val="0"/>
      <w:sz w:val="24"/>
    </w:rPr>
  </w:style>
  <w:style w:type="paragraph" w:customStyle="1" w:styleId="297">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cs="宋体"/>
      <w:b/>
      <w:bCs/>
      <w:color w:val="000000"/>
      <w:kern w:val="0"/>
      <w:sz w:val="14"/>
      <w:szCs w:val="14"/>
    </w:rPr>
  </w:style>
  <w:style w:type="paragraph" w:customStyle="1" w:styleId="298">
    <w:name w:val="正文文本缩进 21"/>
    <w:basedOn w:val="1"/>
    <w:qFormat/>
    <w:uiPriority w:val="0"/>
    <w:pPr>
      <w:spacing w:line="360" w:lineRule="auto"/>
      <w:ind w:firstLine="607"/>
    </w:pPr>
    <w:rPr>
      <w:rFonts w:ascii="楷体_GB2312" w:eastAsia="楷体_GB2312"/>
      <w:kern w:val="0"/>
      <w:sz w:val="28"/>
      <w:szCs w:val="28"/>
    </w:rPr>
  </w:style>
  <w:style w:type="paragraph" w:customStyle="1" w:styleId="299">
    <w:name w:val="正文文本缩进 31"/>
    <w:basedOn w:val="1"/>
    <w:qFormat/>
    <w:uiPriority w:val="0"/>
    <w:pPr>
      <w:tabs>
        <w:tab w:val="left" w:pos="1440"/>
      </w:tabs>
      <w:spacing w:line="360" w:lineRule="auto"/>
      <w:ind w:firstLine="257" w:firstLineChars="257"/>
      <w:textAlignment w:val="center"/>
    </w:pPr>
    <w:rPr>
      <w:rFonts w:ascii="华文彩云" w:eastAsia="华文彩云"/>
      <w:kern w:val="0"/>
      <w:sz w:val="28"/>
    </w:rPr>
  </w:style>
  <w:style w:type="paragraph" w:customStyle="1" w:styleId="300">
    <w:name w:val="列出段落1"/>
    <w:basedOn w:val="1"/>
    <w:qFormat/>
    <w:uiPriority w:val="0"/>
    <w:pPr>
      <w:ind w:firstLine="420" w:firstLineChars="200"/>
    </w:pPr>
    <w:rPr>
      <w:szCs w:val="22"/>
    </w:rPr>
  </w:style>
  <w:style w:type="paragraph" w:customStyle="1" w:styleId="301">
    <w:name w:val="aliang正文"/>
    <w:basedOn w:val="1"/>
    <w:qFormat/>
    <w:uiPriority w:val="0"/>
    <w:pPr>
      <w:spacing w:beforeLines="50" w:afterLines="50" w:line="360" w:lineRule="auto"/>
      <w:ind w:firstLine="200" w:firstLineChars="200"/>
      <w:jc w:val="left"/>
    </w:pPr>
    <w:rPr>
      <w:rFonts w:ascii="宋体" w:cs="宋体"/>
      <w:sz w:val="24"/>
    </w:rPr>
  </w:style>
  <w:style w:type="paragraph" w:customStyle="1" w:styleId="302">
    <w:name w:val="Table Description"/>
    <w:basedOn w:val="1"/>
    <w:qFormat/>
    <w:uiPriority w:val="0"/>
    <w:pPr>
      <w:ind w:left="1701"/>
    </w:pPr>
    <w:rPr>
      <w:szCs w:val="20"/>
    </w:rPr>
  </w:style>
  <w:style w:type="paragraph" w:customStyle="1" w:styleId="303">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cs="宋体"/>
      <w:kern w:val="0"/>
      <w:sz w:val="20"/>
      <w:szCs w:val="20"/>
    </w:rPr>
  </w:style>
  <w:style w:type="paragraph" w:customStyle="1" w:styleId="304">
    <w:name w:val="默认段落字体 Para Char Char Char Char"/>
    <w:basedOn w:val="1"/>
    <w:qFormat/>
    <w:uiPriority w:val="0"/>
  </w:style>
  <w:style w:type="paragraph" w:customStyle="1" w:styleId="305">
    <w:name w:val="Char11"/>
    <w:basedOn w:val="1"/>
    <w:qFormat/>
    <w:uiPriority w:val="0"/>
    <w:rPr>
      <w:rFonts w:ascii="Tahoma" w:hAnsi="Tahoma"/>
      <w:sz w:val="24"/>
      <w:szCs w:val="20"/>
    </w:rPr>
  </w:style>
  <w:style w:type="paragraph" w:customStyle="1" w:styleId="306">
    <w:name w:val="List Paragraph1"/>
    <w:basedOn w:val="1"/>
    <w:qFormat/>
    <w:uiPriority w:val="0"/>
    <w:pPr>
      <w:ind w:firstLine="420" w:firstLineChars="200"/>
    </w:pPr>
    <w:rPr>
      <w:szCs w:val="20"/>
    </w:rPr>
  </w:style>
  <w:style w:type="paragraph" w:customStyle="1" w:styleId="307">
    <w:name w:val="正文 小四 首缩"/>
    <w:qFormat/>
    <w:uiPriority w:val="0"/>
    <w:pPr>
      <w:snapToGrid w:val="0"/>
      <w:spacing w:line="360" w:lineRule="auto"/>
      <w:ind w:firstLine="482"/>
    </w:pPr>
    <w:rPr>
      <w:rFonts w:ascii="Calibri" w:hAnsi="Calibri" w:eastAsia="宋体" w:cs="Times New Roman"/>
      <w:kern w:val="2"/>
      <w:sz w:val="24"/>
      <w:lang w:val="en-US" w:eastAsia="zh-CN" w:bidi="ar-SA"/>
    </w:rPr>
  </w:style>
  <w:style w:type="paragraph" w:customStyle="1" w:styleId="308">
    <w:name w:val="正文11"/>
    <w:basedOn w:val="1"/>
    <w:qFormat/>
    <w:uiPriority w:val="0"/>
    <w:pPr>
      <w:adjustRightInd w:val="0"/>
      <w:spacing w:line="360" w:lineRule="atLeast"/>
      <w:jc w:val="left"/>
      <w:textAlignment w:val="baseline"/>
    </w:pPr>
    <w:rPr>
      <w:rFonts w:ascii="宋体"/>
      <w:kern w:val="0"/>
      <w:sz w:val="24"/>
      <w:szCs w:val="20"/>
    </w:rPr>
  </w:style>
  <w:style w:type="paragraph" w:customStyle="1" w:styleId="309">
    <w:name w:val="目次、标准名称标题"/>
    <w:basedOn w:val="1"/>
    <w:next w:val="1"/>
    <w:qFormat/>
    <w:uiPriority w:val="99"/>
    <w:pPr>
      <w:widowControl/>
      <w:shd w:val="clear" w:color="auto" w:fill="FFFFFF"/>
      <w:spacing w:before="640" w:after="560" w:line="460" w:lineRule="exact"/>
      <w:ind w:left="1000" w:hanging="360"/>
      <w:jc w:val="center"/>
      <w:outlineLvl w:val="0"/>
    </w:pPr>
    <w:rPr>
      <w:rFonts w:ascii="黑体" w:hAnsi="黑体" w:eastAsia="黑体" w:cs="宋体"/>
      <w:kern w:val="0"/>
      <w:sz w:val="32"/>
      <w:szCs w:val="32"/>
    </w:rPr>
  </w:style>
  <w:style w:type="paragraph" w:customStyle="1" w:styleId="310">
    <w:name w:val="xl36"/>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311">
    <w:name w:val="cnfont"/>
    <w:basedOn w:val="1"/>
    <w:qFormat/>
    <w:uiPriority w:val="0"/>
    <w:pPr>
      <w:widowControl/>
      <w:spacing w:before="100" w:beforeAutospacing="1" w:after="100" w:afterAutospacing="1"/>
      <w:jc w:val="left"/>
    </w:pPr>
    <w:rPr>
      <w:rFonts w:ascii="宋体"/>
      <w:color w:val="000000"/>
      <w:kern w:val="0"/>
      <w:sz w:val="24"/>
    </w:rPr>
  </w:style>
  <w:style w:type="paragraph" w:customStyle="1" w:styleId="312">
    <w:name w:val="xl49"/>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kern w:val="0"/>
      <w:sz w:val="22"/>
      <w:szCs w:val="22"/>
    </w:rPr>
  </w:style>
  <w:style w:type="paragraph" w:customStyle="1" w:styleId="313">
    <w:name w:val="xl47"/>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kern w:val="0"/>
      <w:sz w:val="22"/>
      <w:szCs w:val="22"/>
    </w:rPr>
  </w:style>
  <w:style w:type="paragraph" w:customStyle="1" w:styleId="314">
    <w:name w:val="xl78"/>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315">
    <w:name w:val="def正文"/>
    <w:basedOn w:val="34"/>
    <w:qFormat/>
    <w:uiPriority w:val="0"/>
    <w:pPr>
      <w:widowControl/>
      <w:spacing w:after="0" w:line="276" w:lineRule="auto"/>
      <w:jc w:val="center"/>
    </w:pPr>
    <w:rPr>
      <w:rFonts w:ascii="黑体" w:eastAsia="黑体"/>
      <w:kern w:val="0"/>
      <w:sz w:val="24"/>
    </w:rPr>
  </w:style>
  <w:style w:type="paragraph" w:customStyle="1" w:styleId="316">
    <w:name w:val="不缩进"/>
    <w:basedOn w:val="1"/>
    <w:qFormat/>
    <w:uiPriority w:val="0"/>
    <w:pPr>
      <w:spacing w:line="360" w:lineRule="auto"/>
      <w:jc w:val="center"/>
    </w:pPr>
    <w:rPr>
      <w:b/>
      <w:bCs/>
      <w:sz w:val="28"/>
      <w:szCs w:val="21"/>
      <w:lang w:bidi="he-IL"/>
    </w:rPr>
  </w:style>
  <w:style w:type="paragraph" w:customStyle="1" w:styleId="317">
    <w:name w:val="Char1 Char Char Char1"/>
    <w:basedOn w:val="1"/>
    <w:qFormat/>
    <w:uiPriority w:val="0"/>
    <w:pPr>
      <w:tabs>
        <w:tab w:val="left" w:pos="990"/>
      </w:tabs>
      <w:ind w:left="990" w:hanging="420"/>
    </w:pPr>
  </w:style>
  <w:style w:type="paragraph" w:customStyle="1" w:styleId="318">
    <w:name w:val="列表 31"/>
    <w:basedOn w:val="1"/>
    <w:qFormat/>
    <w:uiPriority w:val="0"/>
    <w:pPr>
      <w:ind w:left="600" w:leftChars="400" w:hanging="200" w:hangingChars="200"/>
    </w:pPr>
  </w:style>
  <w:style w:type="paragraph" w:customStyle="1" w:styleId="319">
    <w:name w:val="font11"/>
    <w:basedOn w:val="1"/>
    <w:qFormat/>
    <w:uiPriority w:val="0"/>
    <w:pPr>
      <w:widowControl/>
      <w:spacing w:before="100" w:beforeAutospacing="1" w:after="100" w:afterAutospacing="1"/>
      <w:jc w:val="left"/>
    </w:pPr>
    <w:rPr>
      <w:rFonts w:ascii="宋体" w:cs="宋体"/>
      <w:b/>
      <w:bCs/>
      <w:kern w:val="0"/>
      <w:sz w:val="20"/>
      <w:szCs w:val="20"/>
    </w:rPr>
  </w:style>
  <w:style w:type="paragraph" w:customStyle="1" w:styleId="320">
    <w:name w:val="段正文"/>
    <w:basedOn w:val="1"/>
    <w:link w:val="352"/>
    <w:qFormat/>
    <w:uiPriority w:val="0"/>
    <w:pPr>
      <w:adjustRightInd w:val="0"/>
      <w:spacing w:line="360" w:lineRule="auto"/>
      <w:ind w:firstLine="538" w:firstLineChars="224"/>
    </w:pPr>
    <w:rPr>
      <w:rFonts w:ascii="Arial" w:hAnsi="Arial"/>
      <w:color w:val="000000"/>
      <w:kern w:val="0"/>
      <w:sz w:val="24"/>
      <w:szCs w:val="20"/>
      <w:lang w:eastAsia="en-US"/>
    </w:rPr>
  </w:style>
  <w:style w:type="paragraph" w:customStyle="1" w:styleId="321">
    <w:name w:val="Bullet"/>
    <w:basedOn w:val="1"/>
    <w:qFormat/>
    <w:uiPriority w:val="0"/>
    <w:pPr>
      <w:widowControl/>
      <w:adjustRightInd w:val="0"/>
      <w:spacing w:before="60" w:after="60"/>
      <w:ind w:left="742" w:leftChars="742" w:firstLine="2"/>
    </w:pPr>
    <w:rPr>
      <w:rFonts w:ascii="Arial" w:hAnsi="Arial" w:cs="Arial"/>
      <w:kern w:val="0"/>
      <w:sz w:val="24"/>
    </w:rPr>
  </w:style>
  <w:style w:type="paragraph" w:customStyle="1" w:styleId="322">
    <w:name w:val="表格标题2"/>
    <w:basedOn w:val="1"/>
    <w:qFormat/>
    <w:uiPriority w:val="0"/>
    <w:pPr>
      <w:tabs>
        <w:tab w:val="left" w:pos="840"/>
      </w:tabs>
      <w:adjustRightInd w:val="0"/>
      <w:spacing w:before="60" w:after="60"/>
      <w:ind w:left="840" w:hanging="420"/>
      <w:textAlignment w:val="bottom"/>
    </w:pPr>
    <w:rPr>
      <w:kern w:val="0"/>
      <w:szCs w:val="21"/>
    </w:rPr>
  </w:style>
  <w:style w:type="paragraph" w:customStyle="1" w:styleId="323">
    <w:name w:val="公文日期"/>
    <w:basedOn w:val="223"/>
    <w:qFormat/>
    <w:uiPriority w:val="0"/>
    <w:pPr>
      <w:wordWrap w:val="0"/>
      <w:jc w:val="right"/>
    </w:pPr>
  </w:style>
  <w:style w:type="paragraph" w:customStyle="1" w:styleId="324">
    <w:name w:val="发文部门"/>
    <w:basedOn w:val="1"/>
    <w:qFormat/>
    <w:uiPriority w:val="0"/>
    <w:pPr>
      <w:adjustRightInd w:val="0"/>
      <w:snapToGrid w:val="0"/>
      <w:jc w:val="left"/>
    </w:pPr>
    <w:rPr>
      <w:rFonts w:ascii="仿宋_GB2312" w:eastAsia="仿宋_GB2312"/>
      <w:bCs/>
      <w:spacing w:val="-30"/>
      <w:sz w:val="32"/>
      <w:szCs w:val="32"/>
    </w:rPr>
  </w:style>
  <w:style w:type="paragraph" w:customStyle="1" w:styleId="325">
    <w:name w:val="样式 宋体 行距: 1.5 倍行距"/>
    <w:basedOn w:val="1"/>
    <w:qFormat/>
    <w:uiPriority w:val="0"/>
    <w:pPr>
      <w:spacing w:line="360" w:lineRule="auto"/>
      <w:ind w:firstLine="200" w:firstLineChars="200"/>
    </w:pPr>
    <w:rPr>
      <w:rFonts w:ascii="宋体" w:cs="宋体"/>
      <w:sz w:val="24"/>
      <w:szCs w:val="20"/>
    </w:rPr>
  </w:style>
  <w:style w:type="paragraph" w:customStyle="1" w:styleId="326">
    <w:name w:val="xl43"/>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textAlignment w:val="center"/>
    </w:pPr>
    <w:rPr>
      <w:rFonts w:ascii="宋体"/>
      <w:kern w:val="0"/>
      <w:sz w:val="22"/>
      <w:szCs w:val="22"/>
    </w:rPr>
  </w:style>
  <w:style w:type="paragraph" w:customStyle="1" w:styleId="327">
    <w:name w:val="正文居中"/>
    <w:basedOn w:val="1"/>
    <w:next w:val="51"/>
    <w:qFormat/>
    <w:uiPriority w:val="0"/>
    <w:pPr>
      <w:adjustRightInd w:val="0"/>
      <w:snapToGrid w:val="0"/>
      <w:ind w:firstLine="480" w:firstLineChars="200"/>
    </w:pPr>
    <w:rPr>
      <w:rFonts w:ascii="宋体" w:hAnsi="宋体"/>
      <w:sz w:val="24"/>
    </w:rPr>
  </w:style>
  <w:style w:type="paragraph" w:customStyle="1" w:styleId="328">
    <w:name w:val="neirong"/>
    <w:basedOn w:val="1"/>
    <w:qFormat/>
    <w:uiPriority w:val="0"/>
    <w:pPr>
      <w:widowControl/>
      <w:spacing w:before="100" w:beforeAutospacing="1" w:after="100" w:afterAutospacing="1"/>
      <w:jc w:val="left"/>
    </w:pPr>
    <w:rPr>
      <w:rFonts w:ascii="宋体"/>
      <w:color w:val="000000"/>
      <w:kern w:val="0"/>
      <w:sz w:val="20"/>
      <w:szCs w:val="20"/>
    </w:rPr>
  </w:style>
  <w:style w:type="paragraph" w:customStyle="1" w:styleId="329">
    <w:name w:val="xl44"/>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ascii="宋体"/>
      <w:kern w:val="0"/>
      <w:sz w:val="22"/>
      <w:szCs w:val="22"/>
    </w:rPr>
  </w:style>
  <w:style w:type="paragraph" w:customStyle="1" w:styleId="330">
    <w:name w:val="xl38"/>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left"/>
    </w:pPr>
    <w:rPr>
      <w:rFonts w:ascii="宋体" w:hAnsi="宋体"/>
      <w:kern w:val="0"/>
      <w:sz w:val="24"/>
    </w:rPr>
  </w:style>
  <w:style w:type="paragraph" w:customStyle="1" w:styleId="331">
    <w:name w:val="复选框1"/>
    <w:basedOn w:val="1"/>
    <w:qFormat/>
    <w:uiPriority w:val="0"/>
    <w:pPr>
      <w:widowControl/>
      <w:spacing w:before="360" w:after="360"/>
      <w:jc w:val="left"/>
    </w:pPr>
    <w:rPr>
      <w:kern w:val="0"/>
      <w:sz w:val="20"/>
      <w:szCs w:val="20"/>
    </w:rPr>
  </w:style>
  <w:style w:type="paragraph" w:customStyle="1" w:styleId="332">
    <w:name w:val="表格标题3"/>
    <w:basedOn w:val="322"/>
    <w:qFormat/>
    <w:uiPriority w:val="0"/>
    <w:pPr>
      <w:tabs>
        <w:tab w:val="left" w:pos="570"/>
        <w:tab w:val="left" w:pos="720"/>
        <w:tab w:val="clear" w:pos="840"/>
      </w:tabs>
      <w:ind w:left="570" w:hanging="570"/>
    </w:pPr>
  </w:style>
  <w:style w:type="paragraph" w:customStyle="1" w:styleId="333">
    <w:name w:val="列表1"/>
    <w:basedOn w:val="1"/>
    <w:qFormat/>
    <w:uiPriority w:val="0"/>
    <w:pPr>
      <w:tabs>
        <w:tab w:val="left" w:pos="3660"/>
      </w:tabs>
      <w:spacing w:line="360" w:lineRule="auto"/>
      <w:ind w:left="3660" w:hanging="420"/>
      <w:jc w:val="left"/>
    </w:pPr>
    <w:rPr>
      <w:rFonts w:ascii="Century" w:hAnsi="Century"/>
      <w:szCs w:val="21"/>
    </w:rPr>
  </w:style>
  <w:style w:type="paragraph" w:customStyle="1" w:styleId="334">
    <w:name w:val="图1"/>
    <w:basedOn w:val="1"/>
    <w:next w:val="1"/>
    <w:qFormat/>
    <w:uiPriority w:val="0"/>
    <w:pPr>
      <w:tabs>
        <w:tab w:val="left" w:pos="1845"/>
      </w:tabs>
      <w:spacing w:beforeLines="50" w:afterLines="100" w:line="360" w:lineRule="auto"/>
      <w:ind w:left="2210" w:hanging="748"/>
      <w:jc w:val="center"/>
    </w:pPr>
    <w:rPr>
      <w:kern w:val="0"/>
      <w:sz w:val="24"/>
    </w:rPr>
  </w:style>
  <w:style w:type="paragraph" w:customStyle="1" w:styleId="335">
    <w:name w:val="xl67"/>
    <w:basedOn w:val="1"/>
    <w:qFormat/>
    <w:uiPriority w:val="0"/>
    <w:pPr>
      <w:widowControl/>
      <w:spacing w:before="100" w:beforeAutospacing="1" w:after="100" w:afterAutospacing="1"/>
      <w:jc w:val="left"/>
    </w:pPr>
    <w:rPr>
      <w:rFonts w:ascii="宋体" w:hAnsi="宋体" w:cs="宋体"/>
      <w:color w:val="FF0000"/>
      <w:kern w:val="0"/>
      <w:sz w:val="20"/>
      <w:szCs w:val="20"/>
    </w:rPr>
  </w:style>
  <w:style w:type="paragraph" w:customStyle="1" w:styleId="336">
    <w:name w:val="xl73"/>
    <w:basedOn w:val="1"/>
    <w:qFormat/>
    <w:uiPriority w:val="0"/>
    <w:pPr>
      <w:widowControl/>
      <w:spacing w:before="100" w:beforeAutospacing="1" w:after="100" w:afterAutospacing="1"/>
      <w:jc w:val="center"/>
      <w:textAlignment w:val="center"/>
    </w:pPr>
    <w:rPr>
      <w:kern w:val="0"/>
      <w:sz w:val="20"/>
      <w:szCs w:val="20"/>
    </w:rPr>
  </w:style>
  <w:style w:type="paragraph" w:customStyle="1" w:styleId="337">
    <w:name w:val="标题2"/>
    <w:basedOn w:val="5"/>
    <w:qFormat/>
    <w:uiPriority w:val="0"/>
    <w:pPr>
      <w:tabs>
        <w:tab w:val="left" w:pos="1404"/>
      </w:tabs>
      <w:autoSpaceDE/>
      <w:autoSpaceDN/>
      <w:spacing w:before="0" w:after="0" w:line="360" w:lineRule="auto"/>
      <w:ind w:left="1276" w:hanging="425"/>
      <w:jc w:val="both"/>
    </w:pPr>
    <w:rPr>
      <w:rFonts w:ascii="Times New Roman" w:hAnsi="Times New Roman" w:eastAsia="宋体"/>
      <w:b w:val="0"/>
      <w:sz w:val="24"/>
    </w:rPr>
  </w:style>
  <w:style w:type="paragraph" w:customStyle="1" w:styleId="338">
    <w:name w:val="Char1 Char Char1 Char Char Char Char Char Char Char Char Char Char"/>
    <w:basedOn w:val="1"/>
    <w:qFormat/>
    <w:uiPriority w:val="0"/>
    <w:pPr>
      <w:tabs>
        <w:tab w:val="left" w:pos="425"/>
      </w:tabs>
      <w:ind w:left="425" w:hanging="425"/>
    </w:pPr>
    <w:rPr>
      <w:sz w:val="24"/>
    </w:rPr>
  </w:style>
  <w:style w:type="paragraph" w:customStyle="1" w:styleId="339">
    <w:name w:val="tll"/>
    <w:basedOn w:val="1"/>
    <w:qFormat/>
    <w:uiPriority w:val="0"/>
    <w:pPr>
      <w:autoSpaceDE w:val="0"/>
      <w:autoSpaceDN w:val="0"/>
      <w:adjustRightInd w:val="0"/>
      <w:jc w:val="left"/>
      <w:textAlignment w:val="baseline"/>
    </w:pPr>
    <w:rPr>
      <w:rFonts w:ascii="仿宋_GB2312" w:hAnsi="Arial" w:eastAsia="仿宋_GB2312"/>
      <w:kern w:val="0"/>
      <w:szCs w:val="21"/>
    </w:rPr>
  </w:style>
  <w:style w:type="character" w:customStyle="1" w:styleId="340">
    <w:name w:val="apple-converted-space"/>
    <w:qFormat/>
    <w:uiPriority w:val="0"/>
  </w:style>
  <w:style w:type="character" w:customStyle="1" w:styleId="341">
    <w:name w:val="标题 1 字符"/>
    <w:link w:val="4"/>
    <w:qFormat/>
    <w:uiPriority w:val="9"/>
    <w:rPr>
      <w:rFonts w:eastAsia="宋体"/>
      <w:b/>
      <w:kern w:val="44"/>
      <w:sz w:val="32"/>
      <w:lang w:val="en-US" w:eastAsia="zh-CN" w:bidi="ar-SA"/>
    </w:rPr>
  </w:style>
  <w:style w:type="character" w:customStyle="1" w:styleId="342">
    <w:name w:val="正文文本缩进 2 Char1"/>
    <w:qFormat/>
    <w:uiPriority w:val="0"/>
    <w:rPr>
      <w:rFonts w:ascii="Times New Roman" w:hAnsi="Times New Roman" w:eastAsia="宋体" w:cs="Times New Roman"/>
      <w:szCs w:val="24"/>
      <w:lang w:bidi="ar-SA"/>
    </w:rPr>
  </w:style>
  <w:style w:type="character" w:customStyle="1" w:styleId="343">
    <w:name w:val="HTML 预设格式 字符"/>
    <w:link w:val="80"/>
    <w:qFormat/>
    <w:uiPriority w:val="99"/>
    <w:rPr>
      <w:rFonts w:ascii="Arial" w:hAnsi="Arial" w:cs="Arial"/>
      <w:kern w:val="0"/>
      <w:sz w:val="24"/>
      <w:szCs w:val="24"/>
      <w:lang w:eastAsia="en-US"/>
    </w:rPr>
  </w:style>
  <w:style w:type="character" w:customStyle="1" w:styleId="344">
    <w:name w:val="标题6"/>
    <w:basedOn w:val="90"/>
    <w:qFormat/>
    <w:uiPriority w:val="0"/>
  </w:style>
  <w:style w:type="character" w:customStyle="1" w:styleId="345">
    <w:name w:val="style41"/>
    <w:qFormat/>
    <w:uiPriority w:val="0"/>
    <w:rPr>
      <w:color w:val="0000FF"/>
    </w:rPr>
  </w:style>
  <w:style w:type="character" w:customStyle="1" w:styleId="346">
    <w:name w:val="font01"/>
    <w:qFormat/>
    <w:uiPriority w:val="0"/>
    <w:rPr>
      <w:rFonts w:hint="eastAsia" w:ascii="宋体" w:hAnsi="宋体" w:eastAsia="宋体" w:cs="宋体"/>
      <w:color w:val="000000"/>
      <w:kern w:val="0"/>
      <w:sz w:val="28"/>
      <w:szCs w:val="28"/>
      <w:u w:val="none"/>
      <w:lang w:eastAsia="en-US"/>
    </w:rPr>
  </w:style>
  <w:style w:type="character" w:customStyle="1" w:styleId="347">
    <w:name w:val="页脚 字符"/>
    <w:link w:val="55"/>
    <w:qFormat/>
    <w:uiPriority w:val="99"/>
    <w:rPr>
      <w:rFonts w:ascii="Verdana" w:hAnsi="Verdana" w:eastAsia="宋体"/>
      <w:kern w:val="2"/>
      <w:sz w:val="18"/>
      <w:szCs w:val="18"/>
      <w:lang w:val="en-US" w:eastAsia="zh-CN" w:bidi="ar-SA"/>
    </w:rPr>
  </w:style>
  <w:style w:type="character" w:customStyle="1" w:styleId="348">
    <w:name w:val="Char Char181"/>
    <w:qFormat/>
    <w:uiPriority w:val="0"/>
    <w:rPr>
      <w:rFonts w:ascii="楷体_GB2312" w:eastAsia="楷体_GB2312"/>
      <w:kern w:val="2"/>
      <w:sz w:val="28"/>
      <w:szCs w:val="28"/>
      <w:lang w:val="en-US" w:eastAsia="zh-CN"/>
    </w:rPr>
  </w:style>
  <w:style w:type="character" w:customStyle="1" w:styleId="349">
    <w:name w:val="标题 2 字符"/>
    <w:link w:val="5"/>
    <w:qFormat/>
    <w:uiPriority w:val="9"/>
    <w:rPr>
      <w:rFonts w:ascii="Arial" w:hAnsi="Arial" w:eastAsia="黑体"/>
      <w:b/>
      <w:kern w:val="0"/>
      <w:sz w:val="32"/>
      <w:lang w:val="en-US" w:eastAsia="zh-CN" w:bidi="ar-SA"/>
    </w:rPr>
  </w:style>
  <w:style w:type="character" w:customStyle="1" w:styleId="350">
    <w:name w:val="15"/>
    <w:qFormat/>
    <w:uiPriority w:val="0"/>
    <w:rPr>
      <w:rFonts w:hint="default" w:ascii="Times New Roman" w:hAnsi="Times New Roman" w:cs="Times New Roman"/>
      <w:b/>
      <w:bCs/>
      <w:kern w:val="0"/>
      <w:sz w:val="20"/>
      <w:lang w:eastAsia="en-US"/>
    </w:rPr>
  </w:style>
  <w:style w:type="character" w:customStyle="1" w:styleId="351">
    <w:name w:val="批注框文本 字符"/>
    <w:link w:val="54"/>
    <w:qFormat/>
    <w:uiPriority w:val="99"/>
    <w:rPr>
      <w:rFonts w:ascii="Verdana" w:hAnsi="Verdana" w:eastAsia="宋体"/>
      <w:kern w:val="2"/>
      <w:sz w:val="18"/>
      <w:szCs w:val="18"/>
      <w:lang w:val="en-US" w:eastAsia="zh-CN" w:bidi="ar-SA"/>
    </w:rPr>
  </w:style>
  <w:style w:type="character" w:customStyle="1" w:styleId="352">
    <w:name w:val="段正文 Char2"/>
    <w:link w:val="320"/>
    <w:qFormat/>
    <w:uiPriority w:val="0"/>
    <w:rPr>
      <w:rFonts w:ascii="Arial" w:hAnsi="Arial"/>
      <w:color w:val="000000"/>
      <w:kern w:val="0"/>
      <w:sz w:val="24"/>
      <w:lang w:eastAsia="en-US" w:bidi="ar-SA"/>
    </w:rPr>
  </w:style>
  <w:style w:type="character" w:customStyle="1" w:styleId="353">
    <w:name w:val="Table Text Char Char Char Char"/>
    <w:qFormat/>
    <w:uiPriority w:val="0"/>
    <w:rPr>
      <w:rFonts w:ascii="Arial" w:hAnsi="Arial"/>
      <w:sz w:val="18"/>
      <w:lang w:val="en-US" w:eastAsia="zh-CN" w:bidi="ar-SA"/>
    </w:rPr>
  </w:style>
  <w:style w:type="character" w:customStyle="1" w:styleId="354">
    <w:name w:val="Char Char17"/>
    <w:qFormat/>
    <w:uiPriority w:val="0"/>
    <w:rPr>
      <w:rFonts w:ascii="华文彩云" w:eastAsia="华文彩云"/>
      <w:kern w:val="2"/>
      <w:sz w:val="28"/>
      <w:szCs w:val="24"/>
      <w:lang w:val="en-US" w:eastAsia="zh-CN"/>
    </w:rPr>
  </w:style>
  <w:style w:type="character" w:customStyle="1" w:styleId="355">
    <w:name w:val="正文文本缩进 字符"/>
    <w:link w:val="35"/>
    <w:qFormat/>
    <w:uiPriority w:val="0"/>
    <w:rPr>
      <w:color w:val="FF0000"/>
      <w:kern w:val="2"/>
      <w:sz w:val="24"/>
    </w:rPr>
  </w:style>
  <w:style w:type="character" w:customStyle="1" w:styleId="356">
    <w:name w:val="Char Char16"/>
    <w:qFormat/>
    <w:uiPriority w:val="0"/>
    <w:rPr>
      <w:rFonts w:eastAsia="宋体"/>
      <w:kern w:val="2"/>
      <w:sz w:val="18"/>
      <w:lang w:val="en-US" w:eastAsia="zh-CN" w:bidi="ar-SA"/>
    </w:rPr>
  </w:style>
  <w:style w:type="character" w:customStyle="1" w:styleId="357">
    <w:name w:val="Char Char8"/>
    <w:qFormat/>
    <w:uiPriority w:val="0"/>
    <w:rPr>
      <w:rFonts w:eastAsia="宋体"/>
      <w:kern w:val="2"/>
      <w:sz w:val="21"/>
      <w:szCs w:val="24"/>
      <w:lang w:val="en-US" w:eastAsia="zh-CN"/>
    </w:rPr>
  </w:style>
  <w:style w:type="character" w:customStyle="1" w:styleId="358">
    <w:name w:val="Char Char41"/>
    <w:qFormat/>
    <w:uiPriority w:val="0"/>
    <w:rPr>
      <w:rFonts w:ascii="Cambria" w:hAnsi="Cambria" w:eastAsia="宋体" w:cs="Times New Roman"/>
      <w:b/>
      <w:bCs/>
      <w:kern w:val="2"/>
      <w:sz w:val="32"/>
      <w:szCs w:val="32"/>
    </w:rPr>
  </w:style>
  <w:style w:type="character" w:customStyle="1" w:styleId="359">
    <w:name w:val="ZGSM"/>
    <w:qFormat/>
    <w:uiPriority w:val="0"/>
  </w:style>
  <w:style w:type="character" w:customStyle="1" w:styleId="360">
    <w:name w:val="textcontents1"/>
    <w:qFormat/>
    <w:uiPriority w:val="0"/>
    <w:rPr>
      <w:rFonts w:ascii="ˎ̥" w:hAnsi="ˎ̥"/>
      <w:sz w:val="21"/>
      <w:szCs w:val="21"/>
    </w:rPr>
  </w:style>
  <w:style w:type="character" w:customStyle="1" w:styleId="361">
    <w:name w:val="标题 Char1"/>
    <w:qFormat/>
    <w:uiPriority w:val="0"/>
    <w:rPr>
      <w:rFonts w:ascii="Cambria" w:hAnsi="Cambria" w:eastAsia="宋体" w:cs="黑体"/>
      <w:b/>
      <w:bCs/>
      <w:sz w:val="32"/>
      <w:szCs w:val="32"/>
      <w:lang w:bidi="ar-SA"/>
    </w:rPr>
  </w:style>
  <w:style w:type="character" w:customStyle="1" w:styleId="362">
    <w:name w:val="页眉 字符"/>
    <w:link w:val="57"/>
    <w:qFormat/>
    <w:uiPriority w:val="0"/>
    <w:rPr>
      <w:rFonts w:ascii="Verdana" w:hAnsi="Verdana" w:eastAsia="宋体"/>
      <w:kern w:val="2"/>
      <w:sz w:val="18"/>
      <w:szCs w:val="18"/>
      <w:lang w:val="en-US" w:eastAsia="zh-CN" w:bidi="ar-SA"/>
    </w:rPr>
  </w:style>
  <w:style w:type="character" w:customStyle="1" w:styleId="363">
    <w:name w:val="h3 Char"/>
    <w:qFormat/>
    <w:uiPriority w:val="0"/>
    <w:rPr>
      <w:rFonts w:eastAsia="Arial Unicode MS"/>
      <w:b/>
      <w:kern w:val="2"/>
      <w:sz w:val="21"/>
      <w:lang w:val="en-US" w:eastAsia="zh-CN" w:bidi="ar-SA"/>
    </w:rPr>
  </w:style>
  <w:style w:type="character" w:customStyle="1" w:styleId="364">
    <w:name w:val="页码1"/>
    <w:qFormat/>
    <w:uiPriority w:val="0"/>
  </w:style>
  <w:style w:type="character" w:customStyle="1" w:styleId="365">
    <w:name w:val="正文文本 Char1"/>
    <w:qFormat/>
    <w:uiPriority w:val="0"/>
    <w:rPr>
      <w:rFonts w:ascii="Times New Roman" w:hAnsi="Times New Roman" w:eastAsia="宋体" w:cs="Times New Roman"/>
      <w:szCs w:val="24"/>
      <w:lang w:bidi="ar-SA"/>
    </w:rPr>
  </w:style>
  <w:style w:type="character" w:customStyle="1" w:styleId="366">
    <w:name w:val="楷体粗正文文字 Char Char"/>
    <w:qFormat/>
    <w:uiPriority w:val="0"/>
    <w:rPr>
      <w:rFonts w:ascii="Times New Roman" w:hAnsi="Times New Roman"/>
      <w:kern w:val="2"/>
      <w:sz w:val="21"/>
      <w:lang w:eastAsia="en-US"/>
    </w:rPr>
  </w:style>
  <w:style w:type="character" w:customStyle="1" w:styleId="367">
    <w:name w:val="标题 5 Char1"/>
    <w:qFormat/>
    <w:uiPriority w:val="0"/>
    <w:rPr>
      <w:rFonts w:eastAsia="宋体"/>
      <w:b/>
      <w:bCs/>
      <w:kern w:val="2"/>
      <w:sz w:val="24"/>
      <w:szCs w:val="24"/>
      <w:lang w:val="en-US" w:eastAsia="zh-CN" w:bidi="ar-SA"/>
    </w:rPr>
  </w:style>
  <w:style w:type="character" w:customStyle="1" w:styleId="368">
    <w:name w:val="样式1 Char Char"/>
    <w:link w:val="184"/>
    <w:qFormat/>
    <w:uiPriority w:val="0"/>
    <w:rPr>
      <w:rFonts w:ascii="宋体"/>
      <w:sz w:val="24"/>
    </w:rPr>
  </w:style>
  <w:style w:type="character" w:customStyle="1" w:styleId="369">
    <w:name w:val="font61"/>
    <w:qFormat/>
    <w:uiPriority w:val="0"/>
    <w:rPr>
      <w:rFonts w:hint="eastAsia" w:ascii="宋体" w:hAnsi="宋体" w:eastAsia="宋体" w:cs="宋体"/>
      <w:b/>
      <w:color w:val="000000"/>
      <w:kern w:val="0"/>
      <w:sz w:val="24"/>
      <w:szCs w:val="24"/>
      <w:u w:val="none"/>
      <w:lang w:eastAsia="en-US"/>
    </w:rPr>
  </w:style>
  <w:style w:type="character" w:customStyle="1" w:styleId="370">
    <w:name w:val="样式 正文首行缩进 + 宋体 Char"/>
    <w:qFormat/>
    <w:uiPriority w:val="0"/>
    <w:rPr>
      <w:rFonts w:eastAsia="宋体"/>
      <w:kern w:val="2"/>
      <w:sz w:val="28"/>
      <w:szCs w:val="28"/>
      <w:lang w:val="en-US" w:eastAsia="zh-CN" w:bidi="ar-SA"/>
    </w:rPr>
  </w:style>
  <w:style w:type="character" w:customStyle="1" w:styleId="371">
    <w:name w:val="正文文本缩进 3 Char1"/>
    <w:qFormat/>
    <w:uiPriority w:val="0"/>
    <w:rPr>
      <w:rFonts w:ascii="Times New Roman" w:hAnsi="Times New Roman" w:eastAsia="宋体" w:cs="Times New Roman"/>
      <w:sz w:val="16"/>
      <w:szCs w:val="16"/>
      <w:lang w:bidi="ar-SA"/>
    </w:rPr>
  </w:style>
  <w:style w:type="character" w:customStyle="1" w:styleId="372">
    <w:name w:val="Heading 2 Char"/>
    <w:qFormat/>
    <w:uiPriority w:val="0"/>
    <w:rPr>
      <w:rFonts w:ascii="Arial" w:hAnsi="Arial" w:eastAsia="黑体" w:cs="Times New Roman"/>
      <w:b/>
      <w:kern w:val="0"/>
      <w:sz w:val="20"/>
      <w:szCs w:val="20"/>
      <w:lang w:eastAsia="en-US"/>
    </w:rPr>
  </w:style>
  <w:style w:type="character" w:customStyle="1" w:styleId="373">
    <w:name w:val="small"/>
    <w:basedOn w:val="90"/>
    <w:qFormat/>
    <w:uiPriority w:val="0"/>
  </w:style>
  <w:style w:type="character" w:customStyle="1" w:styleId="374">
    <w:name w:val="title_neve1"/>
    <w:qFormat/>
    <w:uiPriority w:val="0"/>
    <w:rPr>
      <w:color w:val="000000"/>
      <w:sz w:val="18"/>
      <w:szCs w:val="18"/>
    </w:rPr>
  </w:style>
  <w:style w:type="character" w:customStyle="1" w:styleId="375">
    <w:name w:val="userdata"/>
    <w:qFormat/>
    <w:uiPriority w:val="0"/>
    <w:rPr>
      <w:rFonts w:eastAsia="宋体"/>
      <w:kern w:val="2"/>
      <w:sz w:val="24"/>
      <w:szCs w:val="24"/>
      <w:lang w:val="en-US" w:eastAsia="zh-CN" w:bidi="ar-SA"/>
    </w:rPr>
  </w:style>
  <w:style w:type="character" w:customStyle="1" w:styleId="376">
    <w:name w:val="Char Char9"/>
    <w:qFormat/>
    <w:uiPriority w:val="0"/>
    <w:rPr>
      <w:rFonts w:eastAsia="宋体"/>
      <w:kern w:val="2"/>
      <w:sz w:val="18"/>
      <w:szCs w:val="18"/>
      <w:lang w:val="en-US" w:eastAsia="zh-CN" w:bidi="ar-SA"/>
    </w:rPr>
  </w:style>
  <w:style w:type="character" w:customStyle="1" w:styleId="377">
    <w:name w:val="批注引用1"/>
    <w:qFormat/>
    <w:uiPriority w:val="0"/>
    <w:rPr>
      <w:sz w:val="21"/>
      <w:szCs w:val="21"/>
    </w:rPr>
  </w:style>
  <w:style w:type="character" w:customStyle="1" w:styleId="378">
    <w:name w:val="正文文本 3 Char1"/>
    <w:qFormat/>
    <w:uiPriority w:val="0"/>
    <w:rPr>
      <w:rFonts w:ascii="Times New Roman" w:hAnsi="Times New Roman" w:eastAsia="宋体" w:cs="Times New Roman"/>
      <w:sz w:val="16"/>
      <w:szCs w:val="16"/>
      <w:lang w:bidi="ar-SA"/>
    </w:rPr>
  </w:style>
  <w:style w:type="character" w:customStyle="1" w:styleId="379">
    <w:name w:val="Table Text Char Char Char Char Char Char"/>
    <w:qFormat/>
    <w:uiPriority w:val="0"/>
    <w:rPr>
      <w:rFonts w:ascii="Arial" w:hAnsi="Arial" w:eastAsia="宋体" w:cs="Arial"/>
      <w:kern w:val="2"/>
      <w:sz w:val="18"/>
      <w:szCs w:val="18"/>
      <w:lang w:val="en-US" w:eastAsia="zh-CN" w:bidi="ar-SA"/>
    </w:rPr>
  </w:style>
  <w:style w:type="character" w:customStyle="1" w:styleId="380">
    <w:name w:val="Char Char11"/>
    <w:qFormat/>
    <w:uiPriority w:val="0"/>
    <w:rPr>
      <w:rFonts w:eastAsia="宋体"/>
      <w:kern w:val="2"/>
      <w:sz w:val="24"/>
      <w:szCs w:val="24"/>
      <w:lang w:val="en-US" w:eastAsia="zh-CN"/>
    </w:rPr>
  </w:style>
  <w:style w:type="character" w:customStyle="1" w:styleId="381">
    <w:name w:val="HTML 预设格式 Char1"/>
    <w:qFormat/>
    <w:uiPriority w:val="0"/>
    <w:rPr>
      <w:rFonts w:ascii="Courier New" w:hAnsi="Courier New" w:eastAsia="宋体" w:cs="Courier New"/>
      <w:sz w:val="20"/>
      <w:szCs w:val="20"/>
      <w:lang w:bidi="ar-SA"/>
    </w:rPr>
  </w:style>
  <w:style w:type="character" w:customStyle="1" w:styleId="382">
    <w:name w:val="Char Char111"/>
    <w:qFormat/>
    <w:uiPriority w:val="0"/>
    <w:rPr>
      <w:rFonts w:eastAsia="宋体"/>
      <w:kern w:val="2"/>
      <w:sz w:val="24"/>
      <w:szCs w:val="24"/>
      <w:lang w:val="en-US" w:eastAsia="zh-CN" w:bidi="ar-SA"/>
    </w:rPr>
  </w:style>
  <w:style w:type="character" w:customStyle="1" w:styleId="383">
    <w:name w:val="Char Char171"/>
    <w:qFormat/>
    <w:uiPriority w:val="0"/>
    <w:rPr>
      <w:rFonts w:ascii="华文彩云" w:eastAsia="华文彩云"/>
      <w:kern w:val="2"/>
      <w:sz w:val="28"/>
      <w:szCs w:val="24"/>
      <w:lang w:val="en-US" w:eastAsia="zh-CN" w:bidi="ar-SA"/>
    </w:rPr>
  </w:style>
  <w:style w:type="character" w:customStyle="1" w:styleId="384">
    <w:name w:val="纯文本 字符"/>
    <w:link w:val="45"/>
    <w:qFormat/>
    <w:uiPriority w:val="99"/>
    <w:rPr>
      <w:rFonts w:ascii="宋体" w:hAnsi="Courier New"/>
      <w:kern w:val="2"/>
      <w:sz w:val="21"/>
      <w:szCs w:val="21"/>
    </w:rPr>
  </w:style>
  <w:style w:type="character" w:customStyle="1" w:styleId="385">
    <w:name w:val="Default Text Char"/>
    <w:link w:val="176"/>
    <w:qFormat/>
    <w:uiPriority w:val="0"/>
    <w:rPr>
      <w:color w:val="000000"/>
      <w:sz w:val="24"/>
      <w:szCs w:val="24"/>
      <w:lang w:val="en-US" w:eastAsia="zh-CN" w:bidi="ar-SA"/>
    </w:rPr>
  </w:style>
  <w:style w:type="character" w:customStyle="1" w:styleId="386">
    <w:name w:val="标题 4 Char"/>
    <w:qFormat/>
    <w:uiPriority w:val="0"/>
    <w:rPr>
      <w:rFonts w:ascii="宋体" w:hAnsi="Arial" w:eastAsia="宋体"/>
      <w:b/>
      <w:kern w:val="0"/>
      <w:sz w:val="28"/>
      <w:lang w:val="en-US" w:eastAsia="zh-CN" w:bidi="ar-SA"/>
    </w:rPr>
  </w:style>
  <w:style w:type="character" w:customStyle="1" w:styleId="387">
    <w:name w:val="unnamed21"/>
    <w:qFormat/>
    <w:uiPriority w:val="0"/>
    <w:rPr>
      <w:rFonts w:eastAsia="宋体"/>
      <w:color w:val="CC6633"/>
      <w:kern w:val="2"/>
      <w:sz w:val="24"/>
      <w:szCs w:val="24"/>
      <w:u w:val="none"/>
      <w:lang w:val="en-US" w:eastAsia="zh-CN" w:bidi="ar-SA"/>
    </w:rPr>
  </w:style>
  <w:style w:type="character" w:customStyle="1" w:styleId="388">
    <w:name w:val="unnamed11"/>
    <w:qFormat/>
    <w:uiPriority w:val="0"/>
    <w:rPr>
      <w:rFonts w:hint="default" w:ascii="Verdana" w:hAnsi="Verdana"/>
      <w:color w:val="000066"/>
      <w:spacing w:val="15"/>
      <w:kern w:val="0"/>
      <w:sz w:val="24"/>
      <w:szCs w:val="24"/>
      <w:u w:val="none"/>
      <w:lang w:eastAsia="en-US"/>
    </w:rPr>
  </w:style>
  <w:style w:type="character" w:customStyle="1" w:styleId="389">
    <w:name w:val="正文文本 字符"/>
    <w:link w:val="34"/>
    <w:qFormat/>
    <w:uiPriority w:val="0"/>
    <w:rPr>
      <w:rFonts w:ascii="Verdana" w:hAnsi="Verdana" w:eastAsia="宋体"/>
      <w:kern w:val="2"/>
      <w:sz w:val="21"/>
      <w:szCs w:val="24"/>
      <w:lang w:val="en-US" w:eastAsia="zh-CN" w:bidi="ar-SA"/>
    </w:rPr>
  </w:style>
  <w:style w:type="character" w:customStyle="1" w:styleId="390">
    <w:name w:val="标题 3 字符"/>
    <w:link w:val="2"/>
    <w:qFormat/>
    <w:uiPriority w:val="0"/>
    <w:rPr>
      <w:rFonts w:ascii="宋体" w:eastAsia="宋体"/>
      <w:b/>
      <w:sz w:val="32"/>
      <w:lang w:val="en-US" w:eastAsia="zh-CN" w:bidi="ar-SA"/>
    </w:rPr>
  </w:style>
  <w:style w:type="character" w:customStyle="1" w:styleId="391">
    <w:name w:val="title_emph1"/>
    <w:qFormat/>
    <w:uiPriority w:val="0"/>
    <w:rPr>
      <w:rFonts w:ascii="Arial" w:hAnsi="Arial" w:eastAsia="宋体" w:cs="Arial"/>
      <w:b/>
      <w:bCs/>
      <w:sz w:val="18"/>
      <w:szCs w:val="18"/>
      <w:lang w:val="en-US" w:eastAsia="zh-CN" w:bidi="ar-SA"/>
    </w:rPr>
  </w:style>
  <w:style w:type="character" w:customStyle="1" w:styleId="392">
    <w:name w:val="Char Char4"/>
    <w:qFormat/>
    <w:uiPriority w:val="0"/>
    <w:rPr>
      <w:rFonts w:eastAsia="Arial Unicode MS"/>
      <w:b/>
      <w:kern w:val="2"/>
      <w:sz w:val="21"/>
      <w:lang w:val="en-US" w:eastAsia="zh-CN"/>
    </w:rPr>
  </w:style>
  <w:style w:type="character" w:customStyle="1" w:styleId="393">
    <w:name w:val="纯文本 Char"/>
    <w:qFormat/>
    <w:uiPriority w:val="99"/>
    <w:rPr>
      <w:rFonts w:ascii="宋体" w:hAnsi="Courier New"/>
      <w:kern w:val="2"/>
      <w:sz w:val="21"/>
      <w:szCs w:val="21"/>
    </w:rPr>
  </w:style>
  <w:style w:type="character" w:customStyle="1" w:styleId="394">
    <w:name w:val="cnfont1"/>
    <w:qFormat/>
    <w:uiPriority w:val="0"/>
    <w:rPr>
      <w:rFonts w:eastAsia="宋体"/>
      <w:kern w:val="2"/>
      <w:sz w:val="24"/>
      <w:szCs w:val="24"/>
      <w:lang w:val="en-US" w:eastAsia="zh-CN" w:bidi="ar-SA"/>
    </w:rPr>
  </w:style>
  <w:style w:type="character" w:customStyle="1" w:styleId="395">
    <w:name w:val="p141"/>
    <w:qFormat/>
    <w:uiPriority w:val="0"/>
    <w:rPr>
      <w:sz w:val="21"/>
      <w:szCs w:val="21"/>
    </w:rPr>
  </w:style>
  <w:style w:type="character" w:customStyle="1" w:styleId="396">
    <w:name w:val="duanluoblack1"/>
    <w:qFormat/>
    <w:uiPriority w:val="0"/>
    <w:rPr>
      <w:rFonts w:ascii="宋体" w:eastAsia="宋体"/>
      <w:color w:val="414042"/>
      <w:sz w:val="18"/>
      <w:szCs w:val="18"/>
      <w:u w:val="none"/>
    </w:rPr>
  </w:style>
  <w:style w:type="character" w:customStyle="1" w:styleId="397">
    <w:name w:val="签名 Char1"/>
    <w:qFormat/>
    <w:uiPriority w:val="0"/>
    <w:rPr>
      <w:rFonts w:ascii="Times New Roman" w:hAnsi="Times New Roman" w:eastAsia="宋体" w:cs="Times New Roman"/>
      <w:szCs w:val="24"/>
      <w:lang w:bidi="ar-SA"/>
    </w:rPr>
  </w:style>
  <w:style w:type="character" w:customStyle="1" w:styleId="398">
    <w:name w:val="Char Char91"/>
    <w:qFormat/>
    <w:uiPriority w:val="0"/>
    <w:rPr>
      <w:rFonts w:eastAsia="宋体"/>
      <w:kern w:val="2"/>
      <w:sz w:val="18"/>
      <w:szCs w:val="18"/>
      <w:lang w:val="en-US" w:eastAsia="zh-CN"/>
    </w:rPr>
  </w:style>
  <w:style w:type="character" w:customStyle="1" w:styleId="399">
    <w:name w:val="param_td12"/>
    <w:qFormat/>
    <w:uiPriority w:val="0"/>
    <w:rPr>
      <w:rFonts w:eastAsia="宋体"/>
      <w:sz w:val="24"/>
      <w:szCs w:val="24"/>
      <w:lang w:val="en-US" w:eastAsia="zh-CN" w:bidi="ar-SA"/>
    </w:rPr>
  </w:style>
  <w:style w:type="character" w:customStyle="1" w:styleId="400">
    <w:name w:val="case31"/>
    <w:qFormat/>
    <w:uiPriority w:val="0"/>
    <w:rPr>
      <w:rFonts w:ascii="??" w:hAnsi="??" w:cs="Times New Roman"/>
      <w:kern w:val="0"/>
      <w:sz w:val="21"/>
      <w:szCs w:val="21"/>
      <w:lang w:eastAsia="en-US"/>
    </w:rPr>
  </w:style>
  <w:style w:type="character" w:customStyle="1" w:styleId="401">
    <w:name w:val="h3 Char1"/>
    <w:qFormat/>
    <w:uiPriority w:val="0"/>
    <w:rPr>
      <w:rFonts w:eastAsia="Arial Unicode MS"/>
      <w:b/>
      <w:kern w:val="2"/>
      <w:sz w:val="21"/>
      <w:lang w:val="en-US" w:eastAsia="zh-CN" w:bidi="ar-SA"/>
    </w:rPr>
  </w:style>
  <w:style w:type="character" w:customStyle="1" w:styleId="402">
    <w:name w:val="1page sec3 Char"/>
    <w:qFormat/>
    <w:uiPriority w:val="0"/>
    <w:rPr>
      <w:rFonts w:eastAsia="宋体"/>
      <w:kern w:val="2"/>
      <w:sz w:val="18"/>
      <w:szCs w:val="24"/>
      <w:lang w:val="en-US" w:eastAsia="zh-CN" w:bidi="ar-SA"/>
    </w:rPr>
  </w:style>
  <w:style w:type="character" w:customStyle="1" w:styleId="403">
    <w:name w:val="font81"/>
    <w:qFormat/>
    <w:uiPriority w:val="0"/>
    <w:rPr>
      <w:rFonts w:hint="eastAsia" w:ascii="宋体" w:hAnsi="宋体" w:eastAsia="宋体" w:cs="宋体"/>
      <w:color w:val="000000"/>
      <w:kern w:val="0"/>
      <w:sz w:val="20"/>
      <w:szCs w:val="20"/>
      <w:u w:val="none"/>
      <w:lang w:eastAsia="en-US"/>
    </w:rPr>
  </w:style>
  <w:style w:type="character" w:customStyle="1" w:styleId="404">
    <w:name w:val="正文文本缩进 Char1"/>
    <w:qFormat/>
    <w:uiPriority w:val="0"/>
    <w:rPr>
      <w:rFonts w:ascii="Times New Roman" w:hAnsi="Times New Roman" w:eastAsia="宋体" w:cs="Times New Roman"/>
      <w:szCs w:val="24"/>
      <w:lang w:bidi="ar-SA"/>
    </w:rPr>
  </w:style>
  <w:style w:type="character" w:customStyle="1" w:styleId="405">
    <w:name w:val="Char Char19"/>
    <w:qFormat/>
    <w:uiPriority w:val="0"/>
    <w:rPr>
      <w:rFonts w:ascii="楷体_GB2312" w:eastAsia="楷体_GB2312"/>
      <w:kern w:val="2"/>
      <w:sz w:val="28"/>
      <w:szCs w:val="31"/>
      <w:lang w:val="en-US" w:eastAsia="zh-CN" w:bidi="ar-SA"/>
    </w:rPr>
  </w:style>
  <w:style w:type="character" w:customStyle="1" w:styleId="406">
    <w:name w:val="myfont2"/>
    <w:basedOn w:val="90"/>
    <w:qFormat/>
    <w:uiPriority w:val="0"/>
  </w:style>
  <w:style w:type="character" w:customStyle="1" w:styleId="407">
    <w:name w:val="font21"/>
    <w:qFormat/>
    <w:uiPriority w:val="0"/>
    <w:rPr>
      <w:rFonts w:hint="eastAsia" w:ascii="宋体" w:hAnsi="宋体" w:eastAsia="宋体" w:cs="宋体"/>
      <w:color w:val="000000"/>
      <w:kern w:val="0"/>
      <w:sz w:val="20"/>
      <w:szCs w:val="20"/>
      <w:u w:val="none"/>
      <w:lang w:eastAsia="en-US"/>
    </w:rPr>
  </w:style>
  <w:style w:type="character" w:customStyle="1" w:styleId="408">
    <w:name w:val="批注框文本 Char1"/>
    <w:qFormat/>
    <w:uiPriority w:val="0"/>
    <w:rPr>
      <w:rFonts w:ascii="Times New Roman" w:hAnsi="Times New Roman" w:eastAsia="宋体" w:cs="Times New Roman"/>
      <w:sz w:val="18"/>
      <w:szCs w:val="18"/>
      <w:lang w:bidi="ar-SA"/>
    </w:rPr>
  </w:style>
  <w:style w:type="character" w:customStyle="1" w:styleId="409">
    <w:name w:val="A10"/>
    <w:qFormat/>
    <w:uiPriority w:val="0"/>
    <w:rPr>
      <w:rFonts w:ascii="Univers LT Std 45 Light" w:hAnsi="Univers LT Std 45 Light" w:eastAsia="Univers LT Std 45 Light" w:cs="Univers LT Std 45 Light"/>
      <w:color w:val="221E1F"/>
      <w:sz w:val="8"/>
      <w:szCs w:val="8"/>
      <w:lang w:bidi="ar-SA"/>
    </w:rPr>
  </w:style>
  <w:style w:type="character" w:customStyle="1" w:styleId="410">
    <w:name w:val="日期 Char1"/>
    <w:qFormat/>
    <w:uiPriority w:val="0"/>
    <w:rPr>
      <w:rFonts w:ascii="Times New Roman" w:hAnsi="Times New Roman" w:eastAsia="宋体" w:cs="Times New Roman"/>
      <w:szCs w:val="24"/>
      <w:lang w:bidi="ar-SA"/>
    </w:rPr>
  </w:style>
  <w:style w:type="character" w:customStyle="1" w:styleId="411">
    <w:name w:val="16"/>
    <w:basedOn w:val="90"/>
    <w:qFormat/>
    <w:uiPriority w:val="0"/>
  </w:style>
  <w:style w:type="character" w:customStyle="1" w:styleId="412">
    <w:name w:val="节标题 1.1 Char"/>
    <w:qFormat/>
    <w:uiPriority w:val="0"/>
    <w:rPr>
      <w:rFonts w:ascii="Arial" w:hAnsi="Arial" w:eastAsia="黑体"/>
      <w:b/>
      <w:kern w:val="0"/>
      <w:sz w:val="32"/>
      <w:lang w:val="en-US" w:eastAsia="zh-CN" w:bidi="ar-SA"/>
    </w:rPr>
  </w:style>
  <w:style w:type="character" w:customStyle="1" w:styleId="413">
    <w:name w:val="font51"/>
    <w:qFormat/>
    <w:uiPriority w:val="0"/>
    <w:rPr>
      <w:rFonts w:ascii="Calibri" w:hAnsi="Calibri" w:cs="Calibri"/>
      <w:color w:val="000000"/>
      <w:kern w:val="0"/>
      <w:sz w:val="16"/>
      <w:szCs w:val="16"/>
      <w:u w:val="none"/>
      <w:lang w:eastAsia="en-US"/>
    </w:rPr>
  </w:style>
  <w:style w:type="character" w:customStyle="1" w:styleId="414">
    <w:name w:val="wd12hei221"/>
    <w:qFormat/>
    <w:uiPriority w:val="0"/>
    <w:rPr>
      <w:rFonts w:ascii="Tahoma" w:hAnsi="Tahoma" w:eastAsia="宋体"/>
      <w:color w:val="000000"/>
      <w:kern w:val="2"/>
      <w:sz w:val="18"/>
      <w:szCs w:val="18"/>
      <w:u w:val="none"/>
      <w:lang w:val="en-US" w:eastAsia="zh-CN" w:bidi="ar-SA"/>
    </w:rPr>
  </w:style>
  <w:style w:type="character" w:customStyle="1" w:styleId="415">
    <w:name w:val="Char Char161"/>
    <w:qFormat/>
    <w:uiPriority w:val="0"/>
    <w:rPr>
      <w:rFonts w:eastAsia="宋体"/>
      <w:kern w:val="2"/>
      <w:sz w:val="18"/>
      <w:lang w:val="en-US" w:eastAsia="zh-CN"/>
    </w:rPr>
  </w:style>
  <w:style w:type="character" w:customStyle="1" w:styleId="416">
    <w:name w:val="Char Char191"/>
    <w:qFormat/>
    <w:uiPriority w:val="0"/>
    <w:rPr>
      <w:rFonts w:ascii="楷体_GB2312" w:eastAsia="楷体_GB2312"/>
      <w:kern w:val="2"/>
      <w:sz w:val="28"/>
      <w:szCs w:val="31"/>
      <w:lang w:val="en-US" w:eastAsia="zh-CN"/>
    </w:rPr>
  </w:style>
  <w:style w:type="character" w:customStyle="1" w:styleId="417">
    <w:name w:val="A13"/>
    <w:qFormat/>
    <w:uiPriority w:val="0"/>
    <w:rPr>
      <w:rFonts w:ascii="Univers LT Std 45 Light" w:hAnsi="Univers LT Std 45 Light" w:eastAsia="Univers LT Std 45 Light" w:cs="Univers LT Std 45 Light"/>
      <w:color w:val="221E1F"/>
      <w:sz w:val="10"/>
      <w:szCs w:val="10"/>
      <w:lang w:bidi="ar-SA"/>
    </w:rPr>
  </w:style>
  <w:style w:type="character" w:customStyle="1" w:styleId="418">
    <w:name w:val="myfont1"/>
    <w:basedOn w:val="90"/>
    <w:qFormat/>
    <w:uiPriority w:val="0"/>
  </w:style>
  <w:style w:type="character" w:customStyle="1" w:styleId="419">
    <w:name w:val="标题 3 Char"/>
    <w:qFormat/>
    <w:uiPriority w:val="9"/>
    <w:rPr>
      <w:rFonts w:ascii="Verdana" w:hAnsi="Verdana" w:eastAsia="宋体"/>
      <w:b/>
      <w:bCs/>
      <w:kern w:val="2"/>
      <w:sz w:val="32"/>
      <w:szCs w:val="32"/>
      <w:lang w:val="en-US" w:eastAsia="zh-CN" w:bidi="ar-SA"/>
    </w:rPr>
  </w:style>
  <w:style w:type="character" w:customStyle="1" w:styleId="420">
    <w:name w:val="Char Char81"/>
    <w:qFormat/>
    <w:uiPriority w:val="0"/>
    <w:rPr>
      <w:rFonts w:eastAsia="宋体"/>
      <w:kern w:val="2"/>
      <w:sz w:val="21"/>
      <w:szCs w:val="24"/>
      <w:lang w:val="en-US" w:eastAsia="zh-CN" w:bidi="ar-SA"/>
    </w:rPr>
  </w:style>
  <w:style w:type="character" w:customStyle="1" w:styleId="421">
    <w:name w:val="正文首行缩进 Char1"/>
    <w:qFormat/>
    <w:uiPriority w:val="0"/>
    <w:rPr>
      <w:rFonts w:ascii="Times New Roman" w:hAnsi="Times New Roman" w:eastAsia="宋体" w:cs="Times New Roman"/>
      <w:szCs w:val="24"/>
      <w:lang w:bidi="ar-SA"/>
    </w:rPr>
  </w:style>
  <w:style w:type="character" w:customStyle="1" w:styleId="422">
    <w:name w:val="Char Char18"/>
    <w:qFormat/>
    <w:uiPriority w:val="0"/>
    <w:rPr>
      <w:rFonts w:ascii="楷体_GB2312" w:eastAsia="楷体_GB2312"/>
      <w:kern w:val="2"/>
      <w:sz w:val="28"/>
      <w:szCs w:val="28"/>
      <w:lang w:val="en-US" w:eastAsia="zh-CN" w:bidi="ar-SA"/>
    </w:rPr>
  </w:style>
  <w:style w:type="character" w:customStyle="1" w:styleId="423">
    <w:name w:val="abcde1"/>
    <w:qFormat/>
    <w:uiPriority w:val="0"/>
    <w:rPr>
      <w:sz w:val="20"/>
      <w:szCs w:val="20"/>
    </w:rPr>
  </w:style>
  <w:style w:type="character" w:customStyle="1" w:styleId="424">
    <w:name w:val="font41"/>
    <w:qFormat/>
    <w:uiPriority w:val="0"/>
    <w:rPr>
      <w:rFonts w:hint="eastAsia" w:ascii="宋体" w:hAnsi="宋体" w:eastAsia="宋体" w:cs="宋体"/>
      <w:color w:val="000000"/>
      <w:kern w:val="0"/>
      <w:sz w:val="21"/>
      <w:szCs w:val="21"/>
      <w:u w:val="none"/>
      <w:lang w:eastAsia="en-US"/>
    </w:rPr>
  </w:style>
  <w:style w:type="character" w:customStyle="1" w:styleId="425">
    <w:name w:val="A1"/>
    <w:qFormat/>
    <w:uiPriority w:val="0"/>
    <w:rPr>
      <w:rFonts w:ascii="Univers LT Std 45 Light" w:hAnsi="Univers LT Std 45 Light" w:eastAsia="Univers LT Std 45 Light" w:cs="Univers LT Std 45 Light"/>
      <w:color w:val="221E1F"/>
      <w:sz w:val="10"/>
      <w:szCs w:val="10"/>
      <w:lang w:bidi="ar-SA"/>
    </w:rPr>
  </w:style>
  <w:style w:type="character" w:customStyle="1" w:styleId="426">
    <w:name w:val="red141"/>
    <w:qFormat/>
    <w:uiPriority w:val="0"/>
    <w:rPr>
      <w:rFonts w:ascii="Arial" w:hAnsi="Arial" w:eastAsia="宋体" w:cs="Arial"/>
      <w:color w:val="FF0000"/>
      <w:kern w:val="2"/>
      <w:sz w:val="21"/>
      <w:szCs w:val="21"/>
      <w:u w:val="none"/>
      <w:lang w:val="en-US" w:eastAsia="zh-CN" w:bidi="ar-SA"/>
    </w:rPr>
  </w:style>
  <w:style w:type="character" w:customStyle="1" w:styleId="427">
    <w:name w:val="font31"/>
    <w:qFormat/>
    <w:uiPriority w:val="0"/>
    <w:rPr>
      <w:rFonts w:hint="eastAsia" w:ascii="宋体" w:hAnsi="宋体" w:eastAsia="宋体" w:cs="宋体"/>
      <w:color w:val="000000"/>
      <w:kern w:val="0"/>
      <w:sz w:val="16"/>
      <w:szCs w:val="16"/>
      <w:u w:val="none"/>
      <w:lang w:eastAsia="en-US"/>
    </w:rPr>
  </w:style>
  <w:style w:type="character" w:customStyle="1" w:styleId="428">
    <w:name w:val="Book Title1"/>
    <w:qFormat/>
    <w:uiPriority w:val="0"/>
    <w:rPr>
      <w:rFonts w:ascii="Verdana" w:hAnsi="Verdana" w:cs="Times New Roman"/>
      <w:b/>
      <w:bCs/>
      <w:smallCaps/>
      <w:spacing w:val="5"/>
      <w:kern w:val="0"/>
      <w:sz w:val="20"/>
      <w:lang w:eastAsia="en-US"/>
    </w:rPr>
  </w:style>
  <w:style w:type="character" w:customStyle="1" w:styleId="429">
    <w:name w:val="列出段落 Char"/>
    <w:qFormat/>
    <w:uiPriority w:val="0"/>
    <w:rPr>
      <w:rFonts w:ascii="Calibri" w:hAnsi="Calibri" w:eastAsia="宋体"/>
      <w:kern w:val="2"/>
      <w:sz w:val="21"/>
      <w:szCs w:val="22"/>
      <w:lang w:val="en-US" w:eastAsia="zh-CN" w:bidi="ar-SA"/>
    </w:rPr>
  </w:style>
  <w:style w:type="character" w:customStyle="1" w:styleId="430">
    <w:name w:val="文档结构图 Char1"/>
    <w:qFormat/>
    <w:uiPriority w:val="0"/>
    <w:rPr>
      <w:rFonts w:ascii="宋体" w:eastAsia="宋体" w:cs="Times New Roman"/>
      <w:sz w:val="18"/>
      <w:szCs w:val="18"/>
      <w:lang w:bidi="ar-SA"/>
    </w:rPr>
  </w:style>
  <w:style w:type="character" w:customStyle="1" w:styleId="431">
    <w:name w:val="正文缩进 字符"/>
    <w:link w:val="21"/>
    <w:qFormat/>
    <w:uiPriority w:val="0"/>
    <w:rPr>
      <w:rFonts w:ascii="宋体" w:eastAsia="宋体"/>
      <w:sz w:val="34"/>
      <w:lang w:val="en-US" w:eastAsia="zh-CN" w:bidi="ar-SA"/>
    </w:rPr>
  </w:style>
  <w:style w:type="paragraph" w:customStyle="1" w:styleId="432">
    <w:name w:val="Table Paragraph"/>
    <w:basedOn w:val="1"/>
    <w:qFormat/>
    <w:uiPriority w:val="1"/>
    <w:rPr>
      <w:rFonts w:ascii="宋体" w:hAnsi="宋体" w:cs="宋体"/>
      <w:lang w:val="zh-CN" w:bidi="zh-CN"/>
    </w:rPr>
  </w:style>
  <w:style w:type="character" w:customStyle="1" w:styleId="433">
    <w:name w:val="font71"/>
    <w:basedOn w:val="90"/>
    <w:qFormat/>
    <w:uiPriority w:val="0"/>
    <w:rPr>
      <w:rFonts w:hint="eastAsia" w:ascii="微软雅黑" w:hAnsi="微软雅黑" w:eastAsia="微软雅黑" w:cs="微软雅黑"/>
      <w:color w:val="FF0000"/>
      <w:sz w:val="20"/>
      <w:szCs w:val="20"/>
      <w:u w:val="none"/>
    </w:rPr>
  </w:style>
  <w:style w:type="character" w:customStyle="1" w:styleId="434">
    <w:name w:val="font91"/>
    <w:basedOn w:val="90"/>
    <w:qFormat/>
    <w:uiPriority w:val="0"/>
    <w:rPr>
      <w:rFonts w:hint="eastAsia" w:ascii="宋体" w:hAnsi="宋体" w:eastAsia="宋体" w:cs="宋体"/>
      <w:color w:val="000000"/>
      <w:sz w:val="20"/>
      <w:szCs w:val="20"/>
      <w:u w:val="none"/>
    </w:rPr>
  </w:style>
  <w:style w:type="character" w:customStyle="1" w:styleId="435">
    <w:name w:val="font101"/>
    <w:basedOn w:val="90"/>
    <w:qFormat/>
    <w:uiPriority w:val="0"/>
    <w:rPr>
      <w:rFonts w:hint="eastAsia" w:ascii="微软雅黑" w:hAnsi="微软雅黑" w:eastAsia="微软雅黑" w:cs="微软雅黑"/>
      <w:color w:val="FF0000"/>
      <w:sz w:val="20"/>
      <w:szCs w:val="20"/>
      <w:u w:val="none"/>
    </w:rPr>
  </w:style>
  <w:style w:type="paragraph" w:customStyle="1" w:styleId="436">
    <w:name w:val="正文0"/>
    <w:basedOn w:val="1"/>
    <w:qFormat/>
    <w:uiPriority w:val="99"/>
  </w:style>
  <w:style w:type="paragraph" w:customStyle="1" w:styleId="437">
    <w:name w:val="首行缩进"/>
    <w:basedOn w:val="1"/>
    <w:qFormat/>
    <w:uiPriority w:val="0"/>
    <w:pPr>
      <w:adjustRightInd w:val="0"/>
      <w:spacing w:line="360" w:lineRule="auto"/>
      <w:ind w:firstLine="480" w:firstLineChars="200"/>
    </w:pPr>
    <w:rPr>
      <w:rFonts w:ascii="Times New Roman" w:hAnsi="Times New Roman"/>
    </w:rPr>
  </w:style>
  <w:style w:type="table" w:customStyle="1" w:styleId="438">
    <w:name w:val="Table Normal"/>
    <w:unhideWhenUsed/>
    <w:qFormat/>
    <w:uiPriority w:val="0"/>
    <w:tblPr>
      <w:tblCellMar>
        <w:top w:w="0" w:type="dxa"/>
        <w:left w:w="0" w:type="dxa"/>
        <w:bottom w:w="0" w:type="dxa"/>
        <w:right w:w="0" w:type="dxa"/>
      </w:tblCellMar>
    </w:tblPr>
  </w:style>
  <w:style w:type="character" w:customStyle="1" w:styleId="439">
    <w:name w:val="批注文字 字符"/>
    <w:basedOn w:val="90"/>
    <w:link w:val="28"/>
    <w:qFormat/>
    <w:uiPriority w:val="0"/>
    <w:rPr>
      <w:rFonts w:ascii="Calibri" w:hAnsi="Calibri"/>
      <w:sz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A20D18-B8FB-4A9A-B67B-6C0AB1B1762A}">
  <ds:schemaRefs/>
</ds:datastoreItem>
</file>

<file path=docProps/app.xml><?xml version="1.0" encoding="utf-8"?>
<Properties xmlns="http://schemas.openxmlformats.org/officeDocument/2006/extended-properties" xmlns:vt="http://schemas.openxmlformats.org/officeDocument/2006/docPropsVTypes">
  <Template>Normal.dotm</Template>
  <Company>新疆成套局</Company>
  <Pages>78</Pages>
  <Words>34364</Words>
  <Characters>36053</Characters>
  <Lines>286</Lines>
  <Paragraphs>80</Paragraphs>
  <TotalTime>2</TotalTime>
  <ScaleCrop>false</ScaleCrop>
  <LinksUpToDate>false</LinksUpToDate>
  <CharactersWithSpaces>38198</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2023-10-18T16:10:00Z</dcterms:created>
  <dc:creator>似水流年</dc:creator>
  <cp:lastModifiedBy>卡布奇诺</cp:lastModifiedBy>
  <cp:lastPrinted>2018-12-29T03:27:00Z</cp:lastPrinted>
  <dcterms:modified xsi:type="dcterms:W3CDTF">2023-11-02T02:29:49Z</dcterms:modified>
  <dc:title>甲A65010011005</dc:title>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81DB97175D1243E8AFE5BDDF22F5D0BE_13</vt:lpwstr>
  </property>
</Properties>
</file>