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utlineLvl w:val="9"/>
        <w:rPr>
          <w:rFonts w:hint="eastAsia"/>
          <w:color w:val="auto"/>
          <w:highlight w:val="none"/>
        </w:rPr>
      </w:pPr>
    </w:p>
    <w:p>
      <w:pPr>
        <w:widowControl/>
        <w:tabs>
          <w:tab w:val="left" w:pos="6013"/>
        </w:tabs>
        <w:autoSpaceDE w:val="0"/>
        <w:autoSpaceDN w:val="0"/>
        <w:ind w:right="-26"/>
        <w:jc w:val="center"/>
        <w:textAlignment w:val="bottom"/>
        <w:outlineLvl w:val="9"/>
        <w:rPr>
          <w:rFonts w:hint="eastAsia" w:ascii="宋体" w:hAnsi="宋体" w:eastAsia="宋体" w:cs="宋体"/>
          <w:b/>
          <w:bCs/>
          <w:color w:val="auto"/>
          <w:kern w:val="0"/>
          <w:sz w:val="48"/>
          <w:szCs w:val="48"/>
          <w:highlight w:val="none"/>
          <w:shd w:val="clear" w:color="auto" w:fill="FFFFFF"/>
        </w:rPr>
      </w:pPr>
    </w:p>
    <w:p>
      <w:pPr>
        <w:widowControl/>
        <w:tabs>
          <w:tab w:val="left" w:pos="6013"/>
        </w:tabs>
        <w:autoSpaceDE w:val="0"/>
        <w:autoSpaceDN w:val="0"/>
        <w:ind w:right="-26"/>
        <w:jc w:val="center"/>
        <w:textAlignment w:val="bottom"/>
        <w:outlineLvl w:val="9"/>
        <w:rPr>
          <w:rFonts w:ascii="微软雅黑" w:hAnsi="微软雅黑" w:eastAsia="微软雅黑" w:cs="微软雅黑"/>
          <w:i w:val="0"/>
          <w:iCs w:val="0"/>
          <w:caps w:val="0"/>
          <w:color w:val="000000"/>
          <w:spacing w:val="0"/>
          <w:sz w:val="27"/>
          <w:szCs w:val="27"/>
        </w:rPr>
      </w:pPr>
      <w:bookmarkStart w:id="0" w:name="_Toc13237"/>
      <w:r>
        <w:rPr>
          <w:rFonts w:ascii="微软雅黑" w:hAnsi="微软雅黑" w:eastAsia="微软雅黑" w:cs="微软雅黑"/>
          <w:i w:val="0"/>
          <w:iCs w:val="0"/>
          <w:caps w:val="0"/>
          <w:color w:val="000000"/>
          <w:spacing w:val="0"/>
          <w:sz w:val="44"/>
          <w:szCs w:val="44"/>
        </w:rPr>
        <w:t>柯尔克孜民族医药保护种植研发传承项目-坎阿热力村柯药种植</w:t>
      </w:r>
    </w:p>
    <w:p>
      <w:pPr>
        <w:widowControl/>
        <w:tabs>
          <w:tab w:val="left" w:pos="6013"/>
        </w:tabs>
        <w:autoSpaceDE w:val="0"/>
        <w:autoSpaceDN w:val="0"/>
        <w:ind w:right="-26"/>
        <w:jc w:val="center"/>
        <w:textAlignment w:val="bottom"/>
        <w:outlineLvl w:val="9"/>
        <w:rPr>
          <w:rFonts w:hint="default" w:ascii="宋体" w:hAnsi="宋体" w:eastAsia="宋体" w:cs="宋体"/>
          <w:color w:val="auto"/>
          <w:highlight w:val="none"/>
          <w:shd w:val="clear" w:color="auto" w:fill="auto"/>
          <w:lang w:val="en-US"/>
        </w:rPr>
      </w:pPr>
      <w:r>
        <w:rPr>
          <w:rFonts w:hint="eastAsia" w:ascii="宋体" w:hAnsi="宋体" w:eastAsia="宋体" w:cs="宋体"/>
          <w:b/>
          <w:bCs/>
          <w:color w:val="auto"/>
          <w:kern w:val="0"/>
          <w:sz w:val="32"/>
          <w:szCs w:val="32"/>
          <w:highlight w:val="none"/>
          <w:shd w:val="clear" w:color="auto" w:fill="FFFFFF"/>
        </w:rPr>
        <w:t>项目</w:t>
      </w:r>
      <w:r>
        <w:rPr>
          <w:rFonts w:hint="eastAsia" w:ascii="宋体" w:hAnsi="宋体" w:eastAsia="宋体" w:cs="宋体"/>
          <w:b/>
          <w:bCs/>
          <w:color w:val="auto"/>
          <w:kern w:val="0"/>
          <w:sz w:val="32"/>
          <w:szCs w:val="32"/>
          <w:highlight w:val="none"/>
          <w:shd w:val="clear" w:color="auto" w:fill="FFFFFF"/>
        </w:rPr>
        <w:t>编号：</w:t>
      </w:r>
      <w:bookmarkEnd w:id="0"/>
      <w:r>
        <w:rPr>
          <w:rFonts w:hint="eastAsia" w:ascii="宋体" w:hAnsi="宋体" w:eastAsia="宋体" w:cs="宋体"/>
          <w:b/>
          <w:bCs/>
          <w:color w:val="auto"/>
          <w:kern w:val="0"/>
          <w:sz w:val="32"/>
          <w:szCs w:val="32"/>
          <w:highlight w:val="none"/>
          <w:shd w:val="clear" w:color="auto" w:fill="auto"/>
          <w:lang w:val="en-US" w:eastAsia="zh-CN"/>
        </w:rPr>
        <w:t>ATSCG-2023-051</w:t>
      </w:r>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52"/>
          <w:szCs w:val="52"/>
          <w:highlight w:val="none"/>
          <w:lang w:val="en-US" w:eastAsia="zh-CN"/>
        </w:rPr>
      </w:pPr>
      <w:bookmarkStart w:id="1" w:name="_Toc16753"/>
      <w:r>
        <w:rPr>
          <w:rFonts w:hint="eastAsia" w:ascii="宋体" w:hAnsi="宋体" w:eastAsia="宋体" w:cs="宋体"/>
          <w:b/>
          <w:bCs w:val="0"/>
          <w:color w:val="auto"/>
          <w:sz w:val="52"/>
          <w:szCs w:val="52"/>
          <w:highlight w:val="none"/>
          <w:lang w:val="en-US" w:eastAsia="zh-CN"/>
        </w:rPr>
        <w:t>竞</w:t>
      </w:r>
      <w:bookmarkEnd w:id="1"/>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52"/>
          <w:szCs w:val="52"/>
          <w:highlight w:val="none"/>
          <w:lang w:val="en-US" w:eastAsia="zh-CN"/>
        </w:rPr>
      </w:pPr>
      <w:bookmarkStart w:id="2" w:name="_Toc12537"/>
      <w:r>
        <w:rPr>
          <w:rFonts w:hint="eastAsia" w:ascii="宋体" w:hAnsi="宋体" w:eastAsia="宋体" w:cs="宋体"/>
          <w:b/>
          <w:bCs w:val="0"/>
          <w:color w:val="auto"/>
          <w:sz w:val="52"/>
          <w:szCs w:val="52"/>
          <w:highlight w:val="none"/>
          <w:lang w:val="en-US" w:eastAsia="zh-CN"/>
        </w:rPr>
        <w:t>争</w:t>
      </w:r>
      <w:bookmarkEnd w:id="2"/>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52"/>
          <w:szCs w:val="52"/>
          <w:highlight w:val="none"/>
          <w:lang w:val="en-US" w:eastAsia="zh-CN"/>
        </w:rPr>
      </w:pPr>
      <w:bookmarkStart w:id="3" w:name="_Toc4765"/>
      <w:r>
        <w:rPr>
          <w:rFonts w:hint="eastAsia" w:ascii="宋体" w:hAnsi="宋体" w:eastAsia="宋体" w:cs="宋体"/>
          <w:b/>
          <w:bCs w:val="0"/>
          <w:color w:val="auto"/>
          <w:sz w:val="52"/>
          <w:szCs w:val="52"/>
          <w:highlight w:val="none"/>
          <w:lang w:val="en-US" w:eastAsia="zh-CN"/>
        </w:rPr>
        <w:t>性</w:t>
      </w:r>
      <w:bookmarkEnd w:id="3"/>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52"/>
          <w:szCs w:val="52"/>
          <w:highlight w:val="none"/>
          <w:lang w:eastAsia="zh-CN"/>
        </w:rPr>
      </w:pPr>
      <w:bookmarkStart w:id="4" w:name="_Toc11692"/>
      <w:r>
        <w:rPr>
          <w:rFonts w:hint="eastAsia" w:ascii="宋体" w:hAnsi="宋体" w:eastAsia="宋体" w:cs="宋体"/>
          <w:b/>
          <w:bCs w:val="0"/>
          <w:color w:val="auto"/>
          <w:sz w:val="52"/>
          <w:szCs w:val="52"/>
          <w:highlight w:val="none"/>
          <w:lang w:eastAsia="zh-CN"/>
        </w:rPr>
        <w:t>磋</w:t>
      </w:r>
      <w:bookmarkEnd w:id="4"/>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52"/>
          <w:szCs w:val="52"/>
          <w:highlight w:val="none"/>
          <w:lang w:eastAsia="zh-CN"/>
        </w:rPr>
      </w:pPr>
      <w:bookmarkStart w:id="5" w:name="_Toc27262"/>
      <w:r>
        <w:rPr>
          <w:rFonts w:hint="eastAsia" w:ascii="宋体" w:hAnsi="宋体" w:eastAsia="宋体" w:cs="宋体"/>
          <w:b/>
          <w:bCs w:val="0"/>
          <w:color w:val="auto"/>
          <w:sz w:val="52"/>
          <w:szCs w:val="52"/>
          <w:highlight w:val="none"/>
          <w:lang w:eastAsia="zh-CN"/>
        </w:rPr>
        <w:t>商</w:t>
      </w:r>
      <w:bookmarkEnd w:id="5"/>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52"/>
          <w:szCs w:val="52"/>
          <w:highlight w:val="none"/>
        </w:rPr>
      </w:pPr>
      <w:bookmarkStart w:id="6" w:name="_Toc24631"/>
      <w:r>
        <w:rPr>
          <w:rFonts w:hint="eastAsia" w:ascii="宋体" w:hAnsi="宋体" w:eastAsia="宋体" w:cs="宋体"/>
          <w:b/>
          <w:bCs w:val="0"/>
          <w:color w:val="auto"/>
          <w:sz w:val="52"/>
          <w:szCs w:val="52"/>
          <w:highlight w:val="none"/>
        </w:rPr>
        <w:t>文</w:t>
      </w:r>
      <w:bookmarkEnd w:id="6"/>
    </w:p>
    <w:p>
      <w:pPr>
        <w:keepNext w:val="0"/>
        <w:keepLines w:val="0"/>
        <w:pageBreakBefore w:val="0"/>
        <w:widowControl w:val="0"/>
        <w:shd w:val="clear" w:color="auto" w:fill="auto"/>
        <w:kinsoku/>
        <w:wordWrap/>
        <w:overflowPunct/>
        <w:topLinePunct w:val="0"/>
        <w:autoSpaceDE/>
        <w:autoSpaceDN/>
        <w:bidi w:val="0"/>
        <w:adjustRightInd/>
        <w:snapToGrid/>
        <w:spacing w:line="760" w:lineRule="exact"/>
        <w:jc w:val="center"/>
        <w:textAlignment w:val="auto"/>
        <w:outlineLvl w:val="9"/>
        <w:rPr>
          <w:rFonts w:hint="eastAsia" w:ascii="宋体" w:hAnsi="宋体" w:eastAsia="宋体" w:cs="宋体"/>
          <w:b/>
          <w:bCs w:val="0"/>
          <w:color w:val="auto"/>
          <w:sz w:val="100"/>
          <w:szCs w:val="100"/>
          <w:highlight w:val="none"/>
        </w:rPr>
      </w:pPr>
      <w:bookmarkStart w:id="7" w:name="_Toc14316"/>
      <w:r>
        <w:rPr>
          <w:rFonts w:hint="eastAsia" w:ascii="宋体" w:hAnsi="宋体" w:eastAsia="宋体" w:cs="宋体"/>
          <w:b/>
          <w:bCs w:val="0"/>
          <w:color w:val="auto"/>
          <w:sz w:val="52"/>
          <w:szCs w:val="52"/>
          <w:highlight w:val="none"/>
        </w:rPr>
        <w:t>件</w:t>
      </w:r>
      <w:bookmarkEnd w:id="7"/>
    </w:p>
    <w:p>
      <w:pPr>
        <w:pStyle w:val="42"/>
        <w:outlineLvl w:val="9"/>
        <w:rPr>
          <w:rFonts w:hint="eastAsia" w:ascii="宋体" w:hAnsi="宋体" w:eastAsia="宋体" w:cs="宋体"/>
          <w:color w:val="auto"/>
          <w:highlight w:val="none"/>
        </w:rPr>
      </w:pPr>
    </w:p>
    <w:p>
      <w:pPr>
        <w:widowControl/>
        <w:autoSpaceDE w:val="0"/>
        <w:autoSpaceDN w:val="0"/>
        <w:spacing w:line="800" w:lineRule="exact"/>
        <w:ind w:right="-28" w:firstLine="627" w:firstLineChars="196"/>
        <w:textAlignment w:val="bottom"/>
        <w:outlineLvl w:val="9"/>
        <w:rPr>
          <w:rFonts w:hint="eastAsia" w:ascii="宋体" w:hAnsi="宋体" w:eastAsia="宋体" w:cs="宋体"/>
          <w:b/>
          <w:color w:val="auto"/>
          <w:sz w:val="32"/>
          <w:szCs w:val="32"/>
          <w:highlight w:val="none"/>
          <w:lang w:eastAsia="zh-CN"/>
        </w:rPr>
      </w:pPr>
      <w:bookmarkStart w:id="8" w:name="_Toc3554"/>
      <w:r>
        <w:rPr>
          <w:rFonts w:hint="eastAsia" w:ascii="宋体" w:hAnsi="宋体" w:eastAsia="宋体" w:cs="宋体"/>
          <w:b/>
          <w:color w:val="auto"/>
          <w:sz w:val="32"/>
          <w:szCs w:val="32"/>
          <w:highlight w:val="none"/>
        </w:rPr>
        <w:t>采购单位：</w:t>
      </w:r>
      <w:bookmarkEnd w:id="8"/>
      <w:r>
        <w:rPr>
          <w:rFonts w:hint="eastAsia" w:ascii="宋体" w:hAnsi="宋体" w:eastAsia="宋体" w:cs="宋体"/>
          <w:b/>
          <w:color w:val="auto"/>
          <w:sz w:val="32"/>
          <w:szCs w:val="32"/>
          <w:highlight w:val="none"/>
          <w:lang w:eastAsia="zh-CN"/>
        </w:rPr>
        <w:t>阿图什市</w:t>
      </w:r>
      <w:r>
        <w:rPr>
          <w:rFonts w:hint="eastAsia" w:ascii="宋体" w:hAnsi="宋体" w:eastAsia="宋体" w:cs="宋体"/>
          <w:b/>
          <w:color w:val="auto"/>
          <w:sz w:val="32"/>
          <w:szCs w:val="32"/>
          <w:highlight w:val="none"/>
          <w:lang w:val="en-US" w:eastAsia="zh-CN"/>
        </w:rPr>
        <w:t>哈拉峻乡</w:t>
      </w:r>
      <w:r>
        <w:rPr>
          <w:rFonts w:hint="eastAsia" w:ascii="宋体" w:hAnsi="宋体" w:eastAsia="宋体" w:cs="宋体"/>
          <w:b/>
          <w:color w:val="auto"/>
          <w:sz w:val="32"/>
          <w:szCs w:val="32"/>
          <w:highlight w:val="none"/>
          <w:lang w:eastAsia="zh-CN"/>
        </w:rPr>
        <w:t>人民政府</w:t>
      </w:r>
    </w:p>
    <w:p>
      <w:pPr>
        <w:widowControl/>
        <w:autoSpaceDE w:val="0"/>
        <w:autoSpaceDN w:val="0"/>
        <w:spacing w:line="800" w:lineRule="exact"/>
        <w:ind w:right="-28" w:firstLine="640" w:firstLineChars="200"/>
        <w:textAlignment w:val="bottom"/>
        <w:outlineLvl w:val="9"/>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项目</w:t>
      </w:r>
      <w:r>
        <w:rPr>
          <w:rFonts w:hint="eastAsia" w:ascii="宋体" w:hAnsi="宋体" w:eastAsia="宋体" w:cs="宋体"/>
          <w:b/>
          <w:color w:val="auto"/>
          <w:sz w:val="32"/>
          <w:szCs w:val="32"/>
          <w:highlight w:val="none"/>
          <w:lang w:val="en-US" w:eastAsia="zh-CN"/>
        </w:rPr>
        <w:t>联系人</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val="en-US" w:eastAsia="zh-CN"/>
        </w:rPr>
        <w:t>邓先生</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联系电话：</w:t>
      </w:r>
      <w:r>
        <w:rPr>
          <w:rFonts w:hint="eastAsia" w:ascii="宋体" w:hAnsi="宋体" w:eastAsia="宋体" w:cs="宋体"/>
          <w:b/>
          <w:color w:val="auto"/>
          <w:sz w:val="32"/>
          <w:szCs w:val="32"/>
          <w:highlight w:val="none"/>
          <w:lang w:val="en-US" w:eastAsia="zh-CN"/>
        </w:rPr>
        <w:t>15700990115</w:t>
      </w:r>
    </w:p>
    <w:p>
      <w:pPr>
        <w:widowControl/>
        <w:autoSpaceDE w:val="0"/>
        <w:autoSpaceDN w:val="0"/>
        <w:spacing w:line="800" w:lineRule="exact"/>
        <w:ind w:right="-28" w:firstLine="627" w:firstLineChars="196"/>
        <w:textAlignment w:val="bottom"/>
        <w:outlineLvl w:val="9"/>
        <w:rPr>
          <w:rFonts w:hint="default" w:ascii="宋体" w:hAnsi="宋体" w:eastAsia="宋体" w:cs="宋体"/>
          <w:b/>
          <w:color w:val="auto"/>
          <w:sz w:val="32"/>
          <w:szCs w:val="32"/>
          <w:highlight w:val="none"/>
          <w:lang w:val="en-US" w:eastAsia="zh-CN"/>
        </w:rPr>
      </w:pPr>
      <w:bookmarkStart w:id="9" w:name="_Toc7598"/>
      <w:r>
        <w:rPr>
          <w:rFonts w:hint="eastAsia" w:ascii="宋体" w:hAnsi="宋体" w:eastAsia="宋体" w:cs="宋体"/>
          <w:b/>
          <w:color w:val="auto"/>
          <w:sz w:val="32"/>
          <w:szCs w:val="32"/>
          <w:highlight w:val="none"/>
        </w:rPr>
        <w:t>代理机构：</w:t>
      </w:r>
      <w:bookmarkEnd w:id="9"/>
      <w:r>
        <w:rPr>
          <w:rFonts w:hint="eastAsia" w:ascii="宋体" w:hAnsi="宋体" w:eastAsia="宋体" w:cs="宋体"/>
          <w:b/>
          <w:color w:val="auto"/>
          <w:sz w:val="32"/>
          <w:szCs w:val="32"/>
          <w:highlight w:val="none"/>
          <w:lang w:val="en-US" w:eastAsia="zh-CN"/>
        </w:rPr>
        <w:t>山西弘策项目管理有限公司</w:t>
      </w:r>
    </w:p>
    <w:p>
      <w:pPr>
        <w:shd w:val="clear" w:color="auto" w:fill="auto"/>
        <w:ind w:firstLine="640" w:firstLineChars="200"/>
        <w:jc w:val="both"/>
        <w:outlineLvl w:val="9"/>
        <w:rPr>
          <w:rFonts w:hint="eastAsia" w:ascii="宋体" w:hAnsi="宋体" w:eastAsia="宋体" w:cs="宋体"/>
          <w:b/>
          <w:color w:val="auto"/>
          <w:sz w:val="36"/>
          <w:highlight w:val="none"/>
        </w:rPr>
        <w:sectPr>
          <w:headerReference r:id="rId3" w:type="default"/>
          <w:footerReference r:id="rId4" w:type="default"/>
          <w:pgSz w:w="11906" w:h="16838"/>
          <w:pgMar w:top="1440" w:right="1134" w:bottom="1440" w:left="1134" w:header="851" w:footer="992" w:gutter="0"/>
          <w:pgNumType w:fmt="decimal" w:start="1"/>
          <w:cols w:space="720" w:num="1"/>
          <w:rtlGutter w:val="0"/>
          <w:docGrid w:type="linesAndChars" w:linePitch="312" w:charSpace="0"/>
        </w:sectPr>
      </w:pPr>
      <w:r>
        <w:rPr>
          <w:rFonts w:hint="eastAsia" w:ascii="宋体" w:hAnsi="宋体" w:eastAsia="宋体" w:cs="宋体"/>
          <w:b/>
          <w:color w:val="auto"/>
          <w:sz w:val="32"/>
          <w:szCs w:val="32"/>
          <w:highlight w:val="none"/>
        </w:rPr>
        <w:t>项目负责人：</w:t>
      </w:r>
      <w:r>
        <w:rPr>
          <w:rFonts w:hint="eastAsia" w:ascii="宋体" w:hAnsi="宋体" w:eastAsia="宋体" w:cs="宋体"/>
          <w:b/>
          <w:color w:val="auto"/>
          <w:sz w:val="32"/>
          <w:szCs w:val="32"/>
          <w:highlight w:val="none"/>
          <w:lang w:val="en-US" w:eastAsia="zh-CN"/>
        </w:rPr>
        <w:t>王先生</w:t>
      </w: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 xml:space="preserve">联系电话: </w:t>
      </w:r>
      <w:r>
        <w:rPr>
          <w:rFonts w:hint="eastAsia" w:ascii="宋体" w:hAnsi="宋体" w:eastAsia="宋体" w:cs="宋体"/>
          <w:b/>
          <w:color w:val="auto"/>
          <w:sz w:val="32"/>
          <w:szCs w:val="32"/>
          <w:highlight w:val="none"/>
          <w:lang w:val="en-US" w:eastAsia="zh-CN"/>
        </w:rPr>
        <w:t>18809085988</w:t>
      </w:r>
      <w:r>
        <w:rPr>
          <w:rFonts w:hint="eastAsia" w:ascii="宋体" w:hAnsi="宋体" w:eastAsia="宋体" w:cs="宋体"/>
          <w:b/>
          <w:color w:val="auto"/>
          <w:sz w:val="32"/>
          <w:szCs w:val="32"/>
          <w:highlight w:val="none"/>
        </w:rPr>
        <w:t xml:space="preserve"> </w:t>
      </w:r>
    </w:p>
    <w:p>
      <w:pPr>
        <w:jc w:val="center"/>
        <w:outlineLvl w:val="9"/>
        <w:rPr>
          <w:rFonts w:hint="eastAsia" w:ascii="宋体" w:hAnsi="宋体" w:eastAsia="宋体" w:cs="宋体"/>
          <w:b/>
          <w:color w:val="auto"/>
          <w:sz w:val="40"/>
          <w:szCs w:val="28"/>
          <w:highlight w:val="none"/>
        </w:rPr>
      </w:pPr>
      <w:bookmarkStart w:id="10" w:name="_Toc32365"/>
      <w:r>
        <w:rPr>
          <w:rFonts w:hint="eastAsia" w:ascii="宋体" w:hAnsi="宋体" w:eastAsia="宋体" w:cs="宋体"/>
          <w:b/>
          <w:color w:val="auto"/>
          <w:sz w:val="40"/>
          <w:szCs w:val="40"/>
        </w:rPr>
        <w:t>招投标监督管理机构备案登记栏</w:t>
      </w:r>
      <w:bookmarkEnd w:id="10"/>
    </w:p>
    <w:tbl>
      <w:tblPr>
        <w:tblStyle w:val="28"/>
        <w:tblpPr w:leftFromText="180" w:rightFromText="180" w:vertAnchor="text" w:horzAnchor="page" w:tblpX="1739" w:tblpY="59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7" w:hRule="atLeast"/>
        </w:trPr>
        <w:tc>
          <w:tcPr>
            <w:tcW w:w="9080" w:type="dxa"/>
            <w:noWrap w:val="0"/>
            <w:vAlign w:val="top"/>
          </w:tcPr>
          <w:p>
            <w:pPr>
              <w:spacing w:line="720" w:lineRule="auto"/>
              <w:outlineLvl w:val="9"/>
              <w:rPr>
                <w:rFonts w:hint="eastAsia" w:ascii="宋体" w:hAnsi="宋体" w:eastAsia="宋体" w:cs="宋体"/>
                <w:color w:val="auto"/>
                <w:sz w:val="32"/>
                <w:szCs w:val="28"/>
              </w:rPr>
            </w:pPr>
          </w:p>
          <w:p>
            <w:pPr>
              <w:spacing w:line="360" w:lineRule="auto"/>
              <w:ind w:left="2099" w:hanging="2099" w:hangingChars="656"/>
              <w:outlineLvl w:val="9"/>
              <w:rPr>
                <w:rFonts w:hint="eastAsia" w:ascii="宋体" w:hAnsi="宋体" w:eastAsia="宋体" w:cs="宋体"/>
                <w:color w:val="auto"/>
                <w:sz w:val="32"/>
                <w:szCs w:val="32"/>
                <w:lang w:eastAsia="zh-CN"/>
              </w:rPr>
            </w:pPr>
            <w:r>
              <w:rPr>
                <w:rFonts w:hint="eastAsia" w:ascii="宋体" w:hAnsi="宋体" w:eastAsia="宋体" w:cs="宋体"/>
                <w:color w:val="auto"/>
                <w:sz w:val="32"/>
                <w:szCs w:val="32"/>
              </w:rPr>
              <w:t>采购单位：</w:t>
            </w:r>
            <w:r>
              <w:rPr>
                <w:rFonts w:hint="eastAsia" w:ascii="宋体" w:hAnsi="宋体" w:eastAsia="宋体" w:cs="宋体"/>
                <w:color w:val="auto"/>
                <w:sz w:val="32"/>
                <w:szCs w:val="32"/>
                <w:lang w:eastAsia="zh-CN"/>
              </w:rPr>
              <w:t>阿图什市</w:t>
            </w:r>
            <w:r>
              <w:rPr>
                <w:rFonts w:hint="eastAsia" w:ascii="宋体" w:hAnsi="宋体" w:eastAsia="宋体" w:cs="宋体"/>
                <w:color w:val="auto"/>
                <w:sz w:val="32"/>
                <w:szCs w:val="32"/>
                <w:lang w:val="en-US" w:eastAsia="zh-CN"/>
              </w:rPr>
              <w:t>哈拉峻乡</w:t>
            </w:r>
            <w:r>
              <w:rPr>
                <w:rFonts w:hint="eastAsia" w:ascii="宋体" w:hAnsi="宋体" w:eastAsia="宋体" w:cs="宋体"/>
                <w:color w:val="auto"/>
                <w:sz w:val="32"/>
                <w:szCs w:val="32"/>
                <w:lang w:eastAsia="zh-CN"/>
              </w:rPr>
              <w:t>人民政府</w:t>
            </w:r>
          </w:p>
          <w:p>
            <w:pPr>
              <w:spacing w:line="360" w:lineRule="auto"/>
              <w:ind w:left="2099" w:hanging="2099" w:hangingChars="656"/>
              <w:outlineLvl w:val="9"/>
              <w:rPr>
                <w:rFonts w:hint="eastAsia" w:ascii="宋体" w:hAnsi="宋体" w:eastAsia="宋体" w:cs="宋体"/>
                <w:color w:val="auto"/>
                <w:sz w:val="32"/>
                <w:szCs w:val="32"/>
              </w:rPr>
            </w:pPr>
          </w:p>
          <w:p>
            <w:pPr>
              <w:spacing w:line="360" w:lineRule="auto"/>
              <w:ind w:left="2099" w:hanging="2099" w:hangingChars="656"/>
              <w:outlineLvl w:val="9"/>
              <w:rPr>
                <w:rFonts w:hint="eastAsia" w:ascii="宋体" w:hAnsi="宋体" w:eastAsia="宋体" w:cs="宋体"/>
                <w:color w:val="auto"/>
                <w:sz w:val="32"/>
                <w:szCs w:val="32"/>
                <w:lang w:val="en-US" w:eastAsia="zh-CN"/>
              </w:rPr>
            </w:pPr>
          </w:p>
          <w:p>
            <w:pPr>
              <w:spacing w:line="360" w:lineRule="auto"/>
              <w:ind w:left="2099" w:hanging="2099" w:hangingChars="656"/>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采购项目名称：柯尔克孜民族医药保护种植研发传承项目-坎阿热力村柯药种植</w:t>
            </w:r>
          </w:p>
          <w:p>
            <w:pPr>
              <w:spacing w:line="360" w:lineRule="auto"/>
              <w:ind w:left="2099" w:hanging="2099" w:hangingChars="656"/>
              <w:outlineLvl w:val="9"/>
              <w:rPr>
                <w:rFonts w:hint="eastAsia" w:ascii="宋体" w:hAnsi="宋体" w:eastAsia="宋体" w:cs="宋体"/>
                <w:color w:val="auto"/>
                <w:sz w:val="32"/>
                <w:szCs w:val="32"/>
                <w:lang w:val="en-US" w:eastAsia="zh-CN"/>
              </w:rPr>
            </w:pPr>
          </w:p>
          <w:p>
            <w:pPr>
              <w:spacing w:line="360" w:lineRule="auto"/>
              <w:ind w:left="2099" w:hanging="2099" w:hangingChars="656"/>
              <w:outlineLvl w:val="9"/>
              <w:rPr>
                <w:rFonts w:hint="eastAsia" w:ascii="宋体" w:hAnsi="宋体" w:eastAsia="宋体" w:cs="宋体"/>
                <w:color w:val="auto"/>
                <w:sz w:val="32"/>
                <w:szCs w:val="32"/>
                <w:lang w:val="en-US" w:eastAsia="zh-CN"/>
              </w:rPr>
            </w:pPr>
          </w:p>
          <w:p>
            <w:pPr>
              <w:spacing w:line="360" w:lineRule="auto"/>
              <w:ind w:left="2099" w:hanging="2099" w:hangingChars="656"/>
              <w:outlineLvl w:val="9"/>
              <w:rPr>
                <w:rFonts w:hint="eastAsia" w:ascii="宋体" w:hAnsi="宋体" w:eastAsia="宋体" w:cs="宋体"/>
                <w:color w:val="auto"/>
                <w:sz w:val="32"/>
                <w:szCs w:val="32"/>
                <w:lang w:val="en-US" w:eastAsia="zh-CN"/>
              </w:rPr>
            </w:pPr>
          </w:p>
          <w:p>
            <w:pPr>
              <w:spacing w:line="360" w:lineRule="auto"/>
              <w:ind w:left="2099" w:hanging="2099" w:hangingChars="656"/>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代理机构：山西弘策项目管理有限公司</w:t>
            </w:r>
          </w:p>
          <w:p>
            <w:pPr>
              <w:spacing w:line="360" w:lineRule="auto"/>
              <w:outlineLvl w:val="9"/>
              <w:rPr>
                <w:rFonts w:hint="eastAsia" w:ascii="宋体" w:hAnsi="宋体" w:eastAsia="宋体" w:cs="宋体"/>
                <w:color w:val="auto"/>
                <w:sz w:val="32"/>
                <w:szCs w:val="32"/>
              </w:rPr>
            </w:pPr>
          </w:p>
          <w:p>
            <w:pPr>
              <w:spacing w:line="360" w:lineRule="auto"/>
              <w:outlineLvl w:val="9"/>
              <w:rPr>
                <w:rFonts w:hint="eastAsia" w:ascii="宋体" w:hAnsi="宋体" w:eastAsia="宋体" w:cs="宋体"/>
                <w:color w:val="auto"/>
                <w:sz w:val="32"/>
                <w:szCs w:val="32"/>
              </w:rPr>
            </w:pPr>
          </w:p>
          <w:p>
            <w:pPr>
              <w:spacing w:line="360" w:lineRule="auto"/>
              <w:outlineLvl w:val="9"/>
              <w:rPr>
                <w:rFonts w:hint="eastAsia" w:ascii="宋体" w:hAnsi="宋体" w:eastAsia="宋体" w:cs="宋体"/>
                <w:color w:val="auto"/>
                <w:sz w:val="32"/>
                <w:szCs w:val="32"/>
              </w:rPr>
            </w:pPr>
          </w:p>
          <w:p>
            <w:pPr>
              <w:spacing w:line="360" w:lineRule="auto"/>
              <w:ind w:left="2099" w:hanging="2099" w:hangingChars="656"/>
              <w:jc w:val="center"/>
              <w:outlineLvl w:val="9"/>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本采购文件已报备</w:t>
            </w:r>
          </w:p>
          <w:p>
            <w:pPr>
              <w:spacing w:line="360" w:lineRule="auto"/>
              <w:jc w:val="center"/>
              <w:outlineLvl w:val="9"/>
              <w:rPr>
                <w:rFonts w:hint="eastAsia" w:ascii="宋体" w:hAnsi="宋体" w:eastAsia="宋体" w:cs="宋体"/>
                <w:color w:val="auto"/>
                <w:sz w:val="32"/>
                <w:szCs w:val="32"/>
              </w:rPr>
            </w:pPr>
          </w:p>
          <w:p>
            <w:pPr>
              <w:spacing w:line="360" w:lineRule="auto"/>
              <w:jc w:val="both"/>
              <w:outlineLvl w:val="9"/>
              <w:rPr>
                <w:rFonts w:hint="eastAsia" w:ascii="宋体" w:hAnsi="宋体" w:eastAsia="宋体" w:cs="宋体"/>
                <w:color w:val="auto"/>
                <w:sz w:val="32"/>
                <w:szCs w:val="32"/>
              </w:rPr>
            </w:pPr>
          </w:p>
          <w:p>
            <w:pPr>
              <w:ind w:firstLine="2400" w:firstLineChars="750"/>
              <w:outlineLvl w:val="9"/>
              <w:rPr>
                <w:rFonts w:hint="eastAsia" w:ascii="宋体" w:hAnsi="宋体" w:eastAsia="宋体" w:cs="宋体"/>
                <w:color w:val="auto"/>
                <w:sz w:val="32"/>
                <w:szCs w:val="32"/>
              </w:rPr>
            </w:pPr>
          </w:p>
        </w:tc>
      </w:tr>
    </w:tbl>
    <w:p>
      <w:pPr>
        <w:jc w:val="both"/>
        <w:outlineLvl w:val="9"/>
        <w:rPr>
          <w:rFonts w:hint="eastAsia"/>
          <w:b/>
          <w:color w:val="auto"/>
          <w:sz w:val="36"/>
          <w:highlight w:val="none"/>
        </w:rPr>
      </w:pPr>
    </w:p>
    <w:p>
      <w:pPr>
        <w:rPr>
          <w:color w:val="auto"/>
        </w:rPr>
        <w:sectPr>
          <w:footerReference r:id="rId5" w:type="default"/>
          <w:pgSz w:w="11906" w:h="16838"/>
          <w:pgMar w:top="1440" w:right="1134" w:bottom="1440" w:left="1134" w:header="851" w:footer="992" w:gutter="0"/>
          <w:paperSrc/>
          <w:pgBorders>
            <w:top w:val="none" w:sz="0" w:space="0"/>
            <w:left w:val="none" w:sz="0" w:space="0"/>
            <w:bottom w:val="none" w:sz="0" w:space="0"/>
            <w:right w:val="none" w:sz="0" w:space="0"/>
          </w:pgBorders>
          <w:pgNumType w:fmt="decimal" w:start="1"/>
          <w:cols w:space="720" w:num="1"/>
          <w:rtlGutter w:val="0"/>
          <w:docGrid w:type="linesAndChars" w:linePitch="312" w:charSpace="0"/>
        </w:sectPr>
      </w:pPr>
    </w:p>
    <w:p>
      <w:pPr>
        <w:rPr>
          <w:color w:val="auto"/>
        </w:rPr>
      </w:pPr>
    </w:p>
    <w:p>
      <w:pPr>
        <w:spacing w:before="0" w:beforeLines="0" w:after="0" w:afterLines="0" w:line="240" w:lineRule="auto"/>
        <w:ind w:left="0" w:leftChars="0" w:right="0" w:rightChars="0" w:firstLine="0" w:firstLineChars="0"/>
        <w:jc w:val="center"/>
        <w:rPr>
          <w:rFonts w:hint="eastAsia" w:ascii="仿宋" w:hAnsi="仿宋" w:eastAsia="仿宋" w:cs="仿宋"/>
          <w:color w:val="auto"/>
          <w:sz w:val="44"/>
          <w:szCs w:val="44"/>
        </w:rPr>
      </w:pPr>
      <w:bookmarkStart w:id="11" w:name="_Toc7074"/>
      <w:r>
        <w:rPr>
          <w:rFonts w:hint="eastAsia" w:ascii="仿宋" w:hAnsi="仿宋" w:eastAsia="仿宋" w:cs="仿宋"/>
          <w:color w:val="auto"/>
          <w:sz w:val="44"/>
          <w:szCs w:val="44"/>
        </w:rPr>
        <w:t>目</w:t>
      </w:r>
      <w:r>
        <w:rPr>
          <w:rFonts w:hint="eastAsia" w:ascii="仿宋" w:hAnsi="仿宋" w:eastAsia="仿宋" w:cs="仿宋"/>
          <w:color w:val="auto"/>
          <w:sz w:val="44"/>
          <w:szCs w:val="44"/>
          <w:lang w:val="en-US" w:eastAsia="zh-CN"/>
        </w:rPr>
        <w:t xml:space="preserve"> </w:t>
      </w:r>
      <w:r>
        <w:rPr>
          <w:rFonts w:hint="eastAsia" w:ascii="仿宋" w:hAnsi="仿宋" w:eastAsia="仿宋" w:cs="仿宋"/>
          <w:color w:val="auto"/>
          <w:sz w:val="44"/>
          <w:szCs w:val="44"/>
        </w:rPr>
        <w:t>录</w:t>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 w:val="0"/>
          <w:bCs/>
          <w:color w:val="auto"/>
          <w:sz w:val="32"/>
          <w:szCs w:val="32"/>
          <w:highlight w:val="none"/>
        </w:rPr>
        <w:fldChar w:fldCharType="begin"/>
      </w:r>
      <w:r>
        <w:rPr>
          <w:rFonts w:hint="eastAsia" w:ascii="仿宋" w:hAnsi="仿宋" w:eastAsia="仿宋" w:cs="仿宋"/>
          <w:b w:val="0"/>
          <w:bCs/>
          <w:color w:val="auto"/>
          <w:sz w:val="32"/>
          <w:szCs w:val="32"/>
          <w:highlight w:val="none"/>
        </w:rPr>
        <w:instrText xml:space="preserve">TOC \o "1-1" \h \u </w:instrText>
      </w:r>
      <w:r>
        <w:rPr>
          <w:rFonts w:hint="eastAsia" w:ascii="仿宋" w:hAnsi="仿宋" w:eastAsia="仿宋" w:cs="仿宋"/>
          <w:b w:val="0"/>
          <w:bCs/>
          <w:color w:val="auto"/>
          <w:sz w:val="32"/>
          <w:szCs w:val="32"/>
          <w:highlight w:val="none"/>
        </w:rPr>
        <w:fldChar w:fldCharType="separate"/>
      </w: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_Toc24681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sz w:val="28"/>
          <w:szCs w:val="52"/>
          <w:highlight w:val="none"/>
          <w:lang w:val="en-US" w:eastAsia="zh-CN"/>
        </w:rPr>
        <w:t xml:space="preserve">第一章 </w:t>
      </w:r>
      <w:r>
        <w:rPr>
          <w:rFonts w:hint="eastAsia" w:ascii="仿宋" w:hAnsi="仿宋" w:eastAsia="仿宋" w:cs="仿宋"/>
          <w:bCs/>
          <w:color w:val="auto"/>
          <w:sz w:val="28"/>
          <w:szCs w:val="52"/>
          <w:highlight w:val="none"/>
        </w:rPr>
        <w:t>招标公告</w:t>
      </w:r>
      <w:r>
        <w:rPr>
          <w:rFonts w:hint="eastAsia" w:ascii="仿宋" w:hAnsi="仿宋" w:eastAsia="仿宋" w:cs="仿宋"/>
          <w:color w:val="auto"/>
          <w:sz w:val="28"/>
          <w:szCs w:val="36"/>
        </w:rPr>
        <w:tab/>
      </w:r>
      <w:r>
        <w:rPr>
          <w:rFonts w:hint="eastAsia" w:ascii="仿宋" w:hAnsi="仿宋" w:eastAsia="仿宋" w:cs="仿宋"/>
          <w:color w:val="auto"/>
          <w:sz w:val="28"/>
          <w:szCs w:val="36"/>
        </w:rPr>
        <w:fldChar w:fldCharType="begin"/>
      </w:r>
      <w:r>
        <w:rPr>
          <w:rFonts w:hint="eastAsia" w:ascii="仿宋" w:hAnsi="仿宋" w:eastAsia="仿宋" w:cs="仿宋"/>
          <w:color w:val="auto"/>
          <w:sz w:val="28"/>
          <w:szCs w:val="36"/>
        </w:rPr>
        <w:instrText xml:space="preserve"> PAGEREF _Toc24681 \h </w:instrText>
      </w:r>
      <w:r>
        <w:rPr>
          <w:rFonts w:hint="eastAsia" w:ascii="仿宋" w:hAnsi="仿宋" w:eastAsia="仿宋" w:cs="仿宋"/>
          <w:color w:val="auto"/>
          <w:sz w:val="28"/>
          <w:szCs w:val="36"/>
        </w:rPr>
        <w:fldChar w:fldCharType="separate"/>
      </w:r>
      <w:r>
        <w:rPr>
          <w:rFonts w:hint="eastAsia" w:ascii="仿宋" w:hAnsi="仿宋" w:eastAsia="仿宋" w:cs="仿宋"/>
          <w:color w:val="auto"/>
          <w:sz w:val="28"/>
          <w:szCs w:val="36"/>
        </w:rPr>
        <w:t>1</w:t>
      </w:r>
      <w:r>
        <w:rPr>
          <w:rFonts w:hint="eastAsia" w:ascii="仿宋" w:hAnsi="仿宋" w:eastAsia="仿宋" w:cs="仿宋"/>
          <w:color w:val="auto"/>
          <w:sz w:val="28"/>
          <w:szCs w:val="36"/>
        </w:rPr>
        <w:fldChar w:fldCharType="end"/>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_Toc1416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第二章 供应商须知</w:t>
      </w:r>
      <w:r>
        <w:rPr>
          <w:rFonts w:hint="eastAsia" w:ascii="仿宋" w:hAnsi="仿宋" w:eastAsia="仿宋" w:cs="仿宋"/>
          <w:color w:val="auto"/>
          <w:sz w:val="28"/>
          <w:szCs w:val="36"/>
        </w:rPr>
        <w:tab/>
      </w:r>
      <w:r>
        <w:rPr>
          <w:rFonts w:hint="eastAsia" w:ascii="仿宋" w:hAnsi="仿宋" w:eastAsia="仿宋" w:cs="仿宋"/>
          <w:color w:val="auto"/>
          <w:sz w:val="28"/>
          <w:szCs w:val="36"/>
          <w:lang w:val="en-US" w:eastAsia="zh-CN"/>
        </w:rPr>
        <w:t>6</w:t>
      </w:r>
      <w:r>
        <w:rPr>
          <w:rFonts w:hint="eastAsia" w:ascii="仿宋" w:hAnsi="仿宋" w:eastAsia="仿宋" w:cs="仿宋"/>
          <w:bCs/>
          <w:color w:val="auto"/>
          <w:sz w:val="28"/>
          <w:szCs w:val="44"/>
          <w:highlight w:val="none"/>
        </w:rPr>
        <w:fldChar w:fldCharType="end"/>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lang w:val="en-US" w:eastAsia="zh-CN"/>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_Toc7306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第三章 评标办法</w:t>
      </w:r>
      <w:r>
        <w:rPr>
          <w:rFonts w:hint="eastAsia" w:ascii="仿宋" w:hAnsi="仿宋" w:eastAsia="仿宋" w:cs="仿宋"/>
          <w:color w:val="auto"/>
          <w:sz w:val="28"/>
          <w:szCs w:val="36"/>
        </w:rPr>
        <w:tab/>
      </w:r>
      <w:r>
        <w:rPr>
          <w:rFonts w:hint="eastAsia" w:ascii="仿宋" w:hAnsi="仿宋" w:eastAsia="仿宋" w:cs="仿宋"/>
          <w:color w:val="auto"/>
          <w:sz w:val="28"/>
          <w:szCs w:val="36"/>
          <w:lang w:val="en-US" w:eastAsia="zh-CN"/>
        </w:rPr>
        <w:t>4</w:t>
      </w:r>
      <w:r>
        <w:rPr>
          <w:rFonts w:hint="eastAsia" w:ascii="仿宋" w:hAnsi="仿宋" w:eastAsia="仿宋" w:cs="仿宋"/>
          <w:bCs/>
          <w:color w:val="auto"/>
          <w:sz w:val="28"/>
          <w:szCs w:val="44"/>
          <w:highlight w:val="none"/>
        </w:rPr>
        <w:fldChar w:fldCharType="end"/>
      </w:r>
      <w:r>
        <w:rPr>
          <w:rFonts w:hint="eastAsia" w:ascii="仿宋" w:hAnsi="仿宋" w:eastAsia="仿宋" w:cs="仿宋"/>
          <w:bCs/>
          <w:color w:val="auto"/>
          <w:sz w:val="28"/>
          <w:szCs w:val="44"/>
          <w:highlight w:val="none"/>
          <w:lang w:val="en-US" w:eastAsia="zh-CN"/>
        </w:rPr>
        <w:t>1</w:t>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lang w:val="en-US" w:eastAsia="zh-CN"/>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_Toc9490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第四章 采购内容及技术参数要求</w:t>
      </w:r>
      <w:r>
        <w:rPr>
          <w:rFonts w:hint="eastAsia" w:ascii="仿宋" w:hAnsi="仿宋" w:eastAsia="仿宋" w:cs="仿宋"/>
          <w:color w:val="auto"/>
          <w:sz w:val="28"/>
          <w:szCs w:val="36"/>
        </w:rPr>
        <w:tab/>
      </w:r>
      <w:r>
        <w:rPr>
          <w:rFonts w:hint="eastAsia" w:ascii="仿宋" w:hAnsi="仿宋" w:eastAsia="仿宋" w:cs="仿宋"/>
          <w:color w:val="auto"/>
          <w:sz w:val="28"/>
          <w:szCs w:val="36"/>
          <w:lang w:val="en-US" w:eastAsia="zh-CN"/>
        </w:rPr>
        <w:t>5</w:t>
      </w:r>
      <w:r>
        <w:rPr>
          <w:rFonts w:hint="eastAsia" w:ascii="仿宋" w:hAnsi="仿宋" w:eastAsia="仿宋" w:cs="仿宋"/>
          <w:bCs/>
          <w:color w:val="auto"/>
          <w:sz w:val="28"/>
          <w:szCs w:val="44"/>
          <w:highlight w:val="none"/>
        </w:rPr>
        <w:fldChar w:fldCharType="end"/>
      </w:r>
      <w:r>
        <w:rPr>
          <w:rFonts w:hint="eastAsia" w:ascii="仿宋" w:hAnsi="仿宋" w:eastAsia="仿宋" w:cs="仿宋"/>
          <w:bCs/>
          <w:color w:val="auto"/>
          <w:sz w:val="28"/>
          <w:szCs w:val="44"/>
          <w:highlight w:val="none"/>
          <w:lang w:val="en-US" w:eastAsia="zh-CN"/>
        </w:rPr>
        <w:t>1</w:t>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sz w:val="28"/>
          <w:szCs w:val="36"/>
          <w:lang w:val="en-US" w:eastAsia="zh-CN"/>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_Toc16574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第五章 合同条款及格式</w:t>
      </w:r>
      <w:r>
        <w:rPr>
          <w:rFonts w:hint="eastAsia" w:ascii="仿宋" w:hAnsi="仿宋" w:eastAsia="仿宋" w:cs="仿宋"/>
          <w:color w:val="auto"/>
          <w:sz w:val="28"/>
          <w:szCs w:val="36"/>
        </w:rPr>
        <w:tab/>
      </w:r>
      <w:r>
        <w:rPr>
          <w:rFonts w:hint="eastAsia" w:ascii="仿宋" w:hAnsi="仿宋" w:eastAsia="仿宋" w:cs="仿宋"/>
          <w:color w:val="auto"/>
          <w:sz w:val="28"/>
          <w:szCs w:val="36"/>
          <w:lang w:val="en-US" w:eastAsia="zh-CN"/>
        </w:rPr>
        <w:t>5</w:t>
      </w:r>
      <w:r>
        <w:rPr>
          <w:rFonts w:hint="eastAsia" w:ascii="仿宋" w:hAnsi="仿宋" w:eastAsia="仿宋" w:cs="仿宋"/>
          <w:bCs/>
          <w:color w:val="auto"/>
          <w:sz w:val="28"/>
          <w:szCs w:val="44"/>
          <w:highlight w:val="none"/>
        </w:rPr>
        <w:fldChar w:fldCharType="end"/>
      </w:r>
      <w:r>
        <w:rPr>
          <w:rFonts w:hint="eastAsia" w:ascii="仿宋" w:hAnsi="仿宋" w:eastAsia="仿宋" w:cs="仿宋"/>
          <w:bCs/>
          <w:color w:val="auto"/>
          <w:sz w:val="28"/>
          <w:szCs w:val="44"/>
          <w:highlight w:val="none"/>
          <w:lang w:val="en-US" w:eastAsia="zh-CN"/>
        </w:rPr>
        <w:t>4</w:t>
      </w:r>
    </w:p>
    <w:p>
      <w:pPr>
        <w:pStyle w:val="19"/>
        <w:keepNext w:val="0"/>
        <w:keepLines w:val="0"/>
        <w:pageBreakBefore w:val="0"/>
        <w:widowControl w:val="0"/>
        <w:tabs>
          <w:tab w:val="right" w:leader="dot" w:pos="9638"/>
        </w:tabs>
        <w:kinsoku/>
        <w:wordWrap/>
        <w:overflowPunct/>
        <w:topLinePunct w:val="0"/>
        <w:autoSpaceDE/>
        <w:autoSpaceDN/>
        <w:bidi w:val="0"/>
        <w:adjustRightInd/>
        <w:snapToGrid/>
        <w:spacing w:line="700" w:lineRule="exact"/>
        <w:textAlignment w:val="auto"/>
        <w:rPr>
          <w:rFonts w:hint="eastAsia" w:ascii="仿宋" w:hAnsi="仿宋" w:eastAsia="仿宋" w:cs="仿宋"/>
          <w:color w:val="auto"/>
          <w:lang w:val="en-US" w:eastAsia="zh-CN"/>
        </w:rPr>
      </w:pPr>
      <w:r>
        <w:rPr>
          <w:rFonts w:hint="eastAsia" w:ascii="仿宋" w:hAnsi="仿宋" w:eastAsia="仿宋" w:cs="仿宋"/>
          <w:bCs/>
          <w:color w:val="auto"/>
          <w:sz w:val="28"/>
          <w:szCs w:val="44"/>
          <w:highlight w:val="none"/>
        </w:rPr>
        <w:fldChar w:fldCharType="begin"/>
      </w:r>
      <w:r>
        <w:rPr>
          <w:rFonts w:hint="eastAsia" w:ascii="仿宋" w:hAnsi="仿宋" w:eastAsia="仿宋" w:cs="仿宋"/>
          <w:bCs/>
          <w:color w:val="auto"/>
          <w:sz w:val="28"/>
          <w:szCs w:val="44"/>
          <w:highlight w:val="none"/>
        </w:rPr>
        <w:instrText xml:space="preserve"> HYPERLINK \l _Toc13343 </w:instrText>
      </w:r>
      <w:r>
        <w:rPr>
          <w:rFonts w:hint="eastAsia" w:ascii="仿宋" w:hAnsi="仿宋" w:eastAsia="仿宋" w:cs="仿宋"/>
          <w:bCs/>
          <w:color w:val="auto"/>
          <w:sz w:val="28"/>
          <w:szCs w:val="44"/>
          <w:highlight w:val="none"/>
        </w:rPr>
        <w:fldChar w:fldCharType="separate"/>
      </w:r>
      <w:r>
        <w:rPr>
          <w:rFonts w:hint="eastAsia" w:ascii="仿宋" w:hAnsi="仿宋" w:eastAsia="仿宋" w:cs="仿宋"/>
          <w:bCs/>
          <w:color w:val="auto"/>
          <w:kern w:val="2"/>
          <w:sz w:val="28"/>
          <w:szCs w:val="52"/>
          <w:highlight w:val="none"/>
          <w:shd w:val="clear" w:color="auto" w:fill="auto"/>
          <w:lang w:val="en-US" w:eastAsia="zh-CN" w:bidi="ar-SA"/>
        </w:rPr>
        <w:t>第六章 投标文件格式</w:t>
      </w:r>
      <w:r>
        <w:rPr>
          <w:rFonts w:hint="eastAsia" w:ascii="仿宋" w:hAnsi="仿宋" w:eastAsia="仿宋" w:cs="仿宋"/>
          <w:color w:val="auto"/>
          <w:sz w:val="28"/>
          <w:szCs w:val="36"/>
        </w:rPr>
        <w:tab/>
      </w:r>
      <w:r>
        <w:rPr>
          <w:rFonts w:hint="eastAsia" w:ascii="仿宋" w:hAnsi="仿宋" w:eastAsia="仿宋" w:cs="仿宋"/>
          <w:color w:val="auto"/>
          <w:sz w:val="28"/>
          <w:szCs w:val="36"/>
          <w:lang w:val="en-US" w:eastAsia="zh-CN"/>
        </w:rPr>
        <w:t>6</w:t>
      </w:r>
      <w:r>
        <w:rPr>
          <w:rFonts w:hint="eastAsia" w:ascii="仿宋" w:hAnsi="仿宋" w:eastAsia="仿宋" w:cs="仿宋"/>
          <w:bCs/>
          <w:color w:val="auto"/>
          <w:sz w:val="28"/>
          <w:szCs w:val="44"/>
          <w:highlight w:val="none"/>
        </w:rPr>
        <w:fldChar w:fldCharType="end"/>
      </w:r>
      <w:r>
        <w:rPr>
          <w:rFonts w:hint="eastAsia" w:ascii="仿宋" w:hAnsi="仿宋" w:eastAsia="仿宋" w:cs="仿宋"/>
          <w:bCs/>
          <w:color w:val="auto"/>
          <w:sz w:val="28"/>
          <w:szCs w:val="44"/>
          <w:highlight w:val="none"/>
          <w:lang w:val="en-US" w:eastAsia="zh-CN"/>
        </w:rPr>
        <w:t>0</w:t>
      </w:r>
    </w:p>
    <w:p>
      <w:pPr>
        <w:keepNext w:val="0"/>
        <w:keepLines w:val="0"/>
        <w:pageBreakBefore w:val="0"/>
        <w:widowControl w:val="0"/>
        <w:numPr>
          <w:ilvl w:val="0"/>
          <w:numId w:val="3"/>
        </w:numPr>
        <w:kinsoku/>
        <w:wordWrap/>
        <w:overflowPunct/>
        <w:topLinePunct w:val="0"/>
        <w:autoSpaceDE/>
        <w:autoSpaceDN/>
        <w:bidi w:val="0"/>
        <w:adjustRightInd/>
        <w:snapToGrid/>
        <w:spacing w:line="700" w:lineRule="exact"/>
        <w:jc w:val="center"/>
        <w:textAlignment w:val="auto"/>
        <w:outlineLvl w:val="0"/>
        <w:rPr>
          <w:rFonts w:hint="eastAsia" w:ascii="华康行楷体 W5" w:hAnsi="华康行楷体 W5" w:eastAsia="华康行楷体 W5" w:cs="华康行楷体 W5"/>
          <w:b w:val="0"/>
          <w:bCs/>
          <w:color w:val="auto"/>
          <w:sz w:val="32"/>
          <w:szCs w:val="32"/>
          <w:highlight w:val="none"/>
        </w:rPr>
        <w:sectPr>
          <w:pgSz w:w="11906" w:h="16838"/>
          <w:pgMar w:top="1440" w:right="1134" w:bottom="1440" w:left="1134" w:header="851" w:footer="992" w:gutter="0"/>
          <w:paperSrc/>
          <w:pgBorders>
            <w:top w:val="none" w:sz="0" w:space="0"/>
            <w:left w:val="none" w:sz="0" w:space="0"/>
            <w:bottom w:val="none" w:sz="0" w:space="0"/>
            <w:right w:val="none" w:sz="0" w:space="0"/>
          </w:pgBorders>
          <w:pgNumType w:fmt="decimal" w:start="1"/>
          <w:cols w:space="720" w:num="1"/>
          <w:rtlGutter w:val="0"/>
          <w:docGrid w:type="linesAndChars" w:linePitch="312" w:charSpace="0"/>
        </w:sectPr>
      </w:pPr>
      <w:r>
        <w:rPr>
          <w:rFonts w:hint="eastAsia" w:ascii="仿宋" w:hAnsi="仿宋" w:eastAsia="仿宋" w:cs="仿宋"/>
          <w:bCs/>
          <w:color w:val="auto"/>
          <w:szCs w:val="32"/>
          <w:highlight w:val="none"/>
        </w:rPr>
        <w:fldChar w:fldCharType="end"/>
      </w:r>
    </w:p>
    <w:p>
      <w:pPr>
        <w:numPr>
          <w:ilvl w:val="0"/>
          <w:numId w:val="0"/>
        </w:numPr>
        <w:spacing w:line="420" w:lineRule="exact"/>
        <w:ind w:leftChars="0"/>
        <w:jc w:val="center"/>
        <w:outlineLvl w:val="0"/>
        <w:rPr>
          <w:rFonts w:hint="eastAsia" w:ascii="仿宋" w:hAnsi="仿宋" w:eastAsia="仿宋" w:cs="仿宋"/>
          <w:b/>
          <w:bCs/>
          <w:color w:val="auto"/>
          <w:sz w:val="40"/>
          <w:szCs w:val="40"/>
          <w:highlight w:val="none"/>
        </w:rPr>
      </w:pPr>
      <w:bookmarkStart w:id="12" w:name="_Toc24681"/>
      <w:bookmarkStart w:id="13" w:name="_Toc29018"/>
      <w:r>
        <w:rPr>
          <w:rFonts w:hint="eastAsia" w:ascii="仿宋" w:hAnsi="仿宋" w:eastAsia="仿宋" w:cs="仿宋"/>
          <w:b/>
          <w:bCs/>
          <w:color w:val="auto"/>
          <w:sz w:val="40"/>
          <w:szCs w:val="40"/>
          <w:highlight w:val="none"/>
          <w:lang w:val="en-US" w:eastAsia="zh-CN"/>
        </w:rPr>
        <w:t xml:space="preserve">第一章 </w:t>
      </w:r>
      <w:r>
        <w:rPr>
          <w:rFonts w:hint="eastAsia" w:ascii="仿宋" w:hAnsi="仿宋" w:eastAsia="仿宋" w:cs="仿宋"/>
          <w:b/>
          <w:bCs/>
          <w:color w:val="auto"/>
          <w:sz w:val="40"/>
          <w:szCs w:val="40"/>
          <w:highlight w:val="none"/>
        </w:rPr>
        <w:t>招标公告</w:t>
      </w:r>
      <w:bookmarkEnd w:id="11"/>
      <w:bookmarkEnd w:id="12"/>
      <w:bookmarkEnd w:id="13"/>
    </w:p>
    <w:p>
      <w:pPr>
        <w:keepNext w:val="0"/>
        <w:keepLines w:val="0"/>
        <w:pageBreakBefore w:val="0"/>
        <w:shd w:val="clear" w:color="auto" w:fill="auto"/>
        <w:kinsoku/>
        <w:wordWrap/>
        <w:overflowPunct/>
        <w:topLinePunct w:val="0"/>
        <w:autoSpaceDE/>
        <w:autoSpaceDN/>
        <w:bidi w:val="0"/>
        <w:adjustRightInd w:val="0"/>
        <w:spacing w:line="120" w:lineRule="auto"/>
        <w:jc w:val="center"/>
        <w:outlineLvl w:val="9"/>
        <w:rPr>
          <w:rFonts w:hint="eastAsia" w:ascii="仿宋" w:hAnsi="仿宋" w:eastAsia="仿宋" w:cs="仿宋"/>
          <w:b/>
          <w:color w:val="000000"/>
          <w:sz w:val="40"/>
          <w:szCs w:val="40"/>
          <w:highlight w:val="none"/>
          <w:shd w:val="clear" w:color="auto" w:fill="FFFFFF"/>
          <w:lang w:val="en-US" w:eastAsia="zh-CN"/>
        </w:rPr>
      </w:pPr>
      <w:bookmarkStart w:id="14" w:name="_Toc14778"/>
      <w:bookmarkStart w:id="15" w:name="_Toc27003"/>
      <w:bookmarkStart w:id="16" w:name="_Toc1416"/>
      <w:bookmarkStart w:id="17" w:name="_Toc23115"/>
      <w:r>
        <w:rPr>
          <w:rFonts w:hint="eastAsia" w:ascii="仿宋" w:hAnsi="仿宋" w:eastAsia="仿宋" w:cs="仿宋"/>
          <w:b/>
          <w:color w:val="000000"/>
          <w:sz w:val="40"/>
          <w:szCs w:val="40"/>
          <w:highlight w:val="none"/>
          <w:shd w:val="clear" w:color="auto" w:fill="FFFFFF"/>
          <w:lang w:val="en-US" w:eastAsia="zh-CN"/>
        </w:rPr>
        <w:t xml:space="preserve">  柯尔克孜民族医药保护种植研发传承项目-坎阿热力村柯药种植的竞争性磋商公告</w:t>
      </w:r>
    </w:p>
    <w:p>
      <w:pPr>
        <w:pStyle w:val="43"/>
        <w:keepNext w:val="0"/>
        <w:keepLines w:val="0"/>
        <w:pageBreakBefore w:val="0"/>
        <w:shd w:val="clear" w:color="auto" w:fill="auto"/>
        <w:kinsoku/>
        <w:wordWrap/>
        <w:overflowPunct/>
        <w:topLinePunct w:val="0"/>
        <w:autoSpaceDE/>
        <w:autoSpaceDN/>
        <w:bidi w:val="0"/>
        <w:spacing w:line="120" w:lineRule="auto"/>
        <w:outlineLvl w:val="9"/>
        <w:rPr>
          <w:rFonts w:hint="eastAsia" w:ascii="宋体" w:hAnsi="宋体" w:eastAsia="宋体" w:cs="宋体"/>
          <w:color w:val="000000"/>
          <w:sz w:val="18"/>
          <w:szCs w:val="18"/>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textAlignment w:val="auto"/>
        <w:outlineLvl w:val="9"/>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shd w:val="clear" w:color="auto" w:fill="auto"/>
        <w:kinsoku/>
        <w:wordWrap/>
        <w:overflowPunct/>
        <w:topLinePunct w:val="0"/>
        <w:autoSpaceDE/>
        <w:autoSpaceDN/>
        <w:bidi w:val="0"/>
        <w:adjustRightInd/>
        <w:snapToGrid/>
        <w:spacing w:line="120" w:lineRule="auto"/>
        <w:ind w:firstLine="440" w:firstLineChars="200"/>
        <w:textAlignment w:val="auto"/>
        <w:outlineLvl w:val="9"/>
        <w:rPr>
          <w:rFonts w:hint="eastAsia" w:ascii="仿宋" w:hAnsi="仿宋" w:eastAsia="仿宋" w:cs="仿宋"/>
          <w:i w:val="0"/>
          <w:iCs w:val="0"/>
          <w:caps w:val="0"/>
          <w:color w:val="000000"/>
          <w:spacing w:val="0"/>
          <w:sz w:val="28"/>
          <w:szCs w:val="28"/>
          <w:highlight w:val="none"/>
          <w:u w:val="none"/>
          <w:lang w:val="en-US" w:eastAsia="zh-CN"/>
        </w:rPr>
      </w:pPr>
      <w:r>
        <w:rPr>
          <w:rFonts w:hint="eastAsia" w:ascii="仿宋" w:hAnsi="仿宋" w:eastAsia="仿宋" w:cs="仿宋"/>
          <w:i w:val="0"/>
          <w:iCs w:val="0"/>
          <w:caps w:val="0"/>
          <w:color w:val="000000"/>
          <w:spacing w:val="0"/>
          <w:sz w:val="22"/>
          <w:szCs w:val="22"/>
          <w:lang w:eastAsia="zh-CN"/>
        </w:rPr>
        <w:t xml:space="preserve"> </w:t>
      </w:r>
      <w:r>
        <w:rPr>
          <w:rFonts w:hint="eastAsia" w:ascii="仿宋" w:hAnsi="仿宋" w:eastAsia="仿宋" w:cs="仿宋"/>
          <w:i w:val="0"/>
          <w:iCs w:val="0"/>
          <w:caps w:val="0"/>
          <w:color w:val="000000"/>
          <w:spacing w:val="0"/>
          <w:sz w:val="28"/>
          <w:szCs w:val="28"/>
          <w:lang w:eastAsia="zh-CN"/>
        </w:rPr>
        <w:t xml:space="preserve"> 柯尔克孜民族医药保护种植研发传承项目-坎阿热力村柯药种植采购项目的潜在供应商应在登陆政采云平台http://</w:t>
      </w:r>
      <w:r>
        <w:rPr>
          <w:rFonts w:hint="eastAsia" w:ascii="仿宋" w:hAnsi="仿宋" w:eastAsia="仿宋" w:cs="仿宋"/>
          <w:i w:val="0"/>
          <w:iCs w:val="0"/>
          <w:caps w:val="0"/>
          <w:color w:val="000000"/>
          <w:spacing w:val="0"/>
          <w:sz w:val="28"/>
          <w:szCs w:val="28"/>
          <w:highlight w:val="none"/>
          <w:lang w:eastAsia="zh-CN"/>
        </w:rPr>
        <w:t>www.zcygov.cn/，在线申请获取磋商文件（登录政府采购云平台 → 项目采购 → 获取磋商文件→申请，审核通过后可下载磋商文件，如有操作性问题，可与政采云在线客服进行咨询，咨询电话：95763）。获取采购文件，并于</w:t>
      </w:r>
      <w:r>
        <w:rPr>
          <w:rFonts w:hint="eastAsia" w:ascii="仿宋" w:hAnsi="仿宋" w:eastAsia="仿宋" w:cs="仿宋"/>
          <w:i w:val="0"/>
          <w:iCs w:val="0"/>
          <w:caps w:val="0"/>
          <w:color w:val="FF0000"/>
          <w:spacing w:val="0"/>
          <w:sz w:val="28"/>
          <w:szCs w:val="28"/>
          <w:highlight w:val="none"/>
          <w:lang w:eastAsia="zh-CN"/>
        </w:rPr>
        <w:t>2023年</w:t>
      </w:r>
      <w:r>
        <w:rPr>
          <w:rFonts w:hint="eastAsia" w:ascii="仿宋" w:hAnsi="仿宋" w:eastAsia="仿宋" w:cs="仿宋"/>
          <w:i w:val="0"/>
          <w:iCs w:val="0"/>
          <w:caps w:val="0"/>
          <w:color w:val="FF0000"/>
          <w:spacing w:val="0"/>
          <w:sz w:val="28"/>
          <w:szCs w:val="28"/>
          <w:highlight w:val="none"/>
          <w:lang w:val="en-US" w:eastAsia="zh-CN"/>
        </w:rPr>
        <w:t>11</w:t>
      </w:r>
      <w:r>
        <w:rPr>
          <w:rFonts w:hint="eastAsia" w:ascii="仿宋" w:hAnsi="仿宋" w:eastAsia="仿宋" w:cs="仿宋"/>
          <w:i w:val="0"/>
          <w:iCs w:val="0"/>
          <w:caps w:val="0"/>
          <w:color w:val="FF0000"/>
          <w:spacing w:val="0"/>
          <w:sz w:val="28"/>
          <w:szCs w:val="28"/>
          <w:highlight w:val="none"/>
          <w:lang w:eastAsia="zh-CN"/>
        </w:rPr>
        <w:t>月</w:t>
      </w:r>
      <w:r>
        <w:rPr>
          <w:rFonts w:hint="eastAsia" w:ascii="仿宋" w:hAnsi="仿宋" w:eastAsia="仿宋" w:cs="仿宋"/>
          <w:i w:val="0"/>
          <w:iCs w:val="0"/>
          <w:caps w:val="0"/>
          <w:color w:val="FF0000"/>
          <w:spacing w:val="0"/>
          <w:sz w:val="28"/>
          <w:szCs w:val="28"/>
          <w:highlight w:val="none"/>
          <w:lang w:val="en-US" w:eastAsia="zh-CN"/>
        </w:rPr>
        <w:t>17</w:t>
      </w:r>
      <w:r>
        <w:rPr>
          <w:rFonts w:hint="eastAsia" w:ascii="仿宋" w:hAnsi="仿宋" w:eastAsia="仿宋" w:cs="仿宋"/>
          <w:i w:val="0"/>
          <w:iCs w:val="0"/>
          <w:caps w:val="0"/>
          <w:color w:val="FF0000"/>
          <w:spacing w:val="0"/>
          <w:sz w:val="28"/>
          <w:szCs w:val="28"/>
          <w:highlight w:val="none"/>
          <w:lang w:eastAsia="zh-CN"/>
        </w:rPr>
        <w:t>日</w:t>
      </w:r>
      <w:r>
        <w:rPr>
          <w:rFonts w:hint="eastAsia" w:ascii="仿宋" w:hAnsi="仿宋" w:eastAsia="仿宋" w:cs="仿宋"/>
          <w:i w:val="0"/>
          <w:iCs w:val="0"/>
          <w:caps w:val="0"/>
          <w:color w:val="000000"/>
          <w:spacing w:val="0"/>
          <w:sz w:val="28"/>
          <w:szCs w:val="28"/>
          <w:highlight w:val="none"/>
          <w:lang w:val="en-US" w:eastAsia="zh-CN"/>
        </w:rPr>
        <w:t>10</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30</w:t>
      </w:r>
      <w:r>
        <w:rPr>
          <w:rFonts w:hint="eastAsia" w:ascii="仿宋" w:hAnsi="仿宋" w:eastAsia="仿宋" w:cs="仿宋"/>
          <w:i w:val="0"/>
          <w:iCs w:val="0"/>
          <w:caps w:val="0"/>
          <w:color w:val="000000"/>
          <w:spacing w:val="0"/>
          <w:sz w:val="28"/>
          <w:szCs w:val="28"/>
          <w:highlight w:val="none"/>
          <w:lang w:eastAsia="zh-CN"/>
        </w:rPr>
        <w:t>（北京时间）前提</w:t>
      </w:r>
      <w:r>
        <w:rPr>
          <w:rFonts w:hint="eastAsia" w:ascii="仿宋" w:hAnsi="仿宋" w:eastAsia="仿宋" w:cs="仿宋"/>
          <w:i w:val="0"/>
          <w:iCs w:val="0"/>
          <w:caps w:val="0"/>
          <w:color w:val="000000"/>
          <w:spacing w:val="0"/>
          <w:sz w:val="28"/>
          <w:szCs w:val="28"/>
          <w:lang w:eastAsia="zh-CN"/>
        </w:rPr>
        <w:t>交响应文件。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一、项目基本情况</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FF0000"/>
          <w:sz w:val="28"/>
          <w:szCs w:val="28"/>
          <w:highlight w:val="none"/>
          <w:lang w:val="en-US" w:eastAsia="zh-CN"/>
        </w:rPr>
      </w:pPr>
      <w:r>
        <w:rPr>
          <w:rFonts w:hint="eastAsia" w:ascii="仿宋" w:hAnsi="仿宋" w:eastAsia="仿宋" w:cs="仿宋"/>
          <w:color w:val="auto"/>
          <w:sz w:val="28"/>
          <w:szCs w:val="28"/>
          <w:highlight w:val="none"/>
          <w:lang w:val="en-US" w:eastAsia="zh-CN"/>
        </w:rPr>
        <w:t>项目编号：ATSCG-2023051</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项目名称：柯尔克孜民族医药保护种植研发传承项目-坎阿热力村柯药种植</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采购方式：竞争性磋商</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预算金额（元）：1800000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最高限价（元）：1800000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采购需求：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标项名称: 柯尔克孜民族医药保护种植研发传承项目-坎阿热力村柯药种植</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数量:1批</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预算金额（元）:1800000</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单位：批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简要规格描述：种子、种植需要的机械、人工及其他费用、农资产品（具体详见采购清单或竞争性磋商文件）。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备注：</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合同履约期限：标项 1，具体详见磋商文件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本项目（否）接受联合体投标。</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二、申请人的资格要求：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2.落实政府采购政策需满足的资格要求：</w:t>
      </w:r>
      <w:r>
        <w:rPr>
          <w:rFonts w:ascii="仿宋" w:hAnsi="仿宋" w:eastAsia="仿宋" w:cs="仿宋"/>
          <w:i w:val="0"/>
          <w:iCs w:val="0"/>
          <w:caps w:val="0"/>
          <w:color w:val="000000"/>
          <w:spacing w:val="0"/>
          <w:sz w:val="27"/>
          <w:szCs w:val="27"/>
          <w:highlight w:val="none"/>
        </w:rPr>
        <w:t>标项1：供应商为中小企业；</w:t>
      </w:r>
      <w:r>
        <w:rPr>
          <w:rFonts w:hint="eastAsia" w:ascii="仿宋" w:hAnsi="仿宋" w:eastAsia="仿宋" w:cs="仿宋"/>
          <w:i w:val="0"/>
          <w:iCs w:val="0"/>
          <w:caps w:val="0"/>
          <w:color w:val="000000"/>
          <w:spacing w:val="0"/>
          <w:sz w:val="27"/>
          <w:szCs w:val="27"/>
          <w:highlight w:val="none"/>
        </w:rPr>
        <w:t>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【标项1】</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（1）具备合格的三证合一营业执照副本；</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（2）法定代表人投标需提供法定代表人资格证明书，委托代理人投标需提供法定代表人授权委托书；</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参加政府采购活动前三年内，在经营活动中没有重大违法记录；在“信用中国”及“中国政府采购网”网站上未被列入失信被执行人、重大税收违法案件当事人名单以及政府采购严重违法失信行为记录名单的投标供应商（提供查询结果网页截图并加盖供应商公章）；</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三、获取采购文件</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时间：</w:t>
      </w:r>
      <w:r>
        <w:rPr>
          <w:rFonts w:hint="eastAsia" w:ascii="仿宋" w:hAnsi="仿宋" w:eastAsia="仿宋" w:cs="仿宋"/>
          <w:color w:val="FF0000"/>
          <w:sz w:val="28"/>
          <w:szCs w:val="28"/>
          <w:highlight w:val="none"/>
          <w:lang w:val="en-US" w:eastAsia="zh-CN"/>
        </w:rPr>
        <w:t>2023年11月03日至2023年11月10日</w:t>
      </w:r>
      <w:r>
        <w:rPr>
          <w:rFonts w:hint="eastAsia" w:ascii="仿宋" w:hAnsi="仿宋" w:eastAsia="仿宋" w:cs="仿宋"/>
          <w:color w:val="auto"/>
          <w:sz w:val="28"/>
          <w:szCs w:val="28"/>
          <w:highlight w:val="none"/>
          <w:lang w:val="en-US" w:eastAsia="zh-CN"/>
        </w:rPr>
        <w:t>，每天上午10:00至13:30，下午16:30至20:00（北京时间，法定节假日除外）</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地点：登陆政采云平台http://www.zcygov.cn/，在线申请获取磋商文件（登录政府采购云平台 → 项目采购 → 获取磋商文件→申请，审核通过后可下载磋商文件，如有操作性问题，可与政采云在线客服进行咨询，咨询电话：95763）。</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方式：（1）线上获取（登录政府采购云平台 → 项目采购 → 获取招标文件→ 申请，审核通过后可下载招标文件）。本次招标不提供纸质版招标文件。（2）供应商获取招标文件前应注册成为政府采购云平台正式供应商。</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售价（元）：0</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四、响应文件提交</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截止时间：</w:t>
      </w:r>
      <w:r>
        <w:rPr>
          <w:rFonts w:hint="eastAsia" w:ascii="仿宋" w:hAnsi="仿宋" w:eastAsia="仿宋" w:cs="仿宋"/>
          <w:color w:val="FF0000"/>
          <w:sz w:val="28"/>
          <w:szCs w:val="28"/>
          <w:highlight w:val="none"/>
          <w:lang w:val="en-US" w:eastAsia="zh-CN"/>
        </w:rPr>
        <w:t>2023年11月17日10:30</w:t>
      </w:r>
      <w:r>
        <w:rPr>
          <w:rFonts w:hint="eastAsia" w:ascii="仿宋" w:hAnsi="仿宋" w:eastAsia="仿宋" w:cs="仿宋"/>
          <w:color w:val="auto"/>
          <w:sz w:val="28"/>
          <w:szCs w:val="28"/>
          <w:highlight w:val="none"/>
          <w:lang w:val="en-US" w:eastAsia="zh-CN"/>
        </w:rPr>
        <w:t>（北京时间）</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地点：</w:t>
      </w:r>
      <w:r>
        <w:rPr>
          <w:rFonts w:ascii="仿宋" w:hAnsi="仿宋" w:eastAsia="仿宋" w:cs="仿宋"/>
          <w:i w:val="0"/>
          <w:iCs w:val="0"/>
          <w:caps w:val="0"/>
          <w:color w:val="000000"/>
          <w:spacing w:val="0"/>
          <w:sz w:val="27"/>
          <w:szCs w:val="27"/>
        </w:rPr>
        <w:t>在政府采购云平台（www.zcygov.cn）上开启响应文件，开标时间后，待采购组织机构发出解密通知后30分钟内，供应商须登录“政采云”平台，用“项目采购-开标评标”功能解密响应文件。</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ascii="宋体" w:hAnsi="宋体" w:eastAsia="宋体" w:cs="宋体"/>
          <w:sz w:val="24"/>
          <w:szCs w:val="24"/>
          <w:highlight w:val="none"/>
        </w:rPr>
      </w:pPr>
      <w:r>
        <w:rPr>
          <w:rStyle w:val="31"/>
          <w:rFonts w:hint="eastAsia" w:ascii="宋体" w:hAnsi="宋体" w:eastAsia="宋体" w:cs="宋体"/>
          <w:sz w:val="27"/>
          <w:szCs w:val="27"/>
          <w:highlight w:val="none"/>
          <w:lang w:eastAsia="zh-CN"/>
        </w:rPr>
        <w:t>五、</w:t>
      </w:r>
      <w:r>
        <w:rPr>
          <w:rStyle w:val="31"/>
          <w:rFonts w:ascii="宋体" w:hAnsi="宋体" w:eastAsia="宋体" w:cs="宋体"/>
          <w:sz w:val="27"/>
          <w:szCs w:val="27"/>
          <w:highlight w:val="none"/>
        </w:rPr>
        <w:t>响应文件开启</w:t>
      </w:r>
      <w:r>
        <w:rPr>
          <w:rFonts w:ascii="宋体" w:hAnsi="宋体" w:eastAsia="宋体" w:cs="宋体"/>
          <w:sz w:val="24"/>
          <w:szCs w:val="24"/>
          <w:highlight w:val="none"/>
        </w:rPr>
        <w:t>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开启时间：</w:t>
      </w:r>
      <w:r>
        <w:rPr>
          <w:rFonts w:hint="eastAsia" w:ascii="仿宋" w:hAnsi="仿宋" w:eastAsia="仿宋" w:cs="仿宋"/>
          <w:color w:val="FF0000"/>
          <w:sz w:val="28"/>
          <w:szCs w:val="28"/>
          <w:highlight w:val="none"/>
          <w:lang w:val="en-US" w:eastAsia="zh-CN"/>
        </w:rPr>
        <w:t>2023年11月17日10:30</w:t>
      </w:r>
      <w:r>
        <w:rPr>
          <w:rFonts w:hint="eastAsia" w:ascii="仿宋" w:hAnsi="仿宋" w:eastAsia="仿宋" w:cs="仿宋"/>
          <w:color w:val="auto"/>
          <w:sz w:val="28"/>
          <w:szCs w:val="28"/>
          <w:highlight w:val="none"/>
          <w:lang w:val="en-US" w:eastAsia="zh-CN"/>
        </w:rPr>
        <w:t>（北京时间）</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地点：政府采购云平台（www.zcygov.cn） </w:t>
      </w:r>
    </w:p>
    <w:p>
      <w:pPr>
        <w:keepNext w:val="0"/>
        <w:keepLines w:val="0"/>
        <w:pageBreakBefore w:val="0"/>
        <w:widowControl w:val="0"/>
        <w:shd w:val="clear" w:color="auto" w:fill="auto"/>
        <w:kinsoku/>
        <w:overflowPunct/>
        <w:topLinePunct w:val="0"/>
        <w:autoSpaceDE/>
        <w:autoSpaceDN/>
        <w:bidi w:val="0"/>
        <w:adjustRightInd/>
        <w:snapToGrid/>
        <w:spacing w:line="52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六、公告期限</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自本公告发布之日起3个工作日。</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七、其他补充事宜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 进行咨询。</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7.为了保证开评标顺利进行，政采云线上开标功能完全实现，供应商开标所使用的电脑设备须具有视频及语音功能。</w:t>
      </w:r>
    </w:p>
    <w:p>
      <w:pPr>
        <w:keepNext w:val="0"/>
        <w:keepLines w:val="0"/>
        <w:pageBreakBefore w:val="0"/>
        <w:widowControl w:val="0"/>
        <w:shd w:val="clear" w:color="auto" w:fill="auto"/>
        <w:kinsoku/>
        <w:wordWrap/>
        <w:overflowPunct/>
        <w:topLinePunct w:val="0"/>
        <w:autoSpaceDE/>
        <w:autoSpaceDN/>
        <w:bidi w:val="0"/>
        <w:adjustRightInd/>
        <w:snapToGrid/>
        <w:spacing w:line="54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特别提示：</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jc w:val="left"/>
        <w:textAlignment w:val="auto"/>
        <w:outlineLvl w:val="9"/>
        <w:rPr>
          <w:rFonts w:hint="eastAsia"/>
          <w:sz w:val="28"/>
          <w:szCs w:val="28"/>
          <w:highlight w:val="none"/>
          <w:lang w:val="en-US" w:eastAsia="zh-CN"/>
        </w:rPr>
      </w:pPr>
      <w:r>
        <w:rPr>
          <w:rFonts w:hint="eastAsia" w:ascii="仿宋" w:hAnsi="仿宋" w:eastAsia="仿宋" w:cs="仿宋"/>
          <w:color w:val="auto"/>
          <w:sz w:val="28"/>
          <w:szCs w:val="28"/>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shd w:val="clear" w:color="auto" w:fill="auto"/>
        <w:kinsoku/>
        <w:wordWrap/>
        <w:overflowPunct/>
        <w:topLinePunct w:val="0"/>
        <w:autoSpaceDE/>
        <w:autoSpaceDN/>
        <w:bidi w:val="0"/>
        <w:adjustRightInd/>
        <w:snapToGrid/>
        <w:spacing w:line="59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rPr>
          <w:rFonts w:hint="eastAsia"/>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八、对本次采购提出询问，请按以下方式联系</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1.采购人信息</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称：阿图什市哈拉峻乡人民政府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址：阿图什市哈拉峻乡人民政府</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联系方式：15700990115</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2.采购代理机构信息</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名 称：山西弘策项目管理有限公司</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址：新疆克州阿图什市松克乡牙克瓦克村友谊北路143-2号</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联系方式：18809085988</w:t>
      </w:r>
      <w:r>
        <w:rPr>
          <w:rFonts w:hint="eastAsia" w:ascii="仿宋" w:hAnsi="仿宋" w:eastAsia="仿宋" w:cs="仿宋"/>
          <w:color w:val="auto"/>
          <w:sz w:val="28"/>
          <w:szCs w:val="28"/>
          <w:highlight w:val="none"/>
          <w:lang w:val="en-US" w:eastAsia="zh-CN"/>
        </w:rPr>
        <w:tab/>
      </w:r>
      <w:r>
        <w:rPr>
          <w:rFonts w:hint="eastAsia" w:ascii="仿宋" w:hAnsi="仿宋" w:eastAsia="仿宋" w:cs="仿宋"/>
          <w:color w:val="auto"/>
          <w:sz w:val="28"/>
          <w:szCs w:val="28"/>
          <w:highlight w:val="none"/>
          <w:lang w:val="en-US" w:eastAsia="zh-CN"/>
        </w:rPr>
        <w:tab/>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3.项目联系方式</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项目联系人：王先生</w:t>
      </w:r>
    </w:p>
    <w:p>
      <w:pPr>
        <w:keepNext w:val="0"/>
        <w:keepLines w:val="0"/>
        <w:pageBreakBefore w:val="0"/>
        <w:widowControl w:val="0"/>
        <w:shd w:val="clear" w:color="auto" w:fill="auto"/>
        <w:kinsoku/>
        <w:wordWrap/>
        <w:overflowPunct/>
        <w:topLinePunct w:val="0"/>
        <w:autoSpaceDE/>
        <w:autoSpaceDN/>
        <w:bidi w:val="0"/>
        <w:adjustRightInd/>
        <w:snapToGrid/>
        <w:spacing w:line="560" w:lineRule="exact"/>
        <w:jc w:val="left"/>
        <w:textAlignment w:val="auto"/>
        <w:outlineLvl w:val="9"/>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highlight w:val="none"/>
          <w:lang w:val="en-US" w:eastAsia="zh-CN"/>
        </w:rPr>
        <w:t>电 话：18809085988</w:t>
      </w: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pStyle w:val="69"/>
        <w:keepNext/>
        <w:keepLines/>
        <w:pageBreakBefore w:val="0"/>
        <w:widowControl w:val="0"/>
        <w:shd w:val="clear" w:color="auto" w:fill="auto"/>
        <w:kinsoku/>
        <w:wordWrap/>
        <w:overflowPunct/>
        <w:topLinePunct w:val="0"/>
        <w:autoSpaceDE/>
        <w:autoSpaceDN/>
        <w:bidi w:val="0"/>
        <w:adjustRightInd/>
        <w:snapToGrid/>
        <w:spacing w:before="0" w:after="240" w:line="200" w:lineRule="atLeast"/>
        <w:ind w:left="0" w:right="0" w:firstLine="0"/>
        <w:jc w:val="center"/>
        <w:textAlignment w:val="auto"/>
        <w:outlineLvl w:val="0"/>
        <w:rPr>
          <w:rFonts w:hint="eastAsia" w:ascii="仿宋" w:hAnsi="仿宋" w:eastAsia="仿宋" w:cs="仿宋"/>
          <w:b/>
          <w:bCs/>
          <w:color w:val="auto"/>
          <w:kern w:val="2"/>
          <w:sz w:val="40"/>
          <w:szCs w:val="40"/>
          <w:highlight w:val="none"/>
          <w:u w:val="none"/>
          <w:shd w:val="clear" w:color="auto" w:fill="auto"/>
          <w:lang w:val="en-US" w:eastAsia="zh-CN" w:bidi="ar-SA"/>
        </w:rPr>
      </w:pPr>
      <w:r>
        <w:rPr>
          <w:rFonts w:hint="eastAsia" w:ascii="仿宋" w:hAnsi="仿宋" w:eastAsia="仿宋" w:cs="仿宋"/>
          <w:b/>
          <w:bCs/>
          <w:color w:val="auto"/>
          <w:kern w:val="2"/>
          <w:sz w:val="40"/>
          <w:szCs w:val="40"/>
          <w:highlight w:val="none"/>
          <w:u w:val="none"/>
          <w:shd w:val="clear" w:color="auto" w:fill="auto"/>
          <w:lang w:val="en-US" w:eastAsia="zh-CN" w:bidi="ar-SA"/>
        </w:rPr>
        <w:br w:type="page"/>
      </w:r>
      <w:r>
        <w:rPr>
          <w:rFonts w:hint="eastAsia" w:ascii="仿宋" w:hAnsi="仿宋" w:eastAsia="仿宋" w:cs="仿宋"/>
          <w:b/>
          <w:bCs/>
          <w:color w:val="auto"/>
          <w:kern w:val="2"/>
          <w:sz w:val="40"/>
          <w:szCs w:val="40"/>
          <w:highlight w:val="none"/>
          <w:u w:val="none"/>
          <w:shd w:val="clear" w:color="auto" w:fill="auto"/>
          <w:lang w:val="en-US" w:eastAsia="zh-CN" w:bidi="ar-SA"/>
        </w:rPr>
        <w:t xml:space="preserve">第二章 </w:t>
      </w:r>
      <w:bookmarkEnd w:id="14"/>
      <w:r>
        <w:rPr>
          <w:rFonts w:hint="eastAsia" w:ascii="仿宋" w:hAnsi="仿宋" w:eastAsia="仿宋" w:cs="仿宋"/>
          <w:b/>
          <w:bCs/>
          <w:color w:val="auto"/>
          <w:kern w:val="2"/>
          <w:sz w:val="40"/>
          <w:szCs w:val="40"/>
          <w:highlight w:val="none"/>
          <w:u w:val="none"/>
          <w:shd w:val="clear" w:color="auto" w:fill="auto"/>
          <w:lang w:val="en-US" w:eastAsia="zh-CN" w:bidi="ar-SA"/>
        </w:rPr>
        <w:t>供应商须知</w:t>
      </w:r>
      <w:bookmarkEnd w:id="15"/>
      <w:bookmarkEnd w:id="16"/>
      <w:bookmarkEnd w:id="17"/>
    </w:p>
    <w:p>
      <w:pPr>
        <w:pStyle w:val="70"/>
        <w:keepNext w:val="0"/>
        <w:keepLines w:val="0"/>
        <w:pageBreakBefore w:val="0"/>
        <w:widowControl w:val="0"/>
        <w:shd w:val="clear" w:color="auto" w:fill="auto"/>
        <w:kinsoku/>
        <w:wordWrap/>
        <w:overflowPunct/>
        <w:topLinePunct w:val="0"/>
        <w:autoSpaceDE/>
        <w:autoSpaceDN/>
        <w:bidi w:val="0"/>
        <w:adjustRightInd/>
        <w:snapToGrid/>
        <w:spacing w:before="0" w:after="0" w:line="120" w:lineRule="auto"/>
        <w:ind w:right="0"/>
        <w:jc w:val="center"/>
        <w:textAlignment w:val="auto"/>
        <w:outlineLvl w:val="1"/>
        <w:rPr>
          <w:rFonts w:hint="eastAsia" w:ascii="宋体"/>
          <w:b/>
          <w:color w:val="auto"/>
          <w:sz w:val="32"/>
          <w:szCs w:val="32"/>
          <w:highlight w:val="none"/>
        </w:rPr>
      </w:pPr>
      <w:r>
        <w:rPr>
          <w:rFonts w:hint="eastAsia" w:ascii="仿宋" w:hAnsi="仿宋" w:eastAsia="仿宋" w:cs="仿宋"/>
          <w:b/>
          <w:bCs/>
          <w:color w:val="auto"/>
          <w:spacing w:val="0"/>
          <w:w w:val="100"/>
          <w:position w:val="0"/>
          <w:sz w:val="24"/>
          <w:szCs w:val="24"/>
          <w:highlight w:val="none"/>
          <w:lang w:eastAsia="zh-CN"/>
        </w:rPr>
        <w:t>一、投标人须知前附表</w:t>
      </w:r>
    </w:p>
    <w:tbl>
      <w:tblPr>
        <w:tblStyle w:val="28"/>
        <w:tblpPr w:leftFromText="180" w:rightFromText="180" w:vertAnchor="text" w:horzAnchor="page" w:tblpX="1462" w:tblpY="485"/>
        <w:tblOverlap w:val="never"/>
        <w:tblW w:w="46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3"/>
        <w:gridCol w:w="1780"/>
        <w:gridCol w:w="69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ind w:left="-94" w:leftChars="-45" w:right="-81" w:rightChars="-39"/>
              <w:jc w:val="center"/>
              <w:textAlignment w:val="auto"/>
              <w:outlineLvl w:val="9"/>
              <w:rPr>
                <w:rFonts w:hint="eastAsia" w:ascii="仿宋" w:hAnsi="仿宋" w:eastAsia="仿宋" w:cs="仿宋"/>
                <w:b/>
                <w:color w:val="auto"/>
                <w:sz w:val="24"/>
                <w:szCs w:val="24"/>
                <w:highlight w:val="none"/>
                <w:lang w:val="en-US" w:eastAsia="zh-CN"/>
              </w:rPr>
            </w:pPr>
            <w:bookmarkStart w:id="18" w:name="_Toc14023"/>
            <w:r>
              <w:rPr>
                <w:rFonts w:hint="eastAsia" w:ascii="仿宋" w:hAnsi="仿宋" w:eastAsia="仿宋" w:cs="仿宋"/>
                <w:b/>
                <w:color w:val="auto"/>
                <w:sz w:val="24"/>
                <w:szCs w:val="24"/>
                <w:highlight w:val="none"/>
                <w:lang w:val="en-US" w:eastAsia="zh-CN"/>
              </w:rPr>
              <w:t>序号</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内容</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4"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9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p>
        </w:tc>
        <w:tc>
          <w:tcPr>
            <w:tcW w:w="37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柯尔克孜民族医药保护种植研发传承项目-坎阿热力村柯药种植</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en-US" w:eastAsia="zh-CN"/>
              </w:rPr>
              <w:t>ATSCG-2023051</w:t>
            </w:r>
          </w:p>
          <w:p>
            <w:pPr>
              <w:pStyle w:val="24"/>
              <w:keepNext w:val="0"/>
              <w:keepLines w:val="0"/>
              <w:pageBreakBefore w:val="0"/>
              <w:widowControl/>
              <w:suppressLineNumbers w:val="0"/>
              <w:kinsoku/>
              <w:wordWrap/>
              <w:overflowPunct/>
              <w:topLinePunct w:val="0"/>
              <w:autoSpaceDE/>
              <w:autoSpaceDN/>
              <w:bidi w:val="0"/>
              <w:adjustRightInd/>
              <w:spacing w:before="60" w:beforeAutospacing="0" w:after="60" w:afterAutospacing="0" w:line="340" w:lineRule="exact"/>
              <w:ind w:left="0" w:righ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内容：</w:t>
            </w:r>
            <w:r>
              <w:rPr>
                <w:rFonts w:hint="eastAsia" w:ascii="仿宋" w:hAnsi="仿宋" w:eastAsia="仿宋" w:cs="仿宋"/>
                <w:color w:val="auto"/>
                <w:sz w:val="24"/>
                <w:szCs w:val="24"/>
                <w:highlight w:val="none"/>
                <w:lang w:val="en-US" w:eastAsia="zh-CN"/>
              </w:rPr>
              <w:t>种子、种植需要的机械、人工及其他费用、农资产品（具体详见采购清单或竞争性磋商文件）。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4"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9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采购人信息</w:t>
            </w:r>
          </w:p>
        </w:tc>
        <w:tc>
          <w:tcPr>
            <w:tcW w:w="377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采购单位：阿图什市哈拉峻乡人民政府</w:t>
            </w:r>
          </w:p>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联系人：邓先生    联系电话：</w:t>
            </w:r>
            <w:bookmarkStart w:id="19" w:name="EBfe30e4ae2782481eaea37d5f76c4017c"/>
            <w:r>
              <w:rPr>
                <w:rFonts w:hint="eastAsia" w:ascii="仿宋" w:hAnsi="仿宋" w:eastAsia="仿宋" w:cs="仿宋"/>
                <w:b w:val="0"/>
                <w:bCs w:val="0"/>
                <w:color w:val="auto"/>
                <w:sz w:val="24"/>
                <w:szCs w:val="24"/>
                <w:highlight w:val="none"/>
                <w:lang w:val="en-US" w:eastAsia="zh-CN"/>
              </w:rPr>
              <w:t>15700990115</w:t>
            </w:r>
            <w:bookmarkEnd w:id="1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9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w:t>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机构</w:t>
            </w:r>
          </w:p>
        </w:tc>
        <w:tc>
          <w:tcPr>
            <w:tcW w:w="3771" w:type="pct"/>
            <w:tcBorders>
              <w:tl2br w:val="nil"/>
              <w:tr2bl w:val="nil"/>
            </w:tcBorders>
            <w:noWrap w:val="0"/>
            <w:vAlign w:val="center"/>
          </w:tcPr>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名  称：山西弘策项目管理有限公司</w:t>
            </w:r>
          </w:p>
          <w:p>
            <w:pPr>
              <w:keepNext w:val="0"/>
              <w:keepLines w:val="0"/>
              <w:pageBreakBefore w:val="0"/>
              <w:shd w:val="clear" w:color="auto" w:fill="auto"/>
              <w:kinsoku/>
              <w:wordWrap/>
              <w:overflowPunct/>
              <w:topLinePunct w:val="0"/>
              <w:autoSpaceDE/>
              <w:autoSpaceDN/>
              <w:bidi w:val="0"/>
              <w:adjustRightIn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地  址：新疆克州阿图什市松克乡牙克瓦克村友谊北路143-2号 </w:t>
            </w:r>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default" w:ascii="仿宋" w:hAnsi="仿宋" w:eastAsia="仿宋" w:cs="仿宋"/>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联系人：王先生    联系电话：18809085988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9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最终交货地点</w:t>
            </w:r>
          </w:p>
        </w:tc>
        <w:tc>
          <w:tcPr>
            <w:tcW w:w="377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阿图什市哈拉峻乡</w:t>
            </w:r>
            <w:r>
              <w:rPr>
                <w:rFonts w:hint="eastAsia" w:ascii="仿宋" w:hAnsi="仿宋" w:eastAsia="仿宋" w:cs="仿宋"/>
                <w:color w:val="auto"/>
                <w:sz w:val="24"/>
                <w:szCs w:val="24"/>
                <w:highlight w:val="none"/>
                <w:lang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9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付款方式</w:t>
            </w:r>
          </w:p>
        </w:tc>
        <w:tc>
          <w:tcPr>
            <w:tcW w:w="3771"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auto"/>
                <w:sz w:val="24"/>
                <w:szCs w:val="24"/>
                <w:highlight w:val="none"/>
              </w:rPr>
            </w:pPr>
            <w:r>
              <w:rPr>
                <w:rFonts w:hint="eastAsia" w:eastAsia="仿宋" w:cs="Times New Roman"/>
                <w:b/>
                <w:bCs w:val="0"/>
                <w:color w:val="auto"/>
                <w:szCs w:val="21"/>
                <w:highlight w:val="none"/>
                <w:lang w:val="en-US" w:eastAsia="zh-CN"/>
              </w:rPr>
              <w:t>甲乙双方签订合同后付合同总价的50%，供货完成验收合格后付剩余50%。（具体以甲乙双方签订合同为准）。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9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供货时间</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自合同签订之日起60天内完成供货</w:t>
            </w:r>
            <w:r>
              <w:rPr>
                <w:rFonts w:hint="eastAsia" w:ascii="仿宋" w:hAnsi="仿宋" w:eastAsia="仿宋" w:cs="仿宋"/>
                <w:color w:val="auto"/>
                <w:sz w:val="24"/>
                <w:szCs w:val="24"/>
                <w:highlight w:val="none"/>
              </w:rPr>
              <w:t>（严格按照采购单位的要求按时供货及服务）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援疆资金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招标方式</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竞争性磋商招标</w:t>
            </w:r>
            <w:r>
              <w:rPr>
                <w:rFonts w:hint="eastAsia" w:ascii="仿宋" w:hAnsi="仿宋" w:eastAsia="仿宋" w:cs="仿宋"/>
                <w:b/>
                <w:color w:val="auto"/>
                <w:sz w:val="24"/>
                <w:szCs w:val="24"/>
                <w:highlight w:val="none"/>
                <w:lang w:val="en-US" w:eastAsia="zh-CN"/>
              </w:rPr>
              <w:t>(本项目采用网上电子招投标)</w:t>
            </w:r>
            <w:r>
              <w:rPr>
                <w:rFonts w:hint="eastAsia" w:ascii="仿宋" w:hAnsi="仿宋" w:eastAsia="仿宋" w:cs="仿宋"/>
                <w:color w:val="auto"/>
                <w:sz w:val="24"/>
                <w:szCs w:val="24"/>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7"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投标人资格条件及其他要求</w:t>
            </w: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2.落实政府采购政策需满足的资格要求：</w:t>
            </w:r>
            <w:r>
              <w:rPr>
                <w:rFonts w:hint="eastAsia" w:ascii="仿宋" w:hAnsi="仿宋" w:eastAsia="仿宋" w:cs="仿宋"/>
                <w:color w:val="auto"/>
                <w:sz w:val="24"/>
                <w:szCs w:val="24"/>
                <w:highlight w:val="none"/>
                <w:lang w:val="en-US" w:eastAsia="zh-CN"/>
              </w:rPr>
              <w:t xml:space="preserve">标项1：供应商为中小企业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3.本项目的特定资格要求：</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（1）具备三证合一营业执照副本；</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（2）法定代表人投标需提供法定代表人资格证明书，委托代理人投标需提供法定代表人授权委托书；</w:t>
            </w:r>
          </w:p>
          <w:p>
            <w:pPr>
              <w:keepNext w:val="0"/>
              <w:keepLines w:val="0"/>
              <w:pageBreakBefore w:val="0"/>
              <w:widowControl w:val="0"/>
              <w:kinsoku/>
              <w:wordWrap w:val="0"/>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（3）参加采购活动前三年内，在经营活动中没有重大违法记录，供应商须提供 “信用中国”网站（http://www.creditchina.gov.cn/）、“中国政府采购网”网站（http://www.ccgp.gov.cn）无违法违规行为的查询纪录（提供查询结果网页截图并加盖供应商公章）；</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4.本项目不接受联合体投标；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采购范围</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u w:val="none"/>
                <w:lang w:val="en-US" w:eastAsia="zh-CN" w:bidi="ar-SA"/>
              </w:rPr>
              <w:t>详见第四章 采购内容及技术参数要求。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供应商信用查询</w:t>
            </w:r>
          </w:p>
        </w:tc>
        <w:tc>
          <w:tcPr>
            <w:tcW w:w="3771" w:type="pct"/>
            <w:tcBorders>
              <w:tl2br w:val="nil"/>
              <w:tr2bl w:val="nil"/>
            </w:tcBorders>
            <w:noWrap w:val="0"/>
            <w:vAlign w:val="center"/>
          </w:tcPr>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1、查询渠道：信用中国（网址：http://www.creditchina.gov.cn）、中国政府采购网(网址：http://www.ccgp.gov.cn）。</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2、截止时点：开标后评标前。</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3、信用信息查询记录和证据留存的具体方式：由采购组织机构在规定查询时间内打印信用信息查询记录并归入项目档案。</w:t>
            </w:r>
          </w:p>
          <w:p>
            <w:pPr>
              <w:pStyle w:val="13"/>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踏勘现场</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不组织,投标人自行组织踏勘现场。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投标预备会</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联合体投标</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☑不接受</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□接受，联合体投标的须在投标文件中提供联合体协议书，联合体所有成员不得超过2家，联合体的任何一方均不得再与其他投标单位联合。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招标代理费</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snapToGrid w:val="0"/>
                <w:color w:val="auto"/>
                <w:sz w:val="24"/>
                <w:szCs w:val="24"/>
                <w:highlight w:val="none"/>
              </w:rPr>
            </w:pPr>
            <w:r>
              <w:rPr>
                <w:rFonts w:hint="eastAsia" w:ascii="仿宋" w:hAnsi="仿宋" w:eastAsia="仿宋" w:cs="仿宋"/>
                <w:b/>
                <w:bCs/>
                <w:snapToGrid w:val="0"/>
                <w:color w:val="auto"/>
                <w:sz w:val="24"/>
                <w:szCs w:val="24"/>
                <w:highlight w:val="none"/>
              </w:rPr>
              <w:t>中标（成交）单位在领取本项目中标（成交）通知书时，参照《国家计委关于印发招标代理服务收费管理暂行办法的通知（计价格[2015]299号）及《招标代理服务收费有关问题》（发改办价格〔2003〕857号文）中规定由中标（成交）单位向招标代理机构支付本项目代理费。收费标准如下：</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1546"/>
              <w:gridCol w:w="1907"/>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953" w:type="dxa"/>
                  <w:noWrap w:val="0"/>
                  <w:vAlign w:val="top"/>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中标</w:t>
                  </w:r>
                  <w:r>
                    <w:rPr>
                      <w:rFonts w:hint="eastAsia" w:ascii="仿宋" w:hAnsi="仿宋" w:eastAsia="仿宋" w:cs="仿宋"/>
                      <w:snapToGrid w:val="0"/>
                      <w:color w:val="auto"/>
                      <w:sz w:val="24"/>
                      <w:szCs w:val="24"/>
                      <w:highlight w:val="none"/>
                      <w:lang w:eastAsia="zh-CN"/>
                    </w:rPr>
                    <w:t>（成交）</w:t>
                  </w:r>
                  <w:r>
                    <w:rPr>
                      <w:rFonts w:hint="eastAsia" w:ascii="仿宋" w:hAnsi="仿宋" w:eastAsia="仿宋" w:cs="仿宋"/>
                      <w:snapToGrid w:val="0"/>
                      <w:color w:val="auto"/>
                      <w:sz w:val="24"/>
                      <w:szCs w:val="24"/>
                      <w:highlight w:val="none"/>
                    </w:rPr>
                    <w:t>金额（万元）</w:t>
                  </w:r>
                </w:p>
              </w:tc>
              <w:tc>
                <w:tcPr>
                  <w:tcW w:w="1546"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货物招标</w:t>
                  </w:r>
                </w:p>
              </w:tc>
              <w:tc>
                <w:tcPr>
                  <w:tcW w:w="1907"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服务招标</w:t>
                  </w:r>
                </w:p>
              </w:tc>
              <w:tc>
                <w:tcPr>
                  <w:tcW w:w="1292"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953"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100以下</w:t>
                  </w:r>
                </w:p>
              </w:tc>
              <w:tc>
                <w:tcPr>
                  <w:tcW w:w="1546"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907"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1.50%</w:t>
                  </w:r>
                </w:p>
              </w:tc>
              <w:tc>
                <w:tcPr>
                  <w:tcW w:w="1292"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53"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100-500</w:t>
                  </w:r>
                </w:p>
              </w:tc>
              <w:tc>
                <w:tcPr>
                  <w:tcW w:w="1546"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1.10%</w:t>
                  </w:r>
                </w:p>
              </w:tc>
              <w:tc>
                <w:tcPr>
                  <w:tcW w:w="1907"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292"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953"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500-1000</w:t>
                  </w:r>
                </w:p>
              </w:tc>
              <w:tc>
                <w:tcPr>
                  <w:tcW w:w="1546"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0.80%</w:t>
                  </w:r>
                </w:p>
              </w:tc>
              <w:tc>
                <w:tcPr>
                  <w:tcW w:w="1907"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0.45%</w:t>
                  </w:r>
                </w:p>
              </w:tc>
              <w:tc>
                <w:tcPr>
                  <w:tcW w:w="1292"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953"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1000-5000</w:t>
                  </w:r>
                </w:p>
              </w:tc>
              <w:tc>
                <w:tcPr>
                  <w:tcW w:w="1546"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0.50%</w:t>
                  </w:r>
                </w:p>
              </w:tc>
              <w:tc>
                <w:tcPr>
                  <w:tcW w:w="1907" w:type="dxa"/>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0.25%</w:t>
                  </w:r>
                </w:p>
              </w:tc>
              <w:tc>
                <w:tcPr>
                  <w:tcW w:w="1292" w:type="dxa"/>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p>
              </w:tc>
            </w:tr>
          </w:tbl>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招标代理服务收费按差额定率累进法计算。例如：某项目招标代理业务中标</w:t>
            </w:r>
            <w:r>
              <w:rPr>
                <w:rFonts w:hint="eastAsia" w:ascii="仿宋" w:hAnsi="仿宋" w:eastAsia="仿宋" w:cs="仿宋"/>
                <w:snapToGrid w:val="0"/>
                <w:color w:val="auto"/>
                <w:sz w:val="24"/>
                <w:szCs w:val="24"/>
                <w:highlight w:val="none"/>
                <w:lang w:eastAsia="zh-CN"/>
              </w:rPr>
              <w:t>（成交）</w:t>
            </w:r>
            <w:r>
              <w:rPr>
                <w:rFonts w:hint="eastAsia" w:ascii="仿宋" w:hAnsi="仿宋" w:eastAsia="仿宋" w:cs="仿宋"/>
                <w:snapToGrid w:val="0"/>
                <w:color w:val="auto"/>
                <w:sz w:val="24"/>
                <w:szCs w:val="24"/>
                <w:highlight w:val="none"/>
              </w:rPr>
              <w:t>金额为2000万元，计算招标代理服务收费额如下：</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 xml:space="preserve"> 100万元×1.50%=1.5（万元）；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（500-100）万元×1.10%=4.4（万元）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（1000-500）万元×0.80%=4.0（万元）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snapToGrid w:val="0"/>
                <w:color w:val="auto"/>
                <w:sz w:val="24"/>
                <w:szCs w:val="24"/>
                <w:highlight w:val="none"/>
              </w:rPr>
            </w:pPr>
            <w:r>
              <w:rPr>
                <w:rFonts w:hint="eastAsia" w:ascii="仿宋" w:hAnsi="仿宋" w:eastAsia="仿宋" w:cs="仿宋"/>
                <w:snapToGrid w:val="0"/>
                <w:color w:val="auto"/>
                <w:sz w:val="24"/>
                <w:szCs w:val="24"/>
                <w:highlight w:val="none"/>
              </w:rPr>
              <w:t>（2000-1000）万元×0.50%=5.0（万元）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snapToGrid w:val="0"/>
                <w:color w:val="auto"/>
                <w:sz w:val="24"/>
                <w:szCs w:val="24"/>
                <w:highlight w:val="none"/>
              </w:rPr>
              <w:t>合计收费=1.5+4.4+4.0+5.0=14.9(万元)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最高投标限价</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本次招标预算价：</w:t>
            </w:r>
            <w:r>
              <w:rPr>
                <w:rFonts w:hint="eastAsia" w:ascii="仿宋" w:hAnsi="仿宋" w:eastAsia="仿宋" w:cs="仿宋"/>
                <w:color w:val="auto"/>
                <w:sz w:val="24"/>
                <w:szCs w:val="24"/>
                <w:highlight w:val="none"/>
                <w:lang w:val="en-US" w:eastAsia="zh-CN"/>
              </w:rPr>
              <w:t>1800000元</w:t>
            </w:r>
            <w:r>
              <w:rPr>
                <w:rFonts w:hint="eastAsia" w:ascii="仿宋" w:hAnsi="仿宋" w:eastAsia="仿宋" w:cs="仿宋"/>
                <w:b w:val="0"/>
                <w:bCs w:val="0"/>
                <w:color w:val="auto"/>
                <w:sz w:val="24"/>
                <w:szCs w:val="24"/>
                <w:highlight w:val="none"/>
                <w:lang w:val="en-US" w:eastAsia="zh-CN"/>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投标有效期为</w:t>
            </w:r>
            <w:r>
              <w:rPr>
                <w:rFonts w:hint="eastAsia" w:ascii="仿宋" w:hAnsi="仿宋" w:eastAsia="仿宋" w:cs="仿宋"/>
                <w:color w:val="auto"/>
                <w:sz w:val="24"/>
                <w:szCs w:val="24"/>
                <w:highlight w:val="none"/>
                <w:u w:val="single"/>
                <w:lang w:val="en-US" w:eastAsia="zh-CN"/>
              </w:rPr>
              <w:t xml:space="preserve"> 60 日历</w:t>
            </w:r>
            <w:r>
              <w:rPr>
                <w:rFonts w:hint="eastAsia" w:ascii="仿宋" w:hAnsi="仿宋" w:eastAsia="仿宋" w:cs="仿宋"/>
                <w:color w:val="auto"/>
                <w:sz w:val="24"/>
                <w:szCs w:val="24"/>
                <w:highlight w:val="none"/>
                <w:lang w:val="en-US" w:eastAsia="zh-CN"/>
              </w:rPr>
              <w:t>天（从投标截止之日算起）。在此期限内，凡符合本竞争性磋商文件要求的投标文件均保持有效。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3771" w:type="pct"/>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一、投标保证金交纳要求：</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投标保证金应当以支票、汇票、本票、网上银行支付等方式，优先推荐金融机构、担保机构出具的保函等非现金形式缴纳。</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投标保证金金额：30000元      大写：叁万元整</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1、投标保证金以电汇、网银形式提交的，应在投标截止前以公司法人的基本账户一次性汇入指定账户（以到账时间为准），不接受现金及任何个人汇款。汇款凭证或保函作为该项目投标保证金的缴纳依据。</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户名：阿图什市政务服务和公共资源交易中心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账号：30456301040005267</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行名：中国农业银行阿图什市天山分理处</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行号：103893045636</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联系人：祝女士</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电话：0908-4222076    </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（备注：必须写清楚xx公司xx项目保证金）</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1、投标企业：待开标完成后，未中标企业3-5个工作日内政资中心将收取的项目投标保证金按投标企业基本户退回。</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2、中标企业：需提供已签订合同复印件一份，复印件每页需加盖企业鲜章（并携带合同原件，由中心工作人员核对后退还）。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 xml:space="preserve">1、按照招标文件要求规定：投标企业无正当理由不参加该项目投标且在规定开标时间前不递交弃标函，投标保证金不予退还。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投标文件形式</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电子投标文件包括“电子加密投标文件”和“备份投标文件”，在投标文件编制完成后同时生成。</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1、“电子加密投标文件”是指通过“政采云电子交易客户端”完成投标文件编制后生成并加密的数据电文形式的投标文件。</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20</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投标文件份数及要求</w:t>
            </w: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1、一份电子加密标书（“.jmbs”格式），一份备份标书文件（“.bfbs”格式）。</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2、每份电子投标文件应包括资格证明文件和商务及技术文件两部分。</w:t>
            </w:r>
          </w:p>
          <w:p>
            <w:pPr>
              <w:pStyle w:val="14"/>
              <w:keepNext w:val="0"/>
              <w:keepLines w:val="0"/>
              <w:pageBreakBefore w:val="0"/>
              <w:kinsoku/>
              <w:wordWrap/>
              <w:overflowPunct/>
              <w:topLinePunct w:val="0"/>
              <w:autoSpaceDE/>
              <w:autoSpaceDN/>
              <w:bidi w:val="0"/>
              <w:adjustRightInd/>
              <w:spacing w:line="360" w:lineRule="auto"/>
              <w:ind w:left="0" w:leftChars="0" w:firstLine="0" w:firstLineChars="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3、待开标结束后，各投标企业请于</w:t>
            </w:r>
            <w:r>
              <w:rPr>
                <w:rFonts w:hint="eastAsia" w:ascii="仿宋" w:hAnsi="仿宋" w:eastAsia="仿宋" w:cs="仿宋"/>
                <w:b w:val="0"/>
                <w:bCs w:val="0"/>
                <w:color w:val="FF0000"/>
                <w:sz w:val="24"/>
                <w:szCs w:val="24"/>
                <w:highlight w:val="none"/>
                <w:lang w:val="en-US" w:eastAsia="zh-CN"/>
              </w:rPr>
              <w:t>2023年11月17</w:t>
            </w:r>
            <w:r>
              <w:rPr>
                <w:rFonts w:hint="eastAsia" w:ascii="仿宋" w:hAnsi="仿宋" w:eastAsia="仿宋" w:cs="仿宋"/>
                <w:b w:val="0"/>
                <w:bCs w:val="0"/>
                <w:color w:val="auto"/>
                <w:sz w:val="24"/>
                <w:szCs w:val="24"/>
                <w:highlight w:val="none"/>
                <w:lang w:val="en-US" w:eastAsia="zh-CN"/>
              </w:rPr>
              <w:t>日20:00前提供纸质投标文件叁份并承诺与纸质投标文件内容一致的承诺书至山西弘策项目管理有限公司（新疆克州阿图什市松克乡牙克瓦克村友谊北路143-2号）。投标人可采用邮寄方式提供纸质版投标文件（收件地址：新疆克州阿图什市松克乡牙克瓦克村友谊北路143-2号，收件人：王先生，电话：18809085988），费用自行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26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966" w:type="pct"/>
            <w:vMerge w:val="restar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bidi="zh-CN"/>
              </w:rPr>
              <w:t>投标文件的上传和递交</w:t>
            </w: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a.供应商未能在投标截止时间前成功上传电子加密投标文件的投标无效。</w:t>
            </w:r>
          </w:p>
          <w:p>
            <w:pPr>
              <w:pStyle w:val="13"/>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b.供应商成功上传电子加密投标文件后，可自行打印投标文件接收回执。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trPr>
        <w:tc>
          <w:tcPr>
            <w:tcW w:w="26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360" w:lineRule="auto"/>
              <w:ind w:firstLine="100" w:firstLineChars="42"/>
              <w:jc w:val="left"/>
              <w:textAlignment w:val="auto"/>
              <w:outlineLvl w:val="9"/>
              <w:rPr>
                <w:rFonts w:hint="eastAsia" w:ascii="仿宋" w:hAnsi="仿宋" w:eastAsia="仿宋" w:cs="仿宋"/>
                <w:color w:val="auto"/>
                <w:sz w:val="24"/>
                <w:szCs w:val="24"/>
                <w:highlight w:val="none"/>
              </w:rPr>
            </w:pPr>
          </w:p>
        </w:tc>
        <w:tc>
          <w:tcPr>
            <w:tcW w:w="966" w:type="pct"/>
            <w:vMerge w:val="continue"/>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p>
        </w:tc>
        <w:tc>
          <w:tcPr>
            <w:tcW w:w="3771" w:type="pct"/>
            <w:tcBorders>
              <w:tl2br w:val="nil"/>
              <w:tr2bl w:val="nil"/>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u w:val="single"/>
                <w:lang w:val="en-US" w:bidi="zh-CN"/>
              </w:rPr>
              <w:t>756299071@qq.com</w:t>
            </w:r>
            <w:r>
              <w:rPr>
                <w:rStyle w:val="34"/>
                <w:rFonts w:hint="eastAsia" w:ascii="仿宋" w:hAnsi="仿宋" w:eastAsia="仿宋" w:cs="仿宋"/>
                <w:color w:val="auto"/>
                <w:sz w:val="24"/>
                <w:szCs w:val="24"/>
                <w:highlight w:val="none"/>
                <w:u w:val="single"/>
                <w:lang w:bidi="zh-CN"/>
              </w:rPr>
              <w:t>，接收人：</w:t>
            </w:r>
            <w:r>
              <w:rPr>
                <w:rFonts w:hint="eastAsia" w:ascii="仿宋" w:hAnsi="仿宋" w:eastAsia="仿宋" w:cs="仿宋"/>
                <w:color w:val="auto"/>
                <w:sz w:val="24"/>
                <w:szCs w:val="24"/>
                <w:highlight w:val="none"/>
                <w:u w:val="single"/>
                <w:lang w:val="en-US" w:bidi="zh-CN"/>
              </w:rPr>
              <w:t>王先生</w:t>
            </w:r>
            <w:r>
              <w:rPr>
                <w:rStyle w:val="34"/>
                <w:rFonts w:hint="eastAsia" w:ascii="仿宋" w:hAnsi="仿宋" w:eastAsia="仿宋" w:cs="仿宋"/>
                <w:color w:val="auto"/>
                <w:sz w:val="24"/>
                <w:szCs w:val="24"/>
                <w:highlight w:val="none"/>
                <w:u w:val="single"/>
                <w:lang w:bidi="zh-CN"/>
              </w:rPr>
              <w:t>，电话：</w:t>
            </w:r>
            <w:r>
              <w:rPr>
                <w:rStyle w:val="34"/>
                <w:rFonts w:hint="eastAsia" w:ascii="仿宋" w:hAnsi="仿宋" w:eastAsia="仿宋" w:cs="仿宋"/>
                <w:color w:val="auto"/>
                <w:sz w:val="24"/>
                <w:szCs w:val="24"/>
                <w:highlight w:val="none"/>
                <w:u w:val="single"/>
                <w:lang w:val="en-US" w:bidi="zh-CN"/>
              </w:rPr>
              <w:t xml:space="preserve">18809085988 </w:t>
            </w:r>
            <w:r>
              <w:rPr>
                <w:rFonts w:hint="eastAsia" w:ascii="仿宋" w:hAnsi="仿宋" w:eastAsia="仿宋" w:cs="仿宋"/>
                <w:b w:val="0"/>
                <w:bCs w:val="0"/>
                <w:color w:val="auto"/>
                <w:sz w:val="24"/>
                <w:szCs w:val="24"/>
                <w:highlight w:val="none"/>
                <w:lang w:val="en-US" w:eastAsia="zh-CN"/>
              </w:rPr>
              <w:t>），“备份投标文件”由供应商自愿提供，招标文件 不作强制性要求；如不提供或未按要求提供的，当电子投标文件无法解密时，将导致无备份投标文件而失去投标资格。</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pStyle w:val="14"/>
              <w:keepNext w:val="0"/>
              <w:keepLines w:val="0"/>
              <w:pageBreakBefore w:val="0"/>
              <w:numPr>
                <w:ilvl w:val="0"/>
                <w:numId w:val="0"/>
              </w:numPr>
              <w:kinsoku/>
              <w:wordWrap/>
              <w:overflowPunct/>
              <w:topLinePunct w:val="0"/>
              <w:autoSpaceDE/>
              <w:autoSpaceDN/>
              <w:bidi w:val="0"/>
              <w:adjustRightIn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投标截止时间及地点</w:t>
            </w:r>
          </w:p>
        </w:tc>
        <w:tc>
          <w:tcPr>
            <w:tcW w:w="3771" w:type="pct"/>
            <w:tcBorders>
              <w:tl2br w:val="nil"/>
              <w:tr2bl w:val="nil"/>
            </w:tcBorders>
            <w:noWrap w:val="0"/>
            <w:vAlign w:val="center"/>
          </w:tcPr>
          <w:p>
            <w:pPr>
              <w:pStyle w:val="24"/>
              <w:keepNext w:val="0"/>
              <w:keepLines w:val="0"/>
              <w:pageBreakBefore w:val="0"/>
              <w:widowControl/>
              <w:suppressLineNumbers w:val="0"/>
              <w:kinsoku/>
              <w:wordWrap/>
              <w:overflowPunct/>
              <w:topLinePunct w:val="0"/>
              <w:autoSpaceDE/>
              <w:autoSpaceDN/>
              <w:bidi w:val="0"/>
              <w:adjustRightInd/>
              <w:snapToGrid w:val="0"/>
              <w:spacing w:before="60" w:beforeAutospacing="0" w:after="60" w:afterAutospacing="0" w:line="340" w:lineRule="exact"/>
              <w:ind w:left="0" w:righ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w:t>
            </w:r>
            <w:r>
              <w:rPr>
                <w:rFonts w:hint="eastAsia" w:ascii="仿宋" w:hAnsi="仿宋" w:eastAsia="仿宋" w:cs="仿宋"/>
                <w:color w:val="FF0000"/>
                <w:sz w:val="24"/>
                <w:szCs w:val="24"/>
                <w:highlight w:val="none"/>
                <w:lang w:eastAsia="zh-CN"/>
              </w:rPr>
              <w:t>2023年</w:t>
            </w:r>
            <w:r>
              <w:rPr>
                <w:rFonts w:hint="eastAsia" w:ascii="仿宋" w:hAnsi="仿宋" w:eastAsia="仿宋" w:cs="仿宋"/>
                <w:color w:val="FF0000"/>
                <w:sz w:val="24"/>
                <w:szCs w:val="24"/>
                <w:highlight w:val="none"/>
                <w:lang w:val="en-US" w:eastAsia="zh-CN"/>
              </w:rPr>
              <w:t>11</w:t>
            </w:r>
            <w:r>
              <w:rPr>
                <w:rFonts w:hint="eastAsia" w:ascii="仿宋" w:hAnsi="仿宋" w:eastAsia="仿宋" w:cs="仿宋"/>
                <w:color w:val="FF0000"/>
                <w:sz w:val="24"/>
                <w:szCs w:val="24"/>
                <w:highlight w:val="none"/>
                <w:lang w:eastAsia="zh-CN"/>
              </w:rPr>
              <w:t>月</w:t>
            </w:r>
            <w:r>
              <w:rPr>
                <w:rFonts w:hint="eastAsia" w:ascii="仿宋" w:hAnsi="仿宋" w:eastAsia="仿宋" w:cs="仿宋"/>
                <w:color w:val="FF0000"/>
                <w:sz w:val="24"/>
                <w:szCs w:val="24"/>
                <w:highlight w:val="none"/>
                <w:lang w:val="en-US" w:eastAsia="zh-CN"/>
              </w:rPr>
              <w:t>17</w:t>
            </w:r>
            <w:r>
              <w:rPr>
                <w:rFonts w:hint="eastAsia" w:ascii="仿宋" w:hAnsi="仿宋" w:eastAsia="仿宋" w:cs="仿宋"/>
                <w:color w:val="FF0000"/>
                <w:sz w:val="24"/>
                <w:szCs w:val="24"/>
                <w:highlight w:val="none"/>
                <w:lang w:eastAsia="zh-CN"/>
              </w:rPr>
              <w:t>日</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（北京时间）</w:t>
            </w:r>
          </w:p>
          <w:p>
            <w:pPr>
              <w:keepNext w:val="0"/>
              <w:keepLines w:val="0"/>
              <w:pageBreakBefore w:val="0"/>
              <w:kinsoku/>
              <w:wordWrap/>
              <w:overflowPunct/>
              <w:topLinePunct w:val="0"/>
              <w:autoSpaceDE/>
              <w:autoSpaceDN/>
              <w:bidi w:val="0"/>
              <w:adjustRightInd/>
              <w:snapToGrid w:val="0"/>
              <w:spacing w:line="360" w:lineRule="auto"/>
              <w:ind w:firstLine="21" w:firstLineChars="9"/>
              <w:textAlignment w:val="auto"/>
              <w:outlineLvl w:val="9"/>
              <w:rPr>
                <w:rFonts w:hint="eastAsia" w:ascii="仿宋" w:hAnsi="仿宋" w:eastAsia="仿宋" w:cs="仿宋"/>
                <w:color w:val="auto"/>
                <w:sz w:val="24"/>
                <w:szCs w:val="24"/>
                <w:highlight w:val="yellow"/>
              </w:rPr>
            </w:pPr>
            <w:r>
              <w:rPr>
                <w:rFonts w:hint="eastAsia" w:ascii="仿宋" w:hAnsi="仿宋" w:eastAsia="仿宋" w:cs="仿宋"/>
                <w:b w:val="0"/>
                <w:bCs w:val="0"/>
                <w:color w:val="auto"/>
                <w:sz w:val="24"/>
                <w:szCs w:val="24"/>
                <w:highlight w:val="none"/>
                <w:lang w:val="en-US" w:eastAsia="zh-CN"/>
              </w:rPr>
              <w:t>投标地点：新疆政府采购云平台（www.zcygov.cn）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开标时间及地点</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开标时间：</w:t>
            </w:r>
            <w:r>
              <w:rPr>
                <w:rFonts w:hint="eastAsia" w:ascii="仿宋" w:hAnsi="仿宋" w:eastAsia="仿宋" w:cs="仿宋"/>
                <w:b w:val="0"/>
                <w:bCs w:val="0"/>
                <w:color w:val="FF0000"/>
                <w:sz w:val="24"/>
                <w:szCs w:val="24"/>
                <w:highlight w:val="none"/>
                <w:lang w:val="en-US" w:eastAsia="zh-CN"/>
              </w:rPr>
              <w:t>2023年11月17日</w:t>
            </w:r>
            <w:r>
              <w:rPr>
                <w:rFonts w:hint="eastAsia" w:ascii="仿宋" w:hAnsi="仿宋" w:eastAsia="仿宋" w:cs="仿宋"/>
                <w:b w:val="0"/>
                <w:bCs w:val="0"/>
                <w:color w:val="auto"/>
                <w:sz w:val="24"/>
                <w:szCs w:val="24"/>
                <w:highlight w:val="none"/>
                <w:lang w:val="en-US" w:eastAsia="zh-CN"/>
              </w:rPr>
              <w:t>10:30（北京时间）</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yellow"/>
              </w:rPr>
            </w:pPr>
            <w:r>
              <w:rPr>
                <w:rFonts w:hint="eastAsia" w:ascii="仿宋" w:hAnsi="仿宋" w:eastAsia="仿宋" w:cs="仿宋"/>
                <w:b w:val="0"/>
                <w:bCs w:val="0"/>
                <w:color w:val="auto"/>
                <w:sz w:val="24"/>
                <w:szCs w:val="24"/>
                <w:highlight w:val="none"/>
                <w:lang w:val="en-US" w:eastAsia="zh-CN"/>
              </w:rPr>
              <w:t xml:space="preserve">开标地点：新疆政府采购云平台（www.zcygov.cn）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评标委员会的组建</w:t>
            </w:r>
          </w:p>
        </w:tc>
        <w:tc>
          <w:tcPr>
            <w:tcW w:w="3771" w:type="pct"/>
            <w:tcBorders>
              <w:tl2br w:val="nil"/>
              <w:tr2bl w:val="nil"/>
            </w:tcBorders>
            <w:noWrap w:val="0"/>
            <w:vAlign w:val="top"/>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评标委员会由招标人依法组建；</w:t>
            </w:r>
          </w:p>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评标专家确定方式：专家评委由招标人在开标前从政采云专家库中随机抽取。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262"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是否授权评标委员会确定成交候选人</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是，评标委员会推荐3名中标（成交）候选人。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ind w:left="-77" w:leftChars="-37" w:right="-94" w:rightChars="-45"/>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w:t>
            </w:r>
          </w:p>
        </w:tc>
        <w:tc>
          <w:tcPr>
            <w:tcW w:w="966"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成交候选人公示媒介</w:t>
            </w:r>
          </w:p>
        </w:tc>
        <w:tc>
          <w:tcPr>
            <w:tcW w:w="3771" w:type="pct"/>
            <w:tcBorders>
              <w:tl2br w:val="nil"/>
              <w:tr2bl w:val="nil"/>
            </w:tcBorders>
            <w:noWrap w:val="0"/>
            <w:vAlign w:val="center"/>
          </w:tcPr>
          <w:p>
            <w:pPr>
              <w:pStyle w:val="13"/>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克孜勒苏柯尔克孜自治州公共资源信息网、新疆政府采购网，公示期为一个工作日。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0"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履约担保</w:t>
            </w:r>
          </w:p>
        </w:tc>
        <w:tc>
          <w:tcPr>
            <w:tcW w:w="3771" w:type="pct"/>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供应商在合同签订后5个工作日内向采购人交纳</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的履约保证金（本项目履约保证金不接收保函形式；若以电汇、银行转账方式提交的，必须转到采购人的指定账户），如果中标供应商在建设期内没有涉及采购人的应付而未付金额或违约行为，采购人在项目验收合格后或提前终止合同后全额无息退还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9"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文件领取</w:t>
            </w:r>
          </w:p>
        </w:tc>
        <w:tc>
          <w:tcPr>
            <w:tcW w:w="3771" w:type="pct"/>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FF0000"/>
                <w:sz w:val="24"/>
                <w:szCs w:val="24"/>
                <w:highlight w:val="none"/>
                <w:lang w:eastAsia="zh-CN"/>
              </w:rPr>
              <w:t>2023年</w:t>
            </w:r>
            <w:r>
              <w:rPr>
                <w:rFonts w:hint="eastAsia" w:ascii="仿宋" w:hAnsi="仿宋" w:eastAsia="仿宋" w:cs="仿宋"/>
                <w:color w:val="FF0000"/>
                <w:sz w:val="24"/>
                <w:szCs w:val="24"/>
                <w:highlight w:val="none"/>
                <w:lang w:val="en-US" w:eastAsia="zh-CN"/>
              </w:rPr>
              <w:t>11</w:t>
            </w:r>
            <w:r>
              <w:rPr>
                <w:rFonts w:hint="eastAsia" w:ascii="仿宋" w:hAnsi="仿宋" w:eastAsia="仿宋" w:cs="仿宋"/>
                <w:color w:val="FF0000"/>
                <w:sz w:val="24"/>
                <w:szCs w:val="24"/>
                <w:highlight w:val="none"/>
                <w:lang w:eastAsia="zh-CN"/>
              </w:rPr>
              <w:t>月</w:t>
            </w:r>
            <w:r>
              <w:rPr>
                <w:rFonts w:hint="eastAsia" w:ascii="仿宋" w:hAnsi="仿宋" w:eastAsia="仿宋" w:cs="仿宋"/>
                <w:color w:val="FF0000"/>
                <w:sz w:val="24"/>
                <w:szCs w:val="24"/>
                <w:highlight w:val="none"/>
                <w:lang w:val="en-US" w:eastAsia="zh-CN"/>
              </w:rPr>
              <w:t>03</w:t>
            </w:r>
            <w:r>
              <w:rPr>
                <w:rFonts w:hint="eastAsia" w:ascii="仿宋" w:hAnsi="仿宋" w:eastAsia="仿宋" w:cs="仿宋"/>
                <w:b/>
                <w:bCs/>
                <w:color w:val="FF0000"/>
                <w:sz w:val="24"/>
                <w:szCs w:val="24"/>
                <w:highlight w:val="none"/>
              </w:rPr>
              <w:t>日至</w:t>
            </w:r>
            <w:r>
              <w:rPr>
                <w:rFonts w:hint="eastAsia" w:ascii="仿宋" w:hAnsi="仿宋" w:eastAsia="仿宋" w:cs="仿宋"/>
                <w:b/>
                <w:bCs/>
                <w:color w:val="FF0000"/>
                <w:sz w:val="24"/>
                <w:szCs w:val="24"/>
                <w:highlight w:val="none"/>
                <w:lang w:eastAsia="zh-CN"/>
              </w:rPr>
              <w:t>2023年</w:t>
            </w:r>
            <w:r>
              <w:rPr>
                <w:rFonts w:hint="eastAsia" w:ascii="仿宋" w:hAnsi="仿宋" w:eastAsia="仿宋" w:cs="仿宋"/>
                <w:b/>
                <w:bCs/>
                <w:color w:val="FF0000"/>
                <w:sz w:val="24"/>
                <w:szCs w:val="24"/>
                <w:highlight w:val="none"/>
                <w:lang w:val="en-US" w:eastAsia="zh-CN"/>
              </w:rPr>
              <w:t>11</w:t>
            </w:r>
            <w:r>
              <w:rPr>
                <w:rFonts w:hint="eastAsia" w:ascii="仿宋" w:hAnsi="仿宋" w:eastAsia="仿宋" w:cs="仿宋"/>
                <w:b/>
                <w:bCs/>
                <w:color w:val="FF0000"/>
                <w:sz w:val="24"/>
                <w:szCs w:val="24"/>
                <w:highlight w:val="none"/>
                <w:lang w:eastAsia="zh-CN"/>
              </w:rPr>
              <w:t>月</w:t>
            </w:r>
            <w:r>
              <w:rPr>
                <w:rFonts w:hint="eastAsia" w:ascii="仿宋" w:hAnsi="仿宋" w:eastAsia="仿宋" w:cs="仿宋"/>
                <w:b/>
                <w:bCs/>
                <w:color w:val="FF0000"/>
                <w:sz w:val="24"/>
                <w:szCs w:val="24"/>
                <w:highlight w:val="none"/>
                <w:lang w:val="en-US" w:eastAsia="zh-CN"/>
              </w:rPr>
              <w:t>10</w:t>
            </w:r>
            <w:r>
              <w:rPr>
                <w:rFonts w:hint="eastAsia" w:ascii="仿宋" w:hAnsi="仿宋" w:eastAsia="仿宋" w:cs="仿宋"/>
                <w:b/>
                <w:bCs/>
                <w:color w:val="FF0000"/>
                <w:sz w:val="24"/>
                <w:szCs w:val="24"/>
                <w:highlight w:val="none"/>
                <w:lang w:eastAsia="zh-CN"/>
              </w:rPr>
              <w:t>日</w:t>
            </w:r>
            <w:r>
              <w:rPr>
                <w:rFonts w:hint="eastAsia" w:ascii="仿宋" w:hAnsi="仿宋" w:eastAsia="仿宋" w:cs="仿宋"/>
                <w:b/>
                <w:bCs/>
                <w:color w:val="auto"/>
                <w:sz w:val="24"/>
                <w:szCs w:val="24"/>
                <w:highlight w:val="none"/>
              </w:rPr>
              <w:t xml:space="preserve"> ，每天上</w:t>
            </w:r>
            <w:r>
              <w:rPr>
                <w:rFonts w:hint="eastAsia" w:ascii="仿宋" w:hAnsi="仿宋" w:eastAsia="仿宋" w:cs="仿宋"/>
                <w:color w:val="auto"/>
                <w:sz w:val="24"/>
                <w:szCs w:val="24"/>
                <w:highlight w:val="none"/>
              </w:rPr>
              <w:t>午10:</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 xml:space="preserve"> ，下午16:</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rPr>
              <w:t>。（北京时间，法定节假日除外）</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地点：供应商登陆政采云平台http://www.zcygov.cn/，在线申请获取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文件（登录政府采购云平台 → 项目采购 → 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文件→申请，审核通过后可下载</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文件，如有操作性问题，可与政采云在线客服进行咨询，咨询电话：</w:t>
            </w:r>
            <w:r>
              <w:rPr>
                <w:rFonts w:hint="eastAsia" w:ascii="仿宋" w:hAnsi="仿宋" w:eastAsia="仿宋" w:cs="仿宋"/>
                <w:color w:val="auto"/>
                <w:sz w:val="24"/>
                <w:szCs w:val="24"/>
                <w:highlight w:val="none"/>
                <w:lang w:val="en-US" w:eastAsia="zh-CN"/>
              </w:rPr>
              <w:t>95763</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方式：（1）线上获取（登录政府采购云平台 → 项目采购 → 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 申请，审核通过后可下载</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文件）。本次招标不提供纸质版</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（2）供应商获取</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文件前应注册成为政府采购云平台正式供应商。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96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重要说明</w:t>
            </w:r>
          </w:p>
        </w:tc>
        <w:tc>
          <w:tcPr>
            <w:tcW w:w="3771" w:type="pct"/>
            <w:tcBorders>
              <w:tl2br w:val="nil"/>
              <w:tr2bl w:val="nil"/>
            </w:tcBorders>
            <w:noWrap w:val="0"/>
            <w:vAlign w:val="top"/>
          </w:tcPr>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1.本项目采用全流程不见面电子开评标，投标供应商需要使用CA加密设备，供应商可通过新疆数字证书认证中心官网（https://www.xjca.com.cn/）或下载“新疆政务通”APP自行进行申领。</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2.本项目实行网上投标，采用加密电子投标文件(供应商须使用CA加密设备通过政采云电子投标客户端制作投标文件)。若供应商参与投标，自行承担投标一切费用。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snapToGrid w:val="0"/>
              <w:spacing w:line="360" w:lineRule="auto"/>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r>
              <w:rPr>
                <w:rFonts w:hint="eastAsia" w:ascii="仿宋" w:hAnsi="仿宋" w:eastAsia="仿宋" w:cs="仿宋"/>
                <w:b w:val="0"/>
                <w:bCs w:val="0"/>
                <w:color w:val="auto"/>
                <w:sz w:val="24"/>
                <w:szCs w:val="24"/>
                <w:highlight w:val="none"/>
                <w:lang w:val="en-US" w:eastAsia="zh-CN"/>
              </w:rPr>
              <w:t>7.为了保证开评标顺利进行，政采云线上开标功能完全实现，供应商开标所使用的电脑设备须具有视频及语音功能。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color w:val="auto"/>
                <w:sz w:val="24"/>
                <w:szCs w:val="24"/>
                <w:highlight w:val="none"/>
              </w:rPr>
            </w:pPr>
          </w:p>
        </w:tc>
        <w:tc>
          <w:tcPr>
            <w:tcW w:w="96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p>
        </w:tc>
        <w:tc>
          <w:tcPr>
            <w:tcW w:w="3771" w:type="pct"/>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1、电子招投标情况说明：</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1）电子招投标：本项目以数据电文形式，依托“政府采购云平台（www.zcygov.cn）”进行招投标活动。</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（3）招标文件的获取：使用账号登录或者短信验证码或者使用CA登录政采云平台；进入“项目采购”应用，在获取招标文件 菜单中选择项目，获取招标文件 。</w:t>
            </w:r>
          </w:p>
          <w:p>
            <w:pPr>
              <w:shd w:val="clear" w:color="auto" w:fill="auto"/>
              <w:spacing w:line="360" w:lineRule="auto"/>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（4）投标文件的制作：在“政采云电子交易客户端”中完成“填写基本信息”、“导入投标文件”、“标书关联”、“标书检查”、“电子签名”、“生成电子标书”等操作。</w:t>
            </w:r>
          </w:p>
          <w:p>
            <w:pPr>
              <w:keepNext w:val="0"/>
              <w:keepLines w:val="0"/>
              <w:pageBreakBefore w:val="0"/>
              <w:widowControl w:val="0"/>
              <w:kinsoku/>
              <w:wordWrap w:val="0"/>
              <w:overflowPunct/>
              <w:topLinePunct w:val="0"/>
              <w:autoSpaceDE/>
              <w:autoSpaceDN/>
              <w:bidi w:val="0"/>
              <w:adjustRightInd/>
              <w:snapToGrid w:val="0"/>
              <w:spacing w:line="360" w:lineRule="auto"/>
              <w:ind w:firstLine="240" w:firstLineChars="1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color w:val="auto"/>
                <w:sz w:val="24"/>
                <w:szCs w:val="24"/>
                <w:highlight w:val="none"/>
              </w:rPr>
              <w:t>投标文件的传输递交</w:t>
            </w:r>
            <w:r>
              <w:rPr>
                <w:rFonts w:hint="eastAsia" w:ascii="仿宋" w:hAnsi="仿宋" w:eastAsia="仿宋" w:cs="仿宋"/>
                <w:color w:val="auto"/>
                <w:sz w:val="24"/>
                <w:szCs w:val="24"/>
                <w:highlight w:val="none"/>
              </w:rPr>
              <w:t>：供应商在投标截止时间前将加密的投标文件上传至政府采购云平台，还可以在投标截止时间前以电子邮件方式提供备份投标文件1份（接收人邮箱：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sz w:val="24"/>
                <w:szCs w:val="24"/>
                <w:highlight w:val="none"/>
                <w:lang w:val="en-US" w:eastAsia="zh-CN"/>
              </w:rPr>
              <w:t>756299071</w:t>
            </w:r>
            <w:r>
              <w:rPr>
                <w:rFonts w:hint="eastAsia" w:ascii="仿宋" w:hAnsi="仿宋" w:eastAsia="仿宋" w:cs="仿宋"/>
                <w:color w:val="auto"/>
                <w:sz w:val="24"/>
                <w:szCs w:val="24"/>
                <w:highlight w:val="none"/>
              </w:rPr>
              <w:t>@qq.com，接收人：</w:t>
            </w:r>
            <w:r>
              <w:rPr>
                <w:rFonts w:hint="eastAsia" w:ascii="仿宋" w:hAnsi="仿宋" w:eastAsia="仿宋" w:cs="仿宋"/>
                <w:color w:val="auto"/>
                <w:sz w:val="24"/>
                <w:szCs w:val="24"/>
                <w:highlight w:val="none"/>
                <w:lang w:val="en-US" w:eastAsia="zh-CN"/>
              </w:rPr>
              <w:t>王先生</w:t>
            </w: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val="en-US" w:eastAsia="zh-CN"/>
              </w:rPr>
              <w:t>18809085988</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bidi="zh-CN"/>
              </w:rPr>
              <w:t>备份投标文件可以打包压缩并加密，压缩包命名为“XX单位备份投标文件”，加密密码由供应商自行保管（“备份投标文件”由供应商自愿提供，竞争性磋商文件不作强制性要求；如不提供或未按要求提供的，当电子投标文件无法解密时，将导致无备份投标文件而失去投标资格）</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b/>
                <w:color w:val="auto"/>
                <w:sz w:val="24"/>
                <w:szCs w:val="24"/>
                <w:highlight w:val="none"/>
              </w:rPr>
              <w:t>投标文件的解密</w:t>
            </w:r>
            <w:r>
              <w:rPr>
                <w:rFonts w:hint="eastAsia" w:ascii="仿宋" w:hAnsi="仿宋" w:eastAsia="仿宋" w:cs="仿宋"/>
                <w:color w:val="auto"/>
                <w:sz w:val="24"/>
                <w:szCs w:val="24"/>
                <w:highlight w:val="none"/>
              </w:rPr>
              <w:t>：供应商按照平台提示和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b/>
                <w:color w:val="auto"/>
                <w:sz w:val="24"/>
                <w:szCs w:val="24"/>
                <w:highlight w:val="none"/>
              </w:rPr>
              <w:t>具体操作指南</w:t>
            </w:r>
            <w:r>
              <w:rPr>
                <w:rFonts w:hint="eastAsia" w:ascii="仿宋" w:hAnsi="仿宋" w:eastAsia="仿宋" w:cs="仿宋"/>
                <w:color w:val="auto"/>
                <w:sz w:val="24"/>
                <w:szCs w:val="24"/>
                <w:highlight w:val="none"/>
              </w:rPr>
              <w:t>：详见政采云平台“服务中心-帮助文档-项目采购-操作流程-电子招投标-政府采购项目电子交易管理操作指南-供应商”。</w:t>
            </w:r>
          </w:p>
          <w:p>
            <w:pPr>
              <w:pStyle w:val="8"/>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（8）供应商在进行上述操作时，如遇技术问题可登录政采云（https://www.zcygov.cn/），点击右侧咨询小采，获取采小蜜智能服务管家帮助，或拨打政采云服务热线 95763 获取热线服务帮助。</w:t>
            </w:r>
          </w:p>
          <w:p>
            <w:pPr>
              <w:pStyle w:val="8"/>
              <w:keepNext w:val="0"/>
              <w:keepLines w:val="0"/>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温馨提醒：供应商应提前上传，以便在上传时遇到技术问题，有充足的时间请教平台的技术人员。</w:t>
            </w:r>
            <w:r>
              <w:rPr>
                <w:rFonts w:hint="eastAsia" w:ascii="仿宋" w:hAnsi="仿宋" w:eastAsia="仿宋" w:cs="仿宋"/>
                <w:bCs/>
                <w:color w:val="auto"/>
                <w:sz w:val="24"/>
                <w:szCs w:val="24"/>
                <w:highlight w:val="none"/>
              </w:rPr>
              <w:t>温馨提醒：供应商应提前上传，以便在上传时遇到技术问题，有充足的时间请教平台的技术人员。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2、供应商认为</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使自己的权益受到损害的，可以自收到</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之日（</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公告期限届满之前收到</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的，以完成获取</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申请后下载</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的时间为准）或者</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公告期限届满之日（公告发布后的第6个工作日）起7个工作日内</w:t>
            </w:r>
            <w:r>
              <w:rPr>
                <w:rFonts w:hint="eastAsia" w:ascii="仿宋" w:hAnsi="仿宋" w:eastAsia="仿宋" w:cs="仿宋"/>
                <w:color w:val="auto"/>
                <w:sz w:val="24"/>
                <w:szCs w:val="24"/>
                <w:highlight w:val="none"/>
              </w:rPr>
              <w:t>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w:t>
            </w:r>
            <w:r>
              <w:rPr>
                <w:rFonts w:hint="eastAsia" w:ascii="仿宋" w:hAnsi="仿宋" w:eastAsia="仿宋" w:cs="仿宋"/>
                <w:bCs/>
                <w:color w:val="auto"/>
                <w:sz w:val="24"/>
                <w:szCs w:val="24"/>
                <w:highlight w:val="none"/>
              </w:rPr>
              <w:t>未按规定获取</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或逾期提出的不予受理、答复。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6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30</w:t>
            </w:r>
          </w:p>
        </w:tc>
        <w:tc>
          <w:tcPr>
            <w:tcW w:w="96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w:t>
            </w: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（1）根据财政部、工业和信息化部关于印发《政府采购促进中小企业发展</w:t>
            </w:r>
            <w:r>
              <w:rPr>
                <w:rFonts w:hint="eastAsia" w:ascii="仿宋" w:hAnsi="仿宋" w:eastAsia="仿宋" w:cs="仿宋"/>
                <w:b w:val="0"/>
                <w:bCs w:val="0"/>
                <w:color w:val="auto"/>
                <w:sz w:val="24"/>
                <w:szCs w:val="24"/>
                <w:highlight w:val="none"/>
                <w:lang w:eastAsia="zh-CN"/>
              </w:rPr>
              <w:t>管理</w:t>
            </w:r>
            <w:r>
              <w:rPr>
                <w:rFonts w:hint="eastAsia" w:ascii="仿宋" w:hAnsi="仿宋" w:eastAsia="仿宋" w:cs="仿宋"/>
                <w:b w:val="0"/>
                <w:bCs w:val="0"/>
                <w:color w:val="auto"/>
                <w:sz w:val="24"/>
                <w:szCs w:val="24"/>
                <w:highlight w:val="none"/>
              </w:rPr>
              <w:t>办法》的通知（财库[20</w:t>
            </w:r>
            <w:r>
              <w:rPr>
                <w:rFonts w:hint="eastAsia" w:ascii="仿宋" w:hAnsi="仿宋" w:eastAsia="仿宋" w:cs="仿宋"/>
                <w:b w:val="0"/>
                <w:bCs w:val="0"/>
                <w:color w:val="auto"/>
                <w:sz w:val="24"/>
                <w:szCs w:val="24"/>
                <w:highlight w:val="none"/>
                <w:lang w:val="en-US" w:eastAsia="zh-CN"/>
              </w:rPr>
              <w:t>20</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46</w:t>
            </w:r>
            <w:r>
              <w:rPr>
                <w:rFonts w:hint="eastAsia" w:ascii="仿宋" w:hAnsi="仿宋" w:eastAsia="仿宋" w:cs="仿宋"/>
                <w:b w:val="0"/>
                <w:bCs w:val="0"/>
                <w:color w:val="auto"/>
                <w:sz w:val="24"/>
                <w:szCs w:val="24"/>
                <w:highlight w:val="none"/>
              </w:rPr>
              <w:t>号）</w:t>
            </w:r>
            <w:r>
              <w:rPr>
                <w:rFonts w:hint="eastAsia" w:ascii="仿宋" w:hAnsi="仿宋" w:eastAsia="仿宋" w:cs="仿宋"/>
                <w:b w:val="0"/>
                <w:bCs w:val="0"/>
                <w:color w:val="auto"/>
                <w:sz w:val="24"/>
                <w:szCs w:val="24"/>
                <w:highlight w:val="none"/>
                <w:lang w:eastAsia="zh-CN"/>
              </w:rPr>
              <w:t>及（财库</w:t>
            </w:r>
            <w:r>
              <w:rPr>
                <w:rFonts w:hint="eastAsia" w:ascii="仿宋" w:hAnsi="仿宋" w:eastAsia="仿宋" w:cs="仿宋"/>
                <w:b w:val="0"/>
                <w:bCs w:val="0"/>
                <w:color w:val="auto"/>
                <w:sz w:val="24"/>
                <w:szCs w:val="24"/>
                <w:highlight w:val="none"/>
              </w:rPr>
              <w:t>[20</w:t>
            </w:r>
            <w:r>
              <w:rPr>
                <w:rFonts w:hint="eastAsia" w:ascii="仿宋" w:hAnsi="仿宋" w:eastAsia="仿宋" w:cs="仿宋"/>
                <w:b w:val="0"/>
                <w:bCs w:val="0"/>
                <w:color w:val="auto"/>
                <w:sz w:val="24"/>
                <w:szCs w:val="24"/>
                <w:highlight w:val="none"/>
                <w:lang w:val="en-US" w:eastAsia="zh-CN"/>
              </w:rPr>
              <w:t>22</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19号</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，投标人及其所投产品的制造商均属于《工业和信息化部、国家统计局、国家发展和改革委员会、财政部关于印发中小企业划型标准规定的通知》（工信部联企业[2011]300号）中规定的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cs="仿宋"/>
                <w:b w:val="0"/>
                <w:bCs w:val="0"/>
                <w:color w:val="auto"/>
                <w:sz w:val="24"/>
                <w:szCs w:val="24"/>
                <w:highlight w:val="none"/>
                <w:lang w:eastAsia="zh-CN"/>
              </w:rPr>
              <w:t>中型、</w:t>
            </w:r>
            <w:r>
              <w:rPr>
                <w:rFonts w:hint="eastAsia" w:ascii="仿宋" w:hAnsi="仿宋" w:eastAsia="仿宋" w:cs="仿宋"/>
                <w:b w:val="0"/>
                <w:bCs w:val="0"/>
                <w:color w:val="auto"/>
                <w:sz w:val="24"/>
                <w:szCs w:val="24"/>
                <w:highlight w:val="none"/>
              </w:rPr>
              <w:t>小型、微型企业标准的，按招标文件格式提供《中小企业声明函》。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96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2）根据财政部、司令部《关于政府采购支持监狱企业发展有关问题》的通知财库[2014]68号，监狱企业参加本项目投标时，应当提供由省级以上监狱管理局、戒毒管理局（新疆生产建设兵团）出具的属于监狱企业的证明文件。监狱企业视同小型、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6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p>
        </w:tc>
        <w:tc>
          <w:tcPr>
            <w:tcW w:w="96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rPr>
              <w:t>（3）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966"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中小微企业政策文件说明</w:t>
            </w:r>
          </w:p>
        </w:tc>
        <w:tc>
          <w:tcPr>
            <w:tcW w:w="3771" w:type="pct"/>
            <w:tcBorders>
              <w:tl2br w:val="nil"/>
              <w:tr2bl w:val="nil"/>
            </w:tcBorders>
            <w:noWrap w:val="0"/>
            <w:vAlign w:val="top"/>
          </w:tcPr>
          <w:p>
            <w:pPr>
              <w:keepNext w:val="0"/>
              <w:keepLines w:val="0"/>
              <w:pageBreakBefore w:val="0"/>
              <w:kinsoku/>
              <w:wordWrap/>
              <w:overflowPunct/>
              <w:topLinePunct w:val="0"/>
              <w:autoSpaceDE/>
              <w:autoSpaceDN/>
              <w:bidi w:val="0"/>
              <w:adjustRightInd/>
              <w:snapToGrid w:val="0"/>
              <w:spacing w:line="52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本项目</w:t>
            </w:r>
            <w:r>
              <w:rPr>
                <w:rFonts w:hint="eastAsia" w:ascii="仿宋" w:hAnsi="仿宋" w:eastAsia="仿宋" w:cs="仿宋"/>
                <w:color w:val="auto"/>
                <w:sz w:val="24"/>
                <w:szCs w:val="24"/>
                <w:lang w:eastAsia="zh-CN"/>
              </w:rPr>
              <w:t>为专门面向中小企业项目，资金为全部预留。</w:t>
            </w:r>
          </w:p>
          <w:p>
            <w:pPr>
              <w:pStyle w:val="6"/>
              <w:rPr>
                <w:rFonts w:hint="eastAsia"/>
                <w:b/>
                <w:bCs/>
                <w:color w:val="000000"/>
                <w:kern w:val="2"/>
                <w:sz w:val="32"/>
                <w:szCs w:val="32"/>
                <w:u w:val="none" w:color="000000"/>
                <w:lang w:val="en-US" w:eastAsia="zh-CN" w:bidi="ar-SA"/>
              </w:rPr>
            </w:pPr>
            <w:r>
              <w:rPr>
                <w:rFonts w:hint="eastAsia" w:ascii="仿宋" w:hAnsi="仿宋" w:eastAsia="仿宋" w:cs="仿宋"/>
                <w:color w:val="auto"/>
                <w:sz w:val="24"/>
                <w:szCs w:val="24"/>
                <w:lang w:val="en-US" w:eastAsia="zh-CN"/>
              </w:rPr>
              <w:t>2.本采购项目中小企业划分标准所属行业为：</w:t>
            </w:r>
            <w:r>
              <w:rPr>
                <w:rFonts w:hint="eastAsia" w:ascii="仿宋" w:hAnsi="仿宋" w:eastAsia="仿宋" w:cs="仿宋"/>
                <w:color w:val="FF0000"/>
                <w:sz w:val="24"/>
                <w:szCs w:val="24"/>
                <w:lang w:val="en-US" w:eastAsia="zh-CN"/>
              </w:rPr>
              <w:t>农业。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62"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32</w:t>
            </w:r>
          </w:p>
        </w:tc>
        <w:tc>
          <w:tcPr>
            <w:tcW w:w="4737"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评标办法：本项目采用综合评分法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1228" w:type="pct"/>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sz w:val="24"/>
                <w:szCs w:val="24"/>
                <w:highlight w:val="none"/>
              </w:rPr>
              <w:t>备</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注</w:t>
            </w:r>
          </w:p>
        </w:tc>
        <w:tc>
          <w:tcPr>
            <w:tcW w:w="3771"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着重提醒各投标人注意，并认真查看招标文件中的每一个条款及要求，因误读招标文件而造成的后果，招标人概不负责。</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2、投标人使用相同IP地址的，一经发现，相关部门将进一步核实，查实后按串通投标处理。</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为保证本项目质量，良好的售后服务，最低报价不作为中标的唯一依据。</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采购人若发现</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候选供应商在投标过程中提供虚假证明文件，故意隐瞒公司不良信誉和财务状况，以及其他可能对合同圆满履行造成风险的因素等，则按规定取消其</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资格，监管部门依法进行处理。</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其它：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（1）投标企业严格遵守国家的法律法规及招标纪律，无违法违纪及商业贿赂行为。</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（2）不管投标结果如何，供应商均应自行承担投标所需一切费用。</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（3）供应商应以书面形式保证中标后由本公司组织实施，不得以任何理由将项目转包给其他机构。</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中如出现前后不一致情况，均以前附表内容为准。</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6、投标供应商在提供《中小企业声明函》时，必须将招标文件分项报价表或参数偏离表所列的采购标的物全部列入《中小企业声明函》，否则专门面向中小企业的项目做废标处理，落实10%价格评审优惠的不享受优惠政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1228" w:type="pct"/>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60" w:lineRule="auto"/>
              <w:jc w:val="center"/>
              <w:textAlignment w:val="auto"/>
              <w:outlineLvl w:val="9"/>
              <w:rPr>
                <w:rFonts w:hint="eastAsia" w:ascii="仿宋" w:hAnsi="仿宋" w:eastAsia="仿宋" w:cs="仿宋"/>
                <w:b/>
                <w:color w:val="auto"/>
                <w:sz w:val="24"/>
                <w:szCs w:val="24"/>
                <w:highlight w:val="none"/>
              </w:rPr>
            </w:pPr>
          </w:p>
        </w:tc>
        <w:tc>
          <w:tcPr>
            <w:tcW w:w="3771" w:type="pct"/>
            <w:tcBorders>
              <w:tl2br w:val="nil"/>
              <w:tr2bl w:val="nil"/>
            </w:tcBorders>
            <w:noWrap w:val="0"/>
            <w:vAlign w:val="center"/>
          </w:tcPr>
          <w:p>
            <w:pPr>
              <w:shd w:val="clear" w:color="auto" w:fill="auto"/>
              <w:spacing w:line="360" w:lineRule="auto"/>
              <w:jc w:val="left"/>
              <w:outlineLvl w:val="9"/>
              <w:rPr>
                <w:rFonts w:hint="eastAsia" w:ascii="仿宋" w:hAnsi="仿宋" w:eastAsia="仿宋" w:cs="仿宋"/>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投标供应商须按照对应的包号参加投标，即按包号进行投标。</w:t>
            </w:r>
          </w:p>
        </w:tc>
      </w:tr>
      <w:bookmarkEnd w:id="18"/>
    </w:tbl>
    <w:p>
      <w:pPr>
        <w:pageBreakBefore/>
        <w:spacing w:before="312" w:beforeLines="100" w:after="312" w:afterLines="100" w:line="440" w:lineRule="exact"/>
        <w:ind w:firstLine="3640" w:firstLineChars="1300"/>
        <w:jc w:val="both"/>
        <w:outlineLvl w:val="1"/>
        <w:rPr>
          <w:rFonts w:hint="eastAsia" w:ascii="宋体"/>
          <w:b/>
          <w:color w:val="auto"/>
          <w:sz w:val="28"/>
          <w:szCs w:val="32"/>
          <w:highlight w:val="none"/>
        </w:rPr>
      </w:pPr>
      <w:bookmarkStart w:id="20" w:name="_Toc14487"/>
      <w:r>
        <w:rPr>
          <w:rFonts w:hint="eastAsia" w:ascii="宋体"/>
          <w:b/>
          <w:color w:val="auto"/>
          <w:sz w:val="28"/>
          <w:szCs w:val="28"/>
          <w:highlight w:val="none"/>
        </w:rPr>
        <w:t>二、投标人须知</w:t>
      </w:r>
      <w:bookmarkEnd w:id="20"/>
    </w:p>
    <w:p>
      <w:pPr>
        <w:shd w:val="clear" w:color="auto" w:fill="auto"/>
        <w:spacing w:line="440" w:lineRule="exact"/>
        <w:jc w:val="center"/>
        <w:outlineLvl w:val="9"/>
        <w:rPr>
          <w:rFonts w:hint="eastAsia" w:ascii="宋体"/>
          <w:color w:val="auto"/>
          <w:sz w:val="28"/>
          <w:szCs w:val="28"/>
          <w:highlight w:val="none"/>
        </w:rPr>
      </w:pPr>
      <w:bookmarkStart w:id="21" w:name="_Toc10575"/>
      <w:bookmarkStart w:id="22" w:name="_Toc469495724"/>
      <w:bookmarkStart w:id="23" w:name="_Toc2929"/>
      <w:r>
        <w:rPr>
          <w:rFonts w:hint="eastAsia" w:ascii="宋体"/>
          <w:b/>
          <w:color w:val="auto"/>
          <w:sz w:val="28"/>
          <w:szCs w:val="28"/>
          <w:highlight w:val="none"/>
        </w:rPr>
        <w:t>（一）</w:t>
      </w:r>
      <w:r>
        <w:rPr>
          <w:rFonts w:hint="eastAsia" w:ascii="宋体"/>
          <w:b/>
          <w:color w:val="auto"/>
          <w:sz w:val="28"/>
          <w:szCs w:val="32"/>
          <w:highlight w:val="none"/>
        </w:rPr>
        <w:t>总  则</w:t>
      </w:r>
      <w:bookmarkEnd w:id="21"/>
      <w:bookmarkEnd w:id="22"/>
      <w:bookmarkEnd w:id="23"/>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项目概况</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1.1本次招标采购项目名称：见投标人须知前附表。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项目编号：见投标人须知前附表。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招标人：见投标人须知前附表。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供货期：见投标人须知前附表。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供货</w:t>
      </w:r>
      <w:r>
        <w:rPr>
          <w:rFonts w:hint="eastAsia" w:ascii="仿宋" w:hAnsi="仿宋" w:eastAsia="仿宋" w:cs="仿宋"/>
          <w:color w:val="auto"/>
          <w:sz w:val="24"/>
          <w:szCs w:val="24"/>
          <w:highlight w:val="none"/>
        </w:rPr>
        <w:t>地点：见投标人须知前附表。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1.2招标人及联系人: 见投标人须知前附表。</w:t>
      </w:r>
    </w:p>
    <w:p>
      <w:pPr>
        <w:shd w:val="clear" w:color="auto" w:fill="auto"/>
        <w:snapToGrid w:val="0"/>
        <w:spacing w:line="440" w:lineRule="exact"/>
        <w:ind w:firstLine="600" w:firstLineChars="25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代理机构及联系人: 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1.3资金来源：见投标人须知前附表。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1.4本项目预算：见投标人须知前附表。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1.5本项目控制价：见投标人须知前附表。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招标范围：</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2.1 采购内容：见投标人须知前附表。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技术要求：详见</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第四章采购内容及技术要求。</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标包划分：</w:t>
      </w:r>
    </w:p>
    <w:p>
      <w:pPr>
        <w:shd w:val="clear" w:color="auto" w:fill="auto"/>
        <w:snapToGrid w:val="0"/>
        <w:spacing w:line="440" w:lineRule="exact"/>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3.1本项目划分：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个标包</w:t>
      </w:r>
      <w:r>
        <w:rPr>
          <w:rFonts w:hint="eastAsia" w:ascii="仿宋" w:hAnsi="仿宋" w:eastAsia="仿宋" w:cs="仿宋"/>
          <w:color w:val="auto"/>
          <w:kern w:val="0"/>
          <w:sz w:val="24"/>
          <w:szCs w:val="24"/>
          <w:highlight w:val="non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4.1本项目招标方式：见投标人须知前附表。</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计价方式：</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5.1本次招标项目合同采用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固定单价</w:t>
      </w:r>
      <w:r>
        <w:rPr>
          <w:rFonts w:hint="eastAsia" w:ascii="仿宋" w:hAnsi="仿宋" w:eastAsia="仿宋" w:cs="仿宋"/>
          <w:color w:val="auto"/>
          <w:sz w:val="24"/>
          <w:szCs w:val="24"/>
          <w:highlight w:val="none"/>
          <w:u w:val="single"/>
        </w:rPr>
        <w:t>。</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评标办法：</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6.1本次招标评标采用</w:t>
      </w:r>
      <w:r>
        <w:rPr>
          <w:rFonts w:hint="eastAsia" w:ascii="仿宋" w:hAnsi="仿宋" w:eastAsia="仿宋" w:cs="仿宋"/>
          <w:color w:val="auto"/>
          <w:sz w:val="24"/>
          <w:szCs w:val="24"/>
          <w:highlight w:val="none"/>
          <w:u w:val="single"/>
        </w:rPr>
        <w:t xml:space="preserve"> 符合</w:t>
      </w:r>
      <w:r>
        <w:rPr>
          <w:rFonts w:hint="eastAsia" w:ascii="仿宋" w:hAnsi="仿宋" w:eastAsia="仿宋" w:cs="仿宋"/>
          <w:color w:val="auto"/>
          <w:sz w:val="24"/>
          <w:szCs w:val="24"/>
          <w:highlight w:val="none"/>
          <w:u w:val="single"/>
          <w:lang w:eastAsia="zh-CN"/>
        </w:rPr>
        <w:t>竞争性磋商文件</w:t>
      </w:r>
      <w:r>
        <w:rPr>
          <w:rFonts w:hint="eastAsia" w:ascii="仿宋" w:hAnsi="仿宋" w:eastAsia="仿宋" w:cs="仿宋"/>
          <w:color w:val="auto"/>
          <w:sz w:val="24"/>
          <w:szCs w:val="24"/>
          <w:highlight w:val="none"/>
          <w:u w:val="single"/>
        </w:rPr>
        <w:t xml:space="preserve">的综合评分法 </w:t>
      </w:r>
      <w:r>
        <w:rPr>
          <w:rFonts w:hint="eastAsia" w:ascii="仿宋" w:hAnsi="仿宋" w:eastAsia="仿宋" w:cs="仿宋"/>
          <w:color w:val="auto"/>
          <w:sz w:val="24"/>
          <w:szCs w:val="24"/>
          <w:highlight w:val="none"/>
        </w:rPr>
        <w:t>（详见第三章评标办法）</w:t>
      </w:r>
    </w:p>
    <w:p>
      <w:pPr>
        <w:shd w:val="clear" w:color="auto" w:fill="auto"/>
        <w:snapToGrid w:val="0"/>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投标人资格：</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7.1参与采购活动的投标人必须是满足《中华人民共和国政府采购法》规定条件的法人、其他组织或者自然人：</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7.2由于政府采购项目的差异性，投标人在参与具体政府采购项目活动时，应仔细阅读该项目的资质要求,具体见投标人须知前附表。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根据电子化政府采购的特点，各供应商在开标前应确保成为新疆维吾尔自治区政府采购网正式注册入库供应商，并完成CA数字证书申领。因未注册入库、未办理CA数字证书等原因造成无法投标或投标失败等后果由供应商自行承担。</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7.4投标人必须确保自己在信息库中注册的信息真实、准确，并保证投标文件中的有关信息与库中的信息相一致。否则，投标人因此蒙受损失，招标人概不负责。</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投标费用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8.1投标人准备和参加投标活动发生的费用自理。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w:t>
      </w:r>
      <w:bookmarkStart w:id="24" w:name="_Toc296602429"/>
      <w:bookmarkStart w:id="25" w:name="_Toc247527563"/>
      <w:bookmarkStart w:id="26" w:name="_Toc152045539"/>
      <w:bookmarkStart w:id="27" w:name="_Toc152042315"/>
      <w:bookmarkStart w:id="28" w:name="_Toc144974507"/>
      <w:bookmarkStart w:id="29" w:name="_Toc247513962"/>
      <w:bookmarkStart w:id="30" w:name="_Toc247592876"/>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踏勘现场</w:t>
      </w:r>
      <w:bookmarkEnd w:id="24"/>
      <w:bookmarkEnd w:id="25"/>
      <w:bookmarkEnd w:id="26"/>
      <w:bookmarkEnd w:id="27"/>
      <w:bookmarkEnd w:id="28"/>
      <w:bookmarkEnd w:id="29"/>
      <w:bookmarkEnd w:id="30"/>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投标人须知前附表规定组织踏勘现场的，招标人按投标人须知前附表规定的时间、地点组织投标人踏勘项目现场。</w:t>
      </w:r>
      <w:r>
        <w:rPr>
          <w:rFonts w:hint="eastAsia" w:ascii="仿宋" w:hAnsi="仿宋" w:eastAsia="仿宋" w:cs="仿宋"/>
          <w:color w:val="auto"/>
          <w:sz w:val="24"/>
          <w:szCs w:val="24"/>
          <w:highlight w:val="none"/>
          <w:lang w:eastAsia="zh-CN"/>
        </w:rPr>
        <w:t>如需踏勘现场，投标人自行踏勘现场的，可咨询本项目采购人或采购代理机构联系人。</w:t>
      </w:r>
      <w:r>
        <w:rPr>
          <w:rFonts w:hint="eastAsia" w:ascii="仿宋" w:hAnsi="仿宋" w:eastAsia="仿宋" w:cs="仿宋"/>
          <w:b/>
          <w:bCs/>
          <w:color w:val="auto"/>
          <w:sz w:val="24"/>
          <w:szCs w:val="24"/>
          <w:highlight w:val="none"/>
          <w:lang w:eastAsia="zh-CN"/>
        </w:rPr>
        <w:t>投标人自行踏勘现场的，可咨询本项目采购人或采购代理机构联系人。</w:t>
      </w:r>
      <w:r>
        <w:rPr>
          <w:rFonts w:hint="eastAsia" w:ascii="仿宋" w:hAnsi="仿宋" w:eastAsia="仿宋" w:cs="仿宋"/>
          <w:b/>
          <w:bCs/>
          <w:color w:val="auto"/>
          <w:sz w:val="24"/>
          <w:szCs w:val="24"/>
          <w:highlight w:val="none"/>
        </w:rPr>
        <w:t xml:space="preserve"> </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投标人踏勘现场发生的费用自理。</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除招标人的原因外，投标人自行负责在踏勘现场中所发生的人员伤亡和财产损失。</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招标人在踏勘现场中介绍的场地和相关的周边环境情况，供投标人在编制投标文件时参考，招标人不对投标人据此作出的判断和决策负责。</w:t>
      </w:r>
      <w:bookmarkStart w:id="31" w:name="_Toc247592877"/>
      <w:bookmarkStart w:id="32" w:name="_Toc247527564"/>
      <w:bookmarkStart w:id="33" w:name="_Toc247513963"/>
      <w:bookmarkStart w:id="34" w:name="_Toc296602430"/>
      <w:bookmarkStart w:id="35" w:name="_Toc144974508"/>
      <w:bookmarkStart w:id="36" w:name="_Toc152042316"/>
      <w:bookmarkStart w:id="37" w:name="_Toc152045540"/>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投标预备会</w:t>
      </w:r>
      <w:bookmarkEnd w:id="31"/>
      <w:bookmarkEnd w:id="32"/>
      <w:bookmarkEnd w:id="33"/>
      <w:bookmarkEnd w:id="34"/>
      <w:bookmarkEnd w:id="35"/>
      <w:bookmarkEnd w:id="36"/>
      <w:bookmarkEnd w:id="37"/>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10.1投标人须知前附表规定召开投标预备会的，招标人按投标人须知前附表规定的时间和地点召开投标预备会，澄清投标人提出的问题。</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10.2投标人应在投标人须知前附表规定的时间前，将提出的问题送达招标人，以便招标人澄清。</w:t>
      </w:r>
    </w:p>
    <w:p>
      <w:pPr>
        <w:shd w:val="clear" w:color="auto" w:fill="auto"/>
        <w:spacing w:line="440" w:lineRule="exact"/>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10.3招标人在投标人须知前附表规定的时间，将对投标人所提的问题进行澄清。该澄清内容为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联合投标</w:t>
      </w:r>
    </w:p>
    <w:p>
      <w:pPr>
        <w:shd w:val="clear" w:color="auto" w:fill="auto"/>
        <w:spacing w:line="360" w:lineRule="auto"/>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两个以上投标人可以组成一个投标联合体，以一个投标人的身份投标。以联合体形式参加投标的，联合体各方均应当符合《政府采购法》第二十二条规定的条件。招标人根据采购项目的特殊要求规定投标人特定条件的，联合体各方中至少应当有一方符合招标人规定的特定条件。</w:t>
      </w:r>
    </w:p>
    <w:p>
      <w:pPr>
        <w:shd w:val="clear" w:color="auto" w:fill="auto"/>
        <w:spacing w:line="360" w:lineRule="auto"/>
        <w:ind w:firstLine="468" w:firstLineChars="19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hd w:val="clear" w:color="auto" w:fill="auto"/>
        <w:spacing w:line="400" w:lineRule="exact"/>
        <w:ind w:firstLine="470" w:firstLineChars="196"/>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联合体应当确定其中一个单位为投标的全权代表，负责参加投标的一切事务，并承担投标及履约中应承担的全部责任与义务。</w:t>
      </w:r>
    </w:p>
    <w:p>
      <w:pPr>
        <w:pStyle w:val="11"/>
        <w:shd w:val="clear" w:color="auto" w:fill="auto"/>
        <w:spacing w:after="0" w:line="400" w:lineRule="exact"/>
        <w:ind w:left="0" w:leftChars="0" w:firstLine="484" w:firstLineChars="20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联合体各方应当共同与招标人签订采购合同，就采购合同约定的事项对招标人承担连带责任。</w:t>
      </w:r>
    </w:p>
    <w:p>
      <w:pPr>
        <w:shd w:val="clear" w:color="auto" w:fill="auto"/>
        <w:spacing w:line="440" w:lineRule="exact"/>
        <w:ind w:firstLine="470" w:firstLineChars="196"/>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招标代理费</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12.1</w:t>
      </w:r>
      <w:r>
        <w:rPr>
          <w:rFonts w:hint="eastAsia" w:ascii="仿宋" w:hAnsi="仿宋" w:eastAsia="仿宋" w:cs="仿宋"/>
          <w:color w:val="auto"/>
          <w:kern w:val="2"/>
          <w:sz w:val="24"/>
          <w:szCs w:val="24"/>
          <w:highlight w:val="none"/>
          <w:lang w:val="en-US" w:eastAsia="zh-CN" w:bidi="ar-SA"/>
        </w:rPr>
        <w:t>中标（成交）单位在领取本项目中标（成交）通知书时，按照《国家计委关于印发招标代理服务收费管理暂行办法的通知（计价格[2002]1980号）及《招标代理服务收费有关问题》（发改办价格〔2003〕857号文）中规定由中标（成交）单位向招标代理机构支付本项目代理费。收费标准如下：</w:t>
      </w:r>
    </w:p>
    <w:p>
      <w:pPr>
        <w:keepNext w:val="0"/>
        <w:keepLines w:val="0"/>
        <w:pageBreakBefore w:val="0"/>
        <w:shd w:val="clear" w:color="auto" w:fill="auto"/>
        <w:kinsoku/>
        <w:wordWrap/>
        <w:overflowPunct/>
        <w:topLinePunct w:val="0"/>
        <w:bidi w:val="0"/>
        <w:snapToGrid/>
        <w:spacing w:line="360" w:lineRule="auto"/>
        <w:ind w:firstLine="480" w:firstLineChars="200"/>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招标代理服务收费标准</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3"/>
        <w:gridCol w:w="2146"/>
        <w:gridCol w:w="2146"/>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2393"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中标（成交）</w:t>
            </w:r>
            <w:r>
              <w:rPr>
                <w:rFonts w:hint="eastAsia" w:ascii="仿宋" w:hAnsi="仿宋" w:eastAsia="仿宋" w:cs="仿宋"/>
                <w:b w:val="0"/>
                <w:bCs w:val="0"/>
                <w:color w:val="auto"/>
                <w:sz w:val="24"/>
                <w:szCs w:val="24"/>
                <w:highlight w:val="none"/>
              </w:rPr>
              <w:t>金额</w:t>
            </w: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（万元）</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货物招标</w:t>
            </w:r>
          </w:p>
        </w:tc>
        <w:tc>
          <w:tcPr>
            <w:tcW w:w="2146"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服务招标</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100以下</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1.50%</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100-500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1.10%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0.80</w:t>
            </w:r>
            <w:r>
              <w:rPr>
                <w:rFonts w:hint="eastAsia" w:ascii="仿宋" w:hAnsi="仿宋" w:eastAsia="仿宋" w:cs="仿宋"/>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500-1000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0.80%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45</w:t>
            </w:r>
            <w:r>
              <w:rPr>
                <w:rFonts w:hint="eastAsia" w:ascii="仿宋" w:hAnsi="仿宋" w:eastAsia="仿宋" w:cs="仿宋"/>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39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1000-5000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0.50%</w:t>
            </w:r>
          </w:p>
        </w:tc>
        <w:tc>
          <w:tcPr>
            <w:tcW w:w="2146"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0.</w:t>
            </w:r>
            <w:r>
              <w:rPr>
                <w:rFonts w:hint="eastAsia" w:ascii="仿宋" w:hAnsi="仿宋" w:eastAsia="仿宋" w:cs="仿宋"/>
                <w:b w:val="0"/>
                <w:bCs w:val="0"/>
                <w:color w:val="auto"/>
                <w:sz w:val="24"/>
                <w:szCs w:val="24"/>
                <w:highlight w:val="none"/>
                <w:lang w:val="en-US" w:eastAsia="zh-CN"/>
              </w:rPr>
              <w:t>25</w:t>
            </w:r>
            <w:r>
              <w:rPr>
                <w:rFonts w:hint="eastAsia" w:ascii="仿宋" w:hAnsi="仿宋" w:eastAsia="仿宋" w:cs="仿宋"/>
                <w:b w:val="0"/>
                <w:bCs w:val="0"/>
                <w:color w:val="auto"/>
                <w:sz w:val="24"/>
                <w:szCs w:val="24"/>
                <w:highlight w:val="none"/>
              </w:rPr>
              <w:t>%</w:t>
            </w:r>
          </w:p>
        </w:tc>
        <w:tc>
          <w:tcPr>
            <w:tcW w:w="1841"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仿宋" w:hAnsi="仿宋" w:eastAsia="仿宋" w:cs="仿宋"/>
                <w:b w:val="0"/>
                <w:bCs w:val="0"/>
                <w:color w:val="auto"/>
                <w:sz w:val="24"/>
                <w:szCs w:val="24"/>
                <w:highlight w:val="none"/>
              </w:rPr>
            </w:pPr>
          </w:p>
        </w:tc>
      </w:tr>
    </w:tbl>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招标代理服务收费按差额定率累进法计算。例如：某项目招标代理业务</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kern w:val="2"/>
          <w:sz w:val="24"/>
          <w:szCs w:val="24"/>
          <w:highlight w:val="none"/>
          <w:lang w:val="en-US" w:eastAsia="zh-CN" w:bidi="ar-SA"/>
        </w:rPr>
        <w:t>（成交）</w:t>
      </w:r>
      <w:r>
        <w:rPr>
          <w:rFonts w:hint="eastAsia" w:ascii="仿宋" w:hAnsi="仿宋" w:eastAsia="仿宋" w:cs="仿宋"/>
          <w:color w:val="auto"/>
          <w:sz w:val="24"/>
          <w:szCs w:val="24"/>
          <w:highlight w:val="none"/>
        </w:rPr>
        <w:t>金额为2000万元，计算招标代理服务收费额如下：</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100万元×1.50%=1.5（万元）；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（500-100）万元×1.10%=4.4（万元）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（1000-500）万元×0.80%=4.0（万元）</w:t>
      </w:r>
    </w:p>
    <w:p>
      <w:pPr>
        <w:keepNext w:val="0"/>
        <w:keepLines w:val="0"/>
        <w:pageBreakBefore w:val="0"/>
        <w:shd w:val="clear" w:color="auto" w:fill="auto"/>
        <w:kinsoku/>
        <w:wordWrap/>
        <w:overflowPunct/>
        <w:topLinePunct w:val="0"/>
        <w:bidi w:val="0"/>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（2000-1000）万元×0.50%=5.0（万元）</w:t>
      </w:r>
    </w:p>
    <w:p>
      <w:pPr>
        <w:shd w:val="clear" w:color="auto" w:fill="auto"/>
        <w:spacing w:line="440" w:lineRule="exact"/>
        <w:ind w:left="210" w:leftChars="100" w:firstLine="360" w:firstLineChars="150"/>
        <w:jc w:val="left"/>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合计收费=1.5+4.4+4.0+5.0=14.9(万元)</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投标人应注意的事项</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13.1投标人一旦按规定缴纳了投标保证金并参加投标，即被认为接受了本</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中的所有条件和规定。投标人必须严格按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的要求编制投标文件，投标文件宜编制页码和目录，以便评委审核。否则，由此产生的一切后果由投标人承担。</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 xml:space="preserve"> 投标人对采购内容中规定的技术参数、规格等要求必须完全响应或优于</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中的要求。</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所有投标人的投标保证金都应在</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规定的投标保证金缴纳截止日期前缴纳。</w:t>
      </w:r>
    </w:p>
    <w:p>
      <w:pPr>
        <w:shd w:val="clear" w:color="auto" w:fill="auto"/>
        <w:spacing w:line="440" w:lineRule="exact"/>
        <w:ind w:firstLine="470" w:firstLineChars="196"/>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为采购项目提供整体设计、规范编制或者项目管理、监理、检测等服务的供应商，不得再参加该采购项目的其他采购活动。</w:t>
      </w:r>
    </w:p>
    <w:p>
      <w:pPr>
        <w:shd w:val="clear" w:color="auto" w:fill="auto"/>
        <w:snapToGrid w:val="0"/>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本项目只接受</w:t>
      </w:r>
      <w:r>
        <w:rPr>
          <w:rFonts w:hint="eastAsia" w:ascii="仿宋" w:hAnsi="仿宋" w:eastAsia="仿宋" w:cs="仿宋"/>
          <w:color w:val="auto"/>
          <w:sz w:val="24"/>
          <w:szCs w:val="24"/>
          <w:highlight w:val="none"/>
        </w:rPr>
        <w:t>成为新疆维吾尔自治区政府采购网正式注册入库并完成CA数字证书申领供应商</w:t>
      </w:r>
      <w:r>
        <w:rPr>
          <w:rFonts w:hint="eastAsia" w:ascii="仿宋" w:hAnsi="仿宋" w:eastAsia="仿宋" w:cs="仿宋"/>
          <w:color w:val="auto"/>
          <w:sz w:val="24"/>
          <w:szCs w:val="24"/>
          <w:highlight w:val="none"/>
          <w:lang w:eastAsia="zh-CN"/>
        </w:rPr>
        <w:t>参与投标</w:t>
      </w:r>
      <w:r>
        <w:rPr>
          <w:rFonts w:hint="eastAsia" w:ascii="仿宋" w:hAnsi="仿宋" w:eastAsia="仿宋" w:cs="仿宋"/>
          <w:color w:val="auto"/>
          <w:sz w:val="24"/>
          <w:szCs w:val="24"/>
          <w:highlight w:val="none"/>
        </w:rPr>
        <w:t>。因未注册入库、未办理CA数字证书等原因造成无法投标或投标失败等后果由供应商自行承担。</w:t>
      </w:r>
    </w:p>
    <w:p>
      <w:pPr>
        <w:shd w:val="clear" w:color="auto" w:fill="auto"/>
        <w:wordWrap w:val="0"/>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 xml:space="preserve">  投标人被视为充分熟悉本招标项目所在地的与履行合同有关的各种情况，包括但不限于：</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（1）国家对本次投标货物和服务的生产、安装调试、验收、维修等有关法律、法规及行业管理标准；</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eastAsia="zh-CN"/>
        </w:rPr>
        <w:t>本地区</w:t>
      </w:r>
      <w:r>
        <w:rPr>
          <w:rFonts w:hint="eastAsia" w:ascii="仿宋" w:hAnsi="仿宋" w:eastAsia="仿宋" w:cs="仿宋"/>
          <w:bCs/>
          <w:color w:val="auto"/>
          <w:sz w:val="24"/>
          <w:szCs w:val="24"/>
          <w:highlight w:val="none"/>
        </w:rPr>
        <w:t>有关管理部门的相关规定；</w:t>
      </w:r>
    </w:p>
    <w:p>
      <w:pPr>
        <w:shd w:val="clear" w:color="auto" w:fill="auto"/>
        <w:spacing w:line="400" w:lineRule="exact"/>
        <w:ind w:firstLine="360" w:firstLineChars="15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（3）招标人的相关场地情况、基础建设、电力供应情况及相关设计标准。</w:t>
      </w:r>
    </w:p>
    <w:p>
      <w:pPr>
        <w:shd w:val="clear" w:color="auto" w:fill="auto"/>
        <w:spacing w:line="400" w:lineRule="exact"/>
        <w:ind w:firstLine="360" w:firstLineChars="150"/>
        <w:outlineLvl w:val="9"/>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本</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不再对上述情况进行描述。</w:t>
      </w:r>
      <w:bookmarkStart w:id="38" w:name="_Toc469495725"/>
    </w:p>
    <w:p>
      <w:pPr>
        <w:shd w:val="clear" w:color="auto" w:fill="auto"/>
        <w:spacing w:line="440" w:lineRule="exact"/>
        <w:ind w:firstLine="560" w:firstLineChars="200"/>
        <w:rPr>
          <w:rFonts w:hint="eastAsia" w:ascii="仿宋" w:hAnsi="仿宋" w:eastAsia="仿宋" w:cs="仿宋"/>
          <w:b/>
          <w:color w:val="auto"/>
          <w:sz w:val="28"/>
          <w:szCs w:val="28"/>
          <w:highlight w:val="none"/>
          <w:lang w:eastAsia="zh-CN"/>
        </w:rPr>
      </w:pPr>
      <w:bookmarkStart w:id="39" w:name="_Toc673"/>
      <w:bookmarkStart w:id="40" w:name="_Toc116"/>
      <w:r>
        <w:rPr>
          <w:rFonts w:hint="eastAsia" w:ascii="仿宋" w:hAnsi="仿宋" w:eastAsia="仿宋" w:cs="仿宋"/>
          <w:b/>
          <w:color w:val="auto"/>
          <w:sz w:val="28"/>
          <w:szCs w:val="28"/>
          <w:highlight w:val="none"/>
        </w:rPr>
        <w:t>（二）</w:t>
      </w:r>
      <w:bookmarkEnd w:id="38"/>
      <w:r>
        <w:rPr>
          <w:rFonts w:hint="eastAsia" w:ascii="仿宋" w:hAnsi="仿宋" w:eastAsia="仿宋" w:cs="仿宋"/>
          <w:b/>
          <w:color w:val="auto"/>
          <w:sz w:val="28"/>
          <w:szCs w:val="28"/>
          <w:highlight w:val="none"/>
          <w:lang w:eastAsia="zh-CN"/>
        </w:rPr>
        <w:t>竞争性磋商文件</w:t>
      </w:r>
      <w:bookmarkEnd w:id="39"/>
      <w:bookmarkEnd w:id="40"/>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4</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采购文件</w:t>
      </w:r>
      <w:r>
        <w:rPr>
          <w:rFonts w:hint="eastAsia" w:ascii="仿宋" w:hAnsi="仿宋" w:eastAsia="仿宋" w:cs="仿宋"/>
          <w:b/>
          <w:bCs w:val="0"/>
          <w:color w:val="auto"/>
          <w:sz w:val="24"/>
          <w:szCs w:val="24"/>
          <w:highlight w:val="none"/>
        </w:rPr>
        <w:t>的编制依据</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根据《中华人民共和国政府采购法》、《政府采购货物和服务招标投标管理办法》和《中华人民共和国合同法》</w:t>
      </w:r>
      <w:r>
        <w:rPr>
          <w:rFonts w:hint="eastAsia" w:ascii="仿宋" w:hAnsi="仿宋" w:eastAsia="仿宋" w:cs="仿宋"/>
          <w:b w:val="0"/>
          <w:bCs/>
          <w:color w:val="auto"/>
          <w:spacing w:val="-2"/>
          <w:sz w:val="24"/>
          <w:szCs w:val="24"/>
          <w:highlight w:val="none"/>
        </w:rPr>
        <w:t>等相关法律法规和规章及部、省、市级规范性文件的规定，编制本</w:t>
      </w:r>
      <w:r>
        <w:rPr>
          <w:rFonts w:hint="eastAsia" w:ascii="仿宋" w:hAnsi="仿宋" w:eastAsia="仿宋" w:cs="仿宋"/>
          <w:b w:val="0"/>
          <w:bCs/>
          <w:color w:val="auto"/>
          <w:spacing w:val="-2"/>
          <w:sz w:val="24"/>
          <w:szCs w:val="24"/>
          <w:highlight w:val="none"/>
          <w:lang w:eastAsia="zh-CN"/>
        </w:rPr>
        <w:t>采购文件</w:t>
      </w:r>
      <w:r>
        <w:rPr>
          <w:rFonts w:hint="eastAsia" w:ascii="仿宋" w:hAnsi="仿宋" w:eastAsia="仿宋" w:cs="仿宋"/>
          <w:b w:val="0"/>
          <w:bCs/>
          <w:color w:val="auto"/>
          <w:spacing w:val="-2"/>
          <w:sz w:val="24"/>
          <w:szCs w:val="24"/>
          <w:highlight w:val="none"/>
        </w:rPr>
        <w:t>。</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5</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的组成</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 xml:space="preserve">.1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包括内容：</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第一章  </w:t>
      </w:r>
      <w:r>
        <w:rPr>
          <w:rFonts w:hint="eastAsia" w:ascii="仿宋" w:hAnsi="仿宋" w:eastAsia="仿宋" w:cs="仿宋"/>
          <w:b w:val="0"/>
          <w:bCs/>
          <w:color w:val="auto"/>
          <w:sz w:val="24"/>
          <w:szCs w:val="24"/>
          <w:highlight w:val="none"/>
          <w:lang w:eastAsia="zh-CN"/>
        </w:rPr>
        <w:t>磋商</w:t>
      </w:r>
      <w:r>
        <w:rPr>
          <w:rFonts w:hint="eastAsia" w:ascii="仿宋" w:hAnsi="仿宋" w:eastAsia="仿宋" w:cs="仿宋"/>
          <w:b w:val="0"/>
          <w:bCs/>
          <w:color w:val="auto"/>
          <w:sz w:val="24"/>
          <w:szCs w:val="24"/>
          <w:highlight w:val="none"/>
        </w:rPr>
        <w:t>公告</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第二章  投标须知</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第三章  评标办法</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第四章  采购内容及技术要求</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第五章  合同条款及格式</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第六章  投标文件格式文本</w:t>
      </w:r>
    </w:p>
    <w:p>
      <w:pPr>
        <w:shd w:val="clear" w:color="auto" w:fill="auto"/>
        <w:spacing w:line="440" w:lineRule="exact"/>
        <w:ind w:firstLine="1680" w:firstLineChars="7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第七章  招标单位、招标代理机构对本文件的确认</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.2 除1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.1内容外，招标答疑亦为</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的组成部分，对招标人和投标人起约束作用。</w:t>
      </w:r>
    </w:p>
    <w:p>
      <w:pPr>
        <w:pStyle w:val="13"/>
        <w:shd w:val="clear" w:color="auto" w:fill="auto"/>
        <w:wordWrap w:val="0"/>
        <w:spacing w:line="400" w:lineRule="exact"/>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.3</w:t>
      </w:r>
      <w:r>
        <w:rPr>
          <w:rFonts w:hint="eastAsia" w:ascii="仿宋" w:hAnsi="仿宋" w:eastAsia="仿宋" w:cs="仿宋"/>
          <w:b w:val="0"/>
          <w:bCs/>
          <w:color w:val="auto"/>
          <w:sz w:val="24"/>
          <w:szCs w:val="24"/>
          <w:highlight w:val="none"/>
          <w:u w:val="none" w:color="auto"/>
        </w:rPr>
        <w:t>投标人应仔细阅读和检查</w:t>
      </w:r>
      <w:r>
        <w:rPr>
          <w:rFonts w:hint="eastAsia" w:ascii="仿宋" w:hAnsi="仿宋" w:eastAsia="仿宋" w:cs="仿宋"/>
          <w:b w:val="0"/>
          <w:bCs/>
          <w:color w:val="auto"/>
          <w:sz w:val="24"/>
          <w:szCs w:val="24"/>
          <w:highlight w:val="none"/>
          <w:u w:val="none" w:color="auto"/>
          <w:lang w:eastAsia="zh-CN"/>
        </w:rPr>
        <w:t>采购文件</w:t>
      </w:r>
      <w:r>
        <w:rPr>
          <w:rFonts w:hint="eastAsia" w:ascii="仿宋" w:hAnsi="仿宋" w:eastAsia="仿宋" w:cs="仿宋"/>
          <w:b w:val="0"/>
          <w:bCs/>
          <w:color w:val="auto"/>
          <w:sz w:val="24"/>
          <w:szCs w:val="24"/>
          <w:highlight w:val="none"/>
          <w:u w:val="none" w:color="auto"/>
        </w:rPr>
        <w:t>的全部内容。如发现缺页或附件不全，应及时向招标人提出，以便补齐。如有疑问，投标人应在</w:t>
      </w:r>
      <w:r>
        <w:rPr>
          <w:rFonts w:hint="eastAsia" w:ascii="仿宋" w:hAnsi="仿宋" w:eastAsia="仿宋" w:cs="仿宋"/>
          <w:b w:val="0"/>
          <w:bCs/>
          <w:color w:val="auto"/>
          <w:sz w:val="24"/>
          <w:szCs w:val="24"/>
          <w:highlight w:val="none"/>
        </w:rPr>
        <w:t>以书面形式一次性向采购人和采购代理机构提出同一环节的质疑</w:t>
      </w:r>
      <w:r>
        <w:rPr>
          <w:rFonts w:hint="eastAsia" w:ascii="仿宋" w:hAnsi="仿宋" w:eastAsia="仿宋" w:cs="仿宋"/>
          <w:b w:val="0"/>
          <w:bCs/>
          <w:color w:val="auto"/>
          <w:sz w:val="24"/>
          <w:szCs w:val="24"/>
          <w:highlight w:val="none"/>
          <w:u w:val="none" w:color="auto"/>
        </w:rPr>
        <w:t>。</w:t>
      </w:r>
    </w:p>
    <w:p>
      <w:pPr>
        <w:shd w:val="clear" w:color="auto" w:fill="auto"/>
        <w:wordWrap w:val="0"/>
        <w:spacing w:line="440" w:lineRule="exact"/>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的澄清将在</w:t>
      </w:r>
      <w:r>
        <w:rPr>
          <w:rFonts w:hint="eastAsia" w:ascii="仿宋" w:hAnsi="仿宋" w:eastAsia="仿宋" w:cs="仿宋"/>
          <w:b w:val="0"/>
          <w:bCs/>
          <w:color w:val="auto"/>
          <w:sz w:val="24"/>
          <w:szCs w:val="24"/>
          <w:highlight w:val="none"/>
          <w:lang w:eastAsia="zh-CN"/>
        </w:rPr>
        <w:t>政采云平台“更正公告”栏目予以公告</w:t>
      </w:r>
      <w:r>
        <w:rPr>
          <w:rFonts w:hint="eastAsia" w:ascii="仿宋" w:hAnsi="仿宋" w:eastAsia="仿宋" w:cs="仿宋"/>
          <w:b w:val="0"/>
          <w:bCs/>
          <w:color w:val="auto"/>
          <w:sz w:val="24"/>
          <w:szCs w:val="24"/>
          <w:highlight w:val="none"/>
        </w:rPr>
        <w:t>，但不指明澄清问题的来源。如果澄清内容影响投标文件编制的，将相应延长投标截止时间。</w:t>
      </w:r>
    </w:p>
    <w:p>
      <w:pPr>
        <w:shd w:val="clear" w:color="auto" w:fill="auto"/>
        <w:spacing w:line="440" w:lineRule="exact"/>
        <w:ind w:firstLine="480" w:firstLineChars="20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6</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的修改、补充、解释</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发出后，招标人在规定的投标截止时间前可对</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进行必要的修改和补充，并以</w:t>
      </w:r>
      <w:r>
        <w:rPr>
          <w:rFonts w:hint="eastAsia" w:ascii="仿宋" w:hAnsi="仿宋" w:eastAsia="仿宋" w:cs="仿宋"/>
          <w:b w:val="0"/>
          <w:bCs/>
          <w:color w:val="auto"/>
          <w:sz w:val="24"/>
          <w:szCs w:val="24"/>
          <w:highlight w:val="none"/>
          <w:lang w:eastAsia="zh-CN"/>
        </w:rPr>
        <w:t>更正</w:t>
      </w:r>
      <w:r>
        <w:rPr>
          <w:rFonts w:hint="eastAsia" w:ascii="仿宋" w:hAnsi="仿宋" w:eastAsia="仿宋" w:cs="仿宋"/>
          <w:b w:val="0"/>
          <w:bCs/>
          <w:color w:val="auto"/>
          <w:sz w:val="24"/>
          <w:szCs w:val="24"/>
          <w:highlight w:val="none"/>
        </w:rPr>
        <w:t>公告形式在</w:t>
      </w:r>
      <w:r>
        <w:rPr>
          <w:rFonts w:hint="eastAsia" w:ascii="仿宋" w:hAnsi="仿宋" w:eastAsia="仿宋" w:cs="仿宋"/>
          <w:b w:val="0"/>
          <w:bCs/>
          <w:color w:val="auto"/>
          <w:sz w:val="24"/>
          <w:szCs w:val="24"/>
          <w:highlight w:val="none"/>
          <w:lang w:eastAsia="zh-CN"/>
        </w:rPr>
        <w:t>政采云平台</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eastAsia="zh-CN"/>
        </w:rPr>
        <w:t>更正公告</w:t>
      </w:r>
      <w:r>
        <w:rPr>
          <w:rFonts w:hint="eastAsia" w:ascii="仿宋" w:hAnsi="仿宋" w:eastAsia="仿宋" w:cs="仿宋"/>
          <w:b w:val="0"/>
          <w:bCs/>
          <w:color w:val="auto"/>
          <w:sz w:val="24"/>
          <w:szCs w:val="24"/>
          <w:highlight w:val="none"/>
        </w:rPr>
        <w:t>”栏目予以公告，请各位投标人注意查看有关澄清内容，如不及时查看造成后果由投标人自负。</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的修改、补充等内容作为</w:t>
      </w: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的组成部分，具有约束作用。</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.2 采购代理机构可视采购具体情况对已发出的采购文件进行必要的澄清、修改或者补充。澄清、修改或者补充的内容可能影响投标文件编制的，应当在投标截止时间至少</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日前，在原公告发布媒体上发布澄清公告，澄清或者修改的内容为采购文件的组成部分；不足</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 xml:space="preserve">日的，应当顺延提交投标文件的截止时间。 </w:t>
      </w:r>
    </w:p>
    <w:p>
      <w:pPr>
        <w:shd w:val="clear" w:color="auto" w:fill="auto"/>
        <w:wordWrap w:val="0"/>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 xml:space="preserve"> 供应商在规定的时间内未对采购文件提出疑问、质疑或要求澄清的，将视其为无异议。</w:t>
      </w:r>
    </w:p>
    <w:p>
      <w:pPr>
        <w:shd w:val="clear" w:color="auto" w:fill="auto"/>
        <w:spacing w:line="400" w:lineRule="exact"/>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的解释</w:t>
      </w:r>
      <w:r>
        <w:rPr>
          <w:rFonts w:hint="eastAsia" w:ascii="仿宋" w:hAnsi="仿宋" w:eastAsia="仿宋" w:cs="仿宋"/>
          <w:b w:val="0"/>
          <w:bCs/>
          <w:color w:val="auto"/>
          <w:sz w:val="24"/>
          <w:szCs w:val="24"/>
          <w:highlight w:val="none"/>
          <w:lang w:val="en-US" w:eastAsia="zh-CN"/>
        </w:rPr>
        <w:t xml:space="preserve"> </w:t>
      </w:r>
    </w:p>
    <w:p>
      <w:pPr>
        <w:shd w:val="clear" w:color="auto" w:fill="auto"/>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由招标人（或其委托的招标代理机构）负责解释。</w:t>
      </w:r>
    </w:p>
    <w:p>
      <w:pPr>
        <w:shd w:val="clear" w:color="auto" w:fill="auto"/>
        <w:spacing w:line="400" w:lineRule="exact"/>
        <w:rPr>
          <w:rFonts w:hint="eastAsia" w:ascii="仿宋" w:hAnsi="仿宋" w:eastAsia="仿宋" w:cs="仿宋"/>
          <w:b/>
          <w:bCs w:val="0"/>
          <w:color w:val="auto"/>
          <w:sz w:val="24"/>
          <w:szCs w:val="24"/>
          <w:highlight w:val="none"/>
        </w:rPr>
      </w:pPr>
      <w:r>
        <w:rPr>
          <w:rFonts w:hint="eastAsia" w:ascii="仿宋" w:hAnsi="仿宋" w:eastAsia="仿宋" w:cs="仿宋"/>
          <w:b w:val="0"/>
          <w:bCs/>
          <w:color w:val="auto"/>
          <w:sz w:val="24"/>
          <w:szCs w:val="24"/>
          <w:highlight w:val="none"/>
        </w:rPr>
        <w:t xml:space="preserve">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7</w:t>
      </w:r>
      <w:r>
        <w:rPr>
          <w:rFonts w:hint="eastAsia" w:ascii="仿宋" w:hAnsi="仿宋" w:eastAsia="仿宋" w:cs="仿宋"/>
          <w:b/>
          <w:bCs w:val="0"/>
          <w:color w:val="auto"/>
          <w:sz w:val="24"/>
          <w:szCs w:val="24"/>
          <w:highlight w:val="none"/>
        </w:rPr>
        <w:t xml:space="preserve">. </w:t>
      </w:r>
      <w:r>
        <w:rPr>
          <w:rFonts w:hint="eastAsia" w:ascii="仿宋" w:hAnsi="仿宋" w:eastAsia="仿宋" w:cs="仿宋"/>
          <w:b/>
          <w:bCs w:val="0"/>
          <w:color w:val="auto"/>
          <w:sz w:val="24"/>
          <w:szCs w:val="24"/>
          <w:highlight w:val="none"/>
          <w:lang w:eastAsia="zh-CN"/>
        </w:rPr>
        <w:t>磋商文件</w:t>
      </w:r>
      <w:r>
        <w:rPr>
          <w:rFonts w:hint="eastAsia" w:ascii="仿宋" w:hAnsi="仿宋" w:eastAsia="仿宋" w:cs="仿宋"/>
          <w:b/>
          <w:bCs w:val="0"/>
          <w:color w:val="auto"/>
          <w:sz w:val="24"/>
          <w:szCs w:val="24"/>
          <w:highlight w:val="none"/>
        </w:rPr>
        <w:t>的发出</w:t>
      </w:r>
    </w:p>
    <w:p>
      <w:pPr>
        <w:shd w:val="clear" w:color="auto" w:fill="auto"/>
        <w:spacing w:line="40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 xml:space="preserve">.1 </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的澄清、修改、补充及招标答疑等均应报</w:t>
      </w:r>
      <w:r>
        <w:rPr>
          <w:rFonts w:hint="eastAsia" w:ascii="仿宋" w:hAnsi="仿宋" w:eastAsia="仿宋" w:cs="仿宋"/>
          <w:b w:val="0"/>
          <w:bCs/>
          <w:color w:val="auto"/>
          <w:sz w:val="24"/>
          <w:szCs w:val="24"/>
          <w:highlight w:val="none"/>
          <w:lang w:eastAsia="zh-CN"/>
        </w:rPr>
        <w:t>相关部门</w:t>
      </w:r>
      <w:r>
        <w:rPr>
          <w:rFonts w:hint="eastAsia" w:ascii="仿宋" w:hAnsi="仿宋" w:eastAsia="仿宋" w:cs="仿宋"/>
          <w:b w:val="0"/>
          <w:bCs/>
          <w:color w:val="auto"/>
          <w:sz w:val="24"/>
          <w:szCs w:val="24"/>
          <w:highlight w:val="none"/>
        </w:rPr>
        <w:t>备案后，方可发出。</w:t>
      </w:r>
    </w:p>
    <w:p>
      <w:pPr>
        <w:shd w:val="clear" w:color="auto" w:fill="auto"/>
        <w:spacing w:line="440" w:lineRule="exact"/>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1</w:t>
      </w:r>
      <w:r>
        <w:rPr>
          <w:rFonts w:hint="eastAsia" w:ascii="仿宋" w:hAnsi="仿宋" w:eastAsia="仿宋" w:cs="仿宋"/>
          <w:b/>
          <w:bCs w:val="0"/>
          <w:color w:val="auto"/>
          <w:sz w:val="24"/>
          <w:szCs w:val="24"/>
          <w:highlight w:val="none"/>
          <w:lang w:val="en-US" w:eastAsia="zh-CN"/>
        </w:rPr>
        <w:t>8</w:t>
      </w:r>
      <w:r>
        <w:rPr>
          <w:rFonts w:hint="eastAsia" w:ascii="仿宋" w:hAnsi="仿宋" w:eastAsia="仿宋" w:cs="仿宋"/>
          <w:b/>
          <w:bCs w:val="0"/>
          <w:color w:val="auto"/>
          <w:sz w:val="24"/>
          <w:szCs w:val="24"/>
          <w:highlight w:val="none"/>
        </w:rPr>
        <w:t>. 凡需要设置样品情形时，必须明确是否需要随样品提交检测报告，并明确检测机构的要求、检测内容、中</w:t>
      </w:r>
      <w:r>
        <w:rPr>
          <w:rFonts w:hint="eastAsia" w:ascii="仿宋" w:hAnsi="仿宋" w:eastAsia="仿宋" w:cs="仿宋"/>
          <w:b/>
          <w:bCs w:val="0"/>
          <w:color w:val="auto"/>
          <w:sz w:val="24"/>
          <w:szCs w:val="24"/>
          <w:highlight w:val="none"/>
          <w:lang w:eastAsia="zh-CN"/>
        </w:rPr>
        <w:t>成交</w:t>
      </w:r>
      <w:r>
        <w:rPr>
          <w:rFonts w:hint="eastAsia" w:ascii="仿宋" w:hAnsi="仿宋" w:eastAsia="仿宋" w:cs="仿宋"/>
          <w:b/>
          <w:bCs w:val="0"/>
          <w:color w:val="auto"/>
          <w:sz w:val="24"/>
          <w:szCs w:val="24"/>
          <w:highlight w:val="none"/>
        </w:rPr>
        <w:t>样品封存等事项。</w:t>
      </w:r>
      <w:r>
        <w:rPr>
          <w:rFonts w:hint="eastAsia" w:ascii="仿宋" w:hAnsi="仿宋" w:eastAsia="仿宋" w:cs="仿宋"/>
          <w:b w:val="0"/>
          <w:bCs/>
          <w:color w:val="auto"/>
          <w:sz w:val="24"/>
          <w:szCs w:val="24"/>
          <w:highlight w:val="none"/>
        </w:rPr>
        <w:t>（评标委员会无法判断样品是否合格且样品需要提供给第三方权威检测机构检测的,在投标人提供招标人认可的第三方权威检测机构检测报告后，评标委员会推荐的</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候选人方可生效，采购人或代理机构发布</w:t>
      </w:r>
      <w:r>
        <w:rPr>
          <w:rFonts w:hint="eastAsia" w:ascii="仿宋" w:hAnsi="仿宋" w:eastAsia="仿宋" w:cs="仿宋"/>
          <w:b w:val="0"/>
          <w:bCs/>
          <w:color w:val="auto"/>
          <w:sz w:val="24"/>
          <w:szCs w:val="24"/>
          <w:highlight w:val="none"/>
          <w:lang w:eastAsia="zh-CN"/>
        </w:rPr>
        <w:t>成交</w:t>
      </w:r>
      <w:r>
        <w:rPr>
          <w:rFonts w:hint="eastAsia" w:ascii="仿宋" w:hAnsi="仿宋" w:eastAsia="仿宋" w:cs="仿宋"/>
          <w:b w:val="0"/>
          <w:bCs/>
          <w:color w:val="auto"/>
          <w:sz w:val="24"/>
          <w:szCs w:val="24"/>
          <w:highlight w:val="none"/>
        </w:rPr>
        <w:t>（成交）结果公告。</w:t>
      </w:r>
    </w:p>
    <w:p>
      <w:pPr>
        <w:shd w:val="clear" w:color="auto" w:fill="auto"/>
        <w:spacing w:line="400" w:lineRule="exact"/>
        <w:ind w:firstLine="42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采购文件</w:t>
      </w:r>
      <w:r>
        <w:rPr>
          <w:rFonts w:hint="eastAsia" w:ascii="仿宋" w:hAnsi="仿宋" w:eastAsia="仿宋" w:cs="仿宋"/>
          <w:b w:val="0"/>
          <w:bCs/>
          <w:color w:val="auto"/>
          <w:sz w:val="24"/>
          <w:szCs w:val="24"/>
          <w:highlight w:val="none"/>
        </w:rPr>
        <w:t>中应明确样品送检方式、检测费用支付方法、投标人在规定时间内无法提供第三方权威检测机构检测报告的处理方式。（</w:t>
      </w:r>
      <w:r>
        <w:rPr>
          <w:rFonts w:hint="eastAsia" w:ascii="仿宋" w:hAnsi="仿宋" w:eastAsia="仿宋" w:cs="仿宋"/>
          <w:b w:val="0"/>
          <w:bCs/>
          <w:color w:val="auto"/>
          <w:sz w:val="24"/>
          <w:szCs w:val="24"/>
          <w:highlight w:val="none"/>
          <w:lang w:eastAsia="zh-CN"/>
        </w:rPr>
        <w:t>采购人</w:t>
      </w:r>
      <w:r>
        <w:rPr>
          <w:rFonts w:hint="eastAsia" w:ascii="仿宋" w:hAnsi="仿宋" w:eastAsia="仿宋" w:cs="仿宋"/>
          <w:b w:val="0"/>
          <w:bCs/>
          <w:color w:val="auto"/>
          <w:sz w:val="24"/>
          <w:szCs w:val="24"/>
          <w:highlight w:val="none"/>
        </w:rPr>
        <w:t>根据项目需求按上述要求自行描述）</w:t>
      </w:r>
    </w:p>
    <w:p>
      <w:pPr>
        <w:shd w:val="clear" w:color="auto" w:fill="auto"/>
        <w:spacing w:before="312" w:beforeLines="100" w:after="312" w:afterLines="100" w:line="440" w:lineRule="exact"/>
        <w:jc w:val="center"/>
        <w:outlineLvl w:val="9"/>
        <w:rPr>
          <w:rFonts w:hint="eastAsia" w:ascii="仿宋" w:hAnsi="仿宋" w:eastAsia="仿宋" w:cs="仿宋"/>
          <w:b/>
          <w:color w:val="auto"/>
          <w:sz w:val="24"/>
          <w:szCs w:val="24"/>
          <w:highlight w:val="none"/>
          <w:lang w:eastAsia="zh-CN"/>
        </w:rPr>
      </w:pPr>
    </w:p>
    <w:p>
      <w:pPr>
        <w:pStyle w:val="6"/>
        <w:rPr>
          <w:rFonts w:hint="eastAsia"/>
          <w:color w:val="auto"/>
          <w:lang w:eastAsia="zh-CN"/>
        </w:rPr>
      </w:pPr>
    </w:p>
    <w:p>
      <w:pPr>
        <w:shd w:val="clear" w:color="auto" w:fill="auto"/>
        <w:spacing w:before="312" w:beforeLines="100" w:after="312" w:afterLines="100" w:line="440" w:lineRule="exact"/>
        <w:jc w:val="center"/>
        <w:outlineLvl w:val="9"/>
        <w:rPr>
          <w:rFonts w:hint="eastAsia" w:ascii="仿宋" w:hAnsi="仿宋" w:eastAsia="仿宋" w:cs="仿宋"/>
          <w:b/>
          <w:color w:val="auto"/>
          <w:sz w:val="28"/>
          <w:szCs w:val="28"/>
          <w:highlight w:val="none"/>
        </w:rPr>
      </w:pPr>
      <w:bookmarkStart w:id="41" w:name="_Toc28634"/>
      <w:bookmarkStart w:id="42" w:name="_Toc13676"/>
      <w:bookmarkStart w:id="43" w:name="_Toc469495726"/>
      <w:r>
        <w:rPr>
          <w:rFonts w:hint="eastAsia" w:ascii="仿宋" w:hAnsi="仿宋" w:eastAsia="仿宋" w:cs="仿宋"/>
          <w:b/>
          <w:color w:val="auto"/>
          <w:sz w:val="28"/>
          <w:szCs w:val="28"/>
          <w:highlight w:val="none"/>
        </w:rPr>
        <w:t>（三）响应文件的编制</w:t>
      </w:r>
      <w:bookmarkEnd w:id="41"/>
      <w:bookmarkEnd w:id="42"/>
      <w:bookmarkEnd w:id="43"/>
    </w:p>
    <w:p>
      <w:pPr>
        <w:shd w:val="clear" w:color="auto" w:fill="auto"/>
        <w:spacing w:line="440" w:lineRule="exact"/>
        <w:ind w:firstLine="348" w:firstLineChars="145"/>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19</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投标的语言及度量衡单位</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1投标人提交的投标文件、技术文件和资料，以及投标人与招标人就有关投标的所有来往函电均应使用中文。投标文件中若有英文或其他语言文字的资料，应提供相应的中文翻译资料。对不同文本投标文件的解释发生异议的，以中文文本为准。</w:t>
      </w:r>
    </w:p>
    <w:p>
      <w:pPr>
        <w:shd w:val="clear" w:color="auto" w:fill="auto"/>
        <w:spacing w:line="440" w:lineRule="exact"/>
        <w:ind w:firstLine="324" w:firstLineChars="13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19</w:t>
      </w:r>
      <w:r>
        <w:rPr>
          <w:rFonts w:hint="eastAsia" w:ascii="仿宋" w:hAnsi="仿宋" w:eastAsia="仿宋" w:cs="仿宋"/>
          <w:color w:val="auto"/>
          <w:sz w:val="24"/>
          <w:szCs w:val="24"/>
          <w:highlight w:val="none"/>
        </w:rPr>
        <w:t>.2除</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中另有规定外，投标书所使用的度量衡均须采用法定计量单位。</w:t>
      </w:r>
    </w:p>
    <w:p>
      <w:pPr>
        <w:shd w:val="clear" w:color="auto" w:fill="auto"/>
        <w:spacing w:line="400" w:lineRule="exact"/>
        <w:ind w:firstLine="475" w:firstLineChars="198"/>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 响应文件的组成</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资格证明文件和商务及技术文件两部分。</w:t>
      </w:r>
    </w:p>
    <w:p>
      <w:pPr>
        <w:shd w:val="clear" w:color="auto" w:fill="auto"/>
        <w:spacing w:line="440" w:lineRule="exact"/>
        <w:ind w:firstLine="352" w:firstLineChars="147"/>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.1资格证明文件</w:t>
      </w:r>
      <w:r>
        <w:rPr>
          <w:rFonts w:hint="eastAsia" w:ascii="仿宋" w:hAnsi="仿宋" w:eastAsia="仿宋" w:cs="仿宋"/>
          <w:b/>
          <w:color w:val="auto"/>
          <w:sz w:val="24"/>
          <w:szCs w:val="24"/>
          <w:highlight w:val="none"/>
          <w:lang w:eastAsia="zh-CN"/>
        </w:rPr>
        <w:t>（包括但不限于）</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资格证明</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是证明投标人有资格参加投标和中标后有能力履行合同的文件，这些文件应能满足招标的要求，否则作无效投标处理。</w:t>
      </w:r>
    </w:p>
    <w:p>
      <w:pPr>
        <w:shd w:val="clear" w:color="auto" w:fill="auto"/>
        <w:spacing w:line="400" w:lineRule="exact"/>
        <w:ind w:firstLine="240" w:firstLineChars="1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开标一览表</w:t>
      </w:r>
      <w:r>
        <w:rPr>
          <w:rFonts w:hint="eastAsia" w:ascii="仿宋" w:hAnsi="仿宋" w:eastAsia="仿宋" w:cs="仿宋"/>
          <w:color w:val="auto"/>
          <w:sz w:val="24"/>
          <w:szCs w:val="24"/>
          <w:highlight w:val="non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法人或者非法人组织的营业执照等证明文件复印件（须加盖本单位章）或自然人的身份证明复印件</w:t>
      </w:r>
      <w:r>
        <w:rPr>
          <w:rFonts w:hint="eastAsia" w:ascii="仿宋" w:hAnsi="仿宋" w:eastAsia="仿宋" w:cs="仿宋"/>
          <w:color w:val="auto"/>
          <w:sz w:val="24"/>
          <w:szCs w:val="24"/>
          <w:highlight w:val="none"/>
          <w:lang w:eastAsia="zh-CN"/>
        </w:rPr>
        <w:t>；</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法定代表人授权委托书（自然人投标的无需提供）</w:t>
      </w:r>
      <w:r>
        <w:rPr>
          <w:rFonts w:hint="eastAsia" w:ascii="仿宋" w:hAnsi="仿宋" w:eastAsia="仿宋" w:cs="仿宋"/>
          <w:color w:val="auto"/>
          <w:sz w:val="24"/>
          <w:szCs w:val="24"/>
          <w:highlight w:val="none"/>
          <w:lang w:eastAsia="zh-CN"/>
        </w:rPr>
        <w:t>；</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法定代表人授权书（自然人投标的无需提供）</w:t>
      </w:r>
      <w:r>
        <w:rPr>
          <w:rFonts w:hint="eastAsia" w:ascii="仿宋" w:hAnsi="仿宋" w:eastAsia="仿宋" w:cs="仿宋"/>
          <w:color w:val="auto"/>
          <w:sz w:val="24"/>
          <w:szCs w:val="24"/>
          <w:highlight w:val="non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需提供上一年度审计报告</w:t>
      </w:r>
      <w:r>
        <w:rPr>
          <w:rFonts w:hint="eastAsia" w:ascii="仿宋" w:hAnsi="仿宋" w:eastAsia="仿宋" w:cs="仿宋"/>
          <w:color w:val="auto"/>
          <w:sz w:val="24"/>
          <w:szCs w:val="24"/>
          <w:highlight w:val="none"/>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r>
        <w:rPr>
          <w:rFonts w:hint="eastAsia" w:ascii="仿宋" w:hAnsi="仿宋" w:eastAsia="仿宋" w:cs="仿宋"/>
          <w:color w:val="auto"/>
          <w:sz w:val="24"/>
          <w:szCs w:val="24"/>
          <w:highlight w:val="none"/>
          <w:lang w:eastAsia="zh-CN"/>
        </w:rPr>
        <w:t>收据和汇款凭证</w:t>
      </w:r>
      <w:r>
        <w:rPr>
          <w:rFonts w:hint="eastAsia" w:ascii="仿宋" w:hAnsi="仿宋" w:eastAsia="仿宋" w:cs="仿宋"/>
          <w:color w:val="auto"/>
          <w:sz w:val="24"/>
          <w:szCs w:val="24"/>
          <w:highlight w:val="none"/>
        </w:rPr>
        <w:t>或投标担保函；</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（7）社会保障资金的缴纳记录；</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（8）参加政府采购活动前3年内在经营活动中没有重大违法记录的书面声明;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（9）投标人须知资料表要求的其他资格证明文件；</w:t>
      </w:r>
    </w:p>
    <w:p>
      <w:pPr>
        <w:shd w:val="clear" w:color="auto" w:fill="auto"/>
        <w:spacing w:line="440" w:lineRule="exact"/>
        <w:ind w:firstLine="352" w:firstLineChars="147"/>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0</w:t>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 xml:space="preserve"> 商务及技术文件</w:t>
      </w:r>
      <w:r>
        <w:rPr>
          <w:rFonts w:hint="eastAsia" w:ascii="仿宋" w:hAnsi="仿宋" w:eastAsia="仿宋" w:cs="仿宋"/>
          <w:b/>
          <w:color w:val="auto"/>
          <w:sz w:val="24"/>
          <w:szCs w:val="24"/>
          <w:highlight w:val="none"/>
          <w:lang w:eastAsia="zh-CN"/>
        </w:rPr>
        <w:t>（包括但不限于）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1、投标书（附件1）</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2、投标分项报价表（附件2）</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3、货物说明一览表（附件3）</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4、技术规格偏离表（附件4）</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5、商务条款偏离表（附件5）</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6、投标人关联单位的说明</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7、中小企业声明函(货物)（附件6）</w:t>
      </w:r>
    </w:p>
    <w:p>
      <w:pPr>
        <w:shd w:val="clear" w:color="auto" w:fill="auto"/>
        <w:spacing w:line="400" w:lineRule="exact"/>
        <w:ind w:firstLine="895" w:firstLineChars="373"/>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制造商企业（单位）类型声明函（附件7）</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8、《残疾人福利性单位声明函》（附件8）</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9、评分标准和细则中技术部分证明材料（格式自拟）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10、评分标准和细则中商务部分证明材料（格式自拟）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11、投标人认为有必要提供的其他证明材料（格式自拟）</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b/>
          <w:color w:val="auto"/>
          <w:kern w:val="0"/>
          <w:sz w:val="24"/>
          <w:szCs w:val="24"/>
          <w:highlight w:val="none"/>
          <w:u w:val="single"/>
        </w:rPr>
        <w:t>注：以上材料须</w:t>
      </w:r>
      <w:r>
        <w:rPr>
          <w:rFonts w:hint="eastAsia" w:ascii="仿宋" w:hAnsi="仿宋" w:eastAsia="仿宋" w:cs="仿宋"/>
          <w:b/>
          <w:color w:val="auto"/>
          <w:kern w:val="0"/>
          <w:sz w:val="24"/>
          <w:szCs w:val="24"/>
          <w:highlight w:val="none"/>
          <w:u w:val="single"/>
          <w:lang w:eastAsia="zh-CN"/>
        </w:rPr>
        <w:t>逐页</w:t>
      </w:r>
      <w:r>
        <w:rPr>
          <w:rFonts w:hint="eastAsia" w:ascii="仿宋" w:hAnsi="仿宋" w:eastAsia="仿宋" w:cs="仿宋"/>
          <w:b/>
          <w:color w:val="auto"/>
          <w:kern w:val="0"/>
          <w:sz w:val="24"/>
          <w:szCs w:val="24"/>
          <w:highlight w:val="none"/>
          <w:u w:val="single"/>
        </w:rPr>
        <w:t>加盖单位公章</w:t>
      </w:r>
      <w:r>
        <w:rPr>
          <w:rFonts w:hint="eastAsia" w:ascii="仿宋" w:hAnsi="仿宋" w:eastAsia="仿宋" w:cs="仿宋"/>
          <w:b/>
          <w:color w:val="auto"/>
          <w:kern w:val="0"/>
          <w:sz w:val="24"/>
          <w:szCs w:val="24"/>
          <w:highlight w:val="none"/>
          <w:u w:val="single"/>
          <w:lang w:eastAsia="zh-CN"/>
        </w:rPr>
        <w:t>。</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投标文件的要求</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供应商应仔细阅读竞争性磋商文件的所有内容，按照竞争性磋商文件的要求详细编制投标文件，所提交的全部资料必须真实有效，并且要保证字迹清晰易于辨认。投标文件应对竞争性磋商文件实质性内容作出响应，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）投标文件格式应按本竞争性磋商文件第六章格式要求编制，不得对竞争性磋商文件格式进行增删更改，否则按无效标处理。</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 xml:space="preserve">）对竞争性磋商文件格式可更改的例外情况：竞争性磋商文件第六章附件格式要求中明确规定表格中行数不够用时可按相同格式增加行数，其他一切内容和格式不得更改。 </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）投标文件为电子投标文件，电子投标文件按“政采云供应商项目采购-电子招投标操作指南”及本竞争性磋商文件要求制作、加密传输。</w:t>
      </w:r>
    </w:p>
    <w:p>
      <w:pPr>
        <w:shd w:val="clear" w:color="auto" w:fill="auto"/>
        <w:spacing w:line="400" w:lineRule="exact"/>
        <w:ind w:firstLine="477" w:firstLineChars="199"/>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）投标文件未在投标截止时间前完成传输的，视为投标文件撤回；投标文件未按时解密也未提供备份投标文件的，亦视为投标文件撤回。</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b/>
          <w:color w:val="auto"/>
          <w:sz w:val="24"/>
          <w:szCs w:val="24"/>
          <w:highlight w:val="none"/>
          <w:lang w:eastAsia="zh-CN"/>
        </w:rPr>
        <w:t>竞争性磋商</w:t>
      </w:r>
      <w:r>
        <w:rPr>
          <w:rFonts w:hint="eastAsia" w:ascii="仿宋" w:hAnsi="仿宋" w:eastAsia="仿宋" w:cs="仿宋"/>
          <w:b/>
          <w:color w:val="auto"/>
          <w:sz w:val="24"/>
          <w:szCs w:val="24"/>
          <w:highlight w:val="none"/>
        </w:rPr>
        <w:t>报价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.1投标报价文件中的单价和总价全部采用人民币表示。</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.2投标报价表上应清楚地标明投标人拟提供货物的名称、型号、生产厂家、数量、单价和总价。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.3本项目报价为</w:t>
      </w:r>
      <w:r>
        <w:rPr>
          <w:rFonts w:hint="eastAsia" w:ascii="仿宋" w:hAnsi="仿宋" w:eastAsia="仿宋" w:cs="仿宋"/>
          <w:b/>
          <w:bCs/>
          <w:color w:val="auto"/>
          <w:sz w:val="24"/>
          <w:szCs w:val="24"/>
          <w:highlight w:val="none"/>
        </w:rPr>
        <w:t>分次</w:t>
      </w:r>
      <w:r>
        <w:rPr>
          <w:rFonts w:hint="eastAsia" w:ascii="仿宋" w:hAnsi="仿宋" w:eastAsia="仿宋" w:cs="仿宋"/>
          <w:color w:val="auto"/>
          <w:sz w:val="24"/>
          <w:szCs w:val="24"/>
          <w:highlight w:val="none"/>
        </w:rPr>
        <w:t>报价，供应商响应文件中的报价作为第一次报价；以最终</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磋商报价作为评审价</w:t>
      </w:r>
      <w:r>
        <w:rPr>
          <w:rFonts w:hint="eastAsia" w:ascii="仿宋" w:hAnsi="仿宋" w:eastAsia="仿宋" w:cs="仿宋"/>
          <w:color w:val="auto"/>
          <w:sz w:val="24"/>
          <w:szCs w:val="24"/>
          <w:highlight w:val="none"/>
          <w:lang w:eastAsia="zh-CN"/>
        </w:rPr>
        <w:t>。</w:t>
      </w:r>
    </w:p>
    <w:p>
      <w:pPr>
        <w:shd w:val="clear" w:color="auto" w:fill="auto"/>
        <w:spacing w:line="440" w:lineRule="exact"/>
        <w:ind w:firstLine="480" w:firstLineChars="200"/>
        <w:outlineLvl w:val="9"/>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.4</w:t>
      </w:r>
      <w:r>
        <w:rPr>
          <w:rFonts w:hint="eastAsia" w:ascii="仿宋" w:hAnsi="仿宋" w:eastAsia="仿宋" w:cs="仿宋"/>
          <w:b/>
          <w:bCs/>
          <w:color w:val="auto"/>
          <w:sz w:val="24"/>
          <w:szCs w:val="24"/>
          <w:highlight w:val="none"/>
          <w:lang w:eastAsia="zh-CN"/>
        </w:rPr>
        <w:t>投标人应按“采购内容及技术参数要求”所列货物进行单价报价，并最终按货物总量乘以货物单价报总价，不得采用总价下浮的方式进行报价。综合单价包括（包含但不限于）：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及后期服务及国家对成交单位征收的各种税费等所有一切费用，综合单价今后将不作任何调整。</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.5投标报价的价格是货物交货地验收价格，其总价即为履行合同的固定总价。</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.6技术要求中规定的安装、调试和培训费用应包括在投标价格中。投标文件报价为含税价，招标人不再为此次招标支付任何费用。</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.7投标报价应由法定代表人或被授权人签署。</w:t>
      </w:r>
    </w:p>
    <w:p>
      <w:pPr>
        <w:shd w:val="clear" w:color="auto" w:fill="auto"/>
        <w:spacing w:line="440" w:lineRule="exact"/>
        <w:ind w:firstLine="480" w:firstLineChars="200"/>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.8</w:t>
      </w:r>
      <w:r>
        <w:rPr>
          <w:rFonts w:hint="eastAsia" w:ascii="仿宋" w:hAnsi="仿宋" w:eastAsia="仿宋" w:cs="仿宋"/>
          <w:b/>
          <w:color w:val="auto"/>
          <w:sz w:val="24"/>
          <w:szCs w:val="24"/>
          <w:highlight w:val="none"/>
        </w:rPr>
        <w:t>投标人投标总报价，不得高于本次招标设置的最高限价，</w:t>
      </w:r>
      <w:r>
        <w:rPr>
          <w:rFonts w:hint="eastAsia" w:ascii="仿宋" w:hAnsi="仿宋" w:eastAsia="仿宋" w:cs="仿宋"/>
          <w:b/>
          <w:bCs/>
          <w:color w:val="auto"/>
          <w:sz w:val="24"/>
          <w:szCs w:val="24"/>
          <w:highlight w:val="none"/>
        </w:rPr>
        <w:t>否则将作为无效投标处理。</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.9如投标文件中未列明全面实现投标货物功能而必须配置的配套或辅助设施及相应技术措施的费用，这些费用将被视为已包含在总投标价中。</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.10总投标价中不得包含</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要求以外的内容，否则，在评标时不予核减，但在授予合同时，招标人有权将这部分价格从其中标价格中扣除。</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.11总投标价中不得缺漏</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所要求的内容，否则，评标时将有效投标中该项内容的最高价计入其评标总价，但在授予合同时，缺漏项目的报价视作已含在其他项目的报价中，这些项目将作为免费赠送而包含在合同内。</w:t>
      </w:r>
      <w:r>
        <w:rPr>
          <w:rFonts w:hint="eastAsia" w:ascii="仿宋" w:hAnsi="仿宋" w:eastAsia="仿宋" w:cs="仿宋"/>
          <w:color w:val="auto"/>
          <w:sz w:val="24"/>
          <w:szCs w:val="24"/>
          <w:highlight w:val="none"/>
          <w:lang w:val="en-US" w:eastAsia="zh-CN"/>
        </w:rPr>
        <w:t xml:space="preserve">    </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.12投标人不得对从第三方采购货物的随机备品、备件另行收费，否则在计算评标价时这部分费用将不予扣除，在授予合同时将从中标价格中扣除该部分费用。</w:t>
      </w:r>
    </w:p>
    <w:p>
      <w:pPr>
        <w:shd w:val="clear" w:color="auto" w:fill="auto"/>
        <w:spacing w:line="440" w:lineRule="exact"/>
        <w:ind w:firstLine="460" w:firstLineChars="192"/>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pPr>
        <w:shd w:val="clear" w:color="auto" w:fill="auto"/>
        <w:spacing w:line="44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 xml:space="preserve"> 投标有效期</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b/>
          <w:bCs/>
          <w:color w:val="auto"/>
          <w:sz w:val="24"/>
          <w:szCs w:val="24"/>
          <w:highlight w:val="none"/>
        </w:rPr>
        <w:t>除投标人须知前附表另有规定外，投标有效期为</w:t>
      </w:r>
      <w:r>
        <w:rPr>
          <w:rFonts w:hint="eastAsia" w:ascii="仿宋" w:hAnsi="仿宋" w:eastAsia="仿宋" w:cs="仿宋"/>
          <w:b/>
          <w:bCs/>
          <w:color w:val="auto"/>
          <w:sz w:val="24"/>
          <w:szCs w:val="24"/>
          <w:highlight w:val="none"/>
          <w:lang w:val="en-US" w:eastAsia="zh-CN"/>
        </w:rPr>
        <w:t>60</w:t>
      </w:r>
      <w:r>
        <w:rPr>
          <w:rFonts w:hint="eastAsia" w:ascii="仿宋" w:hAnsi="仿宋" w:eastAsia="仿宋" w:cs="仿宋"/>
          <w:b/>
          <w:bCs/>
          <w:color w:val="auto"/>
          <w:sz w:val="24"/>
          <w:szCs w:val="24"/>
          <w:highlight w:val="none"/>
        </w:rPr>
        <w:t>天。</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.2在投标有效期内，投标人撤销或修改其投标文件的，应承担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和法律规定的责任。</w:t>
      </w:r>
    </w:p>
    <w:p>
      <w:pPr>
        <w:shd w:val="clear" w:color="auto" w:fill="auto"/>
        <w:spacing w:line="44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hd w:val="clear" w:color="auto" w:fill="auto"/>
        <w:spacing w:line="440" w:lineRule="exact"/>
        <w:ind w:firstLine="460" w:firstLineChars="192"/>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投标人须知前附表规定递交投标保证金的，投标人在递交投标文件的同时，应按投标人须知前附表规定的金额、担保形式和第六章“投标文件格式”规定的投标保证金格式递交投标保证金，并作为其投标文件的组成部分。投标人不按要求提交投标保证金的，评标委员会将否决其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.2自</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通知书发出之日起5个工作日内退还未</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投标人的投标保证金，自政府采购合同签订之日起5个工作日内退还</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人的投标保证金。</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.3有下列情形之一的，投标保证金将不予退还： </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（1）投标人在规定的投标有效期内撤回或修改其投标文件；</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通知书发出后三十天内，</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人无正当理由拒签合同协议书或未按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规定提交履约担保。</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（3）提供虚假材料谋取中标的；</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（4）经查实属于陪标、串通投标的等。</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bookmarkStart w:id="44" w:name="_Toc469495727"/>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.4投标保证金按</w:t>
      </w:r>
      <w:r>
        <w:rPr>
          <w:rFonts w:hint="eastAsia" w:ascii="仿宋" w:hAnsi="仿宋" w:eastAsia="仿宋" w:cs="仿宋"/>
          <w:color w:val="auto"/>
          <w:sz w:val="24"/>
          <w:szCs w:val="24"/>
          <w:highlight w:val="none"/>
          <w:lang w:eastAsia="zh-CN"/>
        </w:rPr>
        <w:t>投标人须知前附表第</w:t>
      </w:r>
      <w:r>
        <w:rPr>
          <w:rFonts w:hint="eastAsia" w:ascii="仿宋" w:hAnsi="仿宋" w:eastAsia="仿宋" w:cs="仿宋"/>
          <w:color w:val="auto"/>
          <w:sz w:val="24"/>
          <w:szCs w:val="24"/>
          <w:highlight w:val="none"/>
          <w:lang w:val="en-US" w:eastAsia="zh-CN"/>
        </w:rPr>
        <w:t>24条</w:t>
      </w:r>
      <w:r>
        <w:rPr>
          <w:rFonts w:hint="eastAsia" w:ascii="仿宋" w:hAnsi="仿宋" w:eastAsia="仿宋" w:cs="仿宋"/>
          <w:color w:val="auto"/>
          <w:sz w:val="24"/>
          <w:szCs w:val="24"/>
          <w:highlight w:val="none"/>
        </w:rPr>
        <w:t>规定执行。</w:t>
      </w:r>
    </w:p>
    <w:p>
      <w:pPr>
        <w:shd w:val="clear" w:color="auto" w:fill="auto"/>
        <w:bidi w:val="0"/>
        <w:jc w:val="center"/>
        <w:outlineLvl w:val="9"/>
        <w:rPr>
          <w:rFonts w:hint="eastAsia" w:ascii="仿宋" w:hAnsi="仿宋" w:eastAsia="仿宋" w:cs="仿宋"/>
          <w:b/>
          <w:bCs/>
          <w:color w:val="auto"/>
          <w:sz w:val="28"/>
          <w:szCs w:val="28"/>
          <w:highlight w:val="none"/>
        </w:rPr>
      </w:pPr>
      <w:bookmarkStart w:id="45" w:name="_Toc1135"/>
      <w:bookmarkStart w:id="46" w:name="_Toc21843"/>
      <w:r>
        <w:rPr>
          <w:rFonts w:hint="eastAsia" w:ascii="仿宋" w:hAnsi="仿宋" w:eastAsia="仿宋" w:cs="仿宋"/>
          <w:b/>
          <w:bCs/>
          <w:color w:val="auto"/>
          <w:sz w:val="28"/>
          <w:szCs w:val="28"/>
          <w:highlight w:val="none"/>
        </w:rPr>
        <w:t>（四）</w:t>
      </w:r>
      <w:bookmarkEnd w:id="44"/>
      <w:r>
        <w:rPr>
          <w:rFonts w:hint="eastAsia" w:ascii="仿宋" w:hAnsi="仿宋" w:eastAsia="仿宋" w:cs="仿宋"/>
          <w:b/>
          <w:bCs/>
          <w:color w:val="auto"/>
          <w:sz w:val="28"/>
          <w:szCs w:val="28"/>
          <w:highlight w:val="none"/>
        </w:rPr>
        <w:t>投标文件的制作、上传及递交要求</w:t>
      </w:r>
      <w:bookmarkEnd w:id="45"/>
      <w:bookmarkEnd w:id="46"/>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24、</w:t>
      </w:r>
      <w:r>
        <w:rPr>
          <w:rFonts w:hint="eastAsia" w:ascii="仿宋" w:hAnsi="仿宋" w:eastAsia="仿宋" w:cs="仿宋"/>
          <w:b/>
          <w:bCs/>
          <w:color w:val="auto"/>
          <w:sz w:val="24"/>
          <w:szCs w:val="24"/>
          <w:highlight w:val="none"/>
        </w:rPr>
        <w:t>投标文件的制作要求</w:t>
      </w:r>
    </w:p>
    <w:p>
      <w:pPr>
        <w:pStyle w:val="8"/>
        <w:shd w:val="clear" w:color="auto" w:fill="auto"/>
        <w:snapToGrid w:val="0"/>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（1）供应商应按照投标文件组成内容及项目招标需求和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政府采购云平台要求制作投标文件，不按</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和</w:t>
      </w:r>
      <w:r>
        <w:rPr>
          <w:rFonts w:hint="eastAsia" w:ascii="仿宋" w:hAnsi="仿宋" w:eastAsia="仿宋" w:cs="仿宋"/>
          <w:b w:val="0"/>
          <w:bCs/>
          <w:color w:val="auto"/>
          <w:sz w:val="24"/>
          <w:szCs w:val="24"/>
          <w:highlight w:val="none"/>
          <w:lang w:eastAsia="zh-CN"/>
        </w:rPr>
        <w:t>新疆</w:t>
      </w:r>
      <w:r>
        <w:rPr>
          <w:rFonts w:hint="eastAsia" w:ascii="仿宋" w:hAnsi="仿宋" w:eastAsia="仿宋" w:cs="仿宋"/>
          <w:b w:val="0"/>
          <w:bCs/>
          <w:color w:val="auto"/>
          <w:sz w:val="24"/>
          <w:szCs w:val="24"/>
          <w:highlight w:val="none"/>
        </w:rPr>
        <w:t>政府采购云平台要求制作投标文件的将视情况处理（拒收等），由此产生的责任由供应商自行承担。</w:t>
      </w:r>
    </w:p>
    <w:p>
      <w:pPr>
        <w:pStyle w:val="8"/>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Cs/>
          <w:color w:val="auto"/>
          <w:sz w:val="24"/>
          <w:szCs w:val="24"/>
          <w:highlight w:val="none"/>
        </w:rPr>
        <w:t>电子投标文件部分：供应商应根据“政采云供应商项目采购-电子招投标操作指南”及本</w:t>
      </w:r>
      <w:r>
        <w:rPr>
          <w:rFonts w:hint="eastAsia" w:ascii="仿宋" w:hAnsi="仿宋" w:eastAsia="仿宋" w:cs="仿宋"/>
          <w:bCs/>
          <w:color w:val="auto"/>
          <w:sz w:val="24"/>
          <w:szCs w:val="24"/>
          <w:highlight w:val="none"/>
          <w:lang w:eastAsia="zh-CN"/>
        </w:rPr>
        <w:t>竞争性磋商文件</w:t>
      </w:r>
      <w:r>
        <w:rPr>
          <w:rFonts w:hint="eastAsia" w:ascii="仿宋" w:hAnsi="仿宋" w:eastAsia="仿宋" w:cs="仿宋"/>
          <w:bCs/>
          <w:color w:val="auto"/>
          <w:sz w:val="24"/>
          <w:szCs w:val="24"/>
          <w:highlight w:val="none"/>
        </w:rPr>
        <w:t>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章投标文件格式》未提供格式的，请供应商自行拟定格式，并加盖单位公章，否则视为未提供。</w:t>
      </w:r>
    </w:p>
    <w:p>
      <w:pPr>
        <w:pStyle w:val="8"/>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备份电子投标文件：通过“政采云”平台电子投标工具制作投标文件所产生的备份文件。</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（2）供应商应对所提供的全部资料的真实性、有效性承担法律责任，电子投标文件中所须加盖公章部分均采用CA签章。</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（3）投标文件以及供应商与采购组织机构就有关投标事宜的所有来往函电，均应以中文汉语书写。除签字、盖章、专用名称等特殊情形外，以中文汉语以外的文字表述的投标文件视同未提供。</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（4）投标计量单位，</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已有明确规定的，使用</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规定的计量单位；</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没有规定的，应采用中华人民共和国法定计量单位（货币单位：人民币元）。</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（5）若供应商不按</w:t>
      </w:r>
      <w:r>
        <w:rPr>
          <w:rFonts w:hint="eastAsia" w:ascii="仿宋" w:hAnsi="仿宋" w:eastAsia="仿宋" w:cs="仿宋"/>
          <w:b w:val="0"/>
          <w:bCs/>
          <w:color w:val="auto"/>
          <w:sz w:val="24"/>
          <w:szCs w:val="24"/>
          <w:highlight w:val="none"/>
          <w:lang w:eastAsia="zh-CN"/>
        </w:rPr>
        <w:t>竞争性磋商文件</w:t>
      </w:r>
      <w:r>
        <w:rPr>
          <w:rFonts w:hint="eastAsia" w:ascii="仿宋" w:hAnsi="仿宋" w:eastAsia="仿宋" w:cs="仿宋"/>
          <w:b w:val="0"/>
          <w:bCs/>
          <w:color w:val="auto"/>
          <w:sz w:val="24"/>
          <w:szCs w:val="24"/>
          <w:highlight w:val="none"/>
        </w:rPr>
        <w:t>的要求提供资格审查材料，其风险由供应商自行承担。</w:t>
      </w:r>
    </w:p>
    <w:p>
      <w:pPr>
        <w:pStyle w:val="8"/>
        <w:shd w:val="clear" w:color="auto" w:fill="auto"/>
        <w:snapToGrid w:val="0"/>
        <w:spacing w:line="360" w:lineRule="auto"/>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（6）与本次投标无关的内容请不要制作在内，确保投标文件有针对性、简洁明了。</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25、</w:t>
      </w:r>
      <w:r>
        <w:rPr>
          <w:rFonts w:hint="eastAsia" w:ascii="仿宋" w:hAnsi="仿宋" w:eastAsia="仿宋" w:cs="仿宋"/>
          <w:b/>
          <w:bCs/>
          <w:color w:val="auto"/>
          <w:sz w:val="24"/>
          <w:szCs w:val="24"/>
          <w:highlight w:val="none"/>
        </w:rPr>
        <w:t>投标文件的上传</w:t>
      </w:r>
    </w:p>
    <w:p>
      <w:pPr>
        <w:pStyle w:val="8"/>
        <w:shd w:val="clear" w:color="auto" w:fill="auto"/>
        <w:snapToGrid w:val="0"/>
        <w:spacing w:line="360" w:lineRule="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bidi="zh-CN"/>
        </w:rPr>
        <w:t>电子加密投标文件（“.jmbs”格式）</w:t>
      </w:r>
      <w:r>
        <w:rPr>
          <w:rFonts w:hint="eastAsia" w:ascii="仿宋" w:hAnsi="仿宋" w:eastAsia="仿宋" w:cs="仿宋"/>
          <w:b/>
          <w:bCs/>
          <w:color w:val="auto"/>
          <w:sz w:val="24"/>
          <w:szCs w:val="24"/>
          <w:highlight w:val="none"/>
        </w:rPr>
        <w:t>：</w:t>
      </w:r>
    </w:p>
    <w:p>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a.</w:t>
      </w:r>
      <w:r>
        <w:rPr>
          <w:rFonts w:hint="eastAsia" w:ascii="仿宋" w:hAnsi="仿宋" w:eastAsia="仿宋" w:cs="仿宋"/>
          <w:b w:val="0"/>
          <w:bCs/>
          <w:color w:val="auto"/>
          <w:kern w:val="0"/>
          <w:sz w:val="24"/>
          <w:szCs w:val="24"/>
          <w:highlight w:val="none"/>
        </w:rPr>
        <w:t xml:space="preserve"> </w:t>
      </w:r>
      <w:r>
        <w:rPr>
          <w:rFonts w:hint="eastAsia" w:ascii="仿宋" w:hAnsi="仿宋" w:eastAsia="仿宋" w:cs="仿宋"/>
          <w:b w:val="0"/>
          <w:bCs/>
          <w:color w:val="auto"/>
          <w:sz w:val="24"/>
          <w:szCs w:val="24"/>
          <w:highlight w:val="none"/>
          <w:lang w:bidi="zh-CN"/>
        </w:rPr>
        <w:t>供应商应在投标截止时间前将电子加密投标文件成功上传递交至新疆政府采购云平台，否则投标无效；</w:t>
      </w:r>
    </w:p>
    <w:p>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bidi="zh-CN"/>
        </w:rPr>
        <w:t>b.供应商成功上传电子加密投标文件后，可自行打印投标文件接收回执。</w:t>
      </w:r>
    </w:p>
    <w:p>
      <w:pPr>
        <w:pStyle w:val="8"/>
        <w:shd w:val="clear" w:color="auto" w:fill="auto"/>
        <w:snapToGrid w:val="0"/>
        <w:spacing w:line="360" w:lineRule="auto"/>
        <w:outlineLvl w:val="9"/>
        <w:rPr>
          <w:rFonts w:hint="eastAsia" w:ascii="仿宋" w:hAnsi="仿宋" w:eastAsia="仿宋" w:cs="仿宋"/>
          <w:b/>
          <w:bCs/>
          <w:color w:val="auto"/>
          <w:sz w:val="24"/>
          <w:szCs w:val="24"/>
          <w:highlight w:val="none"/>
          <w:lang w:bidi="zh-CN"/>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bidi="zh-CN"/>
        </w:rPr>
        <w:t>备份投标文件（“.bfbs”格式）：</w:t>
      </w:r>
    </w:p>
    <w:p>
      <w:pPr>
        <w:pStyle w:val="8"/>
        <w:shd w:val="clear" w:color="auto" w:fill="auto"/>
        <w:snapToGrid w:val="0"/>
        <w:spacing w:line="360" w:lineRule="auto"/>
        <w:ind w:firstLine="600" w:firstLineChars="250"/>
        <w:outlineLvl w:val="9"/>
        <w:rPr>
          <w:rFonts w:hint="eastAsia" w:ascii="仿宋" w:hAnsi="仿宋" w:eastAsia="仿宋" w:cs="仿宋"/>
          <w:color w:val="auto"/>
          <w:sz w:val="24"/>
          <w:szCs w:val="24"/>
          <w:highlight w:val="none"/>
          <w:lang w:bidi="zh-CN"/>
        </w:rPr>
      </w:pPr>
      <w:r>
        <w:rPr>
          <w:rFonts w:hint="eastAsia" w:ascii="仿宋" w:hAnsi="仿宋" w:eastAsia="仿宋" w:cs="仿宋"/>
          <w:b w:val="0"/>
          <w:bCs/>
          <w:color w:val="auto"/>
          <w:sz w:val="24"/>
          <w:szCs w:val="24"/>
          <w:highlight w:val="none"/>
          <w:lang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 w:val="24"/>
          <w:szCs w:val="24"/>
          <w:highlight w:val="none"/>
          <w:lang w:bidi="zh-CN"/>
        </w:rPr>
        <w:t>“备份投标文件”以投标截止时间前指定接收邮箱最终收到的文件为准，逾期或未按要求提供的视为未提供，建议供应商提前1日办理邮件提供事宜（接收人邮箱：</w:t>
      </w:r>
      <w:r>
        <w:rPr>
          <w:rFonts w:hint="eastAsia" w:ascii="仿宋" w:hAnsi="仿宋" w:eastAsia="仿宋" w:cs="仿宋"/>
          <w:color w:val="auto"/>
          <w:sz w:val="24"/>
          <w:szCs w:val="24"/>
          <w:highlight w:val="none"/>
          <w:lang w:val="en-US" w:bidi="zh-CN"/>
        </w:rPr>
        <w:t>756299071</w:t>
      </w:r>
      <w:r>
        <w:rPr>
          <w:rFonts w:hint="eastAsia" w:ascii="仿宋" w:hAnsi="仿宋" w:eastAsia="仿宋" w:cs="仿宋"/>
          <w:color w:val="auto"/>
          <w:sz w:val="24"/>
          <w:szCs w:val="24"/>
          <w:highlight w:val="none"/>
          <w:lang w:bidi="zh-CN"/>
        </w:rPr>
        <w:t>@qq.com，接收人：</w:t>
      </w:r>
      <w:r>
        <w:rPr>
          <w:rFonts w:hint="eastAsia" w:ascii="仿宋" w:hAnsi="仿宋" w:eastAsia="仿宋" w:cs="仿宋"/>
          <w:color w:val="auto"/>
          <w:sz w:val="24"/>
          <w:szCs w:val="24"/>
          <w:highlight w:val="none"/>
          <w:lang w:val="en-US" w:bidi="zh-CN"/>
        </w:rPr>
        <w:t>王先生</w:t>
      </w:r>
      <w:r>
        <w:rPr>
          <w:rFonts w:hint="eastAsia" w:ascii="仿宋" w:hAnsi="仿宋" w:eastAsia="仿宋" w:cs="仿宋"/>
          <w:color w:val="auto"/>
          <w:sz w:val="24"/>
          <w:szCs w:val="24"/>
          <w:highlight w:val="none"/>
          <w:lang w:bidi="zh-CN"/>
        </w:rPr>
        <w:t>，电话：</w:t>
      </w:r>
      <w:r>
        <w:rPr>
          <w:rFonts w:hint="eastAsia" w:ascii="仿宋" w:hAnsi="仿宋" w:eastAsia="仿宋" w:cs="仿宋"/>
          <w:color w:val="auto"/>
          <w:sz w:val="24"/>
          <w:szCs w:val="24"/>
          <w:highlight w:val="none"/>
          <w:lang w:val="en-US" w:bidi="zh-CN"/>
        </w:rPr>
        <w:t>18809085988</w:t>
      </w:r>
      <w:r>
        <w:rPr>
          <w:rFonts w:hint="eastAsia" w:ascii="仿宋" w:hAnsi="仿宋" w:eastAsia="仿宋" w:cs="仿宋"/>
          <w:color w:val="auto"/>
          <w:sz w:val="24"/>
          <w:szCs w:val="24"/>
          <w:highlight w:val="none"/>
          <w:lang w:bidi="zh-CN"/>
        </w:rPr>
        <w:t>）；</w:t>
      </w:r>
    </w:p>
    <w:p>
      <w:pPr>
        <w:pStyle w:val="8"/>
        <w:shd w:val="clear" w:color="auto" w:fill="auto"/>
        <w:snapToGrid w:val="0"/>
        <w:spacing w:line="360" w:lineRule="auto"/>
        <w:ind w:firstLine="600" w:firstLineChars="250"/>
        <w:outlineLvl w:val="9"/>
        <w:rPr>
          <w:rFonts w:hint="eastAsia" w:ascii="仿宋" w:hAnsi="仿宋" w:eastAsia="仿宋" w:cs="仿宋"/>
          <w:b w:val="0"/>
          <w:bCs/>
          <w:color w:val="auto"/>
          <w:sz w:val="24"/>
          <w:szCs w:val="24"/>
          <w:highlight w:val="none"/>
          <w:lang w:bidi="zh-CN"/>
        </w:rPr>
      </w:pPr>
      <w:r>
        <w:rPr>
          <w:rFonts w:hint="eastAsia" w:ascii="仿宋" w:hAnsi="仿宋" w:eastAsia="仿宋" w:cs="仿宋"/>
          <w:b w:val="0"/>
          <w:bCs/>
          <w:color w:val="auto"/>
          <w:sz w:val="24"/>
          <w:szCs w:val="24"/>
          <w:highlight w:val="none"/>
          <w:lang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26、</w:t>
      </w:r>
      <w:r>
        <w:rPr>
          <w:rFonts w:hint="eastAsia" w:ascii="仿宋" w:hAnsi="仿宋" w:eastAsia="仿宋" w:cs="仿宋"/>
          <w:b/>
          <w:color w:val="auto"/>
          <w:sz w:val="24"/>
          <w:szCs w:val="24"/>
          <w:highlight w:val="none"/>
        </w:rPr>
        <w:t>投标文件的递交要求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（1）供应商须按照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和政采云平台的要求编制并加密投标文件。在投标文件递交截止时间以前完成投标文件的传输递交，截止时间后递交的投标文件，将被拒收。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（2）备份电子投标文件必须在投标截止时间前送达指定的投标地点。备份电子投标文件在截止时间后提交，采购组织机构将拒绝接收。</w:t>
      </w:r>
    </w:p>
    <w:p>
      <w:pPr>
        <w:shd w:val="clear" w:color="auto" w:fill="auto"/>
        <w:tabs>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（3）如有特殊情况，采购组织机构延长截止时间和开标时间，采购组织机构和供应商的权利和义务将受到新的截止时间和开标时间的约束。</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27、投标文件的补充、修改与撤回</w:t>
      </w:r>
    </w:p>
    <w:p>
      <w:pPr>
        <w:shd w:val="clear" w:color="auto" w:fill="auto"/>
        <w:tabs>
          <w:tab w:val="left" w:pos="960"/>
          <w:tab w:val="left" w:pos="1418"/>
        </w:tabs>
        <w:autoSpaceDE w:val="0"/>
        <w:autoSpaceDN w:val="0"/>
        <w:adjustRightInd w:val="0"/>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p>
    <w:p>
      <w:pPr>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仿宋" w:hAnsi="仿宋" w:eastAsia="仿宋" w:cs="仿宋"/>
          <w:color w:val="auto"/>
          <w:sz w:val="28"/>
          <w:szCs w:val="28"/>
          <w:highlight w:val="none"/>
        </w:rPr>
      </w:pPr>
      <w:bookmarkStart w:id="47" w:name="_Toc4969"/>
      <w:bookmarkStart w:id="48" w:name="_Toc469495728"/>
      <w:bookmarkStart w:id="49" w:name="_Toc4054"/>
      <w:r>
        <w:rPr>
          <w:rFonts w:hint="eastAsia" w:ascii="仿宋" w:hAnsi="仿宋" w:eastAsia="仿宋" w:cs="仿宋"/>
          <w:color w:val="auto"/>
          <w:sz w:val="28"/>
          <w:szCs w:val="28"/>
          <w:highlight w:val="none"/>
        </w:rPr>
        <w:t>（五）开 标、评标和定标</w:t>
      </w:r>
      <w:bookmarkEnd w:id="47"/>
      <w:bookmarkEnd w:id="48"/>
      <w:bookmarkEnd w:id="49"/>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28、 开标</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lang w:val="en-US" w:eastAsia="zh-CN"/>
        </w:rPr>
      </w:pPr>
      <w:bookmarkStart w:id="50" w:name="_Toc73975822"/>
      <w:r>
        <w:rPr>
          <w:rFonts w:hint="eastAsia" w:ascii="仿宋" w:hAnsi="仿宋" w:eastAsia="仿宋" w:cs="仿宋"/>
          <w:b/>
          <w:bCs/>
          <w:color w:val="auto"/>
          <w:sz w:val="24"/>
          <w:szCs w:val="24"/>
          <w:highlight w:val="none"/>
          <w:lang w:val="en-US" w:eastAsia="zh-CN"/>
        </w:rPr>
        <w:t>28.1开标邀请</w:t>
      </w:r>
      <w:bookmarkEnd w:id="50"/>
    </w:p>
    <w:p>
      <w:pPr>
        <w:pStyle w:val="13"/>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开标准备：本项目开标的准备工作由采购组织机构负责落实，开标过程由采购组织机构负责记录；</w:t>
      </w:r>
    </w:p>
    <w:p>
      <w:pPr>
        <w:pStyle w:val="13"/>
        <w:shd w:val="clear" w:color="auto" w:fill="auto"/>
        <w:snapToGrid w:val="0"/>
        <w:spacing w:line="360" w:lineRule="auto"/>
        <w:ind w:firstLine="480" w:firstLineChars="200"/>
        <w:outlineLvl w:val="9"/>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开标主持：本项目开标由采购人或者采购代理机构主持；</w:t>
      </w:r>
    </w:p>
    <w:p>
      <w:pPr>
        <w:pStyle w:val="13"/>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3</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开标邀请：本项目采用电子交易，采购组织机构将按照</w:t>
      </w:r>
      <w:r>
        <w:rPr>
          <w:rFonts w:hint="eastAsia" w:ascii="仿宋" w:hAnsi="仿宋" w:eastAsia="仿宋" w:cs="仿宋"/>
          <w:b w:val="0"/>
          <w:color w:val="auto"/>
          <w:sz w:val="24"/>
          <w:szCs w:val="24"/>
          <w:highlight w:val="none"/>
          <w:lang w:eastAsia="zh-CN"/>
        </w:rPr>
        <w:t>竞争性磋商文件</w:t>
      </w:r>
      <w:r>
        <w:rPr>
          <w:rFonts w:hint="eastAsia" w:ascii="仿宋" w:hAnsi="仿宋" w:eastAsia="仿宋" w:cs="仿宋"/>
          <w:b w:val="0"/>
          <w:color w:val="auto"/>
          <w:sz w:val="24"/>
          <w:szCs w:val="24"/>
          <w:highlight w:val="none"/>
        </w:rPr>
        <w:t>规定的时间通过“</w:t>
      </w:r>
      <w:r>
        <w:rPr>
          <w:rFonts w:hint="eastAsia" w:ascii="仿宋" w:hAnsi="仿宋" w:eastAsia="仿宋" w:cs="仿宋"/>
          <w:b w:val="0"/>
          <w:color w:val="auto"/>
          <w:sz w:val="24"/>
          <w:szCs w:val="24"/>
          <w:highlight w:val="none"/>
          <w:lang w:eastAsia="zh-CN"/>
        </w:rPr>
        <w:t>新疆</w:t>
      </w:r>
      <w:r>
        <w:rPr>
          <w:rFonts w:hint="eastAsia" w:ascii="仿宋" w:hAnsi="仿宋" w:eastAsia="仿宋" w:cs="仿宋"/>
          <w:b w:val="0"/>
          <w:color w:val="auto"/>
          <w:sz w:val="24"/>
          <w:szCs w:val="24"/>
          <w:highlight w:val="none"/>
        </w:rPr>
        <w:t>政府采购云平台，网址：</w:t>
      </w:r>
      <w:r>
        <w:rPr>
          <w:rFonts w:hint="eastAsia" w:ascii="仿宋" w:hAnsi="仿宋" w:eastAsia="仿宋" w:cs="仿宋"/>
          <w:b w:val="0"/>
          <w:color w:val="auto"/>
          <w:sz w:val="24"/>
          <w:szCs w:val="24"/>
          <w:highlight w:val="none"/>
        </w:rPr>
        <w:fldChar w:fldCharType="begin"/>
      </w:r>
      <w:r>
        <w:rPr>
          <w:rFonts w:hint="eastAsia" w:ascii="仿宋" w:hAnsi="仿宋" w:eastAsia="仿宋" w:cs="仿宋"/>
          <w:b w:val="0"/>
          <w:color w:val="auto"/>
          <w:sz w:val="24"/>
          <w:szCs w:val="24"/>
          <w:highlight w:val="none"/>
        </w:rPr>
        <w:instrText xml:space="preserve">HYPERLINK "http://www.zcygov.cn"</w:instrText>
      </w:r>
      <w:r>
        <w:rPr>
          <w:rFonts w:hint="eastAsia" w:ascii="仿宋" w:hAnsi="仿宋" w:eastAsia="仿宋" w:cs="仿宋"/>
          <w:b w:val="0"/>
          <w:color w:val="auto"/>
          <w:sz w:val="24"/>
          <w:szCs w:val="24"/>
          <w:highlight w:val="none"/>
        </w:rPr>
        <w:fldChar w:fldCharType="separate"/>
      </w:r>
      <w:r>
        <w:rPr>
          <w:rStyle w:val="34"/>
          <w:rFonts w:hint="eastAsia" w:ascii="仿宋" w:hAnsi="仿宋" w:eastAsia="仿宋" w:cs="仿宋"/>
          <w:b w:val="0"/>
          <w:color w:val="auto"/>
          <w:sz w:val="24"/>
          <w:szCs w:val="24"/>
          <w:highlight w:val="none"/>
          <w:u w:val="none"/>
        </w:rPr>
        <w:t>www.zcygov.cn</w:t>
      </w:r>
      <w:r>
        <w:rPr>
          <w:rFonts w:hint="eastAsia" w:ascii="仿宋" w:hAnsi="仿宋" w:eastAsia="仿宋" w:cs="仿宋"/>
          <w:color w:val="auto"/>
          <w:sz w:val="24"/>
          <w:szCs w:val="24"/>
          <w:highlight w:val="none"/>
        </w:rPr>
        <w:fldChar w:fldCharType="end"/>
      </w:r>
      <w:r>
        <w:rPr>
          <w:rFonts w:hint="eastAsia" w:ascii="仿宋" w:hAnsi="仿宋" w:eastAsia="仿宋" w:cs="仿宋"/>
          <w:b w:val="0"/>
          <w:color w:val="auto"/>
          <w:sz w:val="24"/>
          <w:szCs w:val="24"/>
          <w:highlight w:val="none"/>
        </w:rPr>
        <w:t>”组织开标、开启投标响应文件，所有供应商均应当准时在线参加。</w:t>
      </w:r>
    </w:p>
    <w:p>
      <w:pPr>
        <w:pStyle w:val="13"/>
        <w:shd w:val="clear" w:color="auto" w:fill="auto"/>
        <w:snapToGrid w:val="0"/>
        <w:spacing w:line="360" w:lineRule="auto"/>
        <w:ind w:firstLine="480" w:firstLineChars="200"/>
        <w:outlineLvl w:val="9"/>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4</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hd w:val="clear" w:color="auto" w:fill="auto"/>
        <w:snapToGrid w:val="0"/>
        <w:spacing w:line="360" w:lineRule="auto"/>
        <w:ind w:firstLine="480" w:firstLineChars="200"/>
        <w:outlineLvl w:val="9"/>
        <w:rPr>
          <w:rFonts w:hint="eastAsia" w:ascii="仿宋" w:hAnsi="仿宋" w:eastAsia="仿宋" w:cs="仿宋"/>
          <w:b/>
          <w:color w:val="auto"/>
          <w:sz w:val="24"/>
          <w:szCs w:val="24"/>
          <w:highlight w:val="none"/>
        </w:rPr>
      </w:pPr>
      <w:bookmarkStart w:id="51" w:name="_Toc32017"/>
      <w:bookmarkStart w:id="52" w:name="_Toc22653"/>
      <w:bookmarkStart w:id="53" w:name="_Toc19065"/>
      <w:bookmarkStart w:id="54" w:name="_Toc21384"/>
      <w:bookmarkStart w:id="55" w:name="_Toc27602"/>
      <w:bookmarkStart w:id="56" w:name="_Toc73975823"/>
      <w:bookmarkStart w:id="57" w:name="_Toc32193"/>
      <w:r>
        <w:rPr>
          <w:rFonts w:hint="eastAsia" w:ascii="仿宋" w:hAnsi="仿宋" w:eastAsia="仿宋" w:cs="仿宋"/>
          <w:b/>
          <w:color w:val="auto"/>
          <w:sz w:val="24"/>
          <w:szCs w:val="24"/>
          <w:highlight w:val="none"/>
          <w:lang w:val="en-US" w:eastAsia="zh-CN"/>
        </w:rPr>
        <w:t>28.2</w:t>
      </w:r>
      <w:r>
        <w:rPr>
          <w:rFonts w:hint="eastAsia" w:ascii="仿宋" w:hAnsi="仿宋" w:eastAsia="仿宋" w:cs="仿宋"/>
          <w:b/>
          <w:bCs/>
          <w:color w:val="auto"/>
          <w:sz w:val="24"/>
          <w:szCs w:val="24"/>
          <w:highlight w:val="none"/>
        </w:rPr>
        <w:t>开标程序（先资格、商务技术后报价）</w:t>
      </w:r>
      <w:bookmarkEnd w:id="51"/>
      <w:bookmarkEnd w:id="52"/>
      <w:bookmarkEnd w:id="53"/>
      <w:bookmarkEnd w:id="54"/>
      <w:bookmarkEnd w:id="55"/>
      <w:bookmarkEnd w:id="56"/>
      <w:bookmarkEnd w:id="57"/>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开标时间到后，主持人宣布开标会议开始。</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w:t>
      </w:r>
      <w:r>
        <w:rPr>
          <w:rFonts w:hint="eastAsia" w:ascii="仿宋" w:hAnsi="仿宋" w:eastAsia="仿宋" w:cs="仿宋"/>
          <w:b/>
          <w:color w:val="auto"/>
          <w:kern w:val="0"/>
          <w:sz w:val="24"/>
          <w:szCs w:val="24"/>
          <w:highlight w:val="none"/>
        </w:rPr>
        <w:t>解密规定见《供应商须知前附表》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投标文件解密异常情况处理（</w:t>
      </w:r>
      <w:r>
        <w:rPr>
          <w:rFonts w:hint="eastAsia" w:ascii="仿宋" w:hAnsi="仿宋" w:eastAsia="仿宋" w:cs="仿宋"/>
          <w:b/>
          <w:color w:val="auto"/>
          <w:kern w:val="0"/>
          <w:sz w:val="24"/>
          <w:szCs w:val="24"/>
          <w:highlight w:val="none"/>
        </w:rPr>
        <w:t>处理办法见《供应商须知前附表》</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公布投标文件解密情况（投标文件成功解密的供应商名单等信息）。</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开启标书信息（资格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文件、商务技术文件）。标书信息开启后，首先由采购人或采购代理机构</w:t>
      </w:r>
      <w:r>
        <w:rPr>
          <w:rFonts w:hint="eastAsia" w:ascii="仿宋" w:hAnsi="仿宋" w:eastAsia="仿宋" w:cs="仿宋"/>
          <w:color w:val="auto"/>
          <w:kern w:val="0"/>
          <w:sz w:val="24"/>
          <w:szCs w:val="24"/>
          <w:highlight w:val="none"/>
          <w:lang w:eastAsia="zh-CN"/>
        </w:rPr>
        <w:t>或评审小组</w:t>
      </w:r>
      <w:r>
        <w:rPr>
          <w:rFonts w:hint="eastAsia" w:ascii="仿宋" w:hAnsi="仿宋" w:eastAsia="仿宋" w:cs="仿宋"/>
          <w:color w:val="auto"/>
          <w:kern w:val="0"/>
          <w:sz w:val="24"/>
          <w:szCs w:val="24"/>
          <w:highlight w:val="none"/>
        </w:rPr>
        <w:t>依法对投标供应商的资格</w:t>
      </w:r>
      <w:r>
        <w:rPr>
          <w:rFonts w:hint="eastAsia" w:ascii="仿宋" w:hAnsi="仿宋" w:eastAsia="仿宋" w:cs="仿宋"/>
          <w:color w:val="auto"/>
          <w:kern w:val="0"/>
          <w:sz w:val="24"/>
          <w:szCs w:val="24"/>
          <w:highlight w:val="none"/>
          <w:lang w:eastAsia="zh-CN"/>
        </w:rPr>
        <w:t>证明</w:t>
      </w:r>
      <w:r>
        <w:rPr>
          <w:rFonts w:hint="eastAsia" w:ascii="仿宋" w:hAnsi="仿宋" w:eastAsia="仿宋" w:cs="仿宋"/>
          <w:color w:val="auto"/>
          <w:kern w:val="0"/>
          <w:sz w:val="24"/>
          <w:szCs w:val="24"/>
          <w:highlight w:val="none"/>
        </w:rPr>
        <w:t>文件进行审查， 审查结束公布投标供应商的资格符合情况。资格审查未获通过的供应商，其商务技术文件及报价文件不再进入评审。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商务技术评审结束后，主持人公布商务技术评审无效投标供应商名单和商务技术评审有效投标供应商名单及其商务技术得分情况</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商务技术评审无效的供应商，其报价不再进入评审。</w:t>
      </w:r>
    </w:p>
    <w:p>
      <w:pPr>
        <w:shd w:val="clear" w:color="auto" w:fill="auto"/>
        <w:snapToGrid w:val="0"/>
        <w:spacing w:line="360" w:lineRule="auto"/>
        <w:ind w:firstLine="480" w:firstLineChars="200"/>
        <w:jc w:val="left"/>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开启有效投标供应商的报价，公布开标一览表有关内容，</w:t>
      </w:r>
      <w:r>
        <w:rPr>
          <w:rFonts w:hint="eastAsia" w:ascii="仿宋" w:hAnsi="仿宋" w:eastAsia="仿宋" w:cs="仿宋"/>
          <w:color w:val="auto"/>
          <w:sz w:val="24"/>
          <w:szCs w:val="24"/>
          <w:highlight w:val="none"/>
          <w:lang w:bidi="zh-CN"/>
        </w:rPr>
        <w:t>并【开启签字时段】，供应商对开标纪录进行在线签字确认（不予确认的应说明理由，否则视为无异议）</w:t>
      </w:r>
      <w:r>
        <w:rPr>
          <w:rFonts w:hint="eastAsia" w:ascii="仿宋" w:hAnsi="仿宋" w:eastAsia="仿宋" w:cs="仿宋"/>
          <w:color w:val="auto"/>
          <w:kern w:val="0"/>
          <w:sz w:val="24"/>
          <w:szCs w:val="24"/>
          <w:highlight w:val="none"/>
        </w:rPr>
        <w:t>。开标结束后，由评标委员会对报价的合理性、准确性等进行审查核实</w:t>
      </w:r>
      <w:r>
        <w:rPr>
          <w:rFonts w:hint="eastAsia" w:ascii="仿宋" w:hAnsi="仿宋" w:eastAsia="仿宋" w:cs="仿宋"/>
          <w:color w:val="auto"/>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szCs w:val="24"/>
          <w:highlight w:val="none"/>
        </w:rPr>
        <w:t>评审结束后，采购代理机构在系统上公布评审结果。</w:t>
      </w:r>
    </w:p>
    <w:p>
      <w:pPr>
        <w:shd w:val="clear" w:color="auto" w:fill="auto"/>
        <w:snapToGrid w:val="0"/>
        <w:spacing w:line="360" w:lineRule="auto"/>
        <w:ind w:left="48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特别情况说明：</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（1）本项目采用电子交易，如遇“</w:t>
      </w:r>
      <w:r>
        <w:rPr>
          <w:rFonts w:hint="eastAsia" w:ascii="仿宋" w:hAnsi="仿宋" w:eastAsia="仿宋" w:cs="仿宋"/>
          <w:b/>
          <w:color w:val="auto"/>
          <w:kern w:val="0"/>
          <w:sz w:val="24"/>
          <w:szCs w:val="24"/>
          <w:highlight w:val="none"/>
          <w:lang w:eastAsia="zh-CN"/>
        </w:rPr>
        <w:t>新疆</w:t>
      </w:r>
      <w:r>
        <w:rPr>
          <w:rFonts w:hint="eastAsia" w:ascii="仿宋" w:hAnsi="仿宋" w:eastAsia="仿宋" w:cs="仿宋"/>
          <w:b/>
          <w:color w:val="auto"/>
          <w:kern w:val="0"/>
          <w:sz w:val="24"/>
          <w:szCs w:val="24"/>
          <w:highlight w:val="none"/>
        </w:rPr>
        <w:t>政府采购云平台”电子化开标或评审程序调整的，按调整后程序执行。</w:t>
      </w:r>
    </w:p>
    <w:p>
      <w:pPr>
        <w:shd w:val="clear" w:color="auto" w:fill="auto"/>
        <w:snapToGrid w:val="0"/>
        <w:spacing w:line="360" w:lineRule="auto"/>
        <w:ind w:firstLine="424" w:firstLineChars="177"/>
        <w:jc w:val="left"/>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（2）开标过程中需要相关当事人进行签字或盖章确认的材料将通过“政府采购云平台”进行，若因“政府采购云平台”技术问题无法进行签字或盖章确认的，采购组织机构将通过电子邮件等形式予以确认，</w:t>
      </w:r>
      <w:r>
        <w:rPr>
          <w:rFonts w:hint="eastAsia" w:ascii="仿宋" w:hAnsi="仿宋" w:eastAsia="仿宋" w:cs="仿宋"/>
          <w:b/>
          <w:color w:val="auto"/>
          <w:kern w:val="0"/>
          <w:sz w:val="24"/>
          <w:szCs w:val="24"/>
          <w:highlight w:val="none"/>
          <w:u w:val="single"/>
        </w:rPr>
        <w:t>请供应商保证办理投标事宜人员电话畅通、网络在线，签字或盖章确认的时间为20分钟。如未及时签字或盖章确认的，视为无异议</w:t>
      </w:r>
      <w:r>
        <w:rPr>
          <w:rFonts w:hint="eastAsia" w:ascii="仿宋" w:hAnsi="仿宋" w:eastAsia="仿宋" w:cs="仿宋"/>
          <w:b/>
          <w:color w:val="auto"/>
          <w:kern w:val="0"/>
          <w:sz w:val="24"/>
          <w:szCs w:val="24"/>
          <w:highlight w:val="none"/>
        </w:rPr>
        <w:t>。</w:t>
      </w:r>
    </w:p>
    <w:p>
      <w:pPr>
        <w:shd w:val="clear" w:color="auto" w:fill="auto"/>
        <w:snapToGrid w:val="0"/>
        <w:spacing w:line="360" w:lineRule="auto"/>
        <w:ind w:firstLine="48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28.3</w:t>
      </w:r>
      <w:r>
        <w:rPr>
          <w:rFonts w:hint="eastAsia" w:ascii="仿宋" w:hAnsi="仿宋" w:eastAsia="仿宋" w:cs="仿宋"/>
          <w:b/>
          <w:color w:val="auto"/>
          <w:kern w:val="0"/>
          <w:sz w:val="24"/>
          <w:szCs w:val="24"/>
          <w:highlight w:val="none"/>
        </w:rPr>
        <w:t xml:space="preserve"> 投标供应商资格审查：</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Cs/>
          <w:color w:val="auto"/>
          <w:kern w:val="0"/>
          <w:sz w:val="24"/>
          <w:szCs w:val="24"/>
          <w:highlight w:val="none"/>
        </w:rPr>
        <w:t>开标（标书信息开启）后，采购人或采购代理机构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bCs/>
          <w:color w:val="auto"/>
          <w:kern w:val="0"/>
          <w:sz w:val="24"/>
          <w:szCs w:val="24"/>
          <w:highlight w:val="none"/>
        </w:rPr>
        <w:t>首先依法对投标供应商的资格文件进行审查，审查各投标供应商的资格符合情况。</w:t>
      </w:r>
      <w:r>
        <w:rPr>
          <w:rFonts w:hint="eastAsia" w:ascii="仿宋" w:hAnsi="仿宋" w:eastAsia="仿宋" w:cs="仿宋"/>
          <w:color w:val="auto"/>
          <w:sz w:val="24"/>
          <w:szCs w:val="24"/>
          <w:highlight w:val="none"/>
        </w:rPr>
        <w:t>采购人或采购代理机构</w:t>
      </w:r>
      <w:r>
        <w:rPr>
          <w:rFonts w:hint="eastAsia" w:ascii="仿宋" w:hAnsi="仿宋" w:eastAsia="仿宋" w:cs="仿宋"/>
          <w:bCs/>
          <w:color w:val="auto"/>
          <w:kern w:val="0"/>
          <w:sz w:val="24"/>
          <w:szCs w:val="24"/>
          <w:highlight w:val="none"/>
          <w:lang w:eastAsia="zh-CN"/>
        </w:rPr>
        <w:t>或</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sz w:val="24"/>
          <w:szCs w:val="24"/>
          <w:highlight w:val="none"/>
        </w:rPr>
        <w:t>对投标供应商所提交的资格证明材料仅负审核的责任。如发现投标供应商所提交的资格证明材料不合法或与事实不符，采购人可取消其中标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资格并追究投标供应商的法律责任。</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（2</w:t>
      </w:r>
      <w:r>
        <w:rPr>
          <w:rFonts w:hint="eastAsia" w:ascii="仿宋" w:hAnsi="仿宋" w:eastAsia="仿宋" w:cs="仿宋"/>
          <w:color w:val="auto"/>
          <w:sz w:val="24"/>
          <w:szCs w:val="24"/>
          <w:highlight w:val="none"/>
        </w:rPr>
        <w:t>）投标供应商提交的资格证明材料无法证明其符合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规定的“投标供应商资格要求”的，采购人或采购代理机构将对其作“资格审查不合格”处理（无效投标），并不再将其投标提交评标委员会进行后续评审。</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（3）供应商信用记录查询与使用：见《供应商须知前附表》。</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29、</w:t>
      </w:r>
      <w:r>
        <w:rPr>
          <w:rFonts w:hint="eastAsia" w:ascii="仿宋" w:hAnsi="仿宋" w:eastAsia="仿宋" w:cs="仿宋"/>
          <w:b/>
          <w:bCs/>
          <w:color w:val="auto"/>
          <w:sz w:val="24"/>
          <w:szCs w:val="24"/>
          <w:highlight w:val="none"/>
        </w:rPr>
        <w:t>评审工作的组织</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采购人或采购代理机构负责组织本项目的评审工作，并依据《政府采购货物和服务招标投标管理办法（财政部第87号令）》第四十五条的相关规定履行职责。</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30、</w:t>
      </w:r>
      <w:r>
        <w:rPr>
          <w:rFonts w:hint="eastAsia" w:ascii="仿宋" w:hAnsi="仿宋" w:eastAsia="仿宋" w:cs="仿宋"/>
          <w:b/>
          <w:bCs/>
          <w:color w:val="auto"/>
          <w:sz w:val="24"/>
          <w:szCs w:val="24"/>
          <w:highlight w:val="none"/>
        </w:rPr>
        <w:t>评标委员会的组建</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.1评标委员会由采购人或采购代理机构依法组建，成员由采购人代表和评审专家组成，成员人数为</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人或以上单数，其中评审专家不少于成员总数的三分之二。</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.2评审专家从</w:t>
      </w:r>
      <w:r>
        <w:rPr>
          <w:rFonts w:hint="eastAsia" w:ascii="仿宋" w:hAnsi="仿宋" w:eastAsia="仿宋" w:cs="仿宋"/>
          <w:color w:val="auto"/>
          <w:sz w:val="24"/>
          <w:szCs w:val="24"/>
          <w:highlight w:val="none"/>
          <w:lang w:eastAsia="zh-CN"/>
        </w:rPr>
        <w:t>新疆</w:t>
      </w:r>
      <w:r>
        <w:rPr>
          <w:rFonts w:hint="eastAsia" w:ascii="仿宋" w:hAnsi="仿宋" w:eastAsia="仿宋" w:cs="仿宋"/>
          <w:color w:val="auto"/>
          <w:sz w:val="24"/>
          <w:szCs w:val="24"/>
          <w:highlight w:val="none"/>
        </w:rPr>
        <w:t>政府采购云平台专家库中通过随机方式抽取产生。评标委员会成员名单在采购结果公告前保密。</w:t>
      </w:r>
    </w:p>
    <w:p>
      <w:pPr>
        <w:shd w:val="clear" w:color="auto" w:fill="auto"/>
        <w:snapToGrid w:val="0"/>
        <w:spacing w:line="360" w:lineRule="auto"/>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w:t>
      </w:r>
      <w:r>
        <w:rPr>
          <w:rFonts w:hint="eastAsia" w:ascii="仿宋" w:hAnsi="仿宋" w:eastAsia="仿宋" w:cs="仿宋"/>
          <w:b/>
          <w:bCs/>
          <w:color w:val="auto"/>
          <w:sz w:val="24"/>
          <w:szCs w:val="24"/>
          <w:highlight w:val="none"/>
        </w:rPr>
        <w:t>评标委员会的职责</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.1审查、评价投标文件是否符合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的商务、技术等实质性要求。</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.2要求供应商对投标文件有关事项作出澄清或者说明。</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.3对投标文件进行比较和评价。</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.4确定中标候选人名单，以及根据采购人委托直接确定中标人。</w:t>
      </w:r>
    </w:p>
    <w:p>
      <w:pPr>
        <w:shd w:val="clear" w:color="auto" w:fill="auto"/>
        <w:snapToGrid w:val="0"/>
        <w:spacing w:line="360" w:lineRule="auto"/>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.5向采购人、采购代理机构或者有关部门报告评审中发现的违法行为。</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32、</w:t>
      </w:r>
      <w:r>
        <w:rPr>
          <w:rFonts w:hint="eastAsia" w:ascii="仿宋" w:hAnsi="仿宋" w:eastAsia="仿宋" w:cs="仿宋"/>
          <w:b/>
          <w:bCs/>
          <w:color w:val="auto"/>
          <w:sz w:val="24"/>
          <w:szCs w:val="24"/>
          <w:highlight w:val="none"/>
        </w:rPr>
        <w:t>评标原则</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.1评标委员会将遵循公平、公正、科学的原则，对供应商提交的投标文件进行综合评审，评标委员会按照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规定的评标细则进行评分。</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 xml:space="preserve">.2客观公正对待所有供应商，对所有投标评价均采用相同的程序和标准。 </w:t>
      </w:r>
    </w:p>
    <w:p>
      <w:pPr>
        <w:keepNext w:val="0"/>
        <w:keepLines w:val="0"/>
        <w:pageBreakBefore w:val="0"/>
        <w:widowControl/>
        <w:shd w:val="clear" w:color="auto" w:fill="auto"/>
        <w:kinsoku/>
        <w:wordWrap/>
        <w:overflowPunct/>
        <w:topLinePunct w:val="0"/>
        <w:autoSpaceDE/>
        <w:autoSpaceDN/>
        <w:bidi w:val="0"/>
        <w:spacing w:line="360" w:lineRule="auto"/>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.3评标委员会成员对需要共同认定的事项存在争议的，按照少数服从多数的原则作出结论。持不同意见的评标委员会成员应当在评审报告上签署不同意见及理由，否则视为同意评审报告。</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人推荐资格；评审得分相同的，由采购人或者采购人委托评标委员会按照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规定的方式确定一个供应商获得中标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人推荐资格，</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未规定的采取随机抽取方式确定，其他同品牌供应商不作为中标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非单一产品采购项目，采购人应当根据采购项目技术构成、产品价格比重等合理确定核心产品，并在</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 xml:space="preserve">中载明。多家供应商提供的核心产品品牌相同的，按前款规定处理。      </w:t>
      </w:r>
    </w:p>
    <w:p>
      <w:pPr>
        <w:widowControl/>
        <w:shd w:val="clear" w:color="auto" w:fill="auto"/>
        <w:spacing w:line="44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33、</w:t>
      </w:r>
      <w:r>
        <w:rPr>
          <w:rFonts w:hint="eastAsia" w:ascii="仿宋" w:hAnsi="仿宋" w:eastAsia="仿宋" w:cs="仿宋"/>
          <w:b/>
          <w:bCs/>
          <w:color w:val="auto"/>
          <w:sz w:val="24"/>
          <w:szCs w:val="24"/>
          <w:highlight w:val="none"/>
        </w:rPr>
        <w:t>评委纪律</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必须严格遵守保密规定，不得泄露评审的有关情况，任何单位和个人不得干扰、影响评标的正常进行，评标委员会成员不得私下与投标供应商接触，不得出现浙江省政府采购活动现场组织管理办法中规定的其他禁止行为。</w:t>
      </w:r>
    </w:p>
    <w:p>
      <w:pPr>
        <w:widowControl/>
        <w:shd w:val="clear" w:color="auto" w:fill="auto"/>
        <w:spacing w:line="440" w:lineRule="exact"/>
        <w:ind w:firstLine="240" w:firstLineChars="1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34、</w:t>
      </w:r>
      <w:r>
        <w:rPr>
          <w:rFonts w:hint="eastAsia" w:ascii="仿宋" w:hAnsi="仿宋" w:eastAsia="仿宋" w:cs="仿宋"/>
          <w:b/>
          <w:bCs/>
          <w:color w:val="auto"/>
          <w:sz w:val="24"/>
          <w:szCs w:val="24"/>
          <w:highlight w:val="none"/>
        </w:rPr>
        <w:t>评标程序</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 在评审专家中推选评标委员会组长，采购人代表不得担任评标委员会组长。</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2 评标委员会组长召集成员认真阅读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3 评审人员对符合资格的供应商的投标文件的有效性、符合性、完整性和响应程度进行审查，确定是否对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作出实质性响应。</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4 评审人员按</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规定的评审方法和评审标准，依法独立对供应商投标文件进行评估、比较，并给予评价或打分，不受任何单位和个人的干预。</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综合评分法货物项目的价格分值占总分值的比重(即权值)为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综合评分法中的价格分统一采用低价优先法计算，即满足</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要求且最后报价最低的供应商的价格为</w:t>
      </w:r>
      <w:r>
        <w:rPr>
          <w:rFonts w:hint="eastAsia" w:ascii="仿宋" w:hAnsi="仿宋" w:eastAsia="仿宋" w:cs="仿宋"/>
          <w:color w:val="auto"/>
          <w:kern w:val="0"/>
          <w:sz w:val="24"/>
          <w:szCs w:val="24"/>
          <w:highlight w:val="none"/>
          <w:lang w:eastAsia="zh-CN"/>
        </w:rPr>
        <w:t>招标</w:t>
      </w:r>
      <w:r>
        <w:rPr>
          <w:rFonts w:hint="eastAsia" w:ascii="仿宋" w:hAnsi="仿宋" w:eastAsia="仿宋" w:cs="仿宋"/>
          <w:color w:val="auto"/>
          <w:kern w:val="0"/>
          <w:sz w:val="24"/>
          <w:szCs w:val="24"/>
          <w:highlight w:val="none"/>
        </w:rPr>
        <w:t>基准价，其价格分为满分。其他供应商的价格分统一按照下列公式计算：</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30</w:t>
      </w:r>
    </w:p>
    <w:p>
      <w:pPr>
        <w:widowControl/>
        <w:shd w:val="clear" w:color="auto" w:fill="auto"/>
        <w:spacing w:line="440" w:lineRule="exact"/>
        <w:ind w:firstLine="480"/>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rPr>
        <w:t>项目评审过程中，不得去掉最后报价中的最高报价和最低报价。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6 评审人员需对采购方工作人员唱票或统计的评审结果进行确认，现场监督员应对评审结果签署监督意见。如发现分值汇总计算错误、分项评分超出评分标准范围、客观评分不一致以及存在评分畸高、畸低情形的，应由相关人员当场改正或作出书面说明；拒不改正又不作书面说明的，由现场监督员如实记载后存入项目档案资料。</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7 评标委员会根据评审汇总情况和</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规定确定中标中标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候选供应商排序名单。</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 xml:space="preserve">8 起草评审报告，所有评审人员须在评审报告上签字确认，对自己的评审意见承担法律责任。 </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9 采购组织机构对评标委员会评审专家进行评价。</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10 修改评审结果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评标结果汇总完成后，除下列情形外，任何人不得修改评标结果：</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（1）分值汇总计算错误的；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（2）分项评分超出评分标准范围的；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（3）评标委员会成员对客观评审因素评分不一致的；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（4）经评标委员会认定评分畸高、畸低的。</w:t>
      </w:r>
    </w:p>
    <w:p>
      <w:pPr>
        <w:widowControl/>
        <w:shd w:val="clear" w:color="auto" w:fill="auto"/>
        <w:spacing w:line="440" w:lineRule="exact"/>
        <w:ind w:firstLine="240"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35、澄清、说明或补正的形式</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 w:val="24"/>
          <w:szCs w:val="24"/>
          <w:highlight w:val="none"/>
          <w:lang w:val="en-US" w:eastAsia="zh-CN"/>
        </w:rPr>
        <w:t>投标供应商澄清、说明或补正时间为20分钟</w:t>
      </w:r>
      <w:r>
        <w:rPr>
          <w:rFonts w:hint="eastAsia" w:ascii="仿宋" w:hAnsi="仿宋" w:eastAsia="仿宋" w:cs="仿宋"/>
          <w:b w:val="0"/>
          <w:bCs w:val="0"/>
          <w:color w:val="auto"/>
          <w:sz w:val="24"/>
          <w:szCs w:val="24"/>
          <w:highlight w:val="none"/>
          <w:lang w:val="en-US" w:eastAsia="zh-CN"/>
        </w:rPr>
        <w:t>。</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35.3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36、错误修正的原则</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投标文件报价出现前后不一致的，除竞争性磋商文件另有规定外，按照下列规定修正：</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36.1 投标函中表述的内容与报价表中不一致的，以报价表为准；报价表中的内容与报价明细表不一致的，以报价表为准；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36.2 投标文件中的大写金额和小写金额不一致的，以大写金额为准；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36.3 单价金额小数点或者百分比有明显错位的，以开标一览表的总价为准，并修改单价；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36.4 总价金额与按单价汇总金额不一致的，以单价金额计算结果为准；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36.5 若用文字表示的数值与用数字表示的数值不一致，以文字表示的数值为准；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36.6 如有多报（指数量超出竞争性磋商文件需求）、重报（指同一货物重复报价），其投标总价在评标过程中不予调整，如其中标，其合同价按其投标单价予以调整；</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36.7 对不同文字文本投标文件的解释发生异议的，以中文文本为准；</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 w:val="24"/>
          <w:szCs w:val="24"/>
          <w:highlight w:val="none"/>
          <w:lang w:val="en-US" w:eastAsia="zh-CN"/>
        </w:rPr>
        <w:t>修正应当采用电子询标的形式，并加盖公章（电子印章）。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37、无效投标文件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有下列情形之一的，投标文件按无效标处理：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 报名的投标人与参加投标的投标人发生实质性变更的且未提供有效证明的；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37.2投标人提交两份或两份以上内容不同的投标文件，未声明哪一份有效的；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37.3 投标文件非投标人法定代表人签署的，未提供或提供无效的法定代表人授权书；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37.4 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磋商文件规定装订；</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37.5 投标文件内容未按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磋商文件规定签字或盖章的；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37.6 投标文件组成漏项或未按规定的格式编制或投标文件正、副本份数不足或内容不全或内容字迹模糊辨认不清的等而导致评标活动无法正常进行；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37.7 投标人未按</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磋商文件变更通知更改投标文件的；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37.8 《开标一览表》和《投标分项报价表》内容不完整且不接受修正意见或字迹不能辨认的或未提供；</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37.9 标项投标报价超过</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磋商文件规定的预算金额或最高限价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37.10 因投标人原因编制错误造成经评标委员会修正后的报价达到或超过投标报价的0.5%；</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37.11 投标人的报价明显低于其他通过符合性审查投标人的报价，有可能影响产品质量或者不能诚信履约的，且在规定时间内不能合理说明原因并提供证明材料的；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37.12 未实质性响应</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磋商文件中条款要求的投标文件；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37.13 不符合招标范围、技术规格、技术标准的要求无法满足采购人使用要求；</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37.14 投标文件附有采购人不能接受的条款；</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37.15 投标文件中提供了赠品或者与本项目采购无关的其他商品、服务；</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37.16 投标文件中承诺的投标有效期少于磋商文件中载明的投标有效期；</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37.17投标人串通投标，妨碍其他投标人的竞争行为，损害采购人或者其他投标人的合法权益；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37.18违反国家及政府部门相关法律、法规、文件规定或经评标委员会认定的其他属于重大偏离；</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38、废标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38.1 符合</w:t>
      </w:r>
      <w:r>
        <w:rPr>
          <w:rFonts w:hint="eastAsia" w:ascii="仿宋" w:hAnsi="仿宋" w:eastAsia="仿宋" w:cs="仿宋"/>
          <w:color w:val="auto"/>
          <w:sz w:val="24"/>
          <w:szCs w:val="24"/>
          <w:highlight w:val="none"/>
          <w:lang w:eastAsia="zh-CN"/>
        </w:rPr>
        <w:t>竞争性</w:t>
      </w:r>
      <w:r>
        <w:rPr>
          <w:rFonts w:hint="eastAsia" w:ascii="仿宋" w:hAnsi="仿宋" w:eastAsia="仿宋" w:cs="仿宋"/>
          <w:b w:val="0"/>
          <w:bCs w:val="0"/>
          <w:color w:val="auto"/>
          <w:sz w:val="24"/>
          <w:szCs w:val="24"/>
          <w:highlight w:val="none"/>
          <w:lang w:val="en-US" w:eastAsia="zh-CN"/>
        </w:rPr>
        <w:t>磋商文件规定废标情形的；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38.2 出现影响采购公正的违法、违规行为的；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38.3 供应商的报价均超过了采购预算（或最高限价），采购人不能支付的;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38.4 因重大变故，采购任务取消的。</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39、突发情况处理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39.1 采购过程中出现以下情形，导致电子交易平台无法正常运行，或者无法保证电子交易的公平、公正和安全时，采购组织机构可中止电子交易活动：</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（1）电子交易平台发生故障而无法登录访问的；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（2）电子交易平台应用或数据库出现错误，不能进行正常操作的；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（3）电子交易平台发现严重安全漏洞，有潜在泄密危险的；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（4）病毒发作导致不能进行正常操作的；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（5）其他无法保证电子交易的公平、公正和安全的情况。</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39.2 采购代理机构或评审小组因不可抗力（不可抗力包括但不限于自然灾害、断电、传播疫病等）原因造成电子交易活动无法正常运行的，将采取以下措施：</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（1）短时间内能消除不可抗力因素的，采购代理机构或评审小组在消除不可抗力因素后继续组织电子交易活动； </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（2）长时间内无法消除不可抗力因素的，采购代理机构或评审小组将中止电子交易活动。中止电子交易活动的，采购人应当重新组织政府采购活动。</w:t>
      </w:r>
    </w:p>
    <w:p>
      <w:pPr>
        <w:shd w:val="clear" w:color="auto" w:fill="auto"/>
        <w:snapToGrid w:val="0"/>
        <w:spacing w:line="360" w:lineRule="exact"/>
        <w:ind w:firstLine="421"/>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40、</w:t>
      </w:r>
      <w:r>
        <w:rPr>
          <w:rFonts w:hint="eastAsia" w:ascii="仿宋" w:hAnsi="仿宋" w:eastAsia="仿宋" w:cs="仿宋"/>
          <w:b/>
          <w:color w:val="auto"/>
          <w:sz w:val="24"/>
          <w:szCs w:val="24"/>
          <w:highlight w:val="none"/>
        </w:rPr>
        <w:t xml:space="preserve"> 定标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 xml:space="preserve">  </w:t>
      </w:r>
      <w:bookmarkStart w:id="58" w:name="_Toc469495729"/>
      <w:r>
        <w:rPr>
          <w:rFonts w:hint="eastAsia" w:ascii="仿宋" w:hAnsi="仿宋" w:eastAsia="仿宋" w:cs="仿宋"/>
          <w:b w:val="0"/>
          <w:bCs w:val="0"/>
          <w:color w:val="auto"/>
          <w:sz w:val="24"/>
          <w:szCs w:val="24"/>
          <w:highlight w:val="none"/>
          <w:lang w:val="en-US" w:eastAsia="zh-CN"/>
        </w:rPr>
        <w:t>40.1采购结果确认（确定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采购结果确认（确定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供应商）：本项目由采购人根据评标委员会提交的《评审报告》，通过“政府采购云平台”依法确认采购结果、确定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供应商。具体流程如下：</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（1）采购代理机构将在评审结束后2个工作日内将评审报告送采购人。</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（2）采购人将在收到评审报告之日起5个工作日内，在评审报告推荐的</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候选供应商名单中按顺序确定</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 xml:space="preserve">供应商，并将确认意见以书面形式回复采购代理机构。 </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40.2采购结果经采购人确认后2个工作日内，采购代理机构将在</w:t>
      </w:r>
      <w:r>
        <w:rPr>
          <w:rFonts w:hint="eastAsia" w:ascii="仿宋" w:hAnsi="仿宋" w:eastAsia="仿宋" w:cs="仿宋"/>
          <w:b/>
          <w:bCs/>
          <w:color w:val="auto"/>
          <w:sz w:val="24"/>
          <w:szCs w:val="24"/>
          <w:highlight w:val="none"/>
          <w:lang w:val="en-US" w:eastAsia="zh-CN"/>
        </w:rPr>
        <w:t>克孜勒苏柯尔克孜自治州公共资源信息网、新疆政府采购网（www.zjzfcg.gov.cn）上公告采购结果，中标（成交）公告期限为1个工作日。</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41、 中标（成交）通知书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41.1</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color w:val="auto"/>
          <w:sz w:val="24"/>
          <w:szCs w:val="24"/>
          <w:highlight w:val="none"/>
        </w:rPr>
        <w:t>通知书发出前，招标人将</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侯选人的情况在</w:t>
      </w:r>
      <w:r>
        <w:rPr>
          <w:rFonts w:hint="eastAsia" w:ascii="仿宋" w:hAnsi="仿宋" w:eastAsia="仿宋" w:cs="仿宋"/>
          <w:color w:val="auto"/>
          <w:sz w:val="24"/>
          <w:szCs w:val="24"/>
          <w:highlight w:val="none"/>
          <w:lang w:val="en-US" w:eastAsia="zh-CN"/>
        </w:rPr>
        <w:t>克孜勒苏柯尔克孜自治州公共资源信息网、</w:t>
      </w:r>
      <w:r>
        <w:rPr>
          <w:rFonts w:hint="eastAsia" w:ascii="仿宋" w:hAnsi="仿宋" w:eastAsia="仿宋" w:cs="仿宋"/>
          <w:color w:val="auto"/>
          <w:sz w:val="24"/>
          <w:szCs w:val="24"/>
          <w:highlight w:val="none"/>
          <w:lang w:eastAsia="zh-CN"/>
        </w:rPr>
        <w:t>新疆政府采购网</w:t>
      </w:r>
      <w:r>
        <w:rPr>
          <w:rFonts w:hint="eastAsia" w:ascii="仿宋" w:hAnsi="仿宋" w:eastAsia="仿宋" w:cs="仿宋"/>
          <w:color w:val="auto"/>
          <w:sz w:val="24"/>
          <w:szCs w:val="24"/>
          <w:highlight w:val="none"/>
        </w:rPr>
        <w:t>予以公示，</w:t>
      </w:r>
      <w:r>
        <w:rPr>
          <w:rFonts w:hint="eastAsia" w:ascii="仿宋" w:hAnsi="仿宋" w:eastAsia="仿宋" w:cs="仿宋"/>
          <w:b/>
          <w:bCs/>
          <w:color w:val="auto"/>
          <w:sz w:val="24"/>
          <w:szCs w:val="24"/>
          <w:highlight w:val="none"/>
        </w:rPr>
        <w:t>公示期为</w:t>
      </w: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个工作日。</w:t>
      </w:r>
      <w:r>
        <w:rPr>
          <w:rFonts w:hint="eastAsia" w:ascii="仿宋" w:hAnsi="仿宋" w:eastAsia="仿宋" w:cs="仿宋"/>
          <w:b/>
          <w:bCs/>
          <w:color w:val="auto"/>
          <w:sz w:val="24"/>
          <w:szCs w:val="24"/>
          <w:highlight w:val="none"/>
          <w:lang w:eastAsia="zh-CN"/>
        </w:rPr>
        <w:t>待公示期结束后，</w:t>
      </w:r>
      <w:r>
        <w:rPr>
          <w:rFonts w:hint="eastAsia" w:ascii="仿宋" w:hAnsi="仿宋" w:eastAsia="仿宋" w:cs="仿宋"/>
          <w:b w:val="0"/>
          <w:bCs w:val="0"/>
          <w:color w:val="auto"/>
          <w:sz w:val="24"/>
          <w:szCs w:val="24"/>
          <w:highlight w:val="none"/>
          <w:lang w:val="en-US" w:eastAsia="zh-CN"/>
        </w:rPr>
        <w:t>采购组织机构向</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人发出中标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b w:val="0"/>
          <w:bCs w:val="0"/>
          <w:color w:val="auto"/>
          <w:sz w:val="24"/>
          <w:szCs w:val="24"/>
          <w:highlight w:val="none"/>
          <w:lang w:val="en-US" w:eastAsia="zh-CN"/>
        </w:rPr>
        <w:t>通知书。</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通知书作为签订合同的重要依据，对采购人和</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供应商均具有法律效力。采购人改变</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结果或者</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供应商放弃</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项目的都应承担法律责任。成交供应商不得向他人转让</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项目，也不得将</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项目肢解后分别向他人转让。</w:t>
      </w:r>
    </w:p>
    <w:p>
      <w:pPr>
        <w:shd w:val="clear" w:color="auto" w:fill="auto"/>
        <w:spacing w:before="156" w:beforeLines="50" w:line="440" w:lineRule="exact"/>
        <w:jc w:val="center"/>
        <w:outlineLvl w:val="9"/>
        <w:rPr>
          <w:rFonts w:hint="eastAsia" w:ascii="仿宋" w:hAnsi="仿宋" w:eastAsia="仿宋" w:cs="仿宋"/>
          <w:b/>
          <w:bCs/>
          <w:color w:val="auto"/>
          <w:sz w:val="28"/>
          <w:szCs w:val="28"/>
          <w:highlight w:val="none"/>
        </w:rPr>
      </w:pPr>
      <w:bookmarkStart w:id="59" w:name="_Toc20489"/>
      <w:bookmarkStart w:id="60" w:name="_Toc22348"/>
    </w:p>
    <w:p>
      <w:pPr>
        <w:shd w:val="clear" w:color="auto" w:fill="auto"/>
        <w:spacing w:before="156" w:beforeLines="50" w:line="440" w:lineRule="exact"/>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（六）合同的授予</w:t>
      </w:r>
      <w:bookmarkEnd w:id="58"/>
      <w:bookmarkEnd w:id="59"/>
      <w:bookmarkEnd w:id="60"/>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bookmarkStart w:id="61" w:name="_Toc73975842"/>
      <w:bookmarkStart w:id="62" w:name="_Toc469495730"/>
      <w:r>
        <w:rPr>
          <w:rFonts w:hint="eastAsia" w:ascii="仿宋" w:hAnsi="仿宋" w:eastAsia="仿宋" w:cs="仿宋"/>
          <w:b/>
          <w:bCs/>
          <w:color w:val="auto"/>
          <w:sz w:val="24"/>
          <w:szCs w:val="24"/>
          <w:highlight w:val="none"/>
          <w:lang w:val="en-US" w:eastAsia="zh-CN"/>
        </w:rPr>
        <w:t>42、履约保证金</w:t>
      </w:r>
      <w:bookmarkEnd w:id="61"/>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42.1 </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供应商在签订合同后5个工作日内向采购人交纳不超过</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价3%的履约保证金（鼓励以银行、保险公司出具的履约保函形式提交；若以电汇、银行转账方式提交的，必须转到采购人的指定账户）。</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42.2 签订合同后，如中标供应商不按合同约定履约的，履约保证金不予退还，履约保证金不足以赔偿损失的，按实际损失赔偿。</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42.3 如果</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供应商在建设期内没有涉及采购人的应付而未付金额或违约行为，采购人在项目验收合格后或提前终止合同后全额无息退还履约保证金。</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bookmarkStart w:id="63" w:name="_Toc73975843"/>
      <w:r>
        <w:rPr>
          <w:rFonts w:hint="eastAsia" w:ascii="仿宋" w:hAnsi="仿宋" w:eastAsia="仿宋" w:cs="仿宋"/>
          <w:b/>
          <w:bCs/>
          <w:color w:val="auto"/>
          <w:sz w:val="24"/>
          <w:szCs w:val="24"/>
          <w:highlight w:val="none"/>
          <w:lang w:val="en-US" w:eastAsia="zh-CN"/>
        </w:rPr>
        <w:t>43、签订合同及公告</w:t>
      </w:r>
      <w:bookmarkEnd w:id="63"/>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43.1采购人在</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通知书发出之日起30日内与</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供应商签订合同。</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43.2</w:t>
      </w:r>
      <w:r>
        <w:rPr>
          <w:rFonts w:hint="eastAsia" w:ascii="仿宋" w:hAnsi="仿宋" w:eastAsia="仿宋" w:cs="仿宋"/>
          <w:color w:val="auto"/>
          <w:sz w:val="24"/>
          <w:szCs w:val="24"/>
          <w:highlight w:val="none"/>
          <w:lang w:val="en-US" w:eastAsia="zh-CN"/>
        </w:rPr>
        <w:t>中标（成交）</w:t>
      </w:r>
      <w:r>
        <w:rPr>
          <w:rFonts w:hint="eastAsia" w:ascii="仿宋" w:hAnsi="仿宋" w:eastAsia="仿宋" w:cs="仿宋"/>
          <w:b w:val="0"/>
          <w:bCs w:val="0"/>
          <w:color w:val="auto"/>
          <w:sz w:val="24"/>
          <w:szCs w:val="24"/>
          <w:highlight w:val="none"/>
          <w:lang w:val="en-US" w:eastAsia="zh-CN"/>
        </w:rPr>
        <w:t>供应商拖延、拒签合同的,取消中标资格。</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43.3 竞争性磋商文件、中标供应商的投标文件及评标过程中有关澄清文件等均作为签订合同的依据。所签订的合同不得对竞争性磋商文件和中标供应商的投标文件的内容作实质性修改。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43.4采购人应当自政府采购合同签订之日起2个工作日内，在省级以上财政部门指定的政府采购信息发布媒体及相关网站上公告。</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43.5采购人应当自政府采购合同签订之日起7个工作日内，将政府采购合同副本报同级人民政府财政部门备案以及采购代理机构存档。</w:t>
      </w:r>
    </w:p>
    <w:p>
      <w:pPr>
        <w:shd w:val="clear" w:color="auto" w:fill="auto"/>
        <w:adjustRightInd w:val="0"/>
        <w:snapToGrid w:val="0"/>
        <w:spacing w:line="440" w:lineRule="exact"/>
        <w:jc w:val="center"/>
        <w:outlineLvl w:val="9"/>
        <w:rPr>
          <w:rFonts w:hint="eastAsia" w:ascii="仿宋" w:hAnsi="仿宋" w:eastAsia="仿宋" w:cs="仿宋"/>
          <w:b/>
          <w:bCs/>
          <w:color w:val="auto"/>
          <w:sz w:val="28"/>
          <w:szCs w:val="28"/>
          <w:highlight w:val="none"/>
        </w:rPr>
      </w:pPr>
      <w:bookmarkStart w:id="64" w:name="_Toc9653"/>
      <w:bookmarkStart w:id="65" w:name="_Toc10947"/>
      <w:r>
        <w:rPr>
          <w:rFonts w:hint="eastAsia" w:ascii="仿宋" w:hAnsi="仿宋" w:eastAsia="仿宋" w:cs="仿宋"/>
          <w:b/>
          <w:bCs/>
          <w:color w:val="auto"/>
          <w:sz w:val="28"/>
          <w:szCs w:val="28"/>
          <w:highlight w:val="none"/>
        </w:rPr>
        <w:t>（七）纪律和监督</w:t>
      </w:r>
      <w:bookmarkEnd w:id="62"/>
      <w:bookmarkEnd w:id="64"/>
      <w:bookmarkEnd w:id="65"/>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44</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对招标人的纪律要求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44</w:t>
      </w:r>
      <w:r>
        <w:rPr>
          <w:rFonts w:hint="eastAsia" w:ascii="仿宋" w:hAnsi="仿宋" w:eastAsia="仿宋" w:cs="仿宋"/>
          <w:color w:val="auto"/>
          <w:kern w:val="10"/>
          <w:sz w:val="24"/>
          <w:szCs w:val="24"/>
          <w:highlight w:val="none"/>
        </w:rPr>
        <w:t xml:space="preserve">.1招标人不得泄漏招标投标活动中应当保密的情况和资料，不得与投标人串通损害国家利益，社会公共利益或者他人合法权益。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45、</w:t>
      </w:r>
      <w:r>
        <w:rPr>
          <w:rFonts w:hint="eastAsia" w:ascii="仿宋" w:hAnsi="仿宋" w:eastAsia="仿宋" w:cs="仿宋"/>
          <w:b/>
          <w:color w:val="auto"/>
          <w:sz w:val="24"/>
          <w:szCs w:val="24"/>
          <w:highlight w:val="none"/>
        </w:rPr>
        <w:t xml:space="preserve"> 对投标人的纪律要求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45</w:t>
      </w:r>
      <w:r>
        <w:rPr>
          <w:rFonts w:hint="eastAsia" w:ascii="仿宋" w:hAnsi="仿宋" w:eastAsia="仿宋" w:cs="仿宋"/>
          <w:color w:val="auto"/>
          <w:kern w:val="10"/>
          <w:sz w:val="24"/>
          <w:szCs w:val="24"/>
          <w:highlight w:val="none"/>
        </w:rPr>
        <w:t>.1投标人不得相互串通投标或者与招标人串通投标，不得向招标人或者评标委员会成员行贿谋取中标，不得以他人名义投标或者以其他方式弄虚作假骗取中标；投标人不得以任何方式干扰、影响评标工作。</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46</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 xml:space="preserve">对评标委员会成员的纪律要求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.1评标委员会成员不得收受他人的财物或者其他好处，不得向他人透漏对投标文件的评审和比较、</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kern w:val="10"/>
          <w:sz w:val="24"/>
          <w:szCs w:val="24"/>
          <w:highlight w:val="none"/>
        </w:rPr>
        <w:t>候选人的推荐情况以及评标有关的其他情况。</w:t>
      </w:r>
    </w:p>
    <w:p>
      <w:pPr>
        <w:shd w:val="clear" w:color="auto" w:fill="auto"/>
        <w:adjustRightInd w:val="0"/>
        <w:snapToGrid w:val="0"/>
        <w:spacing w:line="440" w:lineRule="exact"/>
        <w:ind w:firstLine="360" w:firstLineChars="150"/>
        <w:outlineLvl w:val="9"/>
        <w:rPr>
          <w:rFonts w:hint="eastAsia" w:ascii="仿宋" w:hAnsi="仿宋" w:eastAsia="仿宋" w:cs="仿宋"/>
          <w:color w:val="auto"/>
          <w:kern w:val="10"/>
          <w:sz w:val="24"/>
          <w:szCs w:val="24"/>
          <w:highlight w:val="none"/>
        </w:rPr>
      </w:pPr>
      <w:r>
        <w:rPr>
          <w:rFonts w:hint="eastAsia" w:ascii="仿宋" w:hAnsi="仿宋" w:eastAsia="仿宋" w:cs="仿宋"/>
          <w:color w:val="auto"/>
          <w:kern w:val="10"/>
          <w:sz w:val="24"/>
          <w:szCs w:val="24"/>
          <w:highlight w:val="none"/>
          <w:lang w:val="en-US" w:eastAsia="zh-CN"/>
        </w:rPr>
        <w:t>46</w:t>
      </w:r>
      <w:r>
        <w:rPr>
          <w:rFonts w:hint="eastAsia" w:ascii="仿宋" w:hAnsi="仿宋" w:eastAsia="仿宋" w:cs="仿宋"/>
          <w:color w:val="auto"/>
          <w:kern w:val="10"/>
          <w:sz w:val="24"/>
          <w:szCs w:val="24"/>
          <w:highlight w:val="none"/>
        </w:rPr>
        <w:t xml:space="preserve">.2在评标活动中，评标委员会成员不得擅离职守，影响评标程序正常进行，不得使用第三章“评标办法”没有规定的评审因素和标准进行评标。 </w:t>
      </w:r>
    </w:p>
    <w:p>
      <w:pPr>
        <w:shd w:val="clear" w:color="auto" w:fill="auto"/>
        <w:spacing w:line="440" w:lineRule="exact"/>
        <w:ind w:firstLine="352" w:firstLineChars="147"/>
        <w:jc w:val="left"/>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47、</w:t>
      </w:r>
      <w:r>
        <w:rPr>
          <w:rFonts w:hint="eastAsia" w:ascii="仿宋" w:hAnsi="仿宋" w:eastAsia="仿宋" w:cs="仿宋"/>
          <w:b/>
          <w:color w:val="auto"/>
          <w:sz w:val="24"/>
          <w:szCs w:val="24"/>
          <w:highlight w:val="none"/>
        </w:rPr>
        <w:t xml:space="preserve"> 对与评标活动有关的工作人员的纪律要求 </w:t>
      </w:r>
    </w:p>
    <w:p>
      <w:pPr>
        <w:shd w:val="clear" w:color="auto" w:fill="auto"/>
        <w:adjustRightInd w:val="0"/>
        <w:snapToGrid w:val="0"/>
        <w:spacing w:line="440" w:lineRule="exact"/>
        <w:ind w:firstLine="360" w:firstLineChars="150"/>
        <w:outlineLvl w:val="9"/>
        <w:rPr>
          <w:rFonts w:hint="eastAsia" w:ascii="仿宋" w:hAnsi="仿宋" w:eastAsia="仿宋" w:cs="仿宋"/>
          <w:color w:val="auto"/>
          <w:sz w:val="24"/>
          <w:szCs w:val="24"/>
          <w:highlight w:val="none"/>
        </w:rPr>
      </w:pPr>
      <w:r>
        <w:rPr>
          <w:rFonts w:hint="eastAsia" w:ascii="仿宋" w:hAnsi="仿宋" w:eastAsia="仿宋" w:cs="仿宋"/>
          <w:color w:val="auto"/>
          <w:kern w:val="10"/>
          <w:sz w:val="24"/>
          <w:szCs w:val="24"/>
          <w:highlight w:val="none"/>
        </w:rPr>
        <w:t>4</w:t>
      </w:r>
      <w:r>
        <w:rPr>
          <w:rFonts w:hint="eastAsia" w:ascii="仿宋" w:hAnsi="仿宋" w:eastAsia="仿宋" w:cs="仿宋"/>
          <w:color w:val="auto"/>
          <w:kern w:val="10"/>
          <w:sz w:val="24"/>
          <w:szCs w:val="24"/>
          <w:highlight w:val="none"/>
          <w:lang w:val="en-US" w:eastAsia="zh-CN"/>
        </w:rPr>
        <w:t>7</w:t>
      </w:r>
      <w:r>
        <w:rPr>
          <w:rFonts w:hint="eastAsia" w:ascii="仿宋" w:hAnsi="仿宋" w:eastAsia="仿宋" w:cs="仿宋"/>
          <w:color w:val="auto"/>
          <w:kern w:val="10"/>
          <w:sz w:val="24"/>
          <w:szCs w:val="24"/>
          <w:highlight w:val="none"/>
        </w:rPr>
        <w:t>.1与评标活动有关的工作人员不得收受他人的财物或者其他好处，不得向他人透漏对投标文件的评审和比较、</w:t>
      </w:r>
      <w:r>
        <w:rPr>
          <w:rFonts w:hint="eastAsia" w:ascii="仿宋" w:hAnsi="仿宋" w:eastAsia="仿宋" w:cs="仿宋"/>
          <w:color w:val="auto"/>
          <w:sz w:val="24"/>
          <w:szCs w:val="24"/>
          <w:highlight w:val="none"/>
        </w:rPr>
        <w:t>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kern w:val="10"/>
          <w:sz w:val="24"/>
          <w:szCs w:val="24"/>
          <w:highlight w:val="none"/>
        </w:rPr>
        <w:t>候选人的推荐情况以及评标有关的其他情况。在评标活动中，与评标活动有关的工作人员不得擅离职守，影响评标程序正常进行。</w:t>
      </w:r>
    </w:p>
    <w:p>
      <w:pPr>
        <w:shd w:val="clear" w:color="auto" w:fill="auto"/>
        <w:adjustRightInd w:val="0"/>
        <w:snapToGrid w:val="0"/>
        <w:spacing w:line="440" w:lineRule="exact"/>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（八）质疑与投诉</w:t>
      </w:r>
    </w:p>
    <w:p>
      <w:pPr>
        <w:shd w:val="clear" w:color="auto" w:fill="auto"/>
        <w:spacing w:line="440" w:lineRule="exact"/>
        <w:ind w:firstLine="240" w:firstLineChars="100"/>
        <w:jc w:val="left"/>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48、质疑和投诉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48.1.供应商认为竞争性磋商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（一）对可以质疑的竞争性磋商文件提出质疑的，为收到竞争性磋商文件之日或者竞争性磋商文件公告期限届满之日；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（二）对采购过程提出质疑的，为各采购程序环节结束之日；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（三）对中标或者成交结果提出质疑的，为中标或者成交结果公告期限届满之日。</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供应商为自然人的，应当由本人签字；供应商为法人或者其他组织的，应当由法定代表人、主要负责人，或者其授权代表签字或者盖章，并加盖公章。</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48.3供应商质疑、投诉应当有明确的请求和必要的证明材料。供应商投诉的事项不得超出已质疑事项的范围。采购人及采购代理机构按《政府采购质疑和投诉办法》进行处理供应商质疑事项。</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48.4质疑供应商对采购人、采购代理机构的质疑答复不满意，或者采购人、采购代理机构未在规定期限内作出答复的，供应商可以在答复期满后15个工作日内向同级财政部门提起投诉。</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48.5供应商有下列情形之一的，采购代理机构将克州财政局，将其列入不良行为记录名单：</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（一）一年内三次以上质疑均查无实据的；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（二）捏造事实或者提供虚假质疑材料的。</w:t>
      </w:r>
    </w:p>
    <w:p>
      <w:pPr>
        <w:shd w:val="clear" w:color="auto" w:fill="auto"/>
        <w:spacing w:line="440" w:lineRule="exact"/>
        <w:ind w:firstLine="240" w:firstLineChars="1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（三）以非法手段取得证明材料。证据来源的合法性存在明显疑问，质疑人无法证明其取得方式合法的，视为以非法手段取得证明材料。</w:t>
      </w:r>
    </w:p>
    <w:p>
      <w:pPr>
        <w:shd w:val="clear" w:color="auto" w:fill="auto"/>
        <w:jc w:val="left"/>
        <w:outlineLvl w:val="9"/>
        <w:rPr>
          <w:rFonts w:hint="eastAsia" w:ascii="宋体" w:hAnsi="宋体" w:eastAsia="宋体" w:cs="宋体"/>
          <w:b/>
          <w:bCs/>
          <w:color w:val="auto"/>
          <w:sz w:val="21"/>
          <w:szCs w:val="21"/>
          <w:highlight w:val="none"/>
          <w:lang w:eastAsia="zh-CN"/>
        </w:rPr>
      </w:pPr>
    </w:p>
    <w:p>
      <w:pPr>
        <w:shd w:val="clear" w:color="auto" w:fill="auto"/>
        <w:jc w:val="left"/>
        <w:outlineLvl w:val="9"/>
        <w:rPr>
          <w:rFonts w:hint="eastAsia" w:ascii="仿宋" w:hAnsi="仿宋" w:eastAsia="仿宋" w:cs="仿宋"/>
          <w:b/>
          <w:bCs/>
          <w:color w:val="auto"/>
          <w:sz w:val="24"/>
          <w:szCs w:val="24"/>
          <w:highlight w:val="none"/>
          <w:lang w:eastAsia="zh-CN"/>
        </w:rPr>
      </w:pPr>
      <w:r>
        <w:rPr>
          <w:rFonts w:hint="eastAsia" w:ascii="宋体" w:hAnsi="宋体" w:eastAsia="宋体" w:cs="宋体"/>
          <w:b/>
          <w:bCs/>
          <w:color w:val="auto"/>
          <w:sz w:val="21"/>
          <w:szCs w:val="21"/>
          <w:highlight w:val="none"/>
          <w:lang w:eastAsia="zh-CN"/>
        </w:rPr>
        <w:br w:type="page"/>
      </w:r>
      <w:r>
        <w:rPr>
          <w:rFonts w:hint="eastAsia" w:ascii="仿宋" w:hAnsi="仿宋" w:eastAsia="仿宋" w:cs="仿宋"/>
          <w:b/>
          <w:bCs/>
          <w:color w:val="auto"/>
          <w:sz w:val="24"/>
          <w:szCs w:val="24"/>
          <w:highlight w:val="none"/>
          <w:lang w:eastAsia="zh-CN"/>
        </w:rPr>
        <w:t>附件：</w:t>
      </w:r>
    </w:p>
    <w:p>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eastAsia="zh-CN"/>
        </w:rPr>
        <w:t>政府采购投诉书（范本）、质疑函范本</w:t>
      </w:r>
    </w:p>
    <w:p>
      <w:pPr>
        <w:keepNext w:val="0"/>
        <w:keepLines w:val="0"/>
        <w:pageBreakBefore w:val="0"/>
        <w:widowControl w:val="0"/>
        <w:shd w:val="clear" w:color="auto" w:fill="auto"/>
        <w:kinsoku/>
        <w:wordWrap/>
        <w:overflowPunct/>
        <w:topLinePunct w:val="0"/>
        <w:autoSpaceDE/>
        <w:autoSpaceDN/>
        <w:bidi w:val="0"/>
        <w:adjustRightInd/>
        <w:snapToGrid/>
        <w:spacing w:line="400" w:lineRule="exact"/>
        <w:jc w:val="center"/>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政府采购投诉书（范本）</w:t>
      </w:r>
    </w:p>
    <w:p>
      <w:pPr>
        <w:pStyle w:val="21"/>
        <w:outlineLvl w:val="9"/>
        <w:rPr>
          <w:rFonts w:hint="eastAsia"/>
          <w:color w:val="auto"/>
          <w:highlight w:val="none"/>
        </w:rPr>
      </w:pP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投诉人：                         法定代表人：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地址：                           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委托代理人姓名：                 职务：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住址：                           联系电话：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被投诉人：                       法定代表人：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地址：                            电话：               </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我公司参加了     年    月    日被投诉人组织的（采购人）（项目名称）（项目编号）的采购活动，我公司认为该项目的（采购文件/采购过程/中标（中标）结果）损害了我公司权益，对此，我公司于     年    月    日向（采购人或者政府采购代理机构）提出了质疑，（其于    年  月  日作出书面答复，因对其作出的答复不满意）/（被质疑人未在法定期内予以答复，按照政府采购有关规定），现向贵机关提起投诉：</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1.具体的投诉事项及事实依据；</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2.质疑和质疑答复情况简要描述；</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3.投诉请求。</w:t>
      </w:r>
    </w:p>
    <w:p>
      <w:pPr>
        <w:shd w:val="clear" w:color="auto" w:fill="auto"/>
        <w:spacing w:line="440" w:lineRule="exact"/>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附件：</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1.质疑书和质疑答复书；</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2.证据材料（需注明证据来源），证人的姓名、住址和联系方式等；</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3.营业执照；</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4.法定代表人身份证明函</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5.法定代表人授权委托书（包含法定代表人和委托代理人的身份证复印件）；</w:t>
      </w:r>
    </w:p>
    <w:p>
      <w:pPr>
        <w:shd w:val="clear" w:color="auto" w:fill="auto"/>
        <w:spacing w:line="440" w:lineRule="exact"/>
        <w:ind w:firstLine="420" w:firstLineChars="2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6.政府采购监管部门认为应当提供的其它材料。</w:t>
      </w:r>
    </w:p>
    <w:p>
      <w:pPr>
        <w:shd w:val="clear" w:color="auto" w:fill="auto"/>
        <w:spacing w:line="440" w:lineRule="exact"/>
        <w:ind w:firstLine="3360" w:firstLineChars="1600"/>
        <w:jc w:val="left"/>
        <w:outlineLvl w:val="9"/>
        <w:rPr>
          <w:rFonts w:hint="eastAsia" w:ascii="仿宋" w:hAnsi="仿宋" w:eastAsia="仿宋" w:cs="仿宋"/>
          <w:b w:val="0"/>
          <w:bCs w:val="0"/>
          <w:color w:val="auto"/>
          <w:szCs w:val="21"/>
          <w:highlight w:val="none"/>
          <w:lang w:val="en-US" w:eastAsia="zh-CN"/>
        </w:rPr>
      </w:pPr>
    </w:p>
    <w:p>
      <w:pPr>
        <w:shd w:val="clear" w:color="auto" w:fill="auto"/>
        <w:spacing w:line="440" w:lineRule="exact"/>
        <w:ind w:firstLine="3780" w:firstLineChars="18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投诉供应商：（盖章）</w:t>
      </w:r>
    </w:p>
    <w:p>
      <w:pPr>
        <w:shd w:val="clear" w:color="auto" w:fill="auto"/>
        <w:spacing w:line="440" w:lineRule="exact"/>
        <w:ind w:firstLine="210" w:firstLineChars="100"/>
        <w:jc w:val="left"/>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法定代表人（或主要负责人）：（签字或盖章）</w:t>
      </w:r>
    </w:p>
    <w:p>
      <w:pPr>
        <w:shd w:val="clear" w:color="auto" w:fill="auto"/>
        <w:spacing w:line="440" w:lineRule="exact"/>
        <w:ind w:firstLine="210" w:firstLineChars="100"/>
        <w:jc w:val="center"/>
        <w:outlineLvl w:val="9"/>
        <w:rPr>
          <w:rFonts w:hint="eastAsia" w:ascii="仿宋" w:hAnsi="仿宋" w:eastAsia="仿宋" w:cs="仿宋"/>
          <w:b w:val="0"/>
          <w:bCs w:val="0"/>
          <w:color w:val="auto"/>
          <w:szCs w:val="21"/>
          <w:highlight w:val="none"/>
          <w:lang w:val="en-US" w:eastAsia="zh-CN"/>
        </w:rPr>
      </w:pPr>
      <w:r>
        <w:rPr>
          <w:rFonts w:hint="eastAsia" w:ascii="仿宋" w:hAnsi="仿宋" w:eastAsia="仿宋" w:cs="仿宋"/>
          <w:b w:val="0"/>
          <w:bCs w:val="0"/>
          <w:color w:val="auto"/>
          <w:szCs w:val="21"/>
          <w:highlight w:val="none"/>
          <w:lang w:val="en-US" w:eastAsia="zh-CN"/>
        </w:rPr>
        <w:t xml:space="preserve">                  年   月    日</w:t>
      </w:r>
    </w:p>
    <w:p>
      <w:pPr>
        <w:pStyle w:val="21"/>
        <w:outlineLvl w:val="9"/>
        <w:rPr>
          <w:rFonts w:hint="eastAsia"/>
          <w:color w:val="auto"/>
          <w:highlight w:val="none"/>
          <w:lang w:val="en-US" w:eastAsia="zh-CN"/>
        </w:rPr>
      </w:pPr>
    </w:p>
    <w:p>
      <w:pPr>
        <w:shd w:val="clear" w:color="auto" w:fill="auto"/>
        <w:spacing w:line="440" w:lineRule="exact"/>
        <w:ind w:firstLine="210" w:firstLineChars="100"/>
        <w:jc w:val="center"/>
        <w:outlineLvl w:val="9"/>
        <w:rPr>
          <w:rFonts w:hint="eastAsia" w:ascii="仿宋" w:hAnsi="仿宋" w:eastAsia="仿宋" w:cs="仿宋"/>
          <w:b/>
          <w:bCs/>
          <w:color w:val="auto"/>
          <w:sz w:val="32"/>
          <w:szCs w:val="32"/>
          <w:highlight w:val="none"/>
        </w:rPr>
      </w:pPr>
      <w:r>
        <w:rPr>
          <w:rFonts w:hint="eastAsia" w:ascii="仿宋" w:hAnsi="仿宋" w:eastAsia="仿宋" w:cs="仿宋"/>
          <w:b w:val="0"/>
          <w:bCs w:val="0"/>
          <w:color w:val="auto"/>
          <w:szCs w:val="21"/>
          <w:highlight w:val="none"/>
          <w:lang w:val="en-US" w:eastAsia="zh-CN"/>
        </w:rPr>
        <w:t xml:space="preserve">                            本投诉书正本叁份，副本   份并附电子文档。</w:t>
      </w:r>
      <w:bookmarkStart w:id="66" w:name="_Toc17515"/>
    </w:p>
    <w:p>
      <w:pPr>
        <w:shd w:val="clear" w:color="auto" w:fill="auto"/>
        <w:ind w:left="7951" w:hanging="5760" w:hangingChars="1800"/>
        <w:jc w:val="center"/>
        <w:outlineLvl w:val="9"/>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投诉相关说明</w:t>
      </w:r>
      <w:bookmarkEnd w:id="66"/>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投诉人应当满足《政府采购法》、《政府采购法实施条例》和《政府采购供应商投诉处理办法》的相关规定。</w:t>
      </w:r>
    </w:p>
    <w:p>
      <w:pPr>
        <w:keepNext w:val="0"/>
        <w:keepLines w:val="0"/>
        <w:pageBreakBefore w:val="0"/>
        <w:numPr>
          <w:ilvl w:val="0"/>
          <w:numId w:val="4"/>
        </w:numPr>
        <w:shd w:val="clear" w:color="auto" w:fill="auto"/>
        <w:kinsoku/>
        <w:wordWrap/>
        <w:overflowPunct/>
        <w:topLinePunct w:val="0"/>
        <w:autoSpaceDE/>
        <w:autoSpaceDN/>
        <w:bidi w:val="0"/>
        <w:adjustRightInd/>
        <w:snapToGrid/>
        <w:spacing w:line="400" w:lineRule="exact"/>
        <w:ind w:left="4478" w:leftChars="304" w:hanging="3840" w:hangingChars="1600"/>
        <w:textAlignment w:val="auto"/>
        <w:outlineLvl w:val="9"/>
        <w:rPr>
          <w:rFonts w:hint="eastAsia" w:ascii="仿宋" w:hAnsi="仿宋" w:eastAsia="仿宋" w:cs="仿宋"/>
          <w:b/>
          <w:bCs/>
          <w:color w:val="auto"/>
          <w:sz w:val="24"/>
          <w:szCs w:val="24"/>
          <w:highlight w:val="none"/>
        </w:rPr>
      </w:pPr>
      <w:bookmarkStart w:id="67" w:name="_Toc11499"/>
      <w:r>
        <w:rPr>
          <w:rFonts w:hint="eastAsia" w:ascii="仿宋" w:hAnsi="仿宋" w:eastAsia="仿宋" w:cs="仿宋"/>
          <w:b/>
          <w:bCs/>
          <w:color w:val="auto"/>
          <w:sz w:val="24"/>
          <w:szCs w:val="24"/>
          <w:highlight w:val="none"/>
        </w:rPr>
        <w:t>质疑前置及时间要求</w:t>
      </w:r>
      <w:bookmarkEnd w:id="67"/>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kern w:val="0"/>
          <w:sz w:val="24"/>
          <w:szCs w:val="24"/>
          <w:highlight w:val="none"/>
          <w:shd w:val="clear" w:color="auto" w:fill="FFFFFF"/>
        </w:rPr>
        <w:t>第五十一条：供应商对政府采购活动事项有疑问的，可以向采购人提出询问，采购人应当及时作出答复，但答复的内容不得涉及商业秘密。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rPr>
        <w:t xml:space="preserve"> 第五十二条：供应商认为采购文件、采购过程和中标、</w:t>
      </w:r>
      <w:r>
        <w:rPr>
          <w:rFonts w:hint="eastAsia" w:ascii="仿宋" w:hAnsi="仿宋" w:eastAsia="仿宋" w:cs="仿宋"/>
          <w:color w:val="auto"/>
          <w:kern w:val="0"/>
          <w:sz w:val="24"/>
          <w:szCs w:val="24"/>
          <w:highlight w:val="none"/>
          <w:shd w:val="clear" w:color="auto" w:fill="FFFFFF"/>
          <w:lang w:eastAsia="zh-CN"/>
        </w:rPr>
        <w:t>中标</w:t>
      </w:r>
      <w:r>
        <w:rPr>
          <w:rFonts w:hint="eastAsia" w:ascii="仿宋" w:hAnsi="仿宋" w:eastAsia="仿宋" w:cs="仿宋"/>
          <w:color w:val="auto"/>
          <w:kern w:val="0"/>
          <w:sz w:val="24"/>
          <w:szCs w:val="24"/>
          <w:highlight w:val="none"/>
          <w:shd w:val="clear" w:color="auto" w:fill="FFFFFF"/>
        </w:rPr>
        <w:t>结果使自己的权益受到损害的，可以在知道或者应知其权益受到损害之日起七个工作日内，以书面形式向采购人提出质疑。</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第五十三条：采购人应当在收到供应商的书面质疑后七个工作日内作出答复，并以书面形式通知质疑供应商和其他有关供应商，但答复的内容不得涉及商业秘密。</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shd w:val="clear" w:color="auto" w:fill="auto"/>
        <w:kinsoku/>
        <w:wordWrap/>
        <w:overflowPunct/>
        <w:topLinePunct w:val="0"/>
        <w:autoSpaceDE/>
        <w:autoSpaceDN/>
        <w:bidi w:val="0"/>
        <w:adjustRightInd/>
        <w:snapToGrid/>
        <w:spacing w:line="400" w:lineRule="exact"/>
        <w:ind w:firstLine="420"/>
        <w:jc w:val="left"/>
        <w:textAlignment w:val="auto"/>
        <w:outlineLvl w:val="9"/>
        <w:rPr>
          <w:rFonts w:hint="eastAsia" w:ascii="仿宋" w:hAnsi="仿宋" w:eastAsia="仿宋" w:cs="仿宋"/>
          <w:color w:val="auto"/>
          <w:kern w:val="0"/>
          <w:sz w:val="24"/>
          <w:szCs w:val="24"/>
          <w:highlight w:val="none"/>
          <w:shd w:val="clear" w:color="auto" w:fill="FFFFFF"/>
        </w:rPr>
      </w:pPr>
      <w:r>
        <w:rPr>
          <w:rFonts w:hint="eastAsia" w:ascii="仿宋" w:hAnsi="仿宋" w:eastAsia="仿宋" w:cs="仿宋"/>
          <w:color w:val="auto"/>
          <w:kern w:val="0"/>
          <w:sz w:val="24"/>
          <w:szCs w:val="24"/>
          <w:highlight w:val="none"/>
          <w:shd w:val="clear" w:color="auto" w:fill="FFFFFF"/>
        </w:rPr>
        <w:t xml:space="preserve">  《政府采购实施条例》第五十五条：供应商质疑、投诉应当有明确的请求和必要的证明材料。供应商投诉的事项不得超出质疑事项的范围。</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bookmarkStart w:id="68" w:name="_Toc13508"/>
      <w:r>
        <w:rPr>
          <w:rFonts w:hint="eastAsia" w:ascii="仿宋" w:hAnsi="仿宋" w:eastAsia="仿宋" w:cs="仿宋"/>
          <w:b/>
          <w:bCs/>
          <w:color w:val="auto"/>
          <w:sz w:val="24"/>
          <w:szCs w:val="24"/>
          <w:highlight w:val="none"/>
        </w:rPr>
        <w:t>二、书面方式</w:t>
      </w:r>
      <w:bookmarkEnd w:id="68"/>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《政府采购供应商投诉处理办法》第八条：投诉人投诉</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时，应当提交投诉书，并按照被投诉人以及与投诉事项有关的供应商数量提供投诉书的副本。</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4320" w:hangingChars="18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投诉书应当包括下列主要内容：</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投诉人和被投诉人的名称、地址、电话等；</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具体的投诉事项及事实依据；</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质疑和质疑答复情况及相关证明材料；</w:t>
      </w:r>
    </w:p>
    <w:p>
      <w:pPr>
        <w:keepNext w:val="0"/>
        <w:keepLines w:val="0"/>
        <w:pageBreakBefore w:val="0"/>
        <w:numPr>
          <w:ilvl w:val="0"/>
          <w:numId w:val="5"/>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提起投诉的日期。</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投诉书应当署名。投诉人为自然人，应当由本人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；投诉人为法人或者其他组织的，应当由法定代表人或者主要负责人</w:t>
      </w:r>
      <w:r>
        <w:rPr>
          <w:rFonts w:hint="eastAsia" w:ascii="仿宋" w:hAnsi="仿宋" w:eastAsia="仿宋" w:cs="仿宋"/>
          <w:color w:val="auto"/>
          <w:sz w:val="24"/>
          <w:szCs w:val="24"/>
          <w:highlight w:val="none"/>
          <w:lang w:eastAsia="zh-CN"/>
        </w:rPr>
        <w:t>签章</w:t>
      </w:r>
      <w:r>
        <w:rPr>
          <w:rFonts w:hint="eastAsia" w:ascii="仿宋" w:hAnsi="仿宋" w:eastAsia="仿宋" w:cs="仿宋"/>
          <w:color w:val="auto"/>
          <w:sz w:val="24"/>
          <w:szCs w:val="24"/>
          <w:highlight w:val="none"/>
        </w:rPr>
        <w:t>并加盖公章。</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keepNext w:val="0"/>
        <w:keepLines w:val="0"/>
        <w:pageBreakBefore w:val="0"/>
        <w:shd w:val="clear" w:color="auto" w:fill="auto"/>
        <w:kinsoku/>
        <w:wordWrap/>
        <w:overflowPunct/>
        <w:topLinePunct w:val="0"/>
        <w:autoSpaceDE/>
        <w:autoSpaceDN/>
        <w:bidi w:val="0"/>
        <w:adjustRightInd/>
        <w:snapToGrid/>
        <w:spacing w:line="400" w:lineRule="exact"/>
        <w:ind w:firstLine="645"/>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《政府采购供应商投诉处理办法》第十条：投诉人提起投诉应当符合下列条件：</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投诉人是参与所投诉政府采购活动的供应商；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提起投诉诉前已依法进行质疑；</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投诉书内容符合本办法的规定；</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在投诉有效期内提起投诉；</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属于本级财政部门管辖；</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同一投诉事项未经财政部门投诉处理；</w:t>
      </w:r>
    </w:p>
    <w:p>
      <w:pPr>
        <w:keepNext w:val="0"/>
        <w:keepLines w:val="0"/>
        <w:pageBreakBefore w:val="0"/>
        <w:numPr>
          <w:ilvl w:val="0"/>
          <w:numId w:val="6"/>
        </w:numPr>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国务院财政部门规定的其他条件。</w:t>
      </w:r>
    </w:p>
    <w:p>
      <w:pPr>
        <w:keepNext w:val="0"/>
        <w:keepLines w:val="0"/>
        <w:pageBreakBefore w:val="0"/>
        <w:shd w:val="clear" w:color="auto" w:fill="auto"/>
        <w:kinsoku/>
        <w:wordWrap/>
        <w:overflowPunct/>
        <w:topLinePunct w:val="0"/>
        <w:autoSpaceDE/>
        <w:autoSpaceDN/>
        <w:bidi w:val="0"/>
        <w:adjustRightInd/>
        <w:snapToGrid/>
        <w:spacing w:line="400" w:lineRule="exact"/>
        <w:ind w:left="5760" w:hanging="3780" w:hangingChars="1800"/>
        <w:textAlignment w:va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1"/>
          <w:szCs w:val="21"/>
          <w:highlight w:val="none"/>
        </w:rPr>
        <w:t xml:space="preserve"> </w:t>
      </w:r>
      <w:r>
        <w:rPr>
          <w:rFonts w:hint="eastAsia" w:ascii="仿宋" w:hAnsi="仿宋" w:eastAsia="仿宋" w:cs="仿宋"/>
          <w:b/>
          <w:bCs/>
          <w:color w:val="auto"/>
          <w:sz w:val="21"/>
          <w:szCs w:val="21"/>
          <w:highlight w:val="none"/>
        </w:rPr>
        <w:t xml:space="preserve"> </w:t>
      </w:r>
      <w:r>
        <w:rPr>
          <w:rFonts w:hint="eastAsia" w:ascii="仿宋" w:hAnsi="仿宋" w:eastAsia="仿宋" w:cs="仿宋"/>
          <w:b/>
          <w:bCs/>
          <w:color w:val="auto"/>
          <w:sz w:val="24"/>
          <w:szCs w:val="24"/>
          <w:highlight w:val="none"/>
        </w:rPr>
        <w:t xml:space="preserve">  </w:t>
      </w:r>
      <w:bookmarkStart w:id="69" w:name="_Toc5978"/>
      <w:r>
        <w:rPr>
          <w:rFonts w:hint="eastAsia" w:ascii="仿宋" w:hAnsi="仿宋" w:eastAsia="仿宋" w:cs="仿宋"/>
          <w:b/>
          <w:bCs/>
          <w:color w:val="auto"/>
          <w:sz w:val="24"/>
          <w:szCs w:val="24"/>
          <w:highlight w:val="none"/>
        </w:rPr>
        <w:t>三、虚假、恶意投诉法律责任</w:t>
      </w:r>
      <w:bookmarkEnd w:id="69"/>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第七十三条：供应商捏造实施、提供虚假材料或者以非法手段取得证明材料进行投诉的，由财政部门列入不良行为记录名单，禁止其1至3年内参加政府采购活动。</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《政府采购供应商投诉处理办法》第二十六条：投诉人有下列情形之一的，属于虚假、恶意投诉，财政部门应当驳回投诉，将其列入不良行为记录名单，并依法予以处罚：</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（一）1年内3次以上投诉均查无实据的；</w:t>
      </w:r>
    </w:p>
    <w:p>
      <w:pPr>
        <w:keepNext w:val="0"/>
        <w:keepLines w:val="0"/>
        <w:pageBreakBefore w:val="0"/>
        <w:shd w:val="clear" w:color="auto" w:fill="auto"/>
        <w:kinsoku/>
        <w:wordWrap/>
        <w:overflowPunct/>
        <w:topLinePunct w:val="0"/>
        <w:autoSpaceDE/>
        <w:autoSpaceDN/>
        <w:bidi w:val="0"/>
        <w:adjustRightInd/>
        <w:snapToGrid/>
        <w:spacing w:line="40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（二）捏造事实或者提供虚假投诉材料的。</w:t>
      </w: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keepNext w:val="0"/>
        <w:keepLines w:val="0"/>
        <w:pageBreakBefore w:val="0"/>
        <w:shd w:val="clear" w:color="auto" w:fill="auto"/>
        <w:kinsoku/>
        <w:wordWrap/>
        <w:overflowPunct/>
        <w:topLinePunct w:val="0"/>
        <w:autoSpaceDE/>
        <w:autoSpaceDN/>
        <w:bidi w:val="0"/>
        <w:adjustRightInd/>
        <w:snapToGrid/>
        <w:spacing w:line="400" w:lineRule="exact"/>
        <w:textAlignment w:val="auto"/>
        <w:outlineLvl w:val="9"/>
        <w:rPr>
          <w:rFonts w:hint="eastAsia" w:ascii="仿宋" w:hAnsi="仿宋" w:eastAsia="仿宋" w:cs="仿宋"/>
          <w:color w:val="auto"/>
          <w:sz w:val="24"/>
          <w:szCs w:val="24"/>
          <w:highlight w:val="none"/>
        </w:rPr>
      </w:pPr>
    </w:p>
    <w:p>
      <w:pPr>
        <w:shd w:val="clear" w:color="auto" w:fill="auto"/>
        <w:jc w:val="both"/>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递交投诉书地址：</w:t>
      </w:r>
      <w:r>
        <w:rPr>
          <w:rFonts w:hint="eastAsia" w:ascii="仿宋" w:hAnsi="仿宋" w:eastAsia="仿宋" w:cs="仿宋"/>
          <w:color w:val="auto"/>
          <w:sz w:val="24"/>
          <w:szCs w:val="24"/>
          <w:highlight w:val="none"/>
          <w:lang w:val="en-US" w:eastAsia="zh-CN"/>
        </w:rPr>
        <w:t>阿图什市政府采购办</w:t>
      </w:r>
      <w:r>
        <w:rPr>
          <w:rFonts w:hint="eastAsia" w:ascii="仿宋" w:hAnsi="仿宋" w:eastAsia="仿宋" w:cs="仿宋"/>
          <w:color w:val="auto"/>
          <w:sz w:val="24"/>
          <w:szCs w:val="24"/>
          <w:highlight w:val="none"/>
        </w:rPr>
        <w:t>监管办公室</w:t>
      </w:r>
    </w:p>
    <w:p>
      <w:pPr>
        <w:shd w:val="clear" w:color="auto" w:fill="auto"/>
        <w:jc w:val="right"/>
        <w:outlineLvl w:val="9"/>
        <w:rPr>
          <w:rFonts w:hint="eastAsia" w:ascii="仿宋" w:hAnsi="仿宋" w:eastAsia="仿宋" w:cs="仿宋"/>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both"/>
        <w:textAlignment w:val="auto"/>
        <w:outlineLvl w:val="9"/>
        <w:rPr>
          <w:rFonts w:hint="eastAsia" w:ascii="仿宋" w:hAnsi="仿宋" w:eastAsia="仿宋" w:cs="仿宋"/>
          <w:b/>
          <w:bCs/>
          <w:color w:val="auto"/>
          <w:sz w:val="44"/>
          <w:szCs w:val="44"/>
          <w:highlight w:val="none"/>
        </w:rPr>
      </w:pPr>
      <w:bookmarkStart w:id="70" w:name="_Toc1697"/>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44"/>
          <w:szCs w:val="44"/>
          <w:highlight w:val="none"/>
        </w:rPr>
      </w:pPr>
    </w:p>
    <w:p>
      <w:pPr>
        <w:pStyle w:val="27"/>
        <w:ind w:left="0" w:leftChars="0" w:firstLine="0" w:firstLineChars="0"/>
        <w:outlineLvl w:val="9"/>
        <w:rPr>
          <w:rFonts w:hint="eastAsia" w:ascii="仿宋" w:hAnsi="仿宋" w:eastAsia="仿宋" w:cs="仿宋"/>
          <w:b/>
          <w:bCs/>
          <w:color w:val="auto"/>
          <w:sz w:val="32"/>
          <w:szCs w:val="32"/>
          <w:highlight w:val="none"/>
        </w:rPr>
      </w:pPr>
    </w:p>
    <w:p>
      <w:pPr>
        <w:keepNext w:val="0"/>
        <w:keepLines w:val="0"/>
        <w:pageBreakBefore w:val="0"/>
        <w:widowControl w:val="0"/>
        <w:shd w:val="clear" w:color="auto" w:fill="auto"/>
        <w:kinsoku/>
        <w:wordWrap/>
        <w:overflowPunct/>
        <w:topLinePunct w:val="0"/>
        <w:autoSpaceDE/>
        <w:autoSpaceDN/>
        <w:bidi w:val="0"/>
        <w:spacing w:line="540" w:lineRule="exact"/>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质疑函范本</w:t>
      </w:r>
      <w:bookmarkEnd w:id="70"/>
    </w:p>
    <w:p>
      <w:pPr>
        <w:keepNext w:val="0"/>
        <w:keepLines w:val="0"/>
        <w:pageBreakBefore w:val="0"/>
        <w:widowControl w:val="0"/>
        <w:shd w:val="clear" w:color="auto" w:fill="auto"/>
        <w:kinsoku/>
        <w:wordWrap/>
        <w:overflowPunct/>
        <w:topLinePunct w:val="0"/>
        <w:autoSpaceDE/>
        <w:autoSpaceDN/>
        <w:bidi w:val="0"/>
        <w:adjustRightInd w:val="0"/>
        <w:snapToGrid w:val="0"/>
        <w:spacing w:beforeLines="100" w:line="540" w:lineRule="exact"/>
        <w:ind w:firstLine="480" w:firstLineChars="200"/>
        <w:textAlignment w:val="auto"/>
        <w:outlineLvl w:val="9"/>
        <w:rPr>
          <w:rFonts w:hint="eastAsia" w:ascii="仿宋" w:hAnsi="仿宋" w:eastAsia="仿宋" w:cs="仿宋"/>
          <w:bCs/>
          <w:color w:val="auto"/>
          <w:sz w:val="24"/>
          <w:szCs w:val="24"/>
          <w:highlight w:val="none"/>
        </w:rPr>
      </w:pPr>
      <w:bookmarkStart w:id="71" w:name="_Toc9061"/>
      <w:r>
        <w:rPr>
          <w:rFonts w:hint="eastAsia" w:ascii="仿宋" w:hAnsi="仿宋" w:eastAsia="仿宋" w:cs="仿宋"/>
          <w:bCs/>
          <w:color w:val="auto"/>
          <w:sz w:val="24"/>
          <w:szCs w:val="24"/>
          <w:highlight w:val="none"/>
        </w:rPr>
        <w:t>一、质疑供应商基本信息</w:t>
      </w:r>
      <w:bookmarkEnd w:id="71"/>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2" w:name="_Toc15938"/>
      <w:r>
        <w:rPr>
          <w:rFonts w:hint="eastAsia" w:ascii="仿宋" w:hAnsi="仿宋" w:eastAsia="仿宋" w:cs="仿宋"/>
          <w:bCs/>
          <w:color w:val="auto"/>
          <w:sz w:val="24"/>
          <w:szCs w:val="24"/>
          <w:highlight w:val="none"/>
        </w:rPr>
        <w:t>二、质疑项目基本情况</w:t>
      </w:r>
      <w:bookmarkEnd w:id="72"/>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3" w:name="_Toc18271"/>
      <w:r>
        <w:rPr>
          <w:rFonts w:hint="eastAsia" w:ascii="仿宋" w:hAnsi="仿宋" w:eastAsia="仿宋" w:cs="仿宋"/>
          <w:bCs/>
          <w:color w:val="auto"/>
          <w:sz w:val="24"/>
          <w:szCs w:val="24"/>
          <w:highlight w:val="none"/>
        </w:rPr>
        <w:t>三、质疑事项具体内容</w:t>
      </w:r>
      <w:bookmarkEnd w:id="73"/>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bCs/>
          <w:color w:val="auto"/>
          <w:sz w:val="24"/>
          <w:szCs w:val="24"/>
          <w:highlight w:val="none"/>
        </w:rPr>
      </w:pPr>
      <w:bookmarkStart w:id="74" w:name="_Toc22365"/>
      <w:r>
        <w:rPr>
          <w:rFonts w:hint="eastAsia" w:ascii="仿宋" w:hAnsi="仿宋" w:eastAsia="仿宋" w:cs="仿宋"/>
          <w:bCs/>
          <w:color w:val="auto"/>
          <w:sz w:val="24"/>
          <w:szCs w:val="24"/>
          <w:highlight w:val="none"/>
        </w:rPr>
        <w:t>四、与质疑事项相关的质疑请求</w:t>
      </w:r>
      <w:bookmarkEnd w:id="74"/>
    </w:p>
    <w:p>
      <w:pPr>
        <w:keepNext w:val="0"/>
        <w:keepLines w:val="0"/>
        <w:pageBreakBefore w:val="0"/>
        <w:widowControl w:val="0"/>
        <w:shd w:val="clear" w:color="auto" w:fill="auto"/>
        <w:kinsoku/>
        <w:wordWrap/>
        <w:overflowPunct/>
        <w:topLinePunct w:val="0"/>
        <w:autoSpaceDE/>
        <w:autoSpaceDN/>
        <w:bidi w:val="0"/>
        <w:adjustRightInd w:val="0"/>
        <w:snapToGrid w:val="0"/>
        <w:spacing w:line="540" w:lineRule="exact"/>
        <w:ind w:firstLine="480" w:firstLineChars="200"/>
        <w:textAlignment w:val="auto"/>
        <w:outlineLvl w:val="9"/>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 xml:space="preserve">)：                   公章：                      </w:t>
      </w:r>
    </w:p>
    <w:p>
      <w:pPr>
        <w:keepNext w:val="0"/>
        <w:keepLines w:val="0"/>
        <w:pageBreakBefore w:val="0"/>
        <w:widowControl w:val="0"/>
        <w:shd w:val="clear" w:color="auto" w:fill="auto"/>
        <w:kinsoku/>
        <w:wordWrap/>
        <w:overflowPunct/>
        <w:topLinePunct w:val="0"/>
        <w:autoSpaceDE/>
        <w:autoSpaceDN/>
        <w:bidi w:val="0"/>
        <w:spacing w:line="540" w:lineRule="exact"/>
        <w:ind w:firstLine="480" w:firstLineChars="200"/>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日期：    </w:t>
      </w:r>
    </w:p>
    <w:p>
      <w:pPr>
        <w:keepNext w:val="0"/>
        <w:keepLines w:val="0"/>
        <w:pageBreakBefore w:val="0"/>
        <w:widowControl w:val="0"/>
        <w:shd w:val="clear" w:color="auto" w:fill="auto"/>
        <w:kinsoku/>
        <w:wordWrap/>
        <w:overflowPunct/>
        <w:topLinePunct w:val="0"/>
        <w:autoSpaceDE/>
        <w:autoSpaceDN/>
        <w:bidi w:val="0"/>
        <w:spacing w:line="540" w:lineRule="exact"/>
        <w:ind w:firstLine="420" w:firstLineChars="200"/>
        <w:textAlignment w:val="auto"/>
        <w:outlineLvl w:val="9"/>
        <w:rPr>
          <w:rFonts w:hint="eastAsia" w:ascii="宋体" w:hAnsi="宋体" w:eastAsia="宋体" w:cs="宋体"/>
          <w:b/>
          <w:bCs/>
          <w:color w:val="auto"/>
          <w:sz w:val="21"/>
          <w:szCs w:val="21"/>
          <w:highlight w:val="none"/>
        </w:rPr>
      </w:pPr>
    </w:p>
    <w:p>
      <w:pPr>
        <w:pageBreakBefore/>
        <w:shd w:val="clear" w:color="auto" w:fill="auto"/>
        <w:spacing w:line="440" w:lineRule="exact"/>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75" w:name="_Toc11066"/>
      <w:bookmarkStart w:id="76" w:name="_Toc7306"/>
      <w:bookmarkStart w:id="77" w:name="_Toc19143"/>
      <w:bookmarkStart w:id="78" w:name="_Toc32335"/>
      <w:r>
        <w:rPr>
          <w:rFonts w:hint="eastAsia" w:ascii="仿宋" w:hAnsi="仿宋" w:eastAsia="仿宋" w:cs="仿宋"/>
          <w:b/>
          <w:bCs/>
          <w:color w:val="auto"/>
          <w:kern w:val="2"/>
          <w:sz w:val="40"/>
          <w:szCs w:val="40"/>
          <w:highlight w:val="none"/>
          <w:u w:val="none"/>
          <w:shd w:val="clear" w:color="auto" w:fill="auto"/>
          <w:lang w:val="en-US" w:eastAsia="zh-CN" w:bidi="ar-SA"/>
        </w:rPr>
        <w:t>第三章 评标办法</w:t>
      </w:r>
      <w:bookmarkEnd w:id="75"/>
      <w:bookmarkEnd w:id="76"/>
      <w:bookmarkEnd w:id="77"/>
      <w:bookmarkEnd w:id="78"/>
    </w:p>
    <w:p>
      <w:pPr>
        <w:shd w:val="clear" w:color="auto" w:fill="auto"/>
        <w:jc w:val="center"/>
        <w:outlineLvl w:val="9"/>
        <w:rPr>
          <w:rFonts w:hint="eastAsia" w:ascii="仿宋" w:hAnsi="仿宋" w:eastAsia="仿宋" w:cs="仿宋"/>
          <w:b/>
          <w:color w:val="auto"/>
          <w:sz w:val="28"/>
          <w:szCs w:val="28"/>
          <w:highlight w:val="none"/>
        </w:rPr>
      </w:pPr>
      <w:bookmarkStart w:id="79" w:name="_Toc18890"/>
      <w:bookmarkStart w:id="80" w:name="_Toc23384"/>
      <w:bookmarkStart w:id="81" w:name="_Toc362983802"/>
      <w:bookmarkStart w:id="82" w:name="_Toc267320058"/>
      <w:bookmarkStart w:id="83" w:name="_Toc363135205"/>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rPr>
        <w:t>总  则</w:t>
      </w:r>
      <w:bookmarkEnd w:id="79"/>
      <w:bookmarkEnd w:id="80"/>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1、一般规定</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1.1本项目的招标按照《中华人民共和国政府采购法》、《政府采购服务和服务招标磋商管理办法》、《政府采购竞争性磋商采购方式管理暂行办法》及政府采购的有关规定进行。</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1.2评标必须遵循公开、公平、公正、诚实信用的原则。</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1.3招标代理机构组织招标、开标、评标工作，全过程接受政府采购有关部门的监督、管理和指导。</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1.4评标按照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磋商文件规定的内容进行，采取综合比较和分项打分相结合的评标方法（综合评分法），避免纯技术或纯经济的倾向。</w:t>
      </w:r>
    </w:p>
    <w:p>
      <w:pPr>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1.5本办法的评标对象是指供应商按照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磋商文件要求提供的有效响应文件，包括供应商应磋商小组要求对原响应文件作出的正式书面澄清文件。</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2、磋商组织机构的组成</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2.1磋商小组成员由招标人的代表和随机抽取的有关方面的</w:t>
      </w:r>
      <w:r>
        <w:rPr>
          <w:rFonts w:hint="eastAsia" w:ascii="仿宋" w:hAnsi="仿宋" w:eastAsia="仿宋" w:cs="仿宋"/>
          <w:b/>
          <w:bCs/>
          <w:color w:val="auto"/>
          <w:sz w:val="24"/>
          <w:szCs w:val="24"/>
          <w:highlight w:val="none"/>
        </w:rPr>
        <w:t>专</w:t>
      </w:r>
      <w:r>
        <w:rPr>
          <w:rFonts w:hint="eastAsia" w:ascii="仿宋" w:hAnsi="仿宋" w:eastAsia="仿宋" w:cs="仿宋"/>
          <w:b/>
          <w:bCs/>
          <w:color w:val="auto"/>
          <w:sz w:val="24"/>
          <w:szCs w:val="24"/>
          <w:highlight w:val="none"/>
          <w:u w:val="single"/>
        </w:rPr>
        <w:t>家</w:t>
      </w:r>
      <w:r>
        <w:rPr>
          <w:rFonts w:hint="eastAsia" w:ascii="仿宋" w:hAnsi="仿宋" w:eastAsia="仿宋" w:cs="仿宋"/>
          <w:b/>
          <w:bCs/>
          <w:color w:val="auto"/>
          <w:sz w:val="24"/>
          <w:szCs w:val="24"/>
          <w:highlight w:val="none"/>
          <w:u w:val="single"/>
          <w:lang w:val="en-US" w:eastAsia="zh-CN"/>
        </w:rPr>
        <w:t>2</w:t>
      </w:r>
      <w:r>
        <w:rPr>
          <w:rFonts w:hint="eastAsia" w:ascii="仿宋" w:hAnsi="仿宋" w:eastAsia="仿宋" w:cs="仿宋"/>
          <w:b/>
          <w:bCs/>
          <w:color w:val="auto"/>
          <w:sz w:val="24"/>
          <w:szCs w:val="24"/>
          <w:highlight w:val="none"/>
          <w:u w:val="single"/>
        </w:rPr>
        <w:t>名组成，成员为</w:t>
      </w:r>
      <w:r>
        <w:rPr>
          <w:rFonts w:hint="eastAsia" w:ascii="仿宋" w:hAnsi="仿宋" w:eastAsia="仿宋" w:cs="仿宋"/>
          <w:b/>
          <w:bCs/>
          <w:color w:val="auto"/>
          <w:sz w:val="24"/>
          <w:szCs w:val="24"/>
          <w:highlight w:val="none"/>
          <w:u w:val="single"/>
          <w:lang w:val="en-US" w:eastAsia="zh-CN"/>
        </w:rPr>
        <w:t>3</w:t>
      </w:r>
      <w:r>
        <w:rPr>
          <w:rFonts w:hint="eastAsia" w:ascii="仿宋" w:hAnsi="仿宋" w:eastAsia="仿宋" w:cs="仿宋"/>
          <w:b/>
          <w:bCs/>
          <w:color w:val="auto"/>
          <w:sz w:val="24"/>
          <w:szCs w:val="24"/>
          <w:highlight w:val="none"/>
          <w:u w:val="single"/>
        </w:rPr>
        <w:t>人</w:t>
      </w:r>
      <w:r>
        <w:rPr>
          <w:rFonts w:hint="eastAsia" w:ascii="仿宋" w:hAnsi="仿宋" w:eastAsia="仿宋" w:cs="仿宋"/>
          <w:color w:val="auto"/>
          <w:sz w:val="24"/>
          <w:szCs w:val="24"/>
          <w:highlight w:val="none"/>
        </w:rPr>
        <w:t>，磋商小组的成员在评标过程中</w:t>
      </w:r>
      <w:r>
        <w:rPr>
          <w:rFonts w:hint="eastAsia" w:ascii="仿宋" w:hAnsi="仿宋" w:eastAsia="仿宋" w:cs="仿宋"/>
          <w:color w:val="auto"/>
          <w:sz w:val="24"/>
          <w:szCs w:val="24"/>
          <w:highlight w:val="none"/>
          <w:lang w:val="zh-CN"/>
        </w:rPr>
        <w:t>必须严格遵守政府采购的有关规定</w:t>
      </w:r>
      <w:r>
        <w:rPr>
          <w:rFonts w:hint="eastAsia" w:ascii="仿宋" w:hAnsi="仿宋" w:eastAsia="仿宋" w:cs="仿宋"/>
          <w:color w:val="auto"/>
          <w:sz w:val="24"/>
          <w:szCs w:val="24"/>
          <w:highlight w:val="none"/>
        </w:rPr>
        <w:t>。专家从当地专家库中随机抽取产生。</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2.2评标工作组由招标人及有关专家组成，由磋商小组确认，并接受其领导。</w:t>
      </w:r>
    </w:p>
    <w:p>
      <w:pPr>
        <w:tabs>
          <w:tab w:val="left" w:pos="567"/>
          <w:tab w:val="left" w:pos="1145"/>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磋商小组应相对独立工作，负责评标、撰写技术、商务评标报告。采购代理机构负责评标过程中资料的保管、发放、回收，整理、汇总评标资料。</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3、磋商小组职责</w:t>
      </w:r>
    </w:p>
    <w:p>
      <w:pPr>
        <w:pStyle w:val="45"/>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3.1审查</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磋商文件是否符合磋商文件要求，并作出评价；</w:t>
      </w:r>
    </w:p>
    <w:p>
      <w:pPr>
        <w:pStyle w:val="45"/>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3.2要求供应商对</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磋商文件有关事项作出解释或者澄清；</w:t>
      </w:r>
    </w:p>
    <w:p>
      <w:pPr>
        <w:pStyle w:val="45"/>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3.3推荐中标</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候选人名单；</w:t>
      </w:r>
    </w:p>
    <w:p>
      <w:pPr>
        <w:pStyle w:val="45"/>
        <w:spacing w:before="0" w:beforeAutospacing="0" w:after="0" w:afterAutospacing="0"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3.4向招标人、招标代理机构或者有关部门报告非法干预评标工作的行为。</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4、磋商小组义务</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4.1遵纪守法，客观、公正、廉洁地履行职责；</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4.2按照</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sz w:val="24"/>
          <w:szCs w:val="24"/>
          <w:highlight w:val="none"/>
        </w:rPr>
        <w:t>磋商文件规定的评标方法和评标标准进行评标，对评审意见承担个人责任；</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4.3对评标过程和结果，以及供应商的商业秘密保密；</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4.4参与评标报告的起草；</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4.5配合有关部门的投诉处理工作；</w:t>
      </w:r>
    </w:p>
    <w:p>
      <w:pPr>
        <w:tabs>
          <w:tab w:val="left" w:pos="567"/>
          <w:tab w:val="left" w:pos="60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4.6配合招标人、招标代理机构答复磋商供应商提出的质疑。</w:t>
      </w:r>
    </w:p>
    <w:p>
      <w:pPr>
        <w:tabs>
          <w:tab w:val="left" w:pos="1547"/>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评标程序</w:t>
      </w:r>
    </w:p>
    <w:p>
      <w:pPr>
        <w:pStyle w:val="23"/>
        <w:tabs>
          <w:tab w:val="left" w:pos="720"/>
          <w:tab w:val="clear" w:pos="0"/>
        </w:tabs>
        <w:spacing w:line="440" w:lineRule="exact"/>
        <w:ind w:firstLine="612" w:firstLineChars="255"/>
        <w:outlineLvl w:val="9"/>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5.1本次评标首先由磋商小组对供应商的响应文件进行初审，对未能通过初审的响应文件作废标处理；</w:t>
      </w:r>
    </w:p>
    <w:p>
      <w:pPr>
        <w:tabs>
          <w:tab w:val="left" w:pos="720"/>
        </w:tabs>
        <w:spacing w:line="440" w:lineRule="exact"/>
        <w:ind w:firstLine="612" w:firstLineChars="25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5.2对通过初审的供应商的响应文件进行详细的比较和评价。如需要，进行必要的澄清工作；</w:t>
      </w:r>
    </w:p>
    <w:p>
      <w:pPr>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5.3评标报告与推荐成交候选人</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5.3</w:t>
      </w:r>
      <w:r>
        <w:rPr>
          <w:rFonts w:hint="eastAsia" w:ascii="仿宋" w:hAnsi="仿宋" w:eastAsia="仿宋" w:cs="仿宋"/>
          <w:color w:val="auto"/>
          <w:kern w:val="0"/>
          <w:sz w:val="24"/>
          <w:szCs w:val="24"/>
          <w:highlight w:val="none"/>
        </w:rPr>
        <w:t>磋商小组各成员应当独立对每个有效响应的文件进行评价、打分，然后汇总每个供应商每项评分因素的得分。</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综合评分法服务项目的价格分值占总分值的比重(即权值)为</w:t>
      </w: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％，采购项目中含不同采购对象的，以占项目资金比例最高的采购对象确定其项目属性。其价格不列为评分因素，有特殊情况需要在上述规定范围外设定价格分权重的。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综合评分法中的价格分统一采用低价优先法计算，即满足</w:t>
      </w:r>
      <w:r>
        <w:rPr>
          <w:rFonts w:hint="eastAsia" w:ascii="仿宋" w:hAnsi="仿宋" w:eastAsia="仿宋" w:cs="仿宋"/>
          <w:color w:val="auto"/>
          <w:sz w:val="24"/>
          <w:szCs w:val="24"/>
          <w:highlight w:val="none"/>
          <w:lang w:eastAsia="zh-CN"/>
        </w:rPr>
        <w:t>竞争性</w:t>
      </w:r>
      <w:r>
        <w:rPr>
          <w:rFonts w:hint="eastAsia" w:ascii="仿宋" w:hAnsi="仿宋" w:eastAsia="仿宋" w:cs="仿宋"/>
          <w:color w:val="auto"/>
          <w:kern w:val="0"/>
          <w:sz w:val="24"/>
          <w:szCs w:val="24"/>
          <w:highlight w:val="none"/>
        </w:rPr>
        <w:t>磋商文件要求且最后报价最低的供应商的价格为磋商基准价，其价格分为满分。其他供应商的价格分统一按照下列公式计算：</w:t>
      </w:r>
    </w:p>
    <w:p>
      <w:pPr>
        <w:widowControl/>
        <w:shd w:val="clear" w:color="auto" w:fill="auto"/>
        <w:spacing w:line="440" w:lineRule="exact"/>
        <w:ind w:firstLine="480"/>
        <w:outlineLvl w:val="9"/>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　</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报价得分=（基准价/</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报价）×</w:t>
      </w:r>
      <w:r>
        <w:rPr>
          <w:rFonts w:hint="eastAsia" w:ascii="仿宋" w:hAnsi="仿宋" w:eastAsia="仿宋" w:cs="仿宋"/>
          <w:color w:val="auto"/>
          <w:kern w:val="0"/>
          <w:sz w:val="24"/>
          <w:szCs w:val="24"/>
          <w:highlight w:val="none"/>
          <w:lang w:val="en-US" w:eastAsia="zh-CN"/>
        </w:rPr>
        <w:t>30</w:t>
      </w:r>
    </w:p>
    <w:p>
      <w:pPr>
        <w:widowControl/>
        <w:spacing w:line="360" w:lineRule="auto"/>
        <w:ind w:firstLine="48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项目评审过程中，不得去掉最后报价中的最高报价和最低报价。</w:t>
      </w:r>
    </w:p>
    <w:p>
      <w:pPr>
        <w:shd w:val="clear" w:color="auto" w:fill="auto"/>
        <w:spacing w:line="360" w:lineRule="auto"/>
        <w:jc w:val="left"/>
        <w:outlineLvl w:val="9"/>
        <w:rPr>
          <w:rFonts w:hint="eastAsia" w:ascii="仿宋" w:hAnsi="仿宋" w:eastAsia="仿宋" w:cs="仿宋"/>
          <w:color w:val="auto"/>
          <w:kern w:val="0"/>
          <w:sz w:val="24"/>
          <w:szCs w:val="24"/>
          <w:highlight w:val="none"/>
        </w:rPr>
      </w:pPr>
      <w:bookmarkStart w:id="84" w:name="_Toc26200"/>
      <w:bookmarkStart w:id="85" w:name="_Toc7941"/>
      <w:bookmarkStart w:id="86" w:name="_Toc32047"/>
      <w:bookmarkStart w:id="87" w:name="_Toc22920"/>
      <w:bookmarkStart w:id="88" w:name="_Toc13511"/>
      <w:bookmarkStart w:id="89" w:name="_Toc18771"/>
      <w:r>
        <w:rPr>
          <w:rFonts w:hint="eastAsia" w:ascii="仿宋" w:hAnsi="仿宋" w:eastAsia="仿宋" w:cs="仿宋"/>
          <w:color w:val="auto"/>
          <w:sz w:val="24"/>
          <w:szCs w:val="24"/>
          <w:highlight w:val="none"/>
        </w:rPr>
        <w:t>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w:t>
      </w:r>
      <w:r>
        <w:rPr>
          <w:rFonts w:hint="eastAsia" w:ascii="仿宋" w:hAnsi="仿宋" w:eastAsia="仿宋" w:cs="仿宋"/>
          <w:color w:val="auto"/>
          <w:kern w:val="0"/>
          <w:sz w:val="24"/>
          <w:szCs w:val="24"/>
          <w:highlight w:val="none"/>
        </w:rPr>
        <w:t>磋商小组应当根据综合评分情况，按照评审得分由高到低顺序推荐3名以上成交候选供应商符合《政府采购竞争性磋商采购方式管理暂行办法》法第二十五条磋商小组应当根据综合评分情况，按照评审得分由高到低顺序推荐3名以上成交候选供应商。符合本办法第二十一条第三款情形的，可以推荐2家成交候选供应商。评审得分相同的，按照最后报价由低到高的顺序推荐。评审得分且最后报价相同的，按照技术指标优劣顺序推荐。</w:t>
      </w:r>
      <w:bookmarkEnd w:id="84"/>
      <w:bookmarkEnd w:id="85"/>
      <w:bookmarkEnd w:id="86"/>
      <w:bookmarkEnd w:id="87"/>
      <w:bookmarkEnd w:id="88"/>
      <w:bookmarkEnd w:id="89"/>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shd w:val="clear" w:color="auto" w:fill="auto"/>
        <w:jc w:val="center"/>
        <w:outlineLvl w:val="9"/>
        <w:rPr>
          <w:rFonts w:hint="eastAsia" w:ascii="宋体"/>
          <w:b/>
          <w:color w:val="auto"/>
          <w:sz w:val="28"/>
          <w:szCs w:val="28"/>
          <w:highlight w:val="none"/>
        </w:rPr>
      </w:pPr>
    </w:p>
    <w:p>
      <w:pPr>
        <w:outlineLvl w:val="9"/>
        <w:rPr>
          <w:rFonts w:hint="eastAsia" w:ascii="宋体"/>
          <w:b/>
          <w:color w:val="auto"/>
          <w:sz w:val="28"/>
          <w:szCs w:val="28"/>
          <w:highlight w:val="none"/>
        </w:rPr>
      </w:pPr>
    </w:p>
    <w:p>
      <w:pPr>
        <w:shd w:val="clear" w:color="auto" w:fill="auto"/>
        <w:jc w:val="center"/>
        <w:outlineLvl w:val="9"/>
        <w:rPr>
          <w:rFonts w:hint="eastAsia" w:ascii="仿宋" w:hAnsi="仿宋" w:eastAsia="仿宋" w:cs="仿宋"/>
          <w:b/>
          <w:color w:val="auto"/>
          <w:sz w:val="28"/>
          <w:szCs w:val="28"/>
          <w:highlight w:val="none"/>
        </w:rPr>
      </w:pPr>
      <w:bookmarkStart w:id="90" w:name="_Toc20301"/>
      <w:bookmarkStart w:id="91" w:name="_Toc2822"/>
      <w:r>
        <w:rPr>
          <w:rFonts w:hint="eastAsia" w:ascii="仿宋" w:hAnsi="仿宋" w:eastAsia="仿宋" w:cs="仿宋"/>
          <w:b/>
          <w:color w:val="auto"/>
          <w:sz w:val="28"/>
          <w:szCs w:val="28"/>
          <w:highlight w:val="none"/>
        </w:rPr>
        <w:t xml:space="preserve">二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投标文件初审</w:t>
      </w:r>
      <w:bookmarkEnd w:id="81"/>
      <w:bookmarkEnd w:id="90"/>
      <w:bookmarkEnd w:id="91"/>
    </w:p>
    <w:p>
      <w:pPr>
        <w:shd w:val="clear" w:color="auto" w:fill="auto"/>
        <w:spacing w:line="400" w:lineRule="exact"/>
        <w:ind w:firstLine="323" w:firstLineChars="147"/>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t>6</w:t>
      </w:r>
      <w:r>
        <w:rPr>
          <w:rFonts w:hint="eastAsia" w:ascii="仿宋" w:hAnsi="仿宋" w:eastAsia="仿宋" w:cs="仿宋"/>
          <w:b/>
          <w:color w:val="auto"/>
          <w:sz w:val="22"/>
          <w:szCs w:val="22"/>
          <w:highlight w:val="none"/>
          <w:lang w:eastAsia="zh-CN"/>
        </w:rPr>
        <w:t>、</w:t>
      </w:r>
      <w:r>
        <w:rPr>
          <w:rFonts w:hint="eastAsia" w:ascii="仿宋" w:hAnsi="仿宋" w:eastAsia="仿宋" w:cs="仿宋"/>
          <w:b/>
          <w:color w:val="auto"/>
          <w:sz w:val="22"/>
          <w:szCs w:val="22"/>
          <w:highlight w:val="none"/>
        </w:rPr>
        <w:t>资格性审查:</w:t>
      </w:r>
    </w:p>
    <w:p>
      <w:pPr>
        <w:shd w:val="clear" w:color="auto" w:fill="auto"/>
        <w:spacing w:line="400" w:lineRule="exact"/>
        <w:ind w:firstLine="323" w:firstLineChars="147"/>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.1评审细则</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547"/>
        <w:gridCol w:w="6649"/>
        <w:gridCol w:w="555"/>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881" w:type="dxa"/>
            <w:vMerge w:val="restart"/>
            <w:noWrap w:val="0"/>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项目</w:t>
            </w:r>
          </w:p>
        </w:tc>
        <w:tc>
          <w:tcPr>
            <w:tcW w:w="7196" w:type="dxa"/>
            <w:gridSpan w:val="2"/>
            <w:vMerge w:val="restart"/>
            <w:noWrap w:val="0"/>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评审内容</w:t>
            </w:r>
          </w:p>
        </w:tc>
        <w:tc>
          <w:tcPr>
            <w:tcW w:w="1209" w:type="dxa"/>
            <w:gridSpan w:val="2"/>
            <w:noWrap w:val="0"/>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0"/>
                <w:szCs w:val="22"/>
                <w:highlight w:val="none"/>
              </w:rPr>
            </w:pPr>
          </w:p>
        </w:tc>
        <w:tc>
          <w:tcPr>
            <w:tcW w:w="7196" w:type="dxa"/>
            <w:gridSpan w:val="2"/>
            <w:vMerge w:val="continue"/>
            <w:noWrap w:val="0"/>
            <w:vAlign w:val="top"/>
          </w:tcPr>
          <w:p>
            <w:pPr>
              <w:shd w:val="clear" w:color="auto" w:fill="auto"/>
              <w:outlineLvl w:val="9"/>
              <w:rPr>
                <w:rFonts w:hint="eastAsia" w:ascii="仿宋" w:hAnsi="仿宋" w:eastAsia="仿宋" w:cs="仿宋"/>
                <w:color w:val="auto"/>
                <w:sz w:val="20"/>
                <w:szCs w:val="22"/>
                <w:highlight w:val="none"/>
              </w:rPr>
            </w:pPr>
          </w:p>
        </w:tc>
        <w:tc>
          <w:tcPr>
            <w:tcW w:w="555" w:type="dxa"/>
            <w:noWrap w:val="0"/>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是</w:t>
            </w:r>
          </w:p>
        </w:tc>
        <w:tc>
          <w:tcPr>
            <w:tcW w:w="654" w:type="dxa"/>
            <w:noWrap w:val="0"/>
            <w:vAlign w:val="center"/>
          </w:tcPr>
          <w:p>
            <w:pPr>
              <w:shd w:val="clear" w:color="auto" w:fill="auto"/>
              <w:jc w:val="center"/>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restart"/>
            <w:noWrap w:val="0"/>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查</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标</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准</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(适</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用</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于</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资</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格</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后</w:t>
            </w:r>
          </w:p>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审)</w:t>
            </w:r>
          </w:p>
        </w:tc>
        <w:tc>
          <w:tcPr>
            <w:tcW w:w="547" w:type="dxa"/>
            <w:noWrap w:val="0"/>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具备三证合一营业执照副本</w:t>
            </w:r>
          </w:p>
        </w:tc>
        <w:tc>
          <w:tcPr>
            <w:tcW w:w="555" w:type="dxa"/>
            <w:noWrap w:val="0"/>
            <w:vAlign w:val="top"/>
          </w:tcPr>
          <w:p>
            <w:pPr>
              <w:shd w:val="clear" w:color="auto" w:fill="auto"/>
              <w:outlineLvl w:val="9"/>
              <w:rPr>
                <w:rFonts w:hint="eastAsia" w:ascii="仿宋" w:hAnsi="仿宋" w:eastAsia="仿宋" w:cs="仿宋"/>
                <w:color w:val="auto"/>
                <w:sz w:val="22"/>
                <w:szCs w:val="22"/>
                <w:highlight w:val="none"/>
              </w:rPr>
            </w:pPr>
          </w:p>
        </w:tc>
        <w:tc>
          <w:tcPr>
            <w:tcW w:w="654" w:type="dxa"/>
            <w:noWrap w:val="0"/>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2"/>
                <w:szCs w:val="28"/>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eastAsia="zh-CN" w:bidi="ar"/>
              </w:rPr>
            </w:pPr>
            <w:r>
              <w:rPr>
                <w:rFonts w:hint="eastAsia" w:ascii="仿宋" w:hAnsi="仿宋" w:eastAsia="仿宋" w:cs="仿宋"/>
                <w:color w:val="auto"/>
                <w:kern w:val="0"/>
                <w:sz w:val="21"/>
                <w:szCs w:val="21"/>
                <w:highlight w:val="none"/>
                <w:lang w:bidi="ar"/>
              </w:rPr>
              <w:t>法定代表人投标需提供法定代表人资格证明书，委托代理人投标需提供法定代表人授权委托书</w:t>
            </w:r>
          </w:p>
        </w:tc>
        <w:tc>
          <w:tcPr>
            <w:tcW w:w="555" w:type="dxa"/>
            <w:noWrap w:val="0"/>
            <w:vAlign w:val="top"/>
          </w:tcPr>
          <w:p>
            <w:pPr>
              <w:shd w:val="clear" w:color="auto" w:fill="auto"/>
              <w:outlineLvl w:val="9"/>
              <w:rPr>
                <w:rFonts w:hint="eastAsia" w:ascii="仿宋" w:hAnsi="仿宋" w:eastAsia="仿宋" w:cs="仿宋"/>
                <w:color w:val="auto"/>
                <w:sz w:val="22"/>
                <w:szCs w:val="22"/>
                <w:highlight w:val="none"/>
              </w:rPr>
            </w:pPr>
          </w:p>
        </w:tc>
        <w:tc>
          <w:tcPr>
            <w:tcW w:w="654" w:type="dxa"/>
            <w:noWrap w:val="0"/>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2"/>
                <w:szCs w:val="28"/>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eastAsia="zh-CN" w:bidi="ar"/>
              </w:rPr>
              <w:t>投标</w:t>
            </w:r>
            <w:r>
              <w:rPr>
                <w:rFonts w:hint="eastAsia" w:ascii="仿宋" w:hAnsi="仿宋" w:eastAsia="仿宋" w:cs="仿宋"/>
                <w:color w:val="auto"/>
                <w:kern w:val="0"/>
                <w:sz w:val="21"/>
                <w:szCs w:val="21"/>
                <w:highlight w:val="none"/>
                <w:lang w:bidi="ar"/>
              </w:rPr>
              <w:t>保证金</w:t>
            </w:r>
            <w:r>
              <w:rPr>
                <w:rFonts w:hint="eastAsia" w:ascii="仿宋" w:hAnsi="仿宋" w:eastAsia="仿宋" w:cs="仿宋"/>
                <w:color w:val="auto"/>
                <w:kern w:val="0"/>
                <w:sz w:val="21"/>
                <w:szCs w:val="21"/>
                <w:highlight w:val="none"/>
                <w:lang w:eastAsia="zh-CN" w:bidi="ar"/>
              </w:rPr>
              <w:t>汇款凭证和保证金</w:t>
            </w:r>
            <w:r>
              <w:rPr>
                <w:rFonts w:hint="eastAsia" w:ascii="仿宋" w:hAnsi="仿宋" w:eastAsia="仿宋" w:cs="仿宋"/>
                <w:color w:val="auto"/>
                <w:kern w:val="0"/>
                <w:sz w:val="21"/>
                <w:szCs w:val="21"/>
                <w:highlight w:val="none"/>
                <w:lang w:bidi="ar"/>
              </w:rPr>
              <w:t>收据</w:t>
            </w:r>
            <w:r>
              <w:rPr>
                <w:rFonts w:hint="eastAsia" w:ascii="仿宋" w:hAnsi="仿宋" w:eastAsia="仿宋" w:cs="仿宋"/>
                <w:color w:val="auto"/>
                <w:kern w:val="0"/>
                <w:sz w:val="21"/>
                <w:szCs w:val="21"/>
                <w:highlight w:val="none"/>
                <w:lang w:eastAsia="zh-CN" w:bidi="ar"/>
              </w:rPr>
              <w:t>或</w:t>
            </w:r>
            <w:r>
              <w:rPr>
                <w:rFonts w:hint="eastAsia" w:ascii="仿宋" w:hAnsi="仿宋" w:eastAsia="仿宋" w:cs="仿宋"/>
                <w:color w:val="auto"/>
                <w:kern w:val="0"/>
                <w:sz w:val="21"/>
                <w:szCs w:val="21"/>
                <w:highlight w:val="none"/>
                <w:lang w:val="en-US" w:eastAsia="zh-CN" w:bidi="ar"/>
              </w:rPr>
              <w:t>投标担保函</w:t>
            </w:r>
          </w:p>
        </w:tc>
        <w:tc>
          <w:tcPr>
            <w:tcW w:w="555" w:type="dxa"/>
            <w:noWrap w:val="0"/>
            <w:vAlign w:val="top"/>
          </w:tcPr>
          <w:p>
            <w:pPr>
              <w:shd w:val="clear" w:color="auto" w:fill="auto"/>
              <w:outlineLvl w:val="9"/>
              <w:rPr>
                <w:rFonts w:hint="eastAsia" w:ascii="仿宋" w:hAnsi="仿宋" w:eastAsia="仿宋" w:cs="仿宋"/>
                <w:color w:val="auto"/>
                <w:sz w:val="22"/>
                <w:szCs w:val="22"/>
                <w:highlight w:val="none"/>
              </w:rPr>
            </w:pPr>
          </w:p>
        </w:tc>
        <w:tc>
          <w:tcPr>
            <w:tcW w:w="654" w:type="dxa"/>
            <w:noWrap w:val="0"/>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2"/>
                <w:szCs w:val="28"/>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val="en-US" w:eastAsia="zh-CN" w:bidi="ar"/>
              </w:rPr>
              <w:t>投标企业需提供未被“信用中国”（www.creditchina.gov.cn）、中国政府采购网（www.ccgp.gov.cn）列入失信被执行人、重大税收违法案件当事人名单、政府采购严重违法失信行为记录名单（提供查询结果网页截图并加盖供应商公章）。</w:t>
            </w:r>
          </w:p>
        </w:tc>
        <w:tc>
          <w:tcPr>
            <w:tcW w:w="555" w:type="dxa"/>
            <w:noWrap w:val="0"/>
            <w:vAlign w:val="top"/>
          </w:tcPr>
          <w:p>
            <w:pPr>
              <w:shd w:val="clear" w:color="auto" w:fill="auto"/>
              <w:outlineLvl w:val="9"/>
              <w:rPr>
                <w:rFonts w:hint="eastAsia" w:ascii="仿宋" w:hAnsi="仿宋" w:eastAsia="仿宋" w:cs="仿宋"/>
                <w:color w:val="auto"/>
                <w:sz w:val="22"/>
                <w:szCs w:val="22"/>
                <w:highlight w:val="none"/>
              </w:rPr>
            </w:pPr>
          </w:p>
        </w:tc>
        <w:tc>
          <w:tcPr>
            <w:tcW w:w="654" w:type="dxa"/>
            <w:noWrap w:val="0"/>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noWrap w:val="0"/>
            <w:vAlign w:val="center"/>
          </w:tcPr>
          <w:p>
            <w:pPr>
              <w:shd w:val="clear" w:color="auto" w:fill="auto"/>
              <w:outlineLvl w:val="9"/>
              <w:rPr>
                <w:rFonts w:hint="eastAsia" w:ascii="仿宋" w:hAnsi="仿宋" w:eastAsia="仿宋" w:cs="仿宋"/>
                <w:color w:val="auto"/>
                <w:sz w:val="22"/>
                <w:szCs w:val="28"/>
                <w:highlight w:val="none"/>
              </w:rPr>
            </w:pPr>
          </w:p>
        </w:tc>
        <w:tc>
          <w:tcPr>
            <w:tcW w:w="547" w:type="dxa"/>
            <w:noWrap w:val="0"/>
            <w:vAlign w:val="center"/>
          </w:tcPr>
          <w:p>
            <w:pPr>
              <w:shd w:val="clear" w:color="auto" w:fill="auto"/>
              <w:jc w:val="center"/>
              <w:outlineLvl w:val="9"/>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6649" w:type="dxa"/>
            <w:noWrap w:val="0"/>
            <w:vAlign w:val="center"/>
          </w:tcPr>
          <w:p>
            <w:pPr>
              <w:widowControl/>
              <w:shd w:val="clear" w:color="auto" w:fill="auto"/>
              <w:jc w:val="left"/>
              <w:textAlignment w:val="center"/>
              <w:outlineLvl w:val="9"/>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bidi="ar"/>
              </w:rPr>
              <w:t>投标企业须提供中小企业声明函；</w:t>
            </w:r>
          </w:p>
        </w:tc>
        <w:tc>
          <w:tcPr>
            <w:tcW w:w="555" w:type="dxa"/>
            <w:noWrap w:val="0"/>
            <w:vAlign w:val="top"/>
          </w:tcPr>
          <w:p>
            <w:pPr>
              <w:shd w:val="clear" w:color="auto" w:fill="auto"/>
              <w:outlineLvl w:val="9"/>
              <w:rPr>
                <w:rFonts w:hint="eastAsia" w:ascii="仿宋" w:hAnsi="仿宋" w:eastAsia="仿宋" w:cs="仿宋"/>
                <w:color w:val="auto"/>
                <w:sz w:val="22"/>
                <w:szCs w:val="22"/>
                <w:highlight w:val="none"/>
              </w:rPr>
            </w:pPr>
          </w:p>
        </w:tc>
        <w:tc>
          <w:tcPr>
            <w:tcW w:w="654" w:type="dxa"/>
            <w:noWrap w:val="0"/>
            <w:vAlign w:val="top"/>
          </w:tcPr>
          <w:p>
            <w:pPr>
              <w:shd w:val="clear" w:color="auto" w:fill="auto"/>
              <w:outlineLvl w:val="9"/>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1" w:type="dxa"/>
            <w:vMerge w:val="continue"/>
            <w:noWrap w:val="0"/>
            <w:vAlign w:val="center"/>
          </w:tcPr>
          <w:p>
            <w:pPr>
              <w:shd w:val="clear" w:color="auto" w:fill="auto"/>
              <w:jc w:val="center"/>
              <w:outlineLvl w:val="9"/>
              <w:rPr>
                <w:rFonts w:hint="eastAsia" w:ascii="仿宋" w:hAnsi="仿宋" w:eastAsia="仿宋" w:cs="仿宋"/>
                <w:color w:val="auto"/>
                <w:sz w:val="22"/>
                <w:szCs w:val="22"/>
                <w:highlight w:val="none"/>
              </w:rPr>
            </w:pPr>
          </w:p>
        </w:tc>
        <w:tc>
          <w:tcPr>
            <w:tcW w:w="547" w:type="dxa"/>
            <w:noWrap w:val="0"/>
            <w:vAlign w:val="top"/>
          </w:tcPr>
          <w:p>
            <w:pPr>
              <w:shd w:val="clear" w:color="auto" w:fill="auto"/>
              <w:spacing w:line="440" w:lineRule="exact"/>
              <w:outlineLvl w:val="9"/>
              <w:rPr>
                <w:rFonts w:hint="eastAsia" w:ascii="仿宋" w:hAnsi="仿宋" w:eastAsia="仿宋" w:cs="仿宋"/>
                <w:color w:val="auto"/>
                <w:sz w:val="22"/>
                <w:szCs w:val="22"/>
                <w:highlight w:val="none"/>
              </w:rPr>
            </w:pPr>
          </w:p>
        </w:tc>
        <w:tc>
          <w:tcPr>
            <w:tcW w:w="6649" w:type="dxa"/>
            <w:noWrap w:val="0"/>
            <w:vAlign w:val="top"/>
          </w:tcPr>
          <w:p>
            <w:pPr>
              <w:shd w:val="clear" w:color="auto" w:fill="auto"/>
              <w:outlineLvl w:val="9"/>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结论：是否通过评审（须填写通过或不通过）</w:t>
            </w:r>
          </w:p>
          <w:p>
            <w:pPr>
              <w:shd w:val="clear" w:color="auto" w:fill="auto"/>
              <w:outlineLvl w:val="9"/>
              <w:rPr>
                <w:rFonts w:hint="eastAsia" w:ascii="仿宋" w:hAnsi="仿宋" w:eastAsia="仿宋" w:cs="仿宋"/>
                <w:color w:val="auto"/>
                <w:sz w:val="21"/>
                <w:szCs w:val="24"/>
                <w:highlight w:val="none"/>
              </w:rPr>
            </w:pPr>
            <w:r>
              <w:rPr>
                <w:rFonts w:hint="eastAsia" w:ascii="仿宋" w:hAnsi="仿宋" w:eastAsia="仿宋" w:cs="仿宋"/>
                <w:color w:val="auto"/>
                <w:sz w:val="21"/>
                <w:szCs w:val="21"/>
                <w:highlight w:val="none"/>
              </w:rPr>
              <w:t>注：如有一项不合格，作废标处理。</w:t>
            </w:r>
          </w:p>
        </w:tc>
        <w:tc>
          <w:tcPr>
            <w:tcW w:w="1209" w:type="dxa"/>
            <w:gridSpan w:val="2"/>
            <w:noWrap w:val="0"/>
            <w:vAlign w:val="top"/>
          </w:tcPr>
          <w:p>
            <w:pPr>
              <w:shd w:val="clear" w:color="auto" w:fill="auto"/>
              <w:outlineLvl w:val="9"/>
              <w:rPr>
                <w:rFonts w:hint="eastAsia" w:ascii="仿宋" w:hAnsi="仿宋" w:eastAsia="仿宋" w:cs="仿宋"/>
                <w:color w:val="auto"/>
                <w:sz w:val="22"/>
                <w:szCs w:val="22"/>
                <w:highlight w:val="none"/>
              </w:rPr>
            </w:pPr>
          </w:p>
        </w:tc>
      </w:tr>
    </w:tbl>
    <w:p>
      <w:pPr>
        <w:shd w:val="clear" w:color="auto" w:fill="auto"/>
        <w:spacing w:line="400" w:lineRule="exact"/>
        <w:ind w:firstLine="530" w:firstLineChars="241"/>
        <w:outlineLvl w:val="9"/>
        <w:rPr>
          <w:rFonts w:hint="eastAsia" w:ascii="仿宋" w:hAnsi="仿宋" w:eastAsia="仿宋" w:cs="仿宋"/>
          <w:b/>
          <w:color w:val="auto"/>
          <w:szCs w:val="21"/>
          <w:highlight w:val="none"/>
        </w:rPr>
      </w:pPr>
      <w:r>
        <w:rPr>
          <w:rFonts w:hint="eastAsia" w:ascii="仿宋" w:hAnsi="仿宋" w:eastAsia="仿宋" w:cs="仿宋"/>
          <w:b/>
          <w:color w:val="auto"/>
          <w:sz w:val="22"/>
          <w:szCs w:val="22"/>
          <w:highlight w:val="none"/>
          <w:lang w:val="en-US" w:eastAsia="zh-CN"/>
        </w:rPr>
        <w:t>6</w:t>
      </w:r>
      <w:r>
        <w:rPr>
          <w:rFonts w:hint="eastAsia" w:ascii="仿宋" w:hAnsi="仿宋" w:eastAsia="仿宋" w:cs="仿宋"/>
          <w:b/>
          <w:color w:val="auto"/>
          <w:sz w:val="22"/>
          <w:szCs w:val="22"/>
          <w:highlight w:val="none"/>
        </w:rPr>
        <w:t>.2如评标专家在检验电子标书过程中，如果由于投标人自身原因导致评标专家无法查看并检验电子标书中以上相关资料的，否决其投标。即使投标单位将原件携带至现场的，同样按无效投标处理。</w:t>
      </w:r>
    </w:p>
    <w:p>
      <w:pPr>
        <w:shd w:val="clear" w:color="auto" w:fill="auto"/>
        <w:spacing w:before="156" w:beforeLines="50" w:line="440" w:lineRule="exact"/>
        <w:outlineLvl w:val="9"/>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val="en-US" w:eastAsia="zh-CN"/>
        </w:rPr>
        <w:br w:type="page"/>
      </w:r>
      <w:r>
        <w:rPr>
          <w:rFonts w:hint="eastAsia" w:ascii="仿宋" w:hAnsi="仿宋" w:eastAsia="仿宋" w:cs="仿宋"/>
          <w:b/>
          <w:color w:val="auto"/>
          <w:sz w:val="22"/>
          <w:szCs w:val="22"/>
          <w:highlight w:val="none"/>
          <w:lang w:val="en-US" w:eastAsia="zh-CN"/>
        </w:rPr>
        <w:t>7</w:t>
      </w:r>
      <w:r>
        <w:rPr>
          <w:rFonts w:hint="eastAsia" w:ascii="仿宋" w:hAnsi="仿宋" w:eastAsia="仿宋" w:cs="仿宋"/>
          <w:b/>
          <w:color w:val="auto"/>
          <w:sz w:val="22"/>
          <w:szCs w:val="22"/>
          <w:highlight w:val="none"/>
          <w:lang w:eastAsia="zh-CN"/>
        </w:rPr>
        <w:t>、</w:t>
      </w:r>
      <w:r>
        <w:rPr>
          <w:rFonts w:hint="eastAsia" w:ascii="仿宋" w:hAnsi="仿宋" w:eastAsia="仿宋" w:cs="仿宋"/>
          <w:b/>
          <w:color w:val="auto"/>
          <w:sz w:val="22"/>
          <w:szCs w:val="22"/>
          <w:highlight w:val="none"/>
        </w:rPr>
        <w:t>符合性审查</w:t>
      </w:r>
    </w:p>
    <w:p>
      <w:pPr>
        <w:shd w:val="clear" w:color="auto" w:fill="auto"/>
        <w:spacing w:line="440" w:lineRule="exact"/>
        <w:ind w:firstLine="330" w:firstLineChars="150"/>
        <w:outlineLvl w:val="9"/>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rPr>
        <w:t>．1评审细则</w:t>
      </w:r>
    </w:p>
    <w:tbl>
      <w:tblPr>
        <w:tblStyle w:val="28"/>
        <w:tblpPr w:leftFromText="180" w:rightFromText="180" w:vertAnchor="text" w:horzAnchor="page" w:tblpX="1293" w:tblpY="5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19"/>
        <w:gridCol w:w="6378"/>
        <w:gridCol w:w="482"/>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72"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7097" w:type="dxa"/>
            <w:gridSpan w:val="2"/>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评审内容</w:t>
            </w:r>
          </w:p>
        </w:tc>
        <w:tc>
          <w:tcPr>
            <w:tcW w:w="1366" w:type="dxa"/>
            <w:gridSpan w:val="2"/>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2" w:type="dxa"/>
            <w:noWrap w:val="0"/>
            <w:vAlign w:val="center"/>
          </w:tcPr>
          <w:p>
            <w:pPr>
              <w:shd w:val="clear" w:color="auto" w:fill="auto"/>
              <w:outlineLvl w:val="9"/>
              <w:rPr>
                <w:rFonts w:hint="eastAsia" w:ascii="仿宋" w:hAnsi="仿宋" w:eastAsia="仿宋" w:cs="仿宋"/>
                <w:color w:val="auto"/>
                <w:sz w:val="24"/>
                <w:szCs w:val="24"/>
                <w:highlight w:val="none"/>
              </w:rPr>
            </w:pPr>
          </w:p>
        </w:tc>
        <w:tc>
          <w:tcPr>
            <w:tcW w:w="7097" w:type="dxa"/>
            <w:gridSpan w:val="2"/>
            <w:noWrap w:val="0"/>
            <w:vAlign w:val="top"/>
          </w:tcPr>
          <w:p>
            <w:pPr>
              <w:shd w:val="clear" w:color="auto" w:fill="auto"/>
              <w:outlineLvl w:val="9"/>
              <w:rPr>
                <w:rFonts w:hint="eastAsia" w:ascii="仿宋" w:hAnsi="仿宋" w:eastAsia="仿宋" w:cs="仿宋"/>
                <w:color w:val="auto"/>
                <w:sz w:val="24"/>
                <w:szCs w:val="24"/>
                <w:highlight w:val="none"/>
              </w:rPr>
            </w:pPr>
          </w:p>
        </w:tc>
        <w:tc>
          <w:tcPr>
            <w:tcW w:w="482"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是</w:t>
            </w:r>
          </w:p>
        </w:tc>
        <w:tc>
          <w:tcPr>
            <w:tcW w:w="884" w:type="dxa"/>
            <w:noWrap w:val="0"/>
            <w:vAlign w:val="center"/>
          </w:tcPr>
          <w:p>
            <w:pPr>
              <w:shd w:val="clear" w:color="auto" w:fill="auto"/>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restart"/>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审</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查</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w:t>
            </w:r>
          </w:p>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准</w:t>
            </w: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由政府立项核准、审批的采购项目, 投标报价不得高于设定的最高投标限价；</w:t>
            </w:r>
          </w:p>
        </w:tc>
        <w:tc>
          <w:tcPr>
            <w:tcW w:w="482" w:type="dxa"/>
            <w:noWrap w:val="0"/>
            <w:vAlign w:val="top"/>
          </w:tcPr>
          <w:p>
            <w:pPr>
              <w:shd w:val="clear" w:color="auto" w:fill="auto"/>
              <w:jc w:val="center"/>
              <w:outlineLvl w:val="9"/>
              <w:rPr>
                <w:rFonts w:hint="eastAsia" w:ascii="仿宋" w:hAnsi="仿宋" w:eastAsia="仿宋" w:cs="仿宋"/>
                <w:b/>
                <w:color w:val="auto"/>
                <w:sz w:val="24"/>
                <w:szCs w:val="24"/>
                <w:highlight w:val="none"/>
              </w:rPr>
            </w:pPr>
          </w:p>
        </w:tc>
        <w:tc>
          <w:tcPr>
            <w:tcW w:w="884" w:type="dxa"/>
            <w:noWrap w:val="0"/>
            <w:vAlign w:val="top"/>
          </w:tcPr>
          <w:p>
            <w:pPr>
              <w:shd w:val="clear" w:color="auto" w:fill="auto"/>
              <w:jc w:val="center"/>
              <w:outlineLvl w:val="9"/>
              <w:rPr>
                <w:rFonts w:hint="eastAsia"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法定代表人身份证明及授权委托书有效，且符合</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文件规定的格式。</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只有一个方案投标。</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投标文件内容齐全、无遗漏。</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投标文件按照规定在应由企业法人或法人授权代表在所有规定签章处逐一签署及加盖单位公章的；</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pacing w:val="0"/>
                <w:w w:val="100"/>
                <w:position w:val="0"/>
                <w:sz w:val="24"/>
                <w:szCs w:val="24"/>
                <w:highlight w:val="none"/>
                <w:shd w:val="clear" w:color="auto" w:fill="auto"/>
                <w:lang w:val="en-US" w:eastAsia="en-US" w:bidi="en-US"/>
              </w:rPr>
              <w:t>投标文件载明的验收标准和方法等符合竞争性磋商文件的要求；</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完成期限满足</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文件要求。</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投标文件未含有采购人不能接受的附加条件；</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投标有效期满足</w:t>
            </w:r>
            <w:r>
              <w:rPr>
                <w:rFonts w:hint="eastAsia" w:ascii="仿宋" w:hAnsi="仿宋" w:eastAsia="仿宋" w:cs="仿宋"/>
                <w:color w:val="auto"/>
                <w:kern w:val="0"/>
                <w:sz w:val="24"/>
                <w:szCs w:val="24"/>
                <w:highlight w:val="none"/>
                <w:lang w:val="en-US" w:eastAsia="zh-CN" w:bidi="ar"/>
              </w:rPr>
              <w:t>竞争性磋商</w:t>
            </w:r>
            <w:r>
              <w:rPr>
                <w:rFonts w:hint="eastAsia" w:ascii="仿宋" w:hAnsi="仿宋" w:eastAsia="仿宋" w:cs="仿宋"/>
                <w:color w:val="auto"/>
                <w:kern w:val="0"/>
                <w:sz w:val="24"/>
                <w:szCs w:val="24"/>
                <w:highlight w:val="none"/>
                <w:lang w:bidi="ar"/>
              </w:rPr>
              <w:t>文件要求。</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72" w:type="dxa"/>
            <w:vMerge w:val="continue"/>
            <w:noWrap w:val="0"/>
            <w:vAlign w:val="center"/>
          </w:tcPr>
          <w:p>
            <w:pPr>
              <w:shd w:val="clear" w:color="auto" w:fill="auto"/>
              <w:outlineLvl w:val="9"/>
              <w:rPr>
                <w:rFonts w:hint="eastAsia" w:ascii="仿宋" w:hAnsi="仿宋" w:eastAsia="仿宋" w:cs="仿宋"/>
                <w:color w:val="auto"/>
                <w:sz w:val="24"/>
                <w:szCs w:val="24"/>
                <w:highlight w:val="none"/>
              </w:rPr>
            </w:pPr>
          </w:p>
        </w:tc>
        <w:tc>
          <w:tcPr>
            <w:tcW w:w="719" w:type="dxa"/>
            <w:noWrap w:val="0"/>
            <w:vAlign w:val="center"/>
          </w:tcPr>
          <w:p>
            <w:pPr>
              <w:shd w:val="clear" w:color="auto" w:fill="auto"/>
              <w:jc w:val="center"/>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378" w:type="dxa"/>
            <w:noWrap w:val="0"/>
            <w:vAlign w:val="center"/>
          </w:tcPr>
          <w:p>
            <w:pPr>
              <w:widowControl/>
              <w:shd w:val="clear" w:color="auto" w:fill="auto"/>
              <w:jc w:val="left"/>
              <w:textAlignment w:val="center"/>
              <w:outlineLvl w:val="9"/>
              <w:rPr>
                <w:rFonts w:hint="eastAsia" w:ascii="仿宋" w:hAnsi="仿宋" w:eastAsia="仿宋" w:cs="仿宋"/>
                <w:color w:val="auto"/>
                <w:sz w:val="24"/>
                <w:szCs w:val="24"/>
                <w:highlight w:val="none"/>
              </w:rPr>
            </w:pPr>
            <w:r>
              <w:rPr>
                <w:rFonts w:hint="eastAsia" w:ascii="仿宋" w:hAnsi="仿宋" w:eastAsia="仿宋" w:cs="仿宋"/>
                <w:b w:val="0"/>
                <w:bCs w:val="0"/>
                <w:color w:val="auto"/>
                <w:kern w:val="0"/>
                <w:sz w:val="24"/>
                <w:szCs w:val="24"/>
                <w:highlight w:val="none"/>
                <w:lang w:bidi="ar"/>
              </w:rPr>
              <w:t>投标人详细地址、联系人、电话</w:t>
            </w:r>
          </w:p>
        </w:tc>
        <w:tc>
          <w:tcPr>
            <w:tcW w:w="482" w:type="dxa"/>
            <w:noWrap w:val="0"/>
            <w:vAlign w:val="top"/>
          </w:tcPr>
          <w:p>
            <w:pPr>
              <w:shd w:val="clear" w:color="auto" w:fill="auto"/>
              <w:outlineLvl w:val="9"/>
              <w:rPr>
                <w:rFonts w:hint="eastAsia" w:ascii="仿宋" w:hAnsi="仿宋" w:eastAsia="仿宋" w:cs="仿宋"/>
                <w:color w:val="auto"/>
                <w:sz w:val="24"/>
                <w:szCs w:val="24"/>
                <w:highlight w:val="none"/>
              </w:rPr>
            </w:pPr>
          </w:p>
        </w:tc>
        <w:tc>
          <w:tcPr>
            <w:tcW w:w="884" w:type="dxa"/>
            <w:noWrap w:val="0"/>
            <w:vAlign w:val="top"/>
          </w:tcPr>
          <w:p>
            <w:pPr>
              <w:shd w:val="clear" w:color="auto" w:fill="auto"/>
              <w:outlineLvl w:val="9"/>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72" w:type="dxa"/>
            <w:noWrap w:val="0"/>
            <w:vAlign w:val="center"/>
          </w:tcPr>
          <w:p>
            <w:pPr>
              <w:shd w:val="clear" w:color="auto" w:fill="auto"/>
              <w:jc w:val="center"/>
              <w:outlineLvl w:val="9"/>
              <w:rPr>
                <w:rFonts w:hint="eastAsia" w:ascii="仿宋" w:hAnsi="仿宋" w:eastAsia="仿宋" w:cs="仿宋"/>
                <w:color w:val="auto"/>
                <w:sz w:val="24"/>
                <w:szCs w:val="24"/>
                <w:highlight w:val="none"/>
              </w:rPr>
            </w:pPr>
          </w:p>
        </w:tc>
        <w:tc>
          <w:tcPr>
            <w:tcW w:w="7097" w:type="dxa"/>
            <w:gridSpan w:val="2"/>
            <w:noWrap w:val="0"/>
            <w:vAlign w:val="top"/>
          </w:tcPr>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结论：是否通过评审（须填写通过或不通过）</w:t>
            </w:r>
          </w:p>
          <w:p>
            <w:pPr>
              <w:shd w:val="clear" w:color="auto" w:fil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注：如有一项不合格，作废标处理。</w:t>
            </w:r>
          </w:p>
        </w:tc>
        <w:tc>
          <w:tcPr>
            <w:tcW w:w="1366" w:type="dxa"/>
            <w:gridSpan w:val="2"/>
            <w:noWrap w:val="0"/>
            <w:vAlign w:val="top"/>
          </w:tcPr>
          <w:p>
            <w:pPr>
              <w:shd w:val="clear" w:color="auto" w:fill="auto"/>
              <w:outlineLvl w:val="9"/>
              <w:rPr>
                <w:rFonts w:hint="eastAsia" w:ascii="仿宋" w:hAnsi="仿宋" w:eastAsia="仿宋" w:cs="仿宋"/>
                <w:color w:val="auto"/>
                <w:sz w:val="24"/>
                <w:szCs w:val="24"/>
                <w:highlight w:val="none"/>
              </w:rPr>
            </w:pPr>
          </w:p>
        </w:tc>
      </w:tr>
    </w:tbl>
    <w:p>
      <w:pPr>
        <w:shd w:val="clear" w:color="auto" w:fill="auto"/>
        <w:bidi w:val="0"/>
        <w:outlineLvl w:val="9"/>
        <w:rPr>
          <w:rFonts w:hint="eastAsia" w:ascii="仿宋" w:hAnsi="仿宋" w:eastAsia="仿宋" w:cs="仿宋"/>
          <w:color w:val="auto"/>
          <w:highlight w:val="none"/>
        </w:rPr>
      </w:pPr>
    </w:p>
    <w:p>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.2评委会判定投标文件的响应性只根据投标文件本身的内容，而不寻求外部的证据，但投标有不真实不正确的内容时除外。</w:t>
      </w:r>
    </w:p>
    <w:p>
      <w:pPr>
        <w:shd w:val="clear" w:color="auto" w:fill="auto"/>
        <w:spacing w:line="400" w:lineRule="exact"/>
        <w:ind w:firstLine="578" w:firstLineChars="241"/>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.3如果投标文件实质上没有响应</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的要求，评委会将予以拒绝，投标人不得通过修正或撤销不符合要求的偏离或保留，而使其投标成为实质上响应的投标。</w:t>
      </w:r>
    </w:p>
    <w:p>
      <w:pPr>
        <w:shd w:val="clear" w:color="auto" w:fill="auto"/>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.4投标人可在现场20分钟内对评标委员会的评审结论提出异议，评标委员会根据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及有关规定对投标人的异议进行复议</w:t>
      </w:r>
    </w:p>
    <w:p>
      <w:pPr>
        <w:shd w:val="clear" w:color="auto" w:fill="auto"/>
        <w:spacing w:line="400" w:lineRule="exact"/>
        <w:ind w:firstLine="600"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.5只有通过初审的投标人才能进入下一步评标程序。</w:t>
      </w:r>
    </w:p>
    <w:p>
      <w:pPr>
        <w:shd w:val="clear" w:color="auto" w:fill="auto"/>
        <w:spacing w:line="400" w:lineRule="exact"/>
        <w:ind w:firstLine="480" w:firstLineChars="200"/>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温馨提示：投标文件资格审查资料请精心准备,如评标专家在检验电子标书过程中，如果由于投标人自身原因导致评标专家无法查看并检验电子标书中以上相关资料的，按无效投标处理。即使投标单位将原件携带至现场的，同样按无效投标处理</w:t>
      </w:r>
      <w:r>
        <w:rPr>
          <w:rFonts w:hint="eastAsia" w:ascii="仿宋" w:hAnsi="仿宋" w:eastAsia="仿宋" w:cs="仿宋"/>
          <w:b/>
          <w:color w:val="auto"/>
          <w:sz w:val="24"/>
          <w:szCs w:val="24"/>
          <w:highlight w:val="none"/>
          <w:lang w:eastAsia="zh-CN"/>
        </w:rPr>
        <w:t>。</w:t>
      </w:r>
    </w:p>
    <w:p>
      <w:pPr>
        <w:pStyle w:val="8"/>
        <w:ind w:left="0" w:leftChars="0" w:firstLine="0" w:firstLineChars="0"/>
        <w:outlineLvl w:val="9"/>
        <w:rPr>
          <w:rFonts w:hint="eastAsia"/>
          <w:color w:val="auto"/>
          <w:highlight w:val="none"/>
        </w:rPr>
      </w:pPr>
    </w:p>
    <w:p>
      <w:pPr>
        <w:shd w:val="clear" w:color="auto" w:fill="auto"/>
        <w:spacing w:before="156" w:beforeLines="50" w:line="400" w:lineRule="exact"/>
        <w:jc w:val="center"/>
        <w:outlineLvl w:val="9"/>
        <w:rPr>
          <w:rFonts w:hint="eastAsia" w:ascii="仿宋" w:hAnsi="仿宋" w:eastAsia="仿宋" w:cs="仿宋"/>
          <w:b/>
          <w:color w:val="auto"/>
          <w:sz w:val="28"/>
          <w:szCs w:val="28"/>
          <w:highlight w:val="none"/>
        </w:rPr>
      </w:pPr>
      <w:bookmarkStart w:id="92" w:name="_Toc26583"/>
      <w:bookmarkStart w:id="93" w:name="_Toc362983803"/>
      <w:bookmarkStart w:id="94" w:name="_Toc27873"/>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 xml:space="preserve">三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投标文件的澄清和补正</w:t>
      </w:r>
      <w:bookmarkEnd w:id="92"/>
      <w:bookmarkEnd w:id="93"/>
      <w:bookmarkEnd w:id="94"/>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8、澄清、说明或补正的形式</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投标供应商的澄清、说明或者补正应当通过“政府采购云平台”在线答复的方式提交，并加盖公章（电子印章），或者由法定代表人（负责人）或其授权的代表签字。投标供应商的澄清、说明或者补正不得超出投标文件的范围或者改变投标文件的实质性内容，不接受投标供应商主动对投标文件的澄清、说明或者补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9、错误修正的原则</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电子交易平台客户端里开标一览表录入的投标报价或优惠率与扫描上传的报价文件信息不一致的，以扫描上传的报价文件信息为准进行修正。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投标文件报价出现前后不一致的，除竞争性磋商文件另有规定外，按照下列规定修正：</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9.1 投标函中表述的内容与报价表中不一致的，以报价表为准；报价表中的内容与报价明细表不一致的，以报价表为准；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9.2 投标文件中的大写金额和小写金额不一致的，以大写金额为准；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9.3 单价金额小数点或者百分比有明显错位的，以开标一览表的总价为准，并修改单价；</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9.4 总价金额与按单价汇总金额不一致的，以单价金额计算结果为准；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9.5 若用文字表示的数值与用数字表示的数值不一致，以文字表示的数值为准；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9.6 如有多报（指数量超出竞争性磋商文件需求）、重报（指同一货物重复报价），其投标总价在评标过程中不予调整，如其中标，其合同价按其投标单价予以调整；</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9.7 对不同文字文本投标文件的解释发生异议的，以中文文本为准；</w:t>
      </w:r>
    </w:p>
    <w:p>
      <w:pPr>
        <w:shd w:val="clear" w:color="auto" w:fill="auto"/>
        <w:spacing w:line="440" w:lineRule="exact"/>
        <w:ind w:firstLine="480" w:firstLineChars="200"/>
        <w:jc w:val="left"/>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shd w:val="clear" w:color="auto" w:fill="auto"/>
        <w:spacing w:line="400" w:lineRule="exact"/>
        <w:jc w:val="both"/>
        <w:outlineLvl w:val="9"/>
        <w:rPr>
          <w:rFonts w:hint="eastAsia" w:ascii="宋体"/>
          <w:b/>
          <w:color w:val="auto"/>
          <w:sz w:val="24"/>
          <w:highlight w:val="none"/>
        </w:rPr>
      </w:pPr>
      <w:bookmarkStart w:id="95" w:name="_Toc10651"/>
    </w:p>
    <w:p>
      <w:pPr>
        <w:shd w:val="clear" w:color="auto" w:fill="auto"/>
        <w:spacing w:line="400" w:lineRule="exact"/>
        <w:jc w:val="center"/>
        <w:outlineLvl w:val="9"/>
        <w:rPr>
          <w:rFonts w:hint="eastAsia" w:ascii="仿宋" w:hAnsi="仿宋" w:eastAsia="仿宋" w:cs="仿宋"/>
          <w:b/>
          <w:color w:val="auto"/>
          <w:sz w:val="32"/>
          <w:szCs w:val="32"/>
          <w:highlight w:val="none"/>
        </w:rPr>
      </w:pPr>
      <w:bookmarkStart w:id="96" w:name="_Toc13536"/>
      <w:r>
        <w:rPr>
          <w:rFonts w:hint="eastAsia" w:ascii="仿宋" w:hAnsi="仿宋" w:eastAsia="仿宋" w:cs="仿宋"/>
          <w:b/>
          <w:color w:val="auto"/>
          <w:sz w:val="32"/>
          <w:szCs w:val="32"/>
          <w:highlight w:val="none"/>
        </w:rPr>
        <w:t>四</w:t>
      </w:r>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rPr>
        <w:t>比较与评价</w:t>
      </w:r>
      <w:bookmarkEnd w:id="95"/>
      <w:bookmarkEnd w:id="96"/>
    </w:p>
    <w:p>
      <w:pPr>
        <w:shd w:val="clear" w:color="auto" w:fill="auto"/>
        <w:tabs>
          <w:tab w:val="left" w:pos="720"/>
        </w:tabs>
        <w:spacing w:line="440" w:lineRule="exact"/>
        <w:ind w:firstLine="612" w:firstLineChars="255"/>
        <w:outlineLvl w:val="9"/>
        <w:rPr>
          <w:rFonts w:hint="eastAsia" w:ascii="仿宋" w:hAnsi="仿宋" w:eastAsia="仿宋" w:cs="仿宋"/>
          <w:b w:val="0"/>
          <w:bCs w:val="0"/>
          <w:color w:val="auto"/>
          <w:sz w:val="24"/>
          <w:szCs w:val="24"/>
          <w:highlight w:val="none"/>
          <w:lang w:val="en-US" w:eastAsia="zh-CN" w:bidi="ar-SA"/>
        </w:rPr>
      </w:pPr>
      <w:bookmarkStart w:id="97" w:name="_Toc362983805"/>
      <w:r>
        <w:rPr>
          <w:rFonts w:hint="eastAsia" w:ascii="仿宋" w:hAnsi="仿宋" w:eastAsia="仿宋" w:cs="仿宋"/>
          <w:b w:val="0"/>
          <w:bCs w:val="0"/>
          <w:color w:val="auto"/>
          <w:sz w:val="24"/>
          <w:szCs w:val="24"/>
          <w:highlight w:val="none"/>
          <w:lang w:val="en-US" w:eastAsia="zh-CN" w:bidi="ar-SA"/>
        </w:rPr>
        <w:t>10、评标方法和标准</w:t>
      </w:r>
    </w:p>
    <w:p>
      <w:pPr>
        <w:shd w:val="clear" w:color="auto" w:fill="auto"/>
        <w:tabs>
          <w:tab w:val="left" w:pos="720"/>
        </w:tabs>
        <w:spacing w:line="440" w:lineRule="exact"/>
        <w:ind w:firstLine="612" w:firstLineChars="255"/>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10.1</w:t>
      </w:r>
      <w:r>
        <w:rPr>
          <w:rFonts w:hint="eastAsia" w:ascii="仿宋" w:hAnsi="仿宋" w:eastAsia="仿宋" w:cs="仿宋"/>
          <w:color w:val="auto"/>
          <w:sz w:val="24"/>
          <w:szCs w:val="24"/>
          <w:highlight w:val="none"/>
          <w:lang w:bidi="ar-SA"/>
        </w:rPr>
        <w:t>评标委员会按</w:t>
      </w:r>
      <w:r>
        <w:rPr>
          <w:rFonts w:hint="eastAsia" w:ascii="仿宋" w:hAnsi="仿宋" w:eastAsia="仿宋" w:cs="仿宋"/>
          <w:color w:val="auto"/>
          <w:sz w:val="24"/>
          <w:szCs w:val="24"/>
          <w:highlight w:val="none"/>
          <w:lang w:eastAsia="zh-CN" w:bidi="ar-SA"/>
        </w:rPr>
        <w:t>磋商</w:t>
      </w:r>
      <w:r>
        <w:rPr>
          <w:rFonts w:hint="eastAsia" w:ascii="仿宋" w:hAnsi="仿宋" w:eastAsia="仿宋" w:cs="仿宋"/>
          <w:color w:val="auto"/>
          <w:sz w:val="24"/>
          <w:szCs w:val="24"/>
          <w:highlight w:val="none"/>
          <w:lang w:bidi="ar-SA"/>
        </w:rPr>
        <w:t>文件中规定的评标方法和标准，对资格性检查和符合性检查合格的投标文件进行商务和技术评估、综合比较与评价。</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10.2</w:t>
      </w:r>
      <w:r>
        <w:rPr>
          <w:rFonts w:hint="eastAsia" w:ascii="仿宋" w:hAnsi="仿宋" w:eastAsia="仿宋" w:cs="仿宋"/>
          <w:color w:val="auto"/>
          <w:sz w:val="24"/>
          <w:szCs w:val="24"/>
          <w:highlight w:val="none"/>
          <w:lang w:bidi="ar-SA"/>
        </w:rPr>
        <w:t>评标委员会根据商务和技术评估的结果，采用综合评分法，分别对投标文件的商务、技术、价格等内容进行打分。其中，商务评估、技术评估、价格评估的评分权值（详见附件1）。</w:t>
      </w:r>
    </w:p>
    <w:p>
      <w:pPr>
        <w:shd w:val="clear" w:color="auto" w:fill="auto"/>
        <w:spacing w:line="440" w:lineRule="exact"/>
        <w:ind w:firstLine="616" w:firstLineChars="257"/>
        <w:outlineLvl w:val="9"/>
        <w:rPr>
          <w:rFonts w:hint="eastAsia" w:ascii="仿宋" w:hAnsi="仿宋" w:eastAsia="仿宋" w:cs="仿宋"/>
          <w:bCs/>
          <w:color w:val="auto"/>
          <w:sz w:val="24"/>
          <w:szCs w:val="24"/>
          <w:highlight w:val="none"/>
          <w:lang w:bidi="ar-SA"/>
        </w:rPr>
      </w:pPr>
      <w:r>
        <w:rPr>
          <w:rFonts w:hint="eastAsia" w:ascii="仿宋" w:hAnsi="仿宋" w:eastAsia="仿宋" w:cs="仿宋"/>
          <w:color w:val="auto"/>
          <w:sz w:val="24"/>
          <w:szCs w:val="24"/>
          <w:highlight w:val="none"/>
          <w:lang w:val="en-US" w:eastAsia="zh-CN" w:bidi="ar-SA"/>
        </w:rPr>
        <w:t>10.</w:t>
      </w:r>
      <w:r>
        <w:rPr>
          <w:rFonts w:hint="eastAsia" w:ascii="仿宋" w:hAnsi="仿宋" w:eastAsia="仿宋" w:cs="仿宋"/>
          <w:bCs/>
          <w:color w:val="auto"/>
          <w:sz w:val="24"/>
          <w:szCs w:val="24"/>
          <w:highlight w:val="none"/>
          <w:lang w:val="en-US" w:eastAsia="zh-CN" w:bidi="ar-SA"/>
        </w:rPr>
        <w:t>2.1</w:t>
      </w:r>
      <w:r>
        <w:rPr>
          <w:rFonts w:hint="eastAsia" w:ascii="仿宋" w:hAnsi="仿宋" w:eastAsia="仿宋" w:cs="仿宋"/>
          <w:bCs/>
          <w:color w:val="auto"/>
          <w:sz w:val="24"/>
          <w:szCs w:val="24"/>
          <w:highlight w:val="none"/>
          <w:lang w:bidi="ar-SA"/>
        </w:rPr>
        <w:t>评委打分办法</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bCs/>
          <w:color w:val="auto"/>
          <w:sz w:val="24"/>
          <w:szCs w:val="24"/>
          <w:highlight w:val="none"/>
          <w:lang w:bidi="ar-SA"/>
        </w:rPr>
        <w:t>（1）</w:t>
      </w:r>
      <w:r>
        <w:rPr>
          <w:rFonts w:hint="eastAsia" w:ascii="仿宋" w:hAnsi="仿宋" w:eastAsia="仿宋" w:cs="仿宋"/>
          <w:color w:val="auto"/>
          <w:sz w:val="24"/>
          <w:szCs w:val="24"/>
          <w:highlight w:val="none"/>
          <w:lang w:bidi="ar-SA"/>
        </w:rPr>
        <w:t>参加评分的评委应尽力体现客观、实事求是，避免学派偏见和个人偏好。</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（2）衡量、对比的依据，应以</w:t>
      </w:r>
      <w:r>
        <w:rPr>
          <w:rFonts w:hint="eastAsia" w:ascii="仿宋" w:hAnsi="仿宋" w:eastAsia="仿宋" w:cs="仿宋"/>
          <w:color w:val="auto"/>
          <w:sz w:val="24"/>
          <w:szCs w:val="24"/>
          <w:highlight w:val="none"/>
          <w:lang w:eastAsia="zh-CN" w:bidi="ar-SA"/>
        </w:rPr>
        <w:t>磋商文件</w:t>
      </w:r>
      <w:r>
        <w:rPr>
          <w:rFonts w:hint="eastAsia" w:ascii="仿宋" w:hAnsi="仿宋" w:eastAsia="仿宋" w:cs="仿宋"/>
          <w:color w:val="auto"/>
          <w:sz w:val="24"/>
          <w:szCs w:val="24"/>
          <w:highlight w:val="none"/>
          <w:lang w:bidi="ar-SA"/>
        </w:rPr>
        <w:t>、投标文件、提供的正式试验数据、质询澄清中的文字为准，口头回答和收集的资料只作为参考。</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（3）评分主要是为比较各投标人的价格、商务和技术综合排序。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（4）评委打分采取记名形式。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（5）各评委根据提供的技术打分表独立自主打分，任何人不得要求评委统一打分或统一确定等次顺序。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（6）对打分表中的每项条款，各评委应根据投标文件、澄清材料、</w:t>
      </w:r>
      <w:r>
        <w:rPr>
          <w:rFonts w:hint="eastAsia" w:ascii="仿宋" w:hAnsi="仿宋" w:eastAsia="仿宋" w:cs="仿宋"/>
          <w:color w:val="auto"/>
          <w:sz w:val="24"/>
          <w:szCs w:val="24"/>
          <w:highlight w:val="none"/>
          <w:lang w:eastAsia="zh-CN" w:bidi="ar-SA"/>
        </w:rPr>
        <w:t>磋商文件</w:t>
      </w:r>
      <w:r>
        <w:rPr>
          <w:rFonts w:hint="eastAsia" w:ascii="仿宋" w:hAnsi="仿宋" w:eastAsia="仿宋" w:cs="仿宋"/>
          <w:color w:val="auto"/>
          <w:sz w:val="24"/>
          <w:szCs w:val="24"/>
          <w:highlight w:val="none"/>
          <w:lang w:bidi="ar-SA"/>
        </w:rPr>
        <w:t>要求，按满足的程度给投标人打分。</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（7）评分程序</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a</w:t>
      </w:r>
      <w:r>
        <w:rPr>
          <w:rFonts w:hint="eastAsia" w:ascii="仿宋" w:hAnsi="仿宋" w:eastAsia="仿宋" w:cs="仿宋"/>
          <w:color w:val="auto"/>
          <w:sz w:val="24"/>
          <w:szCs w:val="24"/>
          <w:highlight w:val="none"/>
          <w:lang w:bidi="ar-SA"/>
        </w:rPr>
        <w:t>就投标人的投标文件对照整理出商务、技术评标因素对比表、偏差表，并在经过校核的基础上逐项打分。</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b</w:t>
      </w:r>
      <w:r>
        <w:rPr>
          <w:rFonts w:hint="eastAsia" w:ascii="仿宋" w:hAnsi="仿宋" w:eastAsia="仿宋" w:cs="仿宋"/>
          <w:color w:val="auto"/>
          <w:sz w:val="24"/>
          <w:szCs w:val="24"/>
          <w:highlight w:val="none"/>
          <w:lang w:bidi="ar-SA"/>
        </w:rPr>
        <w:t>各评委独立完成打分后，将评分表交给代理机构，由代理机构组织进行分数统计。</w:t>
      </w:r>
    </w:p>
    <w:p>
      <w:pPr>
        <w:shd w:val="clear" w:color="auto" w:fill="auto"/>
        <w:spacing w:line="440" w:lineRule="exact"/>
        <w:ind w:firstLine="616" w:firstLineChars="257"/>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val="en-US" w:eastAsia="zh-CN" w:bidi="ar-SA"/>
        </w:rPr>
        <w:t>c</w:t>
      </w:r>
      <w:r>
        <w:rPr>
          <w:rFonts w:hint="eastAsia" w:ascii="仿宋" w:hAnsi="仿宋" w:eastAsia="仿宋" w:cs="仿宋"/>
          <w:color w:val="auto"/>
          <w:sz w:val="24"/>
          <w:szCs w:val="24"/>
          <w:highlight w:val="none"/>
          <w:lang w:bidi="ar-SA"/>
        </w:rPr>
        <w:t>最终汇总表中各投标人得分应为评委打分的算术平均值。</w:t>
      </w:r>
    </w:p>
    <w:p>
      <w:pPr>
        <w:pStyle w:val="21"/>
        <w:outlineLvl w:val="9"/>
        <w:rPr>
          <w:rFonts w:hint="eastAsia" w:ascii="宋体" w:hAnsi="宋体" w:eastAsia="宋体" w:cs="宋体"/>
          <w:color w:val="auto"/>
          <w:szCs w:val="21"/>
          <w:highlight w:val="none"/>
          <w:lang w:bidi="ar-SA"/>
        </w:rPr>
      </w:pPr>
    </w:p>
    <w:p>
      <w:pPr>
        <w:numPr>
          <w:ilvl w:val="0"/>
          <w:numId w:val="7"/>
        </w:numPr>
        <w:shd w:val="clear" w:color="auto" w:fill="auto"/>
        <w:spacing w:line="500" w:lineRule="exact"/>
        <w:ind w:left="0" w:leftChars="0" w:firstLineChars="0"/>
        <w:jc w:val="left"/>
        <w:outlineLvl w:val="9"/>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评分标准和细则（综合评分法评分标准）</w:t>
      </w:r>
    </w:p>
    <w:p>
      <w:pPr>
        <w:numPr>
          <w:ilvl w:val="0"/>
          <w:numId w:val="0"/>
        </w:numPr>
        <w:spacing w:line="440" w:lineRule="exact"/>
        <w:jc w:val="center"/>
        <w:outlineLvl w:val="9"/>
        <w:rPr>
          <w:rFonts w:hint="eastAsia" w:ascii="宋体" w:hAnsi="宋体" w:cs="宋体"/>
          <w:b/>
          <w:sz w:val="28"/>
          <w:szCs w:val="28"/>
          <w:highlight w:val="none"/>
        </w:rPr>
      </w:pPr>
      <w:bookmarkStart w:id="98" w:name="_Toc31252"/>
      <w:r>
        <w:rPr>
          <w:rFonts w:hint="eastAsia" w:ascii="宋体" w:hAnsi="宋体" w:cs="宋体"/>
          <w:b/>
          <w:sz w:val="28"/>
          <w:szCs w:val="28"/>
          <w:highlight w:val="none"/>
        </w:rPr>
        <w:t>评分标准和细则</w:t>
      </w:r>
      <w:bookmarkEnd w:id="98"/>
    </w:p>
    <w:tbl>
      <w:tblPr>
        <w:tblStyle w:val="2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38"/>
        <w:gridCol w:w="8166"/>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评分因素及权重</w:t>
            </w:r>
          </w:p>
        </w:tc>
        <w:tc>
          <w:tcPr>
            <w:tcW w:w="414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评分标准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24"/>
                <w:szCs w:val="24"/>
                <w:u w:val="none"/>
              </w:rPr>
            </w:pPr>
          </w:p>
        </w:tc>
        <w:tc>
          <w:tcPr>
            <w:tcW w:w="414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24"/>
                <w:szCs w:val="24"/>
                <w:u w:val="none"/>
              </w:rPr>
            </w:pP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投标报价（30分）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完全满足磋商文件参数的投标报价中的最低价为评标基准价，按照下列公式计算每个投标人的投标价格得分。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投标报价得分＝（基准价/投标报价）×价格权重×100。</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0"/>
                <w:szCs w:val="20"/>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注：投标报价超过采购预算价的按废标处理。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技术部分（55分）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技术指标 （10分）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技术指标（10分）：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投标人完全符合磋商文件中参数要求的得7分，以此为基础，投标人提供参数高于磋商文件要求的，每有一项得0.5分，最高得3分；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（注：正偏离时需提供相关的证明文件，如检测报告等）</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项目团队成员（20分）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项目团队成员（20分）：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评标委员会根据投标人提交的拟投入主要工作人员简历表和专业技能强, 相关证明材料进行评价。</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1.项目管理人员 （8分）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具有医药项目管理经验，资历丰富，配置数量应不少于1人。</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一档（8分）：具有医药领域正高级职称；具有医药项目管理经验</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二档（4分）：具有医药领域副高级职称；具有医药项目管理经验</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三档（1分）人员配置一般，没有相关医药领域职称要求；</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2.技术团队负责人（8分）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具有药学领域的从业经验，资历丰富，配置数量应不少于1人。</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一档（8分）：有在从事药学研究五年以上科研经验，并具备正高级以上职称或博士以上学位；</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二档（4分）：有在从事药学研究三年以上科研经验，具备副高以上职称或硕士以上学位；</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三挡（1分）：具备药学领域学士以上学位</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无不得分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3.团队成员（4分）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团队有具备药学资质的人员参与日常工作（无执业药师资质的0分，1个拥有资质得2分，2人及以上得4分）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一档：（4分）2人及以上</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二挡：（2分）1人</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无不得分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（注：以上人员须提供任职证明，以及聘书、服务合同或者劳动合同等相关文件）</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设备维护保修期（2分）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设备维护保修期（2分）：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设备维护保修期满足招标文件的得1分，每增加一年加1分，此项最高得2分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（注：需提供设备维护保修期的承诺书，未提供承诺书的不得分）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科研及销售保障能力（17分）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1.科研合作（4分）：（注：须提供合同原件、技术合作使用授权书等扫描）</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能提供符合磋商文件中中医药科研服务要求，申报、组织、参与或实际使用过中医药领域的科研项目，可委托或合作开展项目科研检测工作。</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提供两个及以上符合要求的中医药科研项目合作协议或技术使用授权的，得4分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提供一个符合要求的中医药科研项目合作协议或技术使用授权的，得2分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无不得分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2.科研学术基础（4分）（注：须提供证明材料）</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承担过部委、省级以上（含部委、省级）中医药领域相关重点实验室建设工作的，得4分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提供一个符合要求的证明材料，得2分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无不得分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3.销售保障能力（9分）（注：须提供证明材料）</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为确保种植后的市场保障，具备相关药品采购、销售能力</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能力资质要求：</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1.具备国家市场监督管理部门颁发的药品销售的资质，其中需要具备中药材或中药饮片的销售许可；</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2.药品销售资质纳入国家医疗保障管理部门认定 ；</w:t>
            </w:r>
            <w:r>
              <w:rPr>
                <w:rFonts w:hint="eastAsia" w:ascii="微软雅黑" w:hAnsi="微软雅黑" w:eastAsia="微软雅黑" w:cs="微软雅黑"/>
                <w:i w:val="0"/>
                <w:iCs w:val="0"/>
                <w:color w:val="000000"/>
                <w:kern w:val="0"/>
                <w:sz w:val="24"/>
                <w:szCs w:val="24"/>
                <w:u w:val="none"/>
                <w:lang w:val="en-US" w:eastAsia="zh-CN" w:bidi="ar"/>
              </w:rPr>
              <w:br w:type="textWrapping"/>
            </w:r>
            <w:r>
              <w:rPr>
                <w:rFonts w:hint="eastAsia" w:ascii="微软雅黑" w:hAnsi="微软雅黑" w:eastAsia="微软雅黑" w:cs="微软雅黑"/>
                <w:i w:val="0"/>
                <w:iCs w:val="0"/>
                <w:color w:val="000000"/>
                <w:kern w:val="0"/>
                <w:sz w:val="24"/>
                <w:szCs w:val="24"/>
                <w:u w:val="none"/>
                <w:lang w:val="en-US" w:eastAsia="zh-CN" w:bidi="ar"/>
              </w:rPr>
              <w:t>3.具备互联网药品销售资质或取得销售资质授权</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以上，满足一条得3分，合计9分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技术服务（6分）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技术服务（6分）：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根据供应商技术服务方案、响应时间、培训方案等综合打分，合理可行的4-6分；基本合理的2-4分；部分合理的0-1分。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（注：专家根据投标文件对比打分）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商务因素（15分）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售后服务承诺 （ 3分）</w:t>
            </w:r>
          </w:p>
        </w:tc>
        <w:tc>
          <w:tcPr>
            <w:tcW w:w="414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售后服务承诺（3分）：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设有健全的售后服务机构网点，售后服务承诺拟派养护人员2个的得1分；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设有健全的售后服务机构网点，售后服务承诺拟派养护人员3个及以上的得3分；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（注：须提供承诺书，未提供承诺书的不得分。）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业绩：（6分）</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既往业绩（6分）：</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根据投标人提供的最近三年内成功实施的医药相关的销售、采购或科研项目的业绩情况进行评分。投标人每提供一个类似业绩（金额、规模类似）的，得 3 分；最多得 6 分（须提供合同、中标通知书等证明材料扫描件，否则视为无效业绩）。</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项目组织实施方案（6）</w:t>
            </w: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项目组织实施方案（6）：</w:t>
            </w:r>
          </w:p>
        </w:tc>
        <w:tc>
          <w:tcPr>
            <w:tcW w:w="3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根据投标人项目实施方案进行综合评分，包括供货方案、运输方案、质量保证标准、进度安排、普通技术人员的安排、验收方案等进行评价:优得5-6分；一般得3-4 分；较差得1-2。</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c>
          <w:tcPr>
            <w:tcW w:w="41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（注：专家根据各投标文件对比打分）</w:t>
            </w:r>
          </w:p>
        </w:tc>
        <w:tc>
          <w:tcPr>
            <w:tcW w:w="32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微软雅黑" w:hAnsi="微软雅黑" w:eastAsia="微软雅黑" w:cs="微软雅黑"/>
                <w:i w:val="0"/>
                <w:iCs w:val="0"/>
                <w:color w:val="000000"/>
                <w:sz w:val="24"/>
                <w:szCs w:val="24"/>
                <w:u w:val="none"/>
              </w:rPr>
            </w:pPr>
          </w:p>
        </w:tc>
      </w:tr>
    </w:tbl>
    <w:p/>
    <w:p>
      <w:pPr>
        <w:pStyle w:val="2"/>
        <w:rPr>
          <w:rFonts w:hint="default"/>
          <w:lang w:val="en-US" w:eastAsia="zh-CN"/>
        </w:rPr>
      </w:pPr>
    </w:p>
    <w:p>
      <w:pPr>
        <w:spacing w:line="360" w:lineRule="auto"/>
        <w:jc w:val="center"/>
        <w:rPr>
          <w:rFonts w:hint="eastAsia" w:ascii="宋体" w:hAnsi="宋体" w:eastAsia="宋体" w:cs="Times New Roman"/>
          <w:color w:val="000000"/>
          <w:szCs w:val="21"/>
          <w:highlight w:val="none"/>
        </w:rPr>
      </w:pPr>
      <w:r>
        <w:rPr>
          <w:rFonts w:hint="eastAsia" w:ascii="宋体" w:hAnsi="宋体" w:eastAsia="宋体" w:cs="宋体"/>
          <w:b/>
          <w:bCs/>
          <w:color w:val="000000"/>
          <w:sz w:val="24"/>
          <w:szCs w:val="24"/>
          <w:highlight w:val="none"/>
        </w:rPr>
        <w:t>注：计算结果在小数点后均保留两位小数，后余位数四舍五入计取。</w:t>
      </w:r>
    </w:p>
    <w:p>
      <w:pPr>
        <w:jc w:val="center"/>
      </w:pPr>
    </w:p>
    <w:p>
      <w:pPr>
        <w:pStyle w:val="9"/>
        <w:outlineLvl w:val="9"/>
        <w:rPr>
          <w:rFonts w:hint="eastAsia"/>
          <w:color w:val="auto"/>
          <w:highlight w:val="none"/>
        </w:rPr>
      </w:pPr>
    </w:p>
    <w:p>
      <w:pPr>
        <w:pStyle w:val="6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11、备注</w:t>
      </w:r>
    </w:p>
    <w:p>
      <w:pPr>
        <w:pStyle w:val="64"/>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11.1根据《政府采购服务和服务招投标管理办法》第87号令第六十条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64"/>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11.2供应商在评标过程中，所进行的力图影响评标结果的不符合招标规则的活动，可能导致其被取消中标（成交）资格。</w:t>
      </w:r>
    </w:p>
    <w:p>
      <w:pPr>
        <w:pStyle w:val="64"/>
        <w:keepNext w:val="0"/>
        <w:keepLines w:val="0"/>
        <w:pageBreakBefore w:val="0"/>
        <w:widowControl w:val="0"/>
        <w:kinsoku/>
        <w:wordWrap/>
        <w:overflowPunct/>
        <w:topLinePunct w:val="0"/>
        <w:autoSpaceDE/>
        <w:autoSpaceDN/>
        <w:bidi w:val="0"/>
        <w:adjustRightInd w:val="0"/>
        <w:snapToGrid w:val="0"/>
        <w:spacing w:line="360" w:lineRule="auto"/>
        <w:ind w:firstLine="408"/>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11.3与竞争性磋商文件有重大偏离的投标文件将被拒绝。</w:t>
      </w:r>
    </w:p>
    <w:p>
      <w:pPr>
        <w:widowControl/>
        <w:shd w:val="clear" w:color="auto" w:fill="auto"/>
        <w:spacing w:line="440" w:lineRule="exact"/>
        <w:ind w:firstLine="480"/>
        <w:outlineLvl w:val="9"/>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附：对于商务部分（投标报价）的评分，按以下方法进行：价格分统一采用低价优先法计算，即满足竞争性磋商文件要求且评标价格最低的报价为评标基准价，其价格分为满分。其他投标人的价格分统一按照下列公式计算：投标报价得分=（基准价/投标报价）×30</w:t>
      </w:r>
    </w:p>
    <w:bookmarkEnd w:id="97"/>
    <w:p>
      <w:pPr>
        <w:pStyle w:val="64"/>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11.4各评标委员会成员对每个投标人的上述指标的打分（除报价外）的算术平均分，加上经计算的报价得分，即为该投标人的最终综合评估分。评标委员会将按投标人得分顺序由高到低依次排名，得分相同的，按投标报价由低到高顺序排列。得分及报价相同的，按技术指标优劣顺序排列。得分最高的前一名至前三名投标人将成为中标（成交）候选人。</w:t>
      </w:r>
    </w:p>
    <w:p>
      <w:pPr>
        <w:pStyle w:val="64"/>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11.5最低报价不作为评标的唯一依据。采购人不承诺将合同授予报价最低的投标人。</w:t>
      </w:r>
    </w:p>
    <w:p>
      <w:pPr>
        <w:pStyle w:val="64"/>
        <w:keepNext w:val="0"/>
        <w:keepLines w:val="0"/>
        <w:pageBreakBefore w:val="0"/>
        <w:widowControl w:val="0"/>
        <w:kinsoku/>
        <w:wordWrap/>
        <w:overflowPunct/>
        <w:topLinePunct w:val="0"/>
        <w:autoSpaceDE/>
        <w:autoSpaceDN/>
        <w:bidi w:val="0"/>
        <w:spacing w:line="360" w:lineRule="auto"/>
        <w:ind w:firstLine="420"/>
        <w:jc w:val="both"/>
        <w:textAlignment w:val="auto"/>
        <w:outlineLvl w:val="9"/>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11.6经评标委员会评议，认为投标报价过高、超出采购人预算的项目，可以不确立中标（成交）人，做为废标处理。</w:t>
      </w:r>
    </w:p>
    <w:bookmarkEnd w:id="82"/>
    <w:p>
      <w:pPr>
        <w:shd w:val="clear" w:color="auto" w:fill="auto"/>
        <w:snapToGrid w:val="0"/>
        <w:spacing w:line="400" w:lineRule="exact"/>
        <w:ind w:firstLine="480" w:firstLineChars="200"/>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12、</w:t>
      </w:r>
      <w:r>
        <w:rPr>
          <w:rFonts w:hint="eastAsia" w:ascii="仿宋" w:hAnsi="仿宋" w:eastAsia="仿宋" w:cs="仿宋"/>
          <w:b/>
          <w:color w:val="auto"/>
          <w:sz w:val="24"/>
          <w:szCs w:val="24"/>
          <w:highlight w:val="none"/>
        </w:rPr>
        <w:t>无效投标条款</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.1投标文件有下列情形之一的,其投标文件拒收:</w:t>
      </w:r>
    </w:p>
    <w:p>
      <w:pPr>
        <w:shd w:val="clear" w:color="auto" w:fill="auto"/>
        <w:snapToGrid w:val="0"/>
        <w:spacing w:line="400" w:lineRule="exact"/>
        <w:outlineLvl w:val="9"/>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(1) 未在开标截止时间前通过网上招标投标系统递交有效电子投标文件的，开标系统不予接收。</w:t>
      </w:r>
    </w:p>
    <w:p>
      <w:pPr>
        <w:shd w:val="clear" w:color="auto" w:fill="auto"/>
        <w:snapToGrid w:val="0"/>
        <w:spacing w:line="400" w:lineRule="exact"/>
        <w:ind w:firstLine="480" w:firstLineChars="200"/>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color w:val="auto"/>
          <w:sz w:val="24"/>
          <w:szCs w:val="24"/>
          <w:highlight w:val="none"/>
        </w:rPr>
        <w:t>所有投标人应在规定时间里完成投标文件的解密工作</w:t>
      </w:r>
      <w:r>
        <w:rPr>
          <w:rFonts w:hint="eastAsia" w:ascii="仿宋" w:hAnsi="仿宋" w:eastAsia="仿宋" w:cs="仿宋"/>
          <w:b/>
          <w:bCs/>
          <w:color w:val="auto"/>
          <w:sz w:val="24"/>
          <w:szCs w:val="24"/>
          <w:highlight w:val="none"/>
        </w:rPr>
        <w:t>【投标人</w:t>
      </w:r>
      <w:r>
        <w:rPr>
          <w:rFonts w:hint="eastAsia" w:ascii="仿宋" w:hAnsi="仿宋" w:eastAsia="仿宋" w:cs="仿宋"/>
          <w:b/>
          <w:bCs/>
          <w:color w:val="auto"/>
          <w:sz w:val="24"/>
          <w:szCs w:val="24"/>
          <w:highlight w:val="none"/>
          <w:lang w:eastAsia="zh-CN"/>
        </w:rPr>
        <w:t>使用</w:t>
      </w:r>
      <w:r>
        <w:rPr>
          <w:rFonts w:hint="eastAsia" w:ascii="仿宋" w:hAnsi="仿宋" w:eastAsia="仿宋" w:cs="仿宋"/>
          <w:b/>
          <w:bCs/>
          <w:color w:val="auto"/>
          <w:sz w:val="24"/>
          <w:szCs w:val="24"/>
          <w:highlight w:val="none"/>
        </w:rPr>
        <w:t>其有效加密锁（CA锁）</w:t>
      </w:r>
      <w:r>
        <w:rPr>
          <w:rFonts w:hint="eastAsia" w:ascii="仿宋" w:hAnsi="仿宋" w:eastAsia="仿宋" w:cs="仿宋"/>
          <w:b/>
          <w:bCs/>
          <w:color w:val="auto"/>
          <w:sz w:val="24"/>
          <w:szCs w:val="24"/>
          <w:highlight w:val="none"/>
          <w:lang w:eastAsia="zh-CN"/>
        </w:rPr>
        <w:t>进行</w:t>
      </w:r>
      <w:r>
        <w:rPr>
          <w:rFonts w:hint="eastAsia" w:ascii="仿宋" w:hAnsi="仿宋" w:eastAsia="仿宋" w:cs="仿宋"/>
          <w:b/>
          <w:bCs/>
          <w:color w:val="auto"/>
          <w:sz w:val="24"/>
          <w:szCs w:val="24"/>
          <w:highlight w:val="none"/>
        </w:rPr>
        <w:t>解密（因投标人原因未能提供有效CA锁对其投标文件进行解密的，其投标文件按无效标处理），以网上招投标系统解密倒计时为准】</w:t>
      </w:r>
      <w:r>
        <w:rPr>
          <w:rFonts w:hint="eastAsia" w:ascii="仿宋" w:hAnsi="仿宋" w:eastAsia="仿宋" w:cs="仿宋"/>
          <w:b/>
          <w:color w:val="auto"/>
          <w:sz w:val="24"/>
          <w:szCs w:val="24"/>
          <w:highlight w:val="none"/>
        </w:rPr>
        <w:t>，因系统原因未能成功解密的投标文件，可导入</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eastAsia="zh-CN"/>
        </w:rPr>
        <w:t>备份投标文件</w:t>
      </w:r>
      <w:r>
        <w:rPr>
          <w:rFonts w:hint="eastAsia" w:ascii="仿宋" w:hAnsi="仿宋" w:eastAsia="仿宋" w:cs="仿宋"/>
          <w:b/>
          <w:color w:val="auto"/>
          <w:sz w:val="24"/>
          <w:szCs w:val="24"/>
          <w:highlight w:val="none"/>
        </w:rPr>
        <w:t>也无法导入的，则投标文件被否决。</w:t>
      </w:r>
    </w:p>
    <w:p>
      <w:pPr>
        <w:shd w:val="clear" w:color="auto" w:fill="auto"/>
        <w:snapToGrid w:val="0"/>
        <w:spacing w:line="4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.2投标人有下列情形之一的,资格审查后其投标作无效投标处理：</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(1)法定代表人参加开标会议未携带有效的法定代表人身份证明原件和本人身份证的；委托代理人参加开标会议未携带有效的法定代表人授权书和本人身份证；</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(2)投标人为本项目提供招标代理服务的；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(3)投标人与在本项目代理机构存在相互任职或工作的；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(4)投标保证金未按规定要求缴纳的；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
          <w:bCs/>
          <w:color w:val="auto"/>
          <w:sz w:val="24"/>
          <w:szCs w:val="24"/>
          <w:highlight w:val="none"/>
        </w:rPr>
        <w:t>评标专家无法查看并检验电子标书中相关资料的；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(6)投标人超出营业范围投标的；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(7)联合体投标未提交联合体协议的；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(8)被暂停营业的；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(9)被暂停或取消投标资格的；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(10)财产被接管或冻结的；</w:t>
      </w:r>
    </w:p>
    <w:p>
      <w:pPr>
        <w:shd w:val="clear" w:color="auto" w:fill="auto"/>
        <w:snapToGrid w:val="0"/>
        <w:spacing w:line="400" w:lineRule="exact"/>
        <w:ind w:firstLine="48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(11)投标人单位负责人为同一人或者存在控股、管理关系的不同单位的；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（12）投标人基本资格条件和特定资格条件中有一项及以上不符合要求的；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（13）投标人使用相同的MAC地址进行报名的；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（14）其它情形，经评标委员会委提出按无效投标处理，并经公共资源交易监督部门核准的；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（15）投标人使用相同IP地址报名的，一经发现，监管部门将进一步核实，查实后按串通投标处理；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keepNext w:val="0"/>
        <w:keepLines w:val="0"/>
        <w:pageBreakBefore w:val="0"/>
        <w:shd w:val="clear" w:color="auto" w:fill="auto"/>
        <w:kinsoku/>
        <w:wordWrap/>
        <w:overflowPunct/>
        <w:topLinePunct w:val="0"/>
        <w:autoSpaceDE/>
        <w:autoSpaceDN/>
        <w:bidi w:val="0"/>
        <w:adjustRightInd/>
        <w:snapToGrid w:val="0"/>
        <w:spacing w:line="340" w:lineRule="exac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.3 投标人有下列情形之一的,符合性审查后其投标按无效投标处理：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投标文件签字、盖章不全，经评标委员会一致认定对开评标内容有实质性影响并经监督部门核准的；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)未按规定的格式填写，实质性内容不全或关键字迹模糊、无法辨认; 经监督部门核准的；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(4)同一投标人提交两个以上不同的投标文件或者投标报价，但</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规定提交备选方案的除外；</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)投标文件没有对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的实质性要求和条件作出响应;</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)投标报价超出规定的投标限价或公布的采购预算的；注：投标人的投标报价各项单价均不得高于</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给定的单价最高限价，否则，其投标文件将按无效投标处理。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)不按评标委员会要求澄清、说明或补正的，或者评标委员会根据</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的规定对</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的计算错误进行修正后，投标人不接受修正的投标报价的。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）其它情形，经评标委员会委提出按无效投标处理，并经公共资源交易监督部门核准的；</w:t>
      </w:r>
    </w:p>
    <w:p>
      <w:pPr>
        <w:keepNext w:val="0"/>
        <w:keepLines w:val="0"/>
        <w:pageBreakBefore w:val="0"/>
        <w:widowControl/>
        <w:shd w:val="clear" w:color="auto" w:fill="auto"/>
        <w:kinsoku/>
        <w:wordWrap/>
        <w:overflowPunct/>
        <w:topLinePunct w:val="0"/>
        <w:autoSpaceDE/>
        <w:autoSpaceDN/>
        <w:bidi w:val="0"/>
        <w:adjustRightInd/>
        <w:spacing w:line="3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未按照</w:t>
      </w:r>
      <w:r>
        <w:rPr>
          <w:rFonts w:hint="eastAsia" w:ascii="仿宋" w:hAnsi="仿宋" w:eastAsia="仿宋" w:cs="仿宋"/>
          <w:color w:val="auto"/>
          <w:kern w:val="0"/>
          <w:sz w:val="24"/>
          <w:szCs w:val="24"/>
          <w:highlight w:val="none"/>
          <w:shd w:val="clear" w:color="auto" w:fill="FFFFFF"/>
          <w:lang w:eastAsia="zh-CN" w:bidi="ar"/>
        </w:rPr>
        <w:t>竞争性磋商文件</w:t>
      </w:r>
      <w:r>
        <w:rPr>
          <w:rFonts w:hint="eastAsia" w:ascii="仿宋" w:hAnsi="仿宋" w:eastAsia="仿宋" w:cs="仿宋"/>
          <w:color w:val="auto"/>
          <w:kern w:val="0"/>
          <w:sz w:val="24"/>
          <w:szCs w:val="24"/>
          <w:highlight w:val="none"/>
          <w:shd w:val="clear" w:color="auto" w:fill="FFFFFF"/>
          <w:lang w:bidi="ar"/>
        </w:rPr>
        <w:t>的规定提交投标保证金的；</w:t>
      </w:r>
    </w:p>
    <w:p>
      <w:pPr>
        <w:keepNext w:val="0"/>
        <w:keepLines w:val="0"/>
        <w:pageBreakBefore w:val="0"/>
        <w:widowControl/>
        <w:shd w:val="clear" w:color="auto" w:fill="auto"/>
        <w:kinsoku/>
        <w:wordWrap/>
        <w:overflowPunct/>
        <w:topLinePunct w:val="0"/>
        <w:autoSpaceDE/>
        <w:autoSpaceDN/>
        <w:bidi w:val="0"/>
        <w:adjustRightInd/>
        <w:spacing w:line="340" w:lineRule="exact"/>
        <w:ind w:firstLine="480" w:firstLineChars="200"/>
        <w:jc w:val="lef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shd w:val="clear" w:color="auto" w:fill="FFFFFF"/>
          <w:lang w:bidi="ar"/>
        </w:rPr>
        <w:t>投标文件含有采购人不能接受的附加条件的;</w:t>
      </w:r>
    </w:p>
    <w:p>
      <w:pPr>
        <w:keepNext w:val="0"/>
        <w:keepLines w:val="0"/>
        <w:pageBreakBefore w:val="0"/>
        <w:shd w:val="clear" w:color="auto" w:fill="auto"/>
        <w:tabs>
          <w:tab w:val="left" w:pos="1123"/>
        </w:tabs>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.4 投标人有下列情形之一的, 详细评审后其投标按无效投标处理：</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(1)投标产品不符合必须强制执行的国家标准的；</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(2)投标人有串通投标、弄虚作假、行贿等违法行为；</w:t>
      </w:r>
    </w:p>
    <w:p>
      <w:pPr>
        <w:keepNext w:val="0"/>
        <w:keepLines w:val="0"/>
        <w:pageBreakBefore w:val="0"/>
        <w:shd w:val="clear" w:color="auto" w:fill="auto"/>
        <w:kinsoku/>
        <w:wordWrap/>
        <w:overflowPunct/>
        <w:topLinePunct w:val="0"/>
        <w:autoSpaceDE/>
        <w:autoSpaceDN/>
        <w:bidi w:val="0"/>
        <w:adjustRightInd/>
        <w:snapToGrid w:val="0"/>
        <w:spacing w:line="340" w:lineRule="exact"/>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(3)投标文件含有违反国家法律、法规的内容，或附有招标人不能接受的条件的；</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（4）在同一项目（或同一标段）中有多个投标人有效投标报价接近最高限价，且评标委员会认为报价出现异常的，可以宣布其投标无效；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（5）报价明显低于其他投标人，且不能证明报价合理性的投标无效；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（6）拒不确认评标委员会评审修正的投标无效；</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（7）其它情形，经评标委员会委提出按无效投标处理，并经公共资源交易监督部门核准的；</w:t>
      </w:r>
    </w:p>
    <w:p>
      <w:pPr>
        <w:keepNext w:val="0"/>
        <w:keepLines w:val="0"/>
        <w:pageBreakBefore w:val="0"/>
        <w:shd w:val="clear" w:color="auto" w:fill="auto"/>
        <w:kinsoku/>
        <w:wordWrap/>
        <w:overflowPunct/>
        <w:topLinePunct w:val="0"/>
        <w:autoSpaceDE/>
        <w:autoSpaceDN/>
        <w:bidi w:val="0"/>
        <w:adjustRightInd/>
        <w:spacing w:line="340" w:lineRule="exact"/>
        <w:ind w:firstLine="360" w:firstLineChars="1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规定的其它无效投标情形。</w:t>
      </w:r>
    </w:p>
    <w:p>
      <w:pPr>
        <w:pageBreakBefore/>
        <w:shd w:val="clear" w:color="auto" w:fill="auto"/>
        <w:spacing w:line="360" w:lineRule="auto"/>
        <w:jc w:val="center"/>
        <w:outlineLvl w:val="9"/>
        <w:rPr>
          <w:rFonts w:hint="eastAsia" w:ascii="宋体"/>
          <w:b/>
          <w:color w:val="auto"/>
          <w:sz w:val="32"/>
          <w:szCs w:val="32"/>
          <w:highlight w:val="none"/>
        </w:rPr>
        <w:sectPr>
          <w:footerReference r:id="rId6" w:type="default"/>
          <w:pgSz w:w="11906" w:h="16838"/>
          <w:pgMar w:top="1440" w:right="1134" w:bottom="1440" w:left="1134" w:header="851" w:footer="992" w:gutter="0"/>
          <w:paperSrc/>
          <w:pgBorders>
            <w:top w:val="none" w:sz="0" w:space="0"/>
            <w:left w:val="none" w:sz="0" w:space="0"/>
            <w:bottom w:val="none" w:sz="0" w:space="0"/>
            <w:right w:val="none" w:sz="0" w:space="0"/>
          </w:pgBorders>
          <w:pgNumType w:fmt="decimal" w:start="1"/>
          <w:cols w:space="720" w:num="1"/>
          <w:rtlGutter w:val="0"/>
          <w:docGrid w:type="linesAndChars" w:linePitch="312" w:charSpace="0"/>
        </w:sectPr>
      </w:pPr>
      <w:bookmarkStart w:id="99" w:name="OLE_LINK4"/>
    </w:p>
    <w:p>
      <w:pPr>
        <w:pageBreakBefore/>
        <w:shd w:val="clear" w:color="auto" w:fill="auto"/>
        <w:spacing w:line="440" w:lineRule="exact"/>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00" w:name="_Toc9490"/>
      <w:r>
        <w:rPr>
          <w:rFonts w:hint="eastAsia" w:ascii="仿宋" w:hAnsi="仿宋" w:eastAsia="仿宋" w:cs="仿宋"/>
          <w:b/>
          <w:bCs/>
          <w:color w:val="auto"/>
          <w:kern w:val="2"/>
          <w:sz w:val="40"/>
          <w:szCs w:val="40"/>
          <w:highlight w:val="none"/>
          <w:u w:val="none"/>
          <w:shd w:val="clear" w:color="auto" w:fill="auto"/>
          <w:lang w:val="en-US" w:eastAsia="zh-CN" w:bidi="ar-SA"/>
        </w:rPr>
        <w:t>第四章</w:t>
      </w:r>
      <w:bookmarkEnd w:id="83"/>
      <w:bookmarkStart w:id="101" w:name="_Toc2778"/>
      <w:r>
        <w:rPr>
          <w:rFonts w:hint="eastAsia" w:ascii="仿宋" w:hAnsi="仿宋" w:eastAsia="仿宋" w:cs="仿宋"/>
          <w:b/>
          <w:bCs/>
          <w:color w:val="auto"/>
          <w:kern w:val="2"/>
          <w:sz w:val="40"/>
          <w:szCs w:val="40"/>
          <w:highlight w:val="none"/>
          <w:u w:val="none"/>
          <w:shd w:val="clear" w:color="auto" w:fill="auto"/>
          <w:lang w:val="en-US" w:eastAsia="zh-CN" w:bidi="ar-SA"/>
        </w:rPr>
        <w:t xml:space="preserve"> 采购内容及技术参数要求</w:t>
      </w:r>
      <w:bookmarkEnd w:id="100"/>
      <w:bookmarkEnd w:id="101"/>
    </w:p>
    <w:p>
      <w:pPr>
        <w:spacing w:line="440" w:lineRule="exact"/>
        <w:jc w:val="left"/>
        <w:outlineLvl w:val="9"/>
        <w:rPr>
          <w:rFonts w:hint="eastAsia" w:ascii="仿宋" w:hAnsi="仿宋" w:eastAsia="仿宋" w:cs="仿宋"/>
          <w:b/>
          <w:bCs/>
          <w:color w:val="auto"/>
          <w:sz w:val="24"/>
          <w:szCs w:val="24"/>
          <w:highlight w:val="none"/>
          <w:lang w:val="en-US" w:eastAsia="zh-CN"/>
        </w:rPr>
      </w:pPr>
      <w:bookmarkStart w:id="102" w:name="_Toc18496"/>
      <w:r>
        <w:rPr>
          <w:rFonts w:hint="eastAsia" w:ascii="仿宋" w:hAnsi="仿宋" w:eastAsia="仿宋" w:cs="仿宋"/>
          <w:b/>
          <w:bCs/>
          <w:color w:val="auto"/>
          <w:sz w:val="24"/>
          <w:szCs w:val="24"/>
          <w:highlight w:val="none"/>
          <w:lang w:val="en-US" w:eastAsia="zh-CN"/>
        </w:rPr>
        <w:t>1.1主要技术参数</w:t>
      </w:r>
    </w:p>
    <w:p>
      <w:pPr>
        <w:shd w:val="clear" w:color="auto" w:fill="auto"/>
        <w:spacing w:line="360" w:lineRule="auto"/>
        <w:ind w:firstLine="487" w:firstLineChars="150"/>
        <w:jc w:val="center"/>
        <w:outlineLvl w:val="9"/>
        <w:rPr>
          <w:rFonts w:hint="eastAsia" w:ascii="仿宋" w:hAnsi="仿宋" w:eastAsia="仿宋" w:cs="仿宋"/>
          <w:b/>
          <w:bCs/>
          <w:color w:val="auto"/>
          <w:sz w:val="32"/>
          <w:szCs w:val="24"/>
          <w:highlight w:val="none"/>
        </w:rPr>
      </w:pPr>
      <w:r>
        <w:rPr>
          <w:rFonts w:hint="eastAsia" w:ascii="仿宋" w:hAnsi="仿宋" w:eastAsia="仿宋" w:cs="仿宋"/>
          <w:b/>
          <w:bCs/>
          <w:color w:val="auto"/>
          <w:sz w:val="32"/>
          <w:szCs w:val="24"/>
          <w:highlight w:val="none"/>
        </w:rPr>
        <w:t>采购清单及参数</w:t>
      </w:r>
    </w:p>
    <w:p>
      <w:pPr>
        <w:pStyle w:val="2"/>
        <w:numPr>
          <w:ilvl w:val="0"/>
          <w:numId w:val="0"/>
        </w:numPr>
        <w:ind w:leftChars="0" w:right="0" w:rightChars="0"/>
        <w:rPr>
          <w:rFonts w:hint="eastAsia"/>
        </w:rPr>
      </w:pPr>
    </w:p>
    <w:tbl>
      <w:tblPr>
        <w:tblStyle w:val="28"/>
        <w:tblW w:w="9838" w:type="dxa"/>
        <w:tblInd w:w="-217" w:type="dxa"/>
        <w:tblLayout w:type="fixed"/>
        <w:tblCellMar>
          <w:top w:w="0" w:type="dxa"/>
          <w:left w:w="108" w:type="dxa"/>
          <w:bottom w:w="0" w:type="dxa"/>
          <w:right w:w="108" w:type="dxa"/>
        </w:tblCellMar>
      </w:tblPr>
      <w:tblGrid>
        <w:gridCol w:w="607"/>
        <w:gridCol w:w="796"/>
        <w:gridCol w:w="688"/>
        <w:gridCol w:w="4043"/>
        <w:gridCol w:w="750"/>
        <w:gridCol w:w="692"/>
        <w:gridCol w:w="2262"/>
      </w:tblGrid>
      <w:tr>
        <w:tblPrEx>
          <w:tblCellMar>
            <w:top w:w="0" w:type="dxa"/>
            <w:left w:w="108" w:type="dxa"/>
            <w:bottom w:w="0" w:type="dxa"/>
            <w:right w:w="108" w:type="dxa"/>
          </w:tblCellMar>
        </w:tblPrEx>
        <w:trPr>
          <w:trHeight w:val="674"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植物名称</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繁殖材料</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参数要求</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单位</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 w:val="22"/>
                <w:szCs w:val="22"/>
                <w:lang w:val="en-US" w:eastAsia="zh-CN"/>
              </w:rPr>
            </w:pPr>
            <w:r>
              <w:rPr>
                <w:rFonts w:hint="eastAsia" w:ascii="宋体" w:hAnsi="宋体" w:cs="宋体"/>
                <w:color w:val="000000"/>
                <w:sz w:val="22"/>
                <w:szCs w:val="22"/>
                <w:lang w:val="en-US" w:eastAsia="zh-CN"/>
              </w:rPr>
              <w:t>备注</w:t>
            </w:r>
          </w:p>
        </w:tc>
      </w:tr>
      <w:tr>
        <w:tblPrEx>
          <w:tblCellMar>
            <w:top w:w="0" w:type="dxa"/>
            <w:left w:w="108" w:type="dxa"/>
            <w:bottom w:w="0" w:type="dxa"/>
            <w:right w:w="108" w:type="dxa"/>
          </w:tblCellMar>
        </w:tblPrEx>
        <w:trPr>
          <w:trHeight w:val="411"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宋体"/>
                <w:color w:val="000000"/>
                <w:sz w:val="22"/>
                <w:szCs w:val="22"/>
              </w:rPr>
            </w:pPr>
            <w:r>
              <w:rPr>
                <w:rFonts w:hint="eastAsia" w:ascii="宋体" w:hAnsi="宋体" w:cs="宋体"/>
                <w:b/>
                <w:bCs/>
                <w:color w:val="000000"/>
                <w:sz w:val="22"/>
                <w:szCs w:val="22"/>
              </w:rPr>
              <w:t>一、</w:t>
            </w:r>
          </w:p>
        </w:tc>
        <w:tc>
          <w:tcPr>
            <w:tcW w:w="9231"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b/>
                <w:bCs/>
                <w:color w:val="000000"/>
                <w:sz w:val="22"/>
                <w:szCs w:val="22"/>
              </w:rPr>
            </w:pPr>
            <w:r>
              <w:rPr>
                <w:rFonts w:hint="eastAsia" w:ascii="宋体" w:hAnsi="宋体" w:cs="宋体"/>
                <w:b/>
                <w:bCs/>
                <w:color w:val="000000"/>
                <w:sz w:val="22"/>
                <w:szCs w:val="22"/>
              </w:rPr>
              <w:t>种子</w:t>
            </w:r>
          </w:p>
        </w:tc>
      </w:tr>
      <w:tr>
        <w:tblPrEx>
          <w:tblCellMar>
            <w:top w:w="0" w:type="dxa"/>
            <w:left w:w="108" w:type="dxa"/>
            <w:bottom w:w="0" w:type="dxa"/>
            <w:right w:w="108" w:type="dxa"/>
          </w:tblCellMar>
        </w:tblPrEx>
        <w:trPr>
          <w:trHeight w:val="1338"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color w:val="000000"/>
                <w:kern w:val="0"/>
                <w:sz w:val="20"/>
                <w:szCs w:val="20"/>
              </w:rPr>
            </w:pPr>
            <w:r>
              <w:rPr>
                <w:rFonts w:hint="eastAsia" w:ascii="宋体" w:hAnsi="宋体" w:cs="宋体"/>
                <w:color w:val="000000"/>
                <w:kern w:val="0"/>
                <w:sz w:val="20"/>
                <w:szCs w:val="20"/>
              </w:rPr>
              <w:t>甘草</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种子</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来源：</w:t>
            </w:r>
            <w:r>
              <w:fldChar w:fldCharType="begin"/>
            </w:r>
            <w:r>
              <w:instrText xml:space="preserve"> HYPERLINK "https://baike.baidu.com/item/%E8%B1%86%E7%A7%91%E6%A4%8D%E7%89%A9/175713" \t "_blank" </w:instrText>
            </w:r>
            <w:r>
              <w:fldChar w:fldCharType="separate"/>
            </w:r>
            <w:r>
              <w:rPr>
                <w:rFonts w:ascii="宋体" w:hAnsi="宋体" w:cs="宋体"/>
                <w:color w:val="000000"/>
                <w:kern w:val="0"/>
                <w:sz w:val="20"/>
                <w:szCs w:val="20"/>
              </w:rPr>
              <w:t>豆科植物</w:t>
            </w:r>
            <w:r>
              <w:rPr>
                <w:rFonts w:ascii="宋体" w:hAnsi="宋体" w:cs="宋体"/>
                <w:color w:val="000000"/>
                <w:kern w:val="0"/>
                <w:sz w:val="20"/>
                <w:szCs w:val="20"/>
              </w:rPr>
              <w:fldChar w:fldCharType="end"/>
            </w:r>
            <w:r>
              <w:rPr>
                <w:rFonts w:ascii="宋体" w:hAnsi="宋体" w:cs="宋体"/>
                <w:color w:val="000000"/>
                <w:kern w:val="0"/>
                <w:sz w:val="20"/>
                <w:szCs w:val="20"/>
              </w:rPr>
              <w:t>甘草Glycyrrhiza uralensis Fisch.</w:t>
            </w:r>
            <w:r>
              <w:rPr>
                <w:rFonts w:hint="eastAsia" w:ascii="宋体" w:hAnsi="宋体" w:cs="宋体"/>
                <w:color w:val="000000"/>
                <w:kern w:val="0"/>
                <w:sz w:val="20"/>
                <w:szCs w:val="20"/>
              </w:rPr>
              <w:t>的种子      种子要求:经过精选、包装，纯度≧95.0%，水分≦13.0%，发芽率≧90.0%，净度≥99.0%，经过检疫。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1120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公斤</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338"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红花</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种子</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FFFFFF"/>
              <w:rPr>
                <w:rFonts w:ascii="宋体" w:hAnsi="宋体" w:cs="宋体"/>
                <w:color w:val="333333"/>
                <w:kern w:val="0"/>
                <w:sz w:val="14"/>
                <w:szCs w:val="14"/>
              </w:rPr>
            </w:pPr>
            <w:r>
              <w:rPr>
                <w:rFonts w:hint="eastAsia" w:ascii="宋体" w:hAnsi="宋体" w:cs="宋体"/>
                <w:color w:val="000000"/>
                <w:kern w:val="0"/>
                <w:sz w:val="20"/>
                <w:szCs w:val="20"/>
              </w:rPr>
              <w:t>来源：菊科植物红花</w:t>
            </w:r>
            <w:r>
              <w:rPr>
                <w:rFonts w:ascii="宋体" w:hAnsi="宋体" w:cs="宋体"/>
                <w:i/>
                <w:iCs/>
                <w:color w:val="333333"/>
                <w:kern w:val="0"/>
                <w:sz w:val="14"/>
                <w:szCs w:val="14"/>
              </w:rPr>
              <w:t>Carthamus tinctorius</w:t>
            </w:r>
            <w:r>
              <w:rPr>
                <w:rFonts w:ascii="宋体" w:hAnsi="宋体" w:cs="宋体"/>
                <w:color w:val="333333"/>
                <w:kern w:val="0"/>
                <w:sz w:val="14"/>
                <w:szCs w:val="14"/>
              </w:rPr>
              <w:t xml:space="preserve"> L.</w:t>
            </w:r>
            <w:r>
              <w:rPr>
                <w:rFonts w:hint="eastAsia" w:ascii="宋体" w:hAnsi="宋体" w:cs="宋体"/>
                <w:color w:val="333333"/>
                <w:kern w:val="0"/>
                <w:sz w:val="14"/>
                <w:szCs w:val="14"/>
              </w:rPr>
              <w:t>的种子</w:t>
            </w:r>
            <w:r>
              <w:rPr>
                <w:rFonts w:hint="eastAsia" w:ascii="宋体" w:hAnsi="宋体" w:cs="宋体"/>
                <w:color w:val="000000"/>
                <w:kern w:val="0"/>
                <w:sz w:val="20"/>
                <w:szCs w:val="20"/>
              </w:rPr>
              <w:t>种子要求:经过精选、包装，纯度≧95.0%，水分≦13.0%，发芽率≧90.0%，净度≥99.0%，经过检疫。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公斤</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338"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黄芪</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种子</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来源：</w:t>
            </w:r>
            <w:r>
              <w:rPr>
                <w:rFonts w:ascii="宋体" w:hAnsi="宋体" w:cs="宋体"/>
                <w:color w:val="000000"/>
                <w:kern w:val="0"/>
                <w:sz w:val="20"/>
                <w:szCs w:val="20"/>
              </w:rPr>
              <w:t>为豆科黄芪属植物蒙古黄芪Astragalus memeranaceus（Fisch.）Bge. Var. mongholicus（Bge.）Hsiao</w:t>
            </w:r>
            <w:r>
              <w:rPr>
                <w:rFonts w:hint="eastAsia" w:ascii="宋体" w:hAnsi="宋体" w:cs="宋体"/>
                <w:color w:val="000000"/>
                <w:kern w:val="0"/>
                <w:sz w:val="20"/>
                <w:szCs w:val="20"/>
              </w:rPr>
              <w:t>的种子。种子要求:经过精选、包装，纯度≧95.0%，水分≦13.0%，发芽率≧90.0%，净度≥98.0%，经过检疫。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公斤</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338"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凤仙花（急性子）</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种子</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来源：为</w:t>
            </w:r>
            <w:r>
              <w:rPr>
                <w:rFonts w:ascii="宋体" w:hAnsi="宋体" w:cs="宋体"/>
                <w:color w:val="000000"/>
                <w:kern w:val="0"/>
                <w:sz w:val="20"/>
                <w:szCs w:val="20"/>
              </w:rPr>
              <w:t>凤仙花</w:t>
            </w:r>
            <w:r>
              <w:rPr>
                <w:rFonts w:hint="eastAsia" w:ascii="宋体" w:hAnsi="宋体" w:cs="宋体"/>
                <w:color w:val="000000"/>
                <w:kern w:val="0"/>
                <w:sz w:val="20"/>
                <w:szCs w:val="20"/>
              </w:rPr>
              <w:t>科植物</w:t>
            </w:r>
            <w:r>
              <w:rPr>
                <w:rFonts w:ascii="宋体" w:hAnsi="宋体" w:cs="宋体"/>
                <w:color w:val="000000"/>
                <w:kern w:val="0"/>
                <w:sz w:val="20"/>
                <w:szCs w:val="20"/>
              </w:rPr>
              <w:t>（Impatiens balsamina L.）</w:t>
            </w:r>
            <w:r>
              <w:rPr>
                <w:rFonts w:hint="eastAsia" w:ascii="宋体" w:hAnsi="宋体" w:cs="宋体"/>
                <w:color w:val="000000"/>
                <w:kern w:val="0"/>
                <w:sz w:val="20"/>
                <w:szCs w:val="20"/>
              </w:rPr>
              <w:t>的种子</w:t>
            </w:r>
            <w:r>
              <w:rPr>
                <w:rFonts w:ascii="宋体" w:hAnsi="宋体" w:cs="宋体"/>
                <w:color w:val="000000"/>
                <w:kern w:val="0"/>
                <w:sz w:val="20"/>
                <w:szCs w:val="20"/>
              </w:rPr>
              <w:t>，</w:t>
            </w:r>
            <w:r>
              <w:rPr>
                <w:rFonts w:hint="eastAsia" w:ascii="宋体" w:hAnsi="宋体" w:cs="宋体"/>
                <w:color w:val="000000"/>
                <w:kern w:val="0"/>
                <w:sz w:val="20"/>
                <w:szCs w:val="20"/>
              </w:rPr>
              <w:t>种子要求:经过精选、包装，纯度≧95.0%，水分≦13.0%，发芽率≧90.0%，净度≥98.0%，经过检疫。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公斤</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338"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决明子</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种子</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color w:val="000000"/>
                <w:kern w:val="0"/>
                <w:sz w:val="20"/>
                <w:szCs w:val="20"/>
              </w:rPr>
              <w:t>来源：豆科植物决明子的种子种子要求:经过精选、包装，纯度≧95.0%，水分≦13.0%，发芽率≧90.0%，净度≥98.0%，经过检疫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公斤</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266"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板蓝根</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种子</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来源：十字花科菘蓝(Isatis indigotica)二年生栽培品的种子。</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种子要求:经过精选、包装，纯度≧95.0%，水分≦13.0%，发芽率≧95.0%，净度≥99.0%，经过检疫。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斤</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1542" w:hRule="atLeast"/>
        </w:trPr>
        <w:tc>
          <w:tcPr>
            <w:tcW w:w="60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赤芍</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根</w:t>
            </w:r>
          </w:p>
        </w:tc>
        <w:tc>
          <w:tcPr>
            <w:tcW w:w="404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kern w:val="0"/>
                <w:sz w:val="20"/>
                <w:szCs w:val="20"/>
              </w:rPr>
            </w:pP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种苗采收和质量要求：用赤芍种子培育的苗，纯度≧98%,长度≧10cm，茎粗≧0.8cm，新鲜，一年生芍药（Paeonia lactiflora）栽培品的根，无病虫害。经过检疫。</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15000</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株</w:t>
            </w:r>
          </w:p>
        </w:tc>
        <w:tc>
          <w:tcPr>
            <w:tcW w:w="2262"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bl>
    <w:p/>
    <w:tbl>
      <w:tblPr>
        <w:tblStyle w:val="28"/>
        <w:tblW w:w="9849" w:type="dxa"/>
        <w:tblInd w:w="-217" w:type="dxa"/>
        <w:tblLayout w:type="fixed"/>
        <w:tblCellMar>
          <w:top w:w="0" w:type="dxa"/>
          <w:left w:w="108" w:type="dxa"/>
          <w:bottom w:w="0" w:type="dxa"/>
          <w:right w:w="108" w:type="dxa"/>
        </w:tblCellMar>
      </w:tblPr>
      <w:tblGrid>
        <w:gridCol w:w="630"/>
        <w:gridCol w:w="1488"/>
        <w:gridCol w:w="4004"/>
        <w:gridCol w:w="773"/>
        <w:gridCol w:w="681"/>
        <w:gridCol w:w="2273"/>
      </w:tblGrid>
      <w:tr>
        <w:tblPrEx>
          <w:tblCellMar>
            <w:top w:w="0" w:type="dxa"/>
            <w:left w:w="108" w:type="dxa"/>
            <w:bottom w:w="0" w:type="dxa"/>
            <w:right w:w="108" w:type="dxa"/>
          </w:tblCellMar>
        </w:tblPrEx>
        <w:trPr>
          <w:trHeight w:val="74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名称</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参数要求</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w:t>
            </w:r>
          </w:p>
        </w:tc>
        <w:tc>
          <w:tcPr>
            <w:tcW w:w="295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0" w:type="dxa"/>
            <w:left w:w="108" w:type="dxa"/>
            <w:bottom w:w="0" w:type="dxa"/>
            <w:right w:w="108" w:type="dxa"/>
          </w:tblCellMar>
        </w:tblPrEx>
        <w:trPr>
          <w:trHeight w:val="633"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二、</w:t>
            </w:r>
          </w:p>
        </w:tc>
        <w:tc>
          <w:tcPr>
            <w:tcW w:w="921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2595"/>
              </w:tabs>
              <w:jc w:val="left"/>
              <w:textAlignment w:val="center"/>
              <w:rPr>
                <w:rFonts w:hint="eastAsia" w:ascii="宋体" w:hAnsi="宋体" w:cs="宋体"/>
                <w:b/>
                <w:bCs/>
                <w:color w:val="000000"/>
                <w:sz w:val="22"/>
                <w:szCs w:val="22"/>
              </w:rPr>
            </w:pPr>
            <w:r>
              <w:rPr>
                <w:rFonts w:hint="eastAsia" w:ascii="宋体" w:hAnsi="宋体" w:cs="宋体"/>
                <w:b/>
                <w:bCs/>
                <w:color w:val="000000"/>
                <w:sz w:val="22"/>
                <w:szCs w:val="22"/>
              </w:rPr>
              <w:t>土地承包流转及机械使用</w:t>
            </w:r>
          </w:p>
        </w:tc>
      </w:tr>
      <w:tr>
        <w:tblPrEx>
          <w:tblCellMar>
            <w:top w:w="0" w:type="dxa"/>
            <w:left w:w="108" w:type="dxa"/>
            <w:bottom w:w="0" w:type="dxa"/>
            <w:right w:w="108" w:type="dxa"/>
          </w:tblCellMar>
        </w:tblPrEx>
        <w:trPr>
          <w:trHeight w:val="125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土地</w:t>
            </w:r>
            <w:r>
              <w:rPr>
                <w:rFonts w:hint="eastAsia" w:ascii="宋体" w:hAnsi="宋体" w:cs="宋体"/>
                <w:color w:val="000000"/>
                <w:kern w:val="0"/>
                <w:sz w:val="20"/>
                <w:szCs w:val="20"/>
                <w:lang w:val="en-US" w:eastAsia="zh-CN"/>
              </w:rPr>
              <w:t>使用</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73"/>
                <w:rFonts w:hint="default" w:eastAsia="宋体"/>
                <w:lang w:val="en-US" w:eastAsia="zh-CN"/>
              </w:rPr>
            </w:pPr>
            <w:r>
              <w:rPr>
                <w:rStyle w:val="73"/>
                <w:rFonts w:hint="eastAsia"/>
                <w:lang w:val="en-US" w:eastAsia="zh-CN"/>
              </w:rPr>
              <w:t>采用承包与流转等方式，确保可在种植地取得不少于400亩的土地种植面积</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400</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亩</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125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机械使用</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73"/>
                <w:rFonts w:hint="eastAsia" w:ascii="宋体" w:hAnsi="宋体" w:eastAsia="宋体" w:cs="宋体"/>
                <w:lang w:val="en-US" w:eastAsia="zh-CN"/>
              </w:rPr>
            </w:pPr>
            <w:r>
              <w:rPr>
                <w:rStyle w:val="73"/>
                <w:rFonts w:hint="eastAsia" w:ascii="宋体" w:hAnsi="宋体" w:eastAsia="宋体" w:cs="宋体"/>
                <w:lang w:val="en-US" w:eastAsia="zh-CN"/>
              </w:rPr>
              <w:t>采用租赁等形式，提供不少于覆盖400亩实施土地，累计重复使用至少不低于860亩的，各类用于种植实施的机械施工面积覆盖。</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860</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亩</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125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土地灌溉</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73"/>
                <w:rFonts w:hint="eastAsia" w:ascii="宋体" w:hAnsi="宋体" w:eastAsia="宋体" w:cs="宋体"/>
                <w:lang w:val="en-US" w:eastAsia="zh-CN"/>
              </w:rPr>
            </w:pPr>
            <w:r>
              <w:rPr>
                <w:rStyle w:val="73"/>
                <w:rFonts w:hint="eastAsia" w:ascii="宋体" w:hAnsi="宋体" w:eastAsia="宋体" w:cs="宋体"/>
                <w:lang w:val="en-US" w:eastAsia="zh-CN"/>
              </w:rPr>
              <w:t>实施计划中，提供不少于8次，覆盖全部实施土地的灌溉工作。</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次</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125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技术员及人工</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Style w:val="73"/>
                <w:rFonts w:hint="eastAsia" w:ascii="宋体" w:hAnsi="宋体" w:eastAsia="宋体" w:cs="宋体"/>
                <w:lang w:val="en-US" w:eastAsia="zh-CN"/>
              </w:rPr>
            </w:pPr>
            <w:r>
              <w:rPr>
                <w:rStyle w:val="73"/>
                <w:rFonts w:hint="eastAsia" w:ascii="宋体" w:hAnsi="宋体" w:eastAsia="宋体" w:cs="宋体"/>
                <w:lang w:val="en-US" w:eastAsia="zh-CN"/>
              </w:rPr>
              <w:t>提供覆盖全部实施计划中，现场参与种植的技术人员和实施人员的人工。</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项</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738"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三、</w:t>
            </w:r>
          </w:p>
        </w:tc>
        <w:tc>
          <w:tcPr>
            <w:tcW w:w="921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b/>
                <w:bCs/>
                <w:color w:val="000000"/>
                <w:sz w:val="22"/>
                <w:szCs w:val="22"/>
              </w:rPr>
            </w:pPr>
            <w:r>
              <w:rPr>
                <w:rFonts w:hint="eastAsia" w:ascii="宋体" w:hAnsi="宋体" w:cs="宋体"/>
                <w:b/>
                <w:bCs/>
                <w:color w:val="000000"/>
                <w:sz w:val="22"/>
                <w:szCs w:val="22"/>
              </w:rPr>
              <w:t>农资产品</w:t>
            </w:r>
          </w:p>
        </w:tc>
      </w:tr>
      <w:tr>
        <w:tblPrEx>
          <w:tblCellMar>
            <w:top w:w="0" w:type="dxa"/>
            <w:left w:w="108" w:type="dxa"/>
            <w:bottom w:w="0" w:type="dxa"/>
            <w:right w:w="108" w:type="dxa"/>
          </w:tblCellMar>
        </w:tblPrEx>
        <w:trPr>
          <w:trHeight w:val="1254"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肥料（有机肥）</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羊粪有机肥，执行标准NY525-2002，颗粒或粉剂，有机质含量≥24%，氮素含量标准在0.7%～0.8%，磷素含量标准在0.45%～0.6%，钾素含量标准在0.3%～0.6%，氮素含量在1.3%～1.4%，钾素标砖在2.1%～2.3%。</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1260</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立方米</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77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bCs/>
                <w:color w:val="000000"/>
                <w:kern w:val="0"/>
                <w:sz w:val="20"/>
                <w:szCs w:val="20"/>
              </w:rPr>
            </w:pPr>
            <w:r>
              <w:rPr>
                <w:rFonts w:hint="eastAsia" w:ascii="宋体" w:hAnsi="宋体" w:cs="宋体"/>
                <w:b/>
                <w:bCs/>
                <w:color w:val="000000"/>
                <w:kern w:val="0"/>
                <w:sz w:val="20"/>
                <w:szCs w:val="20"/>
              </w:rPr>
              <w:t>四、</w:t>
            </w:r>
          </w:p>
        </w:tc>
        <w:tc>
          <w:tcPr>
            <w:tcW w:w="9219"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b/>
                <w:bCs/>
                <w:color w:val="000000"/>
                <w:sz w:val="20"/>
                <w:szCs w:val="20"/>
              </w:rPr>
            </w:pPr>
            <w:r>
              <w:rPr>
                <w:rFonts w:hint="eastAsia" w:ascii="宋体" w:hAnsi="宋体" w:cs="宋体"/>
                <w:b/>
                <w:bCs/>
                <w:color w:val="000000"/>
                <w:sz w:val="20"/>
                <w:szCs w:val="20"/>
              </w:rPr>
              <w:t>技术体系支撑及相关设备</w:t>
            </w:r>
          </w:p>
        </w:tc>
      </w:tr>
      <w:tr>
        <w:tblPrEx>
          <w:tblCellMar>
            <w:top w:w="0" w:type="dxa"/>
            <w:left w:w="108" w:type="dxa"/>
            <w:bottom w:w="0" w:type="dxa"/>
            <w:right w:w="108" w:type="dxa"/>
          </w:tblCellMar>
        </w:tblPrEx>
        <w:trPr>
          <w:trHeight w:val="141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收割设备</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8"/>
              </w:numPr>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可起挖甘草苗，赤芍，丹参，等中药材，起挖深度不低于25公分，</w:t>
            </w:r>
          </w:p>
          <w:p>
            <w:pPr>
              <w:widowControl/>
              <w:numPr>
                <w:ilvl w:val="0"/>
                <w:numId w:val="8"/>
              </w:numPr>
              <w:jc w:val="left"/>
              <w:textAlignment w:val="center"/>
              <w:rPr>
                <w:rFonts w:cs="宋体"/>
                <w:color w:val="000000"/>
                <w:sz w:val="20"/>
                <w:szCs w:val="20"/>
                <w:lang w:val="en-US"/>
              </w:rPr>
            </w:pPr>
            <w:r>
              <w:rPr>
                <w:rFonts w:hint="eastAsia" w:cs="宋体"/>
                <w:color w:val="000000"/>
                <w:sz w:val="20"/>
                <w:szCs w:val="20"/>
                <w:lang w:val="en-US" w:eastAsia="zh-CN"/>
              </w:rPr>
              <w:t>可</w:t>
            </w:r>
            <w:r>
              <w:rPr>
                <w:rFonts w:hint="eastAsia" w:cs="宋体"/>
                <w:color w:val="000000"/>
                <w:sz w:val="20"/>
                <w:szCs w:val="20"/>
                <w:lang w:val="en-US"/>
              </w:rPr>
              <w:t>适用于4驱，不低于150马力</w:t>
            </w:r>
            <w:r>
              <w:rPr>
                <w:rFonts w:hint="eastAsia" w:cs="宋体"/>
                <w:color w:val="000000"/>
                <w:sz w:val="20"/>
                <w:szCs w:val="20"/>
                <w:lang w:val="en-US" w:eastAsia="zh-CN"/>
              </w:rPr>
              <w:t>的</w:t>
            </w:r>
            <w:r>
              <w:rPr>
                <w:rFonts w:hint="eastAsia" w:cs="宋体"/>
                <w:color w:val="000000"/>
                <w:sz w:val="20"/>
                <w:szCs w:val="20"/>
                <w:lang w:val="en-US"/>
              </w:rPr>
              <w:t>拖拉机</w:t>
            </w:r>
            <w:r>
              <w:rPr>
                <w:rFonts w:hint="eastAsia" w:cs="宋体"/>
                <w:color w:val="000000"/>
                <w:sz w:val="20"/>
                <w:szCs w:val="20"/>
                <w:lang w:val="en-US" w:eastAsia="zh-CN"/>
              </w:rPr>
              <w:t>等设备</w:t>
            </w:r>
            <w:bookmarkStart w:id="255" w:name="_GoBack"/>
            <w:bookmarkEnd w:id="255"/>
            <w:r>
              <w:rPr>
                <w:rFonts w:hint="eastAsia" w:cs="宋体"/>
                <w:color w:val="000000"/>
                <w:sz w:val="20"/>
                <w:szCs w:val="20"/>
                <w:lang w:val="en-US" w:eastAsia="zh-CN"/>
              </w:rPr>
              <w:t>进行牵引作业</w:t>
            </w:r>
            <w:r>
              <w:rPr>
                <w:rFonts w:hint="eastAsia" w:cs="宋体"/>
                <w:color w:val="000000"/>
                <w:sz w:val="20"/>
                <w:szCs w:val="20"/>
                <w:lang w:val="en-US"/>
              </w:rPr>
              <w:t>，</w:t>
            </w:r>
            <w:r>
              <w:rPr>
                <w:rFonts w:hint="eastAsia" w:cs="宋体"/>
                <w:color w:val="000000"/>
                <w:sz w:val="20"/>
                <w:szCs w:val="20"/>
                <w:lang w:val="en-US" w:eastAsia="zh-CN"/>
              </w:rPr>
              <w:t>作业中</w:t>
            </w:r>
            <w:r>
              <w:rPr>
                <w:rFonts w:hint="eastAsia" w:cs="宋体"/>
                <w:color w:val="000000"/>
                <w:sz w:val="20"/>
                <w:szCs w:val="20"/>
                <w:lang w:val="en-US"/>
              </w:rPr>
              <w:t>转速不低于700转。</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1377"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加工设备</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9"/>
              </w:numPr>
              <w:jc w:val="left"/>
              <w:textAlignment w:val="center"/>
              <w:rPr>
                <w:kern w:val="0"/>
              </w:rPr>
            </w:pPr>
            <w:r>
              <w:rPr>
                <w:kern w:val="0"/>
              </w:rPr>
              <w:t>满足于切制甘草，赤芍等往复式直接切机，</w:t>
            </w:r>
          </w:p>
          <w:p>
            <w:pPr>
              <w:widowControl/>
              <w:numPr>
                <w:ilvl w:val="0"/>
                <w:numId w:val="9"/>
              </w:numPr>
              <w:jc w:val="left"/>
              <w:textAlignment w:val="center"/>
              <w:rPr>
                <w:kern w:val="0"/>
              </w:rPr>
            </w:pPr>
            <w:r>
              <w:rPr>
                <w:kern w:val="0"/>
              </w:rPr>
              <w:t>2.电动功率</w:t>
            </w:r>
            <w:r>
              <w:rPr>
                <w:rFonts w:hint="eastAsia" w:ascii="宋体" w:hAnsi="宋体" w:cs="宋体"/>
                <w:color w:val="000000"/>
                <w:kern w:val="0"/>
                <w:sz w:val="20"/>
                <w:szCs w:val="20"/>
              </w:rPr>
              <w:t>≥3kw.产能80-150kg/h.</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szCs w:val="22"/>
              </w:rPr>
            </w:pPr>
          </w:p>
        </w:tc>
      </w:tr>
      <w:tr>
        <w:tblPrEx>
          <w:tblCellMar>
            <w:top w:w="0" w:type="dxa"/>
            <w:left w:w="108" w:type="dxa"/>
            <w:bottom w:w="0" w:type="dxa"/>
            <w:right w:w="108" w:type="dxa"/>
          </w:tblCellMar>
        </w:tblPrEx>
        <w:trPr>
          <w:trHeight w:val="28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val="en-US" w:eastAsia="zh-CN"/>
              </w:rPr>
              <w:t>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种植科研</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pPr>
            <w:r>
              <w:rPr>
                <w:rFonts w:hint="eastAsia"/>
                <w:lang w:val="en-US" w:eastAsia="zh-CN"/>
              </w:rPr>
              <w:t>1</w:t>
            </w:r>
            <w:r>
              <w:rPr>
                <w:rFonts w:hint="eastAsia"/>
              </w:rPr>
              <w:t>.基于项目需求，开展以下项目，要委托或合作，出具相关科研报告或</w:t>
            </w:r>
            <w:r>
              <w:rPr>
                <w:rFonts w:hint="eastAsia"/>
                <w:lang w:val="en-US" w:eastAsia="zh-CN"/>
              </w:rPr>
              <w:t>论文</w:t>
            </w:r>
            <w:r>
              <w:rPr>
                <w:rFonts w:hint="eastAsia"/>
              </w:rPr>
              <w:t>：</w:t>
            </w:r>
          </w:p>
          <w:p>
            <w:pPr>
              <w:widowControl/>
              <w:jc w:val="left"/>
              <w:textAlignment w:val="center"/>
              <w:rPr>
                <w:rFonts w:hint="default"/>
                <w:lang w:val="en-US" w:eastAsia="zh-CN"/>
              </w:rPr>
            </w:pPr>
            <w:r>
              <w:rPr>
                <w:rFonts w:hint="eastAsia"/>
              </w:rPr>
              <w:t>a)干旱区</w:t>
            </w:r>
            <w:r>
              <w:rPr>
                <w:rFonts w:hint="eastAsia"/>
                <w:lang w:val="en-US" w:eastAsia="zh-CN"/>
              </w:rPr>
              <w:t>甘草种植技术要求</w:t>
            </w:r>
          </w:p>
          <w:p>
            <w:pPr>
              <w:widowControl/>
              <w:jc w:val="left"/>
              <w:textAlignment w:val="center"/>
              <w:rPr>
                <w:rFonts w:hint="eastAsia"/>
                <w:lang w:val="en-US" w:eastAsia="zh-CN"/>
              </w:rPr>
            </w:pPr>
            <w:r>
              <w:rPr>
                <w:rFonts w:hint="eastAsia"/>
              </w:rPr>
              <w:t>b)干旱区</w:t>
            </w:r>
            <w:r>
              <w:rPr>
                <w:rFonts w:hint="eastAsia"/>
                <w:lang w:val="en-US" w:eastAsia="zh-CN"/>
              </w:rPr>
              <w:t>盐碱地的</w:t>
            </w:r>
            <w:r>
              <w:rPr>
                <w:rFonts w:hint="eastAsia"/>
              </w:rPr>
              <w:t>药用植物</w:t>
            </w:r>
            <w:r>
              <w:rPr>
                <w:rFonts w:hint="eastAsia"/>
                <w:lang w:val="en-US" w:eastAsia="zh-CN"/>
              </w:rPr>
              <w:t>种植研究</w:t>
            </w:r>
          </w:p>
          <w:p>
            <w:pPr>
              <w:pStyle w:val="41"/>
              <w:rPr>
                <w:rFonts w:hint="default" w:eastAsia="宋体"/>
                <w:lang w:val="en-US" w:eastAsia="zh-CN"/>
              </w:rPr>
            </w:pPr>
            <w:r>
              <w:rPr>
                <w:rFonts w:hint="eastAsia" w:ascii="Times New Roman" w:hAnsi="Times New Roman" w:eastAsia="宋体" w:cs="Times New Roman"/>
                <w:kern w:val="2"/>
                <w:sz w:val="21"/>
                <w:szCs w:val="24"/>
                <w:lang w:val="en-US" w:eastAsia="zh-CN" w:bidi="ar-SA"/>
              </w:rPr>
              <w:t>2.针对种植科研情况，向农业农村部或国家中医药管理局主管的国家一级行业学会的中药材有关专委会、分会</w:t>
            </w:r>
            <w:r>
              <w:rPr>
                <w:rFonts w:hint="eastAsia" w:ascii="Times New Roman" w:hAnsi="Times New Roman" w:cs="Times New Roman"/>
                <w:kern w:val="2"/>
                <w:sz w:val="21"/>
                <w:szCs w:val="24"/>
                <w:lang w:val="en-US" w:eastAsia="zh-CN" w:bidi="ar-SA"/>
              </w:rPr>
              <w:t>或国家部委、省级以上中医药相关的重点实验室</w:t>
            </w:r>
            <w:r>
              <w:rPr>
                <w:rFonts w:hint="eastAsia" w:ascii="Times New Roman" w:hAnsi="Times New Roman" w:eastAsia="宋体" w:cs="Times New Roman"/>
                <w:kern w:val="2"/>
                <w:sz w:val="21"/>
                <w:szCs w:val="24"/>
                <w:lang w:val="en-US" w:eastAsia="zh-CN" w:bidi="ar-SA"/>
              </w:rPr>
              <w:t>进行科研课题</w:t>
            </w:r>
            <w:r>
              <w:rPr>
                <w:rFonts w:hint="eastAsia" w:ascii="Times New Roman" w:hAnsi="Times New Roman" w:cs="Times New Roman"/>
                <w:kern w:val="2"/>
                <w:sz w:val="21"/>
                <w:szCs w:val="24"/>
                <w:lang w:val="en-US" w:eastAsia="zh-CN" w:bidi="ar-SA"/>
              </w:rPr>
              <w:t>申报并获立项</w:t>
            </w:r>
            <w:r>
              <w:rPr>
                <w:rFonts w:hint="eastAsia" w:ascii="Times New Roman" w:hAnsi="Times New Roman" w:eastAsia="宋体" w:cs="Times New Roman"/>
                <w:kern w:val="2"/>
                <w:sz w:val="21"/>
                <w:szCs w:val="24"/>
                <w:lang w:val="en-US" w:eastAsia="zh-CN" w:bidi="ar-SA"/>
              </w:rPr>
              <w:t>。</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r>
        <w:tblPrEx>
          <w:tblCellMar>
            <w:top w:w="0" w:type="dxa"/>
            <w:left w:w="108" w:type="dxa"/>
            <w:bottom w:w="0" w:type="dxa"/>
            <w:right w:w="108" w:type="dxa"/>
          </w:tblCellMar>
        </w:tblPrEx>
        <w:trPr>
          <w:trHeight w:val="2820"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其他农技支出</w:t>
            </w:r>
          </w:p>
        </w:tc>
        <w:tc>
          <w:tcPr>
            <w:tcW w:w="4004" w:type="dxa"/>
            <w:tcBorders>
              <w:top w:val="single" w:color="000000" w:sz="4" w:space="0"/>
              <w:left w:val="single" w:color="000000" w:sz="4" w:space="0"/>
              <w:bottom w:val="single" w:color="000000" w:sz="4" w:space="0"/>
              <w:right w:val="single" w:color="000000" w:sz="4" w:space="0"/>
            </w:tcBorders>
            <w:noWrap w:val="0"/>
            <w:vAlign w:val="center"/>
          </w:tcPr>
          <w:p>
            <w:pPr>
              <w:pStyle w:val="4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实施过程中所需要的其他农业技术支出，包括不限于以下技术支出：</w:t>
            </w:r>
          </w:p>
          <w:p>
            <w:pPr>
              <w:pStyle w:val="4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1.植物病虫害、动物疫病和其他有害生物防治</w:t>
            </w:r>
            <w:r>
              <w:rPr>
                <w:rFonts w:hint="eastAsia" w:ascii="Times New Roman" w:hAnsi="Times New Roman" w:cs="Times New Roman"/>
                <w:kern w:val="2"/>
                <w:sz w:val="21"/>
                <w:szCs w:val="24"/>
                <w:lang w:val="en-US" w:eastAsia="zh-CN" w:bidi="ar-SA"/>
              </w:rPr>
              <w:t>技术投入</w:t>
            </w:r>
            <w:r>
              <w:rPr>
                <w:rFonts w:hint="eastAsia" w:ascii="Times New Roman" w:hAnsi="Times New Roman" w:eastAsia="宋体" w:cs="Times New Roman"/>
                <w:kern w:val="2"/>
                <w:sz w:val="21"/>
                <w:szCs w:val="24"/>
                <w:lang w:val="en-US" w:eastAsia="zh-CN" w:bidi="ar-SA"/>
              </w:rPr>
              <w:t>;</w:t>
            </w:r>
          </w:p>
          <w:p>
            <w:pPr>
              <w:pStyle w:val="4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2.农产品收获、加工、包装、贮藏、运输</w:t>
            </w:r>
            <w:r>
              <w:rPr>
                <w:rFonts w:hint="eastAsia" w:ascii="Times New Roman" w:hAnsi="Times New Roman" w:cs="Times New Roman"/>
                <w:kern w:val="2"/>
                <w:sz w:val="21"/>
                <w:szCs w:val="24"/>
                <w:lang w:val="en-US" w:eastAsia="zh-CN" w:bidi="ar-SA"/>
              </w:rPr>
              <w:t>技术投入</w:t>
            </w:r>
            <w:r>
              <w:rPr>
                <w:rFonts w:hint="eastAsia" w:ascii="Times New Roman" w:hAnsi="Times New Roman" w:eastAsia="宋体" w:cs="Times New Roman"/>
                <w:kern w:val="2"/>
                <w:sz w:val="21"/>
                <w:szCs w:val="24"/>
                <w:lang w:val="en-US" w:eastAsia="zh-CN" w:bidi="ar-SA"/>
              </w:rPr>
              <w:t>;</w:t>
            </w:r>
          </w:p>
          <w:p>
            <w:pPr>
              <w:pStyle w:val="4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3.农业投入品安全使用、农产品质量安全</w:t>
            </w:r>
            <w:r>
              <w:rPr>
                <w:rFonts w:hint="eastAsia" w:ascii="Times New Roman" w:hAnsi="Times New Roman" w:cs="Times New Roman"/>
                <w:kern w:val="2"/>
                <w:sz w:val="21"/>
                <w:szCs w:val="24"/>
                <w:lang w:val="en-US" w:eastAsia="zh-CN" w:bidi="ar-SA"/>
              </w:rPr>
              <w:t>技术投入</w:t>
            </w:r>
            <w:r>
              <w:rPr>
                <w:rFonts w:hint="eastAsia" w:ascii="Times New Roman" w:hAnsi="Times New Roman" w:eastAsia="宋体" w:cs="Times New Roman"/>
                <w:kern w:val="2"/>
                <w:sz w:val="21"/>
                <w:szCs w:val="24"/>
                <w:lang w:val="en-US" w:eastAsia="zh-CN" w:bidi="ar-SA"/>
              </w:rPr>
              <w:t>;</w:t>
            </w:r>
          </w:p>
          <w:p>
            <w:pPr>
              <w:pStyle w:val="4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4.农田水利、供排水、土壤改良与水土保持</w:t>
            </w:r>
            <w:r>
              <w:rPr>
                <w:rFonts w:hint="eastAsia" w:ascii="Times New Roman" w:hAnsi="Times New Roman" w:cs="Times New Roman"/>
                <w:kern w:val="2"/>
                <w:sz w:val="21"/>
                <w:szCs w:val="24"/>
                <w:lang w:val="en-US" w:eastAsia="zh-CN" w:bidi="ar-SA"/>
              </w:rPr>
              <w:t>技术投入</w:t>
            </w:r>
            <w:r>
              <w:rPr>
                <w:rFonts w:hint="eastAsia" w:ascii="Times New Roman" w:hAnsi="Times New Roman" w:eastAsia="宋体" w:cs="Times New Roman"/>
                <w:kern w:val="2"/>
                <w:sz w:val="21"/>
                <w:szCs w:val="24"/>
                <w:lang w:val="en-US" w:eastAsia="zh-CN" w:bidi="ar-SA"/>
              </w:rPr>
              <w:t>;</w:t>
            </w:r>
          </w:p>
          <w:p>
            <w:pPr>
              <w:pStyle w:val="41"/>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5.其他</w:t>
            </w:r>
            <w:r>
              <w:rPr>
                <w:rFonts w:hint="eastAsia" w:ascii="Times New Roman" w:hAnsi="Times New Roman" w:cs="Times New Roman"/>
                <w:kern w:val="2"/>
                <w:sz w:val="21"/>
                <w:szCs w:val="24"/>
                <w:lang w:val="en-US" w:eastAsia="zh-CN" w:bidi="ar-SA"/>
              </w:rPr>
              <w:t>项目所需的</w:t>
            </w:r>
            <w:r>
              <w:rPr>
                <w:rFonts w:hint="eastAsia" w:ascii="Times New Roman" w:hAnsi="Times New Roman" w:eastAsia="宋体" w:cs="Times New Roman"/>
                <w:kern w:val="2"/>
                <w:sz w:val="21"/>
                <w:szCs w:val="24"/>
                <w:lang w:val="en-US" w:eastAsia="zh-CN" w:bidi="ar-SA"/>
              </w:rPr>
              <w:t>农业技术支出。</w:t>
            </w:r>
          </w:p>
        </w:tc>
        <w:tc>
          <w:tcPr>
            <w:tcW w:w="77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项</w:t>
            </w:r>
          </w:p>
        </w:tc>
        <w:tc>
          <w:tcPr>
            <w:tcW w:w="2273"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p>
        </w:tc>
      </w:tr>
    </w:tbl>
    <w:p/>
    <w:p>
      <w:pPr>
        <w:pStyle w:val="42"/>
        <w:rPr>
          <w:rFonts w:hint="eastAsia" w:eastAsia="宋体"/>
          <w:b/>
          <w:bCs/>
          <w:color w:val="auto"/>
          <w:sz w:val="32"/>
          <w:szCs w:val="32"/>
          <w:highlight w:val="none"/>
          <w:lang w:eastAsia="zh-CN"/>
        </w:rPr>
        <w:sectPr>
          <w:pgSz w:w="11905" w:h="16838"/>
          <w:pgMar w:top="1440" w:right="1417" w:bottom="1440" w:left="1417" w:header="850" w:footer="992" w:gutter="0"/>
          <w:pgNumType w:fmt="decimal"/>
          <w:cols w:space="720" w:num="1"/>
          <w:rtlGutter w:val="0"/>
          <w:docGrid w:type="linesAndChars" w:linePitch="335" w:charSpace="1057"/>
        </w:sectPr>
      </w:pPr>
      <w:r>
        <w:rPr>
          <w:rFonts w:hint="eastAsia"/>
          <w:b/>
          <w:bCs/>
          <w:color w:val="auto"/>
          <w:sz w:val="32"/>
          <w:szCs w:val="32"/>
          <w:highlight w:val="none"/>
        </w:rPr>
        <w:t>若发现供应商所供产品与所投产品参数不符的，将上报监管部门并列入政府采购严重违法失信行为记录名单</w:t>
      </w:r>
      <w:r>
        <w:rPr>
          <w:rFonts w:hint="eastAsia"/>
          <w:b/>
          <w:bCs/>
          <w:color w:val="auto"/>
          <w:sz w:val="32"/>
          <w:szCs w:val="32"/>
          <w:highlight w:val="none"/>
          <w:lang w:eastAsia="zh-CN"/>
        </w:rPr>
        <w:t>。</w:t>
      </w:r>
    </w:p>
    <w:bookmarkEnd w:id="102"/>
    <w:p>
      <w:pPr>
        <w:spacing w:line="440" w:lineRule="exact"/>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1.2包装要求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rPr>
      </w:pPr>
      <w:r>
        <w:rPr>
          <w:rFonts w:hint="eastAsia" w:ascii="Times New Roman" w:hAnsi="Times New Roman" w:eastAsia="仿宋" w:cs="Times New Roman"/>
          <w:bCs/>
          <w:color w:val="auto"/>
          <w:szCs w:val="21"/>
          <w:highlight w:val="none"/>
        </w:rPr>
        <w:t>供方应提供货物服务运至合同规定的最终目的地所需要的包装，以防止货物在转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损失的责任或费用。</w:t>
      </w:r>
    </w:p>
    <w:p>
      <w:pPr>
        <w:pStyle w:val="42"/>
        <w:rPr>
          <w:rFonts w:hint="eastAsia" w:ascii="仿宋" w:hAnsi="仿宋" w:eastAsia="仿宋" w:cs="仿宋"/>
          <w:b/>
          <w:bCs/>
          <w:color w:val="auto"/>
          <w:sz w:val="24"/>
          <w:szCs w:val="24"/>
        </w:rPr>
      </w:pPr>
      <w:r>
        <w:rPr>
          <w:rFonts w:hint="eastAsia" w:ascii="仿宋" w:hAnsi="仿宋" w:eastAsia="仿宋" w:cs="仿宋"/>
          <w:b/>
          <w:bCs/>
          <w:color w:val="auto"/>
          <w:sz w:val="24"/>
          <w:szCs w:val="24"/>
        </w:rPr>
        <w:t>1.3项目商务要求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
          <w:bCs w:val="0"/>
          <w:color w:val="auto"/>
          <w:szCs w:val="21"/>
          <w:highlight w:val="none"/>
          <w:lang w:eastAsia="zh-CN"/>
        </w:rPr>
        <w:t>（一）</w:t>
      </w:r>
      <w:r>
        <w:rPr>
          <w:rFonts w:hint="eastAsia" w:ascii="Times New Roman" w:hAnsi="Times New Roman" w:eastAsia="仿宋" w:cs="Times New Roman"/>
          <w:b/>
          <w:bCs w:val="0"/>
          <w:color w:val="auto"/>
          <w:szCs w:val="21"/>
          <w:highlight w:val="none"/>
        </w:rPr>
        <w:t>实施（交货）时间 ：</w:t>
      </w:r>
      <w:r>
        <w:rPr>
          <w:rFonts w:hint="eastAsia" w:ascii="仿宋" w:hAnsi="仿宋" w:eastAsia="仿宋" w:cs="仿宋"/>
          <w:color w:val="auto"/>
          <w:sz w:val="24"/>
          <w:szCs w:val="24"/>
          <w:highlight w:val="none"/>
          <w:lang w:val="en-US" w:eastAsia="zh-CN"/>
        </w:rPr>
        <w:t>自合同签订之日起60天内完成供货（具体以甲乙双方签订采购合同为准）</w:t>
      </w:r>
      <w:r>
        <w:rPr>
          <w:rFonts w:hint="eastAsia" w:ascii="Times New Roman" w:hAnsi="Times New Roman" w:eastAsia="仿宋" w:cs="Times New Roman"/>
          <w:bCs/>
          <w:color w:val="auto"/>
          <w:szCs w:val="21"/>
          <w:highlight w:val="none"/>
          <w:lang w:eastAsia="zh-CN"/>
        </w:rPr>
        <w:t>。</w:t>
      </w:r>
    </w:p>
    <w:p>
      <w:pPr>
        <w:shd w:val="clear" w:color="auto" w:fill="auto"/>
        <w:spacing w:line="264" w:lineRule="auto"/>
        <w:ind w:firstLine="430" w:firstLineChars="200"/>
        <w:outlineLvl w:val="9"/>
        <w:rPr>
          <w:rFonts w:hint="eastAsia" w:ascii="Times New Roman" w:hAnsi="Times New Roman" w:eastAsia="仿宋" w:cs="Times New Roman"/>
          <w:bCs/>
          <w:color w:val="FF0000"/>
          <w:szCs w:val="21"/>
          <w:highlight w:val="none"/>
          <w:lang w:eastAsia="zh-CN"/>
        </w:rPr>
      </w:pPr>
      <w:r>
        <w:rPr>
          <w:rFonts w:hint="eastAsia" w:ascii="Times New Roman" w:hAnsi="Times New Roman" w:eastAsia="仿宋" w:cs="Times New Roman"/>
          <w:b/>
          <w:bCs w:val="0"/>
          <w:color w:val="auto"/>
          <w:szCs w:val="21"/>
          <w:highlight w:val="none"/>
        </w:rPr>
        <w:t>（二）实施（交货）地点 ：</w:t>
      </w:r>
      <w:r>
        <w:rPr>
          <w:rFonts w:hint="eastAsia" w:ascii="Times New Roman" w:hAnsi="Times New Roman" w:eastAsia="仿宋" w:cs="Times New Roman"/>
          <w:b/>
          <w:bCs w:val="0"/>
          <w:color w:val="auto"/>
          <w:szCs w:val="21"/>
          <w:highlight w:val="none"/>
          <w:lang w:val="en-US" w:eastAsia="zh-CN"/>
        </w:rPr>
        <w:t>阿图什市哈拉峻乡</w:t>
      </w:r>
      <w:r>
        <w:rPr>
          <w:rFonts w:hint="eastAsia" w:ascii="Times New Roman" w:hAnsi="Times New Roman" w:eastAsia="仿宋" w:cs="Times New Roman"/>
          <w:b/>
          <w:bCs w:val="0"/>
          <w:color w:val="auto"/>
          <w:szCs w:val="21"/>
          <w:highlight w:val="none"/>
          <w:lang w:eastAsia="zh-CN"/>
        </w:rPr>
        <w:t>（甲方指定地点）</w:t>
      </w:r>
    </w:p>
    <w:p>
      <w:pPr>
        <w:shd w:val="clear" w:color="auto" w:fill="auto"/>
        <w:spacing w:line="264" w:lineRule="auto"/>
        <w:ind w:firstLine="430" w:firstLineChars="200"/>
        <w:outlineLvl w:val="9"/>
        <w:rPr>
          <w:rFonts w:hint="eastAsia" w:ascii="Times New Roman" w:hAnsi="Times New Roman" w:eastAsia="仿宋" w:cs="Times New Roman"/>
          <w:b/>
          <w:bCs w:val="0"/>
          <w:color w:val="auto"/>
          <w:szCs w:val="21"/>
          <w:highlight w:val="none"/>
        </w:rPr>
      </w:pPr>
      <w:r>
        <w:rPr>
          <w:rFonts w:hint="eastAsia" w:ascii="Times New Roman" w:hAnsi="Times New Roman" w:eastAsia="仿宋" w:cs="Times New Roman"/>
          <w:b/>
          <w:bCs w:val="0"/>
          <w:color w:val="auto"/>
          <w:szCs w:val="21"/>
          <w:highlight w:val="none"/>
        </w:rPr>
        <w:t>（三）报价要求</w:t>
      </w:r>
    </w:p>
    <w:p>
      <w:pPr>
        <w:shd w:val="clear" w:color="auto" w:fill="auto"/>
        <w:spacing w:line="264" w:lineRule="auto"/>
        <w:ind w:firstLine="430" w:firstLineChars="200"/>
        <w:outlineLvl w:val="9"/>
        <w:rPr>
          <w:rFonts w:hint="eastAsia" w:ascii="Times New Roman" w:hAnsi="Times New Roman" w:eastAsia="仿宋" w:cs="Times New Roman"/>
          <w:bCs/>
          <w:color w:val="auto"/>
          <w:szCs w:val="21"/>
          <w:highlight w:val="none"/>
          <w:lang w:eastAsia="zh-CN"/>
        </w:rPr>
      </w:pPr>
      <w:r>
        <w:rPr>
          <w:rFonts w:hint="eastAsia" w:ascii="Times New Roman" w:hAnsi="Times New Roman" w:eastAsia="仿宋" w:cs="Times New Roman"/>
          <w:bCs/>
          <w:color w:val="auto"/>
          <w:szCs w:val="21"/>
          <w:highlight w:val="none"/>
        </w:rPr>
        <w:t>投标人应按“采购内容及技术参数要求”所列货物进行综合单价报价，并最终按货物总量乘以货物综合单价报总价，不得采用总价下浮的方式进行报价。综合单价包括（包含但不限于）：货物本身价格、选购、保险费用、包装费、运输费用、二次搬运费、损耗、技术指导、税金费用、随产品备品备件费、专用工具费、随产品资料费、技术服务费、技术考察费、培训费、安装费、调试费、自检费及验收合格前和质保期内发生的一切费用、应当提供的伴随服务/售后服务费用及后期服务及国家对成交单位征收的各种税费等所有一切费用，综合单价今后将不作任何调整</w:t>
      </w:r>
      <w:r>
        <w:rPr>
          <w:rFonts w:hint="eastAsia" w:ascii="Times New Roman" w:hAnsi="Times New Roman" w:eastAsia="仿宋" w:cs="Times New Roman"/>
          <w:bCs/>
          <w:color w:val="auto"/>
          <w:szCs w:val="21"/>
          <w:highlight w:val="none"/>
          <w:lang w:eastAsia="zh-CN"/>
        </w:rPr>
        <w:t>。</w:t>
      </w:r>
    </w:p>
    <w:p>
      <w:pPr>
        <w:shd w:val="clear" w:color="auto" w:fill="auto"/>
        <w:spacing w:line="264" w:lineRule="auto"/>
        <w:ind w:firstLine="430" w:firstLineChars="200"/>
        <w:outlineLvl w:val="9"/>
        <w:rPr>
          <w:rFonts w:hint="eastAsia" w:ascii="Times New Roman" w:hAnsi="Times New Roman" w:eastAsia="仿宋" w:cs="Times New Roman"/>
          <w:b/>
          <w:bCs w:val="0"/>
          <w:color w:val="auto"/>
          <w:szCs w:val="21"/>
          <w:highlight w:val="none"/>
        </w:rPr>
      </w:pPr>
      <w:r>
        <w:rPr>
          <w:rFonts w:hint="eastAsia" w:ascii="Times New Roman" w:hAnsi="Times New Roman" w:eastAsia="仿宋" w:cs="Times New Roman"/>
          <w:b/>
          <w:bCs w:val="0"/>
          <w:color w:val="auto"/>
          <w:szCs w:val="21"/>
          <w:highlight w:val="none"/>
        </w:rPr>
        <w:t>（四）质保要求</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rPr>
        <w:t>1、本项目</w:t>
      </w:r>
      <w:r>
        <w:rPr>
          <w:rFonts w:hint="eastAsia" w:ascii="仿宋" w:hAnsi="仿宋" w:eastAsia="仿宋" w:cs="仿宋"/>
          <w:color w:val="auto"/>
          <w:kern w:val="0"/>
          <w:sz w:val="24"/>
          <w:szCs w:val="24"/>
          <w:lang w:val="en-US" w:eastAsia="zh-CN"/>
        </w:rPr>
        <w:t>采购的</w:t>
      </w:r>
      <w:r>
        <w:rPr>
          <w:rFonts w:hint="eastAsia" w:ascii="仿宋" w:hAnsi="仿宋" w:eastAsia="仿宋" w:cs="仿宋"/>
          <w:color w:val="auto"/>
          <w:kern w:val="0"/>
          <w:sz w:val="24"/>
          <w:szCs w:val="24"/>
          <w:highlight w:val="none"/>
          <w:lang w:val="en-US" w:eastAsia="zh-CN"/>
        </w:rPr>
        <w:t>货物</w:t>
      </w:r>
      <w:r>
        <w:rPr>
          <w:rFonts w:hint="eastAsia" w:ascii="仿宋" w:hAnsi="仿宋" w:eastAsia="仿宋" w:cs="仿宋"/>
          <w:color w:val="auto"/>
          <w:kern w:val="0"/>
          <w:sz w:val="24"/>
          <w:szCs w:val="24"/>
          <w:highlight w:val="none"/>
          <w:lang w:eastAsia="zh-CN"/>
        </w:rPr>
        <w:t>质保期</w:t>
      </w:r>
      <w:r>
        <w:rPr>
          <w:rFonts w:hint="eastAsia" w:ascii="仿宋" w:hAnsi="仿宋" w:eastAsia="仿宋" w:cs="仿宋"/>
          <w:color w:val="auto"/>
          <w:kern w:val="0"/>
          <w:sz w:val="24"/>
          <w:szCs w:val="24"/>
          <w:highlight w:val="none"/>
          <w:lang w:val="en-US" w:eastAsia="zh-CN"/>
        </w:rPr>
        <w:t>1年</w:t>
      </w:r>
      <w:r>
        <w:rPr>
          <w:rFonts w:hint="eastAsia" w:ascii="仿宋" w:hAnsi="仿宋" w:eastAsia="仿宋" w:cs="仿宋"/>
          <w:color w:val="auto"/>
          <w:kern w:val="0"/>
          <w:sz w:val="24"/>
          <w:szCs w:val="24"/>
          <w:highlight w:val="none"/>
        </w:rPr>
        <w:t xml:space="preserve">。 </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2、供应方交付的货物的技术标准不低于国家标准。</w:t>
      </w:r>
    </w:p>
    <w:p>
      <w:pPr>
        <w:widowControl/>
        <w:spacing w:line="440" w:lineRule="exact"/>
        <w:ind w:firstLine="49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3、供应方在交付货物的同时应提供国家规定的检验合格证明等文件。</w:t>
      </w:r>
    </w:p>
    <w:p>
      <w:pPr>
        <w:spacing w:line="4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（五）验收保证的承诺</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 xml:space="preserve"> 1、此次招标内容严格按照成交供应商的投标文件中的技术规格、数量及质量要求进行验收；      </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2、货物到达现场后，供应商应在使用单位人员在场情况下当面共同清点、检查，做出质量技术要求检查记录，双方签字确认；</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3、供应商提供的货物未达到竞争性磋商文件规定要求，且对采购人造成损失的，由供应商承担一切责任，并赔偿所造成的损失；</w:t>
      </w:r>
    </w:p>
    <w:p>
      <w:p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4、免费质保期内自货物安装验收合格之日起，质保期限为1年，1年内如有质量问题免费更换。免费范围包括产品本身价格、交通费、人员劳务费等所有产生的费用；</w:t>
      </w:r>
    </w:p>
    <w:p>
      <w:pPr>
        <w:spacing w:line="520" w:lineRule="exact"/>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5、如</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发生</w:t>
      </w:r>
      <w:r>
        <w:rPr>
          <w:rFonts w:hint="eastAsia" w:ascii="仿宋" w:hAnsi="仿宋" w:eastAsia="仿宋" w:cs="仿宋"/>
          <w:color w:val="auto"/>
          <w:sz w:val="24"/>
          <w:szCs w:val="24"/>
          <w:lang w:eastAsia="zh-CN"/>
        </w:rPr>
        <w:t>质量问题后</w:t>
      </w:r>
      <w:r>
        <w:rPr>
          <w:rFonts w:hint="eastAsia" w:ascii="仿宋" w:hAnsi="仿宋" w:eastAsia="仿宋" w:cs="仿宋"/>
          <w:color w:val="auto"/>
          <w:sz w:val="24"/>
          <w:szCs w:val="24"/>
        </w:rPr>
        <w:t>，须在1小时内电话响应，</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小时内到达现场进行处理，8小时内解决问题。在规定时间内不能解决问题的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，乙方提供相同的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给甲方</w:t>
      </w:r>
      <w:r>
        <w:rPr>
          <w:rFonts w:hint="eastAsia" w:ascii="仿宋" w:hAnsi="仿宋" w:eastAsia="仿宋" w:cs="仿宋"/>
          <w:color w:val="auto"/>
          <w:sz w:val="24"/>
          <w:szCs w:val="24"/>
          <w:lang w:eastAsia="zh-CN"/>
        </w:rPr>
        <w:t>使用</w:t>
      </w:r>
      <w:r>
        <w:rPr>
          <w:rFonts w:hint="eastAsia" w:ascii="仿宋" w:hAnsi="仿宋" w:eastAsia="仿宋" w:cs="仿宋"/>
          <w:color w:val="auto"/>
          <w:sz w:val="24"/>
          <w:szCs w:val="24"/>
        </w:rPr>
        <w:t>，由此产生的费用均由乙方承担。如果需要更换</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的，要求更换的</w:t>
      </w:r>
      <w:r>
        <w:rPr>
          <w:rFonts w:hint="eastAsia" w:ascii="仿宋" w:hAnsi="仿宋" w:eastAsia="仿宋" w:cs="仿宋"/>
          <w:color w:val="auto"/>
          <w:sz w:val="24"/>
          <w:szCs w:val="24"/>
          <w:lang w:eastAsia="zh-CN"/>
        </w:rPr>
        <w:t>产品</w:t>
      </w:r>
      <w:r>
        <w:rPr>
          <w:rFonts w:hint="eastAsia" w:ascii="仿宋" w:hAnsi="仿宋" w:eastAsia="仿宋" w:cs="仿宋"/>
          <w:color w:val="auto"/>
          <w:sz w:val="24"/>
          <w:szCs w:val="24"/>
        </w:rPr>
        <w:t>跟被更换的</w:t>
      </w:r>
      <w:r>
        <w:rPr>
          <w:rFonts w:hint="eastAsia" w:ascii="仿宋" w:hAnsi="仿宋" w:eastAsia="仿宋" w:cs="仿宋"/>
          <w:color w:val="auto"/>
          <w:sz w:val="24"/>
          <w:szCs w:val="24"/>
          <w:lang w:eastAsia="zh-CN"/>
        </w:rPr>
        <w:t>产品一致；</w:t>
      </w:r>
    </w:p>
    <w:p>
      <w:pPr>
        <w:spacing w:line="520" w:lineRule="exact"/>
        <w:ind w:firstLine="49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、产品质量：在合同期内，甲方正常使用乙方所供产品而出现质量问题时，乙方负责。产品使用：甲方在使用乙方所供产品中出现问题需乙方解决时，乙方应无偿解决（退换货）；</w:t>
      </w:r>
    </w:p>
    <w:p>
      <w:pPr>
        <w:numPr>
          <w:ilvl w:val="0"/>
          <w:numId w:val="0"/>
        </w:numPr>
        <w:shd w:val="clear" w:color="auto" w:fill="auto"/>
        <w:spacing w:line="360" w:lineRule="auto"/>
        <w:ind w:firstLine="49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、货物验收时，供应商向采购人提供生产厂家出具的验收报告、合格证、厂家资格证件等相关文件。</w:t>
      </w:r>
      <w:r>
        <w:rPr>
          <w:rFonts w:hint="eastAsia" w:ascii="仿宋" w:hAnsi="仿宋" w:eastAsia="仿宋" w:cs="仿宋"/>
          <w:b w:val="0"/>
          <w:bCs/>
          <w:color w:val="auto"/>
          <w:sz w:val="24"/>
          <w:szCs w:val="24"/>
          <w:highlight w:val="none"/>
          <w:lang w:val="en-US" w:eastAsia="zh-CN"/>
        </w:rPr>
        <w:t>验收中发现货物达不到质量标准或合同的规定，供货商必须及时免费更换全新合格的货物，并且承担由此给采购人造成的损失。</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（六）付款方式</w:t>
      </w:r>
    </w:p>
    <w:p>
      <w:pPr>
        <w:spacing w:line="440" w:lineRule="exact"/>
        <w:ind w:firstLine="420" w:firstLineChars="0"/>
        <w:jc w:val="left"/>
        <w:rPr>
          <w:rFonts w:hint="eastAsia" w:ascii="仿宋" w:hAnsi="仿宋" w:eastAsia="仿宋" w:cs="仿宋"/>
          <w:b/>
          <w:color w:val="auto"/>
          <w:sz w:val="24"/>
          <w:szCs w:val="24"/>
        </w:rPr>
      </w:pPr>
      <w:r>
        <w:rPr>
          <w:rFonts w:hint="eastAsia" w:ascii="仿宋" w:hAnsi="仿宋" w:eastAsia="仿宋" w:cs="仿宋"/>
          <w:b/>
          <w:color w:val="auto"/>
          <w:sz w:val="24"/>
          <w:szCs w:val="24"/>
        </w:rPr>
        <w:t>甲乙双方签订合同后付合同总价的50%，供货完成验收合格后付剩余50%。（具体以甲乙双方签订合同为准）。</w:t>
      </w:r>
    </w:p>
    <w:p>
      <w:pPr>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（七）知识产权</w:t>
      </w:r>
    </w:p>
    <w:p>
      <w:pPr>
        <w:spacing w:line="440" w:lineRule="exact"/>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采购人在中华人民共和国境内使用投标人提供的货物及服务时免受第三方提出的侵犯其专利权或其它知识产权的起诉。如果第三方提出侵权指控，成交人应承担由此而引起的一切法律责任和费用。</w:t>
      </w:r>
    </w:p>
    <w:p>
      <w:pPr>
        <w:spacing w:line="44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（八）其他</w:t>
      </w:r>
    </w:p>
    <w:p>
      <w:pPr>
        <w:spacing w:line="440" w:lineRule="exact"/>
        <w:ind w:firstLine="53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1、投标人必须在投标文件中对以上条款和服务承诺明确列出，承诺内容必须达到本篇及招标文件其他条款的要求。</w:t>
      </w:r>
    </w:p>
    <w:p>
      <w:pPr>
        <w:spacing w:line="440" w:lineRule="exact"/>
        <w:ind w:firstLine="533" w:firstLineChars="218"/>
        <w:rPr>
          <w:rFonts w:hint="eastAsia" w:ascii="仿宋" w:hAnsi="仿宋" w:eastAsia="仿宋" w:cs="仿宋"/>
          <w:bCs/>
          <w:color w:val="auto"/>
          <w:sz w:val="24"/>
          <w:szCs w:val="24"/>
        </w:rPr>
      </w:pPr>
      <w:r>
        <w:rPr>
          <w:rFonts w:hint="eastAsia" w:ascii="仿宋" w:hAnsi="仿宋" w:eastAsia="仿宋" w:cs="仿宋"/>
          <w:bCs/>
          <w:color w:val="auto"/>
          <w:sz w:val="24"/>
          <w:szCs w:val="24"/>
        </w:rPr>
        <w:t>2、其他未尽事宜由供需双方在采购合同中详细约定。</w:t>
      </w:r>
    </w:p>
    <w:p>
      <w:pPr>
        <w:pStyle w:val="42"/>
        <w:rPr>
          <w:rFonts w:hint="eastAsia"/>
          <w:color w:val="auto"/>
          <w:lang w:val="en-US" w:eastAsia="zh-CN"/>
        </w:rPr>
      </w:pPr>
    </w:p>
    <w:p>
      <w:pPr>
        <w:pStyle w:val="42"/>
        <w:numPr>
          <w:ilvl w:val="0"/>
          <w:numId w:val="0"/>
        </w:numPr>
        <w:ind w:leftChars="-1296"/>
        <w:rPr>
          <w:rFonts w:hint="eastAsia"/>
          <w:color w:val="auto"/>
        </w:rPr>
      </w:pPr>
    </w:p>
    <w:bookmarkEnd w:id="99"/>
    <w:p>
      <w:pPr>
        <w:keepNext w:val="0"/>
        <w:keepLines w:val="0"/>
        <w:pageBreakBefore w:val="0"/>
        <w:numPr>
          <w:ilvl w:val="0"/>
          <w:numId w:val="0"/>
        </w:numPr>
        <w:kinsoku/>
        <w:wordWrap/>
        <w:overflowPunct/>
        <w:topLinePunct w:val="0"/>
        <w:autoSpaceDE/>
        <w:autoSpaceDN/>
        <w:bidi w:val="0"/>
        <w:adjustRightInd/>
        <w:spacing w:line="400" w:lineRule="exact"/>
        <w:ind w:leftChars="0" w:right="0" w:rightChars="0"/>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03" w:name="_Toc31444"/>
      <w:bookmarkStart w:id="104" w:name="_Toc32037"/>
      <w:r>
        <w:rPr>
          <w:rFonts w:hint="eastAsia" w:ascii="宋体"/>
          <w:b/>
          <w:color w:val="auto"/>
          <w:sz w:val="30"/>
          <w:szCs w:val="30"/>
          <w:highlight w:val="none"/>
          <w:lang w:eastAsia="zh-CN"/>
        </w:rPr>
        <w:br w:type="page"/>
      </w:r>
      <w:bookmarkStart w:id="105" w:name="_Toc16574"/>
      <w:bookmarkStart w:id="106" w:name="_Toc27593"/>
      <w:bookmarkStart w:id="107" w:name="_Toc7103"/>
      <w:bookmarkStart w:id="108" w:name="_Toc30467"/>
      <w:r>
        <w:rPr>
          <w:rFonts w:hint="eastAsia" w:ascii="仿宋" w:hAnsi="仿宋" w:eastAsia="仿宋" w:cs="仿宋"/>
          <w:b/>
          <w:bCs/>
          <w:color w:val="auto"/>
          <w:kern w:val="2"/>
          <w:sz w:val="40"/>
          <w:szCs w:val="40"/>
          <w:highlight w:val="none"/>
          <w:u w:val="none"/>
          <w:shd w:val="clear" w:color="auto" w:fill="auto"/>
          <w:lang w:val="en-US" w:eastAsia="zh-CN" w:bidi="ar-SA"/>
        </w:rPr>
        <w:t>第五章 合同条款及格式</w:t>
      </w:r>
      <w:bookmarkEnd w:id="105"/>
      <w:bookmarkEnd w:id="106"/>
      <w:bookmarkEnd w:id="107"/>
      <w:bookmarkEnd w:id="108"/>
    </w:p>
    <w:p>
      <w:pPr>
        <w:keepNext w:val="0"/>
        <w:keepLines w:val="0"/>
        <w:pageBreakBefore w:val="0"/>
        <w:kinsoku/>
        <w:wordWrap/>
        <w:overflowPunct/>
        <w:topLinePunct w:val="0"/>
        <w:autoSpaceDE/>
        <w:autoSpaceDN/>
        <w:bidi w:val="0"/>
        <w:adjustRightInd/>
        <w:spacing w:line="400" w:lineRule="exact"/>
        <w:jc w:val="center"/>
        <w:outlineLvl w:val="9"/>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（本合同为合同样稿，最终稿由供需双方协商后确定</w:t>
      </w:r>
      <w:r>
        <w:rPr>
          <w:rFonts w:hint="eastAsia" w:ascii="仿宋" w:hAnsi="仿宋" w:eastAsia="仿宋" w:cs="仿宋"/>
          <w:b/>
          <w:bCs/>
          <w:color w:val="auto"/>
          <w:sz w:val="24"/>
          <w:szCs w:val="24"/>
          <w:highlight w:val="none"/>
          <w:lang w:eastAsia="zh-CN"/>
        </w:rPr>
        <w:t>）</w:t>
      </w:r>
    </w:p>
    <w:p>
      <w:pPr>
        <w:pStyle w:val="21"/>
        <w:keepNext w:val="0"/>
        <w:keepLines w:val="0"/>
        <w:pageBreakBefore w:val="0"/>
        <w:kinsoku/>
        <w:wordWrap/>
        <w:overflowPunct/>
        <w:topLinePunct w:val="0"/>
        <w:autoSpaceDE/>
        <w:autoSpaceDN/>
        <w:bidi w:val="0"/>
        <w:adjustRightInd/>
        <w:spacing w:line="400" w:lineRule="exact"/>
        <w:outlineLvl w:val="9"/>
        <w:rPr>
          <w:rFonts w:hint="eastAsia"/>
          <w:color w:val="auto"/>
          <w:highlight w:val="none"/>
        </w:rPr>
      </w:pPr>
    </w:p>
    <w:p>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00" w:lineRule="exact"/>
        <w:ind w:leftChars="0" w:right="0" w:rightChars="0"/>
        <w:jc w:val="center"/>
        <w:textAlignment w:val="baseline"/>
        <w:outlineLvl w:val="9"/>
        <w:rPr>
          <w:rFonts w:hint="eastAsia" w:ascii="黑体" w:hAnsi="黑体" w:eastAsia="黑体" w:cs="黑体"/>
          <w:b/>
          <w:color w:val="auto"/>
          <w:sz w:val="28"/>
          <w:szCs w:val="28"/>
          <w:highlight w:val="none"/>
        </w:rPr>
      </w:pPr>
      <w:bookmarkStart w:id="109" w:name="_Toc469495741"/>
      <w:r>
        <w:rPr>
          <w:rFonts w:hint="eastAsia" w:ascii="黑体" w:hAnsi="黑体" w:eastAsia="黑体" w:cs="黑体"/>
          <w:b/>
          <w:color w:val="auto"/>
          <w:sz w:val="28"/>
          <w:szCs w:val="28"/>
          <w:highlight w:val="none"/>
        </w:rPr>
        <w:t>合同协议书</w:t>
      </w:r>
      <w:bookmarkEnd w:id="109"/>
    </w:p>
    <w:p>
      <w:pPr>
        <w:keepNext w:val="0"/>
        <w:keepLines w:val="0"/>
        <w:pageBreakBefore w:val="0"/>
        <w:shd w:val="clear" w:color="auto" w:fill="auto"/>
        <w:kinsoku/>
        <w:wordWrap/>
        <w:overflowPunct/>
        <w:topLinePunct w:val="0"/>
        <w:autoSpaceDE/>
        <w:bidi w:val="0"/>
        <w:adjustRightInd/>
        <w:snapToGrid/>
        <w:spacing w:line="400" w:lineRule="exact"/>
        <w:ind w:firstLine="2069" w:firstLineChars="845"/>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合同名称   </w:t>
      </w:r>
      <w:r>
        <w:rPr>
          <w:rFonts w:hint="eastAsia" w:ascii="仿宋" w:hAnsi="仿宋" w:eastAsia="仿宋" w:cs="仿宋"/>
          <w:color w:val="auto"/>
          <w:sz w:val="24"/>
          <w:szCs w:val="24"/>
          <w:highlight w:val="none"/>
        </w:rPr>
        <w:t xml:space="preserve">          编号</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bookmarkStart w:id="110" w:name="_Toc469495742"/>
      <w:r>
        <w:rPr>
          <w:rFonts w:hint="eastAsia" w:ascii="仿宋" w:hAnsi="仿宋" w:eastAsia="仿宋" w:cs="仿宋"/>
          <w:color w:val="auto"/>
          <w:sz w:val="24"/>
          <w:szCs w:val="24"/>
          <w:highlight w:val="none"/>
        </w:rPr>
        <w:t>买    方：                                   卖    方：</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住    所：                                   住    所：                       </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（买方）</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中所需</w:t>
      </w:r>
      <w:r>
        <w:rPr>
          <w:rFonts w:hint="eastAsia" w:ascii="仿宋" w:hAnsi="仿宋" w:eastAsia="仿宋" w:cs="仿宋"/>
          <w:color w:val="auto"/>
          <w:sz w:val="24"/>
          <w:szCs w:val="24"/>
          <w:highlight w:val="none"/>
          <w:u w:val="single"/>
        </w:rPr>
        <w:t>（产品名称）</w:t>
      </w:r>
      <w:r>
        <w:rPr>
          <w:rFonts w:hint="eastAsia" w:ascii="仿宋" w:hAnsi="仿宋" w:eastAsia="仿宋" w:cs="仿宋"/>
          <w:color w:val="auto"/>
          <w:sz w:val="24"/>
          <w:szCs w:val="24"/>
          <w:highlight w:val="none"/>
        </w:rPr>
        <w:t xml:space="preserve"> 经公开招标，确定</w:t>
      </w:r>
      <w:r>
        <w:rPr>
          <w:rFonts w:hint="eastAsia" w:ascii="仿宋" w:hAnsi="仿宋" w:eastAsia="仿宋" w:cs="仿宋"/>
          <w:color w:val="auto"/>
          <w:sz w:val="24"/>
          <w:szCs w:val="24"/>
          <w:highlight w:val="none"/>
          <w:u w:val="single"/>
        </w:rPr>
        <w:t>（卖方）</w:t>
      </w:r>
      <w:r>
        <w:rPr>
          <w:rFonts w:hint="eastAsia" w:ascii="仿宋" w:hAnsi="仿宋" w:eastAsia="仿宋" w:cs="仿宋"/>
          <w:color w:val="auto"/>
          <w:sz w:val="24"/>
          <w:szCs w:val="24"/>
          <w:highlight w:val="none"/>
        </w:rPr>
        <w:t>为中标人。按照中华人民共和国合同法的规定，买卖双方同意按照下述的条款和条件，签署本合同。</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1、本合同文件</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下列每一文件均应作为合同的组成部分进行阅读和解释：</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（2）投标文件（3）中标通知书</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（4）经双方确认进入合同的其它文件、补充条款或说明</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2、采购标的、数量、质量要求</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3、合同总价</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合同总价为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pPr>
        <w:keepNext w:val="0"/>
        <w:keepLines w:val="0"/>
        <w:pageBreakBefore w:val="0"/>
        <w:shd w:val="clear" w:color="auto" w:fill="auto"/>
        <w:kinsoku/>
        <w:wordWrap/>
        <w:overflowPunct/>
        <w:topLinePunct w:val="0"/>
        <w:autoSpaceDE/>
        <w:autoSpaceDN w:val="0"/>
        <w:bidi w:val="0"/>
        <w:adjustRightInd/>
        <w:snapToGrid/>
        <w:spacing w:line="400" w:lineRule="exact"/>
        <w:ind w:firstLine="490" w:firstLineChars="200"/>
        <w:outlineLvl w:val="9"/>
        <w:rPr>
          <w:rFonts w:hint="eastAsia" w:ascii="仿宋" w:hAnsi="仿宋" w:eastAsia="仿宋" w:cs="仿宋"/>
          <w:b/>
          <w:color w:val="auto"/>
          <w:kern w:val="0"/>
          <w:sz w:val="24"/>
          <w:szCs w:val="24"/>
          <w:highlight w:val="none"/>
        </w:rPr>
      </w:pPr>
      <w:r>
        <w:rPr>
          <w:rFonts w:hint="eastAsia" w:ascii="仿宋" w:hAnsi="仿宋" w:eastAsia="仿宋" w:cs="仿宋"/>
          <w:color w:val="auto"/>
          <w:sz w:val="24"/>
          <w:szCs w:val="24"/>
          <w:highlight w:val="none"/>
        </w:rPr>
        <w:t>4、付款方式</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u w:val="single"/>
        </w:rPr>
        <w:t xml:space="preserve">                                         。</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5、合同供货（服务）期限及地点和方式</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6、验收要求及违约责任</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7、违约责任及解决争议方法</w:t>
      </w:r>
    </w:p>
    <w:p>
      <w:pPr>
        <w:keepNext w:val="0"/>
        <w:keepLines w:val="0"/>
        <w:pageBreakBefore w:val="0"/>
        <w:shd w:val="clear" w:color="auto" w:fill="auto"/>
        <w:kinsoku/>
        <w:wordWrap/>
        <w:overflowPunct/>
        <w:topLinePunct w:val="0"/>
        <w:autoSpaceDE/>
        <w:bidi w:val="0"/>
        <w:adjustRightInd/>
        <w:snapToGrid/>
        <w:spacing w:line="400" w:lineRule="exac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8、合同的生效</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合同经双方授权代表签署，买卖双方加盖印章之后生效。</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本合同一式     份，双方各执     份。</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买  方：                          卖  方：</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名  称：（盖章）                   名  称：（盖章）</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法定代表人（或委托代理人）：       法定代表人（或委托代理人）：</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（签字）                        （签字）</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地    址：                        地    址：</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邮政编码：                        邮政编码：</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电    话：                        电    话：</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开户银行：                        开户银行：</w:t>
      </w:r>
    </w:p>
    <w:p>
      <w:pPr>
        <w:pStyle w:val="11"/>
        <w:keepNext w:val="0"/>
        <w:keepLines w:val="0"/>
        <w:pageBreakBefore w:val="0"/>
        <w:shd w:val="clear" w:color="auto" w:fill="auto"/>
        <w:kinsoku/>
        <w:wordWrap/>
        <w:overflowPunct/>
        <w:topLinePunct w:val="0"/>
        <w:autoSpaceDE/>
        <w:bidi w:val="0"/>
        <w:adjustRightInd/>
        <w:snapToGrid/>
        <w:spacing w:after="0" w:line="400" w:lineRule="exact"/>
        <w:ind w:left="0" w:leftChars="0" w:firstLine="490" w:firstLineChars="200"/>
        <w:outlineLvl w:val="9"/>
        <w:rPr>
          <w:rFonts w:hint="eastAsia" w:ascii="仿宋" w:hAnsi="仿宋" w:eastAsia="仿宋" w:cs="仿宋"/>
          <w:color w:val="auto"/>
          <w:kern w:val="0"/>
          <w:sz w:val="24"/>
          <w:szCs w:val="24"/>
          <w:highlight w:val="none"/>
          <w:u w:val="none" w:color="000000"/>
        </w:rPr>
      </w:pPr>
      <w:r>
        <w:rPr>
          <w:rFonts w:hint="eastAsia" w:ascii="仿宋" w:hAnsi="仿宋" w:eastAsia="仿宋" w:cs="仿宋"/>
          <w:color w:val="auto"/>
          <w:kern w:val="0"/>
          <w:sz w:val="24"/>
          <w:szCs w:val="24"/>
          <w:highlight w:val="none"/>
          <w:u w:val="none" w:color="000000"/>
        </w:rPr>
        <w:t>帐    号：                        帐    号：</w:t>
      </w:r>
    </w:p>
    <w:p>
      <w:pPr>
        <w:shd w:val="clear" w:color="auto" w:fill="auto"/>
        <w:spacing w:line="600" w:lineRule="exact"/>
        <w:jc w:val="center"/>
        <w:outlineLvl w:val="9"/>
        <w:rPr>
          <w:rFonts w:hint="eastAsia" w:ascii="黑体" w:eastAsia="黑体"/>
          <w:b/>
          <w:color w:val="auto"/>
          <w:sz w:val="32"/>
          <w:szCs w:val="32"/>
          <w:highlight w:val="none"/>
        </w:rPr>
      </w:pPr>
      <w:r>
        <w:rPr>
          <w:rFonts w:hint="eastAsia" w:ascii="黑体" w:eastAsia="黑体"/>
          <w:b/>
          <w:color w:val="auto"/>
          <w:sz w:val="32"/>
          <w:szCs w:val="32"/>
          <w:highlight w:val="none"/>
        </w:rPr>
        <w:br w:type="page"/>
      </w:r>
      <w:r>
        <w:rPr>
          <w:rFonts w:hint="eastAsia" w:ascii="黑体" w:eastAsia="黑体"/>
          <w:b/>
          <w:color w:val="auto"/>
          <w:sz w:val="32"/>
          <w:szCs w:val="32"/>
          <w:highlight w:val="none"/>
        </w:rPr>
        <w:t>二  合同条款</w:t>
      </w:r>
      <w:bookmarkEnd w:id="110"/>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  合同文件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1、合同文件适用法律</w:t>
      </w:r>
    </w:p>
    <w:p>
      <w:pPr>
        <w:shd w:val="clear" w:color="auto" w:fill="auto"/>
        <w:spacing w:line="440" w:lineRule="exact"/>
        <w:ind w:firstLine="735" w:firstLineChars="3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适用于合同文件的法律是中华人民共和国现行法律、法规及招标人所在地的地方性法规。</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2、合同文件组成和解释顺序</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(1)合同文件的组成和解释顺序如下：</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&lt;1&gt;合同的主要条款；</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&lt;2&gt;合同的一般性条款；</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&lt;3&gt;洽商、变更等明确双方权利义务的纪要、协议；</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&lt;4&gt;中标通知书、投标文件和</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&lt;5&gt;有关图纸、标准、规范和其它有关技术资料、技术要求。</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&lt;6&gt;合同的主要条款的效力优于合同的一般性条款的效力。</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3、合同文件使用文字</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(1)合同文件使用中文书写、解释和说明。</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  标的物的一般条款</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4、完整物权</w:t>
      </w:r>
    </w:p>
    <w:p>
      <w:pPr>
        <w:shd w:val="clear" w:color="auto" w:fill="auto"/>
        <w:tabs>
          <w:tab w:val="left" w:pos="660"/>
        </w:tabs>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对于出卖的标的物，卖方应当拥有完整物权，并且卖方负有保证第三人不得向买方主张任何权利（包括知识产权）的义务。</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5、质量保证</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8"/>
        <w:shd w:val="clear" w:color="auto" w:fill="auto"/>
        <w:tabs>
          <w:tab w:val="left" w:pos="90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6、包装</w:t>
      </w:r>
    </w:p>
    <w:p>
      <w:pPr>
        <w:pStyle w:val="8"/>
        <w:shd w:val="clear" w:color="auto" w:fill="auto"/>
        <w:tabs>
          <w:tab w:val="left" w:pos="900"/>
        </w:tabs>
        <w:spacing w:line="440" w:lineRule="exact"/>
        <w:ind w:firstLine="551"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7、伴随服务</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(1)卖方除应履行按期按量交付合格标的物的义务之外，还应提供下列服务：</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&lt;1&gt;标的物的现场安装或指导安装、启动、调试、监督（如果必须安装、调试的话）；</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&lt;2&gt;提供标的物组装和一般维修所必须的工具；</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&lt;3&gt;在合同规定的期限内对所提供标的物实行运行监督、维修服务的前提条件是该服务并不能免除卖方在质量保证期内所承担的义务；</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&lt;4&gt;对买方技术人员的技术指导或培训。</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(2)除合同另有规定之外，伴随服务的费用均已含在合同价款中，买方不再另行进行支付。</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  标的物的交付、检验和验收</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8、标的物的交付</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(1)标的物的所有权自标的物交付时转移。</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(2)卖方应当按照约定的期限和约定的地点交付符合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要求的标的物。</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(3)卖方应当按照约定或者交易习惯向招标人交付提取标的物单证以外的有关单证和资料。</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9、检验和验收</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(2)买方根据合同规定的内容和验收标准进行验收，经检验无误后出具验收合格证明，该证明作为最终付款所需文件的组成部分。</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(3)验收期限自标的物交付之日起三十天内。特殊情况需延长的，双方应在合同条款中约定。</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四. 对标的物提出异议的时间和办法</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10、对标的物提出异议的时间和办法 </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(1)买方在验收过程中，应当于双方约定的检验期间内将标的物的数量或质量不符合约定的情形及处理方式以书面形式通知卖方。</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(2)如买方在验收期满后既不出具验收合格证明又未提出书面异议的视为卖方所交标的物符合合同规定。</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(3)卖方应在收到买方书面异议后七天内负责处理问题，否则将视为默认买方提出的异议和处理意见。</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五. 合同价款和支付</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11、合同价款和支付</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(1)本合同的结算货币为人民币，单位元。</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(2)卖方应按照双方签订的合同规定交货并在合同主要条款规定的期限内持下列单据结算货款：</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&lt;1&gt;合格的销售发票；</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&lt;2&gt;买方盖章签收后的送货回单和验收合格证明。</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(3)买方应按合同主要条款规定的期限和方式付款。</w:t>
      </w:r>
    </w:p>
    <w:p>
      <w:pPr>
        <w:pStyle w:val="8"/>
        <w:shd w:val="clear" w:color="auto" w:fill="auto"/>
        <w:tabs>
          <w:tab w:val="left" w:pos="54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 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12、违约责任</w:t>
      </w:r>
    </w:p>
    <w:p>
      <w:pPr>
        <w:pStyle w:val="8"/>
        <w:shd w:val="clear" w:color="auto" w:fill="auto"/>
        <w:spacing w:line="440" w:lineRule="exact"/>
        <w:ind w:firstLine="551" w:firstLineChars="225"/>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合同一方不履行合同义务或者履行合同义务不符合约定的，应当承担继续履行、采取补救措施或者赔偿损失等违约责任。</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13、买方违约责任</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(1)在合同生效后，买方要求退货的，应向卖方偿付合同总价款的5%，作为违约金，违约金不足以补偿损失的，卖方有权要求甲方补足。</w:t>
      </w:r>
    </w:p>
    <w:p>
      <w:pPr>
        <w:pStyle w:val="8"/>
        <w:shd w:val="clear" w:color="auto" w:fill="auto"/>
        <w:overflowPunct w:val="0"/>
        <w:spacing w:line="440" w:lineRule="exact"/>
        <w:ind w:right="-341" w:rightChars="-159"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(2)买方逾期付款的应按照逾期付款金额的每天万分之四支付逾期付款违约金。</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(3)买方违反合同规定，拒绝接收卖方交付的符合</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要求的合格标的物，应当承担卖方由此造成的损失。</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14、卖方违约责任</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15、不可抗力</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(2)合同一方因不可抗力不能履行合同的，应当及时通知对方，以减轻可能给对方造成的损失，并应当在合理期限内提供证明。</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七. 索赔</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16、索赔</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(1)买方有权根据当地产品质量检验机构或其它有权威部门出具的检验证书向卖方提出索赔。</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&lt;2&gt;根据标的物的低劣程度、损坏程度以及甲方遭受损失的数额，经双方协商确定降低标的物的价格；</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(4)买方提出索赔的书面材料应报当地政府采购管理部门备案。卖方同意的索赔方案应报当地政府采购管理部门审核。</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八. 履约保证金</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17、履约保证金</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(1)卖方应在本合同签订时，按</w:t>
      </w:r>
      <w:r>
        <w:rPr>
          <w:rFonts w:hint="eastAsia" w:ascii="仿宋" w:hAnsi="仿宋" w:eastAsia="仿宋" w:cs="仿宋"/>
          <w:color w:val="auto"/>
          <w:sz w:val="24"/>
          <w:szCs w:val="24"/>
          <w:highlight w:val="none"/>
          <w:u w:val="none" w:color="000000"/>
          <w:lang w:eastAsia="zh-CN"/>
        </w:rPr>
        <w:t>采购文件</w:t>
      </w:r>
      <w:r>
        <w:rPr>
          <w:rFonts w:hint="eastAsia" w:ascii="仿宋" w:hAnsi="仿宋" w:eastAsia="仿宋" w:cs="仿宋"/>
          <w:color w:val="auto"/>
          <w:sz w:val="24"/>
          <w:szCs w:val="24"/>
          <w:highlight w:val="none"/>
          <w:u w:val="none" w:color="000000"/>
        </w:rPr>
        <w:t>的约定提供相应的履约保证金，保证金的有效期应不低于合同有效期。</w:t>
      </w:r>
    </w:p>
    <w:p>
      <w:pPr>
        <w:pStyle w:val="8"/>
        <w:shd w:val="clear" w:color="auto" w:fill="auto"/>
        <w:overflowPunct w:val="0"/>
        <w:spacing w:line="440" w:lineRule="exact"/>
        <w:ind w:right="-341" w:rightChars="-159"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(2)如果卖方未能履行合同规定的任何义务，买方有权从履约保证金中取得补偿。</w:t>
      </w:r>
    </w:p>
    <w:p>
      <w:pPr>
        <w:pStyle w:val="8"/>
        <w:shd w:val="clear" w:color="auto" w:fill="auto"/>
        <w:overflowPunct w:val="0"/>
        <w:spacing w:line="440" w:lineRule="exact"/>
        <w:ind w:right="-894" w:rightChars="-416"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(3)履约保证金（无息）将在卖方履行完合同义务，买方支付合同价款的五天内</w:t>
      </w:r>
    </w:p>
    <w:p>
      <w:pPr>
        <w:pStyle w:val="8"/>
        <w:shd w:val="clear" w:color="auto" w:fill="auto"/>
        <w:overflowPunct w:val="0"/>
        <w:spacing w:line="440" w:lineRule="exact"/>
        <w:ind w:right="-894" w:rightChars="-416" w:firstLine="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退回。</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九.  合同的解除和转让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18、合同的解除</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(1)买方和卖方协商一致，可以解除合同。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(2)有下列情形之一，合同一方可以解除合同：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&lt;1&gt;因不可抗力致使不能实现合同目的，未受不可抗力影响的一方有权解除合同；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&lt;2&gt;因合同一方违约导致合同不能履行，另一方有权解除合同。</w:t>
      </w:r>
    </w:p>
    <w:p>
      <w:pPr>
        <w:pStyle w:val="8"/>
        <w:shd w:val="clear" w:color="auto" w:fill="auto"/>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(3)有权解除合同的一方，应当在违约事实或不可抗力发生之后三十天内书面通知对方以主张解除合同，合同在书面通知到达对方时解除。</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19、合同的转让</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合同的部分和全部都不得转让。</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 合同的生效</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20、合同的生效</w:t>
      </w:r>
    </w:p>
    <w:p>
      <w:pPr>
        <w:shd w:val="clear" w:color="auto" w:fill="auto"/>
        <w:spacing w:line="440" w:lineRule="exact"/>
        <w:ind w:firstLine="677" w:firstLineChars="27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本合同在双方签字盖章并在招标人收到中标人提交的履约保证金后，经招标采购管理部门备案后生效。</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十一. 争议解决</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21、争议解决</w:t>
      </w:r>
    </w:p>
    <w:p>
      <w:pPr>
        <w:pStyle w:val="8"/>
        <w:shd w:val="clear" w:color="auto" w:fill="auto"/>
        <w:overflowPunct w:val="0"/>
        <w:spacing w:line="440" w:lineRule="exact"/>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 xml:space="preserve"> 买卖双方因合同发生争议，进行调解，协商不成，可选择：</w:t>
      </w:r>
    </w:p>
    <w:p>
      <w:pPr>
        <w:pStyle w:val="8"/>
        <w:shd w:val="clear" w:color="auto" w:fill="auto"/>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(1)双方同时申请仲裁；</w:t>
      </w:r>
    </w:p>
    <w:p>
      <w:pPr>
        <w:pStyle w:val="8"/>
        <w:shd w:val="clear" w:color="auto" w:fill="auto"/>
        <w:tabs>
          <w:tab w:val="left" w:pos="900"/>
        </w:tabs>
        <w:overflowPunct w:val="0"/>
        <w:spacing w:line="440" w:lineRule="exact"/>
        <w:ind w:firstLine="612" w:firstLineChars="250"/>
        <w:outlineLvl w:val="9"/>
        <w:rPr>
          <w:rFonts w:hint="eastAsia" w:ascii="仿宋" w:hAnsi="仿宋" w:eastAsia="仿宋" w:cs="仿宋"/>
          <w:color w:val="auto"/>
          <w:sz w:val="24"/>
          <w:szCs w:val="24"/>
          <w:highlight w:val="none"/>
          <w:u w:val="none" w:color="000000"/>
        </w:rPr>
      </w:pPr>
      <w:r>
        <w:rPr>
          <w:rFonts w:hint="eastAsia" w:ascii="仿宋" w:hAnsi="仿宋" w:eastAsia="仿宋" w:cs="仿宋"/>
          <w:color w:val="auto"/>
          <w:sz w:val="24"/>
          <w:szCs w:val="24"/>
          <w:highlight w:val="none"/>
          <w:u w:val="none" w:color="000000"/>
        </w:rPr>
        <w:t>(2)向买方所在地人民法院提起诉讼。</w:t>
      </w:r>
    </w:p>
    <w:p>
      <w:pPr>
        <w:shd w:val="clear" w:color="auto" w:fill="auto"/>
        <w:spacing w:line="44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 .附则</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22、合同份数。</w:t>
      </w:r>
    </w:p>
    <w:p>
      <w:pPr>
        <w:shd w:val="clear" w:color="auto" w:fill="auto"/>
        <w:spacing w:line="44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本合同一式陆份，买卖双方各执二份，招标代理机构一份，招标采购管理部门一份。</w:t>
      </w:r>
    </w:p>
    <w:p>
      <w:pPr>
        <w:shd w:val="clear" w:color="auto" w:fill="auto"/>
        <w:spacing w:line="44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23、未尽事宜</w:t>
      </w:r>
    </w:p>
    <w:p>
      <w:pPr>
        <w:shd w:val="clear" w:color="auto" w:fill="auto"/>
        <w:spacing w:line="440" w:lineRule="exact"/>
        <w:ind w:firstLine="612" w:firstLineChars="25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本合同未尽事宜应按《中华人民共和国政府采购法》、《中华人民共和国合同法》、《中华人民共和国产品质量法》之规定解释。</w:t>
      </w:r>
    </w:p>
    <w:bookmarkEnd w:id="103"/>
    <w:bookmarkEnd w:id="104"/>
    <w:p>
      <w:pPr>
        <w:shd w:val="clear" w:color="auto" w:fill="auto"/>
        <w:spacing w:line="440" w:lineRule="exact"/>
        <w:outlineLvl w:val="9"/>
        <w:rPr>
          <w:rFonts w:hint="eastAsia"/>
          <w:color w:val="auto"/>
          <w:kern w:val="0"/>
          <w:sz w:val="24"/>
          <w:szCs w:val="20"/>
          <w:highlight w:val="none"/>
          <w:u w:val="none" w:color="000000"/>
        </w:rPr>
      </w:pPr>
    </w:p>
    <w:p>
      <w:pPr>
        <w:pStyle w:val="69"/>
        <w:keepNext/>
        <w:keepLines/>
        <w:widowControl w:val="0"/>
        <w:shd w:val="clear" w:color="auto" w:fill="auto"/>
        <w:bidi w:val="0"/>
        <w:spacing w:before="0" w:after="1160" w:line="240" w:lineRule="auto"/>
        <w:ind w:left="0" w:right="0" w:firstLine="0"/>
        <w:jc w:val="center"/>
        <w:outlineLvl w:val="0"/>
        <w:rPr>
          <w:rFonts w:hint="eastAsia" w:ascii="仿宋" w:hAnsi="仿宋" w:eastAsia="仿宋" w:cs="仿宋"/>
          <w:b/>
          <w:bCs/>
          <w:color w:val="auto"/>
          <w:kern w:val="2"/>
          <w:sz w:val="40"/>
          <w:szCs w:val="40"/>
          <w:highlight w:val="none"/>
          <w:u w:val="none"/>
          <w:shd w:val="clear" w:color="auto" w:fill="auto"/>
          <w:lang w:val="en-US" w:eastAsia="zh-CN" w:bidi="ar-SA"/>
        </w:rPr>
      </w:pPr>
      <w:bookmarkStart w:id="111" w:name="_Toc14553"/>
      <w:bookmarkStart w:id="112" w:name="_Toc9379"/>
      <w:bookmarkStart w:id="113" w:name="_Toc3868"/>
      <w:bookmarkStart w:id="114" w:name="_Toc21488"/>
      <w:r>
        <w:rPr>
          <w:rFonts w:hint="eastAsia" w:ascii="仿宋" w:hAnsi="仿宋" w:eastAsia="仿宋" w:cs="仿宋"/>
          <w:b/>
          <w:bCs/>
          <w:color w:val="auto"/>
          <w:kern w:val="2"/>
          <w:sz w:val="40"/>
          <w:szCs w:val="40"/>
          <w:highlight w:val="none"/>
          <w:u w:val="none"/>
          <w:shd w:val="clear" w:color="auto" w:fill="auto"/>
          <w:lang w:val="en-US" w:eastAsia="zh-CN" w:bidi="ar-SA"/>
        </w:rPr>
        <w:br w:type="page"/>
      </w:r>
      <w:bookmarkStart w:id="115" w:name="_Toc13343"/>
      <w:r>
        <w:rPr>
          <w:rFonts w:hint="eastAsia" w:ascii="仿宋" w:hAnsi="仿宋" w:eastAsia="仿宋" w:cs="仿宋"/>
          <w:b/>
          <w:bCs/>
          <w:color w:val="auto"/>
          <w:kern w:val="2"/>
          <w:sz w:val="40"/>
          <w:szCs w:val="40"/>
          <w:highlight w:val="none"/>
          <w:u w:val="none"/>
          <w:shd w:val="clear" w:color="auto" w:fill="auto"/>
          <w:lang w:val="en-US" w:eastAsia="zh-CN" w:bidi="ar-SA"/>
        </w:rPr>
        <w:t>第六章 投标文件格式</w:t>
      </w:r>
      <w:bookmarkEnd w:id="111"/>
      <w:bookmarkEnd w:id="112"/>
      <w:bookmarkEnd w:id="113"/>
      <w:bookmarkEnd w:id="114"/>
      <w:bookmarkEnd w:id="115"/>
    </w:p>
    <w:p>
      <w:pPr>
        <w:adjustRightInd w:val="0"/>
        <w:snapToGrid w:val="0"/>
        <w:spacing w:line="360" w:lineRule="auto"/>
        <w:jc w:val="center"/>
        <w:outlineLvl w:val="9"/>
        <w:rPr>
          <w:rFonts w:hint="eastAsia" w:ascii="仿宋" w:hAnsi="仿宋" w:eastAsia="仿宋" w:cs="仿宋"/>
          <w:b/>
          <w:caps/>
          <w:color w:val="auto"/>
          <w:sz w:val="24"/>
          <w:szCs w:val="24"/>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rPr>
      </w:pPr>
      <w:r>
        <w:rPr>
          <w:rFonts w:hint="eastAsia" w:ascii="仿宋" w:hAnsi="仿宋" w:eastAsia="仿宋" w:cs="仿宋"/>
          <w:b/>
          <w:caps/>
          <w:color w:val="auto"/>
          <w:sz w:val="32"/>
          <w:szCs w:val="32"/>
          <w:highlight w:val="none"/>
        </w:rPr>
        <w:t>（项目名称）</w:t>
      </w:r>
    </w:p>
    <w:p>
      <w:pPr>
        <w:adjustRightInd w:val="0"/>
        <w:snapToGrid w:val="0"/>
        <w:spacing w:line="360" w:lineRule="auto"/>
        <w:jc w:val="both"/>
        <w:outlineLvl w:val="9"/>
        <w:rPr>
          <w:rFonts w:hint="eastAsia" w:ascii="仿宋" w:hAnsi="仿宋" w:eastAsia="仿宋" w:cs="仿宋"/>
          <w:bCs/>
          <w:color w:val="auto"/>
          <w:sz w:val="32"/>
          <w:szCs w:val="32"/>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rPr>
      </w:pPr>
    </w:p>
    <w:p>
      <w:pPr>
        <w:adjustRightInd w:val="0"/>
        <w:snapToGrid w:val="0"/>
        <w:spacing w:line="360" w:lineRule="auto"/>
        <w:jc w:val="center"/>
        <w:outlineLvl w:val="9"/>
        <w:rPr>
          <w:rFonts w:hint="eastAsia"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pPr>
        <w:adjustRightInd w:val="0"/>
        <w:snapToGrid w:val="0"/>
        <w:spacing w:line="360" w:lineRule="auto"/>
        <w:jc w:val="center"/>
        <w:outlineLvl w:val="9"/>
        <w:rPr>
          <w:rFonts w:hint="eastAsia" w:ascii="仿宋" w:hAnsi="仿宋" w:eastAsia="仿宋" w:cs="仿宋"/>
          <w:bCs/>
          <w:color w:val="auto"/>
          <w:sz w:val="32"/>
          <w:szCs w:val="32"/>
          <w:highlight w:val="none"/>
        </w:rPr>
      </w:pPr>
    </w:p>
    <w:p>
      <w:pPr>
        <w:adjustRightInd w:val="0"/>
        <w:snapToGrid w:val="0"/>
        <w:spacing w:line="360" w:lineRule="auto"/>
        <w:jc w:val="both"/>
        <w:outlineLvl w:val="9"/>
        <w:rPr>
          <w:rFonts w:hint="eastAsia" w:ascii="仿宋" w:hAnsi="仿宋" w:eastAsia="仿宋" w:cs="仿宋"/>
          <w:bCs/>
          <w:color w:val="auto"/>
          <w:sz w:val="32"/>
          <w:szCs w:val="32"/>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kern w:val="0"/>
          <w:sz w:val="28"/>
          <w:szCs w:val="28"/>
          <w:highlight w:val="none"/>
          <w:fitText w:val="2810" w:id="945762616"/>
        </w:rPr>
        <w:t>供应商名称（公章）：</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0"/>
          <w:w w:val="77"/>
          <w:kern w:val="0"/>
          <w:sz w:val="28"/>
          <w:szCs w:val="28"/>
          <w:highlight w:val="none"/>
          <w:fitText w:val="2810" w:id="62921832"/>
        </w:rPr>
        <w:t>法定代表人（</w:t>
      </w:r>
      <w:r>
        <w:rPr>
          <w:rFonts w:hint="eastAsia" w:ascii="仿宋" w:hAnsi="仿宋" w:eastAsia="仿宋" w:cs="仿宋"/>
          <w:b/>
          <w:caps/>
          <w:color w:val="auto"/>
          <w:spacing w:val="0"/>
          <w:w w:val="77"/>
          <w:kern w:val="0"/>
          <w:sz w:val="28"/>
          <w:szCs w:val="28"/>
          <w:highlight w:val="none"/>
          <w:fitText w:val="2810" w:id="62921832"/>
          <w:lang w:eastAsia="zh-CN"/>
        </w:rPr>
        <w:t>签字</w:t>
      </w:r>
      <w:r>
        <w:rPr>
          <w:rFonts w:hint="eastAsia" w:ascii="仿宋" w:hAnsi="仿宋" w:eastAsia="仿宋" w:cs="仿宋"/>
          <w:b/>
          <w:caps/>
          <w:color w:val="auto"/>
          <w:spacing w:val="0"/>
          <w:w w:val="77"/>
          <w:kern w:val="0"/>
          <w:sz w:val="28"/>
          <w:szCs w:val="28"/>
          <w:highlight w:val="none"/>
          <w:fitText w:val="2810" w:id="62921832"/>
        </w:rPr>
        <w:t>或盖章）</w:t>
      </w:r>
      <w:r>
        <w:rPr>
          <w:rFonts w:hint="eastAsia" w:ascii="仿宋" w:hAnsi="仿宋" w:eastAsia="仿宋" w:cs="仿宋"/>
          <w:b/>
          <w:caps/>
          <w:color w:val="auto"/>
          <w:spacing w:val="-1"/>
          <w:w w:val="77"/>
          <w:kern w:val="0"/>
          <w:sz w:val="28"/>
          <w:szCs w:val="28"/>
          <w:highlight w:val="none"/>
          <w:fitText w:val="2810" w:id="62921832"/>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113"/>
          <w:kern w:val="0"/>
          <w:sz w:val="28"/>
          <w:szCs w:val="28"/>
          <w:highlight w:val="none"/>
          <w:fitText w:val="2810" w:id="1375949713"/>
        </w:rPr>
        <w:t>供应商地址</w:t>
      </w:r>
      <w:r>
        <w:rPr>
          <w:rFonts w:hint="eastAsia" w:ascii="仿宋" w:hAnsi="仿宋" w:eastAsia="仿宋" w:cs="仿宋"/>
          <w:b/>
          <w:caps/>
          <w:color w:val="auto"/>
          <w:spacing w:val="0"/>
          <w:kern w:val="0"/>
          <w:sz w:val="28"/>
          <w:szCs w:val="28"/>
          <w:highlight w:val="none"/>
          <w:fitText w:val="2810" w:id="1375949713"/>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r>
        <w:rPr>
          <w:rFonts w:hint="eastAsia" w:ascii="仿宋" w:hAnsi="仿宋" w:eastAsia="仿宋" w:cs="仿宋"/>
          <w:b/>
          <w:caps/>
          <w:color w:val="auto"/>
          <w:spacing w:val="281"/>
          <w:kern w:val="0"/>
          <w:sz w:val="28"/>
          <w:szCs w:val="28"/>
          <w:highlight w:val="none"/>
          <w:fitText w:val="2810" w:id="1804816047"/>
        </w:rPr>
        <w:t>联系人</w:t>
      </w:r>
      <w:r>
        <w:rPr>
          <w:rFonts w:hint="eastAsia" w:ascii="仿宋" w:hAnsi="仿宋" w:eastAsia="仿宋" w:cs="仿宋"/>
          <w:b/>
          <w:caps/>
          <w:color w:val="auto"/>
          <w:spacing w:val="2"/>
          <w:kern w:val="0"/>
          <w:sz w:val="28"/>
          <w:szCs w:val="28"/>
          <w:highlight w:val="none"/>
          <w:fitText w:val="2810" w:id="1804816047"/>
        </w:rPr>
        <w:t>：</w:t>
      </w:r>
    </w:p>
    <w:p>
      <w:pPr>
        <w:adjustRightInd w:val="0"/>
        <w:snapToGrid w:val="0"/>
        <w:spacing w:line="360" w:lineRule="auto"/>
        <w:ind w:right="-137" w:rightChars="-64"/>
        <w:outlineLvl w:val="9"/>
        <w:rPr>
          <w:rFonts w:hint="eastAsia" w:ascii="仿宋" w:hAnsi="仿宋" w:eastAsia="仿宋" w:cs="仿宋"/>
          <w:b/>
          <w:caps/>
          <w:color w:val="auto"/>
          <w:sz w:val="28"/>
          <w:szCs w:val="28"/>
          <w:highlight w:val="none"/>
        </w:rPr>
      </w:pPr>
    </w:p>
    <w:p>
      <w:pPr>
        <w:adjustRightInd w:val="0"/>
        <w:snapToGrid w:val="0"/>
        <w:spacing w:line="360" w:lineRule="auto"/>
        <w:ind w:right="-137" w:rightChars="-64"/>
        <w:outlineLvl w:val="9"/>
        <w:rPr>
          <w:rFonts w:hint="eastAsia" w:ascii="仿宋" w:hAnsi="仿宋" w:eastAsia="仿宋" w:cs="仿宋"/>
          <w:b/>
          <w:caps/>
          <w:color w:val="auto"/>
          <w:kern w:val="0"/>
          <w:sz w:val="28"/>
          <w:szCs w:val="28"/>
          <w:highlight w:val="none"/>
        </w:rPr>
      </w:pPr>
      <w:r>
        <w:rPr>
          <w:rFonts w:hint="eastAsia" w:ascii="仿宋" w:hAnsi="仿宋" w:eastAsia="仿宋" w:cs="仿宋"/>
          <w:b/>
          <w:caps/>
          <w:color w:val="auto"/>
          <w:spacing w:val="176"/>
          <w:kern w:val="0"/>
          <w:sz w:val="28"/>
          <w:szCs w:val="28"/>
          <w:highlight w:val="none"/>
          <w:fitText w:val="2810" w:id="2065771354"/>
        </w:rPr>
        <w:t>联系电话</w:t>
      </w:r>
      <w:r>
        <w:rPr>
          <w:rFonts w:hint="eastAsia" w:ascii="仿宋" w:hAnsi="仿宋" w:eastAsia="仿宋" w:cs="仿宋"/>
          <w:b/>
          <w:caps/>
          <w:color w:val="auto"/>
          <w:spacing w:val="1"/>
          <w:kern w:val="0"/>
          <w:sz w:val="28"/>
          <w:szCs w:val="28"/>
          <w:highlight w:val="none"/>
          <w:fitText w:val="2810" w:id="2065771354"/>
        </w:rPr>
        <w:t>：</w:t>
      </w:r>
    </w:p>
    <w:p>
      <w:pPr>
        <w:pStyle w:val="2"/>
        <w:numPr>
          <w:ilvl w:val="0"/>
          <w:numId w:val="0"/>
        </w:numPr>
        <w:ind w:leftChars="0" w:right="0" w:rightChars="0"/>
        <w:rPr>
          <w:rFonts w:hint="eastAsia"/>
          <w:color w:val="auto"/>
          <w:highlight w:val="none"/>
        </w:rPr>
      </w:pPr>
    </w:p>
    <w:p>
      <w:pPr>
        <w:pStyle w:val="2"/>
        <w:numPr>
          <w:ilvl w:val="0"/>
          <w:numId w:val="0"/>
        </w:numPr>
        <w:ind w:leftChars="0" w:right="0" w:rightChars="0"/>
        <w:jc w:val="left"/>
        <w:rPr>
          <w:rFonts w:hint="default" w:eastAsia="仿宋"/>
          <w:color w:val="auto"/>
          <w:highlight w:val="none"/>
          <w:lang w:val="en-US" w:eastAsia="zh-CN"/>
        </w:rPr>
      </w:pPr>
      <w:r>
        <w:rPr>
          <w:rFonts w:hint="eastAsia" w:ascii="仿宋" w:hAnsi="仿宋" w:eastAsia="仿宋" w:cs="仿宋"/>
          <w:b/>
          <w:caps/>
          <w:color w:val="auto"/>
          <w:kern w:val="0"/>
          <w:sz w:val="28"/>
          <w:szCs w:val="28"/>
          <w:highlight w:val="none"/>
          <w:lang w:val="en-US" w:eastAsia="zh-CN"/>
        </w:rPr>
        <w:t xml:space="preserve">日              期： </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年</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 xml:space="preserve"> 月</w:t>
      </w:r>
      <w:r>
        <w:rPr>
          <w:rFonts w:hint="eastAsia" w:ascii="仿宋" w:hAnsi="仿宋" w:eastAsia="仿宋" w:cs="仿宋"/>
          <w:b/>
          <w:caps/>
          <w:color w:val="auto"/>
          <w:kern w:val="0"/>
          <w:sz w:val="28"/>
          <w:szCs w:val="28"/>
          <w:highlight w:val="none"/>
          <w:u w:val="single"/>
          <w:lang w:val="en-US" w:eastAsia="zh-CN"/>
        </w:rPr>
        <w:t xml:space="preserve">       </w:t>
      </w:r>
      <w:r>
        <w:rPr>
          <w:rFonts w:hint="eastAsia" w:ascii="仿宋" w:hAnsi="仿宋" w:eastAsia="仿宋" w:cs="仿宋"/>
          <w:b/>
          <w:caps/>
          <w:color w:val="auto"/>
          <w:kern w:val="0"/>
          <w:sz w:val="28"/>
          <w:szCs w:val="28"/>
          <w:highlight w:val="none"/>
          <w:lang w:val="en-US" w:eastAsia="zh-CN"/>
        </w:rPr>
        <w:t>日</w:t>
      </w:r>
    </w:p>
    <w:p>
      <w:pPr>
        <w:pStyle w:val="2"/>
        <w:numPr>
          <w:ilvl w:val="0"/>
          <w:numId w:val="0"/>
        </w:numPr>
        <w:ind w:leftChars="0" w:right="0" w:rightChars="0"/>
        <w:jc w:val="left"/>
        <w:rPr>
          <w:rFonts w:hint="default" w:eastAsia="仿宋"/>
          <w:color w:val="auto"/>
          <w:highlight w:val="none"/>
          <w:lang w:val="en-US" w:eastAsia="zh-CN"/>
        </w:rPr>
      </w:pPr>
    </w:p>
    <w:p>
      <w:pPr>
        <w:shd w:val="clear" w:color="auto" w:fill="auto"/>
        <w:spacing w:line="240" w:lineRule="atLeast"/>
        <w:ind w:left="752" w:leftChars="350" w:firstLine="122" w:firstLineChars="50"/>
        <w:outlineLvl w:val="9"/>
        <w:rPr>
          <w:rFonts w:hint="eastAsia" w:ascii="仿宋" w:hAnsi="仿宋" w:eastAsia="仿宋" w:cs="仿宋"/>
          <w:color w:val="auto"/>
          <w:sz w:val="24"/>
          <w:highlight w:val="none"/>
        </w:rPr>
      </w:pPr>
    </w:p>
    <w:p>
      <w:pPr>
        <w:numPr>
          <w:ilvl w:val="0"/>
          <w:numId w:val="0"/>
        </w:numPr>
        <w:shd w:val="clear" w:color="auto" w:fill="auto"/>
        <w:tabs>
          <w:tab w:val="left" w:pos="540"/>
        </w:tabs>
        <w:spacing w:before="0" w:line="240" w:lineRule="atLeast"/>
        <w:outlineLvl w:val="9"/>
        <w:rPr>
          <w:rFonts w:hint="eastAsia" w:ascii="仿宋" w:hAnsi="仿宋" w:eastAsia="仿宋" w:cs="仿宋"/>
          <w:color w:val="auto"/>
          <w:sz w:val="30"/>
          <w:szCs w:val="30"/>
          <w:highlight w:val="none"/>
        </w:rPr>
      </w:pPr>
      <w:bookmarkStart w:id="116" w:name="_Toc18974"/>
      <w:bookmarkStart w:id="117" w:name="_Toc18694"/>
      <w:bookmarkStart w:id="118" w:name="_Toc8919"/>
      <w:bookmarkStart w:id="119" w:name="_Toc515647803"/>
      <w:bookmarkStart w:id="120" w:name="_Toc29109"/>
      <w:bookmarkStart w:id="121" w:name="_Toc969"/>
      <w:r>
        <w:rPr>
          <w:rFonts w:hint="eastAsia" w:ascii="宋体" w:hAnsi="宋体" w:eastAsia="宋体" w:cs="宋体"/>
          <w:b/>
          <w:bCs/>
          <w:color w:val="auto"/>
          <w:sz w:val="24"/>
          <w:highlight w:val="none"/>
          <w:lang w:eastAsia="zh-CN"/>
        </w:rPr>
        <w:br w:type="page"/>
      </w:r>
      <w:bookmarkEnd w:id="116"/>
      <w:bookmarkEnd w:id="117"/>
      <w:bookmarkEnd w:id="118"/>
      <w:bookmarkEnd w:id="119"/>
      <w:bookmarkEnd w:id="120"/>
      <w:bookmarkEnd w:id="121"/>
      <w:r>
        <w:rPr>
          <w:rFonts w:hint="eastAsia" w:ascii="仿宋" w:hAnsi="仿宋" w:eastAsia="仿宋" w:cs="仿宋"/>
          <w:b/>
          <w:bCs/>
          <w:color w:val="auto"/>
          <w:sz w:val="30"/>
          <w:szCs w:val="30"/>
          <w:highlight w:val="none"/>
        </w:rPr>
        <w:t>第一部分 资格证明文件</w:t>
      </w:r>
    </w:p>
    <w:p>
      <w:pPr>
        <w:numPr>
          <w:ilvl w:val="0"/>
          <w:numId w:val="0"/>
        </w:numPr>
        <w:shd w:val="clear" w:color="auto" w:fill="auto"/>
        <w:spacing w:before="0" w:line="240" w:lineRule="atLeast"/>
        <w:jc w:val="center"/>
        <w:outlineLvl w:val="9"/>
        <w:rPr>
          <w:rFonts w:hint="eastAsia" w:ascii="宋体" w:hAnsi="宋体" w:eastAsia="宋体" w:cs="宋体"/>
          <w:color w:val="auto"/>
          <w:sz w:val="24"/>
          <w:highlight w:val="none"/>
        </w:rPr>
      </w:pPr>
    </w:p>
    <w:p>
      <w:pPr>
        <w:shd w:val="clear" w:color="auto" w:fill="auto"/>
        <w:spacing w:line="240" w:lineRule="atLeast"/>
        <w:ind w:left="708" w:hanging="722" w:hangingChars="295"/>
        <w:jc w:val="center"/>
        <w:outlineLvl w:val="9"/>
        <w:rPr>
          <w:rFonts w:hint="eastAsia" w:ascii="宋体" w:hAnsi="宋体" w:eastAsia="宋体" w:cs="宋体"/>
          <w:color w:val="auto"/>
          <w:sz w:val="24"/>
          <w:highlight w:val="none"/>
        </w:rPr>
      </w:pPr>
    </w:p>
    <w:p>
      <w:pPr>
        <w:shd w:val="clear" w:color="auto" w:fill="auto"/>
        <w:spacing w:line="400" w:lineRule="exact"/>
        <w:ind w:firstLine="57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开标一览表;</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法人或者非法人组织的营业执照等证明文件复印件（须加盖本单位章）或自然人的身份证明复印件;</w:t>
      </w:r>
    </w:p>
    <w:p>
      <w:pPr>
        <w:shd w:val="clear" w:color="auto" w:fill="auto"/>
        <w:spacing w:line="400" w:lineRule="exact"/>
        <w:ind w:firstLine="57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法定代表人授权委托书（自然人投标的无需提供）</w:t>
      </w:r>
      <w:r>
        <w:rPr>
          <w:rFonts w:hint="eastAsia" w:ascii="仿宋" w:hAnsi="仿宋" w:eastAsia="仿宋" w:cs="仿宋"/>
          <w:color w:val="auto"/>
          <w:sz w:val="28"/>
          <w:szCs w:val="28"/>
          <w:highlight w:val="none"/>
          <w:lang w:eastAsia="zh-CN"/>
        </w:rPr>
        <w:t>；</w:t>
      </w:r>
    </w:p>
    <w:p>
      <w:pPr>
        <w:shd w:val="clear" w:color="auto" w:fill="auto"/>
        <w:spacing w:line="400" w:lineRule="exact"/>
        <w:ind w:firstLine="570" w:firstLineChars="200"/>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法定代表人授权书（自然人投标的无需提供）</w:t>
      </w:r>
      <w:r>
        <w:rPr>
          <w:rFonts w:hint="eastAsia" w:ascii="仿宋" w:hAnsi="仿宋" w:eastAsia="仿宋" w:cs="仿宋"/>
          <w:color w:val="auto"/>
          <w:sz w:val="28"/>
          <w:szCs w:val="28"/>
          <w:highlight w:val="none"/>
          <w:lang w:eastAsia="zh-CN"/>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需提供上一年度审计报告</w:t>
      </w:r>
      <w:r>
        <w:rPr>
          <w:rFonts w:hint="eastAsia" w:ascii="仿宋" w:hAnsi="仿宋" w:eastAsia="仿宋" w:cs="仿宋"/>
          <w:color w:val="auto"/>
          <w:sz w:val="28"/>
          <w:szCs w:val="28"/>
          <w:highlight w:val="none"/>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投标保证金</w:t>
      </w:r>
      <w:r>
        <w:rPr>
          <w:rFonts w:hint="eastAsia" w:ascii="仿宋" w:hAnsi="仿宋" w:eastAsia="仿宋" w:cs="仿宋"/>
          <w:color w:val="auto"/>
          <w:sz w:val="28"/>
          <w:szCs w:val="28"/>
          <w:highlight w:val="none"/>
          <w:lang w:eastAsia="zh-CN"/>
        </w:rPr>
        <w:t>收据和汇款凭证</w:t>
      </w:r>
      <w:r>
        <w:rPr>
          <w:rFonts w:hint="eastAsia" w:ascii="仿宋" w:hAnsi="仿宋" w:eastAsia="仿宋" w:cs="仿宋"/>
          <w:color w:val="auto"/>
          <w:sz w:val="28"/>
          <w:szCs w:val="28"/>
          <w:highlight w:val="none"/>
        </w:rPr>
        <w:t>或投标担保函；</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社会保障资金的缴纳记录</w:t>
      </w:r>
      <w:r>
        <w:rPr>
          <w:rFonts w:hint="eastAsia" w:ascii="仿宋" w:hAnsi="仿宋" w:eastAsia="仿宋" w:cs="仿宋"/>
          <w:color w:val="auto"/>
          <w:sz w:val="28"/>
          <w:szCs w:val="28"/>
          <w:highlight w:val="none"/>
          <w:lang w:eastAsia="zh-CN"/>
        </w:rPr>
        <w:t>；</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参加政府采购活动前3年内在经营活动中没有重大违法记录的书面声明;</w:t>
      </w:r>
    </w:p>
    <w:p>
      <w:pPr>
        <w:shd w:val="clear" w:color="auto" w:fill="auto"/>
        <w:spacing w:line="400" w:lineRule="exact"/>
        <w:ind w:firstLine="566" w:firstLineChars="199"/>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投标人须知资料表要求的其他资格证明文件;</w:t>
      </w: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shd w:val="clear" w:color="auto" w:fill="auto"/>
        <w:tabs>
          <w:tab w:val="left" w:pos="5580"/>
        </w:tabs>
        <w:spacing w:line="240" w:lineRule="atLeast"/>
        <w:ind w:left="1" w:firstLine="575" w:firstLineChars="235"/>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bookmarkStart w:id="122" w:name="_Toc16497"/>
      <w:bookmarkStart w:id="123" w:name="_Toc22458"/>
      <w:bookmarkStart w:id="124" w:name="_Toc18198"/>
      <w:bookmarkStart w:id="125" w:name="_Toc515647804"/>
      <w:bookmarkStart w:id="126" w:name="_Toc16568"/>
      <w:bookmarkStart w:id="127" w:name="_Toc19050"/>
      <w:bookmarkStart w:id="128" w:name="_Toc30524"/>
      <w:bookmarkStart w:id="129" w:name="_Toc2381"/>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p>
      <w:pPr>
        <w:outlineLvl w:val="9"/>
        <w:rPr>
          <w:rFonts w:hint="eastAsia"/>
          <w:color w:val="auto"/>
          <w:highlight w:val="none"/>
          <w:lang w:eastAsia="zh-CN"/>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eastAsia="zh-CN"/>
        </w:rPr>
      </w:pPr>
    </w:p>
    <w:p>
      <w:pPr>
        <w:outlineLvl w:val="9"/>
        <w:rPr>
          <w:rFonts w:hint="eastAsia"/>
          <w:color w:val="auto"/>
          <w:highlight w:val="none"/>
        </w:rPr>
      </w:pPr>
      <w:bookmarkStart w:id="130" w:name="_Toc848"/>
      <w:r>
        <w:rPr>
          <w:rFonts w:hint="eastAsia" w:ascii="宋体" w:hAnsi="宋体" w:eastAsia="宋体" w:cs="宋体"/>
          <w:color w:val="auto"/>
          <w:sz w:val="24"/>
          <w:highlight w:val="none"/>
          <w:lang w:eastAsia="zh-CN"/>
        </w:rPr>
        <w:br w:type="page"/>
      </w:r>
      <w:bookmarkEnd w:id="122"/>
      <w:bookmarkEnd w:id="123"/>
      <w:bookmarkEnd w:id="124"/>
      <w:bookmarkEnd w:id="125"/>
      <w:bookmarkEnd w:id="126"/>
      <w:bookmarkEnd w:id="127"/>
      <w:bookmarkEnd w:id="128"/>
      <w:bookmarkEnd w:id="129"/>
      <w:bookmarkEnd w:id="130"/>
      <w:bookmarkStart w:id="131" w:name="_Toc216582813"/>
      <w:bookmarkStart w:id="132" w:name="_Ref467988698"/>
      <w:bookmarkStart w:id="133" w:name="_Toc480942349"/>
      <w:bookmarkStart w:id="134" w:name="_Toc520356217"/>
    </w:p>
    <w:p>
      <w:pPr>
        <w:pStyle w:val="8"/>
        <w:shd w:val="clear" w:color="auto" w:fill="auto"/>
        <w:tabs>
          <w:tab w:val="left" w:pos="5580"/>
        </w:tabs>
        <w:spacing w:line="240" w:lineRule="atLeast"/>
        <w:ind w:firstLine="3383" w:firstLineChars="927"/>
        <w:jc w:val="both"/>
        <w:outlineLvl w:val="9"/>
        <w:rPr>
          <w:rFonts w:hint="eastAsia" w:ascii="仿宋" w:hAnsi="仿宋" w:eastAsia="仿宋" w:cs="仿宋"/>
          <w:color w:val="auto"/>
          <w:highlight w:val="none"/>
        </w:rPr>
      </w:pPr>
      <w:bookmarkStart w:id="135" w:name="_Toc8996"/>
      <w:bookmarkStart w:id="136" w:name="_Toc4844"/>
      <w:bookmarkStart w:id="137" w:name="_Toc2318"/>
      <w:bookmarkStart w:id="138" w:name="_Toc2944"/>
      <w:bookmarkStart w:id="139" w:name="_Toc22800"/>
      <w:bookmarkStart w:id="140" w:name="_Toc29899"/>
      <w:bookmarkStart w:id="141" w:name="_Toc17577"/>
      <w:bookmarkStart w:id="142" w:name="_Toc3046"/>
      <w:bookmarkStart w:id="143" w:name="_Toc515647805"/>
      <w:r>
        <w:rPr>
          <w:rFonts w:hint="eastAsia" w:ascii="仿宋" w:hAnsi="仿宋" w:eastAsia="仿宋" w:cs="仿宋"/>
          <w:b/>
          <w:bCs w:val="0"/>
          <w:color w:val="auto"/>
          <w:sz w:val="36"/>
          <w:szCs w:val="24"/>
          <w:highlight w:val="none"/>
          <w:lang w:val="en-US" w:eastAsia="zh-CN"/>
        </w:rPr>
        <w:t>1、</w:t>
      </w:r>
      <w:r>
        <w:rPr>
          <w:rFonts w:hint="eastAsia" w:ascii="仿宋" w:hAnsi="仿宋" w:eastAsia="仿宋" w:cs="仿宋"/>
          <w:b/>
          <w:bCs w:val="0"/>
          <w:color w:val="auto"/>
          <w:sz w:val="36"/>
          <w:szCs w:val="24"/>
          <w:highlight w:val="none"/>
        </w:rPr>
        <w:t>开标一览表</w:t>
      </w:r>
      <w:r>
        <w:rPr>
          <w:rFonts w:hint="eastAsia" w:ascii="仿宋" w:hAnsi="仿宋" w:eastAsia="仿宋" w:cs="仿宋"/>
          <w:b w:val="0"/>
          <w:bCs/>
          <w:color w:val="auto"/>
          <w:sz w:val="36"/>
          <w:szCs w:val="24"/>
          <w:highlight w:val="none"/>
        </w:rPr>
        <w:cr/>
      </w:r>
    </w:p>
    <w:p>
      <w:pPr>
        <w:shd w:val="clear" w:color="auto" w:fill="auto"/>
        <w:adjustRightInd w:val="0"/>
        <w:snapToGrid w:val="0"/>
        <w:spacing w:line="500" w:lineRule="exact"/>
        <w:outlineLvl w:val="9"/>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招标项目名称： </w:t>
      </w:r>
      <w:r>
        <w:rPr>
          <w:rFonts w:hint="eastAsia" w:ascii="仿宋" w:hAnsi="仿宋" w:eastAsia="仿宋" w:cs="仿宋"/>
          <w:color w:val="auto"/>
          <w:szCs w:val="21"/>
          <w:highlight w:val="none"/>
          <w:u w:val="single"/>
        </w:rPr>
        <w:t xml:space="preserve">                         </w:t>
      </w:r>
    </w:p>
    <w:p>
      <w:pPr>
        <w:shd w:val="clear" w:color="auto" w:fill="auto"/>
        <w:adjustRightInd w:val="0"/>
        <w:snapToGrid w:val="0"/>
        <w:spacing w:line="500" w:lineRule="exact"/>
        <w:outlineLvl w:val="9"/>
        <w:rPr>
          <w:rFonts w:hint="eastAsia" w:ascii="仿宋" w:hAnsi="仿宋" w:eastAsia="仿宋" w:cs="仿宋"/>
          <w:i/>
          <w:iCs/>
          <w:color w:val="auto"/>
          <w:szCs w:val="21"/>
          <w:highlight w:val="none"/>
        </w:rPr>
      </w:pPr>
      <w:r>
        <w:rPr>
          <w:rFonts w:hint="eastAsia" w:ascii="仿宋" w:hAnsi="仿宋" w:eastAsia="仿宋" w:cs="仿宋"/>
          <w:color w:val="auto"/>
          <w:szCs w:val="21"/>
          <w:highlight w:val="none"/>
        </w:rPr>
        <w:t>招标项目编号：</w:t>
      </w:r>
      <w:r>
        <w:rPr>
          <w:rFonts w:hint="eastAsia" w:ascii="仿宋" w:hAnsi="仿宋" w:eastAsia="仿宋" w:cs="仿宋"/>
          <w:i/>
          <w:iCs/>
          <w:color w:val="auto"/>
          <w:szCs w:val="21"/>
          <w:highlight w:val="none"/>
        </w:rPr>
        <w:t xml:space="preserve"> </w:t>
      </w:r>
      <w:r>
        <w:rPr>
          <w:rFonts w:hint="eastAsia" w:ascii="仿宋" w:hAnsi="仿宋" w:eastAsia="仿宋" w:cs="仿宋"/>
          <w:color w:val="auto"/>
          <w:szCs w:val="21"/>
          <w:highlight w:val="none"/>
          <w:u w:val="single"/>
        </w:rPr>
        <w:t xml:space="preserve">                         </w:t>
      </w:r>
    </w:p>
    <w:p>
      <w:pPr>
        <w:shd w:val="clear" w:color="auto" w:fill="auto"/>
        <w:spacing w:line="500" w:lineRule="exact"/>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单位：元（人民币）</w:t>
      </w:r>
    </w:p>
    <w:tbl>
      <w:tblPr>
        <w:tblStyle w:val="28"/>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noWrap w:val="0"/>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投标项目名称</w:t>
            </w:r>
          </w:p>
        </w:tc>
        <w:tc>
          <w:tcPr>
            <w:tcW w:w="6185" w:type="dxa"/>
            <w:noWrap w:val="0"/>
            <w:vAlign w:val="center"/>
          </w:tcPr>
          <w:p>
            <w:pPr>
              <w:shd w:val="clear" w:color="auto" w:fill="auto"/>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noWrap w:val="0"/>
            <w:vAlign w:val="center"/>
          </w:tcPr>
          <w:p>
            <w:pPr>
              <w:shd w:val="clear" w:color="auto" w:fill="auto"/>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r>
              <w:rPr>
                <w:rFonts w:hint="eastAsia" w:ascii="仿宋" w:hAnsi="仿宋" w:eastAsia="仿宋" w:cs="仿宋"/>
                <w:color w:val="auto"/>
                <w:szCs w:val="21"/>
                <w:highlight w:val="none"/>
                <w:lang w:eastAsia="zh-CN"/>
              </w:rPr>
              <w:t>（天）</w:t>
            </w:r>
          </w:p>
        </w:tc>
        <w:tc>
          <w:tcPr>
            <w:tcW w:w="6185" w:type="dxa"/>
            <w:noWrap w:val="0"/>
            <w:vAlign w:val="center"/>
          </w:tcPr>
          <w:p>
            <w:pPr>
              <w:shd w:val="clear" w:color="auto" w:fill="auto"/>
              <w:jc w:val="center"/>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noWrap w:val="0"/>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6185" w:type="dxa"/>
            <w:noWrap w:val="0"/>
            <w:vAlign w:val="center"/>
          </w:tcPr>
          <w:p>
            <w:pPr>
              <w:shd w:val="clear" w:color="auto" w:fill="auto"/>
              <w:jc w:val="center"/>
              <w:outlineLvl w:val="9"/>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noWrap w:val="0"/>
            <w:vAlign w:val="center"/>
          </w:tcPr>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w:t>
            </w:r>
          </w:p>
          <w:p>
            <w:pPr>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（人民币）</w:t>
            </w:r>
          </w:p>
        </w:tc>
        <w:tc>
          <w:tcPr>
            <w:tcW w:w="974" w:type="dxa"/>
            <w:tcBorders>
              <w:top w:val="single" w:color="auto" w:sz="4" w:space="0"/>
              <w:bottom w:val="single" w:color="auto" w:sz="4" w:space="0"/>
            </w:tcBorders>
            <w:noWrap w:val="0"/>
            <w:vAlign w:val="center"/>
          </w:tcPr>
          <w:p>
            <w:pPr>
              <w:widowControl/>
              <w:shd w:val="clear" w:color="auto" w:fill="auto"/>
              <w:jc w:val="center"/>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w:t>
            </w:r>
          </w:p>
        </w:tc>
        <w:tc>
          <w:tcPr>
            <w:tcW w:w="6185" w:type="dxa"/>
            <w:noWrap w:val="0"/>
            <w:vAlign w:val="center"/>
          </w:tcPr>
          <w:p>
            <w:pPr>
              <w:shd w:val="clear" w:color="auto" w:fill="auto"/>
              <w:jc w:val="center"/>
              <w:outlineLvl w:val="9"/>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noWrap w:val="0"/>
            <w:vAlign w:val="center"/>
          </w:tcPr>
          <w:p>
            <w:pPr>
              <w:shd w:val="clear" w:color="auto" w:fill="auto"/>
              <w:jc w:val="center"/>
              <w:outlineLvl w:val="9"/>
              <w:rPr>
                <w:rFonts w:hint="eastAsia" w:ascii="仿宋" w:hAnsi="仿宋" w:eastAsia="仿宋" w:cs="仿宋"/>
                <w:color w:val="auto"/>
                <w:szCs w:val="21"/>
                <w:highlight w:val="none"/>
              </w:rPr>
            </w:pPr>
          </w:p>
        </w:tc>
        <w:tc>
          <w:tcPr>
            <w:tcW w:w="974" w:type="dxa"/>
            <w:tcBorders>
              <w:top w:val="single" w:color="auto" w:sz="4" w:space="0"/>
              <w:bottom w:val="single" w:color="auto" w:sz="4" w:space="0"/>
            </w:tcBorders>
            <w:noWrap w:val="0"/>
            <w:vAlign w:val="center"/>
          </w:tcPr>
          <w:p>
            <w:pPr>
              <w:widowControl/>
              <w:shd w:val="clear" w:color="auto" w:fill="auto"/>
              <w:jc w:val="center"/>
              <w:outlineLvl w:val="9"/>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大写</w:t>
            </w:r>
          </w:p>
        </w:tc>
        <w:tc>
          <w:tcPr>
            <w:tcW w:w="6185" w:type="dxa"/>
            <w:noWrap w:val="0"/>
            <w:vAlign w:val="center"/>
          </w:tcPr>
          <w:p>
            <w:pPr>
              <w:shd w:val="clear" w:color="auto" w:fill="auto"/>
              <w:jc w:val="center"/>
              <w:outlineLvl w:val="9"/>
              <w:rPr>
                <w:rFonts w:hint="eastAsia" w:ascii="仿宋" w:hAnsi="仿宋" w:eastAsia="仿宋" w:cs="仿宋"/>
                <w:color w:val="auto"/>
                <w:szCs w:val="21"/>
                <w:highlight w:val="none"/>
              </w:rPr>
            </w:pPr>
          </w:p>
        </w:tc>
      </w:tr>
    </w:tbl>
    <w:p>
      <w:pPr>
        <w:shd w:val="clear" w:color="auto" w:fill="auto"/>
        <w:spacing w:line="500" w:lineRule="exact"/>
        <w:ind w:firstLine="42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填写说明：</w:t>
      </w:r>
    </w:p>
    <w:p>
      <w:pPr>
        <w:shd w:val="clear" w:color="auto" w:fill="auto"/>
        <w:spacing w:line="500" w:lineRule="exact"/>
        <w:ind w:firstLine="420" w:firstLineChars="196"/>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1.为方便开标唱标，投标人应将开标一览表单独密封，并在信封上标明“开标一览表”字样，然后在递交投标文件时单独递交</w:t>
      </w:r>
      <w:r>
        <w:rPr>
          <w:rFonts w:hint="eastAsia" w:ascii="仿宋" w:hAnsi="仿宋" w:eastAsia="仿宋" w:cs="仿宋"/>
          <w:b/>
          <w:bCs/>
          <w:color w:val="auto"/>
          <w:sz w:val="24"/>
          <w:highlight w:val="none"/>
        </w:rPr>
        <w:t>。</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3.投标总价为招标范围所列全部招标项目的报价总和，并应与投标报价明细表及分项价格表保持一致。</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4.必须在投标文件中装订。</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5.投标报价不得填报选择性报价。</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w:t>
      </w:r>
      <w:r>
        <w:rPr>
          <w:rFonts w:hint="eastAsia" w:ascii="仿宋" w:hAnsi="仿宋" w:eastAsia="仿宋" w:cs="仿宋"/>
          <w:color w:val="auto"/>
          <w:szCs w:val="21"/>
          <w:highlight w:val="none"/>
          <w:u w:val="single"/>
        </w:rPr>
        <w:t xml:space="preserve">    （加盖公章）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授权代表签字或盖章：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pPr>
        <w:shd w:val="clear" w:color="auto" w:fill="auto"/>
        <w:spacing w:line="500" w:lineRule="exact"/>
        <w:ind w:firstLine="430" w:firstLineChars="200"/>
        <w:outlineLvl w:val="9"/>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签署日期：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月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pPr>
        <w:numPr>
          <w:ilvl w:val="0"/>
          <w:numId w:val="0"/>
        </w:numPr>
        <w:shd w:val="clear" w:color="auto" w:fill="auto"/>
        <w:tabs>
          <w:tab w:val="left" w:pos="540"/>
        </w:tabs>
        <w:spacing w:before="0" w:line="240" w:lineRule="atLeast"/>
        <w:outlineLvl w:val="9"/>
        <w:rPr>
          <w:rFonts w:hint="eastAsia" w:ascii="宋体" w:hAnsi="宋体" w:eastAsia="宋体" w:cs="宋体"/>
          <w:b/>
          <w:bCs/>
          <w:color w:val="auto"/>
          <w:sz w:val="24"/>
          <w:highlight w:val="none"/>
        </w:rPr>
      </w:pPr>
    </w:p>
    <w:p>
      <w:pPr>
        <w:pStyle w:val="2"/>
        <w:keepNext w:val="0"/>
        <w:keepLines w:val="0"/>
        <w:pageBreakBefore w:val="0"/>
        <w:widowControl w:val="0"/>
        <w:numPr>
          <w:ilvl w:val="0"/>
          <w:numId w:val="0"/>
        </w:numPr>
        <w:shd w:val="clear" w:color="auto" w:fill="auto"/>
        <w:kinsoku w:val="0"/>
        <w:overflowPunct w:val="0"/>
        <w:topLinePunct w:val="0"/>
        <w:autoSpaceDE/>
        <w:autoSpaceDN/>
        <w:bidi w:val="0"/>
        <w:adjustRightInd/>
        <w:snapToGrid/>
        <w:spacing w:before="34" w:line="440" w:lineRule="exact"/>
        <w:ind w:left="480" w:leftChars="0" w:right="126" w:rightChars="0"/>
        <w:jc w:val="center"/>
        <w:textAlignment w:val="auto"/>
        <w:outlineLvl w:val="9"/>
        <w:rPr>
          <w:rFonts w:hint="eastAsia" w:ascii="仿宋" w:hAnsi="仿宋" w:eastAsia="仿宋" w:cs="仿宋"/>
          <w:b/>
          <w:bCs w:val="0"/>
          <w:color w:val="auto"/>
          <w:kern w:val="0"/>
          <w:sz w:val="36"/>
          <w:szCs w:val="24"/>
          <w:highlight w:val="none"/>
          <w:lang w:val="en-US" w:eastAsia="zh-CN" w:bidi="ar-SA"/>
        </w:rPr>
      </w:pPr>
      <w:r>
        <w:rPr>
          <w:rFonts w:hint="eastAsia" w:ascii="宋体" w:hAnsi="宋体" w:eastAsia="宋体" w:cs="宋体"/>
          <w:color w:val="auto"/>
          <w:sz w:val="24"/>
          <w:highlight w:val="none"/>
          <w:lang w:val="en-US" w:eastAsia="zh-CN"/>
        </w:rPr>
        <w:br w:type="page"/>
      </w:r>
      <w:bookmarkEnd w:id="135"/>
      <w:bookmarkEnd w:id="136"/>
      <w:bookmarkEnd w:id="137"/>
      <w:bookmarkEnd w:id="138"/>
      <w:bookmarkEnd w:id="139"/>
      <w:bookmarkEnd w:id="140"/>
      <w:bookmarkEnd w:id="141"/>
      <w:bookmarkEnd w:id="142"/>
      <w:bookmarkEnd w:id="143"/>
      <w:r>
        <w:rPr>
          <w:rFonts w:hint="eastAsia" w:ascii="仿宋" w:hAnsi="仿宋" w:eastAsia="仿宋" w:cs="仿宋"/>
          <w:b/>
          <w:bCs w:val="0"/>
          <w:color w:val="auto"/>
          <w:kern w:val="0"/>
          <w:sz w:val="36"/>
          <w:szCs w:val="24"/>
          <w:highlight w:val="none"/>
          <w:lang w:val="en-US" w:eastAsia="zh-CN" w:bidi="ar-SA"/>
        </w:rPr>
        <w:t>2、法人或者非法人组织的营业执照等证明文件</w:t>
      </w:r>
      <w:bookmarkStart w:id="144" w:name="_Toc515647806"/>
      <w:r>
        <w:rPr>
          <w:rFonts w:hint="eastAsia" w:ascii="仿宋" w:hAnsi="仿宋" w:eastAsia="仿宋" w:cs="仿宋"/>
          <w:b/>
          <w:bCs w:val="0"/>
          <w:color w:val="auto"/>
          <w:kern w:val="0"/>
          <w:sz w:val="36"/>
          <w:szCs w:val="24"/>
          <w:highlight w:val="none"/>
          <w:lang w:val="en-US" w:eastAsia="zh-CN" w:bidi="ar-SA"/>
        </w:rPr>
        <w:t>或自然人的身份证明</w:t>
      </w:r>
      <w:bookmarkEnd w:id="144"/>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jc w:val="center"/>
        <w:outlineLvl w:val="9"/>
        <w:rPr>
          <w:rFonts w:hint="eastAsia" w:ascii="仿宋" w:hAnsi="仿宋" w:eastAsia="仿宋" w:cs="仿宋"/>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outlineLvl w:val="9"/>
        <w:rPr>
          <w:rFonts w:hint="eastAsia" w:ascii="仿宋" w:hAnsi="仿宋" w:eastAsia="仿宋" w:cs="仿宋"/>
          <w:b/>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ind w:left="1092" w:leftChars="257" w:hanging="540"/>
        <w:outlineLvl w:val="9"/>
        <w:rPr>
          <w:rFonts w:hint="eastAsia" w:ascii="仿宋" w:hAnsi="仿宋" w:eastAsia="仿宋" w:cs="仿宋"/>
          <w:b/>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说明：1.提供有效的营业执照等证明文件复印件，复印件上应加盖本单位章。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2. 投标人为自然人的，应提供身份证明的复印件。</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宋体" w:hAnsi="宋体" w:eastAsia="宋体" w:cs="宋体"/>
          <w:color w:val="auto"/>
          <w:sz w:val="24"/>
          <w:highlight w:val="none"/>
        </w:rPr>
      </w:pPr>
    </w:p>
    <w:p>
      <w:pPr>
        <w:pStyle w:val="13"/>
        <w:pageBreakBefore w:val="0"/>
        <w:widowControl w:val="0"/>
        <w:shd w:val="clear" w:color="auto" w:fill="auto"/>
        <w:tabs>
          <w:tab w:val="left" w:pos="5580"/>
        </w:tabs>
        <w:kinsoku/>
        <w:wordWrap/>
        <w:overflowPunct/>
        <w:topLinePunct w:val="0"/>
        <w:autoSpaceDE/>
        <w:autoSpaceDN/>
        <w:bidi w:val="0"/>
        <w:snapToGrid/>
        <w:spacing w:line="400" w:lineRule="exac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92" w:leftChars="257" w:hanging="540"/>
        <w:jc w:val="center"/>
        <w:outlineLvl w:val="9"/>
        <w:rPr>
          <w:rFonts w:hint="eastAsia" w:ascii="宋体" w:hAnsi="宋体" w:eastAsia="宋体" w:cs="宋体"/>
          <w:color w:val="auto"/>
          <w:sz w:val="24"/>
          <w:highlight w:val="none"/>
        </w:rPr>
      </w:pPr>
      <w:bookmarkStart w:id="145" w:name="_Toc7039"/>
      <w:bookmarkStart w:id="146" w:name="_Toc515647808"/>
      <w:bookmarkStart w:id="147" w:name="_Toc32520"/>
    </w:p>
    <w:p>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bookmarkStart w:id="148" w:name="_Toc23503"/>
      <w:bookmarkStart w:id="149" w:name="_Toc515647807"/>
      <w:bookmarkStart w:id="150" w:name="_Toc1083"/>
      <w:bookmarkStart w:id="151" w:name="_Toc22472"/>
    </w:p>
    <w:p>
      <w:pPr>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ind w:left="0" w:leftChars="0" w:firstLine="0" w:firstLineChars="0"/>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52" w:name="_Toc10823"/>
      <w:bookmarkStart w:id="153" w:name="_Toc20444"/>
      <w:bookmarkStart w:id="154" w:name="_Toc10849"/>
      <w:bookmarkStart w:id="155" w:name="_Toc334"/>
      <w:bookmarkStart w:id="156" w:name="_Toc3245"/>
      <w:bookmarkStart w:id="157" w:name="_Toc30244"/>
      <w:r>
        <w:rPr>
          <w:rFonts w:hint="eastAsia" w:ascii="宋体" w:hAnsi="宋体" w:eastAsia="宋体" w:cs="宋体"/>
          <w:color w:val="auto"/>
          <w:sz w:val="24"/>
          <w:highlight w:val="none"/>
          <w:lang w:eastAsia="zh-CN"/>
        </w:rPr>
        <w:br w:type="page"/>
      </w:r>
      <w:r>
        <w:rPr>
          <w:rFonts w:hint="eastAsia" w:ascii="仿宋" w:hAnsi="仿宋" w:eastAsia="仿宋" w:cs="仿宋"/>
          <w:b/>
          <w:bCs w:val="0"/>
          <w:color w:val="auto"/>
          <w:kern w:val="0"/>
          <w:sz w:val="36"/>
          <w:szCs w:val="24"/>
          <w:highlight w:val="none"/>
          <w:lang w:val="en-US" w:eastAsia="zh-CN" w:bidi="ar-SA"/>
        </w:rPr>
        <w:t>3、法定代表人资格证明书（自然人投标的无需提供）</w:t>
      </w:r>
      <w:bookmarkEnd w:id="152"/>
      <w:bookmarkEnd w:id="153"/>
      <w:bookmarkEnd w:id="154"/>
      <w:bookmarkEnd w:id="155"/>
      <w:bookmarkEnd w:id="156"/>
    </w:p>
    <w:p>
      <w:pPr>
        <w:adjustRightInd w:val="0"/>
        <w:snapToGrid w:val="0"/>
        <w:spacing w:before="240" w:beforeLines="100" w:after="240" w:afterLines="100" w:line="500" w:lineRule="exac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同志，现任我单位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职务，为法定代表人，特此证明。</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签发日期：                  单位：           （盖章）</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营业执照号码：              经济性质：</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1、法定代表人为企业事业单位、国家机关、社会团体的主要行政负责人。</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2、内容必须填写真实、清楚、涂改无效，不得转让。</w:t>
      </w:r>
    </w:p>
    <w:p>
      <w:pPr>
        <w:spacing w:line="500" w:lineRule="exact"/>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3、将此证明书原件提交采购代理机构作为投标文件附件。</w:t>
      </w: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(为避免废标，请投标人务必提供本附件)</w: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398780</wp:posOffset>
                </wp:positionH>
                <wp:positionV relativeFrom="paragraph">
                  <wp:posOffset>38100</wp:posOffset>
                </wp:positionV>
                <wp:extent cx="2333625" cy="1584325"/>
                <wp:effectExtent l="0" t="0" r="0" b="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wps:txbx>
                      <wps:bodyPr wrap="square" upright="1"/>
                    </wps:wsp>
                  </a:graphicData>
                </a:graphic>
              </wp:anchor>
            </w:drawing>
          </mc:Choice>
          <mc:Fallback>
            <w:pict>
              <v:shape id="AutoShape 2" o:spid="_x0000_s1026" o:spt="176" type="#_x0000_t176" style="position:absolute;left:0pt;margin-left:31.4pt;margin-top:3pt;height:124.75pt;width:183.75pt;z-index:251663360;mso-width-relative:page;mso-height-relative:page;" fillcolor="#FFFFFF" filled="t" stroked="t" coordsize="21600,21600" o:gfxdata="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XBfHjWAAAACAEAAA8AAAAAAAAAAQAgAAAA&#10;IgAAAGRycy9kb3ducmV2LnhtbFBLAQIUABQAAAAIAIdO4kDu/nTFDQIAAFAEAAAOAAAAAAAAAAEA&#10;IAAAACUBAABkcnMvZTJvRG9jLnhtbFBLBQYAAAAABgAGAFkBAACk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正面</w:t>
                      </w:r>
                    </w:p>
                  </w:txbxContent>
                </v:textbox>
              </v:shape>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3226435</wp:posOffset>
                </wp:positionH>
                <wp:positionV relativeFrom="paragraph">
                  <wp:posOffset>34290</wp:posOffset>
                </wp:positionV>
                <wp:extent cx="2333625" cy="1584325"/>
                <wp:effectExtent l="0" t="0" r="0" b="0"/>
                <wp:wrapNone/>
                <wp:docPr id="2" name="自选图形 2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wps:txbx>
                      <wps:bodyPr wrap="square" upright="1"/>
                    </wps:wsp>
                  </a:graphicData>
                </a:graphic>
              </wp:anchor>
            </w:drawing>
          </mc:Choice>
          <mc:Fallback>
            <w:pict>
              <v:shape id="自选图形 24" o:spid="_x0000_s1026" o:spt="176" type="#_x0000_t176" style="position:absolute;left:0pt;margin-left:254.05pt;margin-top:2.7pt;height:124.75pt;width:183.75pt;z-index:251664384;mso-width-relative:page;mso-height-relative:page;" fillcolor="#FFFFFF" filled="t" stroked="t" coordsize="21600,21600" o:gfxdata="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hPEYdgAAAAJAQAADwAAAAAAAAABACAAAAAiAAAAZHJzL2Rvd25yZXYueG1sUEsBAhQAFAAAAAgA&#10;h07iQD2VmIUlAgAAVAQAAA4AAAAAAAAAAQAgAAAAJwEAAGRycy9lMm9Eb2MueG1sUEsFBgAAAAAG&#10;AAYAWQEAAL4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eastAsia="宋体"/>
                          <w:szCs w:val="21"/>
                          <w:lang w:eastAsia="zh-CN"/>
                        </w:rPr>
                      </w:pPr>
                      <w:r>
                        <w:rPr>
                          <w:rFonts w:hint="eastAsia" w:hAnsi="宋体"/>
                          <w:szCs w:val="21"/>
                        </w:rPr>
                        <w:t>法定代表人身份证复印件</w:t>
                      </w:r>
                      <w:r>
                        <w:rPr>
                          <w:rFonts w:hint="eastAsia" w:hAnsi="宋体"/>
                          <w:szCs w:val="21"/>
                          <w:lang w:eastAsia="zh-CN"/>
                        </w:rPr>
                        <w:t>反面</w:t>
                      </w:r>
                    </w:p>
                  </w:txbxContent>
                </v:textbox>
              </v:shape>
            </w:pict>
          </mc:Fallback>
        </mc:AlternateContent>
      </w:r>
    </w:p>
    <w:p>
      <w:pPr>
        <w:spacing w:line="500" w:lineRule="exact"/>
        <w:outlineLvl w:val="9"/>
        <w:rPr>
          <w:rFonts w:hint="eastAsia" w:ascii="仿宋" w:hAnsi="仿宋" w:eastAsia="仿宋" w:cs="仿宋"/>
          <w:color w:val="auto"/>
          <w:sz w:val="24"/>
          <w:szCs w:val="24"/>
          <w:highlight w:val="none"/>
        </w:rPr>
      </w:pPr>
    </w:p>
    <w:p>
      <w:pPr>
        <w:spacing w:line="500" w:lineRule="exact"/>
        <w:outlineLvl w:val="9"/>
        <w:rPr>
          <w:rFonts w:hint="eastAsia" w:ascii="仿宋" w:hAnsi="仿宋" w:eastAsia="仿宋" w:cs="仿宋"/>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500" w:lineRule="exact"/>
        <w:outlineLvl w:val="9"/>
        <w:rPr>
          <w:rFonts w:hint="eastAsia" w:ascii="仿宋" w:hAnsi="仿宋" w:eastAsia="仿宋" w:cs="仿宋"/>
          <w:color w:val="auto"/>
          <w:sz w:val="24"/>
          <w:szCs w:val="24"/>
          <w:highlight w:val="none"/>
        </w:rPr>
      </w:pPr>
    </w:p>
    <w:p>
      <w:pPr>
        <w:spacing w:line="500" w:lineRule="exact"/>
        <w:jc w:val="center"/>
        <w:outlineLvl w:val="9"/>
        <w:rPr>
          <w:rFonts w:hint="eastAsia" w:ascii="仿宋" w:hAnsi="仿宋" w:eastAsia="仿宋" w:cs="仿宋"/>
          <w:color w:val="auto"/>
          <w:sz w:val="24"/>
          <w:szCs w:val="24"/>
          <w:highlight w:val="none"/>
        </w:rPr>
      </w:pPr>
    </w:p>
    <w:p>
      <w:pPr>
        <w:autoSpaceDE w:val="0"/>
        <w:autoSpaceDN w:val="0"/>
        <w:adjustRightInd w:val="0"/>
        <w:spacing w:line="500" w:lineRule="exact"/>
        <w:ind w:right="246" w:firstLine="800" w:firstLineChars="327"/>
        <w:outlineLvl w:val="9"/>
        <w:rPr>
          <w:rFonts w:hint="eastAsia" w:ascii="仿宋" w:hAnsi="仿宋" w:eastAsia="仿宋" w:cs="仿宋"/>
          <w:color w:val="auto"/>
          <w:kern w:val="0"/>
          <w:sz w:val="24"/>
          <w:szCs w:val="24"/>
          <w:highlight w:val="none"/>
        </w:rPr>
      </w:pPr>
    </w:p>
    <w:p>
      <w:pPr>
        <w:pStyle w:val="13"/>
        <w:shd w:val="clear" w:color="auto" w:fill="auto"/>
        <w:tabs>
          <w:tab w:val="left" w:pos="5580"/>
        </w:tabs>
        <w:spacing w:line="240" w:lineRule="atLeast"/>
        <w:ind w:firstLine="490" w:firstLineChars="20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 xml:space="preserve">                           </w:t>
      </w:r>
    </w:p>
    <w:p>
      <w:pPr>
        <w:pStyle w:val="13"/>
        <w:shd w:val="clear" w:color="auto" w:fill="auto"/>
        <w:tabs>
          <w:tab w:val="left" w:pos="5580"/>
        </w:tabs>
        <w:spacing w:line="240" w:lineRule="atLeast"/>
        <w:ind w:firstLine="490" w:firstLineChars="2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shd w:val="clear" w:color="auto" w:fill="auto"/>
        <w:spacing w:line="360" w:lineRule="auto"/>
        <w:ind w:firstLine="490" w:firstLineChars="200"/>
        <w:jc w:val="left"/>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spacing w:line="500" w:lineRule="exact"/>
        <w:jc w:val="center"/>
        <w:outlineLvl w:val="9"/>
        <w:rPr>
          <w:rFonts w:hint="eastAsia" w:ascii="仿宋" w:hAnsi="仿宋" w:eastAsia="仿宋" w:cs="仿宋"/>
          <w:b/>
          <w:color w:val="auto"/>
          <w:sz w:val="24"/>
          <w:szCs w:val="24"/>
          <w:highlight w:val="none"/>
        </w:rPr>
      </w:pPr>
    </w:p>
    <w:p>
      <w:pPr>
        <w:pStyle w:val="43"/>
        <w:outlineLvl w:val="9"/>
        <w:rPr>
          <w:rFonts w:hint="eastAsia" w:ascii="仿宋" w:hAnsi="仿宋" w:eastAsia="仿宋" w:cs="仿宋"/>
          <w:b/>
          <w:color w:val="auto"/>
          <w:sz w:val="24"/>
          <w:szCs w:val="24"/>
          <w:highlight w:val="none"/>
        </w:rPr>
      </w:pPr>
    </w:p>
    <w:p>
      <w:pPr>
        <w:pStyle w:val="43"/>
        <w:outlineLvl w:val="9"/>
        <w:rPr>
          <w:rFonts w:hint="eastAsia" w:ascii="仿宋" w:hAnsi="仿宋" w:eastAsia="仿宋" w:cs="仿宋"/>
          <w:b/>
          <w:color w:val="auto"/>
          <w:sz w:val="24"/>
          <w:szCs w:val="24"/>
          <w:highlight w:val="none"/>
        </w:rPr>
      </w:pPr>
    </w:p>
    <w:p>
      <w:pPr>
        <w:pStyle w:val="43"/>
        <w:outlineLvl w:val="9"/>
        <w:rPr>
          <w:rFonts w:hint="eastAsia" w:ascii="仿宋" w:hAnsi="仿宋" w:eastAsia="仿宋" w:cs="仿宋"/>
          <w:b/>
          <w:color w:val="auto"/>
          <w:sz w:val="24"/>
          <w:szCs w:val="24"/>
          <w:highlight w:val="none"/>
        </w:rPr>
      </w:pPr>
    </w:p>
    <w:p>
      <w:pPr>
        <w:spacing w:line="500" w:lineRule="exact"/>
        <w:jc w:val="center"/>
        <w:outlineLvl w:val="9"/>
        <w:rPr>
          <w:rFonts w:hint="eastAsia" w:ascii="仿宋" w:hAnsi="仿宋" w:eastAsia="仿宋" w:cs="仿宋"/>
          <w:b/>
          <w:color w:val="auto"/>
          <w:sz w:val="24"/>
          <w:szCs w:val="24"/>
          <w:highlight w:val="none"/>
        </w:rPr>
      </w:pPr>
    </w:p>
    <w:p>
      <w:pPr>
        <w:spacing w:line="500" w:lineRule="exact"/>
        <w:jc w:val="center"/>
        <w:outlineLvl w:val="9"/>
        <w:rPr>
          <w:rFonts w:hint="eastAsia" w:ascii="仿宋" w:hAnsi="仿宋" w:eastAsia="仿宋" w:cs="仿宋"/>
          <w:b/>
          <w:color w:val="auto"/>
          <w:sz w:val="24"/>
          <w:szCs w:val="24"/>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58" w:name="_Toc23215"/>
      <w:bookmarkStart w:id="159" w:name="_Toc3815"/>
      <w:bookmarkStart w:id="160" w:name="_Toc25779"/>
      <w:bookmarkStart w:id="161" w:name="_Toc23699"/>
      <w:bookmarkStart w:id="162" w:name="_Toc10226"/>
      <w:r>
        <w:rPr>
          <w:rFonts w:hint="eastAsia" w:ascii="仿宋" w:hAnsi="仿宋" w:eastAsia="仿宋" w:cs="仿宋"/>
          <w:b/>
          <w:bCs w:val="0"/>
          <w:color w:val="auto"/>
          <w:kern w:val="0"/>
          <w:sz w:val="36"/>
          <w:szCs w:val="24"/>
          <w:highlight w:val="none"/>
          <w:lang w:val="en-US" w:eastAsia="zh-CN" w:bidi="ar-SA"/>
        </w:rPr>
        <w:t>4、法定代表人授权委托书(自然人投标的无需提供)</w:t>
      </w:r>
      <w:bookmarkEnd w:id="148"/>
      <w:bookmarkEnd w:id="149"/>
      <w:bookmarkEnd w:id="150"/>
      <w:bookmarkEnd w:id="151"/>
      <w:bookmarkEnd w:id="157"/>
      <w:bookmarkEnd w:id="158"/>
      <w:bookmarkEnd w:id="159"/>
      <w:bookmarkEnd w:id="160"/>
      <w:bookmarkEnd w:id="161"/>
      <w:bookmarkEnd w:id="162"/>
    </w:p>
    <w:p>
      <w:pPr>
        <w:pStyle w:val="13"/>
        <w:shd w:val="clear" w:color="auto" w:fill="auto"/>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cr/>
      </w:r>
    </w:p>
    <w:p>
      <w:pPr>
        <w:pStyle w:val="13"/>
        <w:shd w:val="clear" w:color="auto" w:fill="auto"/>
        <w:tabs>
          <w:tab w:val="left" w:pos="5580"/>
        </w:tabs>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本授权书声明：注册于</w:t>
      </w:r>
      <w:r>
        <w:rPr>
          <w:rFonts w:hint="eastAsia" w:ascii="仿宋" w:hAnsi="仿宋" w:eastAsia="仿宋" w:cs="仿宋"/>
          <w:color w:val="auto"/>
          <w:sz w:val="24"/>
          <w:szCs w:val="24"/>
          <w:highlight w:val="none"/>
          <w:u w:val="single"/>
        </w:rPr>
        <w:t>（国家或地区的名称）</w:t>
      </w:r>
      <w:r>
        <w:rPr>
          <w:rFonts w:hint="eastAsia" w:ascii="仿宋" w:hAnsi="仿宋" w:eastAsia="仿宋" w:cs="仿宋"/>
          <w:color w:val="auto"/>
          <w:sz w:val="24"/>
          <w:szCs w:val="24"/>
          <w:highlight w:val="none"/>
        </w:rPr>
        <w:t>的（</w:t>
      </w:r>
      <w:r>
        <w:rPr>
          <w:rFonts w:hint="eastAsia" w:ascii="仿宋" w:hAnsi="仿宋" w:eastAsia="仿宋" w:cs="仿宋"/>
          <w:i/>
          <w:color w:val="auto"/>
          <w:sz w:val="24"/>
          <w:szCs w:val="24"/>
          <w:highlight w:val="none"/>
          <w:u w:val="single"/>
        </w:rPr>
        <w:t>投标人</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（法人代表姓名、职务）</w:t>
      </w:r>
      <w:r>
        <w:rPr>
          <w:rFonts w:hint="eastAsia" w:ascii="仿宋" w:hAnsi="仿宋" w:eastAsia="仿宋" w:cs="仿宋"/>
          <w:color w:val="auto"/>
          <w:sz w:val="24"/>
          <w:szCs w:val="24"/>
          <w:highlight w:val="none"/>
        </w:rPr>
        <w:t>代表我单位授权（</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的在下面签字的（</w:t>
      </w:r>
      <w:r>
        <w:rPr>
          <w:rFonts w:hint="eastAsia" w:ascii="仿宋" w:hAnsi="仿宋" w:eastAsia="仿宋" w:cs="仿宋"/>
          <w:color w:val="auto"/>
          <w:sz w:val="24"/>
          <w:szCs w:val="24"/>
          <w:highlight w:val="none"/>
          <w:u w:val="single"/>
        </w:rPr>
        <w:t>被授权人的姓名、职务</w:t>
      </w:r>
      <w:r>
        <w:rPr>
          <w:rFonts w:hint="eastAsia" w:ascii="仿宋" w:hAnsi="仿宋" w:eastAsia="仿宋" w:cs="仿宋"/>
          <w:color w:val="auto"/>
          <w:sz w:val="24"/>
          <w:szCs w:val="24"/>
          <w:highlight w:val="none"/>
        </w:rPr>
        <w:t>）为我单位的合法代理人，就（</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）投标，以我单位名义处理一切与之有关的事务。</w:t>
      </w:r>
      <w:r>
        <w:rPr>
          <w:rFonts w:hint="eastAsia" w:ascii="仿宋" w:hAnsi="仿宋" w:eastAsia="仿宋" w:cs="仿宋"/>
          <w:color w:val="auto"/>
          <w:sz w:val="24"/>
          <w:szCs w:val="24"/>
          <w:highlight w:val="none"/>
        </w:rPr>
        <w:cr/>
      </w:r>
      <w:r>
        <w:rPr>
          <w:rFonts w:hint="eastAsia" w:ascii="仿宋" w:hAnsi="仿宋" w:eastAsia="仿宋" w:cs="仿宋"/>
          <w:color w:val="auto"/>
          <w:sz w:val="24"/>
          <w:szCs w:val="24"/>
          <w:highlight w:val="none"/>
        </w:rPr>
        <w:t>　　本授权书于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日签字生效,特此声明。</w:t>
      </w:r>
      <w:r>
        <w:rPr>
          <w:rFonts w:hint="eastAsia" w:ascii="仿宋" w:hAnsi="仿宋" w:eastAsia="仿宋" w:cs="仿宋"/>
          <w:color w:val="auto"/>
          <w:sz w:val="24"/>
          <w:szCs w:val="24"/>
          <w:highlight w:val="none"/>
        </w:rPr>
        <w:cr/>
      </w:r>
    </w:p>
    <w:p>
      <w:pPr>
        <w:pStyle w:val="13"/>
        <w:shd w:val="clear" w:color="auto" w:fill="auto"/>
        <w:tabs>
          <w:tab w:val="left" w:pos="5580"/>
        </w:tabs>
        <w:spacing w:line="240" w:lineRule="atLeast"/>
        <w:ind w:left="-552" w:leftChars="-257" w:firstLine="918" w:firstLineChars="375"/>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3039110</wp:posOffset>
                </wp:positionH>
                <wp:positionV relativeFrom="paragraph">
                  <wp:posOffset>167640</wp:posOffset>
                </wp:positionV>
                <wp:extent cx="2478405" cy="1125220"/>
                <wp:effectExtent l="0" t="0" r="0" b="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39.3pt;margin-top:13.2pt;height:88.6pt;width:195.15pt;z-index:251660288;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OaFySLbAAAACgEAAA8AAAAAAAAAAQAgAAAAIgAAAGRycy9kb3du&#10;cmV2LnhtbFBLAQIUABQAAAAIAIdO4kAgoDXkNQIAAHQEAAAOAAAAAAAAAAEAIAAAACoBAABkcnMv&#10;ZTJvRG9jLnhtbFBLBQYAAAAABgAGAFkBAADR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135890</wp:posOffset>
                </wp:positionV>
                <wp:extent cx="2507615" cy="1143000"/>
                <wp:effectExtent l="0" t="0" r="0" b="0"/>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1.65pt;margin-top:10.7pt;height:90pt;width:197.45pt;z-index:251659264;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YEjIw1gAAAAgBAAAPAAAAAAAAAAEAIAAAACIAAABkcnMvZG93&#10;bnJldi54bWxQSwECFAAUAAAACACHTuJAeahyfDsCAABsBAAADgAAAAAAAAABACAAAAAlAQAAZHJz&#10;L2Uyb0RvYy54bWxQSwUGAAAAAAYABgBZAQAA0g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3018155</wp:posOffset>
                </wp:positionH>
                <wp:positionV relativeFrom="paragraph">
                  <wp:posOffset>53975</wp:posOffset>
                </wp:positionV>
                <wp:extent cx="2535555" cy="1029335"/>
                <wp:effectExtent l="0" t="0" r="0" b="0"/>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37.65pt;margin-top:4.25pt;height:81.05pt;width:199.65pt;z-index:251662336;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HNIL2gAAAAkBAAAPAAAAAAAAAAEAIAAAACIAAABkcnMvZG93bnJl&#10;di54bWxQSwECFAAUAAAACACHTuJAoDR6FTQCAAB0BAAADgAAAAAAAAABACAAAAApAQAAZHJzL2Uy&#10;b0RvYy54bWxQSwUGAAAAAAYABgBZAQAAzw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仿宋" w:hAnsi="仿宋" w:eastAsia="仿宋" w:cs="仿宋"/>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-10795</wp:posOffset>
                </wp:positionH>
                <wp:positionV relativeFrom="paragraph">
                  <wp:posOffset>29845</wp:posOffset>
                </wp:positionV>
                <wp:extent cx="2555240" cy="1024890"/>
                <wp:effectExtent l="0" t="0" r="0" b="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0.85pt;margin-top:2.35pt;height:80.7pt;width:201.2pt;z-index:251661312;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74Le9gAAAAIAQAADwAAAAAAAAABACAAAAAiAAAAZHJzL2Rvd25y&#10;ZXYueG1sUEsBAhQAFAAAAAgAh07iQIuywrY3AgAAdAQAAA4AAAAAAAAAAQAgAAAAJwEAAGRycy9l&#10;Mm9Eb2MueG1sUEsFBgAAAAAGAAYAWQEAANA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shd w:val="clear" w:color="auto" w:fill="auto"/>
        <w:spacing w:line="360" w:lineRule="auto"/>
        <w:ind w:firstLine="245" w:firstLineChars="100"/>
        <w:outlineLvl w:val="9"/>
        <w:rPr>
          <w:rFonts w:hint="eastAsia" w:ascii="仿宋" w:hAnsi="仿宋" w:eastAsia="仿宋" w:cs="仿宋"/>
          <w:color w:val="auto"/>
          <w:sz w:val="24"/>
          <w:szCs w:val="24"/>
          <w:highlight w:val="none"/>
        </w:rPr>
      </w:pPr>
    </w:p>
    <w:p>
      <w:pPr>
        <w:pStyle w:val="13"/>
        <w:shd w:val="clear" w:color="auto" w:fill="auto"/>
        <w:tabs>
          <w:tab w:val="left" w:pos="5580"/>
        </w:tabs>
        <w:spacing w:line="240" w:lineRule="atLeast"/>
        <w:ind w:left="-552" w:leftChars="-257" w:firstLine="918" w:firstLineChars="375"/>
        <w:outlineLvl w:val="9"/>
        <w:rPr>
          <w:rFonts w:hint="eastAsia" w:ascii="仿宋" w:hAnsi="仿宋" w:eastAsia="仿宋" w:cs="仿宋"/>
          <w:color w:val="auto"/>
          <w:sz w:val="24"/>
          <w:szCs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left="-552" w:leftChars="-257" w:firstLine="918" w:firstLineChars="375"/>
        <w:textAlignment w:val="auto"/>
        <w:outlineLvl w:val="9"/>
        <w:rPr>
          <w:rFonts w:hint="eastAsia" w:ascii="仿宋" w:hAnsi="仿宋" w:eastAsia="仿宋" w:cs="仿宋"/>
          <w:color w:val="auto"/>
          <w:sz w:val="24"/>
          <w:szCs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r>
        <w:rPr>
          <w:rFonts w:hint="eastAsia" w:ascii="仿宋" w:hAnsi="仿宋" w:eastAsia="仿宋" w:cs="仿宋"/>
          <w:color w:val="auto"/>
          <w:sz w:val="24"/>
          <w:szCs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600" w:lineRule="exact"/>
        <w:ind w:firstLine="490" w:firstLineChars="200"/>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490" w:firstLineChars="200"/>
        <w:jc w:val="left"/>
        <w:textAlignment w:val="auto"/>
        <w:outlineLvl w:val="9"/>
        <w:rPr>
          <w:rFonts w:hint="eastAsia" w:ascii="仿宋" w:hAnsi="仿宋" w:eastAsia="仿宋" w:cs="仿宋"/>
          <w:color w:val="auto"/>
          <w:kern w:val="2"/>
          <w:sz w:val="24"/>
          <w:szCs w:val="24"/>
          <w:highlight w:val="none"/>
          <w:u w:val="none" w:color="000000"/>
          <w:lang w:val="en-US" w:eastAsia="zh-CN" w:bidi="ar-SA"/>
        </w:rPr>
      </w:pPr>
      <w:r>
        <w:rPr>
          <w:rFonts w:hint="eastAsia" w:ascii="仿宋" w:hAnsi="仿宋" w:eastAsia="仿宋" w:cs="仿宋"/>
          <w:color w:val="auto"/>
          <w:kern w:val="2"/>
          <w:sz w:val="24"/>
          <w:szCs w:val="24"/>
          <w:highlight w:val="none"/>
          <w:u w:val="none" w:color="000000"/>
          <w:lang w:val="en-US" w:eastAsia="zh-CN" w:bidi="ar-SA"/>
        </w:rPr>
        <w:t xml:space="preserve">年   月   日 </w:t>
      </w:r>
    </w:p>
    <w:p>
      <w:pPr>
        <w:numPr>
          <w:ilvl w:val="0"/>
          <w:numId w:val="0"/>
        </w:numPr>
        <w:shd w:val="clear" w:color="auto" w:fill="auto"/>
        <w:spacing w:before="0" w:line="240" w:lineRule="atLeast"/>
        <w:ind w:leftChars="257"/>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63" w:name="_Toc26357"/>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64" w:name="_Toc9531"/>
      <w:bookmarkStart w:id="165" w:name="_Toc11857"/>
      <w:bookmarkStart w:id="166" w:name="_Toc18724"/>
      <w:bookmarkStart w:id="167" w:name="_Toc582"/>
      <w:bookmarkStart w:id="168" w:name="_Toc24097"/>
      <w:r>
        <w:rPr>
          <w:rFonts w:hint="eastAsia" w:ascii="仿宋" w:hAnsi="仿宋" w:eastAsia="仿宋" w:cs="仿宋"/>
          <w:b/>
          <w:bCs w:val="0"/>
          <w:color w:val="auto"/>
          <w:kern w:val="0"/>
          <w:sz w:val="36"/>
          <w:szCs w:val="24"/>
          <w:highlight w:val="none"/>
          <w:lang w:val="en-US" w:eastAsia="zh-CN" w:bidi="ar-SA"/>
        </w:rPr>
        <w:t>5、具有良好的商业信誉和健全的财务会计制度的证明文件</w:t>
      </w:r>
      <w:bookmarkEnd w:id="145"/>
      <w:bookmarkEnd w:id="146"/>
      <w:bookmarkEnd w:id="147"/>
      <w:bookmarkEnd w:id="163"/>
      <w:bookmarkEnd w:id="164"/>
      <w:bookmarkEnd w:id="165"/>
      <w:bookmarkEnd w:id="166"/>
      <w:bookmarkEnd w:id="167"/>
      <w:bookmarkEnd w:id="168"/>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shd w:val="clear" w:color="auto" w:fill="auto"/>
        <w:tabs>
          <w:tab w:val="left" w:pos="3060"/>
          <w:tab w:val="left" w:pos="5580"/>
        </w:tabs>
        <w:spacing w:line="240" w:lineRule="atLeast"/>
        <w:ind w:left="1092" w:leftChars="257" w:hanging="540"/>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jc w:val="center"/>
        <w:outlineLvl w:val="9"/>
        <w:rPr>
          <w:rFonts w:hint="eastAsia" w:ascii="仿宋" w:hAnsi="仿宋" w:eastAsia="仿宋" w:cs="仿宋"/>
          <w:b/>
          <w:color w:val="auto"/>
          <w:sz w:val="24"/>
          <w:szCs w:val="24"/>
          <w:highlight w:val="none"/>
        </w:rPr>
      </w:pP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pPr>
        <w:shd w:val="clear" w:color="auto" w:fill="auto"/>
        <w:tabs>
          <w:tab w:val="left" w:pos="5580"/>
        </w:tabs>
        <w:spacing w:line="240" w:lineRule="atLeast"/>
        <w:ind w:left="540"/>
        <w:outlineLvl w:val="9"/>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1、如提供本单位上年度经会计师事务所出具的审计报告复印件须加盖</w:t>
      </w:r>
      <w:r>
        <w:rPr>
          <w:rFonts w:hint="eastAsia" w:ascii="仿宋" w:hAnsi="仿宋" w:eastAsia="仿宋" w:cs="仿宋"/>
          <w:bCs/>
          <w:color w:val="auto"/>
          <w:sz w:val="24"/>
          <w:szCs w:val="24"/>
          <w:highlight w:val="none"/>
        </w:rPr>
        <w:t>本单位章。</w:t>
      </w:r>
    </w:p>
    <w:p>
      <w:pPr>
        <w:shd w:val="clear" w:color="auto" w:fill="auto"/>
        <w:tabs>
          <w:tab w:val="left" w:pos="5580"/>
        </w:tabs>
        <w:spacing w:line="240" w:lineRule="atLeast"/>
        <w:ind w:left="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3、（本项目不接受联合体投标）如果是联合体投标，联合体各方均需提供上述证明。</w:t>
      </w:r>
    </w:p>
    <w:p>
      <w:pPr>
        <w:shd w:val="clear" w:color="auto" w:fill="auto"/>
        <w:tabs>
          <w:tab w:val="left" w:pos="5580"/>
        </w:tabs>
        <w:spacing w:line="240" w:lineRule="atLeast"/>
        <w:ind w:left="1092" w:leftChars="257" w:hanging="540"/>
        <w:outlineLvl w:val="9"/>
        <w:rPr>
          <w:rFonts w:hint="eastAsia" w:ascii="仿宋" w:hAnsi="仿宋" w:eastAsia="仿宋" w:cs="仿宋"/>
          <w:color w:val="auto"/>
          <w:sz w:val="24"/>
          <w:szCs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169" w:name="_Toc515647809"/>
      <w:bookmarkStart w:id="170" w:name="_Toc4866"/>
      <w:bookmarkStart w:id="171" w:name="_Toc11047"/>
      <w:bookmarkStart w:id="172" w:name="_Toc28445"/>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73" w:name="_Toc29813"/>
      <w:bookmarkStart w:id="174" w:name="_Toc20410"/>
      <w:bookmarkStart w:id="175" w:name="_Toc28327"/>
      <w:bookmarkStart w:id="176" w:name="_Toc19288"/>
      <w:bookmarkStart w:id="177" w:name="_Toc3170"/>
      <w:r>
        <w:rPr>
          <w:rFonts w:hint="eastAsia" w:ascii="仿宋" w:hAnsi="仿宋" w:eastAsia="仿宋" w:cs="仿宋"/>
          <w:b/>
          <w:bCs w:val="0"/>
          <w:color w:val="auto"/>
          <w:kern w:val="0"/>
          <w:sz w:val="36"/>
          <w:szCs w:val="24"/>
          <w:highlight w:val="none"/>
          <w:lang w:val="en-US" w:eastAsia="zh-CN" w:bidi="ar-SA"/>
        </w:rPr>
        <w:t>6、投标保证金汇款凭证和保证金收据或投标担保函</w:t>
      </w:r>
      <w:bookmarkEnd w:id="169"/>
      <w:bookmarkEnd w:id="170"/>
      <w:bookmarkEnd w:id="171"/>
      <w:bookmarkEnd w:id="172"/>
      <w:bookmarkEnd w:id="173"/>
      <w:bookmarkEnd w:id="174"/>
      <w:bookmarkEnd w:id="175"/>
      <w:bookmarkEnd w:id="176"/>
      <w:bookmarkEnd w:id="177"/>
    </w:p>
    <w:p>
      <w:pPr>
        <w:shd w:val="clear" w:color="auto" w:fill="auto"/>
        <w:ind w:firstLine="490" w:firstLineChars="200"/>
        <w:outlineLvl w:val="9"/>
        <w:rPr>
          <w:rFonts w:hint="eastAsia" w:ascii="宋体" w:hAnsi="宋体" w:eastAsia="宋体" w:cs="宋体"/>
          <w:color w:val="auto"/>
          <w:sz w:val="24"/>
          <w:highlight w:val="none"/>
        </w:rPr>
      </w:pPr>
      <w:bookmarkStart w:id="178" w:name="_Toc494296665"/>
      <w:bookmarkStart w:id="179" w:name="_Toc494296991"/>
    </w:p>
    <w:p>
      <w:pPr>
        <w:shd w:val="clear" w:color="auto" w:fill="auto"/>
        <w:ind w:firstLine="490" w:firstLineChars="2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可将本项目投标保证金支付的汇款凭证、汇票或保证金收据（如有）的复印件作为缴纳凭证及投标保证金收据一起装订在本部分，复印件上应加盖本单位章；使用银行保函等其他投标担保函的，应将担保函正本，装订在本部分正本中；如采用政府采购信用担保形式的，应使用（投标文件格式三）,将原件装订在本部分正本中。</w:t>
      </w:r>
      <w:bookmarkEnd w:id="178"/>
      <w:bookmarkEnd w:id="179"/>
    </w:p>
    <w:p>
      <w:pPr>
        <w:pStyle w:val="8"/>
        <w:shd w:val="clear" w:color="auto" w:fill="auto"/>
        <w:outlineLvl w:val="9"/>
        <w:rPr>
          <w:rFonts w:hint="eastAsia" w:ascii="宋体" w:hAnsi="宋体" w:eastAsia="宋体" w:cs="宋体"/>
          <w:color w:val="auto"/>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noWrap w:val="0"/>
            <w:vAlign w:val="top"/>
          </w:tcPr>
          <w:p>
            <w:pPr>
              <w:shd w:val="clear" w:color="auto" w:fill="auto"/>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eastAsia="zh-CN"/>
              </w:rPr>
              <w:t>投标保证金汇款凭证</w:t>
            </w:r>
          </w:p>
          <w:p>
            <w:pPr>
              <w:shd w:val="clear" w:color="auto" w:fill="auto"/>
              <w:jc w:val="center"/>
              <w:outlineLvl w:val="9"/>
              <w:rPr>
                <w:rFonts w:hint="eastAsia" w:ascii="宋体" w:hAnsi="宋体" w:eastAsia="宋体" w:cs="宋体"/>
                <w:b/>
                <w:bCs/>
                <w:color w:val="auto"/>
                <w:sz w:val="30"/>
                <w:szCs w:val="30"/>
                <w:highlight w:val="none"/>
              </w:rPr>
            </w:pPr>
          </w:p>
        </w:tc>
      </w:tr>
    </w:tbl>
    <w:p>
      <w:pPr>
        <w:pStyle w:val="8"/>
        <w:shd w:val="clear" w:color="auto" w:fill="auto"/>
        <w:outlineLvl w:val="9"/>
        <w:rPr>
          <w:rFonts w:hint="eastAsia" w:ascii="宋体" w:hAnsi="宋体" w:eastAsia="宋体" w:cs="宋体"/>
          <w:color w:val="auto"/>
          <w:highlight w:val="none"/>
        </w:rPr>
      </w:pPr>
    </w:p>
    <w:p>
      <w:pPr>
        <w:shd w:val="clear" w:color="auto" w:fill="auto"/>
        <w:spacing w:line="240" w:lineRule="atLeast"/>
        <w:ind w:left="1092" w:leftChars="257" w:hanging="540"/>
        <w:jc w:val="center"/>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8"/>
          <w:szCs w:val="28"/>
          <w:highlight w:val="none"/>
        </w:rPr>
      </w:pPr>
    </w:p>
    <w:tbl>
      <w:tblPr>
        <w:tblStyle w:val="28"/>
        <w:tblpPr w:leftFromText="180" w:rightFromText="180" w:vertAnchor="text" w:horzAnchor="page" w:tblpX="2090" w:tblpY="75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6" w:hRule="atLeast"/>
        </w:trPr>
        <w:tc>
          <w:tcPr>
            <w:tcW w:w="7879" w:type="dxa"/>
            <w:noWrap w:val="0"/>
            <w:vAlign w:val="top"/>
          </w:tcPr>
          <w:p>
            <w:pPr>
              <w:shd w:val="clear" w:color="auto" w:fill="auto"/>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p>
          <w:p>
            <w:pPr>
              <w:shd w:val="clear" w:color="auto" w:fill="auto"/>
              <w:jc w:val="center"/>
              <w:outlineLvl w:val="9"/>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投标保证金收据</w:t>
            </w:r>
          </w:p>
        </w:tc>
      </w:tr>
    </w:tbl>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color w:val="auto"/>
          <w:highlight w:val="none"/>
        </w:rPr>
      </w:pPr>
    </w:p>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pStyle w:val="8"/>
        <w:shd w:val="clear" w:color="auto" w:fill="auto"/>
        <w:outlineLvl w:val="9"/>
        <w:rPr>
          <w:rFonts w:hint="eastAsia" w:ascii="宋体" w:hAnsi="宋体" w:eastAsia="宋体" w:cs="宋体"/>
          <w:color w:val="auto"/>
          <w:highlight w:val="none"/>
        </w:rPr>
      </w:pPr>
    </w:p>
    <w:p>
      <w:pPr>
        <w:outlineLvl w:val="9"/>
        <w:rPr>
          <w:rFonts w:hint="eastAsia"/>
          <w:color w:val="auto"/>
          <w:highlight w:val="none"/>
        </w:rPr>
      </w:pPr>
    </w:p>
    <w:p>
      <w:pPr>
        <w:pStyle w:val="8"/>
        <w:shd w:val="clear" w:color="auto" w:fill="auto"/>
        <w:outlineLvl w:val="9"/>
        <w:rPr>
          <w:rFonts w:hint="eastAsia" w:ascii="宋体" w:hAnsi="宋体" w:eastAsia="宋体" w:cs="宋体"/>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keepNext w:val="0"/>
        <w:keepLines w:val="0"/>
        <w:pageBreakBefore w:val="0"/>
        <w:widowControl w:val="0"/>
        <w:shd w:val="clear" w:color="auto" w:fill="auto"/>
        <w:kinsoku/>
        <w:wordWrap/>
        <w:overflowPunct/>
        <w:topLinePunct w:val="0"/>
        <w:autoSpaceDE/>
        <w:autoSpaceDN/>
        <w:bidi w:val="0"/>
        <w:adjustRightInd/>
        <w:snapToGrid/>
        <w:spacing w:line="300" w:lineRule="exact"/>
        <w:jc w:val="center"/>
        <w:textAlignment w:val="auto"/>
        <w:outlineLvl w:val="9"/>
        <w:rPr>
          <w:rFonts w:hint="eastAsia" w:ascii="宋体" w:hAnsi="宋体" w:eastAsia="宋体" w:cs="宋体"/>
          <w:color w:val="auto"/>
          <w:sz w:val="28"/>
          <w:szCs w:val="28"/>
          <w:highlight w:val="none"/>
        </w:rPr>
      </w:pPr>
    </w:p>
    <w:p>
      <w:pPr>
        <w:shd w:val="clear" w:color="auto" w:fill="auto"/>
        <w:jc w:val="center"/>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政府采购投标担保函 （项目用）</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编号：</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default"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（采购人或采购代理机构）：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鉴于               （以下简称“投标人”）拟参加编号为                 的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一、保证责任的情形及保证金额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（一）在投标人出现下列情形之一时，我方承担保证责任：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1．中标后投标人无正当理由不与采购人或者采购代理机构签订《政府采购合同》；</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2．询价通知书规定的投标人应当缴纳保证金的其他情形。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（二）我方承担保证责任的最高金额为人民币      元（大写            ），即本项目的投标保证金金额。</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二、保证的方式及保证期间</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我方保证的方式为：连带责任保证。</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我方的保证期间为：自本保函生效之日起    个月止。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三、承担保证责任的程序</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1．你方要求我方承担保证责任的，应在本保函保证期间内向我方发出书面索赔通知。索赔通知应写明要求索赔的金额，支付款项应到达的账号，并附有证明投标人发生我方应承担保证责任情形的事实材料。</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2．我方在收到索赔通知及相关证明材料后，在　　　个工作日内进行审查，符合应承担保证责任情形的，我方应按照你方的要求代投标人向你方支付投标保证金。</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四、保证责任的终止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1．保证期间届满你方未向我方书面主张保证责任的，自保证期间届满次日起，我方保证责任自动终止。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2．我方按照本保函向你贵方履行了保证责任后，自我方向你贵方支付款项（支付款项从我方账户划出）之日起，保证责任终止。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3．按照法律法规的规定或出现我方保证责任终止的其它情形的，我方在本保函项下的保证责任亦终止。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五、免责条款</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1．依照法律规定或你方与投标人的另行约定，全部或者部分免除投标人投标保证金义务时，我方亦免除相应的保证责任。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2．因你方原因致使投标人发生本保函第一条第（一）款约定情形的，我方不承担保证责任。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3．因不可抗力造成投标人发生本保函第一条约定情形的，我方不承担保证责任。</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4．你方或其他有权机关对询价通知书进行任何澄清或修改，加重我方保证责任的，我方对加重部分不承担保证责任，但该澄清或修改经我方事先书面同意的除外。</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六、争议的解决</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因本保函发生的纠纷，由你我双方协商解决，协商不成的，通过诉讼程序解决，诉讼管辖地法院为          法院。</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七、保函的生效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本保函自我方加盖公章之日起生效。</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p>
    <w:p>
      <w:pPr>
        <w:keepNext w:val="0"/>
        <w:keepLines w:val="0"/>
        <w:pageBreakBefore w:val="0"/>
        <w:widowControl w:val="0"/>
        <w:shd w:val="clear" w:color="auto" w:fill="auto"/>
        <w:tabs>
          <w:tab w:val="left" w:pos="5580"/>
          <w:tab w:val="left" w:pos="7010"/>
          <w:tab w:val="right" w:pos="9116"/>
        </w:tabs>
        <w:kinsoku/>
        <w:wordWrap/>
        <w:overflowPunct/>
        <w:topLinePunct w:val="0"/>
        <w:autoSpaceDE/>
        <w:autoSpaceDN/>
        <w:bidi w:val="0"/>
        <w:adjustRightInd/>
        <w:snapToGrid/>
        <w:spacing w:line="500" w:lineRule="atLeast"/>
        <w:jc w:val="left"/>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ab/>
      </w: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保证人：（公章）</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w:t>
      </w: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500" w:lineRule="atLeast"/>
        <w:ind w:left="1" w:firstLine="575" w:firstLineChars="235"/>
        <w:jc w:val="center"/>
        <w:textAlignment w:val="auto"/>
        <w:outlineLvl w:val="9"/>
        <w:rPr>
          <w:rFonts w:hint="eastAsia" w:ascii="仿宋" w:hAnsi="仿宋" w:eastAsia="仿宋" w:cs="仿宋"/>
          <w:color w:val="auto"/>
          <w:spacing w:val="0"/>
          <w:w w:val="100"/>
          <w:kern w:val="0"/>
          <w:position w:val="0"/>
          <w:sz w:val="24"/>
          <w:szCs w:val="24"/>
          <w:highlight w:val="none"/>
          <w:shd w:val="clear" w:color="auto" w:fill="auto"/>
          <w:lang w:val="en-US" w:eastAsia="zh-CN" w:bidi="en-US"/>
        </w:rPr>
        <w:sectPr>
          <w:pgSz w:w="11905" w:h="16838"/>
          <w:pgMar w:top="1440" w:right="1134" w:bottom="1440" w:left="1134" w:header="850" w:footer="992" w:gutter="0"/>
          <w:pgNumType w:fmt="decimal"/>
          <w:cols w:space="720" w:num="1"/>
          <w:rtlGutter w:val="0"/>
          <w:docGrid w:type="linesAndChars" w:linePitch="335" w:charSpace="1057"/>
        </w:sectPr>
      </w:pPr>
      <w:r>
        <w:rPr>
          <w:rFonts w:hint="eastAsia" w:ascii="仿宋" w:hAnsi="仿宋" w:eastAsia="仿宋" w:cs="仿宋"/>
          <w:color w:val="auto"/>
          <w:spacing w:val="0"/>
          <w:w w:val="100"/>
          <w:kern w:val="0"/>
          <w:position w:val="0"/>
          <w:sz w:val="24"/>
          <w:szCs w:val="24"/>
          <w:highlight w:val="none"/>
          <w:shd w:val="clear" w:color="auto" w:fill="auto"/>
          <w:lang w:val="en-US" w:eastAsia="zh-CN" w:bidi="en-US"/>
        </w:rPr>
        <w:t xml:space="preserve">                             年     月     日  </w:t>
      </w:r>
    </w:p>
    <w:p>
      <w:pPr>
        <w:shd w:val="clear" w:color="auto" w:fill="auto"/>
        <w:ind w:firstLine="5775" w:firstLineChars="2750"/>
        <w:outlineLvl w:val="9"/>
        <w:rPr>
          <w:rFonts w:hint="eastAsia" w:ascii="宋体" w:hAnsi="宋体" w:eastAsia="宋体" w:cs="宋体"/>
          <w:color w:val="auto"/>
          <w:highlight w:val="none"/>
        </w:rPr>
      </w:pP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80" w:name="_Toc27021"/>
      <w:bookmarkStart w:id="181" w:name="_Toc728"/>
      <w:bookmarkStart w:id="182" w:name="_Toc5710"/>
      <w:bookmarkStart w:id="183" w:name="_Toc515647810"/>
      <w:bookmarkStart w:id="184" w:name="_Toc27202"/>
      <w:bookmarkStart w:id="185" w:name="_Toc4286"/>
      <w:bookmarkStart w:id="186" w:name="_Toc18754"/>
      <w:bookmarkStart w:id="187" w:name="_Toc14581"/>
      <w:bookmarkStart w:id="188" w:name="_Toc15492"/>
      <w:r>
        <w:rPr>
          <w:rFonts w:hint="eastAsia" w:ascii="仿宋" w:hAnsi="仿宋" w:eastAsia="仿宋" w:cs="仿宋"/>
          <w:b/>
          <w:bCs w:val="0"/>
          <w:color w:val="auto"/>
          <w:kern w:val="0"/>
          <w:sz w:val="36"/>
          <w:szCs w:val="24"/>
          <w:highlight w:val="none"/>
          <w:lang w:val="en-US" w:eastAsia="zh-CN" w:bidi="ar-SA"/>
        </w:rPr>
        <w:t>7、社会保障资金的缴纳记录</w:t>
      </w:r>
      <w:bookmarkEnd w:id="180"/>
      <w:bookmarkEnd w:id="181"/>
      <w:bookmarkEnd w:id="182"/>
      <w:bookmarkEnd w:id="183"/>
      <w:bookmarkEnd w:id="184"/>
      <w:bookmarkEnd w:id="185"/>
      <w:bookmarkEnd w:id="186"/>
      <w:bookmarkEnd w:id="187"/>
      <w:bookmarkEnd w:id="188"/>
    </w:p>
    <w:p>
      <w:pPr>
        <w:pStyle w:val="13"/>
        <w:shd w:val="clear" w:color="auto" w:fill="auto"/>
        <w:tabs>
          <w:tab w:val="left" w:pos="5580"/>
        </w:tabs>
        <w:spacing w:line="240" w:lineRule="atLeast"/>
        <w:ind w:left="1080" w:leftChars="257" w:hanging="540"/>
        <w:jc w:val="center"/>
        <w:outlineLvl w:val="9"/>
        <w:rPr>
          <w:rFonts w:hint="eastAsia" w:ascii="宋体" w:hAnsi="宋体" w:eastAsia="宋体" w:cs="宋体"/>
          <w:b/>
          <w:color w:val="auto"/>
          <w:sz w:val="24"/>
          <w:highlight w:val="none"/>
        </w:rPr>
      </w:pPr>
    </w:p>
    <w:p>
      <w:pPr>
        <w:pStyle w:val="13"/>
        <w:shd w:val="clear" w:color="auto" w:fill="auto"/>
        <w:tabs>
          <w:tab w:val="left" w:pos="5580"/>
        </w:tabs>
        <w:spacing w:line="240" w:lineRule="atLeast"/>
        <w:ind w:left="540"/>
        <w:outlineLvl w:val="9"/>
        <w:rPr>
          <w:rFonts w:hint="eastAsia" w:ascii="宋体" w:hAnsi="宋体" w:eastAsia="宋体" w:cs="宋体"/>
          <w:b/>
          <w:color w:val="auto"/>
          <w:sz w:val="24"/>
          <w:highlight w:val="none"/>
        </w:rPr>
      </w:pPr>
    </w:p>
    <w:p>
      <w:pPr>
        <w:pStyle w:val="13"/>
        <w:shd w:val="clear" w:color="auto" w:fill="auto"/>
        <w:tabs>
          <w:tab w:val="left" w:pos="5580"/>
        </w:tabs>
        <w:spacing w:line="240" w:lineRule="atLeast"/>
        <w:ind w:left="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说明：1.按照</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中的规定提供复印件。</w:t>
      </w: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2.复印件上应加盖本单位章。</w:t>
      </w:r>
    </w:p>
    <w:p>
      <w:pPr>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p>
    <w:p>
      <w:pPr>
        <w:numPr>
          <w:ilvl w:val="0"/>
          <w:numId w:val="0"/>
        </w:numPr>
        <w:shd w:val="clear" w:color="auto" w:fill="auto"/>
        <w:spacing w:before="0" w:line="240" w:lineRule="atLeast"/>
        <w:outlineLvl w:val="9"/>
        <w:rPr>
          <w:rFonts w:hint="eastAsia" w:ascii="宋体" w:hAnsi="宋体" w:eastAsia="宋体" w:cs="宋体"/>
          <w:color w:val="auto"/>
          <w:sz w:val="24"/>
          <w:highlight w:val="none"/>
          <w:lang w:val="en-US" w:eastAsia="zh-CN"/>
        </w:rPr>
      </w:pPr>
      <w:r>
        <w:rPr>
          <w:rFonts w:hint="eastAsia" w:ascii="仿宋" w:hAnsi="仿宋" w:eastAsia="仿宋" w:cs="仿宋"/>
          <w:color w:val="auto"/>
          <w:sz w:val="24"/>
          <w:highlight w:val="none"/>
        </w:rPr>
        <w:br w:type="page"/>
      </w:r>
      <w:bookmarkStart w:id="189" w:name="_Toc24428"/>
      <w:bookmarkStart w:id="190" w:name="_Toc32670"/>
      <w:bookmarkStart w:id="191" w:name="_Toc515647811"/>
      <w:bookmarkStart w:id="192" w:name="_Toc4937"/>
      <w:r>
        <w:rPr>
          <w:rFonts w:hint="eastAsia" w:ascii="宋体" w:hAnsi="宋体" w:eastAsia="宋体" w:cs="宋体"/>
          <w:color w:val="auto"/>
          <w:sz w:val="24"/>
          <w:highlight w:val="none"/>
          <w:lang w:val="en-US" w:eastAsia="zh-CN"/>
        </w:rPr>
        <w:t xml:space="preserve"> </w:t>
      </w: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193" w:name="_Toc29743"/>
      <w:bookmarkStart w:id="194" w:name="_Toc24485"/>
      <w:bookmarkStart w:id="195" w:name="_Toc7856"/>
      <w:bookmarkStart w:id="196" w:name="_Toc15523"/>
      <w:bookmarkStart w:id="197" w:name="_Toc29659"/>
      <w:r>
        <w:rPr>
          <w:rFonts w:hint="eastAsia" w:ascii="仿宋" w:hAnsi="仿宋" w:eastAsia="仿宋" w:cs="仿宋"/>
          <w:b/>
          <w:bCs w:val="0"/>
          <w:color w:val="auto"/>
          <w:kern w:val="0"/>
          <w:sz w:val="36"/>
          <w:szCs w:val="24"/>
          <w:highlight w:val="none"/>
          <w:lang w:val="en-US" w:eastAsia="zh-CN" w:bidi="ar-SA"/>
        </w:rPr>
        <w:t>8、参加政府采购活动前3年内</w:t>
      </w:r>
      <w:bookmarkEnd w:id="189"/>
      <w:bookmarkEnd w:id="190"/>
      <w:bookmarkEnd w:id="191"/>
      <w:bookmarkStart w:id="198" w:name="_Toc515647812"/>
      <w:bookmarkStart w:id="199" w:name="_Toc6008"/>
      <w:bookmarkStart w:id="200" w:name="_Toc1137"/>
      <w:r>
        <w:rPr>
          <w:rFonts w:hint="eastAsia" w:ascii="仿宋" w:hAnsi="仿宋" w:eastAsia="仿宋" w:cs="仿宋"/>
          <w:b/>
          <w:bCs w:val="0"/>
          <w:color w:val="auto"/>
          <w:kern w:val="0"/>
          <w:sz w:val="36"/>
          <w:szCs w:val="24"/>
          <w:highlight w:val="none"/>
          <w:lang w:val="en-US" w:eastAsia="zh-CN" w:bidi="ar-SA"/>
        </w:rPr>
        <w:t>在经营活动中没有重大违法记录的书面声明</w:t>
      </w:r>
      <w:bookmarkEnd w:id="192"/>
      <w:bookmarkEnd w:id="193"/>
      <w:bookmarkEnd w:id="194"/>
      <w:bookmarkEnd w:id="195"/>
      <w:bookmarkEnd w:id="196"/>
      <w:bookmarkEnd w:id="197"/>
      <w:bookmarkEnd w:id="198"/>
      <w:bookmarkEnd w:id="199"/>
      <w:bookmarkEnd w:id="200"/>
    </w:p>
    <w:p>
      <w:pPr>
        <w:pStyle w:val="13"/>
        <w:shd w:val="clear" w:color="auto" w:fill="auto"/>
        <w:tabs>
          <w:tab w:val="left" w:pos="5580"/>
        </w:tabs>
        <w:spacing w:line="240" w:lineRule="atLeast"/>
        <w:ind w:left="1080" w:leftChars="257" w:hanging="540"/>
        <w:jc w:val="center"/>
        <w:outlineLvl w:val="9"/>
        <w:rPr>
          <w:rFonts w:hint="eastAsia" w:ascii="宋体" w:hAnsi="宋体" w:eastAsia="宋体" w:cs="宋体"/>
          <w:b/>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说明：1.投标人应按照相关法规规定如实作出说明。</w:t>
      </w:r>
    </w:p>
    <w:p>
      <w:pPr>
        <w:pStyle w:val="13"/>
        <w:shd w:val="clear" w:color="auto" w:fill="auto"/>
        <w:tabs>
          <w:tab w:val="left" w:pos="5580"/>
        </w:tabs>
        <w:spacing w:line="240" w:lineRule="atLeast"/>
        <w:ind w:left="645" w:leftChars="307" w:firstLine="600" w:firstLineChars="25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的规定加盖单位章（自然人投标的无需盖章，需要签字）。</w:t>
      </w: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3.（本项目不接受联合体）如果是联合体投标，联合体各方均需提供上述证明。</w:t>
      </w:r>
    </w:p>
    <w:p>
      <w:pPr>
        <w:shd w:val="clear" w:color="auto" w:fil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numPr>
          <w:ilvl w:val="0"/>
          <w:numId w:val="0"/>
        </w:numPr>
        <w:shd w:val="clear" w:color="auto" w:fill="auto"/>
        <w:spacing w:before="0" w:line="240" w:lineRule="atLeast"/>
        <w:outlineLvl w:val="9"/>
        <w:rPr>
          <w:rFonts w:hint="eastAsia" w:ascii="仿宋" w:hAnsi="仿宋" w:eastAsia="仿宋" w:cs="仿宋"/>
          <w:b/>
          <w:bCs w:val="0"/>
          <w:color w:val="auto"/>
          <w:kern w:val="0"/>
          <w:sz w:val="36"/>
          <w:szCs w:val="24"/>
          <w:highlight w:val="none"/>
          <w:lang w:val="en-US" w:eastAsia="zh-CN" w:bidi="ar-SA"/>
        </w:rPr>
      </w:pPr>
      <w:bookmarkStart w:id="201" w:name="_Toc4957"/>
      <w:bookmarkStart w:id="202" w:name="_Toc17207"/>
      <w:bookmarkStart w:id="203" w:name="_Toc5548"/>
      <w:bookmarkStart w:id="204" w:name="_Toc4213"/>
      <w:bookmarkStart w:id="205" w:name="_Toc16117"/>
      <w:bookmarkStart w:id="206" w:name="_Toc32696"/>
      <w:bookmarkStart w:id="207" w:name="_Toc23358"/>
      <w:bookmarkStart w:id="208" w:name="_Toc515647813"/>
      <w:bookmarkStart w:id="209" w:name="_Toc29703"/>
      <w:r>
        <w:rPr>
          <w:rFonts w:hint="eastAsia" w:ascii="仿宋" w:hAnsi="仿宋" w:eastAsia="仿宋" w:cs="仿宋"/>
          <w:b/>
          <w:bCs w:val="0"/>
          <w:color w:val="auto"/>
          <w:kern w:val="0"/>
          <w:sz w:val="36"/>
          <w:szCs w:val="24"/>
          <w:highlight w:val="none"/>
          <w:lang w:val="en-US" w:eastAsia="zh-CN" w:bidi="ar-SA"/>
        </w:rPr>
        <w:t>9、投标人须知资料表要求的其他资格证明文件</w:t>
      </w:r>
      <w:bookmarkEnd w:id="201"/>
      <w:bookmarkEnd w:id="202"/>
      <w:bookmarkEnd w:id="203"/>
      <w:bookmarkEnd w:id="204"/>
      <w:bookmarkEnd w:id="205"/>
      <w:bookmarkEnd w:id="206"/>
      <w:bookmarkEnd w:id="207"/>
      <w:bookmarkEnd w:id="208"/>
      <w:bookmarkEnd w:id="209"/>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投标人须知资料表</w:t>
      </w:r>
      <w:r>
        <w:rPr>
          <w:rFonts w:hint="eastAsia" w:ascii="仿宋" w:hAnsi="仿宋" w:eastAsia="仿宋" w:cs="仿宋"/>
          <w:color w:val="auto"/>
          <w:sz w:val="24"/>
          <w:highlight w:val="none"/>
        </w:rPr>
        <w:t>要求的其他资格证明文件。</w:t>
      </w:r>
    </w:p>
    <w:p>
      <w:pPr>
        <w:keepNext w:val="0"/>
        <w:keepLines w:val="0"/>
        <w:pageBreakBefore w:val="0"/>
        <w:widowControl w:val="0"/>
        <w:shd w:val="clear" w:color="auto" w:fill="auto"/>
        <w:kinsoku/>
        <w:wordWrap w:val="0"/>
        <w:overflowPunct/>
        <w:topLinePunct w:val="0"/>
        <w:autoSpaceDE/>
        <w:autoSpaceDN/>
        <w:bidi w:val="0"/>
        <w:adjustRightInd/>
        <w:snapToGrid/>
        <w:spacing w:line="360" w:lineRule="auto"/>
        <w:jc w:val="left"/>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主要包括：三证合一营业执照副本；未被列入“信用中国”（www.creditchina.gov.cn）、中国政府采购网（www.ccgp.gov.cn）失信被执行人、重大税收违法案件当事人名单、政府采购严重违法失信行为记录名单查询等；</w:t>
      </w:r>
      <w:r>
        <w:rPr>
          <w:rFonts w:hint="eastAsia" w:ascii="仿宋" w:hAnsi="仿宋" w:eastAsia="仿宋" w:cs="仿宋"/>
          <w:color w:val="auto"/>
          <w:sz w:val="24"/>
          <w:szCs w:val="24"/>
        </w:rPr>
        <w:t>满足《中华人民共和国政府采购法》第二十二条规定；</w:t>
      </w:r>
      <w:r>
        <w:rPr>
          <w:rFonts w:hint="eastAsia" w:ascii="仿宋" w:hAnsi="仿宋" w:eastAsia="仿宋" w:cs="仿宋"/>
          <w:color w:val="auto"/>
          <w:sz w:val="24"/>
          <w:szCs w:val="24"/>
          <w:highlight w:val="none"/>
        </w:rPr>
        <w:t>投标企业须提供中小企业声明函；</w:t>
      </w:r>
    </w:p>
    <w:p>
      <w:pPr>
        <w:pStyle w:val="13"/>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2.复印件上应加盖本单位章（自然人投标的无需盖章，需要签字）</w:t>
      </w:r>
    </w:p>
    <w:p>
      <w:pPr>
        <w:pStyle w:val="13"/>
        <w:shd w:val="clear" w:color="auto" w:fill="auto"/>
        <w:tabs>
          <w:tab w:val="left" w:pos="5580"/>
        </w:tabs>
        <w:spacing w:line="240" w:lineRule="atLeast"/>
        <w:ind w:firstLine="1200" w:firstLineChars="50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3.（本项目不接受联合体）如果是联合体投标，联合体各方需提供的满足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要求的其他资格证明文件。</w:t>
      </w: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p>
      <w:pPr>
        <w:pStyle w:val="14"/>
        <w:shd w:val="clear" w:color="auto" w:fill="auto"/>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p>
    <w:bookmarkEnd w:id="131"/>
    <w:bookmarkEnd w:id="132"/>
    <w:bookmarkEnd w:id="133"/>
    <w:bookmarkEnd w:id="134"/>
    <w:p>
      <w:pPr>
        <w:keepNext/>
        <w:keepLines/>
        <w:pageBreakBefore w:val="0"/>
        <w:widowControl w:val="0"/>
        <w:shd w:val="clear" w:color="auto" w:fill="auto"/>
        <w:kinsoku/>
        <w:wordWrap/>
        <w:overflowPunct/>
        <w:topLinePunct w:val="0"/>
        <w:autoSpaceDE/>
        <w:autoSpaceDN/>
        <w:bidi w:val="0"/>
        <w:adjustRightInd/>
        <w:snapToGrid/>
        <w:spacing w:before="40" w:after="40" w:line="579" w:lineRule="auto"/>
        <w:textAlignment w:val="auto"/>
        <w:outlineLvl w:val="9"/>
        <w:rPr>
          <w:rFonts w:hint="eastAsia" w:ascii="仿宋" w:hAnsi="仿宋" w:eastAsia="仿宋" w:cs="仿宋"/>
          <w:color w:val="auto"/>
          <w:sz w:val="32"/>
          <w:szCs w:val="32"/>
          <w:highlight w:val="none"/>
        </w:rPr>
      </w:pPr>
      <w:bookmarkStart w:id="210" w:name="_Toc14915"/>
      <w:bookmarkStart w:id="211" w:name="_Toc16594"/>
      <w:bookmarkStart w:id="212" w:name="_Toc2041"/>
      <w:bookmarkStart w:id="213" w:name="_Toc515647817"/>
      <w:bookmarkStart w:id="214" w:name="_Toc6695"/>
      <w:r>
        <w:rPr>
          <w:rFonts w:hint="eastAsia" w:ascii="仿宋" w:hAnsi="仿宋" w:eastAsia="仿宋" w:cs="仿宋"/>
          <w:color w:val="auto"/>
          <w:sz w:val="32"/>
          <w:szCs w:val="32"/>
          <w:highlight w:val="none"/>
        </w:rPr>
        <w:t>第二部分  商务及技术文件</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投标分项报价表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附件2</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3、货物</w:t>
      </w:r>
      <w:r>
        <w:rPr>
          <w:rFonts w:hint="eastAsia" w:ascii="仿宋" w:hAnsi="仿宋" w:eastAsia="仿宋" w:cs="仿宋"/>
          <w:color w:val="auto"/>
          <w:sz w:val="24"/>
          <w:szCs w:val="24"/>
          <w:highlight w:val="none"/>
        </w:rPr>
        <w:t>说明一览表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技术规格偏离表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附件4</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商务条款偏离表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附件5</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6、投标人关联单位的说明</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、中小企业声明函(</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附件6</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制造商企业（单位）类型声明函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附件7</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《残疾人福利性单位声明函》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附件8</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评分标准和细则中技术部分证明材料（格式自拟）</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评分标准和细则中</w:t>
      </w:r>
      <w:r>
        <w:rPr>
          <w:rFonts w:hint="eastAsia" w:ascii="仿宋" w:hAnsi="仿宋" w:eastAsia="仿宋" w:cs="仿宋"/>
          <w:color w:val="auto"/>
          <w:sz w:val="24"/>
          <w:szCs w:val="24"/>
          <w:highlight w:val="none"/>
          <w:lang w:val="en-US" w:eastAsia="zh-CN"/>
        </w:rPr>
        <w:t>商务</w:t>
      </w:r>
      <w:r>
        <w:rPr>
          <w:rFonts w:hint="eastAsia" w:ascii="仿宋" w:hAnsi="仿宋" w:eastAsia="仿宋" w:cs="仿宋"/>
          <w:color w:val="auto"/>
          <w:sz w:val="24"/>
          <w:szCs w:val="24"/>
          <w:highlight w:val="none"/>
          <w:lang w:eastAsia="zh-CN"/>
        </w:rPr>
        <w:t>部分证明材料（格式自拟）</w:t>
      </w:r>
    </w:p>
    <w:p>
      <w:pPr>
        <w:keepNext w:val="0"/>
        <w:keepLines w:val="0"/>
        <w:pageBreakBefore w:val="0"/>
        <w:widowControl w:val="0"/>
        <w:kinsoku/>
        <w:wordWrap/>
        <w:overflowPunct/>
        <w:topLinePunct w:val="0"/>
        <w:autoSpaceDE/>
        <w:autoSpaceDN/>
        <w:bidi w:val="0"/>
        <w:adjustRightInd/>
        <w:snapToGrid/>
        <w:spacing w:line="500" w:lineRule="exact"/>
        <w:ind w:firstLine="477" w:firstLineChars="199"/>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投标人认为有必要提供的其他证明材料（格式自拟）</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b/>
          <w:bCs/>
          <w:color w:val="auto"/>
          <w:sz w:val="24"/>
          <w:highlight w:val="none"/>
        </w:rPr>
        <w:br w:type="pag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附件1</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宋体" w:hAnsi="宋体" w:eastAsia="宋体" w:cs="宋体"/>
          <w:b/>
          <w:bCs/>
          <w:color w:val="auto"/>
          <w:sz w:val="24"/>
          <w:highlight w:val="none"/>
        </w:rPr>
      </w:pPr>
      <w:r>
        <w:rPr>
          <w:rFonts w:hint="eastAsia" w:ascii="仿宋" w:hAnsi="仿宋" w:eastAsia="仿宋" w:cs="仿宋"/>
          <w:b/>
          <w:bCs/>
          <w:color w:val="auto"/>
          <w:sz w:val="32"/>
          <w:szCs w:val="32"/>
          <w:highlight w:val="none"/>
        </w:rPr>
        <w:t xml:space="preserve">1 </w:t>
      </w:r>
      <w:bookmarkStart w:id="215" w:name="_Hlt520355504"/>
      <w:bookmarkEnd w:id="215"/>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投标书</w:t>
      </w:r>
      <w:bookmarkEnd w:id="210"/>
      <w:bookmarkEnd w:id="211"/>
      <w:bookmarkEnd w:id="212"/>
      <w:bookmarkEnd w:id="213"/>
      <w:bookmarkEnd w:id="214"/>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宋体" w:hAnsi="宋体" w:eastAsia="宋体" w:cs="宋体"/>
          <w:color w:val="auto"/>
          <w:sz w:val="24"/>
          <w:highlight w:val="none"/>
        </w:rPr>
      </w:pPr>
    </w:p>
    <w:p>
      <w:pPr>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hanging="108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2" w:leftChars="1"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根据贵方（采购项目名称)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项目的投标邀请(</w:t>
      </w:r>
      <w:r>
        <w:rPr>
          <w:rFonts w:hint="eastAsia" w:ascii="仿宋" w:hAnsi="仿宋" w:eastAsia="仿宋" w:cs="仿宋"/>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经正式授权并代表投标人（</w:t>
      </w:r>
      <w:r>
        <w:rPr>
          <w:rFonts w:hint="eastAsia" w:ascii="仿宋" w:hAnsi="仿宋" w:eastAsia="仿宋" w:cs="仿宋"/>
          <w:color w:val="auto"/>
          <w:sz w:val="24"/>
          <w:highlight w:val="none"/>
          <w:u w:val="single"/>
        </w:rPr>
        <w:t>名称、地址</w:t>
      </w:r>
      <w:r>
        <w:rPr>
          <w:rFonts w:hint="eastAsia" w:ascii="仿宋" w:hAnsi="仿宋" w:eastAsia="仿宋" w:cs="仿宋"/>
          <w:color w:val="auto"/>
          <w:sz w:val="24"/>
          <w:highlight w:val="none"/>
        </w:rPr>
        <w:t>）提交下述文件正本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份、副本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份及电子文档</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份，并出具的金额为人民币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元的投标保证金。</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据此，签字代表宣布如下：</w:t>
      </w:r>
    </w:p>
    <w:p>
      <w:pPr>
        <w:pStyle w:val="13"/>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（1）附投标书报价中规定的投标总价详见开标一览表，</w:t>
      </w:r>
      <w:r>
        <w:rPr>
          <w:rFonts w:hint="eastAsia" w:ascii="仿宋" w:hAnsi="仿宋" w:eastAsia="仿宋" w:cs="仿宋"/>
          <w:color w:val="auto"/>
          <w:sz w:val="24"/>
          <w:highlight w:val="none"/>
          <w:u w:val="single"/>
        </w:rPr>
        <w:t>其中由小型和</w:t>
      </w:r>
      <w:r>
        <w:rPr>
          <w:rFonts w:hint="eastAsia" w:ascii="仿宋" w:hAnsi="仿宋" w:eastAsia="仿宋" w:cs="仿宋"/>
          <w:color w:val="auto"/>
          <w:sz w:val="24"/>
          <w:highlight w:val="none"/>
        </w:rPr>
        <w:t>微型企业制造产品的价格为</w:t>
      </w:r>
      <w:r>
        <w:rPr>
          <w:rFonts w:hint="eastAsia" w:ascii="仿宋" w:hAnsi="仿宋" w:eastAsia="仿宋" w:cs="仿宋"/>
          <w:color w:val="auto"/>
          <w:sz w:val="24"/>
          <w:highlight w:val="none"/>
          <w:u w:val="single"/>
        </w:rPr>
        <w:t>　　  （用文字和数字表示），占投标价的‥</w:t>
      </w:r>
      <w:r>
        <w:rPr>
          <w:rFonts w:hint="eastAsia" w:ascii="仿宋" w:hAnsi="仿宋" w:eastAsia="仿宋" w:cs="仿宋"/>
          <w:color w:val="auto"/>
          <w:sz w:val="24"/>
          <w:highlight w:val="none"/>
        </w:rPr>
        <w:t>%</w:t>
      </w:r>
    </w:p>
    <w:p>
      <w:pPr>
        <w:pStyle w:val="13"/>
        <w:keepNext w:val="0"/>
        <w:keepLines w:val="0"/>
        <w:pageBreakBefore w:val="0"/>
        <w:widowControl w:val="0"/>
        <w:shd w:val="clear" w:color="auto" w:fill="auto"/>
        <w:tabs>
          <w:tab w:val="left" w:pos="720"/>
          <w:tab w:val="left" w:pos="90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（2）本投标有效期为投标标截止之日起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存在、不存在）投资关系（如果是联合体的话）。</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文件，包括所有补充通知（如果有的话），完全理解并同意放弃对这方面有不明、误解和质疑的权力。</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文件中有关保证金的规定。</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（6）我方不是为本项目提供整体设计、规范编制或者项目管理、监理、检测等服务的供应商，我方不是采购代理机构的附属机构。</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文件规定的形式，向贵方一次性支付中标服务费。</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firstLine="480" w:firstLineChars="20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文件的规定履行合同责任和义务。</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359" w:leftChars="68" w:hanging="216" w:hangingChars="9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与本投标有关的一切正式往来信函请寄：</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color="auto"/>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投标人名称（全称）</w:t>
      </w:r>
      <w:r>
        <w:rPr>
          <w:rFonts w:hint="eastAsia" w:ascii="仿宋" w:hAnsi="仿宋" w:eastAsia="仿宋" w:cs="仿宋"/>
          <w:color w:val="auto"/>
          <w:sz w:val="24"/>
          <w:highlight w:val="none"/>
          <w:u w:val="single" w:color="auto"/>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投标人银行帐号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eastAsia"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投标人单位章</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color="auto"/>
          <w:lang w:val="en-US" w:eastAsia="zh-CN"/>
        </w:rPr>
        <w:t xml:space="preserve">                                </w:t>
      </w:r>
    </w:p>
    <w:p>
      <w:pPr>
        <w:pStyle w:val="13"/>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380" w:lineRule="exact"/>
        <w:ind w:left="1080" w:leftChars="257" w:hanging="540"/>
        <w:textAlignment w:val="auto"/>
        <w:outlineLvl w:val="9"/>
        <w:rPr>
          <w:rFonts w:hint="default" w:ascii="仿宋" w:hAnsi="仿宋" w:eastAsia="仿宋" w:cs="仿宋"/>
          <w:color w:val="auto"/>
          <w:sz w:val="24"/>
          <w:highlight w:val="none"/>
          <w:u w:val="single" w:color="auto"/>
          <w:lang w:val="en-US" w:eastAsia="zh-CN"/>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color="auto"/>
          <w:lang w:val="en-US" w:eastAsia="zh-CN"/>
        </w:rPr>
        <w:t xml:space="preserve">                                         </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rPr>
        <w:br w:type="page"/>
      </w:r>
      <w:bookmarkStart w:id="216" w:name="_Toc10107"/>
      <w:bookmarkStart w:id="217" w:name="_Toc23473"/>
      <w:bookmarkStart w:id="218" w:name="_Toc1266"/>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附件2</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bookmarkStart w:id="219" w:name="_Toc5865"/>
      <w:r>
        <w:rPr>
          <w:rFonts w:hint="eastAsia" w:ascii="仿宋" w:hAnsi="仿宋" w:eastAsia="仿宋" w:cs="仿宋"/>
          <w:b/>
          <w:bCs/>
          <w:color w:val="auto"/>
          <w:sz w:val="32"/>
          <w:szCs w:val="32"/>
          <w:highlight w:val="none"/>
        </w:rPr>
        <w:t xml:space="preserve">2 </w:t>
      </w:r>
      <w:r>
        <w:rPr>
          <w:rFonts w:hint="eastAsia" w:ascii="仿宋" w:hAnsi="仿宋" w:eastAsia="仿宋" w:cs="仿宋"/>
          <w:b/>
          <w:bCs/>
          <w:color w:val="auto"/>
          <w:sz w:val="32"/>
          <w:szCs w:val="32"/>
          <w:highlight w:val="none"/>
          <w:lang w:eastAsia="zh-CN"/>
        </w:rPr>
        <w:t>、</w:t>
      </w:r>
      <w:bookmarkEnd w:id="216"/>
      <w:bookmarkEnd w:id="217"/>
      <w:bookmarkEnd w:id="218"/>
      <w:bookmarkStart w:id="220" w:name="_Toc1881"/>
      <w:bookmarkStart w:id="221" w:name="_Toc515647818"/>
      <w:bookmarkStart w:id="222" w:name="_Toc10313"/>
      <w:bookmarkStart w:id="223" w:name="_Toc216582815"/>
      <w:bookmarkStart w:id="224" w:name="_Toc20897"/>
      <w:bookmarkStart w:id="225" w:name="_Toc28959"/>
      <w:bookmarkStart w:id="226" w:name="_Toc22563"/>
      <w:bookmarkStart w:id="227" w:name="_Toc216582817"/>
      <w:bookmarkStart w:id="228" w:name="_Toc515647820"/>
      <w:r>
        <w:rPr>
          <w:rFonts w:hint="eastAsia" w:ascii="仿宋" w:hAnsi="仿宋" w:eastAsia="仿宋" w:cs="仿宋"/>
          <w:b/>
          <w:bCs/>
          <w:color w:val="auto"/>
          <w:sz w:val="32"/>
          <w:szCs w:val="32"/>
          <w:highlight w:val="none"/>
        </w:rPr>
        <w:t>投标分项报价表</w:t>
      </w:r>
      <w:bookmarkEnd w:id="219"/>
      <w:bookmarkEnd w:id="220"/>
      <w:bookmarkEnd w:id="221"/>
      <w:bookmarkEnd w:id="222"/>
      <w:bookmarkEnd w:id="223"/>
      <w:bookmarkEnd w:id="224"/>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招标编号:                  包号: 　 </w:t>
      </w:r>
    </w:p>
    <w:p>
      <w:pPr>
        <w:pStyle w:val="13"/>
        <w:shd w:val="clear" w:color="auto" w:fill="auto"/>
        <w:spacing w:line="240" w:lineRule="atLeast"/>
        <w:ind w:left="1080" w:leftChars="257" w:hanging="540"/>
        <w:jc w:val="center"/>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报价单位：人民币万元</w:t>
      </w:r>
    </w:p>
    <w:tbl>
      <w:tblPr>
        <w:tblStyle w:val="28"/>
        <w:tblW w:w="9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015"/>
        <w:gridCol w:w="1506"/>
        <w:gridCol w:w="1506"/>
        <w:gridCol w:w="696"/>
        <w:gridCol w:w="936"/>
        <w:gridCol w:w="1416"/>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名称</w:t>
            </w:r>
          </w:p>
        </w:tc>
        <w:tc>
          <w:tcPr>
            <w:tcW w:w="150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技术要求</w:t>
            </w:r>
          </w:p>
        </w:tc>
        <w:tc>
          <w:tcPr>
            <w:tcW w:w="150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型号和规格</w:t>
            </w:r>
          </w:p>
        </w:tc>
        <w:tc>
          <w:tcPr>
            <w:tcW w:w="69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数量</w:t>
            </w:r>
          </w:p>
        </w:tc>
        <w:tc>
          <w:tcPr>
            <w:tcW w:w="93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原产地</w:t>
            </w:r>
          </w:p>
        </w:tc>
        <w:tc>
          <w:tcPr>
            <w:tcW w:w="141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制造商名称</w:t>
            </w:r>
          </w:p>
        </w:tc>
        <w:tc>
          <w:tcPr>
            <w:tcW w:w="69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单价</w:t>
            </w:r>
          </w:p>
        </w:tc>
        <w:tc>
          <w:tcPr>
            <w:tcW w:w="69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696"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03"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c>
          <w:tcPr>
            <w:tcW w:w="1015" w:type="dxa"/>
            <w:noWrap w:val="0"/>
            <w:vAlign w:val="center"/>
          </w:tcPr>
          <w:p>
            <w:pPr>
              <w:pStyle w:val="13"/>
              <w:shd w:val="clear" w:color="auto" w:fill="auto"/>
              <w:spacing w:line="240" w:lineRule="atLeast"/>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50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93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141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96" w:type="dxa"/>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718" w:type="dxa"/>
            <w:gridSpan w:val="2"/>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c>
          <w:tcPr>
            <w:tcW w:w="6756" w:type="dxa"/>
            <w:gridSpan w:val="6"/>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w:t>
            </w:r>
          </w:p>
        </w:tc>
        <w:tc>
          <w:tcPr>
            <w:tcW w:w="1392" w:type="dxa"/>
            <w:gridSpan w:val="2"/>
            <w:noWrap w:val="0"/>
            <w:vAlign w:val="center"/>
          </w:tcPr>
          <w:p>
            <w:pPr>
              <w:pStyle w:val="13"/>
              <w:shd w:val="clear" w:color="auto" w:fill="auto"/>
              <w:spacing w:line="240" w:lineRule="atLeast"/>
              <w:ind w:left="1080" w:leftChars="257" w:hanging="540"/>
              <w:jc w:val="both"/>
              <w:outlineLvl w:val="9"/>
              <w:rPr>
                <w:rFonts w:hint="eastAsia" w:ascii="仿宋" w:hAnsi="仿宋" w:eastAsia="仿宋" w:cs="仿宋"/>
                <w:color w:val="auto"/>
                <w:sz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.如果按单价计算的结果与总价不一致,以单价为准修正总价。</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.如果不提供详细分项报价将视为没有实质性响应</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.如果开标一览表（报价表）内容与投标文件中明细表内容不一致的，以开标一览表（报价表）内容为准。</w:t>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宋体" w:hAnsi="宋体" w:eastAsia="宋体" w:cs="宋体"/>
          <w:color w:val="auto"/>
          <w:sz w:val="24"/>
          <w:highlight w:val="none"/>
        </w:rPr>
        <w:br w:type="page"/>
      </w:r>
      <w:bookmarkStart w:id="229" w:name="_Toc13899"/>
      <w:bookmarkStart w:id="230" w:name="_Toc515647819"/>
      <w:bookmarkStart w:id="231" w:name="_Toc4012"/>
      <w:bookmarkStart w:id="232" w:name="_Toc216582816"/>
      <w:bookmarkStart w:id="233" w:name="_Toc14037"/>
      <w:bookmarkStart w:id="234" w:name="_Toc18267"/>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附件3</w:t>
      </w:r>
      <w:r>
        <w:rPr>
          <w:rFonts w:hint="eastAsia" w:ascii="仿宋" w:hAnsi="仿宋" w:eastAsia="仿宋" w:cs="仿宋"/>
          <w:color w:val="auto"/>
          <w:sz w:val="24"/>
          <w:szCs w:val="24"/>
          <w:highlight w:val="none"/>
          <w:lang w:eastAsia="zh-CN"/>
        </w:rPr>
        <w:t>）</w:t>
      </w:r>
    </w:p>
    <w:p>
      <w:pPr>
        <w:pStyle w:val="13"/>
        <w:shd w:val="clear" w:color="auto" w:fill="auto"/>
        <w:spacing w:line="240" w:lineRule="atLeast"/>
        <w:ind w:left="1080" w:leftChars="257" w:hanging="540"/>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货物</w:t>
      </w:r>
      <w:r>
        <w:rPr>
          <w:rFonts w:hint="eastAsia" w:ascii="宋体" w:hAnsi="宋体" w:eastAsia="宋体" w:cs="宋体"/>
          <w:b/>
          <w:bCs/>
          <w:color w:val="auto"/>
          <w:sz w:val="24"/>
          <w:highlight w:val="none"/>
        </w:rPr>
        <w:t>说明一览表</w:t>
      </w:r>
      <w:bookmarkEnd w:id="229"/>
      <w:bookmarkEnd w:id="230"/>
      <w:bookmarkEnd w:id="231"/>
      <w:bookmarkEnd w:id="232"/>
      <w:bookmarkEnd w:id="233"/>
      <w:bookmarkEnd w:id="234"/>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招标编号:                       包号:                      </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2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601"/>
        <w:gridCol w:w="1225"/>
        <w:gridCol w:w="1138"/>
        <w:gridCol w:w="1275"/>
        <w:gridCol w:w="125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96"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序号</w:t>
            </w:r>
          </w:p>
        </w:tc>
        <w:tc>
          <w:tcPr>
            <w:tcW w:w="1601"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货物名称</w:t>
            </w:r>
          </w:p>
        </w:tc>
        <w:tc>
          <w:tcPr>
            <w:tcW w:w="1225"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主要规格</w:t>
            </w:r>
          </w:p>
        </w:tc>
        <w:tc>
          <w:tcPr>
            <w:tcW w:w="1138"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数量</w:t>
            </w:r>
          </w:p>
        </w:tc>
        <w:tc>
          <w:tcPr>
            <w:tcW w:w="1275"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供货期</w:t>
            </w:r>
          </w:p>
        </w:tc>
        <w:tc>
          <w:tcPr>
            <w:tcW w:w="1250"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供货地点</w:t>
            </w:r>
          </w:p>
        </w:tc>
        <w:tc>
          <w:tcPr>
            <w:tcW w:w="1690" w:type="dxa"/>
            <w:noWrap w:val="0"/>
            <w:vAlign w:val="top"/>
          </w:tcPr>
          <w:p>
            <w:pPr>
              <w:shd w:val="clear" w:color="auto" w:fill="auto"/>
              <w:jc w:val="center"/>
              <w:outlineLvl w:val="9"/>
              <w:rPr>
                <w:rFonts w:hint="eastAsia" w:ascii="仿宋" w:hAnsi="仿宋" w:eastAsia="仿宋" w:cs="仿宋"/>
                <w:color w:val="auto"/>
                <w:kern w:val="2"/>
                <w:sz w:val="24"/>
                <w:szCs w:val="20"/>
                <w:highlight w:val="none"/>
                <w:u w:val="none" w:color="000000"/>
                <w:lang w:val="en-US" w:eastAsia="zh-CN" w:bidi="ar-SA"/>
              </w:rPr>
            </w:pPr>
            <w:r>
              <w:rPr>
                <w:rFonts w:hint="eastAsia" w:ascii="仿宋" w:hAnsi="仿宋" w:eastAsia="仿宋" w:cs="仿宋"/>
                <w:color w:val="auto"/>
                <w:kern w:val="2"/>
                <w:sz w:val="24"/>
                <w:szCs w:val="20"/>
                <w:highlight w:val="none"/>
                <w:u w:val="none" w:color="000000"/>
                <w:lang w:val="en-US"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9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01"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2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3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75"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5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9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注: 各项货物详细技术性能应另页描述。</w:t>
      </w:r>
    </w:p>
    <w:p>
      <w:pPr>
        <w:pStyle w:val="13"/>
        <w:shd w:val="clear" w:color="auto" w:fill="auto"/>
        <w:spacing w:line="240" w:lineRule="atLeast"/>
        <w:ind w:left="1080" w:leftChars="257" w:hanging="540"/>
        <w:jc w:val="center"/>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jc w:val="center"/>
        <w:outlineLvl w:val="9"/>
        <w:rPr>
          <w:rFonts w:hint="eastAsia" w:ascii="宋体" w:hAnsi="宋体" w:eastAsia="宋体" w:cs="宋体"/>
          <w:color w:val="auto"/>
          <w:sz w:val="24"/>
          <w:highlight w:val="none"/>
        </w:rPr>
        <w:sectPr>
          <w:pgSz w:w="11905" w:h="16838"/>
          <w:pgMar w:top="1440" w:right="1083" w:bottom="1440" w:left="1083" w:header="850" w:footer="992" w:gutter="0"/>
          <w:paperSrc/>
          <w:pgBorders>
            <w:top w:val="none" w:sz="0" w:space="0"/>
            <w:left w:val="none" w:sz="0" w:space="0"/>
            <w:bottom w:val="none" w:sz="0" w:space="0"/>
            <w:right w:val="none" w:sz="0" w:space="0"/>
          </w:pgBorders>
          <w:pgNumType w:fmt="decimal"/>
          <w:cols w:space="720" w:num="1"/>
          <w:rtlGutter w:val="0"/>
          <w:docGrid w:type="lines" w:linePitch="314" w:charSpace="0"/>
        </w:sectPr>
      </w:pP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bookmarkStart w:id="235" w:name="_Toc15586"/>
      <w:bookmarkStart w:id="236" w:name="_Toc12170"/>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附件4</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4、</w:t>
      </w:r>
      <w:r>
        <w:rPr>
          <w:rFonts w:hint="eastAsia" w:ascii="仿宋" w:hAnsi="仿宋" w:eastAsia="仿宋" w:cs="仿宋"/>
          <w:b/>
          <w:bCs/>
          <w:color w:val="auto"/>
          <w:sz w:val="32"/>
          <w:szCs w:val="32"/>
          <w:highlight w:val="none"/>
        </w:rPr>
        <w:t>技术规格偏离表</w:t>
      </w:r>
      <w:bookmarkEnd w:id="225"/>
      <w:bookmarkEnd w:id="226"/>
      <w:bookmarkEnd w:id="227"/>
      <w:bookmarkEnd w:id="228"/>
      <w:bookmarkEnd w:id="235"/>
      <w:bookmarkEnd w:id="236"/>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包号:</w:t>
      </w: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640"/>
        <w:gridCol w:w="1186"/>
        <w:gridCol w:w="1282"/>
        <w:gridCol w:w="2414"/>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序号</w:t>
            </w:r>
          </w:p>
        </w:tc>
        <w:tc>
          <w:tcPr>
            <w:tcW w:w="1260" w:type="dxa"/>
            <w:noWrap w:val="0"/>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货物名称</w:t>
            </w:r>
          </w:p>
        </w:tc>
        <w:tc>
          <w:tcPr>
            <w:tcW w:w="1640" w:type="dxa"/>
            <w:noWrap w:val="0"/>
            <w:vAlign w:val="center"/>
          </w:tcPr>
          <w:p>
            <w:pPr>
              <w:pStyle w:val="13"/>
              <w:shd w:val="clear" w:color="auto" w:fill="auto"/>
              <w:spacing w:line="240" w:lineRule="atLeast"/>
              <w:ind w:left="269" w:leftChars="128"/>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竞争性磋商文件条款号</w:t>
            </w:r>
          </w:p>
        </w:tc>
        <w:tc>
          <w:tcPr>
            <w:tcW w:w="1186" w:type="dxa"/>
            <w:noWrap w:val="0"/>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招标规格</w:t>
            </w:r>
          </w:p>
        </w:tc>
        <w:tc>
          <w:tcPr>
            <w:tcW w:w="1282" w:type="dxa"/>
            <w:noWrap w:val="0"/>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投标规格</w:t>
            </w:r>
          </w:p>
        </w:tc>
        <w:tc>
          <w:tcPr>
            <w:tcW w:w="2414" w:type="dxa"/>
            <w:noWrap w:val="0"/>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偏离</w:t>
            </w:r>
          </w:p>
        </w:tc>
        <w:tc>
          <w:tcPr>
            <w:tcW w:w="700" w:type="dxa"/>
            <w:noWrap w:val="0"/>
            <w:vAlign w:val="center"/>
          </w:tcPr>
          <w:p>
            <w:pPr>
              <w:pStyle w:val="13"/>
              <w:shd w:val="clear" w:color="auto" w:fill="auto"/>
              <w:spacing w:line="240" w:lineRule="atLeast"/>
              <w:jc w:val="center"/>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center"/>
          </w:tcPr>
          <w:p>
            <w:pPr>
              <w:pStyle w:val="13"/>
              <w:keepNext w:val="0"/>
              <w:keepLines w:val="0"/>
              <w:pageBreakBefore w:val="0"/>
              <w:widowControl w:val="0"/>
              <w:shd w:val="clear" w:color="auto" w:fill="auto"/>
              <w:kinsoku/>
              <w:wordWrap/>
              <w:overflowPunct/>
              <w:topLinePunct w:val="0"/>
              <w:autoSpaceDE/>
              <w:autoSpaceDN/>
              <w:bidi w:val="0"/>
              <w:adjustRightInd/>
              <w:snapToGrid/>
              <w:spacing w:line="240" w:lineRule="atLeast"/>
              <w:jc w:val="left"/>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b/>
                <w:bCs/>
                <w:color w:val="auto"/>
                <w:sz w:val="24"/>
                <w:highlight w:val="none"/>
                <w:u w:val="single" w:color="auto"/>
                <w:lang w:val="en-US" w:eastAsia="zh-CN"/>
              </w:rPr>
              <w:t>如有正偏离需提供证明材料，证明材料附后(并注明页码)</w:t>
            </w: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6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6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186"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1282"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2414"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c>
          <w:tcPr>
            <w:tcW w:w="7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lang w:eastAsia="zh-CN"/>
        </w:rPr>
      </w:pPr>
    </w:p>
    <w:p>
      <w:pPr>
        <w:pStyle w:val="13"/>
        <w:shd w:val="clear" w:color="auto" w:fill="auto"/>
        <w:spacing w:line="240" w:lineRule="atLeast"/>
        <w:ind w:left="1080" w:leftChars="257" w:hanging="540"/>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投标人(盖单位章):</w:t>
      </w:r>
      <w:r>
        <w:rPr>
          <w:rFonts w:hint="eastAsia" w:ascii="仿宋" w:hAnsi="仿宋" w:eastAsia="仿宋" w:cs="仿宋"/>
          <w:color w:val="auto"/>
          <w:sz w:val="24"/>
          <w:highlight w:val="none"/>
          <w:u w:val="single"/>
        </w:rPr>
        <w:tab/>
      </w:r>
    </w:p>
    <w:p>
      <w:pPr>
        <w:pStyle w:val="13"/>
        <w:shd w:val="clear" w:color="auto" w:fill="auto"/>
        <w:tabs>
          <w:tab w:val="left" w:pos="5580"/>
        </w:tabs>
        <w:spacing w:line="240" w:lineRule="atLeas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br w:type="page"/>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bookmarkStart w:id="237" w:name="_Toc216582818"/>
      <w:bookmarkStart w:id="238" w:name="_Toc23"/>
      <w:bookmarkStart w:id="239" w:name="_Toc1980"/>
      <w:bookmarkStart w:id="240" w:name="_Toc515647821"/>
      <w:bookmarkStart w:id="241" w:name="_Toc21391"/>
      <w:bookmarkStart w:id="242" w:name="_Toc24025"/>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附件5</w:t>
      </w:r>
      <w:r>
        <w:rPr>
          <w:rFonts w:hint="eastAsia" w:ascii="仿宋" w:hAnsi="仿宋" w:eastAsia="仿宋" w:cs="仿宋"/>
          <w:color w:val="auto"/>
          <w:sz w:val="24"/>
          <w:szCs w:val="24"/>
          <w:highlight w:val="none"/>
          <w:lang w:eastAsia="zh-CN"/>
        </w:rPr>
        <w:t>）</w:t>
      </w:r>
    </w:p>
    <w:p>
      <w:pPr>
        <w:numPr>
          <w:ilvl w:val="0"/>
          <w:numId w:val="0"/>
        </w:numPr>
        <w:shd w:val="clear" w:color="auto" w:fill="auto"/>
        <w:spacing w:before="0" w:line="240" w:lineRule="atLeast"/>
        <w:jc w:val="center"/>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rPr>
        <w:t>商务条款偏离表</w:t>
      </w:r>
      <w:bookmarkEnd w:id="237"/>
      <w:bookmarkEnd w:id="238"/>
      <w:bookmarkEnd w:id="239"/>
      <w:bookmarkEnd w:id="240"/>
      <w:bookmarkEnd w:id="241"/>
      <w:bookmarkEnd w:id="242"/>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outlineLvl w:val="9"/>
        <w:rPr>
          <w:rFonts w:hint="eastAsia" w:ascii="宋体" w:hAnsi="宋体" w:eastAsia="宋体" w:cs="宋体"/>
          <w:color w:val="auto"/>
          <w:sz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招标编号: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包号:</w:t>
      </w: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2040" w:type="dxa"/>
            <w:noWrap w:val="0"/>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竞争性磋商文件条款号</w:t>
            </w:r>
          </w:p>
        </w:tc>
        <w:tc>
          <w:tcPr>
            <w:tcW w:w="2520" w:type="dxa"/>
            <w:noWrap w:val="0"/>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竞争性磋商文件的商务条款</w:t>
            </w:r>
          </w:p>
        </w:tc>
        <w:tc>
          <w:tcPr>
            <w:tcW w:w="2520" w:type="dxa"/>
            <w:noWrap w:val="0"/>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投标文件的商务条款</w:t>
            </w:r>
          </w:p>
        </w:tc>
        <w:tc>
          <w:tcPr>
            <w:tcW w:w="900" w:type="dxa"/>
            <w:noWrap w:val="0"/>
            <w:vAlign w:val="top"/>
          </w:tcPr>
          <w:p>
            <w:pPr>
              <w:pStyle w:val="13"/>
              <w:shd w:val="clear" w:color="auto" w:fill="auto"/>
              <w:spacing w:line="240" w:lineRule="atLeast"/>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jc w:val="center"/>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jc w:val="center"/>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04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252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c>
          <w:tcPr>
            <w:tcW w:w="900" w:type="dxa"/>
            <w:noWrap w:val="0"/>
            <w:vAlign w:val="top"/>
          </w:tcPr>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lang w:val="en-US" w:eastAsia="zh-CN"/>
              </w:rPr>
            </w:pPr>
          </w:p>
        </w:tc>
      </w:tr>
    </w:tbl>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p>
    <w:p>
      <w:pPr>
        <w:pStyle w:val="13"/>
        <w:shd w:val="clear" w:color="auto" w:fill="auto"/>
        <w:spacing w:line="240" w:lineRule="atLeast"/>
        <w:ind w:left="1080" w:leftChars="257" w:hanging="540"/>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pPr>
        <w:pStyle w:val="13"/>
        <w:shd w:val="clear" w:color="auto" w:fill="auto"/>
        <w:tabs>
          <w:tab w:val="left" w:pos="5370"/>
        </w:tabs>
        <w:spacing w:line="240" w:lineRule="atLeast"/>
        <w:ind w:left="1080" w:leftChars="257" w:hanging="540"/>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投标人(盖单位章):</w:t>
      </w:r>
      <w:r>
        <w:rPr>
          <w:rFonts w:hint="eastAsia" w:ascii="仿宋" w:hAnsi="仿宋" w:eastAsia="仿宋" w:cs="仿宋"/>
          <w:color w:val="auto"/>
          <w:sz w:val="24"/>
          <w:szCs w:val="24"/>
          <w:highlight w:val="none"/>
          <w:u w:val="single"/>
        </w:rPr>
        <w:tab/>
      </w:r>
    </w:p>
    <w:p>
      <w:pPr>
        <w:numPr>
          <w:ilvl w:val="0"/>
          <w:numId w:val="0"/>
        </w:numPr>
        <w:shd w:val="clear" w:color="auto" w:fill="auto"/>
        <w:spacing w:before="0" w:line="240" w:lineRule="atLeast"/>
        <w:jc w:val="both"/>
        <w:outlineLvl w:val="9"/>
        <w:rPr>
          <w:rFonts w:hint="eastAsia" w:ascii="宋体" w:hAnsi="宋体" w:eastAsia="宋体" w:cs="宋体"/>
          <w:color w:val="auto"/>
          <w:highlight w:val="none"/>
        </w:rPr>
      </w:pPr>
      <w:r>
        <w:rPr>
          <w:rFonts w:hint="eastAsia" w:ascii="仿宋" w:hAnsi="仿宋" w:eastAsia="仿宋" w:cs="仿宋"/>
          <w:color w:val="auto"/>
          <w:sz w:val="24"/>
          <w:szCs w:val="24"/>
          <w:highlight w:val="none"/>
        </w:rPr>
        <w:br w:type="page"/>
      </w:r>
      <w:bookmarkStart w:id="243" w:name="_Toc10725"/>
      <w:bookmarkStart w:id="244" w:name="_Toc515647823"/>
      <w:bookmarkStart w:id="245" w:name="_Toc2963"/>
      <w:bookmarkStart w:id="246" w:name="_Toc21312"/>
      <w:bookmarkStart w:id="247" w:name="_Toc30795"/>
      <w:bookmarkStart w:id="248" w:name="_Toc28099"/>
      <w:bookmarkStart w:id="249" w:name="_Toc515647827"/>
    </w:p>
    <w:bookmarkEnd w:id="243"/>
    <w:bookmarkEnd w:id="244"/>
    <w:bookmarkEnd w:id="245"/>
    <w:bookmarkEnd w:id="246"/>
    <w:p>
      <w:pPr>
        <w:shd w:val="clear" w:color="auto" w:fill="auto"/>
        <w:spacing w:line="360" w:lineRule="auto"/>
        <w:jc w:val="center"/>
        <w:outlineLvl w:val="9"/>
        <w:rPr>
          <w:rFonts w:hint="eastAsia" w:ascii="仿宋" w:hAnsi="仿宋" w:eastAsia="仿宋" w:cs="仿宋"/>
          <w:b/>
          <w:bCs w:val="0"/>
          <w:color w:val="auto"/>
          <w:kern w:val="0"/>
          <w:sz w:val="36"/>
          <w:szCs w:val="36"/>
          <w:highlight w:val="none"/>
          <w:lang w:eastAsia="zh-CN"/>
        </w:rPr>
      </w:pPr>
      <w:bookmarkStart w:id="250" w:name="_Toc13119"/>
      <w:r>
        <w:rPr>
          <w:rFonts w:hint="eastAsia" w:ascii="仿宋" w:hAnsi="仿宋" w:eastAsia="仿宋" w:cs="仿宋"/>
          <w:b/>
          <w:bCs w:val="0"/>
          <w:color w:val="auto"/>
          <w:kern w:val="0"/>
          <w:sz w:val="36"/>
          <w:szCs w:val="36"/>
          <w:highlight w:val="none"/>
          <w:lang w:val="en-US" w:eastAsia="zh-CN"/>
        </w:rPr>
        <w:t>6</w:t>
      </w:r>
      <w:r>
        <w:rPr>
          <w:rFonts w:hint="eastAsia" w:ascii="仿宋" w:hAnsi="仿宋" w:eastAsia="仿宋" w:cs="仿宋"/>
          <w:b/>
          <w:bCs w:val="0"/>
          <w:color w:val="auto"/>
          <w:kern w:val="0"/>
          <w:sz w:val="36"/>
          <w:szCs w:val="36"/>
          <w:highlight w:val="none"/>
          <w:lang w:eastAsia="zh-CN"/>
        </w:rPr>
        <w:t>、</w:t>
      </w:r>
      <w:r>
        <w:rPr>
          <w:rFonts w:hint="eastAsia" w:ascii="仿宋" w:hAnsi="仿宋" w:eastAsia="仿宋" w:cs="仿宋"/>
          <w:b/>
          <w:bCs w:val="0"/>
          <w:color w:val="auto"/>
          <w:kern w:val="0"/>
          <w:sz w:val="36"/>
          <w:szCs w:val="36"/>
          <w:highlight w:val="none"/>
        </w:rPr>
        <w:t>投标人关联单位的说明</w:t>
      </w:r>
      <w:bookmarkEnd w:id="250"/>
      <w:r>
        <w:rPr>
          <w:rFonts w:hint="eastAsia" w:ascii="仿宋" w:hAnsi="仿宋" w:eastAsia="仿宋" w:cs="仿宋"/>
          <w:b/>
          <w:bCs w:val="0"/>
          <w:color w:val="auto"/>
          <w:kern w:val="0"/>
          <w:sz w:val="36"/>
          <w:szCs w:val="36"/>
          <w:highlight w:val="none"/>
          <w:lang w:eastAsia="zh-CN"/>
        </w:rPr>
        <w:t>（</w:t>
      </w:r>
      <w:r>
        <w:rPr>
          <w:rFonts w:hint="eastAsia" w:ascii="仿宋" w:hAnsi="仿宋" w:eastAsia="仿宋" w:cs="仿宋"/>
          <w:b/>
          <w:bCs w:val="0"/>
          <w:color w:val="auto"/>
          <w:kern w:val="0"/>
          <w:sz w:val="36"/>
          <w:szCs w:val="36"/>
          <w:highlight w:val="none"/>
          <w:lang w:val="en-US" w:eastAsia="zh-CN"/>
        </w:rPr>
        <w:t>格式自拟</w:t>
      </w:r>
      <w:r>
        <w:rPr>
          <w:rFonts w:hint="eastAsia" w:ascii="仿宋" w:hAnsi="仿宋" w:eastAsia="仿宋" w:cs="仿宋"/>
          <w:b/>
          <w:bCs w:val="0"/>
          <w:color w:val="auto"/>
          <w:kern w:val="0"/>
          <w:sz w:val="36"/>
          <w:szCs w:val="36"/>
          <w:highlight w:val="none"/>
          <w:lang w:eastAsia="zh-CN"/>
        </w:rPr>
        <w:t>）</w:t>
      </w:r>
    </w:p>
    <w:p>
      <w:pPr>
        <w:pStyle w:val="8"/>
        <w:shd w:val="clear" w:color="auto" w:fill="auto"/>
        <w:jc w:val="center"/>
        <w:outlineLvl w:val="9"/>
        <w:rPr>
          <w:rFonts w:hint="eastAsia" w:ascii="宋体" w:hAnsi="宋体" w:eastAsia="宋体" w:cs="宋体"/>
          <w:color w:val="auto"/>
          <w:highlight w:val="none"/>
        </w:rPr>
      </w:pPr>
    </w:p>
    <w:p>
      <w:pPr>
        <w:pStyle w:val="8"/>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说明：投标人应当如实披露与本单位存在下列关联关系的单位名称：</w:t>
      </w:r>
    </w:p>
    <w:p>
      <w:pPr>
        <w:pStyle w:val="8"/>
        <w:shd w:val="clear" w:color="auto" w:fill="auto"/>
        <w:ind w:firstLine="480" w:firstLineChars="200"/>
        <w:outlineLvl w:val="9"/>
        <w:rPr>
          <w:rFonts w:hint="eastAsia" w:ascii="仿宋" w:hAnsi="仿宋" w:eastAsia="仿宋" w:cs="仿宋"/>
          <w:color w:val="auto"/>
          <w:highlight w:val="none"/>
          <w:lang w:eastAsia="zh-CN"/>
        </w:rPr>
      </w:pPr>
      <w:r>
        <w:rPr>
          <w:rFonts w:hint="eastAsia" w:ascii="仿宋" w:hAnsi="仿宋" w:eastAsia="仿宋" w:cs="仿宋"/>
          <w:color w:val="auto"/>
          <w:highlight w:val="none"/>
        </w:rPr>
        <w:t>（1）与投标人单位负责人为同一人的其他单位；</w:t>
      </w:r>
    </w:p>
    <w:p>
      <w:pPr>
        <w:pStyle w:val="8"/>
        <w:shd w:val="clear" w:color="auto" w:fill="auto"/>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（2）与投标人存在直接控股、管理关系的其他单位。</w:t>
      </w:r>
    </w:p>
    <w:p>
      <w:pPr>
        <w:pStyle w:val="8"/>
        <w:shd w:val="clear" w:color="auto" w:fill="auto"/>
        <w:ind w:firstLine="0"/>
        <w:outlineLvl w:val="9"/>
        <w:rPr>
          <w:rFonts w:hint="eastAsia" w:ascii="宋体" w:hAnsi="宋体" w:eastAsia="宋体" w:cs="宋体"/>
          <w:color w:val="auto"/>
          <w:highlight w:val="none"/>
        </w:rPr>
      </w:pP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b/>
          <w:bCs w:val="0"/>
          <w:color w:val="auto"/>
          <w:kern w:val="0"/>
          <w:sz w:val="36"/>
          <w:szCs w:val="36"/>
          <w:highlight w:val="none"/>
          <w:lang w:val="en-US" w:eastAsia="zh-CN"/>
        </w:rPr>
        <w:br w:type="page"/>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附件6</w:t>
      </w:r>
      <w:r>
        <w:rPr>
          <w:rFonts w:hint="eastAsia" w:ascii="仿宋" w:hAnsi="仿宋" w:eastAsia="仿宋" w:cs="仿宋"/>
          <w:color w:val="auto"/>
          <w:sz w:val="24"/>
          <w:szCs w:val="24"/>
          <w:highlight w:val="none"/>
          <w:lang w:eastAsia="zh-CN"/>
        </w:rPr>
        <w:t>）</w:t>
      </w:r>
    </w:p>
    <w:p>
      <w:pPr>
        <w:shd w:val="clear" w:color="auto" w:fill="auto"/>
        <w:spacing w:line="360" w:lineRule="auto"/>
        <w:jc w:val="center"/>
        <w:outlineLvl w:val="9"/>
        <w:rPr>
          <w:rFonts w:hint="eastAsia" w:ascii="仿宋" w:hAnsi="仿宋" w:eastAsia="仿宋" w:cs="仿宋"/>
          <w:b/>
          <w:bCs w:val="0"/>
          <w:color w:val="auto"/>
          <w:kern w:val="0"/>
          <w:sz w:val="36"/>
          <w:szCs w:val="36"/>
          <w:highlight w:val="none"/>
        </w:rPr>
      </w:pPr>
      <w:r>
        <w:rPr>
          <w:rFonts w:hint="eastAsia" w:ascii="仿宋" w:hAnsi="仿宋" w:eastAsia="仿宋" w:cs="仿宋"/>
          <w:b/>
          <w:bCs w:val="0"/>
          <w:color w:val="auto"/>
          <w:kern w:val="0"/>
          <w:sz w:val="36"/>
          <w:szCs w:val="36"/>
          <w:highlight w:val="none"/>
          <w:lang w:val="en-US" w:eastAsia="zh-CN"/>
        </w:rPr>
        <w:t>7、</w:t>
      </w:r>
      <w:r>
        <w:rPr>
          <w:rFonts w:hint="eastAsia" w:ascii="仿宋" w:hAnsi="仿宋" w:eastAsia="仿宋" w:cs="仿宋"/>
          <w:b/>
          <w:bCs w:val="0"/>
          <w:color w:val="auto"/>
          <w:kern w:val="0"/>
          <w:sz w:val="36"/>
          <w:szCs w:val="36"/>
          <w:highlight w:val="none"/>
        </w:rPr>
        <w:t>中小企业声明函(</w:t>
      </w:r>
      <w:r>
        <w:rPr>
          <w:rFonts w:hint="eastAsia" w:ascii="仿宋" w:hAnsi="仿宋" w:eastAsia="仿宋" w:cs="仿宋"/>
          <w:b/>
          <w:bCs w:val="0"/>
          <w:color w:val="auto"/>
          <w:kern w:val="0"/>
          <w:sz w:val="36"/>
          <w:szCs w:val="36"/>
          <w:highlight w:val="none"/>
          <w:lang w:eastAsia="zh-CN"/>
        </w:rPr>
        <w:t>货物</w:t>
      </w:r>
      <w:r>
        <w:rPr>
          <w:rFonts w:hint="eastAsia" w:ascii="仿宋" w:hAnsi="仿宋" w:eastAsia="仿宋" w:cs="仿宋"/>
          <w:b/>
          <w:bCs w:val="0"/>
          <w:color w:val="auto"/>
          <w:kern w:val="0"/>
          <w:sz w:val="36"/>
          <w:szCs w:val="36"/>
          <w:highlight w:val="none"/>
        </w:rPr>
        <w:t>)</w:t>
      </w:r>
    </w:p>
    <w:p>
      <w:pPr>
        <w:ind w:left="1280"/>
        <w:outlineLvl w:val="9"/>
        <w:rPr>
          <w:rFonts w:hint="eastAsia" w:ascii="仿宋" w:hAnsi="仿宋" w:eastAsia="仿宋" w:cs="仿宋"/>
          <w:color w:val="auto"/>
          <w:sz w:val="32"/>
          <w:szCs w:val="32"/>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1.（标的名称），属于</w:t>
      </w:r>
      <w:r>
        <w:rPr>
          <w:rFonts w:hint="eastAsia" w:ascii="仿宋" w:hAnsi="仿宋" w:eastAsia="仿宋" w:cs="仿宋"/>
          <w:b/>
          <w:bCs/>
          <w:color w:val="FF0000"/>
          <w:kern w:val="0"/>
          <w:sz w:val="24"/>
          <w:szCs w:val="24"/>
          <w:highlight w:val="none"/>
          <w:u w:val="single"/>
          <w:lang w:val="en-US" w:eastAsia="zh-CN"/>
        </w:rPr>
        <w:t>农业</w:t>
      </w:r>
      <w:r>
        <w:rPr>
          <w:rFonts w:hint="eastAsia" w:ascii="仿宋" w:hAnsi="仿宋" w:eastAsia="仿宋" w:cs="仿宋"/>
          <w:color w:val="auto"/>
          <w:kern w:val="0"/>
          <w:sz w:val="24"/>
          <w:szCs w:val="24"/>
          <w:highlight w:val="none"/>
        </w:rPr>
        <w:t>（采购文件中明确的所属行业）；制造商为（企业名称），从业人员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（标的名称），属于（采购文件中明确的所属行业）；制造商为（企业名称），从业人员  人，营业收入为  万元，资产总额为  万元，属于（中型企业、小型企业、微型企业）；</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p>
    <w:p>
      <w:pPr>
        <w:shd w:val="clear" w:color="auto" w:fill="auto"/>
        <w:spacing w:line="360" w:lineRule="auto"/>
        <w:ind w:firstLine="4560" w:firstLineChars="19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pPr>
        <w:shd w:val="clear" w:color="auto" w:fill="auto"/>
        <w:spacing w:line="360" w:lineRule="auto"/>
        <w:ind w:firstLine="480" w:firstLineChars="200"/>
        <w:outlineLvl w:val="9"/>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 xml:space="preserve"> 日期：</w:t>
      </w:r>
    </w:p>
    <w:p>
      <w:pPr>
        <w:shd w:val="clear" w:color="auto" w:fill="auto"/>
        <w:bidi w:val="0"/>
        <w:rPr>
          <w:rFonts w:hint="eastAsia" w:ascii="仿宋" w:hAnsi="仿宋" w:eastAsia="仿宋" w:cs="仿宋"/>
          <w:color w:val="auto"/>
          <w:highlight w:val="none"/>
          <w:lang w:eastAsia="zh-CN"/>
        </w:rPr>
      </w:pPr>
      <w:r>
        <w:rPr>
          <w:rFonts w:hint="eastAsia" w:ascii="仿宋" w:hAnsi="仿宋" w:eastAsia="仿宋" w:cs="仿宋"/>
          <w:color w:val="auto"/>
          <w:highlight w:val="none"/>
        </w:rPr>
        <w:br w:type="page"/>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附件7</w:t>
      </w:r>
      <w:r>
        <w:rPr>
          <w:rFonts w:hint="eastAsia" w:ascii="仿宋" w:hAnsi="仿宋" w:eastAsia="仿宋" w:cs="仿宋"/>
          <w:color w:val="auto"/>
          <w:highlight w:val="none"/>
          <w:lang w:eastAsia="zh-CN"/>
        </w:rPr>
        <w:t>）</w:t>
      </w:r>
    </w:p>
    <w:p>
      <w:pPr>
        <w:shd w:val="clear" w:color="auto" w:fill="auto"/>
        <w:bidi w:val="0"/>
        <w:jc w:val="center"/>
        <w:rPr>
          <w:rFonts w:hint="eastAsia" w:ascii="仿宋" w:hAnsi="仿宋" w:eastAsia="仿宋" w:cs="仿宋"/>
          <w:b/>
          <w:bCs/>
          <w:color w:val="auto"/>
          <w:sz w:val="32"/>
          <w:szCs w:val="22"/>
          <w:highlight w:val="none"/>
          <w:lang w:val="en-US" w:eastAsia="zh-CN"/>
        </w:rPr>
      </w:pPr>
      <w:r>
        <w:rPr>
          <w:rFonts w:hint="eastAsia" w:ascii="仿宋" w:hAnsi="仿宋" w:eastAsia="仿宋" w:cs="仿宋"/>
          <w:b/>
          <w:bCs/>
          <w:color w:val="auto"/>
          <w:sz w:val="32"/>
          <w:szCs w:val="22"/>
          <w:highlight w:val="none"/>
          <w:lang w:val="en-US" w:eastAsia="zh-CN"/>
        </w:rPr>
        <w:t>制造商企业（单位）类型声明函</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本企业（单位）作为______单位的______ 项目的设备制造商，参加政府采购活动。根据《政府采购促进中小企业发展暂行办法》（财库[20</w:t>
      </w:r>
      <w:r>
        <w:rPr>
          <w:rFonts w:hint="eastAsia" w:ascii="仿宋" w:hAnsi="仿宋" w:eastAsia="仿宋" w:cs="仿宋"/>
          <w:color w:val="auto"/>
          <w:kern w:val="0"/>
          <w:sz w:val="24"/>
          <w:highlight w:val="none"/>
          <w:lang w:val="en-US" w:eastAsia="zh-CN"/>
        </w:rPr>
        <w:t>20</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46</w:t>
      </w:r>
      <w:r>
        <w:rPr>
          <w:rFonts w:hint="eastAsia" w:ascii="仿宋" w:hAnsi="仿宋" w:eastAsia="仿宋" w:cs="仿宋"/>
          <w:color w:val="auto"/>
          <w:kern w:val="0"/>
          <w:sz w:val="24"/>
          <w:highlight w:val="none"/>
        </w:rPr>
        <w:t>号），《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本企业为______（请填写：中型、小型、微型）企业。</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（请填写：是、不是）监狱企业。后附省级以上监狱管理局、戒毒管理局（含新疆生产建设兵团）出具的属于监狱企业的证明文件。</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（请填写：是、不是）残疾人福利性单位。</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本企业（单位）提供本企业（单位）制造的货物。</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pPr>
        <w:widowControl/>
        <w:shd w:val="clear" w:color="auto" w:fill="auto"/>
        <w:spacing w:before="100" w:beforeAutospacing="1" w:after="100" w:afterAutospacing="1" w:line="330" w:lineRule="atLeast"/>
        <w:ind w:firstLine="420"/>
        <w:jc w:val="left"/>
        <w:rPr>
          <w:rFonts w:hint="eastAsia" w:ascii="仿宋" w:hAnsi="仿宋" w:eastAsia="仿宋" w:cs="仿宋"/>
          <w:color w:val="auto"/>
          <w:kern w:val="0"/>
          <w:sz w:val="24"/>
          <w:highlight w:val="none"/>
          <w:u w:val="single" w:color="FFFFFF"/>
        </w:rPr>
      </w:pPr>
      <w:r>
        <w:rPr>
          <w:rFonts w:hint="eastAsia" w:ascii="仿宋" w:hAnsi="仿宋" w:eastAsia="仿宋" w:cs="仿宋"/>
          <w:color w:val="auto"/>
          <w:kern w:val="0"/>
          <w:sz w:val="24"/>
          <w:highlight w:val="none"/>
          <w:u w:val="single" w:color="FFFFFF"/>
        </w:rPr>
        <w:t>本声明函经制造商和投标人共同盖章生效。</w:t>
      </w: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5160" w:firstLineChars="2150"/>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jc w:val="left"/>
        <w:rPr>
          <w:rFonts w:hint="eastAsia" w:ascii="仿宋" w:hAnsi="仿宋" w:eastAsia="仿宋" w:cs="仿宋"/>
          <w:color w:val="auto"/>
          <w:kern w:val="0"/>
          <w:sz w:val="24"/>
          <w:highlight w:val="none"/>
        </w:rPr>
      </w:pPr>
    </w:p>
    <w:p>
      <w:pPr>
        <w:widowControl/>
        <w:shd w:val="clear" w:color="auto" w:fill="auto"/>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u w:val="single" w:color="FFFFFF"/>
        </w:rPr>
        <w:t>制造商名称（盖单位章）</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widowControl/>
        <w:shd w:val="clear" w:color="auto" w:fill="auto"/>
        <w:spacing w:before="100" w:beforeAutospacing="1" w:after="100" w:afterAutospacing="1" w:line="330" w:lineRule="atLeast"/>
        <w:ind w:firstLine="3120" w:firstLineChars="1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投标人名称（盖单位章）：___________   </w:t>
      </w:r>
    </w:p>
    <w:p>
      <w:pPr>
        <w:pStyle w:val="21"/>
        <w:ind w:firstLine="3120" w:firstLineChars="1300"/>
        <w:outlineLvl w:val="9"/>
        <w:rPr>
          <w:rFonts w:hint="eastAsia" w:ascii="仿宋" w:hAnsi="仿宋" w:eastAsia="仿宋" w:cs="仿宋"/>
          <w:color w:val="auto"/>
          <w:highlight w:val="none"/>
        </w:rPr>
      </w:pPr>
      <w:r>
        <w:rPr>
          <w:rFonts w:hint="eastAsia" w:ascii="仿宋" w:hAnsi="仿宋" w:eastAsia="仿宋" w:cs="仿宋"/>
          <w:color w:val="auto"/>
          <w:kern w:val="0"/>
          <w:sz w:val="24"/>
          <w:highlight w:val="none"/>
        </w:rPr>
        <w:t xml:space="preserve">日　期：____________                     </w:t>
      </w: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pStyle w:val="21"/>
        <w:outlineLvl w:val="9"/>
        <w:rPr>
          <w:rFonts w:hint="eastAsia" w:ascii="仿宋" w:hAnsi="仿宋" w:eastAsia="仿宋" w:cs="仿宋"/>
          <w:color w:val="auto"/>
          <w:highlight w:val="none"/>
        </w:rPr>
      </w:pPr>
    </w:p>
    <w:p>
      <w:pPr>
        <w:tabs>
          <w:tab w:val="left" w:pos="3600"/>
        </w:tabs>
        <w:adjustRightInd w:val="0"/>
        <w:snapToGrid w:val="0"/>
        <w:spacing w:line="440" w:lineRule="exact"/>
        <w:jc w:val="center"/>
        <w:outlineLvl w:val="9"/>
        <w:rPr>
          <w:rFonts w:hint="eastAsia" w:ascii="仿宋" w:hAnsi="仿宋" w:eastAsia="仿宋" w:cs="仿宋"/>
          <w:color w:val="auto"/>
          <w:spacing w:val="0"/>
          <w:w w:val="100"/>
          <w:position w:val="0"/>
          <w:sz w:val="36"/>
          <w:szCs w:val="36"/>
          <w:highlight w:val="none"/>
          <w:lang w:val="en-US" w:eastAsia="zh-CN"/>
        </w:rPr>
      </w:pPr>
      <w:r>
        <w:rPr>
          <w:rFonts w:hint="eastAsia" w:ascii="仿宋" w:hAnsi="仿宋" w:eastAsia="仿宋" w:cs="仿宋"/>
          <w:color w:val="auto"/>
          <w:spacing w:val="0"/>
          <w:w w:val="100"/>
          <w:position w:val="0"/>
          <w:sz w:val="36"/>
          <w:szCs w:val="36"/>
          <w:highlight w:val="none"/>
          <w:lang w:val="en-US" w:eastAsia="zh-CN"/>
        </w:rPr>
        <w:br w:type="page"/>
      </w:r>
    </w:p>
    <w:p>
      <w:pPr>
        <w:numPr>
          <w:ilvl w:val="0"/>
          <w:numId w:val="0"/>
        </w:numPr>
        <w:shd w:val="clear" w:color="auto" w:fill="auto"/>
        <w:spacing w:before="0" w:line="240" w:lineRule="atLeast"/>
        <w:jc w:val="left"/>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附件8</w:t>
      </w:r>
      <w:r>
        <w:rPr>
          <w:rFonts w:hint="eastAsia" w:ascii="仿宋" w:hAnsi="仿宋" w:eastAsia="仿宋" w:cs="仿宋"/>
          <w:color w:val="auto"/>
          <w:sz w:val="24"/>
          <w:szCs w:val="24"/>
          <w:highlight w:val="none"/>
          <w:lang w:eastAsia="zh-CN"/>
        </w:rPr>
        <w:t>）</w:t>
      </w: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rPr>
      </w:pPr>
      <w:r>
        <w:rPr>
          <w:rFonts w:hint="eastAsia" w:ascii="仿宋" w:hAnsi="仿宋" w:eastAsia="仿宋" w:cs="仿宋"/>
          <w:color w:val="auto"/>
          <w:spacing w:val="0"/>
          <w:w w:val="100"/>
          <w:position w:val="0"/>
          <w:sz w:val="36"/>
          <w:szCs w:val="36"/>
          <w:highlight w:val="none"/>
          <w:lang w:val="en-US" w:eastAsia="zh-CN"/>
        </w:rPr>
        <w:t>8</w:t>
      </w:r>
      <w:r>
        <w:rPr>
          <w:rFonts w:hint="eastAsia" w:ascii="仿宋" w:hAnsi="仿宋" w:eastAsia="仿宋" w:cs="仿宋"/>
          <w:color w:val="auto"/>
          <w:spacing w:val="0"/>
          <w:w w:val="100"/>
          <w:position w:val="0"/>
          <w:sz w:val="36"/>
          <w:szCs w:val="36"/>
          <w:highlight w:val="none"/>
          <w:lang w:eastAsia="zh-CN"/>
        </w:rPr>
        <w:t>、</w:t>
      </w:r>
      <w:r>
        <w:rPr>
          <w:rFonts w:hint="eastAsia" w:ascii="仿宋" w:hAnsi="仿宋" w:eastAsia="仿宋" w:cs="仿宋"/>
          <w:b/>
          <w:bCs/>
          <w:color w:val="auto"/>
          <w:spacing w:val="6"/>
          <w:kern w:val="0"/>
          <w:sz w:val="36"/>
          <w:szCs w:val="36"/>
          <w:highlight w:val="none"/>
        </w:rPr>
        <w:t>残疾人福利性单位声明函</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本单位对上述声明的真实性负责。如有虚假，将依法承担相应责任。</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w:t>
      </w: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单位名称（盖章）：</w:t>
      </w:r>
    </w:p>
    <w:p>
      <w:pPr>
        <w:widowControl/>
        <w:adjustRightInd w:val="0"/>
        <w:snapToGrid w:val="0"/>
        <w:spacing w:line="440" w:lineRule="exact"/>
        <w:ind w:firstLine="504" w:firstLineChars="200"/>
        <w:jc w:val="lef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日  期：</w:t>
      </w:r>
    </w:p>
    <w:p>
      <w:pPr>
        <w:numPr>
          <w:ilvl w:val="1"/>
          <w:numId w:val="0"/>
        </w:numPr>
        <w:shd w:val="clear" w:color="auto" w:fill="auto"/>
        <w:tabs>
          <w:tab w:val="left" w:pos="540"/>
        </w:tabs>
        <w:spacing w:before="0" w:line="240" w:lineRule="atLeast"/>
        <w:jc w:val="left"/>
        <w:outlineLvl w:val="9"/>
        <w:rPr>
          <w:rFonts w:hint="eastAsia" w:ascii="仿宋" w:hAnsi="仿宋" w:eastAsia="仿宋" w:cs="仿宋"/>
          <w:b/>
          <w:bCs/>
          <w:color w:val="auto"/>
          <w:sz w:val="24"/>
          <w:highlight w:val="none"/>
          <w:lang w:val="en-US" w:eastAsia="zh-CN"/>
        </w:rPr>
      </w:pPr>
    </w:p>
    <w:p>
      <w:pPr>
        <w:shd w:val="clear" w:color="auto" w:fill="auto"/>
        <w:spacing w:line="240" w:lineRule="atLeast"/>
        <w:ind w:left="1080" w:leftChars="257" w:hanging="540"/>
        <w:outlineLvl w:val="9"/>
        <w:rPr>
          <w:rFonts w:hint="eastAsia" w:ascii="宋体" w:hAnsi="宋体" w:eastAsia="宋体" w:cs="宋体"/>
          <w:color w:val="auto"/>
          <w:kern w:val="0"/>
          <w:sz w:val="24"/>
          <w:szCs w:val="20"/>
          <w:highlight w:val="none"/>
        </w:rPr>
      </w:pPr>
    </w:p>
    <w:p>
      <w:pPr>
        <w:shd w:val="clear" w:color="auto" w:fill="auto"/>
        <w:spacing w:line="240" w:lineRule="atLeast"/>
        <w:ind w:left="1080" w:leftChars="257" w:hanging="540"/>
        <w:jc w:val="center"/>
        <w:outlineLvl w:val="9"/>
        <w:rPr>
          <w:rFonts w:hint="eastAsia" w:ascii="宋体" w:hAnsi="宋体" w:eastAsia="宋体" w:cs="宋体"/>
          <w:color w:val="auto"/>
          <w:kern w:val="0"/>
          <w:sz w:val="24"/>
          <w:szCs w:val="20"/>
          <w:highlight w:val="none"/>
        </w:rPr>
      </w:pPr>
    </w:p>
    <w:p>
      <w:pPr>
        <w:widowControl/>
        <w:adjustRightInd w:val="0"/>
        <w:snapToGrid w:val="0"/>
        <w:spacing w:line="440" w:lineRule="exact"/>
        <w:jc w:val="righ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残疾人福利性单位名称（盖单位章）：______________</w:t>
      </w:r>
    </w:p>
    <w:p>
      <w:pPr>
        <w:widowControl/>
        <w:adjustRightInd w:val="0"/>
        <w:snapToGrid w:val="0"/>
        <w:spacing w:line="440" w:lineRule="exact"/>
        <w:jc w:val="right"/>
        <w:outlineLvl w:val="9"/>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rPr>
        <w:t xml:space="preserve"> 日  期：_____________________________________________</w:t>
      </w: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p>
    <w:p>
      <w:pPr>
        <w:widowControl/>
        <w:adjustRightInd w:val="0"/>
        <w:snapToGrid w:val="0"/>
        <w:spacing w:line="440" w:lineRule="exact"/>
        <w:ind w:firstLine="5544" w:firstLineChars="2200"/>
        <w:jc w:val="left"/>
        <w:outlineLvl w:val="9"/>
        <w:rPr>
          <w:rFonts w:hint="eastAsia" w:ascii="仿宋" w:hAnsi="仿宋" w:eastAsia="仿宋" w:cs="仿宋"/>
          <w:color w:val="auto"/>
          <w:spacing w:val="6"/>
          <w:kern w:val="0"/>
          <w:sz w:val="24"/>
          <w:szCs w:val="24"/>
          <w:highlight w:val="none"/>
        </w:rPr>
      </w:pPr>
    </w:p>
    <w:p>
      <w:pPr>
        <w:numPr>
          <w:ilvl w:val="0"/>
          <w:numId w:val="0"/>
        </w:numPr>
        <w:shd w:val="clear" w:color="auto" w:fill="auto"/>
        <w:spacing w:before="0" w:line="240" w:lineRule="atLeast"/>
        <w:ind w:leftChars="257"/>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bookmarkStart w:id="251" w:name="_Toc6386"/>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numPr>
          <w:ilvl w:val="0"/>
          <w:numId w:val="0"/>
        </w:numPr>
        <w:shd w:val="clear" w:color="auto" w:fill="auto"/>
        <w:spacing w:before="0" w:line="240" w:lineRule="atLeast"/>
        <w:ind w:leftChars="257"/>
        <w:jc w:val="center"/>
        <w:outlineLvl w:val="9"/>
        <w:rPr>
          <w:rFonts w:hint="eastAsia" w:ascii="宋体" w:hAnsi="宋体" w:eastAsia="宋体" w:cs="宋体"/>
          <w:color w:val="auto"/>
          <w:sz w:val="24"/>
          <w:highlight w:val="none"/>
        </w:rPr>
      </w:pPr>
    </w:p>
    <w:p>
      <w:pPr>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pStyle w:val="43"/>
        <w:shd w:val="clear" w:color="auto" w:fill="auto"/>
        <w:outlineLvl w:val="9"/>
        <w:rPr>
          <w:rFonts w:hint="eastAsia" w:ascii="宋体" w:hAnsi="宋体" w:eastAsia="宋体" w:cs="宋体"/>
          <w:color w:val="auto"/>
          <w:sz w:val="24"/>
          <w:highlight w:val="none"/>
        </w:rPr>
      </w:pPr>
    </w:p>
    <w:p>
      <w:pPr>
        <w:numPr>
          <w:ilvl w:val="0"/>
          <w:numId w:val="10"/>
        </w:num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eastAsia="zh-CN"/>
        </w:rPr>
      </w:pPr>
      <w:r>
        <w:rPr>
          <w:rFonts w:hint="eastAsia" w:ascii="仿宋" w:hAnsi="仿宋" w:eastAsia="仿宋" w:cs="仿宋"/>
          <w:b/>
          <w:bCs/>
          <w:color w:val="auto"/>
          <w:spacing w:val="6"/>
          <w:kern w:val="0"/>
          <w:sz w:val="36"/>
          <w:szCs w:val="36"/>
          <w:highlight w:val="none"/>
          <w:lang w:eastAsia="zh-CN"/>
        </w:rPr>
        <w:t>评分标准和细则中技术部分证明材料（格式自拟）</w:t>
      </w:r>
    </w:p>
    <w:p>
      <w:pPr>
        <w:pStyle w:val="13"/>
        <w:pageBreakBefore w:val="0"/>
        <w:widowControl w:val="0"/>
        <w:shd w:val="clear" w:color="auto" w:fill="auto"/>
        <w:tabs>
          <w:tab w:val="left" w:pos="5580"/>
        </w:tabs>
        <w:kinsoku/>
        <w:wordWrap/>
        <w:overflowPunct/>
        <w:topLinePunct w:val="0"/>
        <w:autoSpaceDE/>
        <w:autoSpaceDN/>
        <w:bidi w:val="0"/>
        <w:adjustRightInd/>
        <w:snapToGrid/>
        <w:spacing w:line="360" w:lineRule="auto"/>
        <w:ind w:left="1080" w:leftChars="257" w:hanging="540"/>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评分标准和细则中技术部分</w:t>
      </w:r>
      <w:r>
        <w:rPr>
          <w:rFonts w:hint="eastAsia" w:ascii="仿宋" w:hAnsi="仿宋" w:eastAsia="仿宋" w:cs="仿宋"/>
          <w:color w:val="auto"/>
          <w:sz w:val="24"/>
          <w:highlight w:val="none"/>
        </w:rPr>
        <w:t>要求的其他资格证明文件</w:t>
      </w:r>
      <w:r>
        <w:rPr>
          <w:rFonts w:hint="eastAsia" w:ascii="仿宋" w:hAnsi="仿宋" w:eastAsia="仿宋" w:cs="仿宋"/>
          <w:color w:val="auto"/>
          <w:sz w:val="24"/>
          <w:highlight w:val="none"/>
          <w:lang w:eastAsia="zh-CN"/>
        </w:rPr>
        <w:t>。</w:t>
      </w:r>
    </w:p>
    <w:p>
      <w:pPr>
        <w:pStyle w:val="42"/>
        <w:numPr>
          <w:ilvl w:val="0"/>
          <w:numId w:val="11"/>
        </w:numPr>
        <w:ind w:left="840" w:leftChars="0"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复印件上应加盖本单位章（自然人投标的无需盖章，需要签字）。</w:t>
      </w:r>
    </w:p>
    <w:p>
      <w:pPr>
        <w:pStyle w:val="42"/>
        <w:numPr>
          <w:ilvl w:val="0"/>
          <w:numId w:val="0"/>
        </w:numPr>
        <w:ind w:left="1260" w:leftChars="0"/>
        <w:rPr>
          <w:rFonts w:hint="eastAsia" w:ascii="仿宋" w:hAnsi="仿宋" w:eastAsia="仿宋" w:cs="仿宋"/>
          <w:color w:val="auto"/>
          <w:sz w:val="24"/>
          <w:highlight w:val="none"/>
          <w:lang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val="en-US"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eastAsia="zh-CN"/>
        </w:rPr>
      </w:pPr>
      <w:r>
        <w:rPr>
          <w:rFonts w:hint="eastAsia" w:ascii="仿宋" w:hAnsi="仿宋" w:eastAsia="仿宋" w:cs="仿宋"/>
          <w:b/>
          <w:bCs/>
          <w:color w:val="auto"/>
          <w:spacing w:val="6"/>
          <w:kern w:val="0"/>
          <w:sz w:val="36"/>
          <w:szCs w:val="36"/>
          <w:highlight w:val="none"/>
          <w:lang w:val="en-US" w:eastAsia="zh-CN"/>
        </w:rPr>
        <w:t>10、</w:t>
      </w:r>
      <w:r>
        <w:rPr>
          <w:rFonts w:hint="eastAsia" w:ascii="仿宋" w:hAnsi="仿宋" w:eastAsia="仿宋" w:cs="仿宋"/>
          <w:b/>
          <w:bCs/>
          <w:color w:val="auto"/>
          <w:spacing w:val="6"/>
          <w:kern w:val="0"/>
          <w:sz w:val="36"/>
          <w:szCs w:val="36"/>
          <w:highlight w:val="none"/>
          <w:lang w:eastAsia="zh-CN"/>
        </w:rPr>
        <w:t>评分标准和细则中</w:t>
      </w:r>
      <w:r>
        <w:rPr>
          <w:rFonts w:hint="eastAsia" w:ascii="仿宋" w:hAnsi="仿宋" w:eastAsia="仿宋" w:cs="仿宋"/>
          <w:b/>
          <w:bCs/>
          <w:color w:val="auto"/>
          <w:spacing w:val="6"/>
          <w:kern w:val="0"/>
          <w:sz w:val="36"/>
          <w:szCs w:val="36"/>
          <w:highlight w:val="none"/>
          <w:lang w:val="en-US" w:eastAsia="zh-CN"/>
        </w:rPr>
        <w:t>商务</w:t>
      </w:r>
      <w:r>
        <w:rPr>
          <w:rFonts w:hint="eastAsia" w:ascii="仿宋" w:hAnsi="仿宋" w:eastAsia="仿宋" w:cs="仿宋"/>
          <w:b/>
          <w:bCs/>
          <w:color w:val="auto"/>
          <w:spacing w:val="6"/>
          <w:kern w:val="0"/>
          <w:sz w:val="36"/>
          <w:szCs w:val="36"/>
          <w:highlight w:val="none"/>
          <w:lang w:eastAsia="zh-CN"/>
        </w:rPr>
        <w:t>部分证明材料（格式自拟）</w:t>
      </w:r>
    </w:p>
    <w:p>
      <w:pPr>
        <w:pStyle w:val="13"/>
        <w:keepNext w:val="0"/>
        <w:keepLines w:val="0"/>
        <w:pageBreakBefore w:val="0"/>
        <w:widowControl w:val="0"/>
        <w:shd w:val="clear" w:color="auto" w:fill="auto"/>
        <w:tabs>
          <w:tab w:val="left" w:pos="5580"/>
        </w:tabs>
        <w:kinsoku/>
        <w:wordWrap/>
        <w:overflowPunct/>
        <w:topLinePunct w:val="0"/>
        <w:autoSpaceDE/>
        <w:autoSpaceDN/>
        <w:bidi w:val="0"/>
        <w:spacing w:line="360" w:lineRule="auto"/>
        <w:ind w:left="1080" w:leftChars="257" w:hanging="540"/>
        <w:jc w:val="left"/>
        <w:textAlignment w:val="auto"/>
        <w:outlineLvl w:val="9"/>
        <w:rPr>
          <w:rFonts w:hint="eastAsia"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color="auto"/>
          <w:lang w:eastAsia="zh-CN"/>
        </w:rPr>
        <w:t>评分标准和细则中商务部分</w:t>
      </w:r>
      <w:r>
        <w:rPr>
          <w:rFonts w:hint="eastAsia" w:ascii="仿宋" w:hAnsi="仿宋" w:eastAsia="仿宋" w:cs="仿宋"/>
          <w:color w:val="auto"/>
          <w:sz w:val="24"/>
          <w:highlight w:val="none"/>
        </w:rPr>
        <w:t>要求的其他资格证明文件。</w:t>
      </w:r>
    </w:p>
    <w:p>
      <w:pPr>
        <w:pStyle w:val="42"/>
        <w:numPr>
          <w:ilvl w:val="0"/>
          <w:numId w:val="11"/>
        </w:numPr>
        <w:ind w:left="840" w:leftChars="0" w:firstLine="42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复印件上应加盖本单位章（自然人投标的无需盖章，需要签字）</w:t>
      </w:r>
    </w:p>
    <w:p>
      <w:pPr>
        <w:pStyle w:val="42"/>
        <w:numPr>
          <w:ilvl w:val="0"/>
          <w:numId w:val="0"/>
        </w:numPr>
        <w:ind w:left="1260" w:leftChars="0"/>
        <w:rPr>
          <w:rFonts w:hint="eastAsia" w:ascii="仿宋" w:hAnsi="仿宋" w:eastAsia="仿宋" w:cs="仿宋"/>
          <w:color w:val="auto"/>
          <w:sz w:val="24"/>
          <w:highlight w:val="none"/>
          <w:lang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lang w:val="en-US" w:eastAsia="zh-CN"/>
        </w:rPr>
      </w:pPr>
    </w:p>
    <w:p>
      <w:pPr>
        <w:tabs>
          <w:tab w:val="left" w:pos="3600"/>
        </w:tabs>
        <w:adjustRightInd w:val="0"/>
        <w:snapToGrid w:val="0"/>
        <w:spacing w:line="440" w:lineRule="exact"/>
        <w:jc w:val="center"/>
        <w:outlineLvl w:val="9"/>
        <w:rPr>
          <w:rFonts w:hint="eastAsia" w:ascii="仿宋" w:hAnsi="仿宋" w:eastAsia="仿宋" w:cs="仿宋"/>
          <w:b/>
          <w:bCs/>
          <w:color w:val="auto"/>
          <w:spacing w:val="6"/>
          <w:kern w:val="0"/>
          <w:sz w:val="36"/>
          <w:szCs w:val="36"/>
          <w:highlight w:val="none"/>
        </w:rPr>
      </w:pPr>
      <w:r>
        <w:rPr>
          <w:rFonts w:hint="eastAsia" w:ascii="仿宋" w:hAnsi="仿宋" w:eastAsia="仿宋" w:cs="仿宋"/>
          <w:b/>
          <w:bCs/>
          <w:color w:val="auto"/>
          <w:spacing w:val="6"/>
          <w:kern w:val="0"/>
          <w:sz w:val="36"/>
          <w:szCs w:val="36"/>
          <w:highlight w:val="none"/>
          <w:lang w:val="en-US" w:eastAsia="zh-CN"/>
        </w:rPr>
        <w:t>11、</w:t>
      </w:r>
      <w:r>
        <w:rPr>
          <w:rFonts w:hint="eastAsia" w:ascii="仿宋" w:hAnsi="仿宋" w:eastAsia="仿宋" w:cs="仿宋"/>
          <w:b/>
          <w:bCs/>
          <w:color w:val="auto"/>
          <w:spacing w:val="6"/>
          <w:kern w:val="0"/>
          <w:sz w:val="36"/>
          <w:szCs w:val="36"/>
          <w:highlight w:val="none"/>
          <w:lang w:eastAsia="zh-CN"/>
        </w:rPr>
        <w:t>投标人认为有必要提供的其他证明材料（格式自拟）</w:t>
      </w:r>
    </w:p>
    <w:p>
      <w:pPr>
        <w:numPr>
          <w:ilvl w:val="0"/>
          <w:numId w:val="0"/>
        </w:numPr>
        <w:shd w:val="clear" w:color="auto" w:fill="auto"/>
        <w:spacing w:before="0" w:line="240" w:lineRule="atLeast"/>
        <w:jc w:val="left"/>
        <w:outlineLvl w:val="9"/>
        <w:rPr>
          <w:rFonts w:hint="eastAsia" w:ascii="宋体" w:hAnsi="宋体" w:eastAsia="宋体" w:cs="宋体"/>
          <w:b/>
          <w:bCs/>
          <w:color w:val="auto"/>
          <w:sz w:val="24"/>
          <w:highlight w:val="none"/>
          <w:lang w:val="en-US" w:eastAsia="zh-CN"/>
        </w:rPr>
      </w:pPr>
    </w:p>
    <w:bookmarkEnd w:id="247"/>
    <w:bookmarkEnd w:id="248"/>
    <w:bookmarkEnd w:id="249"/>
    <w:bookmarkEnd w:id="251"/>
    <w:p>
      <w:pPr>
        <w:pStyle w:val="13"/>
        <w:shd w:val="clear" w:color="auto" w:fill="auto"/>
        <w:tabs>
          <w:tab w:val="left" w:pos="5580"/>
        </w:tabs>
        <w:spacing w:line="240" w:lineRule="atLeast"/>
        <w:ind w:firstLine="480" w:firstLineChars="200"/>
        <w:outlineLvl w:val="9"/>
        <w:rPr>
          <w:rFonts w:hint="eastAsia" w:ascii="仿宋" w:hAnsi="仿宋" w:eastAsia="仿宋" w:cs="仿宋"/>
          <w:color w:val="auto"/>
          <w:sz w:val="24"/>
          <w:highlight w:val="none"/>
        </w:rPr>
      </w:pPr>
      <w:bookmarkStart w:id="252" w:name="_Toc515647828"/>
      <w:bookmarkStart w:id="253" w:name="_Toc7414"/>
      <w:bookmarkStart w:id="254" w:name="_Toc17333"/>
      <w:r>
        <w:rPr>
          <w:rFonts w:hint="eastAsia" w:ascii="仿宋" w:hAnsi="仿宋" w:eastAsia="仿宋" w:cs="仿宋"/>
          <w:color w:val="auto"/>
          <w:sz w:val="24"/>
          <w:highlight w:val="none"/>
        </w:rPr>
        <w:t>说明：复印件上应加盖本单位章（自然人投标的无需盖章，需要签字）。</w:t>
      </w: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pStyle w:val="8"/>
        <w:shd w:val="clear" w:color="auto" w:fill="auto"/>
        <w:ind w:firstLine="0"/>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shd w:val="clear" w:color="auto" w:fill="auto"/>
        <w:outlineLvl w:val="9"/>
        <w:rPr>
          <w:rFonts w:hint="eastAsia" w:ascii="宋体" w:hAnsi="宋体" w:eastAsia="宋体" w:cs="宋体"/>
          <w:color w:val="auto"/>
          <w:highlight w:val="none"/>
        </w:rPr>
      </w:pPr>
    </w:p>
    <w:p>
      <w:pPr>
        <w:pStyle w:val="43"/>
        <w:shd w:val="clear" w:color="auto" w:fill="auto"/>
        <w:outlineLvl w:val="9"/>
        <w:rPr>
          <w:rFonts w:hint="eastAsia" w:ascii="宋体" w:hAnsi="宋体" w:eastAsia="宋体" w:cs="宋体"/>
          <w:color w:val="auto"/>
          <w:highlight w:val="none"/>
        </w:rPr>
      </w:pPr>
    </w:p>
    <w:p>
      <w:pPr>
        <w:pStyle w:val="43"/>
        <w:shd w:val="clear" w:color="auto" w:fill="auto"/>
        <w:outlineLvl w:val="9"/>
        <w:rPr>
          <w:rFonts w:hint="eastAsia" w:ascii="宋体" w:hAnsi="宋体" w:eastAsia="宋体" w:cs="宋体"/>
          <w:color w:val="auto"/>
          <w:highlight w:val="none"/>
        </w:rPr>
      </w:pPr>
    </w:p>
    <w:p>
      <w:pPr>
        <w:pStyle w:val="43"/>
        <w:shd w:val="clear" w:color="auto" w:fill="auto"/>
        <w:outlineLvl w:val="9"/>
        <w:rPr>
          <w:rFonts w:hint="eastAsia" w:ascii="宋体" w:hAnsi="宋体" w:eastAsia="宋体" w:cs="宋体"/>
          <w:color w:val="auto"/>
          <w:highlight w:val="none"/>
        </w:rPr>
      </w:pPr>
    </w:p>
    <w:p>
      <w:pPr>
        <w:pStyle w:val="43"/>
        <w:shd w:val="clear" w:color="auto" w:fill="auto"/>
        <w:outlineLvl w:val="9"/>
        <w:rPr>
          <w:rFonts w:hint="eastAsia" w:ascii="宋体" w:hAnsi="宋体" w:eastAsia="宋体" w:cs="宋体"/>
          <w:color w:val="auto"/>
          <w:highlight w:val="none"/>
        </w:rPr>
      </w:pPr>
    </w:p>
    <w:p>
      <w:pPr>
        <w:pStyle w:val="43"/>
        <w:shd w:val="clear" w:color="auto" w:fill="auto"/>
        <w:outlineLvl w:val="9"/>
        <w:rPr>
          <w:rFonts w:hint="eastAsia" w:ascii="宋体" w:hAnsi="宋体" w:eastAsia="宋体" w:cs="宋体"/>
          <w:color w:val="auto"/>
          <w:highlight w:val="none"/>
        </w:rPr>
      </w:pPr>
    </w:p>
    <w:p>
      <w:pPr>
        <w:pStyle w:val="43"/>
        <w:shd w:val="clear" w:color="auto" w:fill="auto"/>
        <w:outlineLvl w:val="9"/>
        <w:rPr>
          <w:rFonts w:hint="eastAsia" w:ascii="宋体" w:hAnsi="宋体" w:eastAsia="宋体" w:cs="宋体"/>
          <w:color w:val="auto"/>
          <w:highlight w:val="none"/>
        </w:rPr>
      </w:pPr>
    </w:p>
    <w:bookmarkEnd w:id="252"/>
    <w:bookmarkEnd w:id="253"/>
    <w:bookmarkEnd w:id="254"/>
    <w:p>
      <w:pPr>
        <w:pStyle w:val="43"/>
        <w:shd w:val="clear" w:color="auto" w:fill="auto"/>
        <w:outlineLvl w:val="9"/>
        <w:rPr>
          <w:rFonts w:hint="eastAsia" w:ascii="宋体" w:hAnsi="宋体" w:eastAsia="宋体" w:cs="宋体"/>
          <w:color w:val="auto"/>
          <w:highlight w:val="none"/>
        </w:rPr>
      </w:pPr>
    </w:p>
    <w:sectPr>
      <w:pgSz w:w="11905" w:h="16838"/>
      <w:pgMar w:top="1440" w:right="1083" w:bottom="1440" w:left="1083" w:header="850" w:footer="992" w:gutter="0"/>
      <w:paperSrc/>
      <w:pgBorders>
        <w:top w:val="none" w:sz="0" w:space="0"/>
        <w:left w:val="none" w:sz="0" w:space="0"/>
        <w:bottom w:val="none" w:sz="0" w:space="0"/>
        <w:right w:val="none" w:sz="0" w:space="0"/>
      </w:pgBorders>
      <w:pgNumType w:fmt="decimal"/>
      <w:cols w:space="72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A2A130-B97C-459F-9365-5830A68E0E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_x000B__x000C_">
    <w:altName w:val="Courier New"/>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40001" w:csb1="00000000"/>
  </w:font>
  <w:font w:name="ヒラギノ角ゴ Pro W3">
    <w:altName w:val="Yu Gothic"/>
    <w:panose1 w:val="00000000000000000000"/>
    <w:charset w:val="80"/>
    <w:family w:val="auto"/>
    <w:pitch w:val="default"/>
    <w:sig w:usb0="E00002FF" w:usb1="7AC7FFFF" w:usb2="00000012" w:usb3="00000000" w:csb0="0002000D" w:csb1="00000000"/>
  </w:font>
  <w:font w:name="长城仿宋">
    <w:altName w:val="宋体"/>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2" w:fontKey="{6C6B1973-0B2E-4611-9DE5-AF9D9B80329E}"/>
  </w:font>
  <w:font w:name="仿宋">
    <w:panose1 w:val="02010609060101010101"/>
    <w:charset w:val="86"/>
    <w:family w:val="auto"/>
    <w:pitch w:val="default"/>
    <w:sig w:usb0="800002BF" w:usb1="38CF7CFA" w:usb2="00000016" w:usb3="00000000" w:csb0="00040001" w:csb1="00000000"/>
    <w:embedRegular r:id="rId3" w:fontKey="{F0183E24-AC67-435B-90C0-B2173CDB46B8}"/>
  </w:font>
  <w:font w:name="华康行楷体 W5">
    <w:panose1 w:val="03000509000000000000"/>
    <w:charset w:val="86"/>
    <w:family w:val="auto"/>
    <w:pitch w:val="default"/>
    <w:sig w:usb0="A00002BF" w:usb1="384F6CFA" w:usb2="00000012" w:usb3="00000000" w:csb0="00040001" w:csb1="00000000"/>
    <w:embedRegular r:id="rId4" w:fontKey="{C31595B7-0791-44E7-B5F6-5E688F23402F}"/>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180" w:firstLineChars="100"/>
      <w:jc w:val="both"/>
      <w:rPr>
        <w:rFonts w:hint="eastAsia" w:ascii="宋体" w:hAnsi="宋体" w:eastAsia="宋体" w:cs="宋体"/>
        <w:u w:val="single"/>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eastAsia" w:ascii="宋体" w:hAnsi="宋体" w:eastAsia="宋体" w:cs="宋体"/>
        <w:u w:val="single"/>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both"/>
      <w:rPr>
        <w:rFonts w:hint="default"/>
        <w:u w:val="single"/>
        <w:lang w:val="en-US"/>
      </w:rPr>
    </w:pPr>
    <w:r>
      <w:rPr>
        <w:sz w:val="20"/>
      </w:rPr>
      <mc:AlternateContent>
        <mc:Choice Requires="wps">
          <w:drawing>
            <wp:anchor distT="0" distB="0" distL="114300" distR="114300" simplePos="0" relativeHeight="251659264" behindDoc="0" locked="0" layoutInCell="1" allowOverlap="1">
              <wp:simplePos x="0" y="0"/>
              <wp:positionH relativeFrom="margin">
                <wp:posOffset>5796280</wp:posOffset>
              </wp:positionH>
              <wp:positionV relativeFrom="paragraph">
                <wp:posOffset>-47625</wp:posOffset>
              </wp:positionV>
              <wp:extent cx="1828800" cy="1828800"/>
              <wp:effectExtent l="0" t="0" r="0" b="0"/>
              <wp:wrapNone/>
              <wp:docPr id="7"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left:456.4pt;margin-top:-3.75pt;height:144pt;width:144pt;mso-position-horizontal-relative:margin;mso-wrap-style:none;z-index:251659264;mso-width-relative:page;mso-height-relative:page;" filled="f" stroked="f" coordsize="21600,21600" o:gfxdata="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rcSK1gAAAAsBAAAPAAAA&#10;AAAAAAEAIAAAACIAAABkcnMvZG93bnJldi54bWxQSwECFAAUAAAACACHTuJAvM+YON4BAAC/AwAA&#10;DgAAAAAAAAABACAAAAAlAQAAZHJzL2Uyb0RvYy54bWxQSwUGAAAAAAYABgBZAQAAdQ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lang w:val="en-US" w:eastAsia="zh-CN"/>
      </w:rPr>
    </w:pPr>
    <w:r>
      <w:rPr>
        <w:rFonts w:hint="eastAsia"/>
        <w:lang w:val="en-US" w:eastAsia="zh-CN"/>
      </w:rPr>
      <w:t xml:space="preserve">                                                   柯尔克孜民族医药保护种植研发传承项目-坎阿热力村柯药种植</w:t>
    </w:r>
  </w:p>
  <w:p>
    <w:pPr>
      <w:pStyle w:val="18"/>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ED3A9"/>
    <w:multiLevelType w:val="singleLevel"/>
    <w:tmpl w:val="8ABED3A9"/>
    <w:lvl w:ilvl="0" w:tentative="0">
      <w:start w:val="1"/>
      <w:numFmt w:val="decimal"/>
      <w:lvlText w:val="%1."/>
      <w:lvlJc w:val="left"/>
      <w:pPr>
        <w:tabs>
          <w:tab w:val="left" w:pos="312"/>
        </w:tabs>
      </w:pPr>
    </w:lvl>
  </w:abstractNum>
  <w:abstractNum w:abstractNumId="1">
    <w:nsid w:val="AB06C10E"/>
    <w:multiLevelType w:val="singleLevel"/>
    <w:tmpl w:val="AB06C10E"/>
    <w:lvl w:ilvl="0" w:tentative="0">
      <w:start w:val="9"/>
      <w:numFmt w:val="decimal"/>
      <w:suff w:val="nothing"/>
      <w:lvlText w:val="%1、"/>
      <w:lvlJc w:val="left"/>
    </w:lvl>
  </w:abstractNum>
  <w:abstractNum w:abstractNumId="2">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3">
    <w:nsid w:val="1B332FA2"/>
    <w:multiLevelType w:val="multilevel"/>
    <w:tmpl w:val="1B332FA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75"/>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4">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5"/>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2D141879"/>
    <w:multiLevelType w:val="multilevel"/>
    <w:tmpl w:val="2D141879"/>
    <w:lvl w:ilvl="0" w:tentative="0">
      <w:start w:val="1"/>
      <w:numFmt w:val="japaneseCounting"/>
      <w:lvlText w:val="第%1章"/>
      <w:lvlJc w:val="left"/>
      <w:pPr>
        <w:tabs>
          <w:tab w:val="left" w:pos="1125"/>
        </w:tabs>
        <w:ind w:left="1125" w:hanging="112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283CE81"/>
    <w:multiLevelType w:val="singleLevel"/>
    <w:tmpl w:val="5283CE81"/>
    <w:lvl w:ilvl="0" w:tentative="0">
      <w:start w:val="8"/>
      <w:numFmt w:val="decimal"/>
      <w:suff w:val="nothing"/>
      <w:lvlText w:val="（%1）"/>
      <w:lvlJc w:val="left"/>
      <w:pPr>
        <w:ind w:left="0"/>
      </w:p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5E91F9A3"/>
    <w:multiLevelType w:val="singleLevel"/>
    <w:tmpl w:val="5E91F9A3"/>
    <w:lvl w:ilvl="0" w:tentative="0">
      <w:start w:val="1"/>
      <w:numFmt w:val="decimal"/>
      <w:lvlText w:val="%1."/>
      <w:lvlJc w:val="left"/>
      <w:pPr>
        <w:tabs>
          <w:tab w:val="left" w:pos="312"/>
        </w:tabs>
      </w:pPr>
    </w:lvl>
  </w:abstractNum>
  <w:abstractNum w:abstractNumId="9">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0">
    <w:nsid w:val="79BA9CB9"/>
    <w:multiLevelType w:val="singleLevel"/>
    <w:tmpl w:val="79BA9CB9"/>
    <w:lvl w:ilvl="0" w:tentative="0">
      <w:start w:val="2"/>
      <w:numFmt w:val="decimal"/>
      <w:lvlText w:val="%1."/>
      <w:lvlJc w:val="left"/>
      <w:pPr>
        <w:tabs>
          <w:tab w:val="left" w:pos="312"/>
        </w:tabs>
      </w:pPr>
    </w:lvl>
  </w:abstractNum>
  <w:num w:numId="1">
    <w:abstractNumId w:val="4"/>
  </w:num>
  <w:num w:numId="2">
    <w:abstractNumId w:val="3"/>
  </w:num>
  <w:num w:numId="3">
    <w:abstractNumId w:val="5"/>
  </w:num>
  <w:num w:numId="4">
    <w:abstractNumId w:val="7"/>
  </w:num>
  <w:num w:numId="5">
    <w:abstractNumId w:val="2"/>
  </w:num>
  <w:num w:numId="6">
    <w:abstractNumId w:val="9"/>
  </w:num>
  <w:num w:numId="7">
    <w:abstractNumId w:val="6"/>
  </w:num>
  <w:num w:numId="8">
    <w:abstractNumId w:val="8"/>
  </w:num>
  <w:num w:numId="9">
    <w:abstractNumId w:val="0"/>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7"/>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AE79E0"/>
    <w:rsid w:val="000008FD"/>
    <w:rsid w:val="00003231"/>
    <w:rsid w:val="00003B78"/>
    <w:rsid w:val="00003F23"/>
    <w:rsid w:val="00005025"/>
    <w:rsid w:val="0000620B"/>
    <w:rsid w:val="0000681E"/>
    <w:rsid w:val="0000682D"/>
    <w:rsid w:val="00011FD2"/>
    <w:rsid w:val="000126C8"/>
    <w:rsid w:val="00012CFA"/>
    <w:rsid w:val="00013187"/>
    <w:rsid w:val="000137F2"/>
    <w:rsid w:val="00014B17"/>
    <w:rsid w:val="000165AB"/>
    <w:rsid w:val="000201C1"/>
    <w:rsid w:val="00021187"/>
    <w:rsid w:val="00021198"/>
    <w:rsid w:val="00021864"/>
    <w:rsid w:val="00023055"/>
    <w:rsid w:val="00023185"/>
    <w:rsid w:val="000242CE"/>
    <w:rsid w:val="00024AD6"/>
    <w:rsid w:val="00025E98"/>
    <w:rsid w:val="00026A08"/>
    <w:rsid w:val="000279EA"/>
    <w:rsid w:val="000305D5"/>
    <w:rsid w:val="000319B0"/>
    <w:rsid w:val="00034387"/>
    <w:rsid w:val="00034B72"/>
    <w:rsid w:val="00034BA3"/>
    <w:rsid w:val="00034CDA"/>
    <w:rsid w:val="00034F63"/>
    <w:rsid w:val="0003627F"/>
    <w:rsid w:val="0003679A"/>
    <w:rsid w:val="00040E67"/>
    <w:rsid w:val="00041F06"/>
    <w:rsid w:val="000423B1"/>
    <w:rsid w:val="0004299A"/>
    <w:rsid w:val="000429F1"/>
    <w:rsid w:val="000437CC"/>
    <w:rsid w:val="00043E1C"/>
    <w:rsid w:val="00046FC5"/>
    <w:rsid w:val="00047373"/>
    <w:rsid w:val="000476D9"/>
    <w:rsid w:val="0005173F"/>
    <w:rsid w:val="00051864"/>
    <w:rsid w:val="00051ECE"/>
    <w:rsid w:val="000520FE"/>
    <w:rsid w:val="00053450"/>
    <w:rsid w:val="000538D1"/>
    <w:rsid w:val="00054A43"/>
    <w:rsid w:val="00055123"/>
    <w:rsid w:val="00055AB6"/>
    <w:rsid w:val="00055F34"/>
    <w:rsid w:val="00056350"/>
    <w:rsid w:val="00056A13"/>
    <w:rsid w:val="000576A3"/>
    <w:rsid w:val="00063B93"/>
    <w:rsid w:val="00064417"/>
    <w:rsid w:val="000649EF"/>
    <w:rsid w:val="00065388"/>
    <w:rsid w:val="00065665"/>
    <w:rsid w:val="00067D7A"/>
    <w:rsid w:val="00070288"/>
    <w:rsid w:val="00070340"/>
    <w:rsid w:val="000708C5"/>
    <w:rsid w:val="000712BD"/>
    <w:rsid w:val="000719DB"/>
    <w:rsid w:val="00072AC0"/>
    <w:rsid w:val="00072AE3"/>
    <w:rsid w:val="000738C2"/>
    <w:rsid w:val="000742BD"/>
    <w:rsid w:val="0007479D"/>
    <w:rsid w:val="00075123"/>
    <w:rsid w:val="00075390"/>
    <w:rsid w:val="0007565B"/>
    <w:rsid w:val="00075BB9"/>
    <w:rsid w:val="00076436"/>
    <w:rsid w:val="00076558"/>
    <w:rsid w:val="00077C43"/>
    <w:rsid w:val="00077D8B"/>
    <w:rsid w:val="0008094E"/>
    <w:rsid w:val="00080A6F"/>
    <w:rsid w:val="000816F2"/>
    <w:rsid w:val="00082869"/>
    <w:rsid w:val="00083463"/>
    <w:rsid w:val="00083CDC"/>
    <w:rsid w:val="00084CC1"/>
    <w:rsid w:val="000852D7"/>
    <w:rsid w:val="00085489"/>
    <w:rsid w:val="000863D1"/>
    <w:rsid w:val="00086A7A"/>
    <w:rsid w:val="00086B28"/>
    <w:rsid w:val="000874E4"/>
    <w:rsid w:val="0008796E"/>
    <w:rsid w:val="00087E9D"/>
    <w:rsid w:val="000901E9"/>
    <w:rsid w:val="00090BD9"/>
    <w:rsid w:val="00090F00"/>
    <w:rsid w:val="00091C9B"/>
    <w:rsid w:val="00091DC7"/>
    <w:rsid w:val="000926F6"/>
    <w:rsid w:val="000942A8"/>
    <w:rsid w:val="000942B7"/>
    <w:rsid w:val="00094641"/>
    <w:rsid w:val="00094AC9"/>
    <w:rsid w:val="00095245"/>
    <w:rsid w:val="000955A6"/>
    <w:rsid w:val="00095B6E"/>
    <w:rsid w:val="0009686F"/>
    <w:rsid w:val="000A1761"/>
    <w:rsid w:val="000A184E"/>
    <w:rsid w:val="000A1B3C"/>
    <w:rsid w:val="000A2970"/>
    <w:rsid w:val="000A35E1"/>
    <w:rsid w:val="000A3813"/>
    <w:rsid w:val="000A4619"/>
    <w:rsid w:val="000A48D7"/>
    <w:rsid w:val="000A5705"/>
    <w:rsid w:val="000A6219"/>
    <w:rsid w:val="000A6DD1"/>
    <w:rsid w:val="000A7BFA"/>
    <w:rsid w:val="000A7E34"/>
    <w:rsid w:val="000B0CDF"/>
    <w:rsid w:val="000B19BA"/>
    <w:rsid w:val="000B21F3"/>
    <w:rsid w:val="000B5B49"/>
    <w:rsid w:val="000B5CD6"/>
    <w:rsid w:val="000B5D8E"/>
    <w:rsid w:val="000B71A8"/>
    <w:rsid w:val="000B7353"/>
    <w:rsid w:val="000B7627"/>
    <w:rsid w:val="000B7FDE"/>
    <w:rsid w:val="000C062A"/>
    <w:rsid w:val="000C0D0A"/>
    <w:rsid w:val="000C0D63"/>
    <w:rsid w:val="000C1047"/>
    <w:rsid w:val="000C2C5E"/>
    <w:rsid w:val="000C4AF2"/>
    <w:rsid w:val="000C58C5"/>
    <w:rsid w:val="000C627A"/>
    <w:rsid w:val="000C6774"/>
    <w:rsid w:val="000C68DD"/>
    <w:rsid w:val="000C742F"/>
    <w:rsid w:val="000C7D1B"/>
    <w:rsid w:val="000D07C7"/>
    <w:rsid w:val="000D16D6"/>
    <w:rsid w:val="000D1955"/>
    <w:rsid w:val="000D1963"/>
    <w:rsid w:val="000D260B"/>
    <w:rsid w:val="000D296C"/>
    <w:rsid w:val="000D2BE7"/>
    <w:rsid w:val="000D3BE4"/>
    <w:rsid w:val="000D3FDF"/>
    <w:rsid w:val="000D3FE5"/>
    <w:rsid w:val="000D5BFA"/>
    <w:rsid w:val="000D77C3"/>
    <w:rsid w:val="000E0018"/>
    <w:rsid w:val="000E169F"/>
    <w:rsid w:val="000E18AA"/>
    <w:rsid w:val="000E1F61"/>
    <w:rsid w:val="000E30EA"/>
    <w:rsid w:val="000E3822"/>
    <w:rsid w:val="000E416E"/>
    <w:rsid w:val="000E4C55"/>
    <w:rsid w:val="000E57CE"/>
    <w:rsid w:val="000E5BD2"/>
    <w:rsid w:val="000E6242"/>
    <w:rsid w:val="000E689E"/>
    <w:rsid w:val="000E6A46"/>
    <w:rsid w:val="000E6ED7"/>
    <w:rsid w:val="000F0113"/>
    <w:rsid w:val="000F1DED"/>
    <w:rsid w:val="000F2698"/>
    <w:rsid w:val="000F3E84"/>
    <w:rsid w:val="000F3FFF"/>
    <w:rsid w:val="000F4B95"/>
    <w:rsid w:val="000F6140"/>
    <w:rsid w:val="000F6A98"/>
    <w:rsid w:val="000F6AB9"/>
    <w:rsid w:val="000F6B00"/>
    <w:rsid w:val="000F6D6B"/>
    <w:rsid w:val="000F6DA7"/>
    <w:rsid w:val="000F7DEB"/>
    <w:rsid w:val="001008C8"/>
    <w:rsid w:val="00103AEE"/>
    <w:rsid w:val="00104E2B"/>
    <w:rsid w:val="00104E64"/>
    <w:rsid w:val="0010538C"/>
    <w:rsid w:val="001057AF"/>
    <w:rsid w:val="00110A45"/>
    <w:rsid w:val="00111249"/>
    <w:rsid w:val="001123E7"/>
    <w:rsid w:val="001135FE"/>
    <w:rsid w:val="00113871"/>
    <w:rsid w:val="0011439C"/>
    <w:rsid w:val="00114702"/>
    <w:rsid w:val="00116424"/>
    <w:rsid w:val="001167DB"/>
    <w:rsid w:val="00116D76"/>
    <w:rsid w:val="00117062"/>
    <w:rsid w:val="001170CE"/>
    <w:rsid w:val="001178E2"/>
    <w:rsid w:val="00117DEA"/>
    <w:rsid w:val="00117FAC"/>
    <w:rsid w:val="0012043E"/>
    <w:rsid w:val="001209D4"/>
    <w:rsid w:val="001209D7"/>
    <w:rsid w:val="00120A18"/>
    <w:rsid w:val="00120C83"/>
    <w:rsid w:val="00121289"/>
    <w:rsid w:val="001233FB"/>
    <w:rsid w:val="0012425E"/>
    <w:rsid w:val="0012511F"/>
    <w:rsid w:val="00125392"/>
    <w:rsid w:val="001255D4"/>
    <w:rsid w:val="001263BA"/>
    <w:rsid w:val="00126A4E"/>
    <w:rsid w:val="00126AD8"/>
    <w:rsid w:val="00126DF1"/>
    <w:rsid w:val="001276ED"/>
    <w:rsid w:val="00127742"/>
    <w:rsid w:val="00130067"/>
    <w:rsid w:val="00130C17"/>
    <w:rsid w:val="0013112F"/>
    <w:rsid w:val="0013118B"/>
    <w:rsid w:val="001311ED"/>
    <w:rsid w:val="0013431D"/>
    <w:rsid w:val="00134648"/>
    <w:rsid w:val="001348DF"/>
    <w:rsid w:val="00134FD5"/>
    <w:rsid w:val="0013509E"/>
    <w:rsid w:val="00135535"/>
    <w:rsid w:val="00135AED"/>
    <w:rsid w:val="00135BC4"/>
    <w:rsid w:val="00135F38"/>
    <w:rsid w:val="001369C3"/>
    <w:rsid w:val="00137B6B"/>
    <w:rsid w:val="00137D64"/>
    <w:rsid w:val="00137E4C"/>
    <w:rsid w:val="00141038"/>
    <w:rsid w:val="0014151F"/>
    <w:rsid w:val="00141941"/>
    <w:rsid w:val="00142184"/>
    <w:rsid w:val="0014311D"/>
    <w:rsid w:val="00144467"/>
    <w:rsid w:val="001449E6"/>
    <w:rsid w:val="0014579A"/>
    <w:rsid w:val="00145A0C"/>
    <w:rsid w:val="00145E17"/>
    <w:rsid w:val="00147477"/>
    <w:rsid w:val="0015038C"/>
    <w:rsid w:val="001508B1"/>
    <w:rsid w:val="00152331"/>
    <w:rsid w:val="00152403"/>
    <w:rsid w:val="00152CE0"/>
    <w:rsid w:val="00155001"/>
    <w:rsid w:val="001553F5"/>
    <w:rsid w:val="001554EC"/>
    <w:rsid w:val="00155CDB"/>
    <w:rsid w:val="00156646"/>
    <w:rsid w:val="001568CF"/>
    <w:rsid w:val="00157E12"/>
    <w:rsid w:val="00160800"/>
    <w:rsid w:val="00160863"/>
    <w:rsid w:val="0016087F"/>
    <w:rsid w:val="00160A88"/>
    <w:rsid w:val="001613E7"/>
    <w:rsid w:val="0016174A"/>
    <w:rsid w:val="001620F9"/>
    <w:rsid w:val="00165DAF"/>
    <w:rsid w:val="00167DD2"/>
    <w:rsid w:val="0017046D"/>
    <w:rsid w:val="0017080E"/>
    <w:rsid w:val="00171430"/>
    <w:rsid w:val="001714A4"/>
    <w:rsid w:val="00171FC2"/>
    <w:rsid w:val="001729B3"/>
    <w:rsid w:val="00172D11"/>
    <w:rsid w:val="00172FE9"/>
    <w:rsid w:val="001736ED"/>
    <w:rsid w:val="00173D1D"/>
    <w:rsid w:val="00174925"/>
    <w:rsid w:val="00174E84"/>
    <w:rsid w:val="00175BB3"/>
    <w:rsid w:val="00176570"/>
    <w:rsid w:val="00176A44"/>
    <w:rsid w:val="00176CDE"/>
    <w:rsid w:val="00177851"/>
    <w:rsid w:val="00180275"/>
    <w:rsid w:val="0018175A"/>
    <w:rsid w:val="00182153"/>
    <w:rsid w:val="00183525"/>
    <w:rsid w:val="00183724"/>
    <w:rsid w:val="00184539"/>
    <w:rsid w:val="00184EF2"/>
    <w:rsid w:val="0018523C"/>
    <w:rsid w:val="00186A8D"/>
    <w:rsid w:val="0019046D"/>
    <w:rsid w:val="00191194"/>
    <w:rsid w:val="00192441"/>
    <w:rsid w:val="001924AF"/>
    <w:rsid w:val="00192969"/>
    <w:rsid w:val="00192AB0"/>
    <w:rsid w:val="00193398"/>
    <w:rsid w:val="001935E2"/>
    <w:rsid w:val="00193A65"/>
    <w:rsid w:val="00194057"/>
    <w:rsid w:val="0019444D"/>
    <w:rsid w:val="001966AA"/>
    <w:rsid w:val="00196974"/>
    <w:rsid w:val="00196D5E"/>
    <w:rsid w:val="00196F4B"/>
    <w:rsid w:val="001972EB"/>
    <w:rsid w:val="001A0B29"/>
    <w:rsid w:val="001A12FE"/>
    <w:rsid w:val="001A406A"/>
    <w:rsid w:val="001A62A1"/>
    <w:rsid w:val="001A74C3"/>
    <w:rsid w:val="001B0B9D"/>
    <w:rsid w:val="001B1C75"/>
    <w:rsid w:val="001B2BBF"/>
    <w:rsid w:val="001B522A"/>
    <w:rsid w:val="001B560A"/>
    <w:rsid w:val="001B5738"/>
    <w:rsid w:val="001B6E93"/>
    <w:rsid w:val="001B70B5"/>
    <w:rsid w:val="001B7B84"/>
    <w:rsid w:val="001B7F39"/>
    <w:rsid w:val="001C05AB"/>
    <w:rsid w:val="001C1F35"/>
    <w:rsid w:val="001C2A8A"/>
    <w:rsid w:val="001C3B70"/>
    <w:rsid w:val="001C5539"/>
    <w:rsid w:val="001C59BE"/>
    <w:rsid w:val="001C5DC4"/>
    <w:rsid w:val="001C5E26"/>
    <w:rsid w:val="001C6220"/>
    <w:rsid w:val="001C6B18"/>
    <w:rsid w:val="001D0A93"/>
    <w:rsid w:val="001D2F5F"/>
    <w:rsid w:val="001D446C"/>
    <w:rsid w:val="001D5688"/>
    <w:rsid w:val="001D58FF"/>
    <w:rsid w:val="001D629D"/>
    <w:rsid w:val="001D63FD"/>
    <w:rsid w:val="001D6F3F"/>
    <w:rsid w:val="001D6F45"/>
    <w:rsid w:val="001D7E45"/>
    <w:rsid w:val="001E04F1"/>
    <w:rsid w:val="001E20D3"/>
    <w:rsid w:val="001E2E22"/>
    <w:rsid w:val="001E2FC4"/>
    <w:rsid w:val="001E36B7"/>
    <w:rsid w:val="001E47CD"/>
    <w:rsid w:val="001E5159"/>
    <w:rsid w:val="001E5832"/>
    <w:rsid w:val="001E591A"/>
    <w:rsid w:val="001E68D0"/>
    <w:rsid w:val="001F07C5"/>
    <w:rsid w:val="001F1324"/>
    <w:rsid w:val="001F134E"/>
    <w:rsid w:val="001F14AE"/>
    <w:rsid w:val="001F1946"/>
    <w:rsid w:val="001F26BA"/>
    <w:rsid w:val="001F3378"/>
    <w:rsid w:val="001F4661"/>
    <w:rsid w:val="001F4719"/>
    <w:rsid w:val="001F66D5"/>
    <w:rsid w:val="001F6A1F"/>
    <w:rsid w:val="001F7137"/>
    <w:rsid w:val="001F770C"/>
    <w:rsid w:val="00200094"/>
    <w:rsid w:val="00200808"/>
    <w:rsid w:val="00200C69"/>
    <w:rsid w:val="00201148"/>
    <w:rsid w:val="00202815"/>
    <w:rsid w:val="00202825"/>
    <w:rsid w:val="00202D5B"/>
    <w:rsid w:val="00202F2A"/>
    <w:rsid w:val="002036F3"/>
    <w:rsid w:val="00203F5C"/>
    <w:rsid w:val="00204191"/>
    <w:rsid w:val="0020421A"/>
    <w:rsid w:val="002047D3"/>
    <w:rsid w:val="0020497C"/>
    <w:rsid w:val="00205798"/>
    <w:rsid w:val="00205A83"/>
    <w:rsid w:val="00205DEE"/>
    <w:rsid w:val="00207016"/>
    <w:rsid w:val="0021092F"/>
    <w:rsid w:val="00210BCE"/>
    <w:rsid w:val="002111F8"/>
    <w:rsid w:val="002112B7"/>
    <w:rsid w:val="0021169E"/>
    <w:rsid w:val="00211789"/>
    <w:rsid w:val="00211B64"/>
    <w:rsid w:val="00211C86"/>
    <w:rsid w:val="00211FEE"/>
    <w:rsid w:val="002122F0"/>
    <w:rsid w:val="00212CA5"/>
    <w:rsid w:val="00212EB3"/>
    <w:rsid w:val="00213256"/>
    <w:rsid w:val="0021421B"/>
    <w:rsid w:val="0021435E"/>
    <w:rsid w:val="00217577"/>
    <w:rsid w:val="00217846"/>
    <w:rsid w:val="002203C0"/>
    <w:rsid w:val="0022087B"/>
    <w:rsid w:val="002209E8"/>
    <w:rsid w:val="002215D0"/>
    <w:rsid w:val="0022309F"/>
    <w:rsid w:val="00224266"/>
    <w:rsid w:val="002248D5"/>
    <w:rsid w:val="00224BDB"/>
    <w:rsid w:val="00225A4D"/>
    <w:rsid w:val="00225E3E"/>
    <w:rsid w:val="00225E4A"/>
    <w:rsid w:val="00227FEE"/>
    <w:rsid w:val="00230CC1"/>
    <w:rsid w:val="00230D14"/>
    <w:rsid w:val="002314E9"/>
    <w:rsid w:val="00231CB1"/>
    <w:rsid w:val="00232C8A"/>
    <w:rsid w:val="0023334B"/>
    <w:rsid w:val="00234A89"/>
    <w:rsid w:val="00234E10"/>
    <w:rsid w:val="00235478"/>
    <w:rsid w:val="002358C7"/>
    <w:rsid w:val="002362AF"/>
    <w:rsid w:val="002362CC"/>
    <w:rsid w:val="00237506"/>
    <w:rsid w:val="002378D0"/>
    <w:rsid w:val="00237B57"/>
    <w:rsid w:val="00243A1C"/>
    <w:rsid w:val="00243B5E"/>
    <w:rsid w:val="00243C20"/>
    <w:rsid w:val="00243D7D"/>
    <w:rsid w:val="00243ECE"/>
    <w:rsid w:val="00245ACA"/>
    <w:rsid w:val="00246F54"/>
    <w:rsid w:val="0025249A"/>
    <w:rsid w:val="0025326E"/>
    <w:rsid w:val="002541D3"/>
    <w:rsid w:val="00254D18"/>
    <w:rsid w:val="00255705"/>
    <w:rsid w:val="00255C2F"/>
    <w:rsid w:val="00255D4D"/>
    <w:rsid w:val="00257088"/>
    <w:rsid w:val="002574B1"/>
    <w:rsid w:val="0025775C"/>
    <w:rsid w:val="0025785F"/>
    <w:rsid w:val="0026096A"/>
    <w:rsid w:val="00260B60"/>
    <w:rsid w:val="0026120E"/>
    <w:rsid w:val="00261315"/>
    <w:rsid w:val="0026223A"/>
    <w:rsid w:val="002632DC"/>
    <w:rsid w:val="00263F02"/>
    <w:rsid w:val="002648FB"/>
    <w:rsid w:val="00266892"/>
    <w:rsid w:val="00266CC0"/>
    <w:rsid w:val="002672ED"/>
    <w:rsid w:val="0027024E"/>
    <w:rsid w:val="00272390"/>
    <w:rsid w:val="0027543F"/>
    <w:rsid w:val="00275F7E"/>
    <w:rsid w:val="002760E4"/>
    <w:rsid w:val="002768B5"/>
    <w:rsid w:val="002768F0"/>
    <w:rsid w:val="00277378"/>
    <w:rsid w:val="0028110D"/>
    <w:rsid w:val="00281371"/>
    <w:rsid w:val="002813D2"/>
    <w:rsid w:val="002819B4"/>
    <w:rsid w:val="0028291E"/>
    <w:rsid w:val="00282FBB"/>
    <w:rsid w:val="00283B88"/>
    <w:rsid w:val="00285CC4"/>
    <w:rsid w:val="00286851"/>
    <w:rsid w:val="00290235"/>
    <w:rsid w:val="00290EB7"/>
    <w:rsid w:val="00291B90"/>
    <w:rsid w:val="00291EBD"/>
    <w:rsid w:val="00293933"/>
    <w:rsid w:val="00295F38"/>
    <w:rsid w:val="00296FAA"/>
    <w:rsid w:val="002970FB"/>
    <w:rsid w:val="00297E16"/>
    <w:rsid w:val="002A07DB"/>
    <w:rsid w:val="002A1959"/>
    <w:rsid w:val="002A3638"/>
    <w:rsid w:val="002A484A"/>
    <w:rsid w:val="002A49E9"/>
    <w:rsid w:val="002A4C87"/>
    <w:rsid w:val="002A4E7F"/>
    <w:rsid w:val="002A51FE"/>
    <w:rsid w:val="002A79FB"/>
    <w:rsid w:val="002A7C46"/>
    <w:rsid w:val="002A7D6F"/>
    <w:rsid w:val="002B08C1"/>
    <w:rsid w:val="002B0A6F"/>
    <w:rsid w:val="002B12D0"/>
    <w:rsid w:val="002B17E9"/>
    <w:rsid w:val="002B1A43"/>
    <w:rsid w:val="002B1ABC"/>
    <w:rsid w:val="002B220A"/>
    <w:rsid w:val="002B28DF"/>
    <w:rsid w:val="002B3EF5"/>
    <w:rsid w:val="002B4721"/>
    <w:rsid w:val="002B635D"/>
    <w:rsid w:val="002B6423"/>
    <w:rsid w:val="002B6D27"/>
    <w:rsid w:val="002B6EAE"/>
    <w:rsid w:val="002B7C85"/>
    <w:rsid w:val="002C1472"/>
    <w:rsid w:val="002C1DFD"/>
    <w:rsid w:val="002C316D"/>
    <w:rsid w:val="002C324F"/>
    <w:rsid w:val="002C32A4"/>
    <w:rsid w:val="002C34A7"/>
    <w:rsid w:val="002C404C"/>
    <w:rsid w:val="002C44F8"/>
    <w:rsid w:val="002C48D8"/>
    <w:rsid w:val="002C50D1"/>
    <w:rsid w:val="002C53E5"/>
    <w:rsid w:val="002C5959"/>
    <w:rsid w:val="002C66EA"/>
    <w:rsid w:val="002C6EE6"/>
    <w:rsid w:val="002C76A3"/>
    <w:rsid w:val="002D16A5"/>
    <w:rsid w:val="002D1856"/>
    <w:rsid w:val="002D4063"/>
    <w:rsid w:val="002D6C02"/>
    <w:rsid w:val="002D6F6A"/>
    <w:rsid w:val="002D702A"/>
    <w:rsid w:val="002D73D4"/>
    <w:rsid w:val="002D73FE"/>
    <w:rsid w:val="002E00B8"/>
    <w:rsid w:val="002E023A"/>
    <w:rsid w:val="002E05E3"/>
    <w:rsid w:val="002E0CF1"/>
    <w:rsid w:val="002E131F"/>
    <w:rsid w:val="002E3A5F"/>
    <w:rsid w:val="002E3A69"/>
    <w:rsid w:val="002E3A88"/>
    <w:rsid w:val="002E3B8A"/>
    <w:rsid w:val="002E5DDC"/>
    <w:rsid w:val="002E6CBA"/>
    <w:rsid w:val="002E70C0"/>
    <w:rsid w:val="002E779E"/>
    <w:rsid w:val="002F0126"/>
    <w:rsid w:val="002F1C05"/>
    <w:rsid w:val="002F3E1E"/>
    <w:rsid w:val="002F5154"/>
    <w:rsid w:val="002F5668"/>
    <w:rsid w:val="002F6350"/>
    <w:rsid w:val="002F726F"/>
    <w:rsid w:val="002F7307"/>
    <w:rsid w:val="002F775E"/>
    <w:rsid w:val="003002FC"/>
    <w:rsid w:val="00301764"/>
    <w:rsid w:val="0030256A"/>
    <w:rsid w:val="003049E1"/>
    <w:rsid w:val="00304EE7"/>
    <w:rsid w:val="003064DC"/>
    <w:rsid w:val="0030763F"/>
    <w:rsid w:val="0030791A"/>
    <w:rsid w:val="00311D1C"/>
    <w:rsid w:val="00311FE2"/>
    <w:rsid w:val="00312912"/>
    <w:rsid w:val="00312B46"/>
    <w:rsid w:val="003135CA"/>
    <w:rsid w:val="00314E48"/>
    <w:rsid w:val="00315218"/>
    <w:rsid w:val="003169FF"/>
    <w:rsid w:val="0031704D"/>
    <w:rsid w:val="00317374"/>
    <w:rsid w:val="0031782B"/>
    <w:rsid w:val="00317903"/>
    <w:rsid w:val="00317929"/>
    <w:rsid w:val="00320797"/>
    <w:rsid w:val="00321351"/>
    <w:rsid w:val="003215D0"/>
    <w:rsid w:val="003219FF"/>
    <w:rsid w:val="00321B0F"/>
    <w:rsid w:val="00323327"/>
    <w:rsid w:val="003233D3"/>
    <w:rsid w:val="0032368B"/>
    <w:rsid w:val="00323B3C"/>
    <w:rsid w:val="00323B9B"/>
    <w:rsid w:val="00323EE0"/>
    <w:rsid w:val="003250B5"/>
    <w:rsid w:val="00325C3D"/>
    <w:rsid w:val="00327B00"/>
    <w:rsid w:val="00330EEC"/>
    <w:rsid w:val="00331614"/>
    <w:rsid w:val="003316A2"/>
    <w:rsid w:val="003316AA"/>
    <w:rsid w:val="00331951"/>
    <w:rsid w:val="00333612"/>
    <w:rsid w:val="00333F5A"/>
    <w:rsid w:val="00334464"/>
    <w:rsid w:val="00335143"/>
    <w:rsid w:val="0033520E"/>
    <w:rsid w:val="003355DB"/>
    <w:rsid w:val="003360C0"/>
    <w:rsid w:val="00337E3A"/>
    <w:rsid w:val="00341701"/>
    <w:rsid w:val="00341E1B"/>
    <w:rsid w:val="00342063"/>
    <w:rsid w:val="00343AFA"/>
    <w:rsid w:val="00345340"/>
    <w:rsid w:val="00345DC6"/>
    <w:rsid w:val="00347D7F"/>
    <w:rsid w:val="0035000C"/>
    <w:rsid w:val="0035054D"/>
    <w:rsid w:val="00350672"/>
    <w:rsid w:val="003520CF"/>
    <w:rsid w:val="00352130"/>
    <w:rsid w:val="00352629"/>
    <w:rsid w:val="00352961"/>
    <w:rsid w:val="00352F5E"/>
    <w:rsid w:val="003535C3"/>
    <w:rsid w:val="00355078"/>
    <w:rsid w:val="003554BE"/>
    <w:rsid w:val="00355BD8"/>
    <w:rsid w:val="0035755D"/>
    <w:rsid w:val="00357634"/>
    <w:rsid w:val="003607F7"/>
    <w:rsid w:val="0036156D"/>
    <w:rsid w:val="00361C08"/>
    <w:rsid w:val="00362C15"/>
    <w:rsid w:val="003635A5"/>
    <w:rsid w:val="003639F7"/>
    <w:rsid w:val="00363A88"/>
    <w:rsid w:val="00364D6D"/>
    <w:rsid w:val="003660EB"/>
    <w:rsid w:val="0036682B"/>
    <w:rsid w:val="00366A3F"/>
    <w:rsid w:val="00366D2F"/>
    <w:rsid w:val="00367050"/>
    <w:rsid w:val="0036779C"/>
    <w:rsid w:val="00370079"/>
    <w:rsid w:val="00370746"/>
    <w:rsid w:val="003714B5"/>
    <w:rsid w:val="003727AA"/>
    <w:rsid w:val="003730CA"/>
    <w:rsid w:val="003733A8"/>
    <w:rsid w:val="00373B52"/>
    <w:rsid w:val="00374236"/>
    <w:rsid w:val="00374A30"/>
    <w:rsid w:val="0037500F"/>
    <w:rsid w:val="00375EBC"/>
    <w:rsid w:val="00376B56"/>
    <w:rsid w:val="00377293"/>
    <w:rsid w:val="003773A5"/>
    <w:rsid w:val="003773CE"/>
    <w:rsid w:val="003773E1"/>
    <w:rsid w:val="0037755A"/>
    <w:rsid w:val="0037765D"/>
    <w:rsid w:val="0037791B"/>
    <w:rsid w:val="00380988"/>
    <w:rsid w:val="003810A2"/>
    <w:rsid w:val="00381168"/>
    <w:rsid w:val="003827D4"/>
    <w:rsid w:val="00382C45"/>
    <w:rsid w:val="00383BED"/>
    <w:rsid w:val="00385827"/>
    <w:rsid w:val="00385E4B"/>
    <w:rsid w:val="0038654B"/>
    <w:rsid w:val="00386A77"/>
    <w:rsid w:val="00386B6F"/>
    <w:rsid w:val="00387676"/>
    <w:rsid w:val="00387770"/>
    <w:rsid w:val="00390418"/>
    <w:rsid w:val="003906A3"/>
    <w:rsid w:val="00390901"/>
    <w:rsid w:val="00390A55"/>
    <w:rsid w:val="00390D6E"/>
    <w:rsid w:val="00391153"/>
    <w:rsid w:val="0039119C"/>
    <w:rsid w:val="00392149"/>
    <w:rsid w:val="00392690"/>
    <w:rsid w:val="00392DE4"/>
    <w:rsid w:val="0039363C"/>
    <w:rsid w:val="00393D4C"/>
    <w:rsid w:val="00394FFF"/>
    <w:rsid w:val="00396C19"/>
    <w:rsid w:val="003A1A8E"/>
    <w:rsid w:val="003A1C83"/>
    <w:rsid w:val="003A1CE5"/>
    <w:rsid w:val="003A1FAF"/>
    <w:rsid w:val="003A24EE"/>
    <w:rsid w:val="003A4F37"/>
    <w:rsid w:val="003A6060"/>
    <w:rsid w:val="003A797D"/>
    <w:rsid w:val="003A7E53"/>
    <w:rsid w:val="003B03F9"/>
    <w:rsid w:val="003B0499"/>
    <w:rsid w:val="003B14CC"/>
    <w:rsid w:val="003B16BA"/>
    <w:rsid w:val="003B25CE"/>
    <w:rsid w:val="003B436D"/>
    <w:rsid w:val="003B4CAB"/>
    <w:rsid w:val="003B6267"/>
    <w:rsid w:val="003B76FC"/>
    <w:rsid w:val="003C01E5"/>
    <w:rsid w:val="003C1D2A"/>
    <w:rsid w:val="003C1E0B"/>
    <w:rsid w:val="003C2AF5"/>
    <w:rsid w:val="003C36AD"/>
    <w:rsid w:val="003C4FF3"/>
    <w:rsid w:val="003C5BF9"/>
    <w:rsid w:val="003C6429"/>
    <w:rsid w:val="003C6DB2"/>
    <w:rsid w:val="003C7068"/>
    <w:rsid w:val="003C7A1D"/>
    <w:rsid w:val="003D1587"/>
    <w:rsid w:val="003D1C4D"/>
    <w:rsid w:val="003D302B"/>
    <w:rsid w:val="003D32A3"/>
    <w:rsid w:val="003D38BA"/>
    <w:rsid w:val="003D44D8"/>
    <w:rsid w:val="003D4675"/>
    <w:rsid w:val="003D6965"/>
    <w:rsid w:val="003E04A9"/>
    <w:rsid w:val="003E0849"/>
    <w:rsid w:val="003E1E30"/>
    <w:rsid w:val="003E2182"/>
    <w:rsid w:val="003E333B"/>
    <w:rsid w:val="003E37E5"/>
    <w:rsid w:val="003E3BF0"/>
    <w:rsid w:val="003E4056"/>
    <w:rsid w:val="003E44EB"/>
    <w:rsid w:val="003E4507"/>
    <w:rsid w:val="003E54FB"/>
    <w:rsid w:val="003E5587"/>
    <w:rsid w:val="003E571E"/>
    <w:rsid w:val="003E5FB3"/>
    <w:rsid w:val="003E6E74"/>
    <w:rsid w:val="003E6F20"/>
    <w:rsid w:val="003E7AEF"/>
    <w:rsid w:val="003F101A"/>
    <w:rsid w:val="003F15CD"/>
    <w:rsid w:val="003F2112"/>
    <w:rsid w:val="003F3F4E"/>
    <w:rsid w:val="003F417C"/>
    <w:rsid w:val="003F4963"/>
    <w:rsid w:val="003F51D0"/>
    <w:rsid w:val="003F5810"/>
    <w:rsid w:val="003F5F57"/>
    <w:rsid w:val="003F6082"/>
    <w:rsid w:val="003F60E2"/>
    <w:rsid w:val="003F6180"/>
    <w:rsid w:val="003F6452"/>
    <w:rsid w:val="003F659B"/>
    <w:rsid w:val="003F7825"/>
    <w:rsid w:val="003F7D6D"/>
    <w:rsid w:val="0040044F"/>
    <w:rsid w:val="00400942"/>
    <w:rsid w:val="00400AAA"/>
    <w:rsid w:val="0040108E"/>
    <w:rsid w:val="004019B0"/>
    <w:rsid w:val="00402C0A"/>
    <w:rsid w:val="004039CF"/>
    <w:rsid w:val="00403F19"/>
    <w:rsid w:val="00404DF2"/>
    <w:rsid w:val="00404F09"/>
    <w:rsid w:val="0040537E"/>
    <w:rsid w:val="00405A3C"/>
    <w:rsid w:val="00407458"/>
    <w:rsid w:val="00407A64"/>
    <w:rsid w:val="004100F4"/>
    <w:rsid w:val="00410282"/>
    <w:rsid w:val="0041072B"/>
    <w:rsid w:val="00411E24"/>
    <w:rsid w:val="004126E0"/>
    <w:rsid w:val="00415A8A"/>
    <w:rsid w:val="00415CBE"/>
    <w:rsid w:val="00415D23"/>
    <w:rsid w:val="004161D1"/>
    <w:rsid w:val="00416645"/>
    <w:rsid w:val="00416864"/>
    <w:rsid w:val="00416D19"/>
    <w:rsid w:val="0041780A"/>
    <w:rsid w:val="00417A6E"/>
    <w:rsid w:val="00417BC7"/>
    <w:rsid w:val="00417E88"/>
    <w:rsid w:val="00420C05"/>
    <w:rsid w:val="00420E6D"/>
    <w:rsid w:val="004211C4"/>
    <w:rsid w:val="00421C2B"/>
    <w:rsid w:val="004223C5"/>
    <w:rsid w:val="0042307D"/>
    <w:rsid w:val="004237BE"/>
    <w:rsid w:val="00423B8C"/>
    <w:rsid w:val="00423FF8"/>
    <w:rsid w:val="00426294"/>
    <w:rsid w:val="00426B59"/>
    <w:rsid w:val="0042715C"/>
    <w:rsid w:val="00427EEC"/>
    <w:rsid w:val="004310A8"/>
    <w:rsid w:val="00431381"/>
    <w:rsid w:val="004313CD"/>
    <w:rsid w:val="00431502"/>
    <w:rsid w:val="0043170A"/>
    <w:rsid w:val="004321AD"/>
    <w:rsid w:val="00432D5F"/>
    <w:rsid w:val="00432EA8"/>
    <w:rsid w:val="004338B0"/>
    <w:rsid w:val="00434745"/>
    <w:rsid w:val="0043632B"/>
    <w:rsid w:val="00441BE1"/>
    <w:rsid w:val="00441FA2"/>
    <w:rsid w:val="004424AF"/>
    <w:rsid w:val="004425B4"/>
    <w:rsid w:val="00442945"/>
    <w:rsid w:val="00442AA4"/>
    <w:rsid w:val="00443251"/>
    <w:rsid w:val="0044358F"/>
    <w:rsid w:val="0044399C"/>
    <w:rsid w:val="00444061"/>
    <w:rsid w:val="004441B5"/>
    <w:rsid w:val="0044427D"/>
    <w:rsid w:val="004451E6"/>
    <w:rsid w:val="004460F3"/>
    <w:rsid w:val="0044663D"/>
    <w:rsid w:val="0044683C"/>
    <w:rsid w:val="0045012A"/>
    <w:rsid w:val="004511E3"/>
    <w:rsid w:val="00453782"/>
    <w:rsid w:val="00453849"/>
    <w:rsid w:val="004542CB"/>
    <w:rsid w:val="0045480C"/>
    <w:rsid w:val="00454D19"/>
    <w:rsid w:val="00455612"/>
    <w:rsid w:val="00460038"/>
    <w:rsid w:val="0046010D"/>
    <w:rsid w:val="0046069B"/>
    <w:rsid w:val="004607F9"/>
    <w:rsid w:val="00460B47"/>
    <w:rsid w:val="00460F46"/>
    <w:rsid w:val="00461338"/>
    <w:rsid w:val="00461382"/>
    <w:rsid w:val="00462552"/>
    <w:rsid w:val="004630FD"/>
    <w:rsid w:val="0046401C"/>
    <w:rsid w:val="00464999"/>
    <w:rsid w:val="004658CB"/>
    <w:rsid w:val="00465A0C"/>
    <w:rsid w:val="004667AD"/>
    <w:rsid w:val="004668B1"/>
    <w:rsid w:val="004670CE"/>
    <w:rsid w:val="00471C43"/>
    <w:rsid w:val="00472037"/>
    <w:rsid w:val="00473549"/>
    <w:rsid w:val="0047382F"/>
    <w:rsid w:val="00473AFE"/>
    <w:rsid w:val="00474D40"/>
    <w:rsid w:val="00474DB3"/>
    <w:rsid w:val="0047507D"/>
    <w:rsid w:val="00476EE9"/>
    <w:rsid w:val="004776DB"/>
    <w:rsid w:val="00477F37"/>
    <w:rsid w:val="0048163B"/>
    <w:rsid w:val="00481B35"/>
    <w:rsid w:val="0048235F"/>
    <w:rsid w:val="00482CF4"/>
    <w:rsid w:val="00483728"/>
    <w:rsid w:val="004845DF"/>
    <w:rsid w:val="004849C7"/>
    <w:rsid w:val="004851F9"/>
    <w:rsid w:val="0049006E"/>
    <w:rsid w:val="0049015B"/>
    <w:rsid w:val="004918CC"/>
    <w:rsid w:val="00492569"/>
    <w:rsid w:val="00492EA5"/>
    <w:rsid w:val="004946A1"/>
    <w:rsid w:val="00494B71"/>
    <w:rsid w:val="004962AD"/>
    <w:rsid w:val="004974CC"/>
    <w:rsid w:val="004A1E76"/>
    <w:rsid w:val="004A34B1"/>
    <w:rsid w:val="004A381A"/>
    <w:rsid w:val="004A44AE"/>
    <w:rsid w:val="004A4C5E"/>
    <w:rsid w:val="004A5D0F"/>
    <w:rsid w:val="004A6E1F"/>
    <w:rsid w:val="004A7AB9"/>
    <w:rsid w:val="004A7B48"/>
    <w:rsid w:val="004B1083"/>
    <w:rsid w:val="004B2FCE"/>
    <w:rsid w:val="004B3258"/>
    <w:rsid w:val="004B339D"/>
    <w:rsid w:val="004B411D"/>
    <w:rsid w:val="004B4880"/>
    <w:rsid w:val="004B522D"/>
    <w:rsid w:val="004B580C"/>
    <w:rsid w:val="004B6147"/>
    <w:rsid w:val="004B6214"/>
    <w:rsid w:val="004B6278"/>
    <w:rsid w:val="004B7182"/>
    <w:rsid w:val="004B74DD"/>
    <w:rsid w:val="004B7850"/>
    <w:rsid w:val="004C0519"/>
    <w:rsid w:val="004C084D"/>
    <w:rsid w:val="004C0F35"/>
    <w:rsid w:val="004C193F"/>
    <w:rsid w:val="004C1E29"/>
    <w:rsid w:val="004C2023"/>
    <w:rsid w:val="004C2C02"/>
    <w:rsid w:val="004C36C7"/>
    <w:rsid w:val="004C4656"/>
    <w:rsid w:val="004C49F4"/>
    <w:rsid w:val="004C5351"/>
    <w:rsid w:val="004C5697"/>
    <w:rsid w:val="004C5836"/>
    <w:rsid w:val="004C6035"/>
    <w:rsid w:val="004C6194"/>
    <w:rsid w:val="004C6E98"/>
    <w:rsid w:val="004D067C"/>
    <w:rsid w:val="004D072B"/>
    <w:rsid w:val="004D0C9D"/>
    <w:rsid w:val="004D1634"/>
    <w:rsid w:val="004D1A3A"/>
    <w:rsid w:val="004D3FCF"/>
    <w:rsid w:val="004D5837"/>
    <w:rsid w:val="004D5C9E"/>
    <w:rsid w:val="004D7796"/>
    <w:rsid w:val="004E1166"/>
    <w:rsid w:val="004E33E6"/>
    <w:rsid w:val="004E355E"/>
    <w:rsid w:val="004E3A33"/>
    <w:rsid w:val="004E3FCB"/>
    <w:rsid w:val="004E4947"/>
    <w:rsid w:val="004E5558"/>
    <w:rsid w:val="004E628E"/>
    <w:rsid w:val="004F0179"/>
    <w:rsid w:val="004F07B4"/>
    <w:rsid w:val="004F0E55"/>
    <w:rsid w:val="004F1A17"/>
    <w:rsid w:val="004F2179"/>
    <w:rsid w:val="004F2F65"/>
    <w:rsid w:val="004F4107"/>
    <w:rsid w:val="004F4817"/>
    <w:rsid w:val="004F4CE8"/>
    <w:rsid w:val="004F5E5D"/>
    <w:rsid w:val="005005CA"/>
    <w:rsid w:val="00503F0C"/>
    <w:rsid w:val="005049C2"/>
    <w:rsid w:val="00505000"/>
    <w:rsid w:val="00505F35"/>
    <w:rsid w:val="00506243"/>
    <w:rsid w:val="0051007B"/>
    <w:rsid w:val="005109B4"/>
    <w:rsid w:val="00510FF3"/>
    <w:rsid w:val="0051101A"/>
    <w:rsid w:val="005110F6"/>
    <w:rsid w:val="005123B0"/>
    <w:rsid w:val="00512C46"/>
    <w:rsid w:val="005133F8"/>
    <w:rsid w:val="00516E05"/>
    <w:rsid w:val="0051736C"/>
    <w:rsid w:val="0051783C"/>
    <w:rsid w:val="00520213"/>
    <w:rsid w:val="00521398"/>
    <w:rsid w:val="005216F4"/>
    <w:rsid w:val="00521CF7"/>
    <w:rsid w:val="005230ED"/>
    <w:rsid w:val="005238A4"/>
    <w:rsid w:val="00523F17"/>
    <w:rsid w:val="005241CD"/>
    <w:rsid w:val="00524DC0"/>
    <w:rsid w:val="00525CF8"/>
    <w:rsid w:val="005264B8"/>
    <w:rsid w:val="00527504"/>
    <w:rsid w:val="0052792F"/>
    <w:rsid w:val="00527D7D"/>
    <w:rsid w:val="00530019"/>
    <w:rsid w:val="00530C83"/>
    <w:rsid w:val="0053165F"/>
    <w:rsid w:val="005324E4"/>
    <w:rsid w:val="0053342C"/>
    <w:rsid w:val="00533A96"/>
    <w:rsid w:val="005355C1"/>
    <w:rsid w:val="005360E0"/>
    <w:rsid w:val="0053718C"/>
    <w:rsid w:val="00537E7F"/>
    <w:rsid w:val="0054056B"/>
    <w:rsid w:val="00541337"/>
    <w:rsid w:val="00541E82"/>
    <w:rsid w:val="00542409"/>
    <w:rsid w:val="0054258E"/>
    <w:rsid w:val="00543761"/>
    <w:rsid w:val="0054384F"/>
    <w:rsid w:val="005438A9"/>
    <w:rsid w:val="00543A5B"/>
    <w:rsid w:val="00544669"/>
    <w:rsid w:val="0054546A"/>
    <w:rsid w:val="00546F61"/>
    <w:rsid w:val="00547251"/>
    <w:rsid w:val="00550481"/>
    <w:rsid w:val="00550683"/>
    <w:rsid w:val="00551490"/>
    <w:rsid w:val="00551BCD"/>
    <w:rsid w:val="00551CEA"/>
    <w:rsid w:val="00552194"/>
    <w:rsid w:val="00552507"/>
    <w:rsid w:val="0055255E"/>
    <w:rsid w:val="00555A2D"/>
    <w:rsid w:val="0055608D"/>
    <w:rsid w:val="00556248"/>
    <w:rsid w:val="005567A5"/>
    <w:rsid w:val="005600B6"/>
    <w:rsid w:val="0056070C"/>
    <w:rsid w:val="0056129C"/>
    <w:rsid w:val="00561DE3"/>
    <w:rsid w:val="00562825"/>
    <w:rsid w:val="00562CB9"/>
    <w:rsid w:val="00563609"/>
    <w:rsid w:val="00563C9B"/>
    <w:rsid w:val="005651DF"/>
    <w:rsid w:val="0056536A"/>
    <w:rsid w:val="005669E9"/>
    <w:rsid w:val="00567C7B"/>
    <w:rsid w:val="005713D9"/>
    <w:rsid w:val="00573793"/>
    <w:rsid w:val="00573BFA"/>
    <w:rsid w:val="0057417D"/>
    <w:rsid w:val="00576042"/>
    <w:rsid w:val="00576110"/>
    <w:rsid w:val="00576136"/>
    <w:rsid w:val="00577870"/>
    <w:rsid w:val="0058030A"/>
    <w:rsid w:val="0058170B"/>
    <w:rsid w:val="00581D96"/>
    <w:rsid w:val="00584303"/>
    <w:rsid w:val="00584D60"/>
    <w:rsid w:val="0058516E"/>
    <w:rsid w:val="005851F3"/>
    <w:rsid w:val="00586659"/>
    <w:rsid w:val="00586D56"/>
    <w:rsid w:val="00587298"/>
    <w:rsid w:val="005904F0"/>
    <w:rsid w:val="00590CD1"/>
    <w:rsid w:val="00592D2A"/>
    <w:rsid w:val="0059415A"/>
    <w:rsid w:val="00594EC0"/>
    <w:rsid w:val="00595493"/>
    <w:rsid w:val="005A1204"/>
    <w:rsid w:val="005A2ABF"/>
    <w:rsid w:val="005A5F79"/>
    <w:rsid w:val="005A5F8B"/>
    <w:rsid w:val="005A72E5"/>
    <w:rsid w:val="005A7A1D"/>
    <w:rsid w:val="005A7AEA"/>
    <w:rsid w:val="005B06D3"/>
    <w:rsid w:val="005B0BE5"/>
    <w:rsid w:val="005B1CAE"/>
    <w:rsid w:val="005B214C"/>
    <w:rsid w:val="005B2527"/>
    <w:rsid w:val="005B2632"/>
    <w:rsid w:val="005B33BF"/>
    <w:rsid w:val="005B3815"/>
    <w:rsid w:val="005B4E15"/>
    <w:rsid w:val="005B5A7C"/>
    <w:rsid w:val="005B7348"/>
    <w:rsid w:val="005B79A8"/>
    <w:rsid w:val="005C0C02"/>
    <w:rsid w:val="005C0E14"/>
    <w:rsid w:val="005C14DC"/>
    <w:rsid w:val="005C21FF"/>
    <w:rsid w:val="005C3BA3"/>
    <w:rsid w:val="005C4719"/>
    <w:rsid w:val="005C486A"/>
    <w:rsid w:val="005C528A"/>
    <w:rsid w:val="005C53AD"/>
    <w:rsid w:val="005C5B8B"/>
    <w:rsid w:val="005C5C66"/>
    <w:rsid w:val="005C62AB"/>
    <w:rsid w:val="005C7C3E"/>
    <w:rsid w:val="005C7C54"/>
    <w:rsid w:val="005D0271"/>
    <w:rsid w:val="005D03FC"/>
    <w:rsid w:val="005D1EE1"/>
    <w:rsid w:val="005D2E94"/>
    <w:rsid w:val="005D32B9"/>
    <w:rsid w:val="005D3FF4"/>
    <w:rsid w:val="005D4094"/>
    <w:rsid w:val="005D4866"/>
    <w:rsid w:val="005D50B8"/>
    <w:rsid w:val="005E0B12"/>
    <w:rsid w:val="005E2911"/>
    <w:rsid w:val="005E3267"/>
    <w:rsid w:val="005E37AB"/>
    <w:rsid w:val="005E3CB5"/>
    <w:rsid w:val="005E645C"/>
    <w:rsid w:val="005E7A4E"/>
    <w:rsid w:val="005F0D9A"/>
    <w:rsid w:val="005F265C"/>
    <w:rsid w:val="005F328D"/>
    <w:rsid w:val="005F34DC"/>
    <w:rsid w:val="005F3DE4"/>
    <w:rsid w:val="005F3E1C"/>
    <w:rsid w:val="005F3F5F"/>
    <w:rsid w:val="005F472D"/>
    <w:rsid w:val="005F4F61"/>
    <w:rsid w:val="005F78D5"/>
    <w:rsid w:val="0060096E"/>
    <w:rsid w:val="00600A38"/>
    <w:rsid w:val="00600F75"/>
    <w:rsid w:val="006020B2"/>
    <w:rsid w:val="006026B5"/>
    <w:rsid w:val="00602AF5"/>
    <w:rsid w:val="00603A0D"/>
    <w:rsid w:val="00604420"/>
    <w:rsid w:val="00604D8B"/>
    <w:rsid w:val="0060572C"/>
    <w:rsid w:val="00605E01"/>
    <w:rsid w:val="00605FB4"/>
    <w:rsid w:val="00610392"/>
    <w:rsid w:val="006107B7"/>
    <w:rsid w:val="006130F4"/>
    <w:rsid w:val="00614329"/>
    <w:rsid w:val="006147E7"/>
    <w:rsid w:val="006148C0"/>
    <w:rsid w:val="0061506A"/>
    <w:rsid w:val="006156B1"/>
    <w:rsid w:val="00615D13"/>
    <w:rsid w:val="00615F86"/>
    <w:rsid w:val="00616603"/>
    <w:rsid w:val="00620A41"/>
    <w:rsid w:val="00621166"/>
    <w:rsid w:val="0062163B"/>
    <w:rsid w:val="00621C81"/>
    <w:rsid w:val="0062339E"/>
    <w:rsid w:val="00623D09"/>
    <w:rsid w:val="00623DFC"/>
    <w:rsid w:val="0062440C"/>
    <w:rsid w:val="00624524"/>
    <w:rsid w:val="0062472F"/>
    <w:rsid w:val="00625550"/>
    <w:rsid w:val="00626629"/>
    <w:rsid w:val="00627474"/>
    <w:rsid w:val="00627610"/>
    <w:rsid w:val="00630DA0"/>
    <w:rsid w:val="00632B09"/>
    <w:rsid w:val="00633555"/>
    <w:rsid w:val="00633D90"/>
    <w:rsid w:val="00633EC2"/>
    <w:rsid w:val="006347A2"/>
    <w:rsid w:val="00634E5B"/>
    <w:rsid w:val="00635711"/>
    <w:rsid w:val="00635DBA"/>
    <w:rsid w:val="00635EA4"/>
    <w:rsid w:val="00637445"/>
    <w:rsid w:val="00641F14"/>
    <w:rsid w:val="00642501"/>
    <w:rsid w:val="0064308A"/>
    <w:rsid w:val="00643FD1"/>
    <w:rsid w:val="00644099"/>
    <w:rsid w:val="00644E89"/>
    <w:rsid w:val="00645F55"/>
    <w:rsid w:val="00646A25"/>
    <w:rsid w:val="006476B7"/>
    <w:rsid w:val="006510E8"/>
    <w:rsid w:val="006516DC"/>
    <w:rsid w:val="00651C53"/>
    <w:rsid w:val="0065308D"/>
    <w:rsid w:val="00654004"/>
    <w:rsid w:val="0065443A"/>
    <w:rsid w:val="006600B9"/>
    <w:rsid w:val="0066164D"/>
    <w:rsid w:val="00661C1D"/>
    <w:rsid w:val="00661D5F"/>
    <w:rsid w:val="00662E06"/>
    <w:rsid w:val="00662FB6"/>
    <w:rsid w:val="00663CF3"/>
    <w:rsid w:val="00664193"/>
    <w:rsid w:val="006647FA"/>
    <w:rsid w:val="00664E12"/>
    <w:rsid w:val="0066518D"/>
    <w:rsid w:val="006653DB"/>
    <w:rsid w:val="00666349"/>
    <w:rsid w:val="006665F2"/>
    <w:rsid w:val="00666FE8"/>
    <w:rsid w:val="006671DE"/>
    <w:rsid w:val="006704EB"/>
    <w:rsid w:val="0067089D"/>
    <w:rsid w:val="00671C63"/>
    <w:rsid w:val="006723D5"/>
    <w:rsid w:val="006726D4"/>
    <w:rsid w:val="0067287C"/>
    <w:rsid w:val="00672D10"/>
    <w:rsid w:val="006733E5"/>
    <w:rsid w:val="006736C1"/>
    <w:rsid w:val="00674496"/>
    <w:rsid w:val="00674497"/>
    <w:rsid w:val="006744CD"/>
    <w:rsid w:val="0067499E"/>
    <w:rsid w:val="006756EF"/>
    <w:rsid w:val="00676BD2"/>
    <w:rsid w:val="00677784"/>
    <w:rsid w:val="0068018B"/>
    <w:rsid w:val="00680B45"/>
    <w:rsid w:val="006810F1"/>
    <w:rsid w:val="00681A38"/>
    <w:rsid w:val="00681D83"/>
    <w:rsid w:val="00682F92"/>
    <w:rsid w:val="006847D7"/>
    <w:rsid w:val="006856B6"/>
    <w:rsid w:val="0068609C"/>
    <w:rsid w:val="00686B0B"/>
    <w:rsid w:val="0068706D"/>
    <w:rsid w:val="006874D8"/>
    <w:rsid w:val="00687F19"/>
    <w:rsid w:val="00690638"/>
    <w:rsid w:val="00691076"/>
    <w:rsid w:val="00691098"/>
    <w:rsid w:val="00691980"/>
    <w:rsid w:val="00693E86"/>
    <w:rsid w:val="00694648"/>
    <w:rsid w:val="0069481D"/>
    <w:rsid w:val="00694B5F"/>
    <w:rsid w:val="00694C91"/>
    <w:rsid w:val="00695104"/>
    <w:rsid w:val="00696109"/>
    <w:rsid w:val="00696144"/>
    <w:rsid w:val="00696684"/>
    <w:rsid w:val="00696B27"/>
    <w:rsid w:val="006A10C7"/>
    <w:rsid w:val="006A10D8"/>
    <w:rsid w:val="006A10EF"/>
    <w:rsid w:val="006A1B03"/>
    <w:rsid w:val="006A2518"/>
    <w:rsid w:val="006A39AF"/>
    <w:rsid w:val="006A40CB"/>
    <w:rsid w:val="006A46F3"/>
    <w:rsid w:val="006A5308"/>
    <w:rsid w:val="006A577F"/>
    <w:rsid w:val="006A6B2B"/>
    <w:rsid w:val="006A753C"/>
    <w:rsid w:val="006B0351"/>
    <w:rsid w:val="006B0578"/>
    <w:rsid w:val="006B2A74"/>
    <w:rsid w:val="006B2C55"/>
    <w:rsid w:val="006B32A5"/>
    <w:rsid w:val="006B5339"/>
    <w:rsid w:val="006B5367"/>
    <w:rsid w:val="006B54DA"/>
    <w:rsid w:val="006B5D9B"/>
    <w:rsid w:val="006B5EF9"/>
    <w:rsid w:val="006B66C8"/>
    <w:rsid w:val="006B705F"/>
    <w:rsid w:val="006B7579"/>
    <w:rsid w:val="006B7FDD"/>
    <w:rsid w:val="006C012F"/>
    <w:rsid w:val="006C05A8"/>
    <w:rsid w:val="006C0731"/>
    <w:rsid w:val="006C1DF0"/>
    <w:rsid w:val="006C5277"/>
    <w:rsid w:val="006C61AA"/>
    <w:rsid w:val="006C6996"/>
    <w:rsid w:val="006D2000"/>
    <w:rsid w:val="006D3D6F"/>
    <w:rsid w:val="006D5E67"/>
    <w:rsid w:val="006D6704"/>
    <w:rsid w:val="006D693D"/>
    <w:rsid w:val="006E06DF"/>
    <w:rsid w:val="006E08DB"/>
    <w:rsid w:val="006E13F6"/>
    <w:rsid w:val="006E17C0"/>
    <w:rsid w:val="006E188C"/>
    <w:rsid w:val="006E190E"/>
    <w:rsid w:val="006E19E5"/>
    <w:rsid w:val="006E1FBF"/>
    <w:rsid w:val="006E37EA"/>
    <w:rsid w:val="006E3D4E"/>
    <w:rsid w:val="006E49ED"/>
    <w:rsid w:val="006E5612"/>
    <w:rsid w:val="006E56B3"/>
    <w:rsid w:val="006E6620"/>
    <w:rsid w:val="006E7385"/>
    <w:rsid w:val="006E7B1E"/>
    <w:rsid w:val="006F0A3E"/>
    <w:rsid w:val="006F1BBF"/>
    <w:rsid w:val="006F20E6"/>
    <w:rsid w:val="006F258F"/>
    <w:rsid w:val="006F2DED"/>
    <w:rsid w:val="006F3ACD"/>
    <w:rsid w:val="006F3E63"/>
    <w:rsid w:val="006F46C4"/>
    <w:rsid w:val="006F62AF"/>
    <w:rsid w:val="006F7536"/>
    <w:rsid w:val="0070173D"/>
    <w:rsid w:val="0070339D"/>
    <w:rsid w:val="007033FB"/>
    <w:rsid w:val="007040AD"/>
    <w:rsid w:val="00705C81"/>
    <w:rsid w:val="00705D76"/>
    <w:rsid w:val="0070660A"/>
    <w:rsid w:val="007068A4"/>
    <w:rsid w:val="00707CF0"/>
    <w:rsid w:val="00707F3F"/>
    <w:rsid w:val="00711531"/>
    <w:rsid w:val="00712C7E"/>
    <w:rsid w:val="00712D53"/>
    <w:rsid w:val="007132EF"/>
    <w:rsid w:val="007136B0"/>
    <w:rsid w:val="007138D5"/>
    <w:rsid w:val="00714D93"/>
    <w:rsid w:val="00716395"/>
    <w:rsid w:val="00716C51"/>
    <w:rsid w:val="00716CC4"/>
    <w:rsid w:val="00716E17"/>
    <w:rsid w:val="007176FE"/>
    <w:rsid w:val="0071790B"/>
    <w:rsid w:val="00717D6B"/>
    <w:rsid w:val="00721CC5"/>
    <w:rsid w:val="00721D24"/>
    <w:rsid w:val="00722543"/>
    <w:rsid w:val="007230A0"/>
    <w:rsid w:val="00723224"/>
    <w:rsid w:val="0072329B"/>
    <w:rsid w:val="00723C85"/>
    <w:rsid w:val="00725FB7"/>
    <w:rsid w:val="00726199"/>
    <w:rsid w:val="007272AF"/>
    <w:rsid w:val="007272F7"/>
    <w:rsid w:val="00730B1B"/>
    <w:rsid w:val="007312DA"/>
    <w:rsid w:val="0073162E"/>
    <w:rsid w:val="00731D13"/>
    <w:rsid w:val="00732771"/>
    <w:rsid w:val="007349FD"/>
    <w:rsid w:val="00734A42"/>
    <w:rsid w:val="00737C5E"/>
    <w:rsid w:val="00737D64"/>
    <w:rsid w:val="00740DCB"/>
    <w:rsid w:val="007424E4"/>
    <w:rsid w:val="00742777"/>
    <w:rsid w:val="00742D47"/>
    <w:rsid w:val="00743AB1"/>
    <w:rsid w:val="00743E21"/>
    <w:rsid w:val="0074550E"/>
    <w:rsid w:val="00745A35"/>
    <w:rsid w:val="00745A48"/>
    <w:rsid w:val="00745B06"/>
    <w:rsid w:val="00745C40"/>
    <w:rsid w:val="007471FA"/>
    <w:rsid w:val="00747369"/>
    <w:rsid w:val="007473D8"/>
    <w:rsid w:val="00747C72"/>
    <w:rsid w:val="007500CF"/>
    <w:rsid w:val="00750850"/>
    <w:rsid w:val="00750D66"/>
    <w:rsid w:val="00751160"/>
    <w:rsid w:val="00752854"/>
    <w:rsid w:val="007535AE"/>
    <w:rsid w:val="00754C61"/>
    <w:rsid w:val="00754F7F"/>
    <w:rsid w:val="00755347"/>
    <w:rsid w:val="00755C51"/>
    <w:rsid w:val="00755C99"/>
    <w:rsid w:val="00756853"/>
    <w:rsid w:val="007568B6"/>
    <w:rsid w:val="007571A1"/>
    <w:rsid w:val="00757DCD"/>
    <w:rsid w:val="00760288"/>
    <w:rsid w:val="00760490"/>
    <w:rsid w:val="00760A2B"/>
    <w:rsid w:val="007618D8"/>
    <w:rsid w:val="0076208F"/>
    <w:rsid w:val="007625DB"/>
    <w:rsid w:val="00762EF7"/>
    <w:rsid w:val="00763199"/>
    <w:rsid w:val="0076430C"/>
    <w:rsid w:val="00764A1D"/>
    <w:rsid w:val="00764DD4"/>
    <w:rsid w:val="00764F2B"/>
    <w:rsid w:val="00765C55"/>
    <w:rsid w:val="007666F9"/>
    <w:rsid w:val="007709DA"/>
    <w:rsid w:val="00770ABF"/>
    <w:rsid w:val="00770BAD"/>
    <w:rsid w:val="007719B5"/>
    <w:rsid w:val="00771D46"/>
    <w:rsid w:val="00772869"/>
    <w:rsid w:val="00772C02"/>
    <w:rsid w:val="00772F8D"/>
    <w:rsid w:val="00773132"/>
    <w:rsid w:val="00773831"/>
    <w:rsid w:val="00773B01"/>
    <w:rsid w:val="00774875"/>
    <w:rsid w:val="00774E2D"/>
    <w:rsid w:val="00774F6E"/>
    <w:rsid w:val="007802A7"/>
    <w:rsid w:val="00780F12"/>
    <w:rsid w:val="007813CF"/>
    <w:rsid w:val="0078213C"/>
    <w:rsid w:val="0078237E"/>
    <w:rsid w:val="00782936"/>
    <w:rsid w:val="0078381E"/>
    <w:rsid w:val="007844C8"/>
    <w:rsid w:val="0078470F"/>
    <w:rsid w:val="007855F1"/>
    <w:rsid w:val="00785690"/>
    <w:rsid w:val="007903F8"/>
    <w:rsid w:val="00790432"/>
    <w:rsid w:val="007904B9"/>
    <w:rsid w:val="007907E1"/>
    <w:rsid w:val="00790808"/>
    <w:rsid w:val="00790FA5"/>
    <w:rsid w:val="00791822"/>
    <w:rsid w:val="007930D5"/>
    <w:rsid w:val="007936DC"/>
    <w:rsid w:val="007936EA"/>
    <w:rsid w:val="007971A4"/>
    <w:rsid w:val="007974FA"/>
    <w:rsid w:val="00797555"/>
    <w:rsid w:val="00797F1D"/>
    <w:rsid w:val="007A0AC9"/>
    <w:rsid w:val="007A1FAF"/>
    <w:rsid w:val="007A2F88"/>
    <w:rsid w:val="007A3752"/>
    <w:rsid w:val="007A38B9"/>
    <w:rsid w:val="007A427A"/>
    <w:rsid w:val="007A45AA"/>
    <w:rsid w:val="007A4B5E"/>
    <w:rsid w:val="007A59E3"/>
    <w:rsid w:val="007A5F57"/>
    <w:rsid w:val="007A6174"/>
    <w:rsid w:val="007A6A9E"/>
    <w:rsid w:val="007A7059"/>
    <w:rsid w:val="007B13EC"/>
    <w:rsid w:val="007B233C"/>
    <w:rsid w:val="007B2825"/>
    <w:rsid w:val="007B31B9"/>
    <w:rsid w:val="007B462B"/>
    <w:rsid w:val="007B57F4"/>
    <w:rsid w:val="007B78B0"/>
    <w:rsid w:val="007B7E15"/>
    <w:rsid w:val="007C0309"/>
    <w:rsid w:val="007C03E0"/>
    <w:rsid w:val="007C0935"/>
    <w:rsid w:val="007C1BF5"/>
    <w:rsid w:val="007C1F01"/>
    <w:rsid w:val="007C27E1"/>
    <w:rsid w:val="007C31F9"/>
    <w:rsid w:val="007C3DE6"/>
    <w:rsid w:val="007C4012"/>
    <w:rsid w:val="007C460F"/>
    <w:rsid w:val="007C49DF"/>
    <w:rsid w:val="007C4CB0"/>
    <w:rsid w:val="007C57AA"/>
    <w:rsid w:val="007D2649"/>
    <w:rsid w:val="007D269D"/>
    <w:rsid w:val="007D3189"/>
    <w:rsid w:val="007D4838"/>
    <w:rsid w:val="007D51D1"/>
    <w:rsid w:val="007D548E"/>
    <w:rsid w:val="007D6896"/>
    <w:rsid w:val="007D7E77"/>
    <w:rsid w:val="007E022F"/>
    <w:rsid w:val="007E0419"/>
    <w:rsid w:val="007E0A1D"/>
    <w:rsid w:val="007E19D9"/>
    <w:rsid w:val="007E3F20"/>
    <w:rsid w:val="007E4803"/>
    <w:rsid w:val="007E4E45"/>
    <w:rsid w:val="007E61C8"/>
    <w:rsid w:val="007E62E8"/>
    <w:rsid w:val="007E6894"/>
    <w:rsid w:val="007E7E6F"/>
    <w:rsid w:val="007F0E76"/>
    <w:rsid w:val="007F1A84"/>
    <w:rsid w:val="007F411B"/>
    <w:rsid w:val="007F4373"/>
    <w:rsid w:val="007F5CC6"/>
    <w:rsid w:val="007F5DA7"/>
    <w:rsid w:val="007F6DD8"/>
    <w:rsid w:val="007F7A3F"/>
    <w:rsid w:val="00800E1B"/>
    <w:rsid w:val="008011CA"/>
    <w:rsid w:val="00802115"/>
    <w:rsid w:val="0080297F"/>
    <w:rsid w:val="00802AEB"/>
    <w:rsid w:val="00804AA7"/>
    <w:rsid w:val="008050D4"/>
    <w:rsid w:val="00805C97"/>
    <w:rsid w:val="00807409"/>
    <w:rsid w:val="00810D7D"/>
    <w:rsid w:val="0081224C"/>
    <w:rsid w:val="008122F0"/>
    <w:rsid w:val="0081255C"/>
    <w:rsid w:val="008130BC"/>
    <w:rsid w:val="008139AE"/>
    <w:rsid w:val="00814482"/>
    <w:rsid w:val="00814613"/>
    <w:rsid w:val="00815814"/>
    <w:rsid w:val="0081713C"/>
    <w:rsid w:val="00817A3E"/>
    <w:rsid w:val="00817E38"/>
    <w:rsid w:val="008203A0"/>
    <w:rsid w:val="0082098C"/>
    <w:rsid w:val="00821049"/>
    <w:rsid w:val="008221ED"/>
    <w:rsid w:val="0082324A"/>
    <w:rsid w:val="00823410"/>
    <w:rsid w:val="00823934"/>
    <w:rsid w:val="00823C0E"/>
    <w:rsid w:val="00825C04"/>
    <w:rsid w:val="00825FD1"/>
    <w:rsid w:val="0082732D"/>
    <w:rsid w:val="00827D38"/>
    <w:rsid w:val="00830D77"/>
    <w:rsid w:val="00833F56"/>
    <w:rsid w:val="00834226"/>
    <w:rsid w:val="00835041"/>
    <w:rsid w:val="00835338"/>
    <w:rsid w:val="00837C25"/>
    <w:rsid w:val="00837CF8"/>
    <w:rsid w:val="0084055A"/>
    <w:rsid w:val="008409F6"/>
    <w:rsid w:val="00841666"/>
    <w:rsid w:val="0084180C"/>
    <w:rsid w:val="00842054"/>
    <w:rsid w:val="00842DBE"/>
    <w:rsid w:val="008434F8"/>
    <w:rsid w:val="00843E13"/>
    <w:rsid w:val="00844277"/>
    <w:rsid w:val="00844DE2"/>
    <w:rsid w:val="00844E9F"/>
    <w:rsid w:val="008477BC"/>
    <w:rsid w:val="008477D1"/>
    <w:rsid w:val="008500B8"/>
    <w:rsid w:val="00853B3C"/>
    <w:rsid w:val="00853BF2"/>
    <w:rsid w:val="008579B9"/>
    <w:rsid w:val="00857D81"/>
    <w:rsid w:val="00860125"/>
    <w:rsid w:val="00860281"/>
    <w:rsid w:val="00864DFD"/>
    <w:rsid w:val="00864EE5"/>
    <w:rsid w:val="0086594A"/>
    <w:rsid w:val="008659FF"/>
    <w:rsid w:val="00870BED"/>
    <w:rsid w:val="00871639"/>
    <w:rsid w:val="008722A9"/>
    <w:rsid w:val="00872B76"/>
    <w:rsid w:val="00874032"/>
    <w:rsid w:val="008742D4"/>
    <w:rsid w:val="00875160"/>
    <w:rsid w:val="00877D18"/>
    <w:rsid w:val="0088034E"/>
    <w:rsid w:val="0088059E"/>
    <w:rsid w:val="00880A20"/>
    <w:rsid w:val="00881014"/>
    <w:rsid w:val="00881613"/>
    <w:rsid w:val="008819D7"/>
    <w:rsid w:val="00882328"/>
    <w:rsid w:val="00882CE4"/>
    <w:rsid w:val="008842B3"/>
    <w:rsid w:val="00884581"/>
    <w:rsid w:val="008848A4"/>
    <w:rsid w:val="00885487"/>
    <w:rsid w:val="0088623C"/>
    <w:rsid w:val="00887001"/>
    <w:rsid w:val="008875EC"/>
    <w:rsid w:val="008876A1"/>
    <w:rsid w:val="00887A30"/>
    <w:rsid w:val="0089204A"/>
    <w:rsid w:val="008925C1"/>
    <w:rsid w:val="00892823"/>
    <w:rsid w:val="00892E73"/>
    <w:rsid w:val="00893590"/>
    <w:rsid w:val="00893596"/>
    <w:rsid w:val="00893C65"/>
    <w:rsid w:val="008946D9"/>
    <w:rsid w:val="00894794"/>
    <w:rsid w:val="0089578A"/>
    <w:rsid w:val="00895FEA"/>
    <w:rsid w:val="00896309"/>
    <w:rsid w:val="00896CB1"/>
    <w:rsid w:val="00896D30"/>
    <w:rsid w:val="008973DD"/>
    <w:rsid w:val="008977E0"/>
    <w:rsid w:val="00897C4E"/>
    <w:rsid w:val="008A084B"/>
    <w:rsid w:val="008A0BEC"/>
    <w:rsid w:val="008A1976"/>
    <w:rsid w:val="008A3A8C"/>
    <w:rsid w:val="008A44AB"/>
    <w:rsid w:val="008A5646"/>
    <w:rsid w:val="008A60BD"/>
    <w:rsid w:val="008A646C"/>
    <w:rsid w:val="008A6591"/>
    <w:rsid w:val="008A68A6"/>
    <w:rsid w:val="008A6CCF"/>
    <w:rsid w:val="008A7BCB"/>
    <w:rsid w:val="008B0347"/>
    <w:rsid w:val="008B20D8"/>
    <w:rsid w:val="008B2C6E"/>
    <w:rsid w:val="008B37D1"/>
    <w:rsid w:val="008B4609"/>
    <w:rsid w:val="008B4713"/>
    <w:rsid w:val="008B4CFE"/>
    <w:rsid w:val="008B6593"/>
    <w:rsid w:val="008B7D9A"/>
    <w:rsid w:val="008C0275"/>
    <w:rsid w:val="008C06ED"/>
    <w:rsid w:val="008C1255"/>
    <w:rsid w:val="008C2893"/>
    <w:rsid w:val="008C2B3A"/>
    <w:rsid w:val="008C2DDF"/>
    <w:rsid w:val="008C382F"/>
    <w:rsid w:val="008C4945"/>
    <w:rsid w:val="008C594C"/>
    <w:rsid w:val="008C59D3"/>
    <w:rsid w:val="008C6AC6"/>
    <w:rsid w:val="008C6DBE"/>
    <w:rsid w:val="008D049E"/>
    <w:rsid w:val="008D08B1"/>
    <w:rsid w:val="008D1ADD"/>
    <w:rsid w:val="008D33DB"/>
    <w:rsid w:val="008D3CBB"/>
    <w:rsid w:val="008D489B"/>
    <w:rsid w:val="008D5020"/>
    <w:rsid w:val="008D6086"/>
    <w:rsid w:val="008D6221"/>
    <w:rsid w:val="008D6FA8"/>
    <w:rsid w:val="008E0008"/>
    <w:rsid w:val="008E111A"/>
    <w:rsid w:val="008E1189"/>
    <w:rsid w:val="008E1259"/>
    <w:rsid w:val="008E265B"/>
    <w:rsid w:val="008E31C0"/>
    <w:rsid w:val="008E3C48"/>
    <w:rsid w:val="008E3C68"/>
    <w:rsid w:val="008E4E76"/>
    <w:rsid w:val="008E5C69"/>
    <w:rsid w:val="008E65EC"/>
    <w:rsid w:val="008E6792"/>
    <w:rsid w:val="008E7021"/>
    <w:rsid w:val="008E7ED9"/>
    <w:rsid w:val="008F0C15"/>
    <w:rsid w:val="008F1365"/>
    <w:rsid w:val="008F1512"/>
    <w:rsid w:val="008F1903"/>
    <w:rsid w:val="008F28AA"/>
    <w:rsid w:val="008F385E"/>
    <w:rsid w:val="008F5A54"/>
    <w:rsid w:val="008F5C39"/>
    <w:rsid w:val="008F5D8C"/>
    <w:rsid w:val="008F63D2"/>
    <w:rsid w:val="008F6C65"/>
    <w:rsid w:val="00900279"/>
    <w:rsid w:val="009009D3"/>
    <w:rsid w:val="0090149D"/>
    <w:rsid w:val="00901BC8"/>
    <w:rsid w:val="009027B1"/>
    <w:rsid w:val="00902A61"/>
    <w:rsid w:val="00902D57"/>
    <w:rsid w:val="00903801"/>
    <w:rsid w:val="009041D4"/>
    <w:rsid w:val="00905320"/>
    <w:rsid w:val="00905904"/>
    <w:rsid w:val="00906B8F"/>
    <w:rsid w:val="00907CB6"/>
    <w:rsid w:val="009100A1"/>
    <w:rsid w:val="009102B6"/>
    <w:rsid w:val="009102F3"/>
    <w:rsid w:val="009106B7"/>
    <w:rsid w:val="00910D50"/>
    <w:rsid w:val="0091102A"/>
    <w:rsid w:val="009113B6"/>
    <w:rsid w:val="009119E7"/>
    <w:rsid w:val="009131EA"/>
    <w:rsid w:val="00913747"/>
    <w:rsid w:val="00913E62"/>
    <w:rsid w:val="00914157"/>
    <w:rsid w:val="00914B70"/>
    <w:rsid w:val="00914D00"/>
    <w:rsid w:val="00916340"/>
    <w:rsid w:val="00917B17"/>
    <w:rsid w:val="00920CBB"/>
    <w:rsid w:val="009215B3"/>
    <w:rsid w:val="0092176E"/>
    <w:rsid w:val="00921771"/>
    <w:rsid w:val="00921855"/>
    <w:rsid w:val="00923804"/>
    <w:rsid w:val="009239A8"/>
    <w:rsid w:val="00924006"/>
    <w:rsid w:val="009250CC"/>
    <w:rsid w:val="009250E4"/>
    <w:rsid w:val="00925B70"/>
    <w:rsid w:val="00925D5A"/>
    <w:rsid w:val="009263DA"/>
    <w:rsid w:val="009269D9"/>
    <w:rsid w:val="00927530"/>
    <w:rsid w:val="0093028F"/>
    <w:rsid w:val="009311BF"/>
    <w:rsid w:val="00931895"/>
    <w:rsid w:val="009339B3"/>
    <w:rsid w:val="00934DF3"/>
    <w:rsid w:val="00934ED4"/>
    <w:rsid w:val="009359C1"/>
    <w:rsid w:val="00936246"/>
    <w:rsid w:val="00936BB8"/>
    <w:rsid w:val="00937A5C"/>
    <w:rsid w:val="009407CC"/>
    <w:rsid w:val="0094119C"/>
    <w:rsid w:val="00941460"/>
    <w:rsid w:val="009416A8"/>
    <w:rsid w:val="009422E8"/>
    <w:rsid w:val="00943EB7"/>
    <w:rsid w:val="00944BB1"/>
    <w:rsid w:val="00947807"/>
    <w:rsid w:val="00947CF9"/>
    <w:rsid w:val="00951727"/>
    <w:rsid w:val="00951F8F"/>
    <w:rsid w:val="00954165"/>
    <w:rsid w:val="00955535"/>
    <w:rsid w:val="00955EEC"/>
    <w:rsid w:val="00956106"/>
    <w:rsid w:val="009568E6"/>
    <w:rsid w:val="0095690D"/>
    <w:rsid w:val="00960C65"/>
    <w:rsid w:val="00960CD9"/>
    <w:rsid w:val="00960E15"/>
    <w:rsid w:val="009615D9"/>
    <w:rsid w:val="00961831"/>
    <w:rsid w:val="0096221C"/>
    <w:rsid w:val="00962495"/>
    <w:rsid w:val="009647EF"/>
    <w:rsid w:val="009670ED"/>
    <w:rsid w:val="00967352"/>
    <w:rsid w:val="00967700"/>
    <w:rsid w:val="0096771D"/>
    <w:rsid w:val="00967DB9"/>
    <w:rsid w:val="00970120"/>
    <w:rsid w:val="00970E0E"/>
    <w:rsid w:val="00971384"/>
    <w:rsid w:val="00971916"/>
    <w:rsid w:val="00971EAA"/>
    <w:rsid w:val="00972013"/>
    <w:rsid w:val="00973749"/>
    <w:rsid w:val="00974546"/>
    <w:rsid w:val="0097537A"/>
    <w:rsid w:val="00975419"/>
    <w:rsid w:val="00975464"/>
    <w:rsid w:val="00975672"/>
    <w:rsid w:val="0097685F"/>
    <w:rsid w:val="0098056A"/>
    <w:rsid w:val="009806FE"/>
    <w:rsid w:val="009816D9"/>
    <w:rsid w:val="009818C1"/>
    <w:rsid w:val="00981A95"/>
    <w:rsid w:val="00981D12"/>
    <w:rsid w:val="00983221"/>
    <w:rsid w:val="0098329F"/>
    <w:rsid w:val="00984000"/>
    <w:rsid w:val="009843FC"/>
    <w:rsid w:val="00985ECF"/>
    <w:rsid w:val="00986A3E"/>
    <w:rsid w:val="009870C7"/>
    <w:rsid w:val="009902FB"/>
    <w:rsid w:val="0099063B"/>
    <w:rsid w:val="0099116A"/>
    <w:rsid w:val="00991417"/>
    <w:rsid w:val="00991503"/>
    <w:rsid w:val="009920F6"/>
    <w:rsid w:val="00992311"/>
    <w:rsid w:val="0099271E"/>
    <w:rsid w:val="00992C09"/>
    <w:rsid w:val="00993279"/>
    <w:rsid w:val="00993604"/>
    <w:rsid w:val="00994FDE"/>
    <w:rsid w:val="00995928"/>
    <w:rsid w:val="00995F70"/>
    <w:rsid w:val="009964C4"/>
    <w:rsid w:val="009968A9"/>
    <w:rsid w:val="00997029"/>
    <w:rsid w:val="009973BB"/>
    <w:rsid w:val="009979EA"/>
    <w:rsid w:val="009A01DD"/>
    <w:rsid w:val="009A0E02"/>
    <w:rsid w:val="009A28C4"/>
    <w:rsid w:val="009A36FE"/>
    <w:rsid w:val="009A4126"/>
    <w:rsid w:val="009A48AF"/>
    <w:rsid w:val="009A6664"/>
    <w:rsid w:val="009A786A"/>
    <w:rsid w:val="009B15F0"/>
    <w:rsid w:val="009B1E7B"/>
    <w:rsid w:val="009B20FF"/>
    <w:rsid w:val="009B2A02"/>
    <w:rsid w:val="009B2A70"/>
    <w:rsid w:val="009B572B"/>
    <w:rsid w:val="009B5D14"/>
    <w:rsid w:val="009B6080"/>
    <w:rsid w:val="009B695D"/>
    <w:rsid w:val="009B71DA"/>
    <w:rsid w:val="009B756F"/>
    <w:rsid w:val="009C0D73"/>
    <w:rsid w:val="009C11A8"/>
    <w:rsid w:val="009C3E8F"/>
    <w:rsid w:val="009C44D2"/>
    <w:rsid w:val="009C4DA6"/>
    <w:rsid w:val="009C514B"/>
    <w:rsid w:val="009C52C5"/>
    <w:rsid w:val="009C7253"/>
    <w:rsid w:val="009C796C"/>
    <w:rsid w:val="009C7D7A"/>
    <w:rsid w:val="009C7D96"/>
    <w:rsid w:val="009D176A"/>
    <w:rsid w:val="009D256C"/>
    <w:rsid w:val="009D39E9"/>
    <w:rsid w:val="009D3A7E"/>
    <w:rsid w:val="009D406F"/>
    <w:rsid w:val="009D46A1"/>
    <w:rsid w:val="009D4A03"/>
    <w:rsid w:val="009D506D"/>
    <w:rsid w:val="009D5FBF"/>
    <w:rsid w:val="009E1C4C"/>
    <w:rsid w:val="009E2240"/>
    <w:rsid w:val="009E29A8"/>
    <w:rsid w:val="009E3E09"/>
    <w:rsid w:val="009E4001"/>
    <w:rsid w:val="009E48CC"/>
    <w:rsid w:val="009E5B01"/>
    <w:rsid w:val="009F0055"/>
    <w:rsid w:val="009F113B"/>
    <w:rsid w:val="009F2064"/>
    <w:rsid w:val="009F2164"/>
    <w:rsid w:val="009F2CF8"/>
    <w:rsid w:val="009F33CE"/>
    <w:rsid w:val="009F3D24"/>
    <w:rsid w:val="009F3E85"/>
    <w:rsid w:val="009F4552"/>
    <w:rsid w:val="009F5866"/>
    <w:rsid w:val="009F587C"/>
    <w:rsid w:val="009F628B"/>
    <w:rsid w:val="009F6D38"/>
    <w:rsid w:val="009F70D5"/>
    <w:rsid w:val="00A01176"/>
    <w:rsid w:val="00A02C34"/>
    <w:rsid w:val="00A03F0D"/>
    <w:rsid w:val="00A0458E"/>
    <w:rsid w:val="00A04F33"/>
    <w:rsid w:val="00A0612A"/>
    <w:rsid w:val="00A070EA"/>
    <w:rsid w:val="00A0748F"/>
    <w:rsid w:val="00A0753F"/>
    <w:rsid w:val="00A07754"/>
    <w:rsid w:val="00A10C44"/>
    <w:rsid w:val="00A10F8C"/>
    <w:rsid w:val="00A117A1"/>
    <w:rsid w:val="00A11FFF"/>
    <w:rsid w:val="00A12A65"/>
    <w:rsid w:val="00A12B90"/>
    <w:rsid w:val="00A12DA2"/>
    <w:rsid w:val="00A13A72"/>
    <w:rsid w:val="00A15A35"/>
    <w:rsid w:val="00A16338"/>
    <w:rsid w:val="00A168AC"/>
    <w:rsid w:val="00A20282"/>
    <w:rsid w:val="00A202C8"/>
    <w:rsid w:val="00A202D9"/>
    <w:rsid w:val="00A208DF"/>
    <w:rsid w:val="00A2121E"/>
    <w:rsid w:val="00A21AA1"/>
    <w:rsid w:val="00A21C4D"/>
    <w:rsid w:val="00A21C7D"/>
    <w:rsid w:val="00A223FD"/>
    <w:rsid w:val="00A22490"/>
    <w:rsid w:val="00A22EC8"/>
    <w:rsid w:val="00A2338A"/>
    <w:rsid w:val="00A24C2E"/>
    <w:rsid w:val="00A25559"/>
    <w:rsid w:val="00A25C50"/>
    <w:rsid w:val="00A2784A"/>
    <w:rsid w:val="00A27CB5"/>
    <w:rsid w:val="00A3003E"/>
    <w:rsid w:val="00A3093E"/>
    <w:rsid w:val="00A3095C"/>
    <w:rsid w:val="00A30CD0"/>
    <w:rsid w:val="00A312FE"/>
    <w:rsid w:val="00A3196C"/>
    <w:rsid w:val="00A31CD2"/>
    <w:rsid w:val="00A31CD8"/>
    <w:rsid w:val="00A328EB"/>
    <w:rsid w:val="00A32B6C"/>
    <w:rsid w:val="00A33D86"/>
    <w:rsid w:val="00A34848"/>
    <w:rsid w:val="00A34E38"/>
    <w:rsid w:val="00A35020"/>
    <w:rsid w:val="00A35F68"/>
    <w:rsid w:val="00A3734F"/>
    <w:rsid w:val="00A374B9"/>
    <w:rsid w:val="00A37FDE"/>
    <w:rsid w:val="00A40184"/>
    <w:rsid w:val="00A4065C"/>
    <w:rsid w:val="00A4174E"/>
    <w:rsid w:val="00A41B9C"/>
    <w:rsid w:val="00A42695"/>
    <w:rsid w:val="00A42D81"/>
    <w:rsid w:val="00A443A9"/>
    <w:rsid w:val="00A444D0"/>
    <w:rsid w:val="00A44AC4"/>
    <w:rsid w:val="00A450FD"/>
    <w:rsid w:val="00A45114"/>
    <w:rsid w:val="00A45AC9"/>
    <w:rsid w:val="00A4620E"/>
    <w:rsid w:val="00A467FD"/>
    <w:rsid w:val="00A46894"/>
    <w:rsid w:val="00A501B7"/>
    <w:rsid w:val="00A50BD4"/>
    <w:rsid w:val="00A516DD"/>
    <w:rsid w:val="00A51E34"/>
    <w:rsid w:val="00A52588"/>
    <w:rsid w:val="00A567D2"/>
    <w:rsid w:val="00A572A2"/>
    <w:rsid w:val="00A6010A"/>
    <w:rsid w:val="00A605F8"/>
    <w:rsid w:val="00A60EE0"/>
    <w:rsid w:val="00A61456"/>
    <w:rsid w:val="00A6193F"/>
    <w:rsid w:val="00A629C1"/>
    <w:rsid w:val="00A62A44"/>
    <w:rsid w:val="00A62B99"/>
    <w:rsid w:val="00A632EB"/>
    <w:rsid w:val="00A632FE"/>
    <w:rsid w:val="00A63AD6"/>
    <w:rsid w:val="00A64448"/>
    <w:rsid w:val="00A64BD8"/>
    <w:rsid w:val="00A64FBA"/>
    <w:rsid w:val="00A64FCD"/>
    <w:rsid w:val="00A659F2"/>
    <w:rsid w:val="00A65BEE"/>
    <w:rsid w:val="00A67496"/>
    <w:rsid w:val="00A67AF8"/>
    <w:rsid w:val="00A705DC"/>
    <w:rsid w:val="00A70F7E"/>
    <w:rsid w:val="00A71179"/>
    <w:rsid w:val="00A715E1"/>
    <w:rsid w:val="00A71CD7"/>
    <w:rsid w:val="00A72559"/>
    <w:rsid w:val="00A72866"/>
    <w:rsid w:val="00A75B6D"/>
    <w:rsid w:val="00A75FDF"/>
    <w:rsid w:val="00A76242"/>
    <w:rsid w:val="00A76347"/>
    <w:rsid w:val="00A7657F"/>
    <w:rsid w:val="00A76874"/>
    <w:rsid w:val="00A77171"/>
    <w:rsid w:val="00A7793E"/>
    <w:rsid w:val="00A77B5C"/>
    <w:rsid w:val="00A807C2"/>
    <w:rsid w:val="00A81149"/>
    <w:rsid w:val="00A81926"/>
    <w:rsid w:val="00A81E2D"/>
    <w:rsid w:val="00A82819"/>
    <w:rsid w:val="00A8392C"/>
    <w:rsid w:val="00A84379"/>
    <w:rsid w:val="00A845F6"/>
    <w:rsid w:val="00A84C32"/>
    <w:rsid w:val="00A858B6"/>
    <w:rsid w:val="00A858E9"/>
    <w:rsid w:val="00A86180"/>
    <w:rsid w:val="00A86990"/>
    <w:rsid w:val="00A86C04"/>
    <w:rsid w:val="00A9048C"/>
    <w:rsid w:val="00A91899"/>
    <w:rsid w:val="00A91B2B"/>
    <w:rsid w:val="00A931B2"/>
    <w:rsid w:val="00A93736"/>
    <w:rsid w:val="00A93CA9"/>
    <w:rsid w:val="00A94933"/>
    <w:rsid w:val="00A94E4F"/>
    <w:rsid w:val="00A952A6"/>
    <w:rsid w:val="00A957A7"/>
    <w:rsid w:val="00A95C8D"/>
    <w:rsid w:val="00A96147"/>
    <w:rsid w:val="00A96E07"/>
    <w:rsid w:val="00A96E12"/>
    <w:rsid w:val="00A972C5"/>
    <w:rsid w:val="00AA0587"/>
    <w:rsid w:val="00AA0801"/>
    <w:rsid w:val="00AA0DE8"/>
    <w:rsid w:val="00AA273D"/>
    <w:rsid w:val="00AA2CC1"/>
    <w:rsid w:val="00AA2EFA"/>
    <w:rsid w:val="00AA3951"/>
    <w:rsid w:val="00AA3ADB"/>
    <w:rsid w:val="00AA441B"/>
    <w:rsid w:val="00AB1091"/>
    <w:rsid w:val="00AB1E5B"/>
    <w:rsid w:val="00AB227C"/>
    <w:rsid w:val="00AB2B6F"/>
    <w:rsid w:val="00AB3477"/>
    <w:rsid w:val="00AB357C"/>
    <w:rsid w:val="00AB44E6"/>
    <w:rsid w:val="00AB45DE"/>
    <w:rsid w:val="00AB4A2B"/>
    <w:rsid w:val="00AB572F"/>
    <w:rsid w:val="00AB60CD"/>
    <w:rsid w:val="00AB6F2C"/>
    <w:rsid w:val="00AB7B80"/>
    <w:rsid w:val="00AC048B"/>
    <w:rsid w:val="00AC1C9C"/>
    <w:rsid w:val="00AC267E"/>
    <w:rsid w:val="00AC3246"/>
    <w:rsid w:val="00AC36A0"/>
    <w:rsid w:val="00AC399B"/>
    <w:rsid w:val="00AC47E1"/>
    <w:rsid w:val="00AC4AC9"/>
    <w:rsid w:val="00AC4EE1"/>
    <w:rsid w:val="00AC50A4"/>
    <w:rsid w:val="00AC6335"/>
    <w:rsid w:val="00AC6A0C"/>
    <w:rsid w:val="00AC7020"/>
    <w:rsid w:val="00AD0CC2"/>
    <w:rsid w:val="00AD12F6"/>
    <w:rsid w:val="00AD15B0"/>
    <w:rsid w:val="00AD1CBD"/>
    <w:rsid w:val="00AD1D1A"/>
    <w:rsid w:val="00AD1E38"/>
    <w:rsid w:val="00AD221E"/>
    <w:rsid w:val="00AD2DB6"/>
    <w:rsid w:val="00AD307C"/>
    <w:rsid w:val="00AD30C8"/>
    <w:rsid w:val="00AD34D4"/>
    <w:rsid w:val="00AD3D94"/>
    <w:rsid w:val="00AD41CC"/>
    <w:rsid w:val="00AD4205"/>
    <w:rsid w:val="00AD46EE"/>
    <w:rsid w:val="00AD50CD"/>
    <w:rsid w:val="00AD5273"/>
    <w:rsid w:val="00AD6858"/>
    <w:rsid w:val="00AD74D5"/>
    <w:rsid w:val="00AD763C"/>
    <w:rsid w:val="00AE0D5E"/>
    <w:rsid w:val="00AE22CE"/>
    <w:rsid w:val="00AE2C01"/>
    <w:rsid w:val="00AE3804"/>
    <w:rsid w:val="00AE3CBE"/>
    <w:rsid w:val="00AE5C9B"/>
    <w:rsid w:val="00AE6772"/>
    <w:rsid w:val="00AE79E0"/>
    <w:rsid w:val="00AE7D55"/>
    <w:rsid w:val="00AF0194"/>
    <w:rsid w:val="00AF0580"/>
    <w:rsid w:val="00AF06CF"/>
    <w:rsid w:val="00AF1827"/>
    <w:rsid w:val="00AF2006"/>
    <w:rsid w:val="00AF208F"/>
    <w:rsid w:val="00AF26A1"/>
    <w:rsid w:val="00AF3DAD"/>
    <w:rsid w:val="00AF5BD3"/>
    <w:rsid w:val="00AF5E95"/>
    <w:rsid w:val="00AF7329"/>
    <w:rsid w:val="00B0068A"/>
    <w:rsid w:val="00B00F74"/>
    <w:rsid w:val="00B02336"/>
    <w:rsid w:val="00B02486"/>
    <w:rsid w:val="00B04C8D"/>
    <w:rsid w:val="00B04D5F"/>
    <w:rsid w:val="00B05154"/>
    <w:rsid w:val="00B0534F"/>
    <w:rsid w:val="00B05DCC"/>
    <w:rsid w:val="00B12215"/>
    <w:rsid w:val="00B12BE1"/>
    <w:rsid w:val="00B13674"/>
    <w:rsid w:val="00B13953"/>
    <w:rsid w:val="00B16A4F"/>
    <w:rsid w:val="00B16DEE"/>
    <w:rsid w:val="00B17192"/>
    <w:rsid w:val="00B208E7"/>
    <w:rsid w:val="00B2316F"/>
    <w:rsid w:val="00B232AF"/>
    <w:rsid w:val="00B23F83"/>
    <w:rsid w:val="00B2454B"/>
    <w:rsid w:val="00B24814"/>
    <w:rsid w:val="00B2524B"/>
    <w:rsid w:val="00B2573C"/>
    <w:rsid w:val="00B25DE3"/>
    <w:rsid w:val="00B2626F"/>
    <w:rsid w:val="00B26F34"/>
    <w:rsid w:val="00B27682"/>
    <w:rsid w:val="00B319D1"/>
    <w:rsid w:val="00B330C3"/>
    <w:rsid w:val="00B336C1"/>
    <w:rsid w:val="00B34A54"/>
    <w:rsid w:val="00B34D79"/>
    <w:rsid w:val="00B36C44"/>
    <w:rsid w:val="00B379A1"/>
    <w:rsid w:val="00B37C87"/>
    <w:rsid w:val="00B4003E"/>
    <w:rsid w:val="00B400EF"/>
    <w:rsid w:val="00B41572"/>
    <w:rsid w:val="00B42D59"/>
    <w:rsid w:val="00B4334D"/>
    <w:rsid w:val="00B45C0B"/>
    <w:rsid w:val="00B45C89"/>
    <w:rsid w:val="00B47177"/>
    <w:rsid w:val="00B47A2D"/>
    <w:rsid w:val="00B5021E"/>
    <w:rsid w:val="00B502E8"/>
    <w:rsid w:val="00B5056D"/>
    <w:rsid w:val="00B506FF"/>
    <w:rsid w:val="00B50FF6"/>
    <w:rsid w:val="00B52414"/>
    <w:rsid w:val="00B5343C"/>
    <w:rsid w:val="00B535F4"/>
    <w:rsid w:val="00B53A6F"/>
    <w:rsid w:val="00B53CAD"/>
    <w:rsid w:val="00B54769"/>
    <w:rsid w:val="00B5599A"/>
    <w:rsid w:val="00B55ECC"/>
    <w:rsid w:val="00B56D38"/>
    <w:rsid w:val="00B57380"/>
    <w:rsid w:val="00B60944"/>
    <w:rsid w:val="00B61A33"/>
    <w:rsid w:val="00B61DBE"/>
    <w:rsid w:val="00B61E45"/>
    <w:rsid w:val="00B620C9"/>
    <w:rsid w:val="00B62560"/>
    <w:rsid w:val="00B634CE"/>
    <w:rsid w:val="00B635D6"/>
    <w:rsid w:val="00B639F0"/>
    <w:rsid w:val="00B6438D"/>
    <w:rsid w:val="00B6469B"/>
    <w:rsid w:val="00B6518D"/>
    <w:rsid w:val="00B652EA"/>
    <w:rsid w:val="00B65545"/>
    <w:rsid w:val="00B65886"/>
    <w:rsid w:val="00B6594F"/>
    <w:rsid w:val="00B67247"/>
    <w:rsid w:val="00B67F68"/>
    <w:rsid w:val="00B70670"/>
    <w:rsid w:val="00B71259"/>
    <w:rsid w:val="00B719E8"/>
    <w:rsid w:val="00B71C06"/>
    <w:rsid w:val="00B71FE4"/>
    <w:rsid w:val="00B723D1"/>
    <w:rsid w:val="00B72466"/>
    <w:rsid w:val="00B72A0C"/>
    <w:rsid w:val="00B74320"/>
    <w:rsid w:val="00B743FE"/>
    <w:rsid w:val="00B753CD"/>
    <w:rsid w:val="00B75D60"/>
    <w:rsid w:val="00B7710E"/>
    <w:rsid w:val="00B801AA"/>
    <w:rsid w:val="00B803B2"/>
    <w:rsid w:val="00B80855"/>
    <w:rsid w:val="00B827BF"/>
    <w:rsid w:val="00B82D67"/>
    <w:rsid w:val="00B82EB1"/>
    <w:rsid w:val="00B83506"/>
    <w:rsid w:val="00B83C43"/>
    <w:rsid w:val="00B85F5D"/>
    <w:rsid w:val="00B86290"/>
    <w:rsid w:val="00B86722"/>
    <w:rsid w:val="00B86BF9"/>
    <w:rsid w:val="00B87949"/>
    <w:rsid w:val="00B87968"/>
    <w:rsid w:val="00B87D47"/>
    <w:rsid w:val="00B907DE"/>
    <w:rsid w:val="00B90B20"/>
    <w:rsid w:val="00B91A97"/>
    <w:rsid w:val="00B92058"/>
    <w:rsid w:val="00B93275"/>
    <w:rsid w:val="00B93847"/>
    <w:rsid w:val="00B940D6"/>
    <w:rsid w:val="00B94110"/>
    <w:rsid w:val="00B95DB5"/>
    <w:rsid w:val="00B95EA9"/>
    <w:rsid w:val="00B96128"/>
    <w:rsid w:val="00BA086D"/>
    <w:rsid w:val="00BA27B9"/>
    <w:rsid w:val="00BA29A3"/>
    <w:rsid w:val="00BA2B5A"/>
    <w:rsid w:val="00BA396A"/>
    <w:rsid w:val="00BA3B4D"/>
    <w:rsid w:val="00BA440E"/>
    <w:rsid w:val="00BA46D5"/>
    <w:rsid w:val="00BA4761"/>
    <w:rsid w:val="00BA5988"/>
    <w:rsid w:val="00BA5EA9"/>
    <w:rsid w:val="00BA6677"/>
    <w:rsid w:val="00BA6CF0"/>
    <w:rsid w:val="00BA7B5F"/>
    <w:rsid w:val="00BA7D53"/>
    <w:rsid w:val="00BB07CA"/>
    <w:rsid w:val="00BB13B0"/>
    <w:rsid w:val="00BB2243"/>
    <w:rsid w:val="00BB2472"/>
    <w:rsid w:val="00BB26BD"/>
    <w:rsid w:val="00BB3071"/>
    <w:rsid w:val="00BB4DA8"/>
    <w:rsid w:val="00BB5C9B"/>
    <w:rsid w:val="00BB654C"/>
    <w:rsid w:val="00BB7259"/>
    <w:rsid w:val="00BB78E4"/>
    <w:rsid w:val="00BB7D10"/>
    <w:rsid w:val="00BC08F9"/>
    <w:rsid w:val="00BC2FB5"/>
    <w:rsid w:val="00BC7E1A"/>
    <w:rsid w:val="00BD0CCA"/>
    <w:rsid w:val="00BD0E1B"/>
    <w:rsid w:val="00BD14DA"/>
    <w:rsid w:val="00BD1520"/>
    <w:rsid w:val="00BD16A2"/>
    <w:rsid w:val="00BD17B8"/>
    <w:rsid w:val="00BD3974"/>
    <w:rsid w:val="00BD4A82"/>
    <w:rsid w:val="00BD4AF5"/>
    <w:rsid w:val="00BD581A"/>
    <w:rsid w:val="00BD6B29"/>
    <w:rsid w:val="00BE021F"/>
    <w:rsid w:val="00BE0B77"/>
    <w:rsid w:val="00BE1113"/>
    <w:rsid w:val="00BE2894"/>
    <w:rsid w:val="00BE28BA"/>
    <w:rsid w:val="00BE418D"/>
    <w:rsid w:val="00BE43EF"/>
    <w:rsid w:val="00BE4D39"/>
    <w:rsid w:val="00BE6C75"/>
    <w:rsid w:val="00BE6CE2"/>
    <w:rsid w:val="00BE6E37"/>
    <w:rsid w:val="00BE6F01"/>
    <w:rsid w:val="00BF0CD5"/>
    <w:rsid w:val="00BF2BAC"/>
    <w:rsid w:val="00BF35F2"/>
    <w:rsid w:val="00BF3885"/>
    <w:rsid w:val="00BF4700"/>
    <w:rsid w:val="00BF5832"/>
    <w:rsid w:val="00BF60FB"/>
    <w:rsid w:val="00BF61DA"/>
    <w:rsid w:val="00BF7616"/>
    <w:rsid w:val="00C012D5"/>
    <w:rsid w:val="00C03ECB"/>
    <w:rsid w:val="00C0410F"/>
    <w:rsid w:val="00C04D71"/>
    <w:rsid w:val="00C055D0"/>
    <w:rsid w:val="00C05A43"/>
    <w:rsid w:val="00C05BD9"/>
    <w:rsid w:val="00C06C13"/>
    <w:rsid w:val="00C074CA"/>
    <w:rsid w:val="00C11480"/>
    <w:rsid w:val="00C1189D"/>
    <w:rsid w:val="00C120BB"/>
    <w:rsid w:val="00C12496"/>
    <w:rsid w:val="00C124FE"/>
    <w:rsid w:val="00C12A5C"/>
    <w:rsid w:val="00C1366B"/>
    <w:rsid w:val="00C136D9"/>
    <w:rsid w:val="00C149D9"/>
    <w:rsid w:val="00C16774"/>
    <w:rsid w:val="00C20685"/>
    <w:rsid w:val="00C2267C"/>
    <w:rsid w:val="00C2287D"/>
    <w:rsid w:val="00C22FE8"/>
    <w:rsid w:val="00C23066"/>
    <w:rsid w:val="00C235C9"/>
    <w:rsid w:val="00C23A65"/>
    <w:rsid w:val="00C23C09"/>
    <w:rsid w:val="00C24E48"/>
    <w:rsid w:val="00C255CB"/>
    <w:rsid w:val="00C261D6"/>
    <w:rsid w:val="00C27ACA"/>
    <w:rsid w:val="00C308AD"/>
    <w:rsid w:val="00C30E75"/>
    <w:rsid w:val="00C31167"/>
    <w:rsid w:val="00C31EAC"/>
    <w:rsid w:val="00C348FC"/>
    <w:rsid w:val="00C34A09"/>
    <w:rsid w:val="00C35560"/>
    <w:rsid w:val="00C36D02"/>
    <w:rsid w:val="00C40878"/>
    <w:rsid w:val="00C408BB"/>
    <w:rsid w:val="00C40B12"/>
    <w:rsid w:val="00C40BF0"/>
    <w:rsid w:val="00C41E74"/>
    <w:rsid w:val="00C41EEE"/>
    <w:rsid w:val="00C42716"/>
    <w:rsid w:val="00C428C5"/>
    <w:rsid w:val="00C4294E"/>
    <w:rsid w:val="00C448B7"/>
    <w:rsid w:val="00C45DB4"/>
    <w:rsid w:val="00C45F58"/>
    <w:rsid w:val="00C469A0"/>
    <w:rsid w:val="00C46E5A"/>
    <w:rsid w:val="00C47624"/>
    <w:rsid w:val="00C47AC3"/>
    <w:rsid w:val="00C5028A"/>
    <w:rsid w:val="00C504A0"/>
    <w:rsid w:val="00C5082A"/>
    <w:rsid w:val="00C50869"/>
    <w:rsid w:val="00C51262"/>
    <w:rsid w:val="00C52038"/>
    <w:rsid w:val="00C525D6"/>
    <w:rsid w:val="00C53851"/>
    <w:rsid w:val="00C55002"/>
    <w:rsid w:val="00C55728"/>
    <w:rsid w:val="00C55B56"/>
    <w:rsid w:val="00C56EFF"/>
    <w:rsid w:val="00C6012A"/>
    <w:rsid w:val="00C612F0"/>
    <w:rsid w:val="00C61852"/>
    <w:rsid w:val="00C61AEE"/>
    <w:rsid w:val="00C625B0"/>
    <w:rsid w:val="00C631A9"/>
    <w:rsid w:val="00C633B9"/>
    <w:rsid w:val="00C63952"/>
    <w:rsid w:val="00C63D99"/>
    <w:rsid w:val="00C6488D"/>
    <w:rsid w:val="00C65AE3"/>
    <w:rsid w:val="00C66EE0"/>
    <w:rsid w:val="00C672F4"/>
    <w:rsid w:val="00C700B2"/>
    <w:rsid w:val="00C704CE"/>
    <w:rsid w:val="00C70CCA"/>
    <w:rsid w:val="00C72F5C"/>
    <w:rsid w:val="00C7318D"/>
    <w:rsid w:val="00C731B6"/>
    <w:rsid w:val="00C74632"/>
    <w:rsid w:val="00C74FB7"/>
    <w:rsid w:val="00C7504C"/>
    <w:rsid w:val="00C75318"/>
    <w:rsid w:val="00C7575F"/>
    <w:rsid w:val="00C75938"/>
    <w:rsid w:val="00C759C1"/>
    <w:rsid w:val="00C76BB7"/>
    <w:rsid w:val="00C76D91"/>
    <w:rsid w:val="00C80471"/>
    <w:rsid w:val="00C809B8"/>
    <w:rsid w:val="00C810F3"/>
    <w:rsid w:val="00C82E85"/>
    <w:rsid w:val="00C83C54"/>
    <w:rsid w:val="00C83E16"/>
    <w:rsid w:val="00C84924"/>
    <w:rsid w:val="00C84E8A"/>
    <w:rsid w:val="00C8793D"/>
    <w:rsid w:val="00C87B1E"/>
    <w:rsid w:val="00C90018"/>
    <w:rsid w:val="00C90BFA"/>
    <w:rsid w:val="00C92600"/>
    <w:rsid w:val="00C93782"/>
    <w:rsid w:val="00C93E4A"/>
    <w:rsid w:val="00C94BBA"/>
    <w:rsid w:val="00C94EA9"/>
    <w:rsid w:val="00C95513"/>
    <w:rsid w:val="00C95C89"/>
    <w:rsid w:val="00C96C17"/>
    <w:rsid w:val="00CA0FEE"/>
    <w:rsid w:val="00CA1540"/>
    <w:rsid w:val="00CA1659"/>
    <w:rsid w:val="00CA2763"/>
    <w:rsid w:val="00CA3355"/>
    <w:rsid w:val="00CA3699"/>
    <w:rsid w:val="00CA3BB0"/>
    <w:rsid w:val="00CA3D6A"/>
    <w:rsid w:val="00CA4DA6"/>
    <w:rsid w:val="00CA6301"/>
    <w:rsid w:val="00CA7A4C"/>
    <w:rsid w:val="00CB1B6F"/>
    <w:rsid w:val="00CB1E84"/>
    <w:rsid w:val="00CB289A"/>
    <w:rsid w:val="00CB328A"/>
    <w:rsid w:val="00CB37BA"/>
    <w:rsid w:val="00CB4157"/>
    <w:rsid w:val="00CB4437"/>
    <w:rsid w:val="00CB4A4F"/>
    <w:rsid w:val="00CB5402"/>
    <w:rsid w:val="00CB5AB1"/>
    <w:rsid w:val="00CB5C99"/>
    <w:rsid w:val="00CB637D"/>
    <w:rsid w:val="00CB7BB1"/>
    <w:rsid w:val="00CB7F68"/>
    <w:rsid w:val="00CC3265"/>
    <w:rsid w:val="00CC3EB7"/>
    <w:rsid w:val="00CC4C2A"/>
    <w:rsid w:val="00CC55FF"/>
    <w:rsid w:val="00CC69A1"/>
    <w:rsid w:val="00CC6EFE"/>
    <w:rsid w:val="00CC7BAB"/>
    <w:rsid w:val="00CD0675"/>
    <w:rsid w:val="00CD0684"/>
    <w:rsid w:val="00CD148C"/>
    <w:rsid w:val="00CD185E"/>
    <w:rsid w:val="00CD1D2C"/>
    <w:rsid w:val="00CD21B9"/>
    <w:rsid w:val="00CD2FC8"/>
    <w:rsid w:val="00CD3933"/>
    <w:rsid w:val="00CD3D29"/>
    <w:rsid w:val="00CD3D4F"/>
    <w:rsid w:val="00CD3E25"/>
    <w:rsid w:val="00CD3FB0"/>
    <w:rsid w:val="00CD4F6D"/>
    <w:rsid w:val="00CD5121"/>
    <w:rsid w:val="00CD5A03"/>
    <w:rsid w:val="00CD67D6"/>
    <w:rsid w:val="00CD6B69"/>
    <w:rsid w:val="00CD7CAF"/>
    <w:rsid w:val="00CE11E9"/>
    <w:rsid w:val="00CE11FE"/>
    <w:rsid w:val="00CE17F2"/>
    <w:rsid w:val="00CE24B4"/>
    <w:rsid w:val="00CE258D"/>
    <w:rsid w:val="00CE279C"/>
    <w:rsid w:val="00CE30D5"/>
    <w:rsid w:val="00CE470E"/>
    <w:rsid w:val="00CE58BA"/>
    <w:rsid w:val="00CE7CA4"/>
    <w:rsid w:val="00CE7E87"/>
    <w:rsid w:val="00CF0E20"/>
    <w:rsid w:val="00CF1B95"/>
    <w:rsid w:val="00CF210B"/>
    <w:rsid w:val="00CF2CDE"/>
    <w:rsid w:val="00CF2F34"/>
    <w:rsid w:val="00CF302C"/>
    <w:rsid w:val="00CF3462"/>
    <w:rsid w:val="00CF4433"/>
    <w:rsid w:val="00CF55CB"/>
    <w:rsid w:val="00CF572B"/>
    <w:rsid w:val="00CF5C36"/>
    <w:rsid w:val="00CF6C37"/>
    <w:rsid w:val="00CF6F8E"/>
    <w:rsid w:val="00CF711F"/>
    <w:rsid w:val="00CF7C7A"/>
    <w:rsid w:val="00CF7E51"/>
    <w:rsid w:val="00CF7F16"/>
    <w:rsid w:val="00D001EF"/>
    <w:rsid w:val="00D01418"/>
    <w:rsid w:val="00D01613"/>
    <w:rsid w:val="00D0287F"/>
    <w:rsid w:val="00D02E1A"/>
    <w:rsid w:val="00D02E6B"/>
    <w:rsid w:val="00D0475A"/>
    <w:rsid w:val="00D05A65"/>
    <w:rsid w:val="00D05CE8"/>
    <w:rsid w:val="00D079E0"/>
    <w:rsid w:val="00D1002A"/>
    <w:rsid w:val="00D10107"/>
    <w:rsid w:val="00D10AE1"/>
    <w:rsid w:val="00D1291A"/>
    <w:rsid w:val="00D133F8"/>
    <w:rsid w:val="00D136C0"/>
    <w:rsid w:val="00D13798"/>
    <w:rsid w:val="00D14704"/>
    <w:rsid w:val="00D149CA"/>
    <w:rsid w:val="00D14B54"/>
    <w:rsid w:val="00D15181"/>
    <w:rsid w:val="00D153B0"/>
    <w:rsid w:val="00D16DF7"/>
    <w:rsid w:val="00D16F70"/>
    <w:rsid w:val="00D1768D"/>
    <w:rsid w:val="00D17B8B"/>
    <w:rsid w:val="00D17DCF"/>
    <w:rsid w:val="00D20F6E"/>
    <w:rsid w:val="00D21313"/>
    <w:rsid w:val="00D213C7"/>
    <w:rsid w:val="00D222CF"/>
    <w:rsid w:val="00D242C6"/>
    <w:rsid w:val="00D255C8"/>
    <w:rsid w:val="00D2600A"/>
    <w:rsid w:val="00D26BF4"/>
    <w:rsid w:val="00D3001E"/>
    <w:rsid w:val="00D31C9B"/>
    <w:rsid w:val="00D32354"/>
    <w:rsid w:val="00D328D6"/>
    <w:rsid w:val="00D32C4F"/>
    <w:rsid w:val="00D34183"/>
    <w:rsid w:val="00D3432B"/>
    <w:rsid w:val="00D353D9"/>
    <w:rsid w:val="00D3573E"/>
    <w:rsid w:val="00D36292"/>
    <w:rsid w:val="00D36BE7"/>
    <w:rsid w:val="00D400FF"/>
    <w:rsid w:val="00D402A3"/>
    <w:rsid w:val="00D405CB"/>
    <w:rsid w:val="00D414D6"/>
    <w:rsid w:val="00D429C3"/>
    <w:rsid w:val="00D438DE"/>
    <w:rsid w:val="00D441B4"/>
    <w:rsid w:val="00D4616E"/>
    <w:rsid w:val="00D463AA"/>
    <w:rsid w:val="00D50142"/>
    <w:rsid w:val="00D50CF9"/>
    <w:rsid w:val="00D51288"/>
    <w:rsid w:val="00D51578"/>
    <w:rsid w:val="00D52C26"/>
    <w:rsid w:val="00D52CB4"/>
    <w:rsid w:val="00D53932"/>
    <w:rsid w:val="00D53F62"/>
    <w:rsid w:val="00D555F9"/>
    <w:rsid w:val="00D556F1"/>
    <w:rsid w:val="00D5619D"/>
    <w:rsid w:val="00D56ADB"/>
    <w:rsid w:val="00D56C5D"/>
    <w:rsid w:val="00D56F77"/>
    <w:rsid w:val="00D6008F"/>
    <w:rsid w:val="00D60DB7"/>
    <w:rsid w:val="00D613AE"/>
    <w:rsid w:val="00D61943"/>
    <w:rsid w:val="00D62BD7"/>
    <w:rsid w:val="00D63369"/>
    <w:rsid w:val="00D63413"/>
    <w:rsid w:val="00D64361"/>
    <w:rsid w:val="00D64870"/>
    <w:rsid w:val="00D64AAF"/>
    <w:rsid w:val="00D64C8B"/>
    <w:rsid w:val="00D659E4"/>
    <w:rsid w:val="00D661E3"/>
    <w:rsid w:val="00D66282"/>
    <w:rsid w:val="00D6681A"/>
    <w:rsid w:val="00D66BEA"/>
    <w:rsid w:val="00D6722E"/>
    <w:rsid w:val="00D6731B"/>
    <w:rsid w:val="00D70410"/>
    <w:rsid w:val="00D71682"/>
    <w:rsid w:val="00D72721"/>
    <w:rsid w:val="00D74EA2"/>
    <w:rsid w:val="00D75089"/>
    <w:rsid w:val="00D75A42"/>
    <w:rsid w:val="00D81951"/>
    <w:rsid w:val="00D819E4"/>
    <w:rsid w:val="00D829CD"/>
    <w:rsid w:val="00D8305D"/>
    <w:rsid w:val="00D83759"/>
    <w:rsid w:val="00D84259"/>
    <w:rsid w:val="00D842AF"/>
    <w:rsid w:val="00D844AF"/>
    <w:rsid w:val="00D849CC"/>
    <w:rsid w:val="00D85D34"/>
    <w:rsid w:val="00D86AB3"/>
    <w:rsid w:val="00D86D1E"/>
    <w:rsid w:val="00D87115"/>
    <w:rsid w:val="00D87B1F"/>
    <w:rsid w:val="00D9013D"/>
    <w:rsid w:val="00D90539"/>
    <w:rsid w:val="00D90B62"/>
    <w:rsid w:val="00D912FA"/>
    <w:rsid w:val="00D91D17"/>
    <w:rsid w:val="00D91D38"/>
    <w:rsid w:val="00D927DD"/>
    <w:rsid w:val="00D92C17"/>
    <w:rsid w:val="00D934D8"/>
    <w:rsid w:val="00D9467E"/>
    <w:rsid w:val="00D95823"/>
    <w:rsid w:val="00D958FA"/>
    <w:rsid w:val="00D974CF"/>
    <w:rsid w:val="00D97904"/>
    <w:rsid w:val="00D97E0B"/>
    <w:rsid w:val="00DA02A1"/>
    <w:rsid w:val="00DA0F36"/>
    <w:rsid w:val="00DA21E6"/>
    <w:rsid w:val="00DA2DBF"/>
    <w:rsid w:val="00DA2F8B"/>
    <w:rsid w:val="00DA2FDB"/>
    <w:rsid w:val="00DA3FC0"/>
    <w:rsid w:val="00DA475F"/>
    <w:rsid w:val="00DA50C3"/>
    <w:rsid w:val="00DA5358"/>
    <w:rsid w:val="00DA5E0D"/>
    <w:rsid w:val="00DA618B"/>
    <w:rsid w:val="00DA6A3B"/>
    <w:rsid w:val="00DA6C8E"/>
    <w:rsid w:val="00DA6E25"/>
    <w:rsid w:val="00DA7549"/>
    <w:rsid w:val="00DA7628"/>
    <w:rsid w:val="00DA78ED"/>
    <w:rsid w:val="00DA79B2"/>
    <w:rsid w:val="00DA7AEB"/>
    <w:rsid w:val="00DA7BB8"/>
    <w:rsid w:val="00DB0546"/>
    <w:rsid w:val="00DB0570"/>
    <w:rsid w:val="00DB0B57"/>
    <w:rsid w:val="00DB1A0B"/>
    <w:rsid w:val="00DB1A8A"/>
    <w:rsid w:val="00DB22EC"/>
    <w:rsid w:val="00DB2842"/>
    <w:rsid w:val="00DB5120"/>
    <w:rsid w:val="00DB5AE9"/>
    <w:rsid w:val="00DB63E0"/>
    <w:rsid w:val="00DB67B2"/>
    <w:rsid w:val="00DB6970"/>
    <w:rsid w:val="00DB6E92"/>
    <w:rsid w:val="00DB7515"/>
    <w:rsid w:val="00DC0B7E"/>
    <w:rsid w:val="00DC1C58"/>
    <w:rsid w:val="00DC2451"/>
    <w:rsid w:val="00DC2610"/>
    <w:rsid w:val="00DC2A70"/>
    <w:rsid w:val="00DC2BB3"/>
    <w:rsid w:val="00DC4673"/>
    <w:rsid w:val="00DC4CE9"/>
    <w:rsid w:val="00DC5812"/>
    <w:rsid w:val="00DC5C08"/>
    <w:rsid w:val="00DC634F"/>
    <w:rsid w:val="00DC749B"/>
    <w:rsid w:val="00DC7FE1"/>
    <w:rsid w:val="00DD0974"/>
    <w:rsid w:val="00DD1BE8"/>
    <w:rsid w:val="00DD2808"/>
    <w:rsid w:val="00DD472F"/>
    <w:rsid w:val="00DD4954"/>
    <w:rsid w:val="00DD4C91"/>
    <w:rsid w:val="00DD5F88"/>
    <w:rsid w:val="00DD6AF7"/>
    <w:rsid w:val="00DD7F04"/>
    <w:rsid w:val="00DE03AC"/>
    <w:rsid w:val="00DE0744"/>
    <w:rsid w:val="00DE0912"/>
    <w:rsid w:val="00DE0CE7"/>
    <w:rsid w:val="00DE11AA"/>
    <w:rsid w:val="00DE250C"/>
    <w:rsid w:val="00DE2D9B"/>
    <w:rsid w:val="00DE35DC"/>
    <w:rsid w:val="00DE4C68"/>
    <w:rsid w:val="00DE5439"/>
    <w:rsid w:val="00DE547D"/>
    <w:rsid w:val="00DE69D6"/>
    <w:rsid w:val="00DE6D58"/>
    <w:rsid w:val="00DE7091"/>
    <w:rsid w:val="00DE7C48"/>
    <w:rsid w:val="00DE7F94"/>
    <w:rsid w:val="00DF05BF"/>
    <w:rsid w:val="00DF0BFC"/>
    <w:rsid w:val="00DF1933"/>
    <w:rsid w:val="00DF2054"/>
    <w:rsid w:val="00DF2B2F"/>
    <w:rsid w:val="00DF383A"/>
    <w:rsid w:val="00DF3C46"/>
    <w:rsid w:val="00DF7B68"/>
    <w:rsid w:val="00E006FE"/>
    <w:rsid w:val="00E00923"/>
    <w:rsid w:val="00E00A9F"/>
    <w:rsid w:val="00E02DFF"/>
    <w:rsid w:val="00E03F70"/>
    <w:rsid w:val="00E042CE"/>
    <w:rsid w:val="00E055A6"/>
    <w:rsid w:val="00E10940"/>
    <w:rsid w:val="00E112B0"/>
    <w:rsid w:val="00E11603"/>
    <w:rsid w:val="00E12696"/>
    <w:rsid w:val="00E12FC8"/>
    <w:rsid w:val="00E13276"/>
    <w:rsid w:val="00E133DB"/>
    <w:rsid w:val="00E140D6"/>
    <w:rsid w:val="00E14B8C"/>
    <w:rsid w:val="00E163FB"/>
    <w:rsid w:val="00E1664D"/>
    <w:rsid w:val="00E16941"/>
    <w:rsid w:val="00E16BC3"/>
    <w:rsid w:val="00E20B42"/>
    <w:rsid w:val="00E22006"/>
    <w:rsid w:val="00E2221B"/>
    <w:rsid w:val="00E22A59"/>
    <w:rsid w:val="00E236A0"/>
    <w:rsid w:val="00E26279"/>
    <w:rsid w:val="00E27B8C"/>
    <w:rsid w:val="00E3247D"/>
    <w:rsid w:val="00E329E8"/>
    <w:rsid w:val="00E32C2F"/>
    <w:rsid w:val="00E32E78"/>
    <w:rsid w:val="00E33305"/>
    <w:rsid w:val="00E3376D"/>
    <w:rsid w:val="00E33A5A"/>
    <w:rsid w:val="00E340CE"/>
    <w:rsid w:val="00E342A5"/>
    <w:rsid w:val="00E346CB"/>
    <w:rsid w:val="00E35217"/>
    <w:rsid w:val="00E371FE"/>
    <w:rsid w:val="00E373F6"/>
    <w:rsid w:val="00E37DFC"/>
    <w:rsid w:val="00E37E76"/>
    <w:rsid w:val="00E410E7"/>
    <w:rsid w:val="00E417AC"/>
    <w:rsid w:val="00E41B52"/>
    <w:rsid w:val="00E433B4"/>
    <w:rsid w:val="00E44618"/>
    <w:rsid w:val="00E4489E"/>
    <w:rsid w:val="00E453E2"/>
    <w:rsid w:val="00E46769"/>
    <w:rsid w:val="00E4694A"/>
    <w:rsid w:val="00E5115E"/>
    <w:rsid w:val="00E512E4"/>
    <w:rsid w:val="00E51AA6"/>
    <w:rsid w:val="00E53016"/>
    <w:rsid w:val="00E530BF"/>
    <w:rsid w:val="00E53911"/>
    <w:rsid w:val="00E53AD9"/>
    <w:rsid w:val="00E53EDA"/>
    <w:rsid w:val="00E546B0"/>
    <w:rsid w:val="00E54C1A"/>
    <w:rsid w:val="00E54E1B"/>
    <w:rsid w:val="00E56A0C"/>
    <w:rsid w:val="00E57FD7"/>
    <w:rsid w:val="00E605CA"/>
    <w:rsid w:val="00E6082A"/>
    <w:rsid w:val="00E60D97"/>
    <w:rsid w:val="00E62D0A"/>
    <w:rsid w:val="00E63ADC"/>
    <w:rsid w:val="00E64A01"/>
    <w:rsid w:val="00E64D67"/>
    <w:rsid w:val="00E6520C"/>
    <w:rsid w:val="00E65C38"/>
    <w:rsid w:val="00E66CE3"/>
    <w:rsid w:val="00E67725"/>
    <w:rsid w:val="00E67BE5"/>
    <w:rsid w:val="00E70134"/>
    <w:rsid w:val="00E701D5"/>
    <w:rsid w:val="00E71065"/>
    <w:rsid w:val="00E7150A"/>
    <w:rsid w:val="00E716B6"/>
    <w:rsid w:val="00E7190B"/>
    <w:rsid w:val="00E7341C"/>
    <w:rsid w:val="00E7398E"/>
    <w:rsid w:val="00E73B80"/>
    <w:rsid w:val="00E73D2F"/>
    <w:rsid w:val="00E74078"/>
    <w:rsid w:val="00E74536"/>
    <w:rsid w:val="00E74992"/>
    <w:rsid w:val="00E74C71"/>
    <w:rsid w:val="00E74E3A"/>
    <w:rsid w:val="00E7605E"/>
    <w:rsid w:val="00E76DE1"/>
    <w:rsid w:val="00E77574"/>
    <w:rsid w:val="00E77AC8"/>
    <w:rsid w:val="00E8081E"/>
    <w:rsid w:val="00E80E44"/>
    <w:rsid w:val="00E81909"/>
    <w:rsid w:val="00E84074"/>
    <w:rsid w:val="00E84877"/>
    <w:rsid w:val="00E84A88"/>
    <w:rsid w:val="00E85453"/>
    <w:rsid w:val="00E863F8"/>
    <w:rsid w:val="00E86CC2"/>
    <w:rsid w:val="00E86E07"/>
    <w:rsid w:val="00E86E5E"/>
    <w:rsid w:val="00E876B6"/>
    <w:rsid w:val="00E9005B"/>
    <w:rsid w:val="00E90F76"/>
    <w:rsid w:val="00E91F98"/>
    <w:rsid w:val="00E924F6"/>
    <w:rsid w:val="00E92561"/>
    <w:rsid w:val="00E9292D"/>
    <w:rsid w:val="00E9395D"/>
    <w:rsid w:val="00E943F3"/>
    <w:rsid w:val="00E961FD"/>
    <w:rsid w:val="00E96E96"/>
    <w:rsid w:val="00E97FDF"/>
    <w:rsid w:val="00EA0702"/>
    <w:rsid w:val="00EA1CC0"/>
    <w:rsid w:val="00EA42C7"/>
    <w:rsid w:val="00EA4449"/>
    <w:rsid w:val="00EA4579"/>
    <w:rsid w:val="00EA5675"/>
    <w:rsid w:val="00EA66D1"/>
    <w:rsid w:val="00EA7677"/>
    <w:rsid w:val="00EB2D3E"/>
    <w:rsid w:val="00EB2F2E"/>
    <w:rsid w:val="00EB3E30"/>
    <w:rsid w:val="00EB4A95"/>
    <w:rsid w:val="00EB533C"/>
    <w:rsid w:val="00EB641D"/>
    <w:rsid w:val="00EB6EC1"/>
    <w:rsid w:val="00EB6FB3"/>
    <w:rsid w:val="00EB7189"/>
    <w:rsid w:val="00EB789B"/>
    <w:rsid w:val="00EC02CD"/>
    <w:rsid w:val="00EC0ABA"/>
    <w:rsid w:val="00EC1FC3"/>
    <w:rsid w:val="00EC2823"/>
    <w:rsid w:val="00EC2D5A"/>
    <w:rsid w:val="00EC30CB"/>
    <w:rsid w:val="00EC375B"/>
    <w:rsid w:val="00EC40C3"/>
    <w:rsid w:val="00EC4F2E"/>
    <w:rsid w:val="00EC6E5C"/>
    <w:rsid w:val="00EC6F9C"/>
    <w:rsid w:val="00EC7131"/>
    <w:rsid w:val="00EC720E"/>
    <w:rsid w:val="00EC7C65"/>
    <w:rsid w:val="00EC7F98"/>
    <w:rsid w:val="00ED2248"/>
    <w:rsid w:val="00ED2A3A"/>
    <w:rsid w:val="00ED3A1F"/>
    <w:rsid w:val="00ED3EFC"/>
    <w:rsid w:val="00ED4054"/>
    <w:rsid w:val="00ED4956"/>
    <w:rsid w:val="00ED5AB8"/>
    <w:rsid w:val="00ED7B42"/>
    <w:rsid w:val="00EE124D"/>
    <w:rsid w:val="00EE332D"/>
    <w:rsid w:val="00EE3592"/>
    <w:rsid w:val="00EE36F9"/>
    <w:rsid w:val="00EE4177"/>
    <w:rsid w:val="00EE648B"/>
    <w:rsid w:val="00EE68FD"/>
    <w:rsid w:val="00EE7C38"/>
    <w:rsid w:val="00EF0BB8"/>
    <w:rsid w:val="00EF0E62"/>
    <w:rsid w:val="00EF0EBF"/>
    <w:rsid w:val="00EF1922"/>
    <w:rsid w:val="00EF1FC9"/>
    <w:rsid w:val="00EF262F"/>
    <w:rsid w:val="00EF2817"/>
    <w:rsid w:val="00EF2A7B"/>
    <w:rsid w:val="00EF3BA9"/>
    <w:rsid w:val="00EF4457"/>
    <w:rsid w:val="00EF4D8E"/>
    <w:rsid w:val="00EF52FD"/>
    <w:rsid w:val="00EF5B50"/>
    <w:rsid w:val="00EF63E9"/>
    <w:rsid w:val="00EF6CBB"/>
    <w:rsid w:val="00EF7015"/>
    <w:rsid w:val="00EF7271"/>
    <w:rsid w:val="00EF7A2C"/>
    <w:rsid w:val="00F001FE"/>
    <w:rsid w:val="00F00500"/>
    <w:rsid w:val="00F00A68"/>
    <w:rsid w:val="00F00A84"/>
    <w:rsid w:val="00F01554"/>
    <w:rsid w:val="00F02A29"/>
    <w:rsid w:val="00F033D9"/>
    <w:rsid w:val="00F03723"/>
    <w:rsid w:val="00F037C6"/>
    <w:rsid w:val="00F03E68"/>
    <w:rsid w:val="00F04239"/>
    <w:rsid w:val="00F04FEA"/>
    <w:rsid w:val="00F05A1D"/>
    <w:rsid w:val="00F0698C"/>
    <w:rsid w:val="00F06CDD"/>
    <w:rsid w:val="00F070AC"/>
    <w:rsid w:val="00F07BFF"/>
    <w:rsid w:val="00F105E7"/>
    <w:rsid w:val="00F11B1D"/>
    <w:rsid w:val="00F1226A"/>
    <w:rsid w:val="00F1258C"/>
    <w:rsid w:val="00F131AB"/>
    <w:rsid w:val="00F151AC"/>
    <w:rsid w:val="00F15514"/>
    <w:rsid w:val="00F1568B"/>
    <w:rsid w:val="00F16B36"/>
    <w:rsid w:val="00F17B6E"/>
    <w:rsid w:val="00F2036F"/>
    <w:rsid w:val="00F21178"/>
    <w:rsid w:val="00F22270"/>
    <w:rsid w:val="00F22CA5"/>
    <w:rsid w:val="00F2307A"/>
    <w:rsid w:val="00F23E3B"/>
    <w:rsid w:val="00F240B0"/>
    <w:rsid w:val="00F261CC"/>
    <w:rsid w:val="00F30086"/>
    <w:rsid w:val="00F30959"/>
    <w:rsid w:val="00F312A0"/>
    <w:rsid w:val="00F3159C"/>
    <w:rsid w:val="00F31E22"/>
    <w:rsid w:val="00F31E26"/>
    <w:rsid w:val="00F31FC6"/>
    <w:rsid w:val="00F31FF4"/>
    <w:rsid w:val="00F32175"/>
    <w:rsid w:val="00F3233D"/>
    <w:rsid w:val="00F325B2"/>
    <w:rsid w:val="00F33C79"/>
    <w:rsid w:val="00F354F4"/>
    <w:rsid w:val="00F35940"/>
    <w:rsid w:val="00F36936"/>
    <w:rsid w:val="00F36A38"/>
    <w:rsid w:val="00F3735B"/>
    <w:rsid w:val="00F37467"/>
    <w:rsid w:val="00F37779"/>
    <w:rsid w:val="00F37B12"/>
    <w:rsid w:val="00F37B74"/>
    <w:rsid w:val="00F40DF4"/>
    <w:rsid w:val="00F4130C"/>
    <w:rsid w:val="00F41788"/>
    <w:rsid w:val="00F41D7B"/>
    <w:rsid w:val="00F42085"/>
    <w:rsid w:val="00F43602"/>
    <w:rsid w:val="00F43736"/>
    <w:rsid w:val="00F45082"/>
    <w:rsid w:val="00F45675"/>
    <w:rsid w:val="00F45B5A"/>
    <w:rsid w:val="00F46670"/>
    <w:rsid w:val="00F4686A"/>
    <w:rsid w:val="00F46DD5"/>
    <w:rsid w:val="00F5006D"/>
    <w:rsid w:val="00F508E4"/>
    <w:rsid w:val="00F51128"/>
    <w:rsid w:val="00F5277E"/>
    <w:rsid w:val="00F55257"/>
    <w:rsid w:val="00F553A9"/>
    <w:rsid w:val="00F558D1"/>
    <w:rsid w:val="00F55ADC"/>
    <w:rsid w:val="00F56628"/>
    <w:rsid w:val="00F5666C"/>
    <w:rsid w:val="00F566BA"/>
    <w:rsid w:val="00F56CC8"/>
    <w:rsid w:val="00F57B80"/>
    <w:rsid w:val="00F60472"/>
    <w:rsid w:val="00F604D1"/>
    <w:rsid w:val="00F61447"/>
    <w:rsid w:val="00F61698"/>
    <w:rsid w:val="00F61AF2"/>
    <w:rsid w:val="00F6209B"/>
    <w:rsid w:val="00F6252F"/>
    <w:rsid w:val="00F6253A"/>
    <w:rsid w:val="00F628FE"/>
    <w:rsid w:val="00F63A74"/>
    <w:rsid w:val="00F64798"/>
    <w:rsid w:val="00F64A4B"/>
    <w:rsid w:val="00F64B74"/>
    <w:rsid w:val="00F653F9"/>
    <w:rsid w:val="00F66F40"/>
    <w:rsid w:val="00F66FFC"/>
    <w:rsid w:val="00F6732E"/>
    <w:rsid w:val="00F67835"/>
    <w:rsid w:val="00F70005"/>
    <w:rsid w:val="00F704A5"/>
    <w:rsid w:val="00F72D0E"/>
    <w:rsid w:val="00F73507"/>
    <w:rsid w:val="00F75724"/>
    <w:rsid w:val="00F75DAA"/>
    <w:rsid w:val="00F76380"/>
    <w:rsid w:val="00F76509"/>
    <w:rsid w:val="00F7681B"/>
    <w:rsid w:val="00F76EDB"/>
    <w:rsid w:val="00F7717A"/>
    <w:rsid w:val="00F77419"/>
    <w:rsid w:val="00F80AB8"/>
    <w:rsid w:val="00F812D5"/>
    <w:rsid w:val="00F836BB"/>
    <w:rsid w:val="00F851C1"/>
    <w:rsid w:val="00F85C26"/>
    <w:rsid w:val="00F86142"/>
    <w:rsid w:val="00F8753B"/>
    <w:rsid w:val="00F92A28"/>
    <w:rsid w:val="00F92C0D"/>
    <w:rsid w:val="00F92C86"/>
    <w:rsid w:val="00F92F34"/>
    <w:rsid w:val="00F9336D"/>
    <w:rsid w:val="00F9400D"/>
    <w:rsid w:val="00F948A4"/>
    <w:rsid w:val="00F963DD"/>
    <w:rsid w:val="00F972CD"/>
    <w:rsid w:val="00F97950"/>
    <w:rsid w:val="00F97EA2"/>
    <w:rsid w:val="00FA155D"/>
    <w:rsid w:val="00FA2094"/>
    <w:rsid w:val="00FA2EB8"/>
    <w:rsid w:val="00FA365D"/>
    <w:rsid w:val="00FA36E8"/>
    <w:rsid w:val="00FA37CC"/>
    <w:rsid w:val="00FA7A2E"/>
    <w:rsid w:val="00FB1492"/>
    <w:rsid w:val="00FB1BF3"/>
    <w:rsid w:val="00FB1C90"/>
    <w:rsid w:val="00FB1EA1"/>
    <w:rsid w:val="00FB2E6A"/>
    <w:rsid w:val="00FB3ADF"/>
    <w:rsid w:val="00FB4720"/>
    <w:rsid w:val="00FB49F4"/>
    <w:rsid w:val="00FB4B82"/>
    <w:rsid w:val="00FB4F70"/>
    <w:rsid w:val="00FB67B4"/>
    <w:rsid w:val="00FB71F1"/>
    <w:rsid w:val="00FB731B"/>
    <w:rsid w:val="00FB7FB0"/>
    <w:rsid w:val="00FC052F"/>
    <w:rsid w:val="00FC2C14"/>
    <w:rsid w:val="00FC30FA"/>
    <w:rsid w:val="00FC38F4"/>
    <w:rsid w:val="00FC3C14"/>
    <w:rsid w:val="00FC45B8"/>
    <w:rsid w:val="00FC5154"/>
    <w:rsid w:val="00FC6FC5"/>
    <w:rsid w:val="00FC747E"/>
    <w:rsid w:val="00FC74B8"/>
    <w:rsid w:val="00FD134E"/>
    <w:rsid w:val="00FD173C"/>
    <w:rsid w:val="00FD1750"/>
    <w:rsid w:val="00FD1DD8"/>
    <w:rsid w:val="00FD34D9"/>
    <w:rsid w:val="00FD3564"/>
    <w:rsid w:val="00FD480F"/>
    <w:rsid w:val="00FD487A"/>
    <w:rsid w:val="00FD751A"/>
    <w:rsid w:val="00FE0B38"/>
    <w:rsid w:val="00FE1206"/>
    <w:rsid w:val="00FE1797"/>
    <w:rsid w:val="00FE190E"/>
    <w:rsid w:val="00FE1D88"/>
    <w:rsid w:val="00FE2703"/>
    <w:rsid w:val="00FE60E1"/>
    <w:rsid w:val="00FE67CB"/>
    <w:rsid w:val="00FE7E4B"/>
    <w:rsid w:val="00FF0142"/>
    <w:rsid w:val="00FF0585"/>
    <w:rsid w:val="00FF151A"/>
    <w:rsid w:val="00FF191B"/>
    <w:rsid w:val="00FF2228"/>
    <w:rsid w:val="00FF2493"/>
    <w:rsid w:val="00FF25EF"/>
    <w:rsid w:val="00FF2A4E"/>
    <w:rsid w:val="00FF3172"/>
    <w:rsid w:val="00FF366A"/>
    <w:rsid w:val="00FF41B1"/>
    <w:rsid w:val="00FF452F"/>
    <w:rsid w:val="00FF4CA8"/>
    <w:rsid w:val="00FF4E67"/>
    <w:rsid w:val="00FF4F99"/>
    <w:rsid w:val="00FF695D"/>
    <w:rsid w:val="00FF70A0"/>
    <w:rsid w:val="00FF7322"/>
    <w:rsid w:val="00FF77A2"/>
    <w:rsid w:val="00FF792F"/>
    <w:rsid w:val="00FF7B66"/>
    <w:rsid w:val="00FF7F07"/>
    <w:rsid w:val="013637D1"/>
    <w:rsid w:val="014900BC"/>
    <w:rsid w:val="014F04E5"/>
    <w:rsid w:val="0150037C"/>
    <w:rsid w:val="01920401"/>
    <w:rsid w:val="0195644C"/>
    <w:rsid w:val="019E4202"/>
    <w:rsid w:val="01A93FA3"/>
    <w:rsid w:val="01B87B26"/>
    <w:rsid w:val="01FE48CE"/>
    <w:rsid w:val="0255198A"/>
    <w:rsid w:val="027423B3"/>
    <w:rsid w:val="027F3D47"/>
    <w:rsid w:val="028E7BDF"/>
    <w:rsid w:val="02D34744"/>
    <w:rsid w:val="030B0B6F"/>
    <w:rsid w:val="0322101E"/>
    <w:rsid w:val="03804381"/>
    <w:rsid w:val="03C26E5E"/>
    <w:rsid w:val="03F84D6E"/>
    <w:rsid w:val="0445187F"/>
    <w:rsid w:val="04A311AC"/>
    <w:rsid w:val="04B05277"/>
    <w:rsid w:val="04B17956"/>
    <w:rsid w:val="04B40399"/>
    <w:rsid w:val="04FC088E"/>
    <w:rsid w:val="04FE685B"/>
    <w:rsid w:val="05087233"/>
    <w:rsid w:val="050D4295"/>
    <w:rsid w:val="05253F20"/>
    <w:rsid w:val="05371AF0"/>
    <w:rsid w:val="053D7FEC"/>
    <w:rsid w:val="0548574A"/>
    <w:rsid w:val="05544350"/>
    <w:rsid w:val="05842FD8"/>
    <w:rsid w:val="05C0366A"/>
    <w:rsid w:val="05D02834"/>
    <w:rsid w:val="05E64C20"/>
    <w:rsid w:val="06584317"/>
    <w:rsid w:val="06E93094"/>
    <w:rsid w:val="07041C7C"/>
    <w:rsid w:val="07267E44"/>
    <w:rsid w:val="073B2721"/>
    <w:rsid w:val="0748084C"/>
    <w:rsid w:val="074947E3"/>
    <w:rsid w:val="074E6108"/>
    <w:rsid w:val="075116DF"/>
    <w:rsid w:val="07514FF2"/>
    <w:rsid w:val="077E37DC"/>
    <w:rsid w:val="07C5765D"/>
    <w:rsid w:val="07EF451C"/>
    <w:rsid w:val="07F13FAE"/>
    <w:rsid w:val="08020CD7"/>
    <w:rsid w:val="080A62FE"/>
    <w:rsid w:val="08305869"/>
    <w:rsid w:val="08E421C5"/>
    <w:rsid w:val="090F4EFC"/>
    <w:rsid w:val="091F4B4B"/>
    <w:rsid w:val="092E1232"/>
    <w:rsid w:val="09E70693"/>
    <w:rsid w:val="0A425D09"/>
    <w:rsid w:val="0A522500"/>
    <w:rsid w:val="0A615213"/>
    <w:rsid w:val="0A6F22B3"/>
    <w:rsid w:val="0A801619"/>
    <w:rsid w:val="0A934A29"/>
    <w:rsid w:val="0AA55ED7"/>
    <w:rsid w:val="0AD361DF"/>
    <w:rsid w:val="0AF449AC"/>
    <w:rsid w:val="0B0A3E9B"/>
    <w:rsid w:val="0BA94BA0"/>
    <w:rsid w:val="0BCB68A3"/>
    <w:rsid w:val="0BCE4606"/>
    <w:rsid w:val="0BEF6A57"/>
    <w:rsid w:val="0BF96B85"/>
    <w:rsid w:val="0C174BC2"/>
    <w:rsid w:val="0C1E2B49"/>
    <w:rsid w:val="0C4A6383"/>
    <w:rsid w:val="0C653363"/>
    <w:rsid w:val="0C824967"/>
    <w:rsid w:val="0C8D16BA"/>
    <w:rsid w:val="0CCE5B94"/>
    <w:rsid w:val="0CD00D42"/>
    <w:rsid w:val="0CD13741"/>
    <w:rsid w:val="0CE339C5"/>
    <w:rsid w:val="0D0E73B0"/>
    <w:rsid w:val="0D201101"/>
    <w:rsid w:val="0D3112F1"/>
    <w:rsid w:val="0D393301"/>
    <w:rsid w:val="0D3C1684"/>
    <w:rsid w:val="0D3F1B32"/>
    <w:rsid w:val="0D5A6D9C"/>
    <w:rsid w:val="0D7748EF"/>
    <w:rsid w:val="0D7D4A18"/>
    <w:rsid w:val="0DAB4BFF"/>
    <w:rsid w:val="0DB1028C"/>
    <w:rsid w:val="0DBB67FA"/>
    <w:rsid w:val="0E4137B5"/>
    <w:rsid w:val="0E4D2BCD"/>
    <w:rsid w:val="0E6B53F1"/>
    <w:rsid w:val="0EB02981"/>
    <w:rsid w:val="0F2C78B5"/>
    <w:rsid w:val="0FA7460E"/>
    <w:rsid w:val="0FB2671F"/>
    <w:rsid w:val="0FBF4B97"/>
    <w:rsid w:val="10130368"/>
    <w:rsid w:val="10196798"/>
    <w:rsid w:val="10283879"/>
    <w:rsid w:val="103345BD"/>
    <w:rsid w:val="104005E7"/>
    <w:rsid w:val="1061783B"/>
    <w:rsid w:val="10BF71E9"/>
    <w:rsid w:val="10F24436"/>
    <w:rsid w:val="10FD419C"/>
    <w:rsid w:val="11105DEF"/>
    <w:rsid w:val="111123A7"/>
    <w:rsid w:val="1132247A"/>
    <w:rsid w:val="113B0990"/>
    <w:rsid w:val="115E6A89"/>
    <w:rsid w:val="117C475F"/>
    <w:rsid w:val="1197676B"/>
    <w:rsid w:val="11A007F3"/>
    <w:rsid w:val="11B35A60"/>
    <w:rsid w:val="11B85B3D"/>
    <w:rsid w:val="11C10E95"/>
    <w:rsid w:val="11D02417"/>
    <w:rsid w:val="11EA4D1B"/>
    <w:rsid w:val="1204469C"/>
    <w:rsid w:val="12087657"/>
    <w:rsid w:val="121E04E8"/>
    <w:rsid w:val="12200177"/>
    <w:rsid w:val="1227076C"/>
    <w:rsid w:val="126E04C4"/>
    <w:rsid w:val="12993BC0"/>
    <w:rsid w:val="12AC0F94"/>
    <w:rsid w:val="12C30E2C"/>
    <w:rsid w:val="12C92364"/>
    <w:rsid w:val="13083765"/>
    <w:rsid w:val="130D2041"/>
    <w:rsid w:val="13141499"/>
    <w:rsid w:val="1321035B"/>
    <w:rsid w:val="134C6DD6"/>
    <w:rsid w:val="1356385F"/>
    <w:rsid w:val="13700128"/>
    <w:rsid w:val="139F799A"/>
    <w:rsid w:val="13C04ECA"/>
    <w:rsid w:val="13CA639A"/>
    <w:rsid w:val="1405689D"/>
    <w:rsid w:val="14107EB2"/>
    <w:rsid w:val="14125E20"/>
    <w:rsid w:val="1425441D"/>
    <w:rsid w:val="14301B0C"/>
    <w:rsid w:val="143B1A97"/>
    <w:rsid w:val="145C6C53"/>
    <w:rsid w:val="147A532B"/>
    <w:rsid w:val="147C18B9"/>
    <w:rsid w:val="14AD4DB8"/>
    <w:rsid w:val="14EB1A70"/>
    <w:rsid w:val="1500107F"/>
    <w:rsid w:val="15AD51D7"/>
    <w:rsid w:val="15EC220C"/>
    <w:rsid w:val="162163A6"/>
    <w:rsid w:val="16283A6B"/>
    <w:rsid w:val="16A37599"/>
    <w:rsid w:val="16B26FFE"/>
    <w:rsid w:val="16BC60CF"/>
    <w:rsid w:val="16F75583"/>
    <w:rsid w:val="17A35D18"/>
    <w:rsid w:val="17E10BD4"/>
    <w:rsid w:val="185137EB"/>
    <w:rsid w:val="186576DB"/>
    <w:rsid w:val="1870581D"/>
    <w:rsid w:val="18853C5B"/>
    <w:rsid w:val="18AC5CCF"/>
    <w:rsid w:val="18B26FDA"/>
    <w:rsid w:val="18C11F0F"/>
    <w:rsid w:val="18D45102"/>
    <w:rsid w:val="18F43A96"/>
    <w:rsid w:val="196C3D45"/>
    <w:rsid w:val="19940024"/>
    <w:rsid w:val="19B73F44"/>
    <w:rsid w:val="19C31523"/>
    <w:rsid w:val="19E219A9"/>
    <w:rsid w:val="1A07140F"/>
    <w:rsid w:val="1A2235E4"/>
    <w:rsid w:val="1ACA3121"/>
    <w:rsid w:val="1ADC3C25"/>
    <w:rsid w:val="1B0D03FF"/>
    <w:rsid w:val="1B5508A0"/>
    <w:rsid w:val="1BC8769B"/>
    <w:rsid w:val="1C7E7FBA"/>
    <w:rsid w:val="1C8C41A9"/>
    <w:rsid w:val="1C8E3897"/>
    <w:rsid w:val="1C982E58"/>
    <w:rsid w:val="1CAE2016"/>
    <w:rsid w:val="1CB338B2"/>
    <w:rsid w:val="1CF52D14"/>
    <w:rsid w:val="1D1425C7"/>
    <w:rsid w:val="1D2A5E93"/>
    <w:rsid w:val="1D5C49B8"/>
    <w:rsid w:val="1D644556"/>
    <w:rsid w:val="1D774333"/>
    <w:rsid w:val="1DA336D7"/>
    <w:rsid w:val="1DBB07B3"/>
    <w:rsid w:val="1DC96A0D"/>
    <w:rsid w:val="1DFE291F"/>
    <w:rsid w:val="1E0B700D"/>
    <w:rsid w:val="1E141822"/>
    <w:rsid w:val="1E186169"/>
    <w:rsid w:val="1E385966"/>
    <w:rsid w:val="1E827C5E"/>
    <w:rsid w:val="1E9572E4"/>
    <w:rsid w:val="1ECF2D8A"/>
    <w:rsid w:val="1ED777EE"/>
    <w:rsid w:val="1F012EE6"/>
    <w:rsid w:val="1F0D0A99"/>
    <w:rsid w:val="1F6B2ED8"/>
    <w:rsid w:val="1F6E42F3"/>
    <w:rsid w:val="1F811C64"/>
    <w:rsid w:val="1FA73631"/>
    <w:rsid w:val="200D34F7"/>
    <w:rsid w:val="201448F3"/>
    <w:rsid w:val="204F58BE"/>
    <w:rsid w:val="205F5715"/>
    <w:rsid w:val="206B2007"/>
    <w:rsid w:val="208714FC"/>
    <w:rsid w:val="209B7C66"/>
    <w:rsid w:val="20C20C31"/>
    <w:rsid w:val="20C84D12"/>
    <w:rsid w:val="2129610F"/>
    <w:rsid w:val="21543824"/>
    <w:rsid w:val="216242DE"/>
    <w:rsid w:val="217F79A3"/>
    <w:rsid w:val="219914E7"/>
    <w:rsid w:val="21F42BC1"/>
    <w:rsid w:val="220F1E76"/>
    <w:rsid w:val="22323786"/>
    <w:rsid w:val="22592131"/>
    <w:rsid w:val="227F3C44"/>
    <w:rsid w:val="22813D29"/>
    <w:rsid w:val="22830325"/>
    <w:rsid w:val="22A651DD"/>
    <w:rsid w:val="22D14F53"/>
    <w:rsid w:val="22F36007"/>
    <w:rsid w:val="22FD246E"/>
    <w:rsid w:val="2318643B"/>
    <w:rsid w:val="233116FA"/>
    <w:rsid w:val="236E24FF"/>
    <w:rsid w:val="23711252"/>
    <w:rsid w:val="23B47C19"/>
    <w:rsid w:val="23DB0465"/>
    <w:rsid w:val="23FE1AD5"/>
    <w:rsid w:val="240E27FB"/>
    <w:rsid w:val="241E1623"/>
    <w:rsid w:val="244E6DF5"/>
    <w:rsid w:val="2452597D"/>
    <w:rsid w:val="2460453E"/>
    <w:rsid w:val="24613453"/>
    <w:rsid w:val="24B623B0"/>
    <w:rsid w:val="24B66318"/>
    <w:rsid w:val="250056C3"/>
    <w:rsid w:val="25011339"/>
    <w:rsid w:val="25230E1F"/>
    <w:rsid w:val="252A35C3"/>
    <w:rsid w:val="25421E95"/>
    <w:rsid w:val="2566688E"/>
    <w:rsid w:val="25861B66"/>
    <w:rsid w:val="25A0096A"/>
    <w:rsid w:val="25D9270C"/>
    <w:rsid w:val="260333D3"/>
    <w:rsid w:val="260B578F"/>
    <w:rsid w:val="26123616"/>
    <w:rsid w:val="26163EB5"/>
    <w:rsid w:val="2635407F"/>
    <w:rsid w:val="26A526DC"/>
    <w:rsid w:val="26D905D7"/>
    <w:rsid w:val="26F61189"/>
    <w:rsid w:val="271866FE"/>
    <w:rsid w:val="276B6060"/>
    <w:rsid w:val="27740F76"/>
    <w:rsid w:val="277678A2"/>
    <w:rsid w:val="277D4723"/>
    <w:rsid w:val="278F23C0"/>
    <w:rsid w:val="279D1605"/>
    <w:rsid w:val="27B2145C"/>
    <w:rsid w:val="27FA7131"/>
    <w:rsid w:val="28122247"/>
    <w:rsid w:val="28962D82"/>
    <w:rsid w:val="28B21BD3"/>
    <w:rsid w:val="28C22024"/>
    <w:rsid w:val="28E32FDD"/>
    <w:rsid w:val="290129D3"/>
    <w:rsid w:val="295E4DC4"/>
    <w:rsid w:val="297017E0"/>
    <w:rsid w:val="29886820"/>
    <w:rsid w:val="2A070FB7"/>
    <w:rsid w:val="2A1B2201"/>
    <w:rsid w:val="2A1F1875"/>
    <w:rsid w:val="2A3D66A5"/>
    <w:rsid w:val="2A6178FD"/>
    <w:rsid w:val="2A741800"/>
    <w:rsid w:val="2A790107"/>
    <w:rsid w:val="2AA9513D"/>
    <w:rsid w:val="2AAB4762"/>
    <w:rsid w:val="2AC8240E"/>
    <w:rsid w:val="2AD924CA"/>
    <w:rsid w:val="2AE91610"/>
    <w:rsid w:val="2AF36F69"/>
    <w:rsid w:val="2B0A0D5F"/>
    <w:rsid w:val="2B0F281A"/>
    <w:rsid w:val="2B186FC4"/>
    <w:rsid w:val="2B4011E8"/>
    <w:rsid w:val="2B4A0F18"/>
    <w:rsid w:val="2B4E2331"/>
    <w:rsid w:val="2BAE7D76"/>
    <w:rsid w:val="2BCD7395"/>
    <w:rsid w:val="2BCE4856"/>
    <w:rsid w:val="2C044ADE"/>
    <w:rsid w:val="2C1E46B0"/>
    <w:rsid w:val="2C8F5842"/>
    <w:rsid w:val="2C9A23B0"/>
    <w:rsid w:val="2CE3406E"/>
    <w:rsid w:val="2CFB1121"/>
    <w:rsid w:val="2CFE750E"/>
    <w:rsid w:val="2D05394C"/>
    <w:rsid w:val="2D0F7889"/>
    <w:rsid w:val="2D193F4B"/>
    <w:rsid w:val="2D1E7710"/>
    <w:rsid w:val="2D555D6B"/>
    <w:rsid w:val="2D76477A"/>
    <w:rsid w:val="2D9042F7"/>
    <w:rsid w:val="2D997036"/>
    <w:rsid w:val="2DB43204"/>
    <w:rsid w:val="2DD613CD"/>
    <w:rsid w:val="2E1E2185"/>
    <w:rsid w:val="2E2F18B5"/>
    <w:rsid w:val="2E7907E4"/>
    <w:rsid w:val="2E975000"/>
    <w:rsid w:val="2E985B89"/>
    <w:rsid w:val="2EA74B17"/>
    <w:rsid w:val="2EC10063"/>
    <w:rsid w:val="2EC30FD3"/>
    <w:rsid w:val="2EC4391B"/>
    <w:rsid w:val="2ECC55AF"/>
    <w:rsid w:val="2EE46E89"/>
    <w:rsid w:val="2F3B5246"/>
    <w:rsid w:val="2F3C2100"/>
    <w:rsid w:val="2FE00F3D"/>
    <w:rsid w:val="2FEC4067"/>
    <w:rsid w:val="305C0CAD"/>
    <w:rsid w:val="30601421"/>
    <w:rsid w:val="307325D9"/>
    <w:rsid w:val="309C68FD"/>
    <w:rsid w:val="30A47560"/>
    <w:rsid w:val="30C51EF2"/>
    <w:rsid w:val="312600AB"/>
    <w:rsid w:val="313660E1"/>
    <w:rsid w:val="314D409C"/>
    <w:rsid w:val="315A69F0"/>
    <w:rsid w:val="31B56227"/>
    <w:rsid w:val="31E71DFA"/>
    <w:rsid w:val="31F2015C"/>
    <w:rsid w:val="32011A92"/>
    <w:rsid w:val="32063987"/>
    <w:rsid w:val="32076DB6"/>
    <w:rsid w:val="32342B66"/>
    <w:rsid w:val="325042A3"/>
    <w:rsid w:val="32AE2364"/>
    <w:rsid w:val="3303242B"/>
    <w:rsid w:val="3321758E"/>
    <w:rsid w:val="334146D1"/>
    <w:rsid w:val="33435756"/>
    <w:rsid w:val="336E0177"/>
    <w:rsid w:val="33857B1D"/>
    <w:rsid w:val="33C17154"/>
    <w:rsid w:val="33C94F37"/>
    <w:rsid w:val="340A0022"/>
    <w:rsid w:val="341774EA"/>
    <w:rsid w:val="34180991"/>
    <w:rsid w:val="343C6007"/>
    <w:rsid w:val="34476B80"/>
    <w:rsid w:val="345904B1"/>
    <w:rsid w:val="347F3E4D"/>
    <w:rsid w:val="34802092"/>
    <w:rsid w:val="349B2A17"/>
    <w:rsid w:val="34A563F9"/>
    <w:rsid w:val="34BB1D0D"/>
    <w:rsid w:val="34C06933"/>
    <w:rsid w:val="34DB703E"/>
    <w:rsid w:val="352B0250"/>
    <w:rsid w:val="355D1BDD"/>
    <w:rsid w:val="3575084B"/>
    <w:rsid w:val="35802D90"/>
    <w:rsid w:val="35A70804"/>
    <w:rsid w:val="35CE085B"/>
    <w:rsid w:val="35E51C22"/>
    <w:rsid w:val="35FD0039"/>
    <w:rsid w:val="35FF1075"/>
    <w:rsid w:val="36312BA6"/>
    <w:rsid w:val="36AB0D07"/>
    <w:rsid w:val="36D52B69"/>
    <w:rsid w:val="370E1915"/>
    <w:rsid w:val="3711096B"/>
    <w:rsid w:val="371562DB"/>
    <w:rsid w:val="3730755E"/>
    <w:rsid w:val="37B26BC7"/>
    <w:rsid w:val="37DF7667"/>
    <w:rsid w:val="37FC1308"/>
    <w:rsid w:val="380464BD"/>
    <w:rsid w:val="38107BD1"/>
    <w:rsid w:val="38233FA0"/>
    <w:rsid w:val="383218F5"/>
    <w:rsid w:val="3844579B"/>
    <w:rsid w:val="38583C9C"/>
    <w:rsid w:val="385F6DEB"/>
    <w:rsid w:val="389770B9"/>
    <w:rsid w:val="38AD71CE"/>
    <w:rsid w:val="38D96215"/>
    <w:rsid w:val="38DE382B"/>
    <w:rsid w:val="38E04A8D"/>
    <w:rsid w:val="38ED2CD3"/>
    <w:rsid w:val="38F848ED"/>
    <w:rsid w:val="39117203"/>
    <w:rsid w:val="39137057"/>
    <w:rsid w:val="393F71A5"/>
    <w:rsid w:val="39585248"/>
    <w:rsid w:val="39682C9F"/>
    <w:rsid w:val="398B3A03"/>
    <w:rsid w:val="39C0030D"/>
    <w:rsid w:val="3AB536EC"/>
    <w:rsid w:val="3AD947E1"/>
    <w:rsid w:val="3B143EDA"/>
    <w:rsid w:val="3B2C4D22"/>
    <w:rsid w:val="3B4E1274"/>
    <w:rsid w:val="3B64626A"/>
    <w:rsid w:val="3B6C15C2"/>
    <w:rsid w:val="3B8A2759"/>
    <w:rsid w:val="3BA07DFA"/>
    <w:rsid w:val="3BA20BFD"/>
    <w:rsid w:val="3BB455A2"/>
    <w:rsid w:val="3BB938B2"/>
    <w:rsid w:val="3BD3133D"/>
    <w:rsid w:val="3BFB25BD"/>
    <w:rsid w:val="3BFE2F62"/>
    <w:rsid w:val="3C1249B1"/>
    <w:rsid w:val="3C1F3E60"/>
    <w:rsid w:val="3C1F4887"/>
    <w:rsid w:val="3C28373B"/>
    <w:rsid w:val="3C6A3E46"/>
    <w:rsid w:val="3C9C01D6"/>
    <w:rsid w:val="3CB5559F"/>
    <w:rsid w:val="3CD1387C"/>
    <w:rsid w:val="3D2263DC"/>
    <w:rsid w:val="3D6A7724"/>
    <w:rsid w:val="3D7D3B8B"/>
    <w:rsid w:val="3DB1150E"/>
    <w:rsid w:val="3E2972F7"/>
    <w:rsid w:val="3E421533"/>
    <w:rsid w:val="3E4E44C1"/>
    <w:rsid w:val="3E652C7E"/>
    <w:rsid w:val="3E6C0E37"/>
    <w:rsid w:val="3E8D5E6B"/>
    <w:rsid w:val="3EA47CB6"/>
    <w:rsid w:val="3EDA0C18"/>
    <w:rsid w:val="3EE31B9B"/>
    <w:rsid w:val="3F081602"/>
    <w:rsid w:val="3F275F2C"/>
    <w:rsid w:val="3F2A77CA"/>
    <w:rsid w:val="3F344112"/>
    <w:rsid w:val="3F3464BF"/>
    <w:rsid w:val="3F4D274C"/>
    <w:rsid w:val="3F636373"/>
    <w:rsid w:val="3F796D91"/>
    <w:rsid w:val="3F8C0012"/>
    <w:rsid w:val="3F9733C2"/>
    <w:rsid w:val="3FA30497"/>
    <w:rsid w:val="3FB17801"/>
    <w:rsid w:val="3FCB5180"/>
    <w:rsid w:val="3FD247CD"/>
    <w:rsid w:val="3FE47979"/>
    <w:rsid w:val="40281811"/>
    <w:rsid w:val="409C3917"/>
    <w:rsid w:val="40CB6D8B"/>
    <w:rsid w:val="40D411AE"/>
    <w:rsid w:val="40E81C84"/>
    <w:rsid w:val="40F94293"/>
    <w:rsid w:val="40F956A6"/>
    <w:rsid w:val="41230975"/>
    <w:rsid w:val="416C231C"/>
    <w:rsid w:val="416D72FA"/>
    <w:rsid w:val="417816C8"/>
    <w:rsid w:val="419E0FDC"/>
    <w:rsid w:val="42143DEA"/>
    <w:rsid w:val="42390DD8"/>
    <w:rsid w:val="423E5250"/>
    <w:rsid w:val="42426100"/>
    <w:rsid w:val="42800747"/>
    <w:rsid w:val="429A6A15"/>
    <w:rsid w:val="42AA6865"/>
    <w:rsid w:val="42CC71C8"/>
    <w:rsid w:val="431C0F1F"/>
    <w:rsid w:val="434A46EC"/>
    <w:rsid w:val="43567416"/>
    <w:rsid w:val="436275FE"/>
    <w:rsid w:val="43671086"/>
    <w:rsid w:val="43BC29BB"/>
    <w:rsid w:val="43CB2F74"/>
    <w:rsid w:val="43DA6601"/>
    <w:rsid w:val="43DB658F"/>
    <w:rsid w:val="441219F8"/>
    <w:rsid w:val="444A568D"/>
    <w:rsid w:val="4458493C"/>
    <w:rsid w:val="44B553BB"/>
    <w:rsid w:val="44DA57EF"/>
    <w:rsid w:val="450F3328"/>
    <w:rsid w:val="451604F0"/>
    <w:rsid w:val="451A208F"/>
    <w:rsid w:val="453252CE"/>
    <w:rsid w:val="453A4CCF"/>
    <w:rsid w:val="453C23E3"/>
    <w:rsid w:val="45580E68"/>
    <w:rsid w:val="45597D01"/>
    <w:rsid w:val="45763405"/>
    <w:rsid w:val="457A4F36"/>
    <w:rsid w:val="459C0CF6"/>
    <w:rsid w:val="45A35BE1"/>
    <w:rsid w:val="460A3E82"/>
    <w:rsid w:val="46130FB8"/>
    <w:rsid w:val="46293689"/>
    <w:rsid w:val="464F0D23"/>
    <w:rsid w:val="464F5D68"/>
    <w:rsid w:val="465A35BD"/>
    <w:rsid w:val="465F0134"/>
    <w:rsid w:val="46DC3AA0"/>
    <w:rsid w:val="46E75FA1"/>
    <w:rsid w:val="46F47B69"/>
    <w:rsid w:val="47113641"/>
    <w:rsid w:val="475A6773"/>
    <w:rsid w:val="475E2568"/>
    <w:rsid w:val="476A0BED"/>
    <w:rsid w:val="47753FB4"/>
    <w:rsid w:val="47842674"/>
    <w:rsid w:val="4795427E"/>
    <w:rsid w:val="47B9126E"/>
    <w:rsid w:val="485A1120"/>
    <w:rsid w:val="4866371A"/>
    <w:rsid w:val="48825F81"/>
    <w:rsid w:val="489B619B"/>
    <w:rsid w:val="48CE652C"/>
    <w:rsid w:val="48EF1089"/>
    <w:rsid w:val="48F86243"/>
    <w:rsid w:val="492275A4"/>
    <w:rsid w:val="495C67D2"/>
    <w:rsid w:val="49A412C1"/>
    <w:rsid w:val="49C9699B"/>
    <w:rsid w:val="4A111487"/>
    <w:rsid w:val="4A20509D"/>
    <w:rsid w:val="4A431740"/>
    <w:rsid w:val="4A496086"/>
    <w:rsid w:val="4A64046D"/>
    <w:rsid w:val="4A74295D"/>
    <w:rsid w:val="4AB278B1"/>
    <w:rsid w:val="4AC11C68"/>
    <w:rsid w:val="4B036369"/>
    <w:rsid w:val="4B1714B1"/>
    <w:rsid w:val="4B280EC1"/>
    <w:rsid w:val="4B3B68BB"/>
    <w:rsid w:val="4B4B11F4"/>
    <w:rsid w:val="4B4C2876"/>
    <w:rsid w:val="4B7A0F54"/>
    <w:rsid w:val="4C26643C"/>
    <w:rsid w:val="4C4D4AF8"/>
    <w:rsid w:val="4C79769B"/>
    <w:rsid w:val="4C8D1398"/>
    <w:rsid w:val="4CCE5C39"/>
    <w:rsid w:val="4D141FE0"/>
    <w:rsid w:val="4D34096C"/>
    <w:rsid w:val="4DAC05E6"/>
    <w:rsid w:val="4E0524B6"/>
    <w:rsid w:val="4E197388"/>
    <w:rsid w:val="4E5F5F0E"/>
    <w:rsid w:val="4E677615"/>
    <w:rsid w:val="4E9B7D9D"/>
    <w:rsid w:val="4ED96A7E"/>
    <w:rsid w:val="4F1D4C56"/>
    <w:rsid w:val="4F2C4C22"/>
    <w:rsid w:val="4FAD5FDA"/>
    <w:rsid w:val="4FB22195"/>
    <w:rsid w:val="4FEA29AB"/>
    <w:rsid w:val="500372D1"/>
    <w:rsid w:val="500D4684"/>
    <w:rsid w:val="505F3BBC"/>
    <w:rsid w:val="507C0260"/>
    <w:rsid w:val="50AB4BF4"/>
    <w:rsid w:val="50C84C0E"/>
    <w:rsid w:val="50E028B4"/>
    <w:rsid w:val="50F07639"/>
    <w:rsid w:val="50F43794"/>
    <w:rsid w:val="51022355"/>
    <w:rsid w:val="51025EB1"/>
    <w:rsid w:val="51256043"/>
    <w:rsid w:val="516453A2"/>
    <w:rsid w:val="5176689F"/>
    <w:rsid w:val="517B5C63"/>
    <w:rsid w:val="51B11960"/>
    <w:rsid w:val="51C60506"/>
    <w:rsid w:val="520B596A"/>
    <w:rsid w:val="521A547C"/>
    <w:rsid w:val="525E2487"/>
    <w:rsid w:val="52EB0BC7"/>
    <w:rsid w:val="531B187C"/>
    <w:rsid w:val="53454E50"/>
    <w:rsid w:val="5398055B"/>
    <w:rsid w:val="53B563B0"/>
    <w:rsid w:val="53DE35D5"/>
    <w:rsid w:val="540B43C3"/>
    <w:rsid w:val="543E122D"/>
    <w:rsid w:val="546E6143"/>
    <w:rsid w:val="546F63CD"/>
    <w:rsid w:val="54BF7289"/>
    <w:rsid w:val="54C44B46"/>
    <w:rsid w:val="54C4758E"/>
    <w:rsid w:val="54D34337"/>
    <w:rsid w:val="54D67D81"/>
    <w:rsid w:val="54E67898"/>
    <w:rsid w:val="54ED35AA"/>
    <w:rsid w:val="55055F70"/>
    <w:rsid w:val="55164621"/>
    <w:rsid w:val="551D40DC"/>
    <w:rsid w:val="55344AA7"/>
    <w:rsid w:val="553D1BAE"/>
    <w:rsid w:val="55AA02F5"/>
    <w:rsid w:val="55C217A6"/>
    <w:rsid w:val="55F964C0"/>
    <w:rsid w:val="565A665B"/>
    <w:rsid w:val="565D5647"/>
    <w:rsid w:val="565E583D"/>
    <w:rsid w:val="567C3D09"/>
    <w:rsid w:val="56B7773E"/>
    <w:rsid w:val="56CE1E48"/>
    <w:rsid w:val="56E30533"/>
    <w:rsid w:val="574C432A"/>
    <w:rsid w:val="576D223F"/>
    <w:rsid w:val="57874821"/>
    <w:rsid w:val="57B31183"/>
    <w:rsid w:val="57D1482F"/>
    <w:rsid w:val="57D27E9C"/>
    <w:rsid w:val="58002426"/>
    <w:rsid w:val="582A48F8"/>
    <w:rsid w:val="582B33AC"/>
    <w:rsid w:val="584E6149"/>
    <w:rsid w:val="584F2921"/>
    <w:rsid w:val="58577D85"/>
    <w:rsid w:val="5878141F"/>
    <w:rsid w:val="587D598D"/>
    <w:rsid w:val="588418A2"/>
    <w:rsid w:val="58953AAF"/>
    <w:rsid w:val="58AE4B5E"/>
    <w:rsid w:val="58BD4EAA"/>
    <w:rsid w:val="58CE349B"/>
    <w:rsid w:val="58F95F64"/>
    <w:rsid w:val="590B6A03"/>
    <w:rsid w:val="59154646"/>
    <w:rsid w:val="59276621"/>
    <w:rsid w:val="592D105A"/>
    <w:rsid w:val="59682469"/>
    <w:rsid w:val="59695434"/>
    <w:rsid w:val="596A6CE9"/>
    <w:rsid w:val="599C7DE4"/>
    <w:rsid w:val="59A75787"/>
    <w:rsid w:val="59D06384"/>
    <w:rsid w:val="59D703B5"/>
    <w:rsid w:val="59EE16C8"/>
    <w:rsid w:val="59F36CDF"/>
    <w:rsid w:val="5A152E59"/>
    <w:rsid w:val="5A5B4884"/>
    <w:rsid w:val="5A5C0D28"/>
    <w:rsid w:val="5AE147BC"/>
    <w:rsid w:val="5B105132"/>
    <w:rsid w:val="5B24111A"/>
    <w:rsid w:val="5B314FB8"/>
    <w:rsid w:val="5B395408"/>
    <w:rsid w:val="5B5136E8"/>
    <w:rsid w:val="5B5C4D58"/>
    <w:rsid w:val="5BA53F00"/>
    <w:rsid w:val="5BE82B8A"/>
    <w:rsid w:val="5C156E2E"/>
    <w:rsid w:val="5C36729C"/>
    <w:rsid w:val="5C520E7C"/>
    <w:rsid w:val="5C5611D3"/>
    <w:rsid w:val="5C58107B"/>
    <w:rsid w:val="5CBE4526"/>
    <w:rsid w:val="5CC055C4"/>
    <w:rsid w:val="5CC07DD9"/>
    <w:rsid w:val="5CC42BB4"/>
    <w:rsid w:val="5D2017FC"/>
    <w:rsid w:val="5D72353E"/>
    <w:rsid w:val="5DC23869"/>
    <w:rsid w:val="5DD82479"/>
    <w:rsid w:val="5DEA31F6"/>
    <w:rsid w:val="5E686C13"/>
    <w:rsid w:val="5E6D4E5F"/>
    <w:rsid w:val="5E800D5D"/>
    <w:rsid w:val="5E8D7089"/>
    <w:rsid w:val="5EDD2E98"/>
    <w:rsid w:val="5EFA2F5D"/>
    <w:rsid w:val="5F0932AE"/>
    <w:rsid w:val="5F1405A9"/>
    <w:rsid w:val="5F3F2302"/>
    <w:rsid w:val="5F995D5E"/>
    <w:rsid w:val="5F9E5DBA"/>
    <w:rsid w:val="5FBE2279"/>
    <w:rsid w:val="5FF41E65"/>
    <w:rsid w:val="600C1E79"/>
    <w:rsid w:val="60C4400E"/>
    <w:rsid w:val="61066655"/>
    <w:rsid w:val="61152866"/>
    <w:rsid w:val="611F63AC"/>
    <w:rsid w:val="615F355C"/>
    <w:rsid w:val="61622E6A"/>
    <w:rsid w:val="61BF3015"/>
    <w:rsid w:val="61CD37F3"/>
    <w:rsid w:val="61E26D94"/>
    <w:rsid w:val="621232AC"/>
    <w:rsid w:val="623D3AD2"/>
    <w:rsid w:val="624125B1"/>
    <w:rsid w:val="628250A4"/>
    <w:rsid w:val="62834A8A"/>
    <w:rsid w:val="628A21AA"/>
    <w:rsid w:val="62C95A86"/>
    <w:rsid w:val="62ED0480"/>
    <w:rsid w:val="63013D13"/>
    <w:rsid w:val="63051831"/>
    <w:rsid w:val="63154001"/>
    <w:rsid w:val="6321435D"/>
    <w:rsid w:val="632B45FF"/>
    <w:rsid w:val="63596DA0"/>
    <w:rsid w:val="635D3B18"/>
    <w:rsid w:val="63C94F54"/>
    <w:rsid w:val="6411358E"/>
    <w:rsid w:val="6413263F"/>
    <w:rsid w:val="64295F67"/>
    <w:rsid w:val="642A77A1"/>
    <w:rsid w:val="642F3CCD"/>
    <w:rsid w:val="64EC3D37"/>
    <w:rsid w:val="651B49C3"/>
    <w:rsid w:val="65817895"/>
    <w:rsid w:val="65B46B2F"/>
    <w:rsid w:val="65CC4888"/>
    <w:rsid w:val="65E240AB"/>
    <w:rsid w:val="660202AA"/>
    <w:rsid w:val="66065FEC"/>
    <w:rsid w:val="6612135A"/>
    <w:rsid w:val="66141EEF"/>
    <w:rsid w:val="66350592"/>
    <w:rsid w:val="66571890"/>
    <w:rsid w:val="66702AB4"/>
    <w:rsid w:val="669B6901"/>
    <w:rsid w:val="66BE251D"/>
    <w:rsid w:val="66C043ED"/>
    <w:rsid w:val="66DB7082"/>
    <w:rsid w:val="674D4335"/>
    <w:rsid w:val="677A4691"/>
    <w:rsid w:val="67D052DA"/>
    <w:rsid w:val="67EB1DEB"/>
    <w:rsid w:val="68120612"/>
    <w:rsid w:val="683C09C0"/>
    <w:rsid w:val="683E3FD1"/>
    <w:rsid w:val="68617509"/>
    <w:rsid w:val="688A35DC"/>
    <w:rsid w:val="68B20247"/>
    <w:rsid w:val="68F41093"/>
    <w:rsid w:val="695E2B47"/>
    <w:rsid w:val="69721525"/>
    <w:rsid w:val="698425E0"/>
    <w:rsid w:val="69886D18"/>
    <w:rsid w:val="699E6EDB"/>
    <w:rsid w:val="69E421EB"/>
    <w:rsid w:val="6A0C5CC5"/>
    <w:rsid w:val="6A0D4726"/>
    <w:rsid w:val="6A1F142A"/>
    <w:rsid w:val="6A386990"/>
    <w:rsid w:val="6A7D7D3F"/>
    <w:rsid w:val="6A912090"/>
    <w:rsid w:val="6A9C5931"/>
    <w:rsid w:val="6ACC64C4"/>
    <w:rsid w:val="6AD20971"/>
    <w:rsid w:val="6B00369D"/>
    <w:rsid w:val="6B46311C"/>
    <w:rsid w:val="6B5C5318"/>
    <w:rsid w:val="6B7963DE"/>
    <w:rsid w:val="6BD149A6"/>
    <w:rsid w:val="6BD20370"/>
    <w:rsid w:val="6BDC2A11"/>
    <w:rsid w:val="6C237218"/>
    <w:rsid w:val="6C4179F9"/>
    <w:rsid w:val="6C497A0D"/>
    <w:rsid w:val="6C975BF0"/>
    <w:rsid w:val="6CA03C93"/>
    <w:rsid w:val="6CB37EEB"/>
    <w:rsid w:val="6CC9154D"/>
    <w:rsid w:val="6CCB7647"/>
    <w:rsid w:val="6D107530"/>
    <w:rsid w:val="6D206553"/>
    <w:rsid w:val="6D920165"/>
    <w:rsid w:val="6D924ED4"/>
    <w:rsid w:val="6DA2484C"/>
    <w:rsid w:val="6DDD1535"/>
    <w:rsid w:val="6DF42BCE"/>
    <w:rsid w:val="6E4B6C92"/>
    <w:rsid w:val="6E903270"/>
    <w:rsid w:val="6E9A0A92"/>
    <w:rsid w:val="6EE64C0C"/>
    <w:rsid w:val="6F6E5AC9"/>
    <w:rsid w:val="6F7029D5"/>
    <w:rsid w:val="6F7936E0"/>
    <w:rsid w:val="6F7E3B82"/>
    <w:rsid w:val="6F944336"/>
    <w:rsid w:val="6FAD4F96"/>
    <w:rsid w:val="6FB97C2B"/>
    <w:rsid w:val="6FC64B3E"/>
    <w:rsid w:val="6FFE1856"/>
    <w:rsid w:val="701337DF"/>
    <w:rsid w:val="701C7B88"/>
    <w:rsid w:val="7052622D"/>
    <w:rsid w:val="706D1F22"/>
    <w:rsid w:val="708A4C2B"/>
    <w:rsid w:val="70B740BE"/>
    <w:rsid w:val="70E5720E"/>
    <w:rsid w:val="712437CA"/>
    <w:rsid w:val="7145658E"/>
    <w:rsid w:val="718C1A9B"/>
    <w:rsid w:val="71EF5B86"/>
    <w:rsid w:val="720678C6"/>
    <w:rsid w:val="72850298"/>
    <w:rsid w:val="729A5018"/>
    <w:rsid w:val="72BB5F8B"/>
    <w:rsid w:val="72BB6655"/>
    <w:rsid w:val="72FA1A10"/>
    <w:rsid w:val="73281C56"/>
    <w:rsid w:val="73353FA5"/>
    <w:rsid w:val="73662167"/>
    <w:rsid w:val="73952CB3"/>
    <w:rsid w:val="74054439"/>
    <w:rsid w:val="74114C3C"/>
    <w:rsid w:val="74FF07D6"/>
    <w:rsid w:val="75063912"/>
    <w:rsid w:val="751C6001"/>
    <w:rsid w:val="755E3853"/>
    <w:rsid w:val="75B63B8F"/>
    <w:rsid w:val="75D164B8"/>
    <w:rsid w:val="761A4816"/>
    <w:rsid w:val="765964B4"/>
    <w:rsid w:val="769D3F76"/>
    <w:rsid w:val="76A5715B"/>
    <w:rsid w:val="77470212"/>
    <w:rsid w:val="776350D7"/>
    <w:rsid w:val="779C67B0"/>
    <w:rsid w:val="779E3B69"/>
    <w:rsid w:val="77A318EC"/>
    <w:rsid w:val="784E0B38"/>
    <w:rsid w:val="78D26A7E"/>
    <w:rsid w:val="798017B9"/>
    <w:rsid w:val="79882384"/>
    <w:rsid w:val="79940026"/>
    <w:rsid w:val="79EC57C5"/>
    <w:rsid w:val="7A0128FA"/>
    <w:rsid w:val="7A162C99"/>
    <w:rsid w:val="7A393AB3"/>
    <w:rsid w:val="7A545120"/>
    <w:rsid w:val="7A770E0E"/>
    <w:rsid w:val="7AAD4830"/>
    <w:rsid w:val="7AF63306"/>
    <w:rsid w:val="7B032A3A"/>
    <w:rsid w:val="7B087CB8"/>
    <w:rsid w:val="7B2656E6"/>
    <w:rsid w:val="7B406A51"/>
    <w:rsid w:val="7BA72B72"/>
    <w:rsid w:val="7BD209F2"/>
    <w:rsid w:val="7C420122"/>
    <w:rsid w:val="7C4B2553"/>
    <w:rsid w:val="7C647170"/>
    <w:rsid w:val="7C675C0A"/>
    <w:rsid w:val="7C765821"/>
    <w:rsid w:val="7CC23D0E"/>
    <w:rsid w:val="7CF02627"/>
    <w:rsid w:val="7D0C113B"/>
    <w:rsid w:val="7D114D01"/>
    <w:rsid w:val="7D6C6195"/>
    <w:rsid w:val="7D761851"/>
    <w:rsid w:val="7D9F625C"/>
    <w:rsid w:val="7DA06E42"/>
    <w:rsid w:val="7DAB14FB"/>
    <w:rsid w:val="7DC87AB1"/>
    <w:rsid w:val="7DDC6E34"/>
    <w:rsid w:val="7DF52776"/>
    <w:rsid w:val="7E23216E"/>
    <w:rsid w:val="7E467807"/>
    <w:rsid w:val="7E485D91"/>
    <w:rsid w:val="7E8E57B1"/>
    <w:rsid w:val="7EA21499"/>
    <w:rsid w:val="7EAC1347"/>
    <w:rsid w:val="7EBA1212"/>
    <w:rsid w:val="7F245858"/>
    <w:rsid w:val="7F2C2119"/>
    <w:rsid w:val="7F313C82"/>
    <w:rsid w:val="7F3177DE"/>
    <w:rsid w:val="7F370C88"/>
    <w:rsid w:val="7F444186"/>
    <w:rsid w:val="7F992FC6"/>
    <w:rsid w:val="7FA22F78"/>
    <w:rsid w:val="7FA27CF2"/>
    <w:rsid w:val="7FB201B2"/>
    <w:rsid w:val="7FB3011B"/>
    <w:rsid w:val="7FBA3291"/>
    <w:rsid w:val="7FBB179D"/>
    <w:rsid w:val="7FC237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6">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7">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30">
    <w:name w:val="Default Paragraph Font"/>
    <w:semiHidden/>
    <w:uiPriority w:val="0"/>
  </w:style>
  <w:style w:type="table" w:default="1" w:styleId="28">
    <w:name w:val="Normal Table"/>
    <w:semiHidden/>
    <w:uiPriority w:val="0"/>
    <w:tblPr>
      <w:tblStyle w:val="28"/>
      <w:tblCellMar>
        <w:top w:w="0" w:type="dxa"/>
        <w:left w:w="108" w:type="dxa"/>
        <w:bottom w:w="0" w:type="dxa"/>
        <w:right w:w="108" w:type="dxa"/>
      </w:tblCellMar>
    </w:tblPr>
  </w:style>
  <w:style w:type="paragraph" w:styleId="2">
    <w:name w:val="Body Text"/>
    <w:basedOn w:val="1"/>
    <w:next w:val="3"/>
    <w:link w:val="36"/>
    <w:uiPriority w:val="0"/>
    <w:pPr>
      <w:spacing w:after="120"/>
    </w:pPr>
  </w:style>
  <w:style w:type="paragraph" w:customStyle="1" w:styleId="3">
    <w:name w:val="_Style 2"/>
    <w:basedOn w:val="1"/>
    <w:next w:val="1"/>
    <w:qFormat/>
    <w:uiPriority w:val="0"/>
    <w:pPr>
      <w:ind w:firstLine="200" w:firstLineChars="200"/>
    </w:pPr>
    <w:rPr>
      <w:rFonts w:ascii="Calibri" w:hAnsi="Calibri"/>
      <w:sz w:val="28"/>
      <w:szCs w:val="22"/>
    </w:rPr>
  </w:style>
  <w:style w:type="paragraph" w:styleId="8">
    <w:name w:val="Normal Indent"/>
    <w:basedOn w:val="1"/>
    <w:next w:val="1"/>
    <w:uiPriority w:val="0"/>
    <w:pPr>
      <w:adjustRightInd w:val="0"/>
      <w:spacing w:line="360" w:lineRule="atLeast"/>
      <w:ind w:firstLine="482"/>
      <w:textAlignment w:val="baseline"/>
    </w:pPr>
    <w:rPr>
      <w:kern w:val="0"/>
      <w:sz w:val="24"/>
      <w:szCs w:val="20"/>
    </w:r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uiPriority w:val="0"/>
    <w:pPr>
      <w:jc w:val="left"/>
    </w:pPr>
  </w:style>
  <w:style w:type="paragraph" w:styleId="11">
    <w:name w:val="Body Text Indent"/>
    <w:basedOn w:val="1"/>
    <w:next w:val="1"/>
    <w:uiPriority w:val="0"/>
    <w:pPr>
      <w:spacing w:after="120"/>
      <w:ind w:left="200" w:leftChars="200"/>
    </w:pPr>
  </w:style>
  <w:style w:type="paragraph" w:styleId="12">
    <w:name w:val="toc 3"/>
    <w:basedOn w:val="1"/>
    <w:next w:val="1"/>
    <w:uiPriority w:val="39"/>
    <w:pPr>
      <w:tabs>
        <w:tab w:val="right" w:leader="dot" w:pos="9288"/>
      </w:tabs>
      <w:ind w:left="400" w:leftChars="400"/>
    </w:pPr>
    <w:rPr>
      <w:rFonts w:ascii="宋体"/>
      <w:lang/>
    </w:rPr>
  </w:style>
  <w:style w:type="paragraph" w:styleId="13">
    <w:name w:val="Plain Text"/>
    <w:basedOn w:val="1"/>
    <w:next w:val="14"/>
    <w:link w:val="37"/>
    <w:uiPriority w:val="0"/>
    <w:rPr>
      <w:rFonts w:ascii="宋体"/>
      <w:color w:val="000000"/>
      <w:szCs w:val="20"/>
      <w:u w:val="none" w:color="000000"/>
    </w:rPr>
  </w:style>
  <w:style w:type="paragraph" w:styleId="14">
    <w:name w:val="index 7"/>
    <w:basedOn w:val="1"/>
    <w:next w:val="1"/>
    <w:qFormat/>
    <w:uiPriority w:val="0"/>
    <w:pPr>
      <w:autoSpaceDE/>
      <w:autoSpaceDN/>
      <w:adjustRightInd/>
      <w:ind w:left="1200" w:leftChars="1200"/>
    </w:pPr>
    <w:rPr>
      <w:color w:val="auto"/>
      <w:kern w:val="2"/>
      <w:szCs w:val="24"/>
    </w:rPr>
  </w:style>
  <w:style w:type="paragraph" w:styleId="15">
    <w:name w:val="Date"/>
    <w:basedOn w:val="1"/>
    <w:next w:val="1"/>
    <w:link w:val="38"/>
    <w:uiPriority w:val="0"/>
    <w:rPr>
      <w:rFonts w:ascii="Arial" w:hAnsi="Arial" w:eastAsia="仿宋_GB2312"/>
      <w:color w:val="000000"/>
      <w:sz w:val="32"/>
      <w:szCs w:val="20"/>
      <w:u w:val="none" w:color="000000"/>
    </w:rPr>
  </w:style>
  <w:style w:type="paragraph" w:styleId="16">
    <w:name w:val="Body Text Indent 2"/>
    <w:basedOn w:val="1"/>
    <w:qFormat/>
    <w:uiPriority w:val="0"/>
    <w:pPr>
      <w:ind w:firstLine="566"/>
    </w:pPr>
    <w:rPr>
      <w:b/>
      <w:bCs/>
      <w:spacing w:val="4"/>
      <w:sz w:val="28"/>
      <w:szCs w:val="28"/>
    </w:rPr>
  </w:style>
  <w:style w:type="paragraph" w:styleId="17">
    <w:name w:val="footer"/>
    <w:basedOn w:val="1"/>
    <w:link w:val="39"/>
    <w:uiPriority w:val="0"/>
    <w:pPr>
      <w:tabs>
        <w:tab w:val="center" w:pos="4153"/>
        <w:tab w:val="right" w:pos="8306"/>
      </w:tabs>
      <w:snapToGrid w:val="0"/>
      <w:jc w:val="left"/>
    </w:pPr>
    <w:rPr>
      <w:sz w:val="18"/>
      <w:szCs w:val="18"/>
    </w:rPr>
  </w:style>
  <w:style w:type="paragraph" w:styleId="18">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uiPriority w:val="39"/>
  </w:style>
  <w:style w:type="paragraph" w:styleId="20">
    <w:name w:val="List"/>
    <w:basedOn w:val="1"/>
    <w:qFormat/>
    <w:uiPriority w:val="0"/>
    <w:pPr>
      <w:adjustRightInd/>
      <w:snapToGrid/>
      <w:spacing w:after="0"/>
      <w:ind w:left="200" w:hanging="200" w:hangingChars="200"/>
      <w:contextualSpacing/>
    </w:pPr>
    <w:rPr>
      <w:rFonts w:ascii="Times New Roman" w:hAnsi="Times New Roman" w:eastAsia="宋体"/>
      <w:sz w:val="20"/>
      <w:szCs w:val="20"/>
    </w:rPr>
  </w:style>
  <w:style w:type="paragraph" w:styleId="21">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2">
    <w:name w:val="toc 2"/>
    <w:basedOn w:val="1"/>
    <w:next w:val="1"/>
    <w:uiPriority w:val="39"/>
    <w:pPr>
      <w:ind w:left="200" w:leftChars="200"/>
    </w:pPr>
  </w:style>
  <w:style w:type="paragraph" w:styleId="23">
    <w:name w:val="Body Text 2"/>
    <w:basedOn w:val="1"/>
    <w:qFormat/>
    <w:uiPriority w:val="0"/>
    <w:pPr>
      <w:tabs>
        <w:tab w:val="left" w:pos="0"/>
      </w:tabs>
      <w:spacing w:line="400" w:lineRule="atLeast"/>
    </w:pPr>
    <w:rPr>
      <w:rFonts w:ascii="Arial" w:hAnsi="Arial"/>
      <w:color w:val="000000"/>
    </w:rPr>
  </w:style>
  <w:style w:type="paragraph" w:styleId="24">
    <w:name w:val="Normal (Web)"/>
    <w:basedOn w:val="1"/>
    <w:next w:val="25"/>
    <w:uiPriority w:val="0"/>
    <w:pPr>
      <w:widowControl/>
      <w:spacing w:before="100" w:beforeAutospacing="1" w:after="100" w:afterAutospacing="1"/>
      <w:jc w:val="left"/>
    </w:pPr>
    <w:rPr>
      <w:rFonts w:ascii="宋体" w:hAnsi="宋体" w:cs="宋体"/>
      <w:kern w:val="0"/>
      <w:sz w:val="24"/>
    </w:rPr>
  </w:style>
  <w:style w:type="paragraph" w:customStyle="1" w:styleId="25">
    <w:name w:val="toc 4"/>
    <w:next w:val="1"/>
    <w:qFormat/>
    <w:uiPriority w:val="0"/>
    <w:pPr>
      <w:wordWrap w:val="0"/>
      <w:ind w:left="1275"/>
      <w:jc w:val="both"/>
    </w:pPr>
    <w:rPr>
      <w:rFonts w:ascii="Times New Roman" w:hAnsi="Times New Roman" w:eastAsia="宋体" w:cs="Times New Roman"/>
      <w:sz w:val="21"/>
      <w:lang w:val="en-US" w:eastAsia="zh-CN" w:bidi="ar-SA"/>
    </w:rPr>
  </w:style>
  <w:style w:type="paragraph" w:styleId="26">
    <w:name w:val="Body Text First Indent"/>
    <w:basedOn w:val="2"/>
    <w:unhideWhenUsed/>
    <w:qFormat/>
    <w:uiPriority w:val="0"/>
    <w:pPr>
      <w:adjustRightInd/>
      <w:spacing w:after="120" w:line="240" w:lineRule="auto"/>
      <w:ind w:firstLine="420" w:firstLineChars="100"/>
      <w:jc w:val="both"/>
    </w:pPr>
    <w:rPr>
      <w:rFonts w:ascii="Times New Roman"/>
      <w:kern w:val="2"/>
      <w:sz w:val="21"/>
      <w:szCs w:val="24"/>
    </w:rPr>
  </w:style>
  <w:style w:type="paragraph" w:styleId="27">
    <w:name w:val="Body Text First Indent 2"/>
    <w:basedOn w:val="11"/>
    <w:unhideWhenUsed/>
    <w:qFormat/>
    <w:uiPriority w:val="99"/>
    <w:pPr>
      <w:spacing w:after="120" w:line="240" w:lineRule="auto"/>
      <w:ind w:left="420" w:leftChars="200" w:firstLine="420"/>
    </w:pPr>
    <w:rPr>
      <w:rFonts w:cs="宋体"/>
      <w:sz w:val="21"/>
      <w:szCs w:val="21"/>
    </w:rPr>
  </w:style>
  <w:style w:type="table" w:styleId="29">
    <w:name w:val="Table Grid"/>
    <w:basedOn w:val="28"/>
    <w:uiPriority w:val="0"/>
    <w:pPr>
      <w:widowControl w:val="0"/>
      <w:jc w:val="both"/>
    </w:p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uiPriority w:val="0"/>
  </w:style>
  <w:style w:type="character" w:styleId="33">
    <w:name w:val="FollowedHyperlink"/>
    <w:uiPriority w:val="0"/>
    <w:rPr>
      <w:color w:val="333333"/>
      <w:u w:val="none"/>
    </w:rPr>
  </w:style>
  <w:style w:type="character" w:styleId="34">
    <w:name w:val="Hyperlink"/>
    <w:basedOn w:val="30"/>
    <w:uiPriority w:val="99"/>
    <w:rPr>
      <w:color w:val="0000FF"/>
      <w:u w:val="single"/>
    </w:rPr>
  </w:style>
  <w:style w:type="character" w:styleId="35">
    <w:name w:val="HTML Sample"/>
    <w:basedOn w:val="30"/>
    <w:qFormat/>
    <w:uiPriority w:val="0"/>
    <w:rPr>
      <w:rFonts w:ascii="Courier New" w:hAnsi="Courier New"/>
    </w:rPr>
  </w:style>
  <w:style w:type="character" w:customStyle="1" w:styleId="36">
    <w:name w:val="正文文本 Char"/>
    <w:link w:val="2"/>
    <w:semiHidden/>
    <w:locked/>
    <w:uiPriority w:val="0"/>
    <w:rPr>
      <w:rFonts w:eastAsia="宋体"/>
      <w:kern w:val="2"/>
      <w:sz w:val="21"/>
      <w:szCs w:val="24"/>
      <w:lang w:val="en-US" w:eastAsia="zh-CN" w:bidi="ar-SA"/>
    </w:rPr>
  </w:style>
  <w:style w:type="character" w:customStyle="1" w:styleId="37">
    <w:name w:val="纯文本 Char"/>
    <w:link w:val="13"/>
    <w:uiPriority w:val="0"/>
    <w:rPr>
      <w:rFonts w:ascii="宋体"/>
      <w:color w:val="000000"/>
      <w:kern w:val="2"/>
      <w:sz w:val="21"/>
      <w:u w:val="none" w:color="000000"/>
    </w:rPr>
  </w:style>
  <w:style w:type="character" w:customStyle="1" w:styleId="38">
    <w:name w:val="日期 Char"/>
    <w:link w:val="15"/>
    <w:uiPriority w:val="0"/>
    <w:rPr>
      <w:rFonts w:ascii="Arial" w:hAnsi="Arial" w:eastAsia="仿宋_GB2312"/>
      <w:color w:val="000000"/>
      <w:kern w:val="2"/>
      <w:sz w:val="32"/>
      <w:u w:val="none" w:color="000000"/>
      <w:lang w:val="en-US" w:eastAsia="zh-CN" w:bidi="ar-SA"/>
    </w:rPr>
  </w:style>
  <w:style w:type="character" w:customStyle="1" w:styleId="39">
    <w:name w:val="页脚 Char"/>
    <w:link w:val="17"/>
    <w:locked/>
    <w:uiPriority w:val="0"/>
    <w:rPr>
      <w:rFonts w:eastAsia="宋体"/>
      <w:kern w:val="2"/>
      <w:sz w:val="18"/>
      <w:szCs w:val="18"/>
      <w:lang w:val="en-US" w:eastAsia="zh-CN" w:bidi="ar-SA"/>
    </w:rPr>
  </w:style>
  <w:style w:type="character" w:customStyle="1" w:styleId="40">
    <w:name w:val="页眉 Char"/>
    <w:link w:val="18"/>
    <w:locked/>
    <w:uiPriority w:val="0"/>
    <w:rPr>
      <w:rFonts w:eastAsia="宋体"/>
      <w:kern w:val="2"/>
      <w:sz w:val="18"/>
      <w:szCs w:val="18"/>
      <w:lang w:val="en-US" w:eastAsia="zh-CN" w:bidi="ar-SA"/>
    </w:rPr>
  </w:style>
  <w:style w:type="paragraph" w:customStyle="1" w:styleId="41">
    <w:name w:val="[Normal]"/>
    <w:qFormat/>
    <w:uiPriority w:val="0"/>
    <w:rPr>
      <w:rFonts w:ascii="宋体" w:hAnsi="宋体" w:eastAsia="宋体" w:cs="Times New Roman"/>
      <w:sz w:val="24"/>
      <w:szCs w:val="22"/>
      <w:lang w:val="zh-CN" w:eastAsia="zh-CN" w:bidi="ar-SA"/>
    </w:rPr>
  </w:style>
  <w:style w:type="paragraph" w:customStyle="1" w:styleId="4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43">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character" w:customStyle="1" w:styleId="44">
    <w:name w:val="Body Text Char"/>
    <w:locked/>
    <w:uiPriority w:val="0"/>
    <w:rPr>
      <w:rFonts w:ascii="宋体" w:hAnsi="Arial"/>
      <w:sz w:val="28"/>
    </w:rPr>
  </w:style>
  <w:style w:type="paragraph" w:customStyle="1" w:styleId="45">
    <w:name w:val="black1"/>
    <w:basedOn w:val="1"/>
    <w:qFormat/>
    <w:uiPriority w:val="0"/>
    <w:pPr>
      <w:widowControl/>
      <w:spacing w:before="100" w:beforeLines="0" w:beforeAutospacing="1" w:after="100" w:afterLines="0" w:afterAutospacing="1" w:line="280" w:lineRule="atLeast"/>
      <w:jc w:val="left"/>
    </w:pPr>
    <w:rPr>
      <w:rFonts w:ascii="_x000B__x000C_" w:hAnsi="_x000B__x000C_"/>
      <w:color w:val="000000"/>
      <w:kern w:val="0"/>
      <w:sz w:val="18"/>
      <w:szCs w:val="18"/>
    </w:rPr>
  </w:style>
  <w:style w:type="paragraph" w:customStyle="1" w:styleId="46">
    <w:name w:val="节标题"/>
    <w:basedOn w:val="1"/>
    <w:next w:val="1"/>
    <w:uiPriority w:val="0"/>
    <w:pPr>
      <w:widowControl/>
      <w:spacing w:line="289" w:lineRule="atLeast"/>
      <w:jc w:val="center"/>
      <w:textAlignment w:val="baseline"/>
    </w:pPr>
    <w:rPr>
      <w:color w:val="000000"/>
      <w:kern w:val="0"/>
      <w:sz w:val="28"/>
      <w:szCs w:val="20"/>
      <w:u w:val="none" w:color="000000"/>
    </w:rPr>
  </w:style>
  <w:style w:type="paragraph" w:customStyle="1" w:styleId="47">
    <w:name w:val="图例"/>
    <w:basedOn w:val="1"/>
    <w:qFormat/>
    <w:uiPriority w:val="0"/>
    <w:pPr>
      <w:spacing w:before="120" w:beforeLines="0" w:after="120" w:afterLines="0" w:line="360" w:lineRule="auto"/>
      <w:jc w:val="center"/>
    </w:pPr>
    <w:rPr>
      <w:rFonts w:eastAsia="仿宋_GB2312"/>
      <w:b/>
      <w:sz w:val="24"/>
    </w:rPr>
  </w:style>
  <w:style w:type="paragraph" w:customStyle="1" w:styleId="48">
    <w:name w:val="样式 左侧:  0 厘米 悬挂缩进: 2.5 字符"/>
    <w:basedOn w:val="1"/>
    <w:qFormat/>
    <w:uiPriority w:val="0"/>
    <w:pPr>
      <w:ind w:left="525" w:hanging="525" w:hangingChars="250"/>
    </w:pPr>
    <w:rPr>
      <w:szCs w:val="20"/>
    </w:rPr>
  </w:style>
  <w:style w:type="paragraph" w:customStyle="1" w:styleId="49">
    <w:name w:val="Char"/>
    <w:basedOn w:val="1"/>
    <w:next w:val="1"/>
    <w:uiPriority w:val="0"/>
    <w:pPr>
      <w:widowControl/>
      <w:spacing w:line="360" w:lineRule="auto"/>
      <w:jc w:val="left"/>
    </w:pPr>
    <w:rPr>
      <w:kern w:val="0"/>
      <w:szCs w:val="20"/>
      <w:lang w:eastAsia="en-US"/>
    </w:rPr>
  </w:style>
  <w:style w:type="paragraph" w:customStyle="1" w:styleId="50">
    <w:name w:val="p0"/>
    <w:basedOn w:val="1"/>
    <w:uiPriority w:val="0"/>
    <w:pPr>
      <w:widowControl/>
      <w:jc w:val="left"/>
    </w:pPr>
    <w:rPr>
      <w:rFonts w:ascii="宋体" w:hAnsi="宋体" w:cs="宋体"/>
      <w:kern w:val="0"/>
      <w:sz w:val="18"/>
      <w:szCs w:val="18"/>
    </w:rPr>
  </w:style>
  <w:style w:type="paragraph" w:styleId="51">
    <w:name w:val="List Paragraph"/>
    <w:basedOn w:val="1"/>
    <w:qFormat/>
    <w:uiPriority w:val="0"/>
    <w:pPr>
      <w:spacing w:line="360" w:lineRule="auto"/>
      <w:ind w:firstLine="420" w:firstLineChars="200"/>
    </w:pPr>
    <w:rPr>
      <w:rFonts w:ascii="宋体" w:hAnsi="宋体" w:cs="宋体"/>
      <w:sz w:val="24"/>
    </w:rPr>
  </w:style>
  <w:style w:type="paragraph" w:customStyle="1" w:styleId="52">
    <w:name w:val="Table Paragraph"/>
    <w:basedOn w:val="1"/>
    <w:qFormat/>
    <w:uiPriority w:val="1"/>
  </w:style>
  <w:style w:type="paragraph" w:customStyle="1" w:styleId="53">
    <w:name w:val="WPS Plain"/>
    <w:uiPriority w:val="0"/>
    <w:rPr>
      <w:lang w:val="en-US" w:eastAsia="zh-CN" w:bidi="ar-SA"/>
    </w:rPr>
  </w:style>
  <w:style w:type="paragraph" w:customStyle="1" w:styleId="54">
    <w:name w:val="Body 1"/>
    <w:uiPriority w:val="0"/>
    <w:pPr>
      <w:outlineLvl w:val="0"/>
    </w:pPr>
    <w:rPr>
      <w:rFonts w:ascii="Helvetica" w:hAnsi="Helvetica" w:eastAsia="ヒラギノ角ゴ Pro W3"/>
      <w:color w:val="000000"/>
      <w:sz w:val="22"/>
      <w:lang w:val="en-US" w:eastAsia="zh-CN" w:bidi="ar-SA"/>
    </w:rPr>
  </w:style>
  <w:style w:type="character" w:customStyle="1" w:styleId="55">
    <w:name w:val="font01"/>
    <w:basedOn w:val="30"/>
    <w:qFormat/>
    <w:uiPriority w:val="0"/>
    <w:rPr>
      <w:rFonts w:hint="eastAsia" w:ascii="宋体" w:hAnsi="宋体" w:eastAsia="宋体" w:cs="宋体"/>
      <w:color w:val="000000"/>
      <w:sz w:val="22"/>
      <w:szCs w:val="22"/>
      <w:u w:val="none"/>
    </w:rPr>
  </w:style>
  <w:style w:type="paragraph" w:customStyle="1" w:styleId="56">
    <w:name w:val="文档正文"/>
    <w:basedOn w:val="1"/>
    <w:uiPriority w:val="0"/>
    <w:pPr>
      <w:adjustRightInd w:val="0"/>
      <w:spacing w:line="312" w:lineRule="atLeast"/>
      <w:ind w:firstLine="567"/>
      <w:textAlignment w:val="baseline"/>
    </w:pPr>
    <w:rPr>
      <w:rFonts w:ascii="长城仿宋" w:eastAsia="长城仿宋"/>
      <w:kern w:val="0"/>
      <w:sz w:val="28"/>
      <w:szCs w:val="20"/>
    </w:rPr>
  </w:style>
  <w:style w:type="character" w:customStyle="1" w:styleId="57">
    <w:name w:val="font111"/>
    <w:basedOn w:val="30"/>
    <w:qFormat/>
    <w:uiPriority w:val="0"/>
    <w:rPr>
      <w:rFonts w:ascii="Arial" w:hAnsi="Arial" w:cs="Arial"/>
      <w:color w:val="000000"/>
      <w:sz w:val="18"/>
      <w:szCs w:val="18"/>
      <w:u w:val="none"/>
    </w:rPr>
  </w:style>
  <w:style w:type="character" w:customStyle="1" w:styleId="58">
    <w:name w:val="font81"/>
    <w:basedOn w:val="30"/>
    <w:uiPriority w:val="0"/>
    <w:rPr>
      <w:rFonts w:ascii="Arial" w:hAnsi="Arial" w:cs="Arial"/>
      <w:color w:val="FF0000"/>
      <w:sz w:val="20"/>
      <w:szCs w:val="20"/>
      <w:u w:val="none"/>
    </w:rPr>
  </w:style>
  <w:style w:type="paragraph" w:customStyle="1" w:styleId="59">
    <w:name w:val="biaowen"/>
    <w:basedOn w:val="1"/>
    <w:uiPriority w:val="0"/>
    <w:rPr>
      <w:sz w:val="24"/>
    </w:rPr>
  </w:style>
  <w:style w:type="paragraph" w:customStyle="1" w:styleId="60">
    <w:name w:val="表文"/>
    <w:basedOn w:val="1"/>
    <w:uiPriority w:val="0"/>
    <w:pPr>
      <w:adjustRightInd w:val="0"/>
      <w:jc w:val="center"/>
      <w:textAlignment w:val="baseline"/>
    </w:pPr>
    <w:rPr>
      <w:kern w:val="0"/>
      <w:sz w:val="24"/>
      <w:szCs w:val="20"/>
    </w:rPr>
  </w:style>
  <w:style w:type="paragraph" w:customStyle="1" w:styleId="61">
    <w:name w:val="TOC 标题"/>
    <w:basedOn w:val="4"/>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2">
    <w:name w:val="正文（1）"/>
    <w:basedOn w:val="1"/>
    <w:qFormat/>
    <w:uiPriority w:val="0"/>
    <w:pPr>
      <w:spacing w:line="360" w:lineRule="auto"/>
    </w:pPr>
    <w:rPr>
      <w:rFonts w:ascii="Arial" w:hAnsi="Arial"/>
      <w:sz w:val="24"/>
    </w:rPr>
  </w:style>
  <w:style w:type="paragraph" w:customStyle="1" w:styleId="63">
    <w:name w:val="正文aa"/>
    <w:basedOn w:val="1"/>
    <w:uiPriority w:val="0"/>
    <w:pPr>
      <w:spacing w:line="360" w:lineRule="auto"/>
      <w:ind w:firstLine="200"/>
    </w:pPr>
    <w:rPr>
      <w:rFonts w:ascii="Arial" w:hAnsi="Arial"/>
      <w:sz w:val="24"/>
    </w:rPr>
  </w:style>
  <w:style w:type="paragraph" w:customStyle="1" w:styleId="6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65">
    <w:name w:val="市县风险普查大纲正文"/>
    <w:qFormat/>
    <w:uiPriority w:val="0"/>
    <w:pPr>
      <w:widowControl/>
      <w:spacing w:before="0" w:beforeAutospacing="0" w:after="0" w:afterAutospacing="0" w:line="360" w:lineRule="auto"/>
      <w:ind w:firstLine="720" w:firstLineChars="300"/>
      <w:jc w:val="left"/>
      <w:textAlignment w:val="baseline"/>
    </w:pPr>
    <w:rPr>
      <w:rFonts w:ascii="Arial" w:hAnsi="Arial" w:eastAsia="宋体" w:cs="Arial"/>
      <w:kern w:val="0"/>
      <w:sz w:val="24"/>
      <w:szCs w:val="24"/>
      <w:shd w:val="clear" w:color="auto" w:fill="FFFFFF"/>
      <w:lang w:val="en-US" w:eastAsia="zh-CN" w:bidi="ar-SA"/>
    </w:rPr>
  </w:style>
  <w:style w:type="paragraph" w:customStyle="1" w:styleId="66">
    <w:name w:val="条款"/>
    <w:basedOn w:val="1"/>
    <w:qFormat/>
    <w:uiPriority w:val="0"/>
    <w:pPr>
      <w:widowControl/>
      <w:tabs>
        <w:tab w:val="left" w:pos="794"/>
      </w:tabs>
      <w:ind w:left="794" w:hanging="794"/>
      <w:jc w:val="left"/>
      <w:textAlignment w:val="center"/>
    </w:pPr>
  </w:style>
  <w:style w:type="character" w:customStyle="1" w:styleId="67">
    <w:name w:val="NormalCharacter"/>
    <w:qFormat/>
    <w:uiPriority w:val="0"/>
    <w:rPr>
      <w:rFonts w:ascii="Calibri" w:hAnsi="Calibri" w:eastAsia="宋体" w:cs="Times New Roman"/>
      <w:kern w:val="2"/>
      <w:sz w:val="21"/>
      <w:szCs w:val="24"/>
      <w:lang w:val="en-US" w:eastAsia="zh-CN" w:bidi="ar-SA"/>
    </w:rPr>
  </w:style>
  <w:style w:type="paragraph" w:customStyle="1" w:styleId="68">
    <w:name w:val="BodyText"/>
    <w:basedOn w:val="1"/>
    <w:next w:val="1"/>
    <w:qFormat/>
    <w:uiPriority w:val="0"/>
    <w:pPr>
      <w:spacing w:after="120"/>
      <w:jc w:val="both"/>
      <w:textAlignment w:val="baseline"/>
    </w:pPr>
  </w:style>
  <w:style w:type="paragraph" w:customStyle="1" w:styleId="69">
    <w:name w:val="Heading #2|1"/>
    <w:basedOn w:val="1"/>
    <w:qFormat/>
    <w:uiPriority w:val="0"/>
    <w:pPr>
      <w:widowControl w:val="0"/>
      <w:shd w:val="clear" w:color="auto" w:fill="auto"/>
      <w:spacing w:before="60" w:after="270"/>
      <w:jc w:val="center"/>
      <w:outlineLvl w:val="1"/>
    </w:pPr>
    <w:rPr>
      <w:rFonts w:ascii="宋体" w:hAnsi="宋体" w:eastAsia="宋体" w:cs="宋体"/>
      <w:sz w:val="36"/>
      <w:szCs w:val="36"/>
      <w:u w:val="none"/>
      <w:shd w:val="clear" w:color="auto" w:fill="auto"/>
      <w:lang w:val="zh-TW" w:eastAsia="zh-TW" w:bidi="zh-TW"/>
    </w:rPr>
  </w:style>
  <w:style w:type="paragraph" w:customStyle="1" w:styleId="70">
    <w:name w:val="Body text|2"/>
    <w:basedOn w:val="1"/>
    <w:qFormat/>
    <w:uiPriority w:val="0"/>
    <w:pPr>
      <w:widowControl w:val="0"/>
      <w:shd w:val="clear" w:color="auto" w:fill="auto"/>
      <w:spacing w:after="260"/>
      <w:ind w:firstLine="140"/>
    </w:pPr>
    <w:rPr>
      <w:rFonts w:ascii="宋体" w:hAnsi="宋体" w:eastAsia="宋体" w:cs="宋体"/>
      <w:sz w:val="30"/>
      <w:szCs w:val="30"/>
      <w:u w:val="none"/>
      <w:shd w:val="clear" w:color="auto" w:fill="auto"/>
      <w:lang w:val="zh-TW" w:eastAsia="zh-TW" w:bidi="zh-TW"/>
    </w:rPr>
  </w:style>
  <w:style w:type="paragraph" w:customStyle="1" w:styleId="71">
    <w:name w:val="WPSOffice手动目录 1"/>
    <w:uiPriority w:val="0"/>
    <w:pPr>
      <w:ind w:leftChars="0"/>
    </w:pPr>
    <w:rPr>
      <w:sz w:val="20"/>
      <w:szCs w:val="20"/>
    </w:rPr>
  </w:style>
  <w:style w:type="character" w:customStyle="1" w:styleId="72">
    <w:name w:val="font31"/>
    <w:basedOn w:val="30"/>
    <w:qFormat/>
    <w:uiPriority w:val="0"/>
    <w:rPr>
      <w:rFonts w:hint="eastAsia" w:ascii="宋体" w:hAnsi="宋体" w:eastAsia="宋体" w:cs="宋体"/>
      <w:b/>
      <w:bCs/>
      <w:color w:val="000000"/>
      <w:sz w:val="24"/>
      <w:szCs w:val="24"/>
      <w:u w:val="none"/>
    </w:rPr>
  </w:style>
  <w:style w:type="character" w:customStyle="1" w:styleId="73">
    <w:name w:val="font21"/>
    <w:basedOn w:val="30"/>
    <w:qFormat/>
    <w:uiPriority w:val="0"/>
    <w:rPr>
      <w:rFonts w:hint="eastAsia" w:ascii="宋体" w:hAnsi="宋体" w:eastAsia="宋体" w:cs="宋体"/>
      <w:color w:val="000000"/>
      <w:sz w:val="24"/>
      <w:szCs w:val="24"/>
      <w:u w:val="none"/>
    </w:rPr>
  </w:style>
  <w:style w:type="paragraph" w:customStyle="1" w:styleId="74">
    <w:name w:val="List Paragraph"/>
    <w:basedOn w:val="1"/>
    <w:qFormat/>
    <w:uiPriority w:val="34"/>
    <w:pPr>
      <w:ind w:firstLine="420" w:firstLineChars="200"/>
    </w:pPr>
  </w:style>
  <w:style w:type="paragraph" w:customStyle="1" w:styleId="75">
    <w:name w:val="标题 5（有编号）（绿盟科技）"/>
    <w:basedOn w:val="1"/>
    <w:next w:val="76"/>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76">
    <w:name w:val="正文（绿盟科技）"/>
    <w:qFormat/>
    <w:uiPriority w:val="0"/>
    <w:pPr>
      <w:spacing w:line="300" w:lineRule="auto"/>
    </w:pPr>
    <w:rPr>
      <w:rFonts w:ascii="Arial" w:hAnsi="Arial" w:eastAsia="宋体" w:cs="黑体"/>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90</Pages>
  <Words>45493</Words>
  <Characters>48392</Characters>
  <Lines>387</Lines>
  <Paragraphs>109</Paragraphs>
  <TotalTime>6</TotalTime>
  <ScaleCrop>false</ScaleCrop>
  <LinksUpToDate>false</LinksUpToDate>
  <CharactersWithSpaces>51846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2014-07-12T00:56:00Z</dcterms:created>
  <dc:creator>陈倩倩</dc:creator>
  <cp:lastModifiedBy>杨峰</cp:lastModifiedBy>
  <cp:lastPrinted>2023-11-02T08:44:13Z</cp:lastPrinted>
  <dcterms:modified xsi:type="dcterms:W3CDTF">2023-11-02T09:03:16Z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5134914CB1B9483783E93E88A1861AF5_13</vt:lpwstr>
  </property>
</Properties>
</file>