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djustRightInd w:val="0"/>
        <w:snapToGrid w:val="0"/>
        <w:spacing w:line="360" w:lineRule="auto"/>
        <w:ind w:firstLine="281" w:firstLineChars="100"/>
        <w:jc w:val="right"/>
        <w:rPr>
          <w:rFonts w:hint="eastAsia" w:ascii="宋体" w:hAnsi="宋体" w:eastAsia="宋体" w:cs="宋体"/>
          <w:b/>
          <w:color w:val="auto"/>
          <w:sz w:val="28"/>
          <w:szCs w:val="28"/>
          <w:highlight w:val="none"/>
        </w:rPr>
      </w:pPr>
      <w:bookmarkStart w:id="0" w:name="_Toc43715822"/>
      <w:bookmarkStart w:id="1" w:name="_Toc73710333"/>
    </w:p>
    <w:p>
      <w:pPr>
        <w:pStyle w:val="17"/>
        <w:adjustRightInd w:val="0"/>
        <w:snapToGrid w:val="0"/>
        <w:spacing w:line="360" w:lineRule="auto"/>
        <w:ind w:firstLine="281" w:firstLineChars="100"/>
        <w:jc w:val="righ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hAnsi="宋体" w:cs="宋体"/>
          <w:b/>
          <w:color w:val="auto"/>
          <w:sz w:val="28"/>
          <w:szCs w:val="28"/>
          <w:highlight w:val="none"/>
          <w:lang w:eastAsia="zh-CN"/>
        </w:rPr>
        <w:t>KCS2023-WT156-01</w:t>
      </w:r>
    </w:p>
    <w:p>
      <w:pPr>
        <w:pStyle w:val="17"/>
        <w:adjustRightInd w:val="0"/>
        <w:snapToGrid w:val="0"/>
        <w:spacing w:line="360" w:lineRule="auto"/>
        <w:jc w:val="center"/>
        <w:rPr>
          <w:rFonts w:hint="eastAsia" w:ascii="宋体" w:hAnsi="宋体" w:eastAsia="宋体" w:cs="宋体"/>
          <w:b/>
          <w:color w:val="auto"/>
          <w:sz w:val="28"/>
          <w:szCs w:val="28"/>
          <w:highlight w:val="none"/>
          <w:lang w:eastAsia="zh-CN"/>
        </w:rPr>
      </w:pPr>
    </w:p>
    <w:p>
      <w:pPr>
        <w:pStyle w:val="17"/>
        <w:adjustRightInd w:val="0"/>
        <w:snapToGrid w:val="0"/>
        <w:spacing w:line="360" w:lineRule="auto"/>
        <w:jc w:val="both"/>
        <w:rPr>
          <w:rFonts w:hint="eastAsia" w:ascii="宋体" w:hAnsi="宋体" w:eastAsia="宋体" w:cs="宋体"/>
          <w:b/>
          <w:color w:val="auto"/>
          <w:sz w:val="28"/>
          <w:szCs w:val="28"/>
          <w:highlight w:val="none"/>
          <w:lang w:eastAsia="zh-CN"/>
        </w:rPr>
      </w:pPr>
    </w:p>
    <w:p>
      <w:pPr>
        <w:pStyle w:val="17"/>
        <w:adjustRightInd w:val="0"/>
        <w:snapToGrid w:val="0"/>
        <w:spacing w:line="360" w:lineRule="auto"/>
        <w:jc w:val="center"/>
        <w:rPr>
          <w:rFonts w:hint="eastAsia" w:ascii="宋体" w:hAnsi="宋体" w:eastAsia="宋体" w:cs="宋体"/>
          <w:b/>
          <w:color w:val="auto"/>
          <w:sz w:val="28"/>
          <w:szCs w:val="28"/>
          <w:highlight w:val="none"/>
          <w:lang w:eastAsia="zh-CN"/>
        </w:rPr>
      </w:pPr>
    </w:p>
    <w:p>
      <w:pPr>
        <w:pStyle w:val="17"/>
        <w:adjustRightInd w:val="0"/>
        <w:snapToGrid w:val="0"/>
        <w:spacing w:line="360" w:lineRule="auto"/>
        <w:jc w:val="center"/>
        <w:rPr>
          <w:rFonts w:hint="eastAsia" w:ascii="宋体" w:hAnsi="宋体" w:eastAsia="宋体" w:cs="宋体"/>
          <w:b/>
          <w:color w:val="auto"/>
          <w:sz w:val="56"/>
          <w:szCs w:val="72"/>
          <w:highlight w:val="none"/>
          <w:lang w:val="en-US" w:eastAsia="zh-CN"/>
        </w:rPr>
      </w:pPr>
      <w:r>
        <w:rPr>
          <w:rFonts w:hint="eastAsia" w:hAnsi="宋体" w:cs="宋体"/>
          <w:b/>
          <w:color w:val="auto"/>
          <w:sz w:val="36"/>
          <w:szCs w:val="36"/>
          <w:highlight w:val="none"/>
          <w:lang w:val="en-US" w:eastAsia="zh-CN"/>
        </w:rPr>
        <w:t>库车市乌恰镇卫生院能力提升临床医疗设备购置项目</w:t>
      </w:r>
    </w:p>
    <w:p>
      <w:pPr>
        <w:pStyle w:val="17"/>
        <w:adjustRightInd w:val="0"/>
        <w:snapToGrid w:val="0"/>
        <w:spacing w:line="360" w:lineRule="auto"/>
        <w:jc w:val="center"/>
        <w:rPr>
          <w:rFonts w:hint="eastAsia" w:ascii="宋体" w:hAnsi="宋体" w:eastAsia="宋体" w:cs="宋体"/>
          <w:b/>
          <w:color w:val="auto"/>
          <w:sz w:val="56"/>
          <w:szCs w:val="72"/>
          <w:highlight w:val="none"/>
          <w:lang w:val="en-US" w:eastAsia="zh-CN"/>
        </w:rPr>
      </w:pPr>
    </w:p>
    <w:p>
      <w:pPr>
        <w:pStyle w:val="17"/>
        <w:adjustRightInd w:val="0"/>
        <w:snapToGrid w:val="0"/>
        <w:spacing w:line="360" w:lineRule="auto"/>
        <w:jc w:val="center"/>
        <w:rPr>
          <w:rFonts w:hint="eastAsia" w:ascii="宋体" w:hAnsi="宋体" w:eastAsia="宋体" w:cs="宋体"/>
          <w:b/>
          <w:color w:val="auto"/>
          <w:sz w:val="56"/>
          <w:szCs w:val="72"/>
          <w:highlight w:val="none"/>
          <w:lang w:val="en-US" w:eastAsia="zh-CN"/>
        </w:rPr>
      </w:pPr>
    </w:p>
    <w:p>
      <w:pPr>
        <w:pStyle w:val="17"/>
        <w:adjustRightInd w:val="0"/>
        <w:snapToGrid w:val="0"/>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lang w:val="en-US" w:eastAsia="zh-CN"/>
        </w:rPr>
        <w:t>竞争性磋商</w:t>
      </w:r>
      <w:r>
        <w:rPr>
          <w:rFonts w:hint="eastAsia" w:ascii="宋体" w:hAnsi="宋体" w:eastAsia="宋体" w:cs="宋体"/>
          <w:b/>
          <w:color w:val="auto"/>
          <w:sz w:val="72"/>
          <w:szCs w:val="72"/>
          <w:highlight w:val="none"/>
        </w:rPr>
        <w:t>文件</w:t>
      </w:r>
    </w:p>
    <w:p>
      <w:pPr>
        <w:pStyle w:val="17"/>
        <w:adjustRightInd w:val="0"/>
        <w:snapToGrid w:val="0"/>
        <w:spacing w:line="360" w:lineRule="auto"/>
        <w:jc w:val="center"/>
        <w:rPr>
          <w:rFonts w:hint="eastAsia" w:ascii="宋体" w:hAnsi="宋体" w:eastAsia="宋体" w:cs="宋体"/>
          <w:b/>
          <w:color w:val="auto"/>
          <w:sz w:val="28"/>
          <w:szCs w:val="28"/>
          <w:highlight w:val="none"/>
          <w:lang w:eastAsia="zh-CN"/>
        </w:rPr>
      </w:pPr>
    </w:p>
    <w:p>
      <w:pPr>
        <w:pStyle w:val="17"/>
        <w:adjustRightInd w:val="0"/>
        <w:snapToGrid w:val="0"/>
        <w:spacing w:line="360" w:lineRule="auto"/>
        <w:rPr>
          <w:rFonts w:hint="eastAsia" w:ascii="宋体" w:hAnsi="宋体" w:eastAsia="宋体" w:cs="宋体"/>
          <w:b/>
          <w:color w:val="auto"/>
          <w:sz w:val="28"/>
          <w:szCs w:val="28"/>
          <w:highlight w:val="none"/>
        </w:rPr>
      </w:pPr>
    </w:p>
    <w:p>
      <w:pPr>
        <w:pStyle w:val="17"/>
        <w:adjustRightInd w:val="0"/>
        <w:snapToGrid w:val="0"/>
        <w:spacing w:line="360" w:lineRule="auto"/>
        <w:rPr>
          <w:rFonts w:hint="eastAsia" w:ascii="宋体" w:hAnsi="宋体" w:eastAsia="宋体" w:cs="宋体"/>
          <w:b/>
          <w:color w:val="auto"/>
          <w:sz w:val="28"/>
          <w:szCs w:val="28"/>
          <w:highlight w:val="none"/>
        </w:rPr>
      </w:pPr>
    </w:p>
    <w:p>
      <w:pPr>
        <w:pStyle w:val="17"/>
        <w:adjustRightInd w:val="0"/>
        <w:snapToGrid w:val="0"/>
        <w:spacing w:line="360" w:lineRule="auto"/>
        <w:ind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采购人：</w:t>
      </w:r>
      <w:r>
        <w:rPr>
          <w:rFonts w:hint="eastAsia" w:hAnsi="宋体" w:cs="宋体"/>
          <w:b/>
          <w:color w:val="auto"/>
          <w:sz w:val="28"/>
          <w:szCs w:val="28"/>
          <w:highlight w:val="none"/>
          <w:lang w:eastAsia="zh-CN"/>
        </w:rPr>
        <w:t>库车市乌恰镇卫生院</w:t>
      </w:r>
    </w:p>
    <w:p>
      <w:pPr>
        <w:pStyle w:val="17"/>
        <w:adjustRightInd w:val="0"/>
        <w:snapToGrid w:val="0"/>
        <w:spacing w:line="360" w:lineRule="auto"/>
        <w:ind w:firstLine="281" w:firstLineChars="10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联系人：</w:t>
      </w:r>
      <w:r>
        <w:rPr>
          <w:rFonts w:hint="eastAsia" w:hAnsi="宋体" w:cs="宋体"/>
          <w:b/>
          <w:bCs w:val="0"/>
          <w:color w:val="auto"/>
          <w:sz w:val="28"/>
          <w:szCs w:val="28"/>
          <w:highlight w:val="none"/>
          <w:lang w:val="en-US" w:eastAsia="zh-CN"/>
        </w:rPr>
        <w:t>李超</w:t>
      </w:r>
    </w:p>
    <w:p>
      <w:pPr>
        <w:pStyle w:val="17"/>
        <w:adjustRightInd w:val="0"/>
        <w:snapToGrid w:val="0"/>
        <w:spacing w:line="360" w:lineRule="auto"/>
        <w:ind w:firstLine="281" w:firstLineChars="10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联系方式：</w:t>
      </w:r>
      <w:r>
        <w:rPr>
          <w:rFonts w:hint="eastAsia" w:hAnsi="宋体" w:cs="宋体"/>
          <w:b/>
          <w:bCs w:val="0"/>
          <w:color w:val="auto"/>
          <w:sz w:val="28"/>
          <w:szCs w:val="28"/>
          <w:highlight w:val="none"/>
          <w:lang w:val="en-US" w:eastAsia="zh-CN"/>
        </w:rPr>
        <w:t>15026383419</w:t>
      </w:r>
    </w:p>
    <w:p>
      <w:pPr>
        <w:pStyle w:val="17"/>
        <w:adjustRightInd w:val="0"/>
        <w:snapToGrid w:val="0"/>
        <w:spacing w:line="360" w:lineRule="auto"/>
        <w:ind w:firstLine="829" w:firstLineChars="295"/>
        <w:rPr>
          <w:rFonts w:hint="eastAsia" w:ascii="宋体" w:hAnsi="宋体" w:eastAsia="宋体" w:cs="宋体"/>
          <w:b/>
          <w:color w:val="auto"/>
          <w:sz w:val="28"/>
          <w:szCs w:val="28"/>
          <w:highlight w:val="none"/>
        </w:rPr>
      </w:pPr>
    </w:p>
    <w:p>
      <w:pPr>
        <w:pStyle w:val="17"/>
        <w:adjustRightInd w:val="0"/>
        <w:snapToGrid w:val="0"/>
        <w:spacing w:line="360" w:lineRule="auto"/>
        <w:ind w:firstLine="281" w:firstLineChars="1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lang w:eastAsia="zh-CN"/>
        </w:rPr>
        <w:t>新疆准距项目管理有限公司</w:t>
      </w:r>
    </w:p>
    <w:p>
      <w:pPr>
        <w:pStyle w:val="17"/>
        <w:adjustRightInd w:val="0"/>
        <w:snapToGrid w:val="0"/>
        <w:spacing w:line="360" w:lineRule="auto"/>
        <w:ind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联系人：</w:t>
      </w:r>
      <w:r>
        <w:rPr>
          <w:rFonts w:hint="eastAsia" w:hAnsi="宋体" w:cs="宋体"/>
          <w:b/>
          <w:color w:val="auto"/>
          <w:sz w:val="28"/>
          <w:szCs w:val="28"/>
          <w:highlight w:val="none"/>
          <w:lang w:eastAsia="zh-CN"/>
        </w:rPr>
        <w:t xml:space="preserve">王轩 </w:t>
      </w:r>
    </w:p>
    <w:p>
      <w:pPr>
        <w:pStyle w:val="17"/>
        <w:adjustRightInd w:val="0"/>
        <w:snapToGrid w:val="0"/>
        <w:spacing w:line="360" w:lineRule="auto"/>
        <w:ind w:firstLine="281" w:firstLineChars="100"/>
        <w:rPr>
          <w:rFonts w:hint="eastAsia" w:ascii="宋体" w:hAnsi="宋体" w:eastAsia="宋体" w:cs="宋体"/>
          <w:b/>
          <w:color w:val="auto"/>
          <w:sz w:val="32"/>
          <w:szCs w:val="32"/>
          <w:highlight w:val="none"/>
          <w:lang w:val="en-US"/>
        </w:rPr>
      </w:pPr>
      <w:r>
        <w:rPr>
          <w:rFonts w:hint="eastAsia" w:ascii="宋体" w:hAnsi="宋体" w:eastAsia="宋体" w:cs="宋体"/>
          <w:b/>
          <w:color w:val="auto"/>
          <w:sz w:val="28"/>
          <w:szCs w:val="28"/>
          <w:highlight w:val="none"/>
        </w:rPr>
        <w:t>联系方式：</w:t>
      </w:r>
      <w:r>
        <w:rPr>
          <w:rFonts w:hint="eastAsia" w:ascii="宋体" w:hAnsi="宋体" w:eastAsia="宋体" w:cs="宋体"/>
          <w:b/>
          <w:color w:val="auto"/>
          <w:sz w:val="28"/>
          <w:szCs w:val="28"/>
          <w:highlight w:val="none"/>
          <w:lang w:val="en-US" w:eastAsia="zh-CN"/>
        </w:rPr>
        <w:t>19399441014</w:t>
      </w:r>
    </w:p>
    <w:p>
      <w:pPr>
        <w:jc w:val="center"/>
        <w:rPr>
          <w:rFonts w:hint="eastAsia" w:ascii="宋体" w:hAnsi="宋体" w:eastAsia="宋体" w:cs="宋体"/>
          <w:b/>
          <w:color w:val="auto"/>
          <w:sz w:val="44"/>
          <w:szCs w:val="44"/>
          <w:highlight w:val="none"/>
        </w:rPr>
      </w:pPr>
    </w:p>
    <w:p>
      <w:pPr>
        <w:pStyle w:val="13"/>
        <w:jc w:val="cente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28"/>
          <w:szCs w:val="28"/>
          <w:highlight w:val="none"/>
        </w:rPr>
        <w:t>2023年</w:t>
      </w:r>
      <w:r>
        <w:rPr>
          <w:rFonts w:hint="eastAsia" w:ascii="宋体" w:hAnsi="宋体" w:eastAsia="宋体" w:cs="宋体"/>
          <w:b/>
          <w:bCs w:val="0"/>
          <w:color w:val="auto"/>
          <w:sz w:val="28"/>
          <w:szCs w:val="28"/>
          <w:highlight w:val="none"/>
          <w:lang w:val="en-US" w:eastAsia="zh-CN"/>
        </w:rPr>
        <w:t>10</w:t>
      </w:r>
      <w:r>
        <w:rPr>
          <w:rFonts w:hint="eastAsia" w:ascii="宋体" w:hAnsi="宋体" w:eastAsia="宋体" w:cs="宋体"/>
          <w:b/>
          <w:bCs w:val="0"/>
          <w:color w:val="auto"/>
          <w:sz w:val="28"/>
          <w:szCs w:val="28"/>
          <w:highlight w:val="none"/>
        </w:rPr>
        <w:t>月</w:t>
      </w:r>
    </w:p>
    <w:p>
      <w:pPr>
        <w:pStyle w:val="13"/>
        <w:rPr>
          <w:rFonts w:hint="eastAsia" w:ascii="宋体" w:hAnsi="宋体" w:eastAsia="宋体" w:cs="宋体"/>
          <w:b/>
          <w:color w:val="auto"/>
          <w:sz w:val="44"/>
          <w:szCs w:val="44"/>
          <w:highlight w:val="none"/>
        </w:rPr>
      </w:pPr>
    </w:p>
    <w:p>
      <w:pPr>
        <w:pStyle w:val="13"/>
        <w:rPr>
          <w:rFonts w:hint="eastAsia" w:ascii="宋体" w:hAnsi="宋体" w:eastAsia="宋体" w:cs="宋体"/>
          <w:b/>
          <w:color w:val="auto"/>
          <w:sz w:val="44"/>
          <w:szCs w:val="44"/>
          <w:highlight w:val="none"/>
        </w:rPr>
      </w:pPr>
    </w:p>
    <w:p>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录</w:t>
      </w:r>
    </w:p>
    <w:sdt>
      <w:sdtPr>
        <w:rPr>
          <w:rFonts w:hint="eastAsia" w:ascii="宋体" w:hAnsi="宋体" w:eastAsia="宋体" w:cs="宋体"/>
          <w:b/>
          <w:bCs/>
          <w:color w:val="auto"/>
          <w:kern w:val="2"/>
          <w:sz w:val="36"/>
          <w:szCs w:val="36"/>
          <w:highlight w:val="none"/>
          <w:lang w:val="en-US" w:eastAsia="zh-CN" w:bidi="ar-SA"/>
        </w:rPr>
        <w:id w:val="147458662"/>
        <w15:color w:val="DBDBDB"/>
        <w:docPartObj>
          <w:docPartGallery w:val="Table of Contents"/>
          <w:docPartUnique/>
        </w:docPartObj>
      </w:sdtPr>
      <w:sdtEndPr>
        <w:rPr>
          <w:rFonts w:hint="eastAsia" w:ascii="宋体" w:hAnsi="宋体" w:eastAsia="宋体" w:cs="宋体"/>
          <w:b/>
          <w:bCs/>
          <w:caps/>
          <w:color w:val="auto"/>
          <w:kern w:val="2"/>
          <w:sz w:val="36"/>
          <w:szCs w:val="36"/>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6"/>
              <w:szCs w:val="36"/>
              <w:highlight w:val="none"/>
            </w:rPr>
          </w:pPr>
        </w:p>
        <w:p>
          <w:pPr>
            <w:pStyle w:val="54"/>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Style w:val="35"/>
              <w:rFonts w:hint="eastAsia" w:ascii="宋体" w:hAnsi="宋体" w:eastAsia="宋体" w:cs="宋体"/>
              <w:b/>
              <w:bCs/>
              <w:caps/>
              <w:color w:val="auto"/>
              <w:kern w:val="2"/>
              <w:sz w:val="36"/>
              <w:szCs w:val="36"/>
              <w:highlight w:val="none"/>
              <w:lang w:val="en-US" w:eastAsia="zh-CN" w:bidi="ar-SA"/>
            </w:rPr>
            <w:fldChar w:fldCharType="begin"/>
          </w:r>
          <w:r>
            <w:rPr>
              <w:rStyle w:val="35"/>
              <w:rFonts w:hint="eastAsia" w:ascii="宋体" w:hAnsi="宋体" w:eastAsia="宋体" w:cs="宋体"/>
              <w:b/>
              <w:bCs/>
              <w:caps/>
              <w:color w:val="auto"/>
              <w:kern w:val="2"/>
              <w:sz w:val="36"/>
              <w:szCs w:val="36"/>
              <w:highlight w:val="none"/>
              <w:lang w:val="en-US" w:eastAsia="zh-CN" w:bidi="ar-SA"/>
            </w:rPr>
            <w:instrText xml:space="preserve">TOC \o "1-1" \h \u </w:instrText>
          </w:r>
          <w:r>
            <w:rPr>
              <w:rStyle w:val="35"/>
              <w:rFonts w:hint="eastAsia" w:ascii="宋体" w:hAnsi="宋体" w:eastAsia="宋体" w:cs="宋体"/>
              <w:b/>
              <w:bCs/>
              <w:caps/>
              <w:color w:val="auto"/>
              <w:kern w:val="2"/>
              <w:sz w:val="36"/>
              <w:szCs w:val="36"/>
              <w:highlight w:val="none"/>
              <w:lang w:val="en-US" w:eastAsia="zh-CN" w:bidi="ar-SA"/>
            </w:rPr>
            <w:fldChar w:fldCharType="separate"/>
          </w: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_Toc20854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lang w:val="en-US" w:eastAsia="zh-CN"/>
            </w:rPr>
            <w:t>第一章 竞争性磋商公告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_Toc20854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54"/>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_Toc20568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第二章  磋商须知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_Toc20568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54"/>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_Toc4926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第三章评审方法及标准</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_Toc4926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54"/>
            <w:keepNext w:val="0"/>
            <w:keepLines w:val="0"/>
            <w:pageBreakBefore w:val="0"/>
            <w:widowControl/>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_Toc26713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第四章合同草案条款</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_Toc26713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20</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54"/>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_Toc14935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第五章响应文件组成</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_Toc14935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20</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54"/>
            <w:keepNext w:val="0"/>
            <w:keepLines w:val="0"/>
            <w:pageBreakBefore w:val="0"/>
            <w:widowControl/>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_Toc4192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第六章项目采购需求</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_Toc4192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49</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keepNext w:val="0"/>
            <w:keepLines w:val="0"/>
            <w:pageBreakBefore w:val="0"/>
            <w:kinsoku/>
            <w:wordWrap/>
            <w:overflowPunct/>
            <w:topLinePunct w:val="0"/>
            <w:autoSpaceDE/>
            <w:autoSpaceDN/>
            <w:bidi w:val="0"/>
            <w:adjustRightInd/>
            <w:snapToGrid/>
            <w:spacing w:line="480" w:lineRule="auto"/>
            <w:ind w:firstLine="723" w:firstLineChars="200"/>
            <w:textAlignment w:val="auto"/>
            <w:rPr>
              <w:rStyle w:val="35"/>
              <w:rFonts w:hint="eastAsia" w:ascii="宋体" w:hAnsi="宋体" w:eastAsia="宋体" w:cs="宋体"/>
              <w:b/>
              <w:bCs/>
              <w:caps/>
              <w:color w:val="auto"/>
              <w:kern w:val="2"/>
              <w:sz w:val="36"/>
              <w:szCs w:val="36"/>
              <w:highlight w:val="none"/>
              <w:lang w:val="en-US" w:eastAsia="zh-CN" w:bidi="ar-SA"/>
            </w:rPr>
          </w:pPr>
          <w:r>
            <w:rPr>
              <w:rFonts w:hint="eastAsia" w:ascii="宋体" w:hAnsi="宋体" w:eastAsia="宋体" w:cs="宋体"/>
              <w:b/>
              <w:bCs/>
              <w:caps/>
              <w:color w:val="auto"/>
              <w:kern w:val="2"/>
              <w:sz w:val="36"/>
              <w:szCs w:val="36"/>
              <w:highlight w:val="none"/>
              <w:lang w:val="en-US" w:eastAsia="zh-CN" w:bidi="ar-SA"/>
            </w:rPr>
            <w:fldChar w:fldCharType="end"/>
          </w:r>
        </w:p>
      </w:sdtContent>
    </w:sdt>
    <w:p>
      <w:pPr>
        <w:spacing w:line="360" w:lineRule="auto"/>
        <w:ind w:firstLine="723" w:firstLineChars="200"/>
        <w:rPr>
          <w:rFonts w:hint="eastAsia" w:ascii="宋体" w:hAnsi="宋体" w:eastAsia="宋体" w:cs="宋体"/>
          <w:b/>
          <w:bCs/>
          <w:color w:val="auto"/>
          <w:sz w:val="36"/>
          <w:szCs w:val="36"/>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jc w:val="both"/>
        <w:rPr>
          <w:rFonts w:hint="eastAsia" w:ascii="宋体" w:hAnsi="宋体" w:eastAsia="宋体" w:cs="宋体"/>
          <w:b/>
          <w:color w:val="auto"/>
          <w:sz w:val="28"/>
          <w:szCs w:val="28"/>
          <w:highlight w:val="none"/>
        </w:rPr>
      </w:pPr>
    </w:p>
    <w:p>
      <w:pPr>
        <w:pageBreakBefore w:val="0"/>
        <w:numPr>
          <w:ilvl w:val="0"/>
          <w:numId w:val="1"/>
        </w:numPr>
        <w:kinsoku/>
        <w:wordWrap/>
        <w:overflowPunct/>
        <w:topLinePunct w:val="0"/>
        <w:autoSpaceDE/>
        <w:autoSpaceDN/>
        <w:bidi w:val="0"/>
        <w:adjustRightInd/>
        <w:snapToGrid/>
        <w:spacing w:line="522" w:lineRule="exact"/>
        <w:jc w:val="center"/>
        <w:textAlignment w:val="auto"/>
        <w:outlineLvl w:val="0"/>
        <w:rPr>
          <w:rFonts w:hint="eastAsia" w:ascii="宋体" w:hAnsi="宋体" w:eastAsia="宋体" w:cs="宋体"/>
          <w:b/>
          <w:color w:val="auto"/>
          <w:sz w:val="28"/>
          <w:szCs w:val="28"/>
          <w:highlight w:val="none"/>
          <w:lang w:val="en-US" w:eastAsia="zh-CN"/>
        </w:rPr>
        <w:sectPr>
          <w:headerReference r:id="rId3" w:type="default"/>
          <w:footerReference r:id="rId4" w:type="default"/>
          <w:pgSz w:w="11906" w:h="16838"/>
          <w:pgMar w:top="1134" w:right="1304" w:bottom="1134" w:left="1417" w:header="0" w:footer="992" w:gutter="0"/>
          <w:cols w:space="720" w:num="1"/>
          <w:docGrid w:linePitch="312" w:charSpace="0"/>
        </w:sectPr>
      </w:pPr>
    </w:p>
    <w:p>
      <w:pPr>
        <w:pageBreakBefore w:val="0"/>
        <w:numPr>
          <w:ilvl w:val="0"/>
          <w:numId w:val="1"/>
        </w:numPr>
        <w:kinsoku/>
        <w:wordWrap/>
        <w:overflowPunct/>
        <w:topLinePunct w:val="0"/>
        <w:autoSpaceDE/>
        <w:autoSpaceDN/>
        <w:bidi w:val="0"/>
        <w:adjustRightInd/>
        <w:snapToGrid/>
        <w:spacing w:line="522" w:lineRule="exact"/>
        <w:jc w:val="center"/>
        <w:textAlignment w:val="auto"/>
        <w:outlineLvl w:val="0"/>
        <w:rPr>
          <w:rFonts w:hint="eastAsia" w:ascii="宋体" w:hAnsi="宋体" w:eastAsia="宋体" w:cs="宋体"/>
          <w:b/>
          <w:color w:val="auto"/>
          <w:sz w:val="28"/>
          <w:szCs w:val="28"/>
          <w:highlight w:val="none"/>
          <w:lang w:val="en-US" w:eastAsia="zh-CN"/>
        </w:rPr>
      </w:pPr>
      <w:bookmarkStart w:id="2" w:name="_Toc20854"/>
      <w:r>
        <w:rPr>
          <w:rFonts w:hint="eastAsia" w:ascii="宋体" w:hAnsi="宋体" w:eastAsia="宋体" w:cs="宋体"/>
          <w:b/>
          <w:color w:val="auto"/>
          <w:sz w:val="28"/>
          <w:szCs w:val="28"/>
          <w:highlight w:val="none"/>
          <w:lang w:val="en-US" w:eastAsia="zh-CN"/>
        </w:rPr>
        <w:t>竞争性磋商公告</w:t>
      </w:r>
      <w:bookmarkEnd w:id="2"/>
    </w:p>
    <w:p>
      <w:pPr>
        <w:pStyle w:val="10"/>
        <w:numPr>
          <w:ilvl w:val="0"/>
          <w:numId w:val="0"/>
        </w:numPr>
        <w:rPr>
          <w:rFonts w:hint="eastAsia" w:ascii="宋体" w:hAnsi="宋体" w:eastAsia="宋体" w:cs="宋体"/>
          <w:color w:val="auto"/>
          <w:highlight w:val="none"/>
          <w:lang w:val="en-US" w:eastAsia="zh-CN"/>
        </w:rPr>
      </w:pP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2"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2" w:lineRule="exact"/>
        <w:ind w:firstLine="480" w:firstLineChars="200"/>
        <w:textAlignment w:val="auto"/>
        <w:rPr>
          <w:rStyle w:val="33"/>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u w:val="none"/>
          <w:lang w:eastAsia="zh-CN"/>
        </w:rPr>
        <w:t>库车市乌恰镇卫生院能力提升临床医疗设备购置项目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highlight w:val="none"/>
        </w:rPr>
        <w:t>潜在供应商应在政采云平台获取采购文件，并于202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日 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0（北京时间）前提交响应文件。</w:t>
      </w:r>
    </w:p>
    <w:p>
      <w:pPr>
        <w:pStyle w:val="3"/>
        <w:keepNext/>
        <w:keepLines/>
        <w:pageBreakBefore w:val="0"/>
        <w:widowControl w:val="0"/>
        <w:tabs>
          <w:tab w:val="left" w:pos="8400"/>
        </w:tabs>
        <w:kinsoku/>
        <w:wordWrap/>
        <w:overflowPunct/>
        <w:topLinePunct w:val="0"/>
        <w:autoSpaceDE/>
        <w:autoSpaceDN/>
        <w:bidi w:val="0"/>
        <w:adjustRightInd/>
        <w:snapToGrid/>
        <w:spacing w:before="180" w:after="180" w:line="360" w:lineRule="exact"/>
        <w:textAlignment w:val="auto"/>
        <w:rPr>
          <w:rFonts w:hint="eastAsia" w:ascii="宋体" w:hAnsi="宋体" w:eastAsia="宋体" w:cs="宋体"/>
          <w:b/>
          <w:bCs w:val="0"/>
          <w:color w:val="auto"/>
          <w:sz w:val="28"/>
          <w:szCs w:val="28"/>
          <w:highlight w:val="none"/>
        </w:rPr>
      </w:pPr>
      <w:bookmarkStart w:id="3" w:name="_Toc28359079"/>
      <w:bookmarkStart w:id="4" w:name="_Toc28359002"/>
      <w:bookmarkStart w:id="5" w:name="_Toc35393790"/>
      <w:bookmarkStart w:id="6" w:name="_Toc35393621"/>
      <w:bookmarkStart w:id="7" w:name="_Hlk24379207"/>
      <w:r>
        <w:rPr>
          <w:rFonts w:hint="eastAsia" w:ascii="宋体" w:hAnsi="宋体" w:eastAsia="宋体" w:cs="宋体"/>
          <w:b/>
          <w:bCs w:val="0"/>
          <w:color w:val="auto"/>
          <w:sz w:val="28"/>
          <w:szCs w:val="28"/>
          <w:highlight w:val="none"/>
        </w:rPr>
        <w:t>一、项目基本情况</w:t>
      </w:r>
      <w:bookmarkEnd w:id="3"/>
      <w:bookmarkEnd w:id="4"/>
      <w:bookmarkEnd w:id="5"/>
      <w:bookmarkEnd w:id="6"/>
    </w:p>
    <w:p>
      <w:pPr>
        <w:pageBreakBefore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KCS2023-WT156-01</w:t>
      </w:r>
    </w:p>
    <w:p>
      <w:pPr>
        <w:pageBreakBefore w:val="0"/>
        <w:kinsoku/>
        <w:wordWrap/>
        <w:overflowPunct/>
        <w:topLinePunct w:val="0"/>
        <w:autoSpaceDE/>
        <w:autoSpaceDN/>
        <w:bidi w:val="0"/>
        <w:adjustRightInd/>
        <w:snapToGrid/>
        <w:spacing w:line="360" w:lineRule="exact"/>
        <w:ind w:firstLine="228"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项目名称：</w:t>
      </w:r>
      <w:r>
        <w:rPr>
          <w:rFonts w:hint="eastAsia" w:ascii="宋体" w:hAnsi="宋体" w:cs="宋体"/>
          <w:color w:val="auto"/>
          <w:spacing w:val="-6"/>
          <w:sz w:val="24"/>
          <w:szCs w:val="24"/>
          <w:highlight w:val="none"/>
          <w:lang w:eastAsia="zh-CN"/>
        </w:rPr>
        <w:t>库车市乌恰镇卫生院能力提升临床医疗设备购置项目</w:t>
      </w:r>
    </w:p>
    <w:bookmarkEnd w:id="7"/>
    <w:p>
      <w:pPr>
        <w:pageBreakBefore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pPr>
        <w:pageBreakBefore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51</w:t>
      </w:r>
      <w:r>
        <w:rPr>
          <w:rFonts w:hint="eastAsia" w:ascii="宋体" w:hAnsi="宋体" w:eastAsia="宋体" w:cs="宋体"/>
          <w:color w:val="auto"/>
          <w:sz w:val="24"/>
          <w:szCs w:val="24"/>
          <w:highlight w:val="none"/>
          <w:lang w:val="en-US" w:eastAsia="zh-CN"/>
        </w:rPr>
        <w:t>0000</w:t>
      </w:r>
    </w:p>
    <w:p>
      <w:pPr>
        <w:pageBreakBefore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4"/>
          <w:szCs w:val="24"/>
          <w:highlight w:val="none"/>
        </w:rPr>
        <w:t>最高限价（元）：</w:t>
      </w:r>
      <w:r>
        <w:rPr>
          <w:rFonts w:hint="eastAsia" w:ascii="宋体" w:hAnsi="宋体" w:eastAsia="宋体" w:cs="宋体"/>
          <w:color w:val="auto"/>
          <w:sz w:val="24"/>
          <w:highlight w:val="none"/>
          <w:lang w:val="en-US" w:eastAsia="zh-CN"/>
        </w:rPr>
        <w:t>510000</w:t>
      </w:r>
    </w:p>
    <w:p>
      <w:pPr>
        <w:pageBreakBefore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pPr>
        <w:pStyle w:val="27"/>
        <w:keepNext w:val="0"/>
        <w:keepLines w:val="0"/>
        <w:pageBreakBefore w:val="0"/>
        <w:widowControl w:val="0"/>
        <w:kinsoku/>
        <w:wordWrap/>
        <w:overflowPunct/>
        <w:topLinePunct w:val="0"/>
        <w:autoSpaceDE/>
        <w:autoSpaceDN/>
        <w:bidi w:val="0"/>
        <w:adjustRightInd/>
        <w:snapToGrid/>
        <w:spacing w:before="75" w:beforeAutospacing="0" w:after="75" w:afterAutospacing="0" w:line="360" w:lineRule="exact"/>
        <w:ind w:leftChars="200"/>
        <w:textAlignment w:val="auto"/>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kern w:val="2"/>
          <w:sz w:val="24"/>
          <w:szCs w:val="24"/>
          <w:highlight w:val="none"/>
          <w:lang w:val="en-US" w:eastAsia="zh-CN" w:bidi="ar-SA"/>
        </w:rPr>
        <w:t>标项名称：</w:t>
      </w:r>
      <w:r>
        <w:rPr>
          <w:rFonts w:hint="eastAsia" w:ascii="宋体" w:hAnsi="宋体" w:eastAsia="宋体" w:cs="宋体"/>
          <w:color w:val="auto"/>
          <w:sz w:val="24"/>
          <w:highlight w:val="none"/>
          <w:lang w:val="en-US" w:eastAsia="zh-CN"/>
        </w:rPr>
        <w:t>库车市乌恰镇卫生院能力提升临床医疗设备购置项目</w:t>
      </w:r>
    </w:p>
    <w:p>
      <w:pPr>
        <w:pStyle w:val="27"/>
        <w:keepNext w:val="0"/>
        <w:keepLines w:val="0"/>
        <w:pageBreakBefore w:val="0"/>
        <w:widowControl w:val="0"/>
        <w:kinsoku/>
        <w:wordWrap/>
        <w:overflowPunct/>
        <w:topLinePunct w:val="0"/>
        <w:autoSpaceDE/>
        <w:autoSpaceDN/>
        <w:bidi w:val="0"/>
        <w:adjustRightInd/>
        <w:snapToGrid/>
        <w:spacing w:before="75" w:beforeAutospacing="0" w:after="75" w:afterAutospacing="0" w:line="360" w:lineRule="exact"/>
        <w:ind w:left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pacing w:val="-6"/>
          <w:kern w:val="2"/>
          <w:sz w:val="24"/>
          <w:szCs w:val="24"/>
          <w:highlight w:val="none"/>
          <w:lang w:val="en-US" w:eastAsia="zh-CN" w:bidi="ar-SA"/>
        </w:rPr>
        <w:t>数量:</w:t>
      </w:r>
      <w:r>
        <w:rPr>
          <w:rFonts w:hint="eastAsia" w:ascii="宋体" w:hAnsi="宋体" w:cs="宋体"/>
          <w:color w:val="auto"/>
          <w:spacing w:val="-6"/>
          <w:kern w:val="2"/>
          <w:sz w:val="24"/>
          <w:szCs w:val="24"/>
          <w:highlight w:val="none"/>
          <w:lang w:val="en-US" w:eastAsia="zh-CN" w:bidi="ar-SA"/>
        </w:rPr>
        <w:t>1</w:t>
      </w:r>
      <w:r>
        <w:rPr>
          <w:rFonts w:hint="eastAsia" w:ascii="宋体" w:hAnsi="宋体" w:eastAsia="宋体" w:cs="宋体"/>
          <w:color w:val="auto"/>
          <w:spacing w:val="-6"/>
          <w:kern w:val="2"/>
          <w:sz w:val="24"/>
          <w:szCs w:val="24"/>
          <w:highlight w:val="none"/>
          <w:lang w:val="en-US" w:eastAsia="zh-CN" w:bidi="ar-SA"/>
        </w:rPr>
        <w:br w:type="textWrapping"/>
      </w:r>
      <w:r>
        <w:rPr>
          <w:rFonts w:hint="eastAsia" w:ascii="宋体" w:hAnsi="宋体" w:eastAsia="宋体" w:cs="宋体"/>
          <w:color w:val="auto"/>
          <w:spacing w:val="-6"/>
          <w:kern w:val="2"/>
          <w:sz w:val="24"/>
          <w:szCs w:val="24"/>
          <w:highlight w:val="none"/>
          <w:lang w:val="en-US" w:eastAsia="zh-CN" w:bidi="ar-SA"/>
        </w:rPr>
        <w:t>预算金额（元）:</w:t>
      </w:r>
      <w:r>
        <w:rPr>
          <w:rFonts w:hint="eastAsia" w:ascii="宋体" w:hAnsi="宋体" w:eastAsia="宋体" w:cs="宋体"/>
          <w:color w:val="auto"/>
          <w:sz w:val="24"/>
          <w:highlight w:val="none"/>
          <w:lang w:val="en-US" w:eastAsia="zh-CN"/>
        </w:rPr>
        <w:t>510000</w:t>
      </w:r>
    </w:p>
    <w:p>
      <w:pPr>
        <w:pStyle w:val="27"/>
        <w:keepNext w:val="0"/>
        <w:keepLines w:val="0"/>
        <w:pageBreakBefore w:val="0"/>
        <w:widowControl w:val="0"/>
        <w:kinsoku/>
        <w:wordWrap/>
        <w:overflowPunct/>
        <w:topLinePunct w:val="0"/>
        <w:autoSpaceDE/>
        <w:autoSpaceDN/>
        <w:bidi w:val="0"/>
        <w:adjustRightInd/>
        <w:snapToGrid/>
        <w:spacing w:before="75" w:beforeAutospacing="0" w:after="75" w:afterAutospacing="0" w:line="360" w:lineRule="exact"/>
        <w:ind w:leftChars="200"/>
        <w:textAlignment w:val="auto"/>
        <w:rPr>
          <w:rFonts w:hint="default" w:ascii="宋体" w:hAnsi="宋体" w:eastAsia="宋体" w:cs="宋体"/>
          <w:color w:val="auto"/>
          <w:spacing w:val="-6"/>
          <w:kern w:val="2"/>
          <w:sz w:val="24"/>
          <w:szCs w:val="24"/>
          <w:highlight w:val="none"/>
          <w:lang w:val="en-US" w:eastAsia="zh-CN" w:bidi="ar-SA"/>
        </w:rPr>
      </w:pPr>
      <w:r>
        <w:rPr>
          <w:rFonts w:hint="eastAsia" w:ascii="宋体" w:hAnsi="宋体" w:cs="宋体"/>
          <w:color w:val="auto"/>
          <w:spacing w:val="-6"/>
          <w:kern w:val="2"/>
          <w:sz w:val="24"/>
          <w:szCs w:val="24"/>
          <w:highlight w:val="none"/>
          <w:lang w:val="en-US" w:eastAsia="zh-CN" w:bidi="ar-SA"/>
        </w:rPr>
        <w:t>单位：批</w:t>
      </w:r>
    </w:p>
    <w:p>
      <w:pPr>
        <w:pStyle w:val="27"/>
        <w:keepNext w:val="0"/>
        <w:keepLines w:val="0"/>
        <w:pageBreakBefore w:val="0"/>
        <w:widowControl w:val="0"/>
        <w:kinsoku/>
        <w:wordWrap/>
        <w:overflowPunct/>
        <w:topLinePunct w:val="0"/>
        <w:autoSpaceDE/>
        <w:autoSpaceDN/>
        <w:bidi w:val="0"/>
        <w:adjustRightInd/>
        <w:snapToGrid/>
        <w:spacing w:before="75" w:beforeAutospacing="0" w:after="75" w:afterAutospacing="0" w:line="360" w:lineRule="exact"/>
        <w:ind w:leftChars="20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简要规格描述或项目基本概况介绍、用途：详见磋商文件</w:t>
      </w:r>
      <w:r>
        <w:rPr>
          <w:rFonts w:hint="eastAsia" w:ascii="宋体" w:hAnsi="宋体" w:eastAsia="宋体" w:cs="宋体"/>
          <w:color w:val="auto"/>
          <w:spacing w:val="-6"/>
          <w:kern w:val="2"/>
          <w:sz w:val="24"/>
          <w:szCs w:val="24"/>
          <w:highlight w:val="none"/>
          <w:lang w:val="en-US" w:eastAsia="zh-CN" w:bidi="ar-SA"/>
        </w:rPr>
        <w:br w:type="textWrapping"/>
      </w:r>
      <w:r>
        <w:rPr>
          <w:rFonts w:hint="eastAsia" w:ascii="宋体" w:hAnsi="宋体" w:eastAsia="宋体" w:cs="宋体"/>
          <w:color w:val="auto"/>
          <w:spacing w:val="-6"/>
          <w:kern w:val="2"/>
          <w:sz w:val="24"/>
          <w:szCs w:val="24"/>
          <w:highlight w:val="none"/>
          <w:lang w:val="en-US" w:eastAsia="zh-CN" w:bidi="ar-SA"/>
        </w:rPr>
        <w:t>备注：</w:t>
      </w:r>
    </w:p>
    <w:p>
      <w:pPr>
        <w:pStyle w:val="27"/>
        <w:keepNext w:val="0"/>
        <w:keepLines w:val="0"/>
        <w:pageBreakBefore w:val="0"/>
        <w:widowControl w:val="0"/>
        <w:kinsoku/>
        <w:wordWrap/>
        <w:overflowPunct/>
        <w:topLinePunct w:val="0"/>
        <w:autoSpaceDE/>
        <w:autoSpaceDN/>
        <w:bidi w:val="0"/>
        <w:adjustRightInd/>
        <w:snapToGrid/>
        <w:spacing w:before="75" w:beforeAutospacing="0" w:after="75" w:afterAutospacing="0" w:line="360" w:lineRule="exact"/>
        <w:ind w:firstLine="420"/>
        <w:textAlignment w:val="auto"/>
        <w:rPr>
          <w:rFonts w:hint="default"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合同履约期限：标项1，</w:t>
      </w:r>
      <w:r>
        <w:rPr>
          <w:rFonts w:hint="eastAsia" w:ascii="宋体" w:hAnsi="宋体" w:cs="宋体"/>
          <w:color w:val="auto"/>
          <w:spacing w:val="-6"/>
          <w:kern w:val="2"/>
          <w:sz w:val="24"/>
          <w:szCs w:val="24"/>
          <w:highlight w:val="none"/>
          <w:lang w:val="en-US" w:eastAsia="zh-CN" w:bidi="ar-SA"/>
        </w:rPr>
        <w:t>30天</w:t>
      </w:r>
    </w:p>
    <w:p>
      <w:pPr>
        <w:pStyle w:val="27"/>
        <w:keepNext w:val="0"/>
        <w:keepLines w:val="0"/>
        <w:pageBreakBefore w:val="0"/>
        <w:widowControl w:val="0"/>
        <w:kinsoku/>
        <w:wordWrap/>
        <w:overflowPunct/>
        <w:topLinePunct w:val="0"/>
        <w:autoSpaceDE/>
        <w:autoSpaceDN/>
        <w:bidi w:val="0"/>
        <w:adjustRightInd/>
        <w:snapToGrid/>
        <w:spacing w:before="75" w:beforeAutospacing="0" w:after="75" w:afterAutospacing="0" w:line="360" w:lineRule="exact"/>
        <w:ind w:firstLine="42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本项目（否）接受联合体投标。</w:t>
      </w:r>
    </w:p>
    <w:p>
      <w:pPr>
        <w:pStyle w:val="3"/>
        <w:keepNext/>
        <w:keepLines/>
        <w:pageBreakBefore w:val="0"/>
        <w:widowControl w:val="0"/>
        <w:tabs>
          <w:tab w:val="left" w:pos="8400"/>
        </w:tabs>
        <w:kinsoku/>
        <w:wordWrap/>
        <w:overflowPunct/>
        <w:topLinePunct w:val="0"/>
        <w:autoSpaceDE/>
        <w:autoSpaceDN/>
        <w:bidi w:val="0"/>
        <w:adjustRightInd/>
        <w:snapToGrid/>
        <w:spacing w:before="180" w:after="180" w:line="360" w:lineRule="exact"/>
        <w:textAlignment w:val="auto"/>
        <w:rPr>
          <w:rFonts w:hint="eastAsia" w:ascii="宋体" w:hAnsi="宋体" w:eastAsia="宋体" w:cs="宋体"/>
          <w:b/>
          <w:bCs w:val="0"/>
          <w:color w:val="auto"/>
          <w:sz w:val="28"/>
          <w:szCs w:val="28"/>
          <w:highlight w:val="none"/>
        </w:rPr>
      </w:pPr>
      <w:bookmarkStart w:id="8" w:name="_Toc35393622"/>
      <w:bookmarkStart w:id="9" w:name="_Toc28359080"/>
      <w:bookmarkStart w:id="10" w:name="_Toc28359003"/>
      <w:bookmarkStart w:id="11" w:name="_Toc35393791"/>
      <w:r>
        <w:rPr>
          <w:rFonts w:hint="eastAsia" w:ascii="宋体" w:hAnsi="宋体" w:eastAsia="宋体" w:cs="宋体"/>
          <w:b/>
          <w:bCs w:val="0"/>
          <w:color w:val="auto"/>
          <w:sz w:val="28"/>
          <w:szCs w:val="28"/>
          <w:highlight w:val="none"/>
        </w:rPr>
        <w:t>二、申请人的资格要求</w:t>
      </w:r>
      <w:bookmarkEnd w:id="8"/>
      <w:bookmarkEnd w:id="9"/>
      <w:bookmarkEnd w:id="10"/>
      <w:bookmarkEnd w:id="11"/>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pageBreakBefore w:val="0"/>
        <w:kinsoku/>
        <w:wordWrap/>
        <w:overflowPunct/>
        <w:topLinePunct w:val="0"/>
        <w:autoSpaceDE/>
        <w:autoSpaceDN/>
        <w:bidi w:val="0"/>
        <w:adjustRightInd/>
        <w:snapToGrid/>
        <w:spacing w:line="360" w:lineRule="exact"/>
        <w:ind w:leftChars="100"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highlight w:val="none"/>
          <w:u w:val="none"/>
          <w:lang w:val="en-US" w:eastAsia="zh-CN"/>
        </w:rPr>
        <w:t>无</w:t>
      </w:r>
      <w:r>
        <w:rPr>
          <w:rFonts w:hint="eastAsia" w:ascii="宋体" w:hAnsi="宋体" w:eastAsia="宋体" w:cs="宋体"/>
          <w:color w:val="auto"/>
          <w:sz w:val="24"/>
          <w:highlight w:val="none"/>
          <w:u w:val="none"/>
          <w:lang w:eastAsia="zh-CN"/>
        </w:rPr>
        <w:t>；</w:t>
      </w:r>
    </w:p>
    <w:p>
      <w:pPr>
        <w:pStyle w:val="1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bookmarkStart w:id="12" w:name="_Toc35393623"/>
      <w:bookmarkStart w:id="13" w:name="_Toc28359081"/>
      <w:bookmarkStart w:id="14" w:name="_Toc35393792"/>
      <w:bookmarkStart w:id="15" w:name="_Toc28359004"/>
    </w:p>
    <w:p>
      <w:pPr>
        <w:pStyle w:val="1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3.1供应商具有合格有效的营业执照，在资质、人员、设备、资金等方面具有相应的服务及售后能力；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3.2供应商具有有效的《医疗器械经营许可证》或《医疗器械生产许可证》；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3.3供应商如在“信用中国”网站、中国政府采购网被列入严重违法失信行为记录名单的(尚在处罚期内的)，将拒绝其参加本次政府采购活动； </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3.4其他说明1、与采购人存在利害关系可能影响招标公正性的法人、其他组织或者个人，不得参加投标；2、单位负责人为同一人或者存在直接控股、管理关系的不同供应商不得参加本项目同一包的投标。</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3.5供应商一年内未发生安全生产故事、未被行政主管部门行政处罚或其他不良记录。</w:t>
      </w:r>
    </w:p>
    <w:p>
      <w:pPr>
        <w:pStyle w:val="3"/>
        <w:keepNext/>
        <w:keepLines/>
        <w:pageBreakBefore w:val="0"/>
        <w:widowControl w:val="0"/>
        <w:tabs>
          <w:tab w:val="left" w:pos="8400"/>
        </w:tabs>
        <w:kinsoku/>
        <w:wordWrap/>
        <w:overflowPunct/>
        <w:topLinePunct w:val="0"/>
        <w:autoSpaceDE/>
        <w:autoSpaceDN/>
        <w:bidi w:val="0"/>
        <w:adjustRightInd/>
        <w:snapToGrid/>
        <w:spacing w:before="180" w:after="180" w:line="360" w:lineRule="exact"/>
        <w:textAlignment w:val="auto"/>
        <w:rPr>
          <w:rFonts w:hint="eastAsia" w:ascii="宋体" w:hAnsi="宋体" w:eastAsia="宋体" w:cs="宋体"/>
          <w:b/>
          <w:bCs w:val="0"/>
          <w:color w:val="auto"/>
          <w:sz w:val="28"/>
          <w:szCs w:val="28"/>
          <w:highlight w:val="none"/>
          <w:u w:val="none"/>
        </w:rPr>
      </w:pPr>
      <w:r>
        <w:rPr>
          <w:rFonts w:hint="eastAsia" w:ascii="宋体" w:hAnsi="宋体" w:eastAsia="宋体" w:cs="宋体"/>
          <w:b/>
          <w:bCs w:val="0"/>
          <w:color w:val="auto"/>
          <w:sz w:val="28"/>
          <w:szCs w:val="28"/>
          <w:highlight w:val="none"/>
        </w:rPr>
        <w:t>三、获</w:t>
      </w:r>
      <w:r>
        <w:rPr>
          <w:rFonts w:hint="eastAsia" w:ascii="宋体" w:hAnsi="宋体" w:eastAsia="宋体" w:cs="宋体"/>
          <w:b/>
          <w:bCs w:val="0"/>
          <w:color w:val="auto"/>
          <w:sz w:val="28"/>
          <w:szCs w:val="28"/>
          <w:highlight w:val="none"/>
          <w:u w:val="none"/>
        </w:rPr>
        <w:t>取</w:t>
      </w:r>
      <w:r>
        <w:rPr>
          <w:rFonts w:hint="eastAsia" w:ascii="宋体" w:hAnsi="宋体" w:eastAsia="宋体" w:cs="宋体"/>
          <w:b/>
          <w:bCs w:val="0"/>
          <w:color w:val="auto"/>
          <w:sz w:val="28"/>
          <w:szCs w:val="28"/>
          <w:highlight w:val="none"/>
          <w:u w:val="none"/>
          <w:lang w:val="en-US" w:eastAsia="zh-CN"/>
        </w:rPr>
        <w:t>采购</w:t>
      </w:r>
      <w:r>
        <w:rPr>
          <w:rFonts w:hint="eastAsia" w:ascii="宋体" w:hAnsi="宋体" w:eastAsia="宋体" w:cs="宋体"/>
          <w:b/>
          <w:bCs w:val="0"/>
          <w:color w:val="auto"/>
          <w:sz w:val="28"/>
          <w:szCs w:val="28"/>
          <w:highlight w:val="none"/>
          <w:u w:val="none"/>
        </w:rPr>
        <w:t>文件</w:t>
      </w:r>
      <w:bookmarkEnd w:id="12"/>
      <w:bookmarkEnd w:id="13"/>
      <w:bookmarkEnd w:id="14"/>
      <w:bookmarkEnd w:id="15"/>
    </w:p>
    <w:p>
      <w:pPr>
        <w:pStyle w:val="3"/>
        <w:keepNext/>
        <w:keepLines/>
        <w:pageBreakBefore w:val="0"/>
        <w:widowControl w:val="0"/>
        <w:tabs>
          <w:tab w:val="left" w:pos="8400"/>
        </w:tabs>
        <w:kinsoku/>
        <w:wordWrap/>
        <w:overflowPunct/>
        <w:topLinePunct w:val="0"/>
        <w:autoSpaceDE/>
        <w:autoSpaceDN/>
        <w:bidi w:val="0"/>
        <w:adjustRightInd/>
        <w:snapToGrid/>
        <w:spacing w:before="180" w:after="180" w:line="360" w:lineRule="exact"/>
        <w:ind w:firstLine="480" w:firstLineChars="200"/>
        <w:textAlignment w:val="auto"/>
        <w:rPr>
          <w:rFonts w:hint="eastAsia" w:ascii="宋体" w:hAnsi="宋体" w:eastAsia="宋体" w:cs="宋体"/>
          <w:b w:val="0"/>
          <w:color w:val="auto"/>
          <w:kern w:val="2"/>
          <w:sz w:val="24"/>
          <w:szCs w:val="24"/>
          <w:highlight w:val="none"/>
          <w:u w:val="none"/>
          <w:lang w:val="en-US" w:eastAsia="zh-CN" w:bidi="ar-SA"/>
        </w:rPr>
      </w:pPr>
      <w:bookmarkStart w:id="16" w:name="_Toc35393793"/>
      <w:bookmarkStart w:id="17" w:name="_Toc28359082"/>
      <w:bookmarkStart w:id="18" w:name="_Toc28359005"/>
      <w:bookmarkStart w:id="19" w:name="_Toc35393624"/>
      <w:r>
        <w:rPr>
          <w:rFonts w:hint="eastAsia" w:ascii="宋体" w:hAnsi="宋体" w:eastAsia="宋体" w:cs="宋体"/>
          <w:b w:val="0"/>
          <w:color w:val="auto"/>
          <w:kern w:val="2"/>
          <w:sz w:val="24"/>
          <w:szCs w:val="24"/>
          <w:highlight w:val="none"/>
          <w:u w:val="none"/>
          <w:lang w:val="en-US" w:eastAsia="zh-CN" w:bidi="ar-SA"/>
        </w:rPr>
        <w:t>2023年11月02日至 2023年11月09日，每天上午00:00至12:00，下午12:00至23:59（北京时间，法定节假日除外）</w:t>
      </w:r>
    </w:p>
    <w:p>
      <w:pPr>
        <w:pStyle w:val="3"/>
        <w:keepNext/>
        <w:keepLines/>
        <w:pageBreakBefore w:val="0"/>
        <w:widowControl w:val="0"/>
        <w:tabs>
          <w:tab w:val="left" w:pos="8400"/>
        </w:tabs>
        <w:kinsoku/>
        <w:wordWrap/>
        <w:overflowPunct/>
        <w:topLinePunct w:val="0"/>
        <w:autoSpaceDE/>
        <w:autoSpaceDN/>
        <w:bidi w:val="0"/>
        <w:adjustRightInd/>
        <w:snapToGrid/>
        <w:spacing w:before="180" w:after="180" w:line="360" w:lineRule="exact"/>
        <w:ind w:firstLine="480" w:firstLineChars="200"/>
        <w:textAlignment w:val="auto"/>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t>地点：政采云平台线上获取；</w:t>
      </w:r>
    </w:p>
    <w:p>
      <w:pPr>
        <w:pStyle w:val="3"/>
        <w:keepNext/>
        <w:keepLines/>
        <w:pageBreakBefore w:val="0"/>
        <w:widowControl w:val="0"/>
        <w:tabs>
          <w:tab w:val="left" w:pos="8400"/>
        </w:tabs>
        <w:kinsoku/>
        <w:wordWrap/>
        <w:overflowPunct/>
        <w:topLinePunct w:val="0"/>
        <w:autoSpaceDE/>
        <w:autoSpaceDN/>
        <w:bidi w:val="0"/>
        <w:adjustRightInd/>
        <w:snapToGrid/>
        <w:spacing w:before="180" w:after="180" w:line="360" w:lineRule="exact"/>
        <w:ind w:firstLine="480" w:firstLineChars="200"/>
        <w:textAlignment w:val="auto"/>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t>方式：供应商登录政采云平台https://www.zcygov.cn/在线申请获取采购文件（进入“项目采购”应用，在获取采购文件菜单中选择项目，申请获取采购文件）。</w:t>
      </w:r>
    </w:p>
    <w:p>
      <w:pPr>
        <w:pStyle w:val="3"/>
        <w:keepNext/>
        <w:keepLines/>
        <w:pageBreakBefore w:val="0"/>
        <w:widowControl w:val="0"/>
        <w:tabs>
          <w:tab w:val="left" w:pos="8400"/>
        </w:tabs>
        <w:kinsoku/>
        <w:wordWrap/>
        <w:overflowPunct/>
        <w:topLinePunct w:val="0"/>
        <w:autoSpaceDE/>
        <w:autoSpaceDN/>
        <w:bidi w:val="0"/>
        <w:adjustRightInd/>
        <w:snapToGrid/>
        <w:spacing w:before="180" w:after="180" w:line="360" w:lineRule="exact"/>
        <w:textAlignment w:val="auto"/>
        <w:rPr>
          <w:rFonts w:hint="eastAsia" w:ascii="宋体" w:hAnsi="宋体" w:eastAsia="宋体" w:cs="宋体"/>
          <w:b/>
          <w:bCs w:val="0"/>
          <w:color w:val="auto"/>
          <w:sz w:val="28"/>
          <w:szCs w:val="28"/>
          <w:highlight w:val="none"/>
          <w:u w:val="none"/>
          <w:lang w:eastAsia="zh-CN"/>
        </w:rPr>
      </w:pPr>
      <w:r>
        <w:rPr>
          <w:rFonts w:hint="eastAsia" w:ascii="宋体" w:hAnsi="宋体" w:eastAsia="宋体" w:cs="宋体"/>
          <w:b/>
          <w:bCs w:val="0"/>
          <w:color w:val="auto"/>
          <w:sz w:val="28"/>
          <w:szCs w:val="28"/>
          <w:highlight w:val="none"/>
          <w:u w:val="none"/>
        </w:rPr>
        <w:t>四、</w:t>
      </w:r>
      <w:r>
        <w:rPr>
          <w:rFonts w:hint="eastAsia" w:ascii="宋体" w:hAnsi="宋体" w:eastAsia="宋体" w:cs="宋体"/>
          <w:b/>
          <w:bCs w:val="0"/>
          <w:color w:val="auto"/>
          <w:sz w:val="28"/>
          <w:szCs w:val="28"/>
          <w:highlight w:val="none"/>
          <w:u w:val="none"/>
          <w:lang w:val="en-US" w:eastAsia="zh-CN"/>
        </w:rPr>
        <w:t>响应</w:t>
      </w:r>
      <w:r>
        <w:rPr>
          <w:rFonts w:hint="eastAsia" w:ascii="宋体" w:hAnsi="宋体" w:eastAsia="宋体" w:cs="宋体"/>
          <w:b/>
          <w:bCs w:val="0"/>
          <w:color w:val="auto"/>
          <w:sz w:val="28"/>
          <w:szCs w:val="28"/>
          <w:highlight w:val="none"/>
          <w:u w:val="none"/>
        </w:rPr>
        <w:t>文件</w:t>
      </w:r>
      <w:bookmarkEnd w:id="16"/>
      <w:bookmarkEnd w:id="17"/>
      <w:bookmarkEnd w:id="18"/>
      <w:bookmarkEnd w:id="19"/>
      <w:r>
        <w:rPr>
          <w:rFonts w:hint="eastAsia" w:ascii="宋体" w:hAnsi="宋体" w:eastAsia="宋体" w:cs="宋体"/>
          <w:b/>
          <w:bCs w:val="0"/>
          <w:color w:val="auto"/>
          <w:sz w:val="28"/>
          <w:szCs w:val="28"/>
          <w:highlight w:val="none"/>
          <w:u w:val="none"/>
          <w:lang w:val="en-US" w:eastAsia="zh-CN"/>
        </w:rPr>
        <w:t>提交</w:t>
      </w:r>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lang w:val="en-US" w:eastAsia="zh-CN"/>
        </w:rPr>
        <w:t>截止时间：</w:t>
      </w:r>
      <w:r>
        <w:rPr>
          <w:rFonts w:hint="eastAsia" w:ascii="宋体" w:hAnsi="宋体" w:eastAsia="宋体" w:cs="宋体"/>
          <w:bCs/>
          <w:color w:val="auto"/>
          <w:sz w:val="24"/>
          <w:szCs w:val="24"/>
          <w:highlight w:val="none"/>
          <w:u w:val="none"/>
          <w:lang w:val="en-US" w:eastAsia="zh-CN"/>
        </w:rPr>
        <w:t>2023</w:t>
      </w:r>
      <w:r>
        <w:rPr>
          <w:rFonts w:hint="eastAsia" w:ascii="宋体" w:hAnsi="宋体" w:eastAsia="宋体" w:cs="宋体"/>
          <w:bCs/>
          <w:color w:val="auto"/>
          <w:sz w:val="24"/>
          <w:szCs w:val="24"/>
          <w:highlight w:val="none"/>
          <w:u w:val="none"/>
        </w:rPr>
        <w:t>年</w:t>
      </w:r>
      <w:r>
        <w:rPr>
          <w:rFonts w:hint="eastAsia" w:ascii="宋体" w:hAnsi="宋体" w:eastAsia="宋体" w:cs="宋体"/>
          <w:bCs/>
          <w:color w:val="auto"/>
          <w:sz w:val="24"/>
          <w:szCs w:val="24"/>
          <w:highlight w:val="none"/>
          <w:u w:val="none"/>
          <w:lang w:val="en-US" w:eastAsia="zh-CN"/>
        </w:rPr>
        <w:t>1</w:t>
      </w:r>
      <w:r>
        <w:rPr>
          <w:rFonts w:hint="eastAsia" w:ascii="宋体" w:hAnsi="宋体" w:cs="宋体"/>
          <w:bCs/>
          <w:color w:val="auto"/>
          <w:sz w:val="24"/>
          <w:szCs w:val="24"/>
          <w:highlight w:val="none"/>
          <w:u w:val="none"/>
          <w:lang w:val="en-US" w:eastAsia="zh-CN"/>
        </w:rPr>
        <w:t>1</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14</w:t>
      </w:r>
      <w:r>
        <w:rPr>
          <w:rFonts w:hint="eastAsia" w:ascii="宋体" w:hAnsi="宋体" w:eastAsia="宋体" w:cs="宋体"/>
          <w:bCs/>
          <w:color w:val="auto"/>
          <w:sz w:val="24"/>
          <w:szCs w:val="24"/>
          <w:highlight w:val="none"/>
          <w:u w:val="none"/>
        </w:rPr>
        <w:t>日</w:t>
      </w:r>
      <w:r>
        <w:rPr>
          <w:rFonts w:hint="eastAsia" w:ascii="宋体" w:hAnsi="宋体" w:cs="宋体"/>
          <w:bCs/>
          <w:color w:val="auto"/>
          <w:sz w:val="24"/>
          <w:szCs w:val="24"/>
          <w:highlight w:val="none"/>
          <w:u w:val="none"/>
          <w:lang w:val="en-US" w:eastAsia="zh-CN"/>
        </w:rPr>
        <w:t>10</w:t>
      </w:r>
      <w:r>
        <w:rPr>
          <w:rFonts w:hint="eastAsia" w:ascii="宋体" w:hAnsi="宋体" w:eastAsia="宋体" w:cs="宋体"/>
          <w:bCs/>
          <w:color w:val="auto"/>
          <w:sz w:val="24"/>
          <w:szCs w:val="24"/>
          <w:highlight w:val="none"/>
          <w:u w:val="none"/>
        </w:rPr>
        <w:t>点</w:t>
      </w:r>
      <w:r>
        <w:rPr>
          <w:rFonts w:hint="eastAsia" w:ascii="宋体" w:hAnsi="宋体" w:eastAsia="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 xml:space="preserve"> 分（北京时间）</w:t>
      </w:r>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sz w:val="24"/>
          <w:szCs w:val="24"/>
          <w:highlight w:val="none"/>
          <w:u w:val="none"/>
        </w:rPr>
        <w:t>地点：</w:t>
      </w:r>
      <w:r>
        <w:rPr>
          <w:rFonts w:hint="eastAsia" w:ascii="宋体" w:hAnsi="宋体" w:eastAsia="宋体" w:cs="宋体"/>
          <w:color w:val="auto"/>
          <w:sz w:val="24"/>
          <w:highlight w:val="none"/>
          <w:u w:val="none"/>
        </w:rPr>
        <w:t>政采云平台</w:t>
      </w:r>
    </w:p>
    <w:p>
      <w:pPr>
        <w:pStyle w:val="3"/>
        <w:keepNext/>
        <w:keepLines/>
        <w:pageBreakBefore w:val="0"/>
        <w:widowControl w:val="0"/>
        <w:tabs>
          <w:tab w:val="left" w:pos="8400"/>
        </w:tabs>
        <w:kinsoku/>
        <w:wordWrap/>
        <w:overflowPunct/>
        <w:topLinePunct w:val="0"/>
        <w:autoSpaceDE/>
        <w:autoSpaceDN/>
        <w:bidi w:val="0"/>
        <w:adjustRightInd/>
        <w:snapToGrid/>
        <w:spacing w:before="180" w:after="180" w:line="360" w:lineRule="exact"/>
        <w:textAlignment w:val="auto"/>
        <w:rPr>
          <w:rFonts w:hint="eastAsia" w:ascii="宋体" w:hAnsi="宋体" w:eastAsia="宋体" w:cs="宋体"/>
          <w:b/>
          <w:bCs w:val="0"/>
          <w:color w:val="auto"/>
          <w:sz w:val="28"/>
          <w:szCs w:val="28"/>
          <w:highlight w:val="none"/>
          <w:u w:val="none"/>
          <w:lang w:val="en-US" w:eastAsia="zh-CN"/>
        </w:rPr>
      </w:pPr>
      <w:bookmarkStart w:id="20" w:name="_Toc35393625"/>
      <w:bookmarkStart w:id="21" w:name="_Toc28359007"/>
      <w:bookmarkStart w:id="22" w:name="_Toc35393794"/>
      <w:bookmarkStart w:id="23" w:name="_Toc28359084"/>
      <w:r>
        <w:rPr>
          <w:rFonts w:hint="eastAsia" w:ascii="宋体" w:hAnsi="宋体" w:eastAsia="宋体" w:cs="宋体"/>
          <w:b/>
          <w:bCs w:val="0"/>
          <w:color w:val="auto"/>
          <w:sz w:val="28"/>
          <w:szCs w:val="28"/>
          <w:highlight w:val="none"/>
          <w:u w:val="none"/>
          <w:lang w:val="en-US" w:eastAsia="zh-CN"/>
        </w:rPr>
        <w:t>五、响应文件开启</w:t>
      </w:r>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lang w:val="en-US" w:eastAsia="zh-CN"/>
        </w:rPr>
        <w:t>开启时间：</w:t>
      </w:r>
      <w:r>
        <w:rPr>
          <w:rFonts w:hint="eastAsia" w:ascii="宋体" w:hAnsi="宋体" w:eastAsia="宋体" w:cs="宋体"/>
          <w:bCs/>
          <w:color w:val="auto"/>
          <w:sz w:val="24"/>
          <w:szCs w:val="24"/>
          <w:highlight w:val="none"/>
          <w:u w:val="none"/>
          <w:lang w:val="en-US" w:eastAsia="zh-CN"/>
        </w:rPr>
        <w:t>2023</w:t>
      </w:r>
      <w:r>
        <w:rPr>
          <w:rFonts w:hint="eastAsia" w:ascii="宋体" w:hAnsi="宋体" w:eastAsia="宋体" w:cs="宋体"/>
          <w:bCs/>
          <w:color w:val="auto"/>
          <w:sz w:val="24"/>
          <w:szCs w:val="24"/>
          <w:highlight w:val="none"/>
          <w:u w:val="none"/>
        </w:rPr>
        <w:t>年</w:t>
      </w:r>
      <w:r>
        <w:rPr>
          <w:rFonts w:hint="eastAsia" w:ascii="宋体" w:hAnsi="宋体" w:eastAsia="宋体" w:cs="宋体"/>
          <w:bCs/>
          <w:color w:val="auto"/>
          <w:sz w:val="24"/>
          <w:szCs w:val="24"/>
          <w:highlight w:val="none"/>
          <w:u w:val="none"/>
          <w:lang w:val="en-US" w:eastAsia="zh-CN"/>
        </w:rPr>
        <w:t>1</w:t>
      </w:r>
      <w:r>
        <w:rPr>
          <w:rFonts w:hint="eastAsia" w:ascii="宋体" w:hAnsi="宋体" w:cs="宋体"/>
          <w:bCs/>
          <w:color w:val="auto"/>
          <w:sz w:val="24"/>
          <w:szCs w:val="24"/>
          <w:highlight w:val="none"/>
          <w:u w:val="none"/>
          <w:lang w:val="en-US" w:eastAsia="zh-CN"/>
        </w:rPr>
        <w:t>1</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14</w:t>
      </w:r>
      <w:r>
        <w:rPr>
          <w:rFonts w:hint="eastAsia" w:ascii="宋体" w:hAnsi="宋体" w:eastAsia="宋体" w:cs="宋体"/>
          <w:bCs/>
          <w:color w:val="auto"/>
          <w:sz w:val="24"/>
          <w:szCs w:val="24"/>
          <w:highlight w:val="none"/>
          <w:u w:val="none"/>
        </w:rPr>
        <w:t>日</w:t>
      </w:r>
      <w:r>
        <w:rPr>
          <w:rFonts w:hint="eastAsia" w:ascii="宋体" w:hAnsi="宋体" w:cs="宋体"/>
          <w:bCs/>
          <w:color w:val="auto"/>
          <w:sz w:val="24"/>
          <w:szCs w:val="24"/>
          <w:highlight w:val="none"/>
          <w:u w:val="none"/>
          <w:lang w:val="en-US" w:eastAsia="zh-CN"/>
        </w:rPr>
        <w:t>10</w:t>
      </w:r>
      <w:r>
        <w:rPr>
          <w:rFonts w:hint="eastAsia" w:ascii="宋体" w:hAnsi="宋体" w:eastAsia="宋体" w:cs="宋体"/>
          <w:bCs/>
          <w:color w:val="auto"/>
          <w:sz w:val="24"/>
          <w:szCs w:val="24"/>
          <w:highlight w:val="none"/>
          <w:u w:val="none"/>
        </w:rPr>
        <w:t>点</w:t>
      </w:r>
      <w:r>
        <w:rPr>
          <w:rFonts w:hint="eastAsia" w:ascii="宋体" w:hAnsi="宋体" w:eastAsia="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 xml:space="preserve"> 分（北京时间）</w:t>
      </w:r>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sz w:val="24"/>
          <w:szCs w:val="24"/>
          <w:highlight w:val="none"/>
          <w:u w:val="none"/>
        </w:rPr>
        <w:t>地点：</w:t>
      </w:r>
      <w:r>
        <w:rPr>
          <w:rFonts w:hint="eastAsia" w:ascii="宋体" w:hAnsi="宋体" w:eastAsia="宋体" w:cs="宋体"/>
          <w:color w:val="auto"/>
          <w:sz w:val="24"/>
          <w:highlight w:val="none"/>
          <w:u w:val="none"/>
        </w:rPr>
        <w:t>政采云平台网上开标</w:t>
      </w:r>
    </w:p>
    <w:p>
      <w:pPr>
        <w:pStyle w:val="3"/>
        <w:keepNext/>
        <w:keepLines/>
        <w:pageBreakBefore w:val="0"/>
        <w:widowControl w:val="0"/>
        <w:tabs>
          <w:tab w:val="left" w:pos="8400"/>
        </w:tabs>
        <w:kinsoku/>
        <w:wordWrap/>
        <w:overflowPunct/>
        <w:topLinePunct w:val="0"/>
        <w:autoSpaceDE/>
        <w:autoSpaceDN/>
        <w:bidi w:val="0"/>
        <w:adjustRightInd/>
        <w:snapToGrid/>
        <w:spacing w:before="180" w:after="180" w:line="360" w:lineRule="exact"/>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六、公告期限</w:t>
      </w:r>
      <w:bookmarkEnd w:id="20"/>
      <w:bookmarkEnd w:id="21"/>
      <w:bookmarkEnd w:id="22"/>
      <w:bookmarkEnd w:id="23"/>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w:t>
      </w:r>
      <w:bookmarkStart w:id="24" w:name="_Toc35393626"/>
      <w:bookmarkStart w:id="25" w:name="_Toc35393795"/>
    </w:p>
    <w:p>
      <w:pPr>
        <w:pStyle w:val="3"/>
        <w:keepNext/>
        <w:keepLines/>
        <w:pageBreakBefore w:val="0"/>
        <w:widowControl w:val="0"/>
        <w:tabs>
          <w:tab w:val="left" w:pos="8400"/>
        </w:tabs>
        <w:kinsoku/>
        <w:wordWrap/>
        <w:overflowPunct/>
        <w:topLinePunct w:val="0"/>
        <w:autoSpaceDE/>
        <w:autoSpaceDN/>
        <w:bidi w:val="0"/>
        <w:adjustRightInd/>
        <w:snapToGrid/>
        <w:spacing w:before="180" w:after="180" w:line="360" w:lineRule="exact"/>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七、其他补充事宜</w:t>
      </w:r>
      <w:bookmarkEnd w:id="24"/>
      <w:bookmarkEnd w:id="25"/>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bookmarkStart w:id="26" w:name="_Toc28359085"/>
      <w:bookmarkStart w:id="27" w:name="_Toc35393627"/>
      <w:bookmarkStart w:id="28" w:name="_Toc35393796"/>
      <w:bookmarkStart w:id="29" w:name="_Toc28359008"/>
      <w:r>
        <w:rPr>
          <w:rFonts w:hint="eastAsia" w:ascii="宋体" w:hAnsi="宋体" w:eastAsia="宋体" w:cs="宋体"/>
          <w:b w:val="0"/>
          <w:bCs w:val="0"/>
          <w:color w:val="auto"/>
          <w:kern w:val="2"/>
          <w:sz w:val="24"/>
          <w:szCs w:val="24"/>
          <w:highlight w:val="none"/>
          <w:lang w:val="en-US" w:eastAsia="zh-CN" w:bidi="ar-SA"/>
        </w:rPr>
        <w:t>1、请投标单位随时关注本项目的变更、答疑、澄清文件。</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2、本次采购项目采用电子交易方式，电子交易平台为“政府采购云平台（ www.zcygov.cn）”。供应商参与本项目电子交易活动前，应注册成为政府采购云平台供应商。编制电子响应文件前还需申领 CA 证书并绑定帐号。供应商应充分考虑完成平台注册、申领 CA 证书等所需的时间。因未注册入库、未办理 CA 数字证书等原因造成无法响应或响应失败等后果由供应商自行承担； </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3、各政府采购供应商对不见面开评标系统的技术操作咨询，可通过https://edu.zcygov.cn/luban/xinjiang-e-biding 自助查询，也可在政采云帮助中心常见问题解答和操作流程讲解视频中自助查询，网址为： https://service.zcygov.cn/#/help，“项目采购”—“操作流程-电子招投标” —“政府采购项目电子交易管理操作指南-供应商”版面获取操作指南，同时对自助查询无法解决的问题可拨打 95763 客服电话。</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特别提示：</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1、采购限额标准以上，200万元以下的货物和服务采购项目、400万元以下的工程采购项目，适宜由中小企业提供的，采购人应当专门面向中小企业采购。</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3"/>
        <w:keepNext/>
        <w:keepLines/>
        <w:pageBreakBefore w:val="0"/>
        <w:widowControl w:val="0"/>
        <w:tabs>
          <w:tab w:val="left" w:pos="8400"/>
        </w:tabs>
        <w:kinsoku/>
        <w:wordWrap/>
        <w:overflowPunct/>
        <w:topLinePunct w:val="0"/>
        <w:autoSpaceDE/>
        <w:autoSpaceDN/>
        <w:bidi w:val="0"/>
        <w:adjustRightInd/>
        <w:snapToGrid/>
        <w:spacing w:before="180" w:after="180" w:line="360" w:lineRule="exact"/>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八、凡对本次采购提出询问，请按以下方式联系</w:t>
      </w:r>
      <w:bookmarkEnd w:id="26"/>
      <w:bookmarkEnd w:id="27"/>
      <w:bookmarkEnd w:id="28"/>
      <w:bookmarkEnd w:id="29"/>
    </w:p>
    <w:p>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1.采购人信息</w:t>
      </w:r>
    </w:p>
    <w:p>
      <w:pPr>
        <w:pageBreakBefore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w:t>
      </w:r>
      <w:r>
        <w:rPr>
          <w:rFonts w:hint="eastAsia" w:ascii="宋体" w:hAnsi="宋体" w:cs="宋体"/>
          <w:color w:val="auto"/>
          <w:sz w:val="24"/>
          <w:szCs w:val="24"/>
          <w:highlight w:val="none"/>
          <w:u w:val="none"/>
          <w:lang w:val="en-US" w:eastAsia="zh-CN"/>
        </w:rPr>
        <w:t>库车市乌恰镇卫生院</w:t>
      </w:r>
      <w:r>
        <w:rPr>
          <w:rFonts w:hint="eastAsia" w:ascii="宋体" w:hAnsi="宋体" w:eastAsia="宋体" w:cs="宋体"/>
          <w:color w:val="auto"/>
          <w:sz w:val="24"/>
          <w:szCs w:val="24"/>
          <w:highlight w:val="none"/>
          <w:u w:val="none"/>
        </w:rPr>
        <w:t>　</w:t>
      </w:r>
    </w:p>
    <w:p>
      <w:pPr>
        <w:pageBreakBefore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址：库车市乌恰镇乌恰村二小组</w:t>
      </w:r>
    </w:p>
    <w:p>
      <w:pPr>
        <w:pageBreakBefore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w:t>
      </w:r>
      <w:bookmarkStart w:id="30" w:name="_Toc28359009"/>
      <w:bookmarkStart w:id="31" w:name="_Toc28359086"/>
      <w:r>
        <w:rPr>
          <w:rFonts w:hint="eastAsia" w:ascii="宋体" w:hAnsi="宋体" w:cs="宋体"/>
          <w:color w:val="auto"/>
          <w:sz w:val="24"/>
          <w:szCs w:val="24"/>
          <w:highlight w:val="none"/>
          <w:u w:val="none"/>
          <w:lang w:val="en-US" w:eastAsia="zh-CN"/>
        </w:rPr>
        <w:t>15026383419</w:t>
      </w:r>
      <w:r>
        <w:rPr>
          <w:rFonts w:hint="eastAsia" w:ascii="宋体" w:hAnsi="宋体" w:eastAsia="宋体" w:cs="宋体"/>
          <w:color w:val="auto"/>
          <w:sz w:val="24"/>
          <w:szCs w:val="24"/>
          <w:highlight w:val="none"/>
          <w:u w:val="none"/>
          <w:lang w:val="en-US" w:eastAsia="zh-CN"/>
        </w:rPr>
        <w:t xml:space="preserve">  </w:t>
      </w:r>
    </w:p>
    <w:p>
      <w:pPr>
        <w:pageBreakBefore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2.采购代理机构信息</w:t>
      </w:r>
      <w:bookmarkEnd w:id="30"/>
      <w:bookmarkEnd w:id="31"/>
    </w:p>
    <w:p>
      <w:pPr>
        <w:pageBreakBefore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名 称：</w:t>
      </w:r>
      <w:r>
        <w:rPr>
          <w:rFonts w:hint="eastAsia" w:ascii="宋体" w:hAnsi="宋体" w:eastAsia="宋体" w:cs="宋体"/>
          <w:color w:val="auto"/>
          <w:sz w:val="24"/>
          <w:szCs w:val="24"/>
          <w:highlight w:val="none"/>
          <w:u w:val="none"/>
          <w:lang w:val="en-US" w:eastAsia="zh-CN"/>
        </w:rPr>
        <w:t>新疆准距项目管理有限公司</w:t>
      </w:r>
    </w:p>
    <w:p>
      <w:pPr>
        <w:pageBreakBefore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址：</w:t>
      </w:r>
      <w:r>
        <w:rPr>
          <w:rFonts w:hint="eastAsia" w:ascii="宋体" w:hAnsi="宋体" w:eastAsia="宋体" w:cs="宋体"/>
          <w:color w:val="auto"/>
          <w:sz w:val="24"/>
          <w:szCs w:val="24"/>
          <w:highlight w:val="none"/>
          <w:u w:val="none"/>
          <w:lang w:val="en-US" w:eastAsia="zh-CN"/>
        </w:rPr>
        <w:t>新疆乌鲁木齐市高新区(新市区)鲤鱼山南路1050号环球港商住小区5号底商住宅楼1单元1905室</w:t>
      </w:r>
    </w:p>
    <w:p>
      <w:pPr>
        <w:pageBreakBefore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sz w:val="24"/>
          <w:szCs w:val="24"/>
          <w:highlight w:val="none"/>
          <w:u w:val="none"/>
        </w:rPr>
      </w:pPr>
      <w:bookmarkStart w:id="32" w:name="_Toc28359087"/>
      <w:bookmarkStart w:id="33" w:name="_Toc28359010"/>
      <w:r>
        <w:rPr>
          <w:rFonts w:hint="eastAsia" w:ascii="宋体" w:hAnsi="宋体" w:eastAsia="宋体" w:cs="宋体"/>
          <w:color w:val="auto"/>
          <w:sz w:val="24"/>
          <w:szCs w:val="24"/>
          <w:highlight w:val="none"/>
          <w:u w:val="none"/>
        </w:rPr>
        <w:t>联系方式：</w:t>
      </w:r>
      <w:r>
        <w:rPr>
          <w:rFonts w:hint="eastAsia" w:ascii="宋体" w:hAnsi="宋体" w:eastAsia="宋体" w:cs="宋体"/>
          <w:color w:val="auto"/>
          <w:sz w:val="24"/>
          <w:szCs w:val="24"/>
          <w:highlight w:val="none"/>
          <w:u w:val="none"/>
          <w:lang w:val="en-US" w:eastAsia="zh-CN"/>
        </w:rPr>
        <w:t>19399441014</w:t>
      </w:r>
      <w:r>
        <w:rPr>
          <w:rFonts w:hint="eastAsia" w:ascii="宋体" w:hAnsi="宋体" w:eastAsia="宋体" w:cs="宋体"/>
          <w:color w:val="auto"/>
          <w:sz w:val="24"/>
          <w:szCs w:val="24"/>
          <w:highlight w:val="none"/>
          <w:u w:val="none"/>
        </w:rPr>
        <w:t>　</w:t>
      </w:r>
    </w:p>
    <w:p>
      <w:pPr>
        <w:pageBreakBefore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3.项目联系方式</w:t>
      </w:r>
      <w:bookmarkEnd w:id="32"/>
      <w:bookmarkEnd w:id="33"/>
    </w:p>
    <w:p>
      <w:pPr>
        <w:pStyle w:val="17"/>
        <w:pageBreakBefore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项目联系人：</w:t>
      </w:r>
      <w:r>
        <w:rPr>
          <w:rFonts w:hint="eastAsia" w:hAnsi="宋体" w:cs="宋体"/>
          <w:color w:val="auto"/>
          <w:sz w:val="24"/>
          <w:szCs w:val="24"/>
          <w:highlight w:val="none"/>
          <w:u w:val="none"/>
          <w:lang w:val="en-US" w:eastAsia="zh-CN"/>
        </w:rPr>
        <w:t xml:space="preserve">王轩 </w:t>
      </w:r>
      <w:r>
        <w:rPr>
          <w:rFonts w:hint="eastAsia" w:ascii="宋体" w:hAnsi="宋体" w:eastAsia="宋体" w:cs="宋体"/>
          <w:color w:val="auto"/>
          <w:sz w:val="24"/>
          <w:szCs w:val="24"/>
          <w:highlight w:val="none"/>
          <w:u w:val="none"/>
          <w:lang w:val="en-US" w:eastAsia="zh-CN"/>
        </w:rPr>
        <w:t xml:space="preserve">   </w:t>
      </w:r>
    </w:p>
    <w:p>
      <w:pPr>
        <w:pageBreakBefore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sz w:val="20"/>
          <w:szCs w:val="22"/>
          <w:highlight w:val="none"/>
          <w:u w:val="none"/>
        </w:rPr>
      </w:pPr>
      <w:r>
        <w:rPr>
          <w:rFonts w:hint="eastAsia" w:ascii="宋体" w:hAnsi="宋体" w:eastAsia="宋体" w:cs="宋体"/>
          <w:color w:val="auto"/>
          <w:sz w:val="24"/>
          <w:szCs w:val="24"/>
          <w:highlight w:val="none"/>
          <w:u w:val="none"/>
        </w:rPr>
        <w:t>电　话：</w:t>
      </w:r>
      <w:r>
        <w:rPr>
          <w:rFonts w:hint="eastAsia" w:ascii="宋体" w:hAnsi="宋体" w:eastAsia="宋体" w:cs="宋体"/>
          <w:color w:val="auto"/>
          <w:sz w:val="24"/>
          <w:szCs w:val="24"/>
          <w:highlight w:val="none"/>
          <w:u w:val="none"/>
          <w:lang w:val="en-US" w:eastAsia="zh-CN"/>
        </w:rPr>
        <w:t>19399441014</w:t>
      </w:r>
      <w:r>
        <w:rPr>
          <w:rFonts w:hint="eastAsia" w:ascii="宋体" w:hAnsi="宋体" w:eastAsia="宋体" w:cs="宋体"/>
          <w:color w:val="auto"/>
          <w:sz w:val="24"/>
          <w:szCs w:val="24"/>
          <w:highlight w:val="none"/>
          <w:u w:val="none"/>
        </w:rPr>
        <w:t>　</w:t>
      </w:r>
    </w:p>
    <w:p>
      <w:pPr>
        <w:rPr>
          <w:rFonts w:hint="eastAsia" w:ascii="宋体" w:hAnsi="宋体" w:eastAsia="宋体" w:cs="宋体"/>
          <w:b/>
          <w:color w:val="auto"/>
          <w:sz w:val="28"/>
          <w:szCs w:val="28"/>
          <w:highlight w:val="none"/>
          <w:u w:val="none"/>
          <w:lang w:eastAsia="zh-CN"/>
        </w:rPr>
      </w:pPr>
      <w:r>
        <w:rPr>
          <w:rFonts w:hint="eastAsia" w:ascii="宋体" w:hAnsi="宋体" w:eastAsia="宋体" w:cs="宋体"/>
          <w:b/>
          <w:color w:val="auto"/>
          <w:sz w:val="28"/>
          <w:szCs w:val="28"/>
          <w:highlight w:val="none"/>
          <w:u w:val="none"/>
          <w:lang w:eastAsia="zh-CN"/>
        </w:rPr>
        <w:br w:type="page"/>
      </w:r>
    </w:p>
    <w:p>
      <w:pPr>
        <w:pStyle w:val="2"/>
        <w:keepNext/>
        <w:keepLines/>
        <w:pageBreakBefore w:val="0"/>
        <w:widowControl w:val="0"/>
        <w:kinsoku/>
        <w:wordWrap/>
        <w:overflowPunct/>
        <w:topLinePunct w:val="0"/>
        <w:autoSpaceDE/>
        <w:autoSpaceDN/>
        <w:bidi w:val="0"/>
        <w:adjustRightInd/>
        <w:snapToGrid/>
        <w:spacing w:before="0" w:after="0" w:line="579" w:lineRule="auto"/>
        <w:jc w:val="center"/>
        <w:textAlignment w:val="auto"/>
        <w:rPr>
          <w:rFonts w:hint="eastAsia" w:ascii="宋体" w:hAnsi="宋体" w:eastAsia="宋体" w:cs="宋体"/>
          <w:color w:val="auto"/>
          <w:sz w:val="28"/>
          <w:highlight w:val="none"/>
        </w:rPr>
      </w:pPr>
      <w:bookmarkStart w:id="34" w:name="_Toc20568"/>
      <w:r>
        <w:rPr>
          <w:rFonts w:hint="eastAsia" w:ascii="宋体" w:hAnsi="宋体" w:eastAsia="宋体" w:cs="宋体"/>
          <w:color w:val="auto"/>
          <w:sz w:val="28"/>
          <w:highlight w:val="none"/>
        </w:rPr>
        <w:t>第二章  磋商须知</w:t>
      </w:r>
      <w:bookmarkEnd w:id="0"/>
      <w:bookmarkEnd w:id="1"/>
      <w:bookmarkEnd w:id="34"/>
    </w:p>
    <w:p>
      <w:pPr>
        <w:pStyle w:val="4"/>
        <w:numPr>
          <w:ilvl w:val="0"/>
          <w:numId w:val="2"/>
        </w:numPr>
        <w:jc w:val="center"/>
        <w:rPr>
          <w:rFonts w:hint="eastAsia" w:ascii="宋体" w:hAnsi="宋体" w:eastAsia="宋体" w:cs="宋体"/>
          <w:color w:val="auto"/>
          <w:sz w:val="24"/>
          <w:szCs w:val="28"/>
          <w:highlight w:val="none"/>
        </w:rPr>
      </w:pPr>
      <w:bookmarkStart w:id="35" w:name="_Toc73710334"/>
      <w:r>
        <w:rPr>
          <w:rFonts w:hint="eastAsia" w:ascii="宋体" w:hAnsi="宋体" w:eastAsia="宋体" w:cs="宋体"/>
          <w:color w:val="auto"/>
          <w:sz w:val="24"/>
          <w:szCs w:val="28"/>
          <w:highlight w:val="none"/>
        </w:rPr>
        <w:t>磋商须知前附表</w:t>
      </w:r>
      <w:bookmarkEnd w:id="35"/>
    </w:p>
    <w:tbl>
      <w:tblPr>
        <w:tblStyle w:val="30"/>
        <w:tblW w:w="53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022"/>
        <w:gridCol w:w="7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49"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3633"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vMerge w:val="restar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采购项目名称及</w:t>
            </w:r>
          </w:p>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3633" w:type="pct"/>
            <w:vAlign w:val="center"/>
          </w:tcPr>
          <w:p>
            <w:pPr>
              <w:pStyle w:val="17"/>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项目名称：</w:t>
            </w:r>
            <w:r>
              <w:rPr>
                <w:rFonts w:hint="eastAsia" w:hAnsi="宋体" w:cs="宋体"/>
                <w:color w:val="auto"/>
                <w:kern w:val="2"/>
                <w:sz w:val="21"/>
                <w:szCs w:val="21"/>
                <w:highlight w:val="none"/>
                <w:lang w:val="en-US" w:eastAsia="zh-CN"/>
              </w:rPr>
              <w:t>库车市乌恰镇卫生院能力提升临床医疗设备购置项目</w:t>
            </w:r>
          </w:p>
          <w:p>
            <w:pPr>
              <w:pStyle w:val="17"/>
              <w:spacing w:line="276"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szCs w:val="21"/>
                <w:highlight w:val="none"/>
                <w:lang w:val="en-US" w:eastAsia="zh-CN"/>
              </w:rPr>
              <w:t>项目编号：</w:t>
            </w:r>
            <w:r>
              <w:rPr>
                <w:rFonts w:hint="eastAsia" w:hAnsi="宋体" w:cs="宋体"/>
                <w:color w:val="auto"/>
                <w:kern w:val="2"/>
                <w:sz w:val="21"/>
                <w:szCs w:val="21"/>
                <w:highlight w:val="none"/>
                <w:lang w:val="en-US" w:eastAsia="zh-CN"/>
              </w:rPr>
              <w:t>KCS2023-WT156-01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17" w:type="pct"/>
            <w:vMerge w:val="continue"/>
            <w:vAlign w:val="center"/>
          </w:tcPr>
          <w:p>
            <w:pPr>
              <w:pStyle w:val="17"/>
              <w:spacing w:line="276" w:lineRule="auto"/>
              <w:jc w:val="center"/>
              <w:rPr>
                <w:rFonts w:hint="eastAsia" w:ascii="宋体" w:hAnsi="宋体" w:eastAsia="宋体" w:cs="宋体"/>
                <w:color w:val="auto"/>
                <w:sz w:val="21"/>
                <w:szCs w:val="21"/>
                <w:highlight w:val="none"/>
              </w:rPr>
            </w:pPr>
          </w:p>
        </w:tc>
        <w:tc>
          <w:tcPr>
            <w:tcW w:w="1049"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发布网址</w:t>
            </w:r>
          </w:p>
        </w:tc>
        <w:tc>
          <w:tcPr>
            <w:tcW w:w="3633" w:type="pct"/>
            <w:vAlign w:val="center"/>
          </w:tcPr>
          <w:p>
            <w:pPr>
              <w:pStyle w:val="17"/>
              <w:spacing w:line="276"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新疆政府采购网</w:t>
            </w:r>
            <w:r>
              <w:rPr>
                <w:rFonts w:hint="eastAsia" w:ascii="宋体" w:hAnsi="宋体" w:eastAsia="宋体" w:cs="宋体"/>
                <w:bCs/>
                <w:color w:val="auto"/>
                <w:sz w:val="21"/>
                <w:szCs w:val="21"/>
                <w:highlight w:val="none"/>
                <w:lang w:val="en-US" w:eastAsia="zh-CN"/>
              </w:rPr>
              <w:t>和阿克苏地区行政公署网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317" w:type="pct"/>
            <w:vMerge w:val="restar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49"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3633" w:type="pct"/>
            <w:vAlign w:val="center"/>
          </w:tcPr>
          <w:p>
            <w:pPr>
              <w:pStyle w:val="17"/>
              <w:spacing w:line="276" w:lineRule="auto"/>
              <w:jc w:val="left"/>
              <w:rPr>
                <w:rFonts w:hint="eastAsia" w:ascii="宋体" w:hAnsi="宋体" w:eastAsia="宋体" w:cs="宋体"/>
                <w:color w:val="auto"/>
                <w:sz w:val="21"/>
                <w:szCs w:val="21"/>
                <w:highlight w:val="none"/>
                <w:lang w:val="en-US" w:eastAsia="zh-CN" w:bidi="ar-SA"/>
              </w:rPr>
            </w:pPr>
            <w:r>
              <w:rPr>
                <w:rFonts w:hint="eastAsia" w:hAnsi="宋体" w:cs="宋体"/>
                <w:color w:val="auto"/>
                <w:kern w:val="2"/>
                <w:sz w:val="21"/>
                <w:szCs w:val="21"/>
                <w:highlight w:val="none"/>
                <w:lang w:val="en-US" w:eastAsia="zh-CN"/>
              </w:rPr>
              <w:t>能力提升临床医疗设备购置</w:t>
            </w:r>
            <w:r>
              <w:rPr>
                <w:rFonts w:hint="eastAsia" w:ascii="宋体" w:hAnsi="宋体" w:eastAsia="宋体" w:cs="宋体"/>
                <w:color w:val="auto"/>
                <w:kern w:val="2"/>
                <w:sz w:val="21"/>
                <w:szCs w:val="21"/>
                <w:highlight w:val="none"/>
                <w:lang w:val="en-US" w:eastAsia="zh-CN"/>
              </w:rPr>
              <w:t>，详见磋商文件采购需求部分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vMerge w:val="continue"/>
            <w:vAlign w:val="center"/>
          </w:tcPr>
          <w:p>
            <w:pPr>
              <w:pStyle w:val="17"/>
              <w:spacing w:line="276" w:lineRule="auto"/>
              <w:jc w:val="center"/>
              <w:rPr>
                <w:rFonts w:hint="eastAsia" w:ascii="宋体" w:hAnsi="宋体" w:eastAsia="宋体" w:cs="宋体"/>
                <w:color w:val="auto"/>
                <w:sz w:val="21"/>
                <w:szCs w:val="21"/>
                <w:highlight w:val="none"/>
              </w:rPr>
            </w:pPr>
          </w:p>
        </w:tc>
        <w:tc>
          <w:tcPr>
            <w:tcW w:w="1049"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3633" w:type="pct"/>
            <w:vAlign w:val="center"/>
          </w:tcPr>
          <w:p>
            <w:pPr>
              <w:pStyle w:val="17"/>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w:t>
            </w:r>
            <w:r>
              <w:rPr>
                <w:rFonts w:hint="eastAsia" w:hAnsi="宋体" w:cs="宋体"/>
                <w:color w:val="auto"/>
                <w:sz w:val="21"/>
                <w:szCs w:val="21"/>
                <w:highlight w:val="none"/>
                <w:lang w:val="en-US" w:eastAsia="zh-CN"/>
              </w:rPr>
              <w:t>库车市乌恰镇卫生院</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联系人：</w:t>
            </w:r>
            <w:r>
              <w:rPr>
                <w:rFonts w:hint="eastAsia" w:hAnsi="宋体" w:cs="宋体"/>
                <w:color w:val="auto"/>
                <w:sz w:val="21"/>
                <w:szCs w:val="21"/>
                <w:highlight w:val="none"/>
                <w:lang w:val="en-US" w:eastAsia="zh-CN"/>
              </w:rPr>
              <w:t>李超</w:t>
            </w:r>
            <w:r>
              <w:rPr>
                <w:rFonts w:hint="eastAsia" w:ascii="宋体" w:hAnsi="宋体" w:eastAsia="宋体" w:cs="宋体"/>
                <w:color w:val="auto"/>
                <w:sz w:val="21"/>
                <w:szCs w:val="21"/>
                <w:highlight w:val="none"/>
                <w:lang w:val="en-US" w:eastAsia="zh-CN"/>
              </w:rPr>
              <w:t xml:space="preserve">   联系方式：</w:t>
            </w:r>
            <w:r>
              <w:rPr>
                <w:rFonts w:hint="eastAsia" w:hAnsi="宋体" w:cs="宋体"/>
                <w:color w:val="auto"/>
                <w:sz w:val="21"/>
                <w:szCs w:val="21"/>
                <w:highlight w:val="none"/>
                <w:lang w:val="en-US" w:eastAsia="zh-CN"/>
              </w:rPr>
              <w:t>15026383419</w:t>
            </w:r>
            <w:r>
              <w:rPr>
                <w:rFonts w:hint="eastAsia" w:ascii="宋体" w:hAnsi="宋体" w:eastAsia="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17"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49"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3633" w:type="pct"/>
            <w:vAlign w:val="center"/>
          </w:tcPr>
          <w:p>
            <w:pPr>
              <w:pStyle w:val="17"/>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称：新疆准距项目管理有限公司</w:t>
            </w:r>
          </w:p>
          <w:p>
            <w:pPr>
              <w:pStyle w:val="17"/>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联系人：</w:t>
            </w:r>
            <w:r>
              <w:rPr>
                <w:rFonts w:hint="eastAsia" w:hAnsi="宋体" w:cs="宋体"/>
                <w:color w:val="auto"/>
                <w:kern w:val="2"/>
                <w:sz w:val="21"/>
                <w:szCs w:val="21"/>
                <w:highlight w:val="none"/>
                <w:lang w:val="en-US" w:eastAsia="zh-CN"/>
              </w:rPr>
              <w:t xml:space="preserve">王轩 </w:t>
            </w:r>
            <w:r>
              <w:rPr>
                <w:rFonts w:hint="eastAsia" w:ascii="宋体" w:hAnsi="宋体" w:eastAsia="宋体" w:cs="宋体"/>
                <w:color w:val="auto"/>
                <w:kern w:val="2"/>
                <w:sz w:val="21"/>
                <w:szCs w:val="21"/>
                <w:highlight w:val="none"/>
                <w:lang w:val="en-US" w:eastAsia="zh-CN"/>
              </w:rPr>
              <w:t xml:space="preserve">             </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联系电话：19399441014   邮  箱：568799310@qq.com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49" w:type="pct"/>
            <w:vAlign w:val="center"/>
          </w:tcPr>
          <w:p>
            <w:pPr>
              <w:pStyle w:val="17"/>
              <w:spacing w:line="276"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3633" w:type="pct"/>
            <w:vAlign w:val="center"/>
          </w:tcPr>
          <w:p>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7"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049" w:type="pct"/>
            <w:vAlign w:val="center"/>
          </w:tcPr>
          <w:p>
            <w:pPr>
              <w:pStyle w:val="17"/>
              <w:spacing w:line="276"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交货日期</w:t>
            </w:r>
          </w:p>
        </w:tc>
        <w:tc>
          <w:tcPr>
            <w:tcW w:w="3633" w:type="pct"/>
            <w:vAlign w:val="center"/>
          </w:tcPr>
          <w:p>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合同签订后30天交货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317" w:type="pct"/>
            <w:vAlign w:val="center"/>
          </w:tcPr>
          <w:p>
            <w:pPr>
              <w:pStyle w:val="17"/>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1049"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产生方法</w:t>
            </w:r>
          </w:p>
        </w:tc>
        <w:tc>
          <w:tcPr>
            <w:tcW w:w="3633" w:type="pct"/>
            <w:vAlign w:val="center"/>
          </w:tcPr>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公告</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库抽取</w:t>
            </w:r>
          </w:p>
          <w:p>
            <w:pPr>
              <w:pStyle w:val="17"/>
              <w:spacing w:line="276"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17" w:type="pct"/>
            <w:vAlign w:val="center"/>
          </w:tcPr>
          <w:p>
            <w:pPr>
              <w:pStyle w:val="17"/>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w:t>
            </w:r>
          </w:p>
        </w:tc>
        <w:tc>
          <w:tcPr>
            <w:tcW w:w="1049"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资格条件</w:t>
            </w:r>
          </w:p>
        </w:tc>
        <w:tc>
          <w:tcPr>
            <w:tcW w:w="3633" w:type="pct"/>
            <w:vAlign w:val="center"/>
          </w:tcPr>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pPr>
              <w:pStyle w:val="10"/>
              <w:spacing w:line="36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eastAsia="zh-CN"/>
              </w:rPr>
              <w:t>；</w:t>
            </w:r>
          </w:p>
          <w:p>
            <w:pPr>
              <w:pStyle w:val="1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3.本项目的特定资格要求：</w:t>
            </w:r>
          </w:p>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3.1供应商具有合格有效的营业执照，在资质、人员、设备、资金等方面具有相应的服务及售后能力； </w:t>
            </w:r>
          </w:p>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3.2供应商具有有效的《医疗器械经营许可证》或《医疗器械生产许可证》； </w:t>
            </w:r>
          </w:p>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3.3供应商如在“信用中国”网站、中国政府采购网被列入严重违法失信行为记录名单的(尚在处罚期内的)，将拒绝其参加本次政府采购活动； </w:t>
            </w:r>
          </w:p>
          <w:p>
            <w:pPr>
              <w:pStyle w:val="1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3.4其他说明1、与采购人存在利害关系可能影响招标公正性的法人、其他组织或者个人，不得参加投标；2、单位负责人为同一人或者存在直接控股、管理关系的不同供应商不得参加本项目同一包的投标。</w:t>
            </w:r>
          </w:p>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3.5供应商一年内未发生安全生产故事、未被行政主管部门行政处罚或其他不良记录。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17" w:type="pct"/>
            <w:vAlign w:val="center"/>
          </w:tcPr>
          <w:p>
            <w:pPr>
              <w:pStyle w:val="17"/>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w:t>
            </w:r>
          </w:p>
        </w:tc>
        <w:tc>
          <w:tcPr>
            <w:tcW w:w="1049"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项目现场勘察</w:t>
            </w:r>
          </w:p>
        </w:tc>
        <w:tc>
          <w:tcPr>
            <w:tcW w:w="3633" w:type="pct"/>
            <w:vAlign w:val="center"/>
          </w:tcPr>
          <w:p>
            <w:pPr>
              <w:pStyle w:val="17"/>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不组织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自行踏勘</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17" w:type="pct"/>
            <w:vAlign w:val="center"/>
          </w:tcPr>
          <w:p>
            <w:pPr>
              <w:pStyle w:val="17"/>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w:t>
            </w:r>
          </w:p>
        </w:tc>
        <w:tc>
          <w:tcPr>
            <w:tcW w:w="1049"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w:t>
            </w:r>
          </w:p>
        </w:tc>
        <w:tc>
          <w:tcPr>
            <w:tcW w:w="3633" w:type="pct"/>
            <w:vAlign w:val="center"/>
          </w:tcPr>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不接受</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17" w:type="pct"/>
            <w:vAlign w:val="center"/>
          </w:tcPr>
          <w:p>
            <w:pPr>
              <w:pStyle w:val="17"/>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p>
        </w:tc>
        <w:tc>
          <w:tcPr>
            <w:tcW w:w="1049"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澄清或者修改时间</w:t>
            </w:r>
          </w:p>
        </w:tc>
        <w:tc>
          <w:tcPr>
            <w:tcW w:w="3633" w:type="pct"/>
            <w:vAlign w:val="center"/>
          </w:tcPr>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17" w:type="pct"/>
            <w:vAlign w:val="center"/>
          </w:tcPr>
          <w:p>
            <w:pPr>
              <w:pStyle w:val="17"/>
              <w:spacing w:line="276" w:lineRule="auto"/>
              <w:jc w:val="center"/>
              <w:rPr>
                <w:rFonts w:hint="eastAsia" w:ascii="宋体" w:hAnsi="宋体" w:eastAsia="宋体" w:cs="宋体"/>
                <w:color w:val="auto"/>
                <w:kern w:val="2"/>
                <w:sz w:val="21"/>
                <w:szCs w:val="21"/>
                <w:highlight w:val="none"/>
                <w:lang w:val="en-US" w:eastAsia="zh-CN" w:bidi="ar-SA"/>
              </w:rPr>
            </w:pPr>
            <w:bookmarkStart w:id="63" w:name="_GoBack" w:colFirst="1" w:colLast="2"/>
            <w:r>
              <w:rPr>
                <w:rFonts w:hint="eastAsia" w:ascii="宋体" w:hAnsi="宋体" w:eastAsia="宋体" w:cs="宋体"/>
                <w:color w:val="auto"/>
                <w:sz w:val="21"/>
                <w:szCs w:val="21"/>
                <w:highlight w:val="none"/>
              </w:rPr>
              <w:t>11</w:t>
            </w:r>
          </w:p>
        </w:tc>
        <w:tc>
          <w:tcPr>
            <w:tcW w:w="1049"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递交磋商响应文件的截止时间和地点</w:t>
            </w:r>
          </w:p>
        </w:tc>
        <w:tc>
          <w:tcPr>
            <w:tcW w:w="3633" w:type="pct"/>
            <w:vAlign w:val="center"/>
          </w:tcPr>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_年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w:t>
            </w:r>
            <w:r>
              <w:rPr>
                <w:rFonts w:hint="eastAsia"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分(北京时间)</w:t>
            </w:r>
          </w:p>
          <w:p>
            <w:pPr>
              <w:pStyle w:val="17"/>
              <w:spacing w:line="276"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地点：</w:t>
            </w:r>
            <w:r>
              <w:rPr>
                <w:rFonts w:hint="eastAsia" w:ascii="宋体" w:hAnsi="宋体" w:eastAsia="宋体" w:cs="宋体"/>
                <w:color w:val="auto"/>
                <w:kern w:val="2"/>
                <w:sz w:val="21"/>
                <w:szCs w:val="21"/>
                <w:highlight w:val="none"/>
                <w:u w:val="single"/>
                <w:lang w:val="en-US" w:eastAsia="zh-CN" w:bidi="ar-SA"/>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17" w:type="pct"/>
            <w:vAlign w:val="center"/>
          </w:tcPr>
          <w:p>
            <w:pPr>
              <w:pStyle w:val="17"/>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w:t>
            </w:r>
          </w:p>
        </w:tc>
        <w:tc>
          <w:tcPr>
            <w:tcW w:w="1049"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磋商响应文件开启时间和地点</w:t>
            </w:r>
          </w:p>
        </w:tc>
        <w:tc>
          <w:tcPr>
            <w:tcW w:w="3633" w:type="pct"/>
            <w:vAlign w:val="center"/>
          </w:tcPr>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_年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w:t>
            </w:r>
            <w:r>
              <w:rPr>
                <w:rFonts w:hint="eastAsia"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分(北京时间)</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kern w:val="2"/>
                <w:sz w:val="21"/>
                <w:szCs w:val="21"/>
                <w:highlight w:val="none"/>
                <w:u w:val="single"/>
                <w:lang w:val="en-US" w:eastAsia="zh-CN" w:bidi="ar-SA"/>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17" w:type="pct"/>
            <w:vAlign w:val="center"/>
          </w:tcPr>
          <w:p>
            <w:pPr>
              <w:pStyle w:val="17"/>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13</w:t>
            </w:r>
          </w:p>
        </w:tc>
        <w:tc>
          <w:tcPr>
            <w:tcW w:w="1049"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w:t>
            </w:r>
          </w:p>
        </w:tc>
        <w:tc>
          <w:tcPr>
            <w:tcW w:w="3633" w:type="pct"/>
            <w:vAlign w:val="center"/>
          </w:tcPr>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不要求提供</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要求提供。</w:t>
            </w:r>
          </w:p>
        </w:tc>
      </w:tr>
      <w:bookmark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17" w:type="pct"/>
            <w:vAlign w:val="center"/>
          </w:tcPr>
          <w:p>
            <w:pPr>
              <w:pStyle w:val="17"/>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14</w:t>
            </w:r>
          </w:p>
        </w:tc>
        <w:tc>
          <w:tcPr>
            <w:tcW w:w="1049"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磋商响应有效期</w:t>
            </w:r>
          </w:p>
        </w:tc>
        <w:tc>
          <w:tcPr>
            <w:tcW w:w="3633" w:type="pct"/>
            <w:vAlign w:val="center"/>
          </w:tcPr>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自响应文件截止时间起90日(日历日)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7" w:type="pct"/>
            <w:vAlign w:val="center"/>
          </w:tcPr>
          <w:p>
            <w:pPr>
              <w:pStyle w:val="17"/>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w:t>
            </w:r>
          </w:p>
        </w:tc>
        <w:tc>
          <w:tcPr>
            <w:tcW w:w="1049" w:type="pct"/>
            <w:vAlign w:val="center"/>
          </w:tcPr>
          <w:p>
            <w:pPr>
              <w:autoSpaceDE w:val="0"/>
              <w:autoSpaceDN w:val="0"/>
              <w:spacing w:line="276"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投标文件的编制、提交方式及其他要求</w:t>
            </w:r>
          </w:p>
        </w:tc>
        <w:tc>
          <w:tcPr>
            <w:tcW w:w="3633" w:type="pct"/>
            <w:vAlign w:val="center"/>
          </w:tcPr>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1.本项目拟采用政采云不见面开标系统进行开评标，不对纸制版文件进行要求。</w:t>
            </w:r>
          </w:p>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2.开标结束后，按采购人要求，</w:t>
            </w:r>
            <w:r>
              <w:rPr>
                <w:rFonts w:hint="eastAsia" w:ascii="宋体" w:hAnsi="宋体" w:eastAsia="宋体" w:cs="宋体"/>
                <w:color w:val="auto"/>
                <w:sz w:val="21"/>
                <w:szCs w:val="21"/>
                <w:highlight w:val="none"/>
                <w:lang w:val="en-US" w:eastAsia="zh-CN"/>
              </w:rPr>
              <w:t>排名前三的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须提供纸质投标文件（响应文件</w:t>
            </w:r>
            <w:r>
              <w:rPr>
                <w:rFonts w:hint="eastAsia" w:ascii="宋体" w:hAnsi="宋体" w:eastAsia="宋体" w:cs="宋体"/>
                <w:color w:val="auto"/>
                <w:sz w:val="21"/>
                <w:szCs w:val="21"/>
                <w:highlight w:val="none"/>
                <w:lang w:val="en-US" w:eastAsia="zh-CN"/>
              </w:rPr>
              <w:t>叁</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。响应文件须与最终上传电子加密文件一致；纸质文件开标截止后1个工作日递交）。</w:t>
            </w:r>
          </w:p>
          <w:p>
            <w:pPr>
              <w:autoSpaceDE w:val="0"/>
              <w:autoSpaceDN w:val="0"/>
              <w:spacing w:line="276"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3、“电子加密响应文件”的上传、递交： a.供应商应在响应截止时间前将“电子加密响应文件”成功上传递交至“政府采购云平台”，否则响应无效。 b.“电子加密响应文件”成功上传递交后，供应商可自行打印响应文件接收回执。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17" w:type="pct"/>
            <w:vAlign w:val="center"/>
          </w:tcPr>
          <w:p>
            <w:pPr>
              <w:pStyle w:val="17"/>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16</w:t>
            </w:r>
          </w:p>
        </w:tc>
        <w:tc>
          <w:tcPr>
            <w:tcW w:w="1049"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w:t>
            </w:r>
          </w:p>
        </w:tc>
        <w:tc>
          <w:tcPr>
            <w:tcW w:w="3633" w:type="pct"/>
            <w:vAlign w:val="center"/>
          </w:tcPr>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采购人或采购代理机构将通过“信用中国”网站（www.creditchina.gov.cn）、中国政府采购网（www.ccgp.gov.cn）被列入失信被执行人、</w:t>
            </w:r>
            <w:r>
              <w:rPr>
                <w:rFonts w:hint="eastAsia"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、政府采购严重违法失信行为记录名单的（尚在处罚期内的），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近三年无因投标申请人违约或不恰当履约引起的合同终止、纠纷、争议、仲裁和公诉记录。</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自行查询通过“信用中国”网站（www.creditchina.gov.cn）、中国政府采购网（www.ccgp.gov.cn）被列入失信被执行人、</w:t>
            </w:r>
            <w:r>
              <w:rPr>
                <w:rFonts w:hint="eastAsia"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、政府采购严重违法失信行为记录名单的（尚在处罚期内的），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近三年无因投标申请人违约或不恰当履约引起的合同终止、纠纷、争议、仲裁和公诉记录，如实提供无不良信用记录承诺并加盖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317" w:type="pct"/>
            <w:vAlign w:val="center"/>
          </w:tcPr>
          <w:p>
            <w:pPr>
              <w:pStyle w:val="17"/>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w:t>
            </w:r>
          </w:p>
        </w:tc>
        <w:tc>
          <w:tcPr>
            <w:tcW w:w="1049"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采购代理服务费</w:t>
            </w:r>
          </w:p>
        </w:tc>
        <w:tc>
          <w:tcPr>
            <w:tcW w:w="3633" w:type="pct"/>
            <w:vAlign w:val="center"/>
          </w:tcPr>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1、招标代理费：招标代理服务费参考《国家计委关于印友&lt;招标代理服务收费管理暂行办法&gt;的通知》(计价格[2002] 1980 号)、《国家发展改革委办公厅&lt;关于招标代理服务收费有关问题的通知&gt;》(发改办价格[2003]857号)、《国家发展改革委办公厅&lt;关于降低部分建设项目收费标准规范收费行为等有关问题的通知〉》(发改价格[2011] 534号)计算收取代理服务费；</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2、中标单位须在领取中标通知书时一次性付清招标代理服务费；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317" w:type="pct"/>
            <w:vAlign w:val="center"/>
          </w:tcPr>
          <w:p>
            <w:pPr>
              <w:pStyle w:val="17"/>
              <w:spacing w:line="276"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049" w:type="pct"/>
            <w:vAlign w:val="center"/>
          </w:tcPr>
          <w:p>
            <w:pPr>
              <w:pStyle w:val="1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政府采购政策支持</w:t>
            </w:r>
          </w:p>
        </w:tc>
        <w:tc>
          <w:tcPr>
            <w:tcW w:w="3633" w:type="pct"/>
            <w:vAlign w:val="center"/>
          </w:tcPr>
          <w:p>
            <w:pPr>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对小型和微型企业产品的最终价格给予 10%的扣除，用扣除后的价格参与评审（ 如所投产品为小型或微型企业生产产品，须提供相关证明材料，因所提供材料不全导致评标委员会无法评定时，评标价格不予扣除），监狱企业、残疾人福利性单位视同为小微企业。</w:t>
            </w:r>
          </w:p>
          <w:p>
            <w:pPr>
              <w:pStyle w:val="17"/>
              <w:spacing w:line="276"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lang w:val="en-US" w:eastAsia="zh-CN"/>
              </w:rPr>
              <w:t>本项目具体扣除比例为 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317" w:type="pct"/>
            <w:vAlign w:val="center"/>
          </w:tcPr>
          <w:p>
            <w:pPr>
              <w:pStyle w:val="17"/>
              <w:spacing w:line="276"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4682" w:type="pct"/>
            <w:gridSpan w:val="2"/>
            <w:vAlign w:val="center"/>
          </w:tcPr>
          <w:p>
            <w:pPr>
              <w:adjustRightInd w:val="0"/>
              <w:snapToGrid w:val="0"/>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特别说明</w:t>
            </w:r>
            <w:r>
              <w:rPr>
                <w:rFonts w:hint="eastAsia" w:ascii="宋体" w:hAnsi="宋体" w:eastAsia="宋体" w:cs="宋体"/>
                <w:b/>
                <w:bCs/>
                <w:color w:val="auto"/>
                <w:szCs w:val="21"/>
                <w:highlight w:val="none"/>
                <w:lang w:eastAsia="zh-CN"/>
              </w:rPr>
              <w:t>：1.本项目采用新疆政府采购网政采云不见面开标系统进行开评标，各供应商须及时办理CA锁，不见面开标系统中上传的投标文件须进行CA加密上传。各供应商须在开标时准时签到，及时对所上传投标文件进行远程解密，未递交投标文件及未签到的视为无效投标；供应商在制作投标文件时须相关评审点，如因此原因出现废标、扣分等情况，各供应商自行负责。</w:t>
            </w:r>
          </w:p>
          <w:p>
            <w:pPr>
              <w:adjustRightInd w:val="0"/>
              <w:snapToGrid w:val="0"/>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2.响应文件解密时间：响应文件解密时间30分钟；开标前需响应单位用CA证书登录政采云平台开标大厅签到，在30分钟解密时间内输入CA证书 PIN 码解密响应文件。在30分钟解密时间内未进行解密的响应单位可能导致废标。（解密时间开始时政采云平台将以短信形式向供应商在政采云平台预留的手机号发送短信通知，请供应商及时关注。）</w:t>
            </w:r>
          </w:p>
          <w:p>
            <w:pPr>
              <w:adjustRightInd w:val="0"/>
              <w:snapToGrid w:val="0"/>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eastAsia="zh-CN"/>
              </w:rPr>
              <w:t>开标时各供应商需在线等待评标结果，及时回复对于投标文件中指出的需要澄清及确认的信息。</w:t>
            </w:r>
          </w:p>
          <w:p>
            <w:pPr>
              <w:pStyle w:val="17"/>
              <w:spacing w:line="276" w:lineRule="auto"/>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eastAsia="zh-CN"/>
              </w:rPr>
              <w:t>.根据《政府采购促进中小企业发展管理办法》（财库〔2020〕46 号）第十二条　采购项目涉及中小企业采购的，采购文件应当明确以下内容：（六）明确采购标的对应的中小企业划分标准所属行业。本采购项目标的对应的中小企业划分标准所属行业为：</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eastAsia="zh-CN"/>
              </w:rPr>
              <w:t>业。</w:t>
            </w:r>
          </w:p>
          <w:p>
            <w:pPr>
              <w:pStyle w:val="17"/>
              <w:spacing w:line="276" w:lineRule="auto"/>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lang w:eastAsia="zh-CN"/>
              </w:rPr>
              <w:t>如</w:t>
            </w:r>
            <w:r>
              <w:rPr>
                <w:rFonts w:hint="eastAsia" w:hAnsi="宋体" w:cs="宋体"/>
                <w:b/>
                <w:bCs/>
                <w:color w:val="auto"/>
                <w:szCs w:val="21"/>
                <w:highlight w:val="none"/>
                <w:lang w:val="en-US" w:eastAsia="zh-CN"/>
              </w:rPr>
              <w:t>磋商</w:t>
            </w:r>
            <w:r>
              <w:rPr>
                <w:rFonts w:hint="eastAsia" w:ascii="宋体" w:hAnsi="宋体" w:eastAsia="宋体" w:cs="宋体"/>
                <w:b/>
                <w:bCs/>
                <w:color w:val="auto"/>
                <w:szCs w:val="21"/>
                <w:highlight w:val="none"/>
                <w:lang w:eastAsia="zh-CN"/>
              </w:rPr>
              <w:t>文件前后不一致的，以供应商须知前附表为准。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317" w:type="pct"/>
            <w:vAlign w:val="center"/>
          </w:tcPr>
          <w:p>
            <w:pPr>
              <w:pStyle w:val="17"/>
              <w:spacing w:line="276" w:lineRule="auto"/>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20</w:t>
            </w:r>
          </w:p>
        </w:tc>
        <w:tc>
          <w:tcPr>
            <w:tcW w:w="4682" w:type="pct"/>
            <w:gridSpan w:val="2"/>
            <w:vAlign w:val="center"/>
          </w:tcPr>
          <w:p>
            <w:pPr>
              <w:adjustRightInd w:val="0"/>
              <w:snapToGrid w:val="0"/>
              <w:spacing w:line="400" w:lineRule="exac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低于成本价不正当竞争预防措施（实质性要求）：</w:t>
            </w:r>
          </w:p>
          <w:p>
            <w:pPr>
              <w:adjustRightInd w:val="0"/>
              <w:snapToGrid w:val="0"/>
              <w:spacing w:line="400" w:lineRule="exac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1.在评审过程中，评审委员会认为</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投标价低于成本价，有可能影响产品质量或者不能诚信履约的，评审小组应当要求其在开标现场合理的时间内提供书面说明，并提交相关证明材料，</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不能证明其报价合理性的，评审小组应当将其作为无效处理。</w:t>
            </w:r>
          </w:p>
          <w:p>
            <w:pPr>
              <w:adjustRightInd w:val="0"/>
              <w:snapToGrid w:val="0"/>
              <w:spacing w:line="400" w:lineRule="exact"/>
              <w:rPr>
                <w:rFonts w:hint="eastAsia" w:ascii="宋体" w:hAnsi="宋体" w:eastAsia="宋体" w:cs="宋体"/>
                <w:b/>
                <w:color w:val="auto"/>
                <w:kern w:val="0"/>
                <w:szCs w:val="21"/>
                <w:highlight w:val="none"/>
              </w:rPr>
            </w:pP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的书面说明材料应当按照国家财务会计制度的规定要求，逐项就</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提供的货物、工程和服务的主营业务成本、税金及附加、销售费用、管理费用、财务费用等成本构成事项详细陈述）。</w:t>
            </w:r>
          </w:p>
          <w:p>
            <w:pPr>
              <w:adjustRightInd w:val="0"/>
              <w:snapToGrid w:val="0"/>
              <w:spacing w:line="400" w:lineRule="exac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书面说明应当签字确认或者加盖公章，否则无效。书面说明的签字确认，由其法定代表人/主要负责人/本人或者其授权代表签字确认。</w:t>
            </w:r>
          </w:p>
          <w:p>
            <w:pPr>
              <w:pStyle w:val="17"/>
              <w:spacing w:line="276" w:lineRule="auto"/>
              <w:jc w:val="left"/>
              <w:rPr>
                <w:rFonts w:hint="eastAsia" w:ascii="宋体" w:hAnsi="宋体" w:eastAsia="宋体" w:cs="宋体"/>
                <w:b/>
                <w:bCs/>
                <w:color w:val="auto"/>
                <w:szCs w:val="21"/>
                <w:highlight w:val="none"/>
                <w:lang w:val="en-US" w:eastAsia="zh-CN"/>
              </w:rPr>
            </w:pPr>
            <w:r>
              <w:rPr>
                <w:rFonts w:hint="eastAsia" w:ascii="宋体" w:hAnsi="宋体" w:eastAsia="宋体" w:cs="宋体"/>
                <w:b/>
                <w:color w:val="auto"/>
                <w:kern w:val="0"/>
                <w:szCs w:val="21"/>
                <w:highlight w:val="none"/>
              </w:rPr>
              <w:t>3.</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提供书面说明后，评标小组应当结合采购项目采购需求、专业实际情况、</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财务状况报告、与其他</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比较情况等就</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书面说明进行审查评价。</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拒绝或者变相拒绝提供有效书面说明或者书面说明不能证明其报价合理性的或未在规定时间内递交有效书面说明书的，评标小组应当将其响应文件作为无效处理。</w:t>
            </w:r>
          </w:p>
        </w:tc>
      </w:tr>
    </w:tbl>
    <w:p>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numPr>
          <w:ilvl w:val="0"/>
          <w:numId w:val="2"/>
        </w:numPr>
        <w:jc w:val="center"/>
        <w:rPr>
          <w:rFonts w:hint="eastAsia" w:ascii="宋体" w:hAnsi="宋体" w:eastAsia="宋体" w:cs="宋体"/>
          <w:color w:val="auto"/>
          <w:sz w:val="24"/>
          <w:szCs w:val="24"/>
          <w:highlight w:val="none"/>
        </w:rPr>
      </w:pPr>
      <w:bookmarkStart w:id="36" w:name="_Toc73710335"/>
      <w:r>
        <w:rPr>
          <w:rFonts w:hint="eastAsia" w:ascii="宋体" w:hAnsi="宋体" w:eastAsia="宋体" w:cs="宋体"/>
          <w:color w:val="auto"/>
          <w:sz w:val="24"/>
          <w:szCs w:val="24"/>
          <w:highlight w:val="none"/>
        </w:rPr>
        <w:t>磋商须知正文</w:t>
      </w:r>
      <w:bookmarkEnd w:id="36"/>
    </w:p>
    <w:p>
      <w:pPr>
        <w:pStyle w:val="17"/>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一、总则</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1.定义</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1.1“采购人”是指依法进行政府采购的国家机关、事业单位、团体组织。本次政府采购的采购人名称、地址、电话、联系人见磋商须知前附表。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1.2“采购代理机构”是指接受采购人委托，代理采购项目的集中采购机构和其他采购代理机构。本次政府采购的采购代理机构名称、地址、电话、联系人见磋商须知前附表。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”是指响应磋商文件要求、参加竞争性磋商采购的法人、其他组织或者自然人。本次政府采购项目邀请的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通过磋商须知前附表所述方式产生。</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1.4“磋商小组”是依据《政府采购竞争性磋商采购方式管理暂行办法》有关规定组建，依法履行竞争性磋商采购活动职责的3人以上单数的磋商成员。</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1.5“服务”是指除货物和工程以外的其他政府采购对象。</w:t>
      </w:r>
    </w:p>
    <w:p>
      <w:pPr>
        <w:pStyle w:val="17"/>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1.6“货物”是指各种形态和种类的物品，包括原材料、燃料、设备、产品等，详见《政府采购品目分类目录》（财库[2013]189号）。</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2.采购项目预算</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2.1本项目采购资金已列入政府采购预算，预算金额见磋商须知前附表。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的资格要求</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应当符合磋商须知前附表中规定的资格条件要求：</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存在下列情形之一的不得参加竞争性磋商：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3.2.1单位负责人为同一人或者存在直接控股、管理关系的不同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，不得参加同一合同项下的政府采购活动。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3.2.2因违法经营受到刑事处罚或者责令停产停业、吊销许可证或者执照、较大数额罚款等行政处罚，或者存在财政部门认定的其他重大违法记录，以及在财政部门禁止参加政府采购活动期限以内的。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4.参与磋商的费用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4.1无论磋商的结果如何，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应自行承担所有与竞争性磋商采购活动有关的全部费用。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5.授权委托</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法定代表人的，应持有法定代表人身份证明。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代表不是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法定代表人的，应持有法定代表人授权书，并附授权代表的身份证明。</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6.项目现场勘察</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6.1本项目是否组织现场勘察见磋商须知前附表。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应按磋商须知前附表中规定对采购项目现场和周围环境的现场考察。</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未在指定时间进行勘察的，采购人不再另行组织。</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6.3勘察现场的费用由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自己承担，勘察期间所发生的人身伤害及财产损失由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自己负责。</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6.4采购人不对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据此而做出的推论、理解和结论负责。一旦成交，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不得以任何借口，提出额外补偿，或延长合同期限的要求。</w:t>
      </w:r>
    </w:p>
    <w:p>
      <w:pPr>
        <w:pStyle w:val="17"/>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二、磋商文件</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7.磋商文件的组成</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7.1磋商文件由下列文件组成：</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商务部分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磋商邀请</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磋商须知</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评审方法及标准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合同草案条款</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响应文件组成</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技术部分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项目采购需求</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7.2磋商须知前附表规定的提交首次响应文件截止时间前，对磋商文件进行澄清或者修改的内容，为磋商文件的组成部分。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7.3磋商小组根据与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磋商情况可能实质性变动的内容，包括采购需求中的技术、服务要求以及合同草案条款，对磋商文件作出的实质性变动是磋商文件的有效组成部分。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应仔细阅读磋商文件的全部内容，按照磋商文件要求编制响应文件。任何对磋商文件的忽略或误解不能作为响应文件存在缺陷或瑕疵的理由，其风险由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承担。</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8.磋商文件的澄清或者修改</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8.1在磋商须知前附表规定的提交首次响应文件截止之日前，采购人、采购代理机构或者磋商小组可以对已发出的磋商文件进行必要的澄清或者修改。</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8.2澄清或者修改的内容可能影响响应文件编制的，采购人、采购代理机构应当在磋商须知前附表规定的提交首次响应文件截止之日5日前，以书面形式通知所有接收磋商文件的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，不足5日的，顺延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提交首次响应文件截止时间。</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9.偏离</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9.1本条所称偏离为响应文件对磋商文件的偏离，即不满足或不响应磋商文件的要求。偏离分为实质性和非实质性要求条款偏离。</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除政府采购法律法规相关规定外，磋商文件中用“拒绝”“不接受”“无效”“不得”“必须”“应当”等文字规定或标注“★”符号的条款为实质性要求条款(即重要条款)，对其中任何一条的偏离，在评审时将其视为无效响应。</w:t>
      </w:r>
    </w:p>
    <w:p>
      <w:pPr>
        <w:pStyle w:val="17"/>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三、响应文件</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10.一般要求</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应仔细阅读磋商文件的所有内容，按磋商文件的要求编制响应文件，并保证所提供的全部资料的真实性，以使其响应文件对磋商文件做出实质性的响应。</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提交的响应文件及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与采购人或采购代理机构、磋商小组就有关磋商的所有来往函电必须使用中文。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可以提交其他语言的资料，但应附中文注释，在有差异时以中文为准。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10.3除技术要求另有规定外，本文件所要求使用的计量单位均采用国家法定的度、量、衡标准单位计量。未列明时亦默认为我国法定计量单位。</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应按磋商文件中提供的响应文件格式填写。</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10.5磋商响应文件应采用书面形式，磋商文件中要求提供电子版的，必须按要求提供。</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11.响应文件的组成(采购人可根据实际情况对以下项目标注★)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11.1响应文件应包括但不限于下列内容：</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11.1.1商务部分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(1)磋商响应声明</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(3)商务条款偏离表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符合资格条件的证明文件</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经审计财务会计报告（上一年度），或基本开户银行出具的资信证明；近半年内任一月依法缴纳税收证明；近半年内任一月社保缴纳证明。</w:t>
      </w:r>
    </w:p>
    <w:p>
      <w:pPr>
        <w:pStyle w:val="17"/>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)磋商须知前附表要求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须提供的其他资料</w:t>
      </w:r>
    </w:p>
    <w:p>
      <w:pPr>
        <w:pStyle w:val="17"/>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企业类型声明函</w:t>
      </w:r>
    </w:p>
    <w:p>
      <w:pPr>
        <w:pStyle w:val="17"/>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）中小企业声明函</w:t>
      </w:r>
    </w:p>
    <w:p>
      <w:pPr>
        <w:pStyle w:val="17"/>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）中小企业生产或销售的产品优惠明细表</w:t>
      </w:r>
    </w:p>
    <w:p>
      <w:pPr>
        <w:pStyle w:val="17"/>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）监狱企业声明函</w:t>
      </w:r>
    </w:p>
    <w:p>
      <w:pPr>
        <w:pStyle w:val="17"/>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）残疾人福利性单位声明函</w:t>
      </w:r>
    </w:p>
    <w:p>
      <w:pPr>
        <w:pStyle w:val="17"/>
        <w:spacing w:line="36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em w:val="dot"/>
        </w:rPr>
        <w:t>注：(</w:t>
      </w:r>
      <w:r>
        <w:rPr>
          <w:rFonts w:hint="eastAsia" w:ascii="宋体" w:hAnsi="宋体" w:eastAsia="宋体" w:cs="宋体"/>
          <w:b/>
          <w:bCs/>
          <w:color w:val="auto"/>
          <w:sz w:val="24"/>
          <w:highlight w:val="none"/>
          <w:em w:val="dot"/>
          <w:lang w:val="en-US" w:eastAsia="zh-CN"/>
        </w:rPr>
        <w:t>9</w:t>
      </w:r>
      <w:r>
        <w:rPr>
          <w:rFonts w:hint="eastAsia" w:ascii="宋体" w:hAnsi="宋体" w:eastAsia="宋体" w:cs="宋体"/>
          <w:b/>
          <w:bCs/>
          <w:color w:val="auto"/>
          <w:sz w:val="24"/>
          <w:highlight w:val="none"/>
          <w:em w:val="dot"/>
        </w:rPr>
        <w:t>-1</w:t>
      </w:r>
      <w:r>
        <w:rPr>
          <w:rFonts w:hint="eastAsia" w:ascii="宋体" w:hAnsi="宋体" w:eastAsia="宋体" w:cs="宋体"/>
          <w:b/>
          <w:bCs/>
          <w:color w:val="auto"/>
          <w:sz w:val="24"/>
          <w:highlight w:val="none"/>
          <w:em w:val="dot"/>
          <w:lang w:val="en-US" w:eastAsia="zh-CN"/>
        </w:rPr>
        <w:t>1</w:t>
      </w:r>
      <w:r>
        <w:rPr>
          <w:rFonts w:hint="eastAsia" w:ascii="宋体" w:hAnsi="宋体" w:eastAsia="宋体" w:cs="宋体"/>
          <w:b/>
          <w:bCs/>
          <w:color w:val="auto"/>
          <w:sz w:val="24"/>
          <w:highlight w:val="none"/>
          <w:em w:val="dot"/>
        </w:rPr>
        <w:t>)项</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根据情况自行选择，不享受相关政策的</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无需提供。</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11.1.2技术部分</w:t>
      </w:r>
    </w:p>
    <w:p>
      <w:pPr>
        <w:pStyle w:val="17"/>
        <w:numPr>
          <w:ilvl w:val="0"/>
          <w:numId w:val="3"/>
        </w:numPr>
        <w:spacing w:line="360" w:lineRule="auto"/>
        <w:ind w:left="84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产品简要说明一览表</w:t>
      </w:r>
    </w:p>
    <w:p>
      <w:pPr>
        <w:pStyle w:val="17"/>
        <w:numPr>
          <w:ilvl w:val="0"/>
          <w:numId w:val="3"/>
        </w:numPr>
        <w:spacing w:line="360" w:lineRule="auto"/>
        <w:ind w:left="84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产品技术支持文件（包含但不限于产品检测报告、产品彩页或技术白皮书等）</w:t>
      </w:r>
    </w:p>
    <w:p>
      <w:pPr>
        <w:pStyle w:val="17"/>
        <w:numPr>
          <w:ilvl w:val="0"/>
          <w:numId w:val="3"/>
        </w:numPr>
        <w:spacing w:line="360" w:lineRule="auto"/>
        <w:ind w:left="84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备品、备件清单</w:t>
      </w:r>
    </w:p>
    <w:p>
      <w:pPr>
        <w:pStyle w:val="17"/>
        <w:numPr>
          <w:ilvl w:val="0"/>
          <w:numId w:val="3"/>
        </w:numPr>
        <w:spacing w:line="360" w:lineRule="auto"/>
        <w:ind w:left="84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规格、技术参数偏离表</w:t>
      </w:r>
    </w:p>
    <w:p>
      <w:pPr>
        <w:pStyle w:val="17"/>
        <w:numPr>
          <w:ilvl w:val="0"/>
          <w:numId w:val="3"/>
        </w:numPr>
        <w:spacing w:line="360" w:lineRule="auto"/>
        <w:ind w:left="84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服务团队配备情况</w:t>
      </w:r>
    </w:p>
    <w:p>
      <w:pPr>
        <w:pStyle w:val="17"/>
        <w:numPr>
          <w:ilvl w:val="0"/>
          <w:numId w:val="3"/>
        </w:numPr>
        <w:spacing w:line="360" w:lineRule="auto"/>
        <w:ind w:left="84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供货方案及培训方案</w:t>
      </w:r>
    </w:p>
    <w:p>
      <w:pPr>
        <w:pStyle w:val="17"/>
        <w:numPr>
          <w:ilvl w:val="0"/>
          <w:numId w:val="3"/>
        </w:numPr>
        <w:spacing w:line="360" w:lineRule="auto"/>
        <w:ind w:left="845" w:leftChars="0" w:hanging="425" w:firstLineChars="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售后服务方案</w:t>
      </w:r>
    </w:p>
    <w:p>
      <w:pPr>
        <w:pStyle w:val="17"/>
        <w:numPr>
          <w:ilvl w:val="0"/>
          <w:numId w:val="3"/>
        </w:numPr>
        <w:spacing w:line="360" w:lineRule="auto"/>
        <w:ind w:left="84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售后服务承诺书</w:t>
      </w:r>
    </w:p>
    <w:p>
      <w:pPr>
        <w:pStyle w:val="17"/>
        <w:numPr>
          <w:ilvl w:val="0"/>
          <w:numId w:val="3"/>
        </w:numPr>
        <w:spacing w:line="360" w:lineRule="auto"/>
        <w:ind w:left="845" w:leftChars="0" w:hanging="425" w:firstLineChars="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认为可能需要的其他文件</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11.2在磋商过程中，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根据磋商小组要求提交的最后报价(或者重新提交的响应文件和最后报价)是响应文件的有效组成部分。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11.3磋商文件规定可能发生实质性变动的，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应当在《技术/商务响应与偏离表》中的对应内容处注明。</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.磋商保证金</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.1本项目是否交纳磋商保证金要求见磋商须知前附表。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.磋商响应有效期</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.1磋商响应有效期见磋商须知前附表，在此期间响应文件对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具有法律约束力。响应文件有效期从磋商须知前附表规定的提交首次响应文件截止时间之日起计算。磋商响应有效期不足的将被视为无效响应。</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.响应文件的签署及规定</w:t>
      </w:r>
    </w:p>
    <w:p>
      <w:pPr>
        <w:pStyle w:val="12"/>
        <w:spacing w:before="183" w:line="360" w:lineRule="auto"/>
        <w:ind w:left="13" w:right="1" w:firstLine="46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供应商应通过电子投标文件制作工具编制响应文件，将生成的加密的电子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响应文件，在投标截止时间前通过政采云平台上传；若未按规定</w:t>
      </w:r>
      <w:r>
        <w:rPr>
          <w:rFonts w:hint="eastAsia" w:ascii="宋体" w:hAnsi="宋体" w:eastAsia="宋体" w:cs="宋体"/>
          <w:color w:val="auto"/>
          <w:spacing w:val="-3"/>
          <w:sz w:val="24"/>
          <w:szCs w:val="24"/>
          <w:highlight w:val="none"/>
        </w:rPr>
        <w:t>的方式编制和份数提</w:t>
      </w:r>
      <w:r>
        <w:rPr>
          <w:rFonts w:hint="eastAsia" w:ascii="宋体" w:hAnsi="宋体" w:eastAsia="宋体" w:cs="宋体"/>
          <w:color w:val="auto"/>
          <w:spacing w:val="-1"/>
          <w:sz w:val="24"/>
          <w:szCs w:val="24"/>
          <w:highlight w:val="none"/>
        </w:rPr>
        <w:t>交响应文件的，采购代理机构不予受理。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.响应文件的密封和标记</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电子响应文件的密封和标记。电子响应文件的内容通过数字证书进行加密并签章。未按要求加密和数字证书认证的响应文件，采购代理机构不予受理。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.响应文件的递交</w:t>
      </w:r>
    </w:p>
    <w:p>
      <w:pPr>
        <w:pStyle w:val="12"/>
        <w:spacing w:before="184" w:line="360" w:lineRule="auto"/>
        <w:ind w:left="2"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16.1电子响应文件的提交。供应商应在磋商文件规定的响应文件递交截止时间前，将电子响应文件上传到指定网站的指定栏目。未在响应文件递交截止时间前完成上传的电子响应文件视为逾期送达。逾期上传或未按规定方式上传的电子响应文件，采购代理机构不予受理。</w:t>
      </w:r>
    </w:p>
    <w:p>
      <w:pPr>
        <w:pStyle w:val="12"/>
        <w:spacing w:before="185" w:line="219" w:lineRule="auto"/>
        <w:ind w:left="48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16.2迟交的响应文件</w:t>
      </w:r>
    </w:p>
    <w:p>
      <w:pPr>
        <w:pStyle w:val="12"/>
        <w:spacing w:before="184" w:line="360" w:lineRule="auto"/>
        <w:ind w:left="2" w:firstLine="1"/>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采购代理机构将拒绝并原封退回在其规定的递交响应文件截止时间之后收到的任何响应文件。由于对网上操作不熟悉或自身电脑、网络的原因导致不能在响应文件递交截止时间之前上传响应文件，采购人及采购代理机构不负任何责任。</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.响应文件的补充、修改或者撤回</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在磋商须知前附表规定的提交首次响应文件截止时间前，可以对所提交的首次响应文件进行补充、修改或者撤回。</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.2补充、修改的内容与响应文件不一致时，以补充、修改的内容为准。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四、磋商与评审</w:t>
      </w:r>
    </w:p>
    <w:p>
      <w:pPr>
        <w:pStyle w:val="12"/>
        <w:spacing w:before="259" w:line="360" w:lineRule="auto"/>
        <w:ind w:left="12" w:right="20" w:firstLine="47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18.磋商仪式</w:t>
      </w:r>
    </w:p>
    <w:p>
      <w:pPr>
        <w:pStyle w:val="12"/>
        <w:spacing w:before="259" w:line="360" w:lineRule="auto"/>
        <w:ind w:left="12" w:right="20" w:firstLine="47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采购人及采购代理机构在磋商须知前附表的响应文件递交截止时间（开标 时间）开标。供应商的法定代表人或其委托代理人无需到达开标现场，仅需在任意地点通过政采云平台不见面开标系统，使用 CA 密钥完成远程解密、提疑澄清、开标唱标、结果公布等交互环节。</w:t>
      </w:r>
    </w:p>
    <w:p>
      <w:pPr>
        <w:pStyle w:val="12"/>
        <w:spacing w:before="184" w:line="360" w:lineRule="auto"/>
        <w:ind w:left="1" w:right="20" w:firstLine="48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法定代表人或法定代表人授权委托人参与远程交互，中途不得更换，在废标、澄清、提疑、传送文件等特殊情况下需要交互时，供应商一端参与交互的人员将 均被视为是供应商的授权委托人或法人代表，供应商不得以不承认交互人员的资格或身份等为借口推脱，供应商自行承担随意更换人员所导致的一切后果。</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.磋商小组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.1磋商与评审由依法组建的磋商小组负责，磋商小组由评审专家</w:t>
      </w:r>
      <w:r>
        <w:rPr>
          <w:rFonts w:hint="eastAsia" w:ascii="宋体" w:hAnsi="宋体" w:eastAsia="宋体" w:cs="宋体"/>
          <w:color w:val="auto"/>
          <w:sz w:val="24"/>
          <w:szCs w:val="24"/>
          <w:highlight w:val="none"/>
          <w:lang w:val="en-US" w:eastAsia="zh-CN"/>
        </w:rPr>
        <w:t>3人及以上单数</w:t>
      </w:r>
      <w:r>
        <w:rPr>
          <w:rFonts w:hint="eastAsia" w:ascii="宋体" w:hAnsi="宋体" w:eastAsia="宋体" w:cs="宋体"/>
          <w:color w:val="auto"/>
          <w:sz w:val="24"/>
          <w:szCs w:val="24"/>
          <w:highlight w:val="none"/>
        </w:rPr>
        <w:t>组成。</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初步审查</w:t>
      </w:r>
    </w:p>
    <w:p>
      <w:pPr>
        <w:pStyle w:val="17"/>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19.2.1磋商小组应当对供应商提交的响应文件进行初步审查，响应文件的初步评审分为资格性检查、符合性检查。</w:t>
      </w:r>
    </w:p>
    <w:p>
      <w:pPr>
        <w:pStyle w:val="17"/>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（1）资格性检查指依据法律、法规和磋商文件的规定，对响应文件资格证明、磋商保证金等进行审查，以确定供应商是否具备报价资格。</w:t>
      </w:r>
    </w:p>
    <w:p>
      <w:pPr>
        <w:pStyle w:val="17"/>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（2）符合性检查依据磋商文件的规定，从响应文件的有效性、完整性和对磋商文件的响应程度进行审查，以确定是否对磋商文件的实质性要求作出响应。</w:t>
      </w:r>
    </w:p>
    <w:p>
      <w:pPr>
        <w:spacing w:line="440" w:lineRule="exact"/>
        <w:ind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资格性检查、符合性检查详见“第三章评审方法及标准”</w:t>
      </w:r>
      <w:r>
        <w:rPr>
          <w:rFonts w:hint="eastAsia" w:ascii="宋体" w:hAnsi="宋体" w:eastAsia="宋体" w:cs="宋体"/>
          <w:color w:val="auto"/>
          <w:sz w:val="24"/>
          <w:szCs w:val="21"/>
          <w:highlight w:val="none"/>
          <w:lang w:eastAsia="zh-CN"/>
        </w:rPr>
        <w:t>。</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.澄清</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.1磋商小组在对响应文件(包括首次响应文件、重新提交的响应文件)的有效性、完整性和对磋商文件的响应程度进行审查时，可以要求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对响应文件中含义不明确、同类问题表述不一致或者有明显文字和计算错误的内容等作出必要的澄清、说明或者更正。该要求应当</w:t>
      </w:r>
      <w:r>
        <w:rPr>
          <w:rFonts w:hint="eastAsia" w:ascii="宋体" w:hAnsi="宋体" w:eastAsia="宋体" w:cs="宋体"/>
          <w:color w:val="auto"/>
          <w:sz w:val="24"/>
          <w:szCs w:val="24"/>
          <w:highlight w:val="none"/>
          <w:lang w:val="en-US" w:eastAsia="zh-CN"/>
        </w:rPr>
        <w:t>在政采云平台上做</w:t>
      </w:r>
      <w:r>
        <w:rPr>
          <w:rFonts w:hint="eastAsia" w:ascii="宋体" w:hAnsi="宋体" w:eastAsia="宋体" w:cs="宋体"/>
          <w:color w:val="auto"/>
          <w:sz w:val="24"/>
          <w:szCs w:val="24"/>
          <w:highlight w:val="none"/>
        </w:rPr>
        <w:t>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的澄清、说明或者更正应当</w:t>
      </w:r>
      <w:r>
        <w:rPr>
          <w:rFonts w:hint="eastAsia" w:ascii="宋体" w:hAnsi="宋体" w:eastAsia="宋体" w:cs="宋体"/>
          <w:color w:val="auto"/>
          <w:sz w:val="24"/>
          <w:szCs w:val="24"/>
          <w:highlight w:val="none"/>
          <w:lang w:val="en-US" w:eastAsia="zh-CN"/>
        </w:rPr>
        <w:t>在规定的时间内完成</w:t>
      </w:r>
      <w:r>
        <w:rPr>
          <w:rFonts w:hint="eastAsia" w:ascii="宋体" w:hAnsi="宋体" w:eastAsia="宋体" w:cs="宋体"/>
          <w:color w:val="auto"/>
          <w:sz w:val="24"/>
          <w:szCs w:val="24"/>
          <w:highlight w:val="none"/>
        </w:rPr>
        <w:t>，由其法定代表人或其授权代表签字，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的澄清、说明或者更正不得超出磋商文件的范围或者改变响应文件的实质性内容。</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.磋商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.1初审结束后，磋商小组所有成员集中与单一</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分别进行磋商，并给予所有参加磋商的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平等的磋商机会。</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.2在磋商过程中，磋商小组可以根据磋商文件和磋商情况实质性变动采购需求中的技术、服务要求以及合同草案条款，但不得变动磋商文件中的其他内容。实质性变动的内容，须经采购人代表确认。</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.3对磋商文件作出的实质性变动是磋商文件的有效组成部分，磋商小组应当及时</w:t>
      </w:r>
      <w:r>
        <w:rPr>
          <w:rFonts w:hint="eastAsia" w:ascii="宋体" w:hAnsi="宋体" w:eastAsia="宋体" w:cs="宋体"/>
          <w:color w:val="auto"/>
          <w:sz w:val="24"/>
          <w:szCs w:val="24"/>
          <w:highlight w:val="none"/>
          <w:lang w:val="en-US" w:eastAsia="zh-CN"/>
        </w:rPr>
        <w:t>在政采云平台</w:t>
      </w:r>
      <w:r>
        <w:rPr>
          <w:rFonts w:hint="eastAsia" w:ascii="宋体" w:hAnsi="宋体" w:eastAsia="宋体" w:cs="宋体"/>
          <w:color w:val="auto"/>
          <w:sz w:val="24"/>
          <w:szCs w:val="24"/>
          <w:highlight w:val="none"/>
        </w:rPr>
        <w:t>通知所有参加磋商的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应当按照磋商文件的变动情况和磋商小组的要求重新提交响应文件，并由其法定代表人或授权代表签字或者加盖公章。</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.5磋商文件不能详细列明采购标的技术、服务要求，需经磋商由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提供最终设计方案或解决方案的，磋商结束后，磋商小组应当按照少数服从多数的原则投票推荐3家以上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的设计方案或者解决方案。</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.6磋商小组应当根据实际情况与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进行磋商，磋商轮次原则上为两轮，具体由磋商小组视情况决定。</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.7已提交响应文件的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，在提交最后报价之前，可以根据磋商情况退出磋商。采购人或采购代理机构应当退还退出磋商的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的磋商保证金。</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.8磋商结束后，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按照磋商小组要求重新提交的响应文件，不满足磋商文件及变动后的技术、服务要求以及合同草案条款的实质性要求的，将视为无效响应文件。</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.综合评审</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.1经磋商确定最终采购需求的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后，由磋商小组采用综合评分法对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的响应文件进行综合评分。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.2评审办法及标准见第三章。</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.3评审时，磋商小组成员应当独立对每个有效响应的文件进行评价、打分，然后汇总每个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每项评分因素的得分。</w:t>
      </w:r>
    </w:p>
    <w:p>
      <w:pPr>
        <w:pStyle w:val="17"/>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.提出成交</w:t>
      </w:r>
      <w:r>
        <w:rPr>
          <w:rFonts w:hint="eastAsia" w:ascii="宋体" w:hAnsi="宋体" w:eastAsia="宋体" w:cs="宋体"/>
          <w:color w:val="auto"/>
          <w:sz w:val="24"/>
          <w:szCs w:val="24"/>
          <w:highlight w:val="none"/>
          <w:lang w:eastAsia="zh-CN"/>
        </w:rPr>
        <w:t>供应商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.1磋商小组应当按照综合评分由高到低的顺序提出3名以上成交候选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，并编写评审报告。</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.2评审得分相同的，按照按照技术指标优劣顺序推荐。</w:t>
      </w:r>
    </w:p>
    <w:p>
      <w:pPr>
        <w:pStyle w:val="17"/>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.确定成交</w:t>
      </w:r>
      <w:r>
        <w:rPr>
          <w:rFonts w:hint="eastAsia" w:ascii="宋体" w:hAnsi="宋体" w:eastAsia="宋体" w:cs="宋体"/>
          <w:color w:val="auto"/>
          <w:sz w:val="24"/>
          <w:szCs w:val="24"/>
          <w:highlight w:val="none"/>
          <w:lang w:eastAsia="zh-CN"/>
        </w:rPr>
        <w:t>供应商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.1采购代理机构应当在评审结束之日起2个工作日内将评审报告送采购人确认。</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.2采购人应当在收到评审报告之日起5个工作日内，从评审报告提出的成交候选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中，按照排序由高到低的原则确定成交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，最大程度满足磋商文件规定的各项综合评价标准即综合得分最高为成交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.3采购人自行组织磋商的，应当在评审结束之日起5个工作日内确定成交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.磋商终止</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.1出现下列情形之一的，采购人或者采购代理机构应当终止竞争性磋商采购活动，在财政部指定的媒体上发布项目终止公告并说明原因，重新开展采购活动：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(3)采购过程中符合要求的供应商只有1家的；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.重新评审</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.1除资格性检查认定错误、分值汇总计算错误、分项评分超出评分标准范围、客观分评分不一致、经磋商小组一致认定评分畸高、畸低的情形外，采购人或者采购代理机构不得以任何理由组织重新评审。</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.保密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.1磋商小组成员以及与评审工作有关的人员不得泄露评审情况以及评审过程中获悉的国家秘密、商业秘密。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.禁止行为</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不得与采购人、采购代理机构、其他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恶意串通；不得向采购人、采购代理机构或者磋商小组成员行贿或者提供其他不正当利益；不得提供虚假材料谋取成交；不得以任何方式干扰、影响采购工作。</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五、成交结果信息公布与签订合同</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.成交信息的公布</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确定之日起2个工作日内，采购人或者采购代理机构应在磋商须知前附表中规定的公告媒体上公布成交结果信息。</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.2磋商文件随成交结果同时公告。但成交结果公告前磋商文件已公告的，不再重复公告。</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.3采用书面推荐</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参加采购活动的，在公告结果同时公告采购人和评审专家的推荐意见。</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.成交通知</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确定后，采购人或采购代理机构在发布成交公告的同时以书面形式向成交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发出成交通知书。成交通知书对采购人和成交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具有同等法律效力。</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.履约保证金</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按照磋商须知前附表的规定，在签订采购合同前，向采购人提交履约保证金。联合体成交的，履约保证金以联合体各方或联合体中牵头人的名义提交。</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没有按照磋商须知前附表的规定提交履约保证金的，视为放弃成交资格，其磋商保证金不予退还。</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.签订合同</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.1磋商文件、成交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的响应文件、补充文件、履约包含等均为签订政府采购合同的依据。</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应当在成交通知书发出之日起30日内与采购人签订政府采购合同。</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.3采购人不得向成交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提出超出磋商文件以外的任何要求作为签订合同的条件，不得与成交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订立背离磋商文件确定的合同文本以及采购标的、规格型号、采购金额、采购数量、技术和服务要求等实质性内容的协议。</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.4自政府采购合同签订之日起2个工作日内，本项目政府采购合同在磋商须知前附表规定的媒体上公告，但政府采购合同中涉及国家秘密、商业秘密的内容除外。</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六、其他规定</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.采购代理服务费</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是否交纳采购代理服务费及相关要求见磋商须知前附表。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.询问、质疑、投诉</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对政府采购活动事项有疑问的，可以向采购人提出询问，采购人应当及时作出答复，但答复的内容不得涉及商业秘密。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认为磋商文件、磋商过程和成交结果使自己的权益受到损害的，可以在知道或者应知其权益受到损害之日起7个工作日内，以书面形式向采购人提出质疑。</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对采购人或采购代理机构的答复不满意，或采购人或采购代理机构未在规定的期限作出答复的，可在答复期满后15个工作日内，按政府采购法律法规规定及程序，向财政部提出投诉。</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有下列情形之一的，将被列入不良行为记录名单，在1～3年内禁止参加政府采购活动，并予以通报：</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(1)成交后无正当理由不与采购人签订合同的；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(2)未按照采购文件确定的事项签订政府采购合同，或者与采购人另行订立背离合同实质性内容的协议的；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(3)拒绝履行合同义务的；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(4)《政府采购法》第七十七条和《政府采购法实施条例》第七十二条规定的其他情形；</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(5)其他违反法律法规相关规定的情形。</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.其他规定</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.1磋商文件的其他规定见磋商须知前附表。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.未尽事宜</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.1其他未尽事宜按政府采购法律法规的规定执行。</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.文件解释权</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.1本磋商文件的解释权归</w:t>
      </w:r>
      <w:r>
        <w:rPr>
          <w:rFonts w:hint="eastAsia" w:ascii="宋体" w:hAnsi="宋体" w:eastAsia="宋体" w:cs="宋体"/>
          <w:color w:val="auto"/>
          <w:sz w:val="24"/>
          <w:szCs w:val="24"/>
          <w:highlight w:val="none"/>
          <w:lang w:eastAsia="zh-CN"/>
        </w:rPr>
        <w:t>新疆准距项目管理有限公司</w:t>
      </w:r>
      <w:r>
        <w:rPr>
          <w:rFonts w:hint="eastAsia" w:ascii="宋体" w:hAnsi="宋体" w:eastAsia="宋体" w:cs="宋体"/>
          <w:color w:val="auto"/>
          <w:sz w:val="24"/>
          <w:szCs w:val="24"/>
          <w:highlight w:val="none"/>
        </w:rPr>
        <w:t>所有。</w:t>
      </w: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
        <w:spacing w:before="0" w:after="0"/>
        <w:jc w:val="center"/>
        <w:rPr>
          <w:rFonts w:hint="eastAsia" w:ascii="宋体" w:hAnsi="宋体" w:eastAsia="宋体" w:cs="宋体"/>
          <w:color w:val="auto"/>
          <w:sz w:val="28"/>
          <w:highlight w:val="none"/>
        </w:rPr>
      </w:pPr>
      <w:bookmarkStart w:id="37" w:name="_Toc4926"/>
      <w:bookmarkStart w:id="38" w:name="_Toc43715823"/>
      <w:bookmarkStart w:id="39" w:name="_Toc73710336"/>
      <w:r>
        <w:rPr>
          <w:rFonts w:hint="eastAsia" w:ascii="宋体" w:hAnsi="宋体" w:eastAsia="宋体" w:cs="宋体"/>
          <w:color w:val="auto"/>
          <w:sz w:val="28"/>
          <w:highlight w:val="none"/>
        </w:rPr>
        <w:t>第三章评审方法及标准</w:t>
      </w:r>
      <w:bookmarkEnd w:id="37"/>
      <w:bookmarkEnd w:id="38"/>
      <w:bookmarkEnd w:id="39"/>
    </w:p>
    <w:p>
      <w:pPr>
        <w:pStyle w:val="3"/>
        <w:spacing w:before="0" w:after="0"/>
        <w:jc w:val="center"/>
        <w:rPr>
          <w:rFonts w:hint="eastAsia" w:ascii="宋体" w:hAnsi="宋体" w:eastAsia="宋体" w:cs="宋体"/>
          <w:bCs/>
          <w:color w:val="auto"/>
          <w:sz w:val="24"/>
          <w:highlight w:val="none"/>
        </w:rPr>
      </w:pPr>
      <w:bookmarkStart w:id="40" w:name="_Toc73710337"/>
      <w:bookmarkStart w:id="41" w:name="_Toc73709878"/>
      <w:bookmarkStart w:id="42" w:name="_Toc43715824"/>
      <w:r>
        <w:rPr>
          <w:rFonts w:hint="eastAsia" w:ascii="宋体" w:hAnsi="宋体" w:eastAsia="宋体" w:cs="宋体"/>
          <w:bCs/>
          <w:color w:val="auto"/>
          <w:sz w:val="24"/>
          <w:highlight w:val="none"/>
        </w:rPr>
        <w:t>（一）、资格审查标准</w:t>
      </w:r>
      <w:bookmarkEnd w:id="40"/>
      <w:bookmarkEnd w:id="41"/>
    </w:p>
    <w:tbl>
      <w:tblPr>
        <w:tblStyle w:val="30"/>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8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7"/>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序号</w:t>
            </w:r>
          </w:p>
        </w:tc>
        <w:tc>
          <w:tcPr>
            <w:tcW w:w="4656" w:type="pct"/>
            <w:vAlign w:val="center"/>
          </w:tcPr>
          <w:p>
            <w:pPr>
              <w:pStyle w:val="17"/>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7"/>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656" w:type="pct"/>
            <w:vAlign w:val="center"/>
          </w:tcPr>
          <w:p>
            <w:pPr>
              <w:pStyle w:val="17"/>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供应商具备有效营业执照</w:t>
            </w:r>
            <w:r>
              <w:rPr>
                <w:rFonts w:hint="eastAsia" w:ascii="宋体" w:hAnsi="宋体" w:eastAsia="宋体" w:cs="宋体"/>
                <w:color w:val="auto"/>
                <w:sz w:val="24"/>
                <w:szCs w:val="20"/>
                <w:highlight w:val="none"/>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7"/>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656" w:type="pct"/>
            <w:vAlign w:val="center"/>
          </w:tcPr>
          <w:p>
            <w:pPr>
              <w:pStyle w:val="17"/>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是否提供有效的《医疗器械经营许可证》或《医疗器械生产许可证》（复印件加盖公章）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7"/>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4656" w:type="pct"/>
            <w:vAlign w:val="center"/>
          </w:tcPr>
          <w:p>
            <w:pPr>
              <w:pStyle w:val="17"/>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经审计财务会计报告，或基本开户银行出具的资信证明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7"/>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4656" w:type="pct"/>
            <w:vAlign w:val="center"/>
          </w:tcPr>
          <w:p>
            <w:pPr>
              <w:pStyle w:val="17"/>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近半年内任一月依法缴纳税收证明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7"/>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4656" w:type="pct"/>
            <w:vAlign w:val="center"/>
          </w:tcPr>
          <w:p>
            <w:pPr>
              <w:pStyle w:val="17"/>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近半年内任一月社保缴纳证明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7"/>
              <w:spacing w:line="360" w:lineRule="auto"/>
              <w:jc w:val="left"/>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6</w:t>
            </w:r>
          </w:p>
        </w:tc>
        <w:tc>
          <w:tcPr>
            <w:tcW w:w="4656" w:type="pct"/>
            <w:vAlign w:val="center"/>
          </w:tcPr>
          <w:p>
            <w:pPr>
              <w:pStyle w:val="17"/>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供应商一年内未发生安全生产故事、未被行政主管部门行政处罚或其他不良记录。（提供承诺函）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
            <w:vAlign w:val="center"/>
          </w:tcPr>
          <w:p>
            <w:pPr>
              <w:pStyle w:val="17"/>
              <w:spacing w:line="27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注：1、以上审查项目中，凡要求提交原件或复印件审查的，资格审查时以原件或复印件为准。</w:t>
            </w:r>
          </w:p>
          <w:p>
            <w:pPr>
              <w:pStyle w:val="17"/>
              <w:spacing w:line="27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2、如果资格评审中有一项不满足审查标准的，监督人将认定该</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不通过资格审查，不得进入下一阶段评审。并且不允许</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通过修改或撤销其不符合要求的差异或保留，使之成为具有响应性的投标。</w:t>
            </w:r>
          </w:p>
        </w:tc>
      </w:tr>
    </w:tbl>
    <w:p>
      <w:pPr>
        <w:widowControl/>
        <w:jc w:val="center"/>
        <w:rPr>
          <w:rFonts w:hint="eastAsia" w:ascii="宋体" w:hAnsi="宋体" w:eastAsia="宋体" w:cs="宋体"/>
          <w:b/>
          <w:bCs/>
          <w:color w:val="auto"/>
          <w:kern w:val="2"/>
          <w:sz w:val="24"/>
          <w:szCs w:val="22"/>
          <w:highlight w:val="none"/>
          <w:lang w:val="en-US" w:eastAsia="zh-CN" w:bidi="ar-SA"/>
        </w:rPr>
      </w:pPr>
      <w:bookmarkStart w:id="43" w:name="_Toc73710338"/>
    </w:p>
    <w:p>
      <w:pPr>
        <w:pStyle w:val="29"/>
        <w:rPr>
          <w:rFonts w:hint="eastAsia" w:ascii="宋体" w:hAnsi="宋体" w:eastAsia="宋体" w:cs="宋体"/>
          <w:color w:val="auto"/>
          <w:highlight w:val="none"/>
          <w:lang w:val="en-US" w:eastAsia="zh-CN"/>
        </w:rPr>
      </w:pPr>
    </w:p>
    <w:p>
      <w:pPr>
        <w:widowControl/>
        <w:jc w:val="center"/>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（二）、符合性审查表</w:t>
      </w:r>
      <w:bookmarkEnd w:id="42"/>
      <w:bookmarkEnd w:id="43"/>
    </w:p>
    <w:tbl>
      <w:tblPr>
        <w:tblStyle w:val="30"/>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7"/>
              <w:spacing w:line="276"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sz w:val="22"/>
                <w:szCs w:val="22"/>
                <w:highlight w:val="none"/>
              </w:rPr>
              <w:t>序号</w:t>
            </w:r>
          </w:p>
        </w:tc>
        <w:tc>
          <w:tcPr>
            <w:tcW w:w="8190" w:type="dxa"/>
            <w:vAlign w:val="center"/>
          </w:tcPr>
          <w:p>
            <w:pPr>
              <w:pStyle w:val="17"/>
              <w:spacing w:line="276"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sz w:val="22"/>
                <w:szCs w:val="22"/>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7"/>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w:t>
            </w:r>
          </w:p>
        </w:tc>
        <w:tc>
          <w:tcPr>
            <w:tcW w:w="8190" w:type="dxa"/>
            <w:vAlign w:val="center"/>
          </w:tcPr>
          <w:p>
            <w:pPr>
              <w:pStyle w:val="17"/>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供应商是否</w:t>
            </w:r>
            <w:r>
              <w:rPr>
                <w:rFonts w:hint="eastAsia" w:ascii="宋体" w:hAnsi="宋体" w:eastAsia="宋体" w:cs="宋体"/>
                <w:color w:val="auto"/>
                <w:sz w:val="22"/>
                <w:szCs w:val="22"/>
                <w:highlight w:val="none"/>
              </w:rPr>
              <w:t>按照磋商文件规定要求签署、盖章；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7"/>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w:t>
            </w:r>
          </w:p>
        </w:tc>
        <w:tc>
          <w:tcPr>
            <w:tcW w:w="8190" w:type="dxa"/>
            <w:vAlign w:val="center"/>
          </w:tcPr>
          <w:p>
            <w:pPr>
              <w:pStyle w:val="17"/>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供应商是否</w:t>
            </w:r>
            <w:r>
              <w:rPr>
                <w:rFonts w:hint="eastAsia" w:ascii="宋体" w:hAnsi="宋体" w:eastAsia="宋体" w:cs="宋体"/>
                <w:color w:val="auto"/>
                <w:sz w:val="22"/>
                <w:szCs w:val="22"/>
                <w:highlight w:val="none"/>
              </w:rPr>
              <w:t>响应</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7"/>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w:t>
            </w:r>
          </w:p>
        </w:tc>
        <w:tc>
          <w:tcPr>
            <w:tcW w:w="8190" w:type="dxa"/>
            <w:vAlign w:val="center"/>
          </w:tcPr>
          <w:p>
            <w:pPr>
              <w:pStyle w:val="17"/>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投标报价</w:t>
            </w:r>
            <w:r>
              <w:rPr>
                <w:rFonts w:hint="eastAsia" w:ascii="宋体" w:hAnsi="宋体" w:eastAsia="宋体" w:cs="宋体"/>
                <w:color w:val="auto"/>
                <w:sz w:val="22"/>
                <w:szCs w:val="22"/>
                <w:highlight w:val="none"/>
                <w:lang w:val="en-US" w:eastAsia="zh-CN"/>
              </w:rPr>
              <w:t>是否</w:t>
            </w:r>
            <w:r>
              <w:rPr>
                <w:rFonts w:hint="eastAsia" w:ascii="宋体" w:hAnsi="宋体" w:eastAsia="宋体" w:cs="宋体"/>
                <w:color w:val="auto"/>
                <w:sz w:val="22"/>
                <w:szCs w:val="22"/>
                <w:highlight w:val="none"/>
              </w:rPr>
              <w:t>符合磋商文件要求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未超过单价限价</w:t>
            </w:r>
            <w:r>
              <w:rPr>
                <w:rFonts w:hint="eastAsia" w:ascii="宋体" w:hAnsi="宋体" w:eastAsia="宋体" w:cs="宋体"/>
                <w:color w:val="auto"/>
                <w:sz w:val="22"/>
                <w:szCs w:val="22"/>
                <w:highlight w:val="none"/>
              </w:rPr>
              <w:t>且未超过采购预算</w:t>
            </w:r>
            <w:r>
              <w:rPr>
                <w:rFonts w:hint="eastAsia" w:ascii="宋体" w:hAnsi="宋体" w:eastAsia="宋体" w:cs="宋体"/>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7"/>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w:t>
            </w:r>
          </w:p>
        </w:tc>
        <w:tc>
          <w:tcPr>
            <w:tcW w:w="8190" w:type="dxa"/>
            <w:vAlign w:val="center"/>
          </w:tcPr>
          <w:p>
            <w:pPr>
              <w:pStyle w:val="17"/>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响应文件</w:t>
            </w:r>
            <w:r>
              <w:rPr>
                <w:rFonts w:hint="eastAsia" w:ascii="宋体" w:hAnsi="宋体" w:eastAsia="宋体" w:cs="宋体"/>
                <w:color w:val="auto"/>
                <w:sz w:val="22"/>
                <w:szCs w:val="22"/>
                <w:highlight w:val="none"/>
                <w:lang w:val="en-US" w:eastAsia="zh-CN"/>
              </w:rPr>
              <w:t>是否</w:t>
            </w:r>
            <w:r>
              <w:rPr>
                <w:rFonts w:hint="eastAsia" w:ascii="宋体" w:hAnsi="宋体" w:eastAsia="宋体" w:cs="宋体"/>
                <w:color w:val="auto"/>
                <w:sz w:val="22"/>
                <w:szCs w:val="22"/>
                <w:highlight w:val="none"/>
              </w:rPr>
              <w:t>满足磋商文件实质性条款的。响应文件是否实质性响应磋商文件，由磋商小组依据磋商文件规定、</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响应文件及磋商情况认定；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7"/>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5</w:t>
            </w:r>
          </w:p>
        </w:tc>
        <w:tc>
          <w:tcPr>
            <w:tcW w:w="8190" w:type="dxa"/>
            <w:vAlign w:val="center"/>
          </w:tcPr>
          <w:p>
            <w:pPr>
              <w:pStyle w:val="17"/>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供应商是否有</w:t>
            </w:r>
            <w:r>
              <w:rPr>
                <w:rFonts w:hint="eastAsia" w:ascii="宋体" w:hAnsi="宋体" w:eastAsia="宋体" w:cs="宋体"/>
                <w:color w:val="auto"/>
                <w:sz w:val="22"/>
                <w:szCs w:val="22"/>
                <w:highlight w:val="none"/>
              </w:rPr>
              <w:t>其他不符合法律、规章、规范性文件和磋商文件规定。</w:t>
            </w:r>
          </w:p>
        </w:tc>
      </w:tr>
    </w:tbl>
    <w:p>
      <w:pPr>
        <w:pStyle w:val="17"/>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注：如果</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提供的响应文件中</w:t>
      </w:r>
      <w:r>
        <w:rPr>
          <w:rFonts w:hint="eastAsia" w:ascii="宋体" w:hAnsi="宋体" w:eastAsia="宋体" w:cs="宋体"/>
          <w:bCs/>
          <w:color w:val="auto"/>
          <w:sz w:val="24"/>
          <w:highlight w:val="none"/>
          <w:lang w:val="en-US" w:eastAsia="zh-CN"/>
        </w:rPr>
        <w:t>符合性</w:t>
      </w:r>
      <w:r>
        <w:rPr>
          <w:rFonts w:hint="eastAsia" w:ascii="宋体" w:hAnsi="宋体" w:eastAsia="宋体" w:cs="宋体"/>
          <w:color w:val="auto"/>
          <w:sz w:val="24"/>
          <w:highlight w:val="none"/>
        </w:rPr>
        <w:t>审查有一项未通过上述审查标准，磋商小组将认定整个响应文件不响应竞争性磋商文件而予以废标，并且不允许</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通过修改或撤销其不符合要求的差异或保留，使之成为具有响应性的竞标。</w:t>
      </w:r>
    </w:p>
    <w:p>
      <w:pPr>
        <w:widowControl/>
        <w:jc w:val="left"/>
        <w:rPr>
          <w:rFonts w:hint="eastAsia" w:ascii="宋体" w:hAnsi="宋体" w:eastAsia="宋体" w:cs="宋体"/>
          <w:color w:val="auto"/>
          <w:sz w:val="24"/>
          <w:szCs w:val="21"/>
          <w:highlight w:val="none"/>
        </w:rPr>
      </w:pPr>
    </w:p>
    <w:p>
      <w:pPr>
        <w:widowControl/>
        <w:jc w:val="center"/>
        <w:rPr>
          <w:rFonts w:hint="eastAsia" w:ascii="宋体" w:hAnsi="宋体" w:eastAsia="宋体" w:cs="宋体"/>
          <w:b/>
          <w:bCs/>
          <w:color w:val="auto"/>
          <w:kern w:val="2"/>
          <w:sz w:val="24"/>
          <w:szCs w:val="22"/>
          <w:highlight w:val="none"/>
          <w:lang w:val="en-US" w:eastAsia="zh-CN" w:bidi="ar-SA"/>
        </w:rPr>
      </w:pPr>
      <w:bookmarkStart w:id="44" w:name="_Toc43715825"/>
      <w:bookmarkStart w:id="45" w:name="_Toc73710340"/>
      <w:r>
        <w:rPr>
          <w:rFonts w:hint="eastAsia" w:ascii="宋体" w:hAnsi="宋体" w:eastAsia="宋体" w:cs="宋体"/>
          <w:b/>
          <w:bCs/>
          <w:color w:val="auto"/>
          <w:kern w:val="2"/>
          <w:sz w:val="24"/>
          <w:szCs w:val="22"/>
          <w:highlight w:val="none"/>
          <w:lang w:val="en-US" w:eastAsia="zh-CN" w:bidi="ar-SA"/>
        </w:rPr>
        <w:t>（三）评分标准</w:t>
      </w:r>
      <w:bookmarkEnd w:id="44"/>
      <w:bookmarkEnd w:id="45"/>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评审方法：综合评分法，是指响应文件满足磋商文件全部实质性要求且按评审因素的量化指标评审得分最高的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为成交候选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的评审方法。</w:t>
      </w:r>
    </w:p>
    <w:p>
      <w:pPr>
        <w:spacing w:before="48" w:line="221" w:lineRule="auto"/>
        <w:ind w:left="413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经济报价评分标准</w:t>
      </w:r>
    </w:p>
    <w:p>
      <w:pPr>
        <w:pStyle w:val="57"/>
        <w:spacing w:before="40" w:line="221" w:lineRule="auto"/>
        <w:ind w:left="11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1、经济标（投标报价）部分 30分</w:t>
      </w:r>
    </w:p>
    <w:tbl>
      <w:tblPr>
        <w:tblStyle w:val="30"/>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7682"/>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jc w:val="center"/>
        </w:trPr>
        <w:tc>
          <w:tcPr>
            <w:tcW w:w="658" w:type="dxa"/>
            <w:noWrap w:val="0"/>
            <w:vAlign w:val="center"/>
          </w:tcPr>
          <w:p>
            <w:pPr>
              <w:autoSpaceDE w:val="0"/>
              <w:autoSpaceDN w:val="0"/>
              <w:adjustRightInd w:val="0"/>
              <w:snapToGri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项目</w:t>
            </w:r>
          </w:p>
        </w:tc>
        <w:tc>
          <w:tcPr>
            <w:tcW w:w="7682" w:type="dxa"/>
            <w:noWrap w:val="0"/>
            <w:vAlign w:val="center"/>
          </w:tcPr>
          <w:p>
            <w:pPr>
              <w:autoSpaceDE w:val="0"/>
              <w:autoSpaceDN w:val="0"/>
              <w:adjustRightInd w:val="0"/>
              <w:snapToGri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评标内容</w:t>
            </w:r>
          </w:p>
        </w:tc>
        <w:tc>
          <w:tcPr>
            <w:tcW w:w="863" w:type="dxa"/>
            <w:noWrap w:val="0"/>
            <w:vAlign w:val="center"/>
          </w:tcPr>
          <w:p>
            <w:pPr>
              <w:autoSpaceDE w:val="0"/>
              <w:autoSpaceDN w:val="0"/>
              <w:adjustRightInd w:val="0"/>
              <w:snapToGri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203" w:type="dxa"/>
            <w:gridSpan w:val="3"/>
            <w:noWrap w:val="0"/>
            <w:vAlign w:val="center"/>
          </w:tcPr>
          <w:p>
            <w:pPr>
              <w:autoSpaceDE w:val="0"/>
              <w:autoSpaceDN w:val="0"/>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A．投标价格评分</w:t>
            </w:r>
            <w:r>
              <w:rPr>
                <w:rFonts w:hint="eastAsia" w:ascii="宋体" w:hAnsi="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58" w:type="dxa"/>
            <w:noWrap w:val="0"/>
            <w:vAlign w:val="center"/>
          </w:tcPr>
          <w:p>
            <w:pPr>
              <w:autoSpaceDE w:val="0"/>
              <w:autoSpaceDN w:val="0"/>
              <w:adjustRightInd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价格</w:t>
            </w:r>
          </w:p>
        </w:tc>
        <w:tc>
          <w:tcPr>
            <w:tcW w:w="7682" w:type="dxa"/>
            <w:noWrap w:val="0"/>
            <w:vAlign w:val="center"/>
          </w:tcPr>
          <w:p>
            <w:pPr>
              <w:autoSpaceDE w:val="0"/>
              <w:autoSpaceDN w:val="0"/>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1"/>
                <w:highlight w:val="none"/>
              </w:rPr>
              <w:t>价格得分的评分方法：采用低价优先法计算，即满足招标文件要求且投标价格最低的投标报价为评标基准价，其价格得分为满分。其他</w:t>
            </w:r>
            <w:r>
              <w:rPr>
                <w:rFonts w:hint="eastAsia" w:ascii="宋体" w:hAnsi="宋体" w:eastAsia="宋体" w:cs="宋体"/>
                <w:color w:val="auto"/>
                <w:kern w:val="0"/>
                <w:sz w:val="24"/>
                <w:szCs w:val="21"/>
                <w:highlight w:val="none"/>
                <w:lang w:val="en-US" w:eastAsia="zh-CN"/>
              </w:rPr>
              <w:t>供应商</w:t>
            </w:r>
            <w:r>
              <w:rPr>
                <w:rFonts w:hint="eastAsia" w:ascii="宋体" w:hAnsi="宋体" w:eastAsia="宋体" w:cs="宋体"/>
                <w:color w:val="auto"/>
                <w:kern w:val="0"/>
                <w:sz w:val="24"/>
                <w:szCs w:val="21"/>
                <w:highlight w:val="none"/>
              </w:rPr>
              <w:t>的价格得分统一按照下列公式计算：价格得分=（评标基准价/投标报价）×</w:t>
            </w:r>
            <w:r>
              <w:rPr>
                <w:rFonts w:hint="eastAsia" w:ascii="宋体" w:hAnsi="宋体" w:cs="宋体"/>
                <w:color w:val="auto"/>
                <w:kern w:val="0"/>
                <w:sz w:val="24"/>
                <w:szCs w:val="21"/>
                <w:highlight w:val="none"/>
                <w:lang w:val="en-US" w:eastAsia="zh-CN"/>
              </w:rPr>
              <w:t>3</w:t>
            </w:r>
            <w:r>
              <w:rPr>
                <w:rFonts w:hint="eastAsia" w:ascii="宋体" w:hAnsi="宋体" w:eastAsia="宋体" w:cs="宋体"/>
                <w:color w:val="auto"/>
                <w:kern w:val="0"/>
                <w:sz w:val="24"/>
                <w:szCs w:val="21"/>
                <w:highlight w:val="none"/>
              </w:rPr>
              <w:t>0%×100，如此类推，算出所有投标供应商的价格得分。</w:t>
            </w:r>
          </w:p>
        </w:tc>
        <w:tc>
          <w:tcPr>
            <w:tcW w:w="863" w:type="dxa"/>
            <w:noWrap w:val="0"/>
            <w:vAlign w:val="center"/>
          </w:tcPr>
          <w:p>
            <w:pPr>
              <w:autoSpaceDE w:val="0"/>
              <w:autoSpaceDN w:val="0"/>
              <w:adjustRightInd w:val="0"/>
              <w:snapToGrid w:val="0"/>
              <w:spacing w:line="360" w:lineRule="auto"/>
              <w:jc w:val="center"/>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0分</w:t>
            </w:r>
          </w:p>
        </w:tc>
      </w:tr>
    </w:tbl>
    <w:p>
      <w:pPr>
        <w:pStyle w:val="12"/>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注：投标报价保留保留两位小数。</w:t>
      </w:r>
    </w:p>
    <w:p>
      <w:pPr>
        <w:spacing w:line="219" w:lineRule="auto"/>
        <w:ind w:left="501"/>
        <w:jc w:val="center"/>
        <w:rPr>
          <w:rFonts w:hint="eastAsia" w:ascii="宋体" w:hAnsi="宋体" w:eastAsia="宋体" w:cs="宋体"/>
          <w:b/>
          <w:bCs/>
          <w:color w:val="auto"/>
          <w:spacing w:val="-6"/>
          <w:sz w:val="24"/>
          <w:szCs w:val="24"/>
          <w:highlight w:val="none"/>
        </w:rPr>
      </w:pPr>
    </w:p>
    <w:p>
      <w:pPr>
        <w:spacing w:line="219"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pacing w:val="-6"/>
          <w:sz w:val="24"/>
          <w:szCs w:val="24"/>
          <w:highlight w:val="none"/>
          <w:lang w:val="en-US" w:eastAsia="zh-CN"/>
        </w:rPr>
        <w:t>2、</w:t>
      </w:r>
      <w:r>
        <w:rPr>
          <w:rFonts w:hint="eastAsia" w:ascii="宋体" w:hAnsi="宋体" w:eastAsia="宋体" w:cs="宋体"/>
          <w:b/>
          <w:bCs/>
          <w:color w:val="auto"/>
          <w:spacing w:val="-6"/>
          <w:sz w:val="24"/>
          <w:szCs w:val="24"/>
          <w:highlight w:val="none"/>
        </w:rPr>
        <w:t>商</w:t>
      </w:r>
      <w:r>
        <w:rPr>
          <w:rFonts w:hint="eastAsia" w:ascii="宋体" w:hAnsi="宋体" w:eastAsia="宋体" w:cs="宋体"/>
          <w:b/>
          <w:bCs/>
          <w:color w:val="auto"/>
          <w:spacing w:val="-4"/>
          <w:sz w:val="24"/>
          <w:szCs w:val="24"/>
          <w:highlight w:val="none"/>
        </w:rPr>
        <w:t>务部分+技术部分=</w:t>
      </w:r>
      <w:r>
        <w:rPr>
          <w:rFonts w:hint="eastAsia" w:ascii="宋体" w:hAnsi="宋体" w:cs="宋体"/>
          <w:b/>
          <w:bCs/>
          <w:color w:val="auto"/>
          <w:spacing w:val="-4"/>
          <w:sz w:val="24"/>
          <w:szCs w:val="24"/>
          <w:highlight w:val="none"/>
          <w:lang w:val="en-US" w:eastAsia="zh-CN"/>
        </w:rPr>
        <w:t>7</w:t>
      </w:r>
      <w:r>
        <w:rPr>
          <w:rFonts w:hint="eastAsia" w:ascii="宋体" w:hAnsi="宋体" w:eastAsia="宋体" w:cs="宋体"/>
          <w:b/>
          <w:bCs/>
          <w:color w:val="auto"/>
          <w:spacing w:val="-4"/>
          <w:sz w:val="24"/>
          <w:szCs w:val="24"/>
          <w:highlight w:val="none"/>
        </w:rPr>
        <w:t>0分</w:t>
      </w:r>
    </w:p>
    <w:tbl>
      <w:tblPr>
        <w:tblStyle w:val="30"/>
        <w:tblpPr w:leftFromText="180" w:rightFromText="180" w:vertAnchor="text" w:horzAnchor="page" w:tblpXSpec="center" w:tblpY="263"/>
        <w:tblOverlap w:val="never"/>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02"/>
        <w:gridCol w:w="7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73" w:type="dxa"/>
            <w:noWrap w:val="0"/>
            <w:vAlign w:val="center"/>
          </w:tcPr>
          <w:p>
            <w:pPr>
              <w:rPr>
                <w:rFonts w:hint="eastAsia" w:ascii="宋体" w:hAnsi="宋体" w:eastAsia="宋体" w:cs="宋体"/>
                <w:color w:val="auto"/>
                <w:kern w:val="0"/>
                <w:highlight w:val="none"/>
                <w:lang w:val="en-US" w:eastAsia="zh-CN"/>
              </w:rPr>
            </w:pPr>
            <w:bookmarkStart w:id="46" w:name="_Toc43715826"/>
            <w:bookmarkStart w:id="47" w:name="_Toc73710341"/>
            <w:r>
              <w:rPr>
                <w:rFonts w:hint="eastAsia" w:ascii="宋体" w:hAnsi="宋体" w:eastAsia="宋体" w:cs="宋体"/>
                <w:color w:val="auto"/>
                <w:kern w:val="0"/>
                <w:highlight w:val="none"/>
                <w:lang w:val="en-US" w:eastAsia="zh-CN"/>
              </w:rPr>
              <w:t>评审内 容</w:t>
            </w:r>
          </w:p>
        </w:tc>
        <w:tc>
          <w:tcPr>
            <w:tcW w:w="1402" w:type="dxa"/>
            <w:noWrap w:val="0"/>
            <w:vAlign w:val="center"/>
          </w:tcPr>
          <w:p>
            <w:pP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rPr>
              <w:t>评分因素</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分值</w:t>
            </w:r>
          </w:p>
        </w:tc>
        <w:tc>
          <w:tcPr>
            <w:tcW w:w="7706" w:type="dxa"/>
            <w:noWrap w:val="0"/>
            <w:vAlign w:val="center"/>
          </w:tcPr>
          <w:p>
            <w:pPr>
              <w:rPr>
                <w:rFonts w:hint="eastAsia" w:ascii="宋体" w:hAnsi="宋体" w:eastAsia="宋体" w:cs="宋体"/>
                <w:color w:val="auto"/>
                <w:kern w:val="0"/>
                <w:highlight w:val="none"/>
              </w:rPr>
            </w:pPr>
            <w:r>
              <w:rPr>
                <w:rFonts w:hint="eastAsia" w:ascii="宋体" w:hAnsi="宋体" w:eastAsia="宋体" w:cs="宋体"/>
                <w:color w:val="auto"/>
                <w:kern w:val="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773" w:type="dxa"/>
            <w:vMerge w:val="restart"/>
            <w:noWrap w:val="0"/>
            <w:vAlign w:val="center"/>
          </w:tcPr>
          <w:p>
            <w:pPr>
              <w:rPr>
                <w:rFonts w:hint="eastAsia" w:ascii="宋体" w:hAnsi="宋体" w:eastAsia="宋体" w:cs="宋体"/>
                <w:color w:val="auto"/>
                <w:kern w:val="0"/>
                <w:highlight w:val="none"/>
              </w:rPr>
            </w:pPr>
            <w:r>
              <w:rPr>
                <w:rFonts w:hint="eastAsia" w:ascii="宋体" w:hAnsi="宋体" w:eastAsia="宋体" w:cs="宋体"/>
                <w:color w:val="auto"/>
                <w:kern w:val="0"/>
                <w:highlight w:val="none"/>
              </w:rPr>
              <w:t>技术因素</w:t>
            </w:r>
          </w:p>
          <w:p>
            <w:pPr>
              <w:rPr>
                <w:rFonts w:hint="eastAsia" w:ascii="宋体" w:hAnsi="宋体" w:eastAsia="宋体" w:cs="宋体"/>
                <w:color w:val="auto"/>
                <w:kern w:val="0"/>
                <w:highlight w:val="none"/>
              </w:rPr>
            </w:pPr>
            <w:r>
              <w:rPr>
                <w:rFonts w:hint="eastAsia" w:ascii="宋体" w:hAnsi="宋体" w:eastAsia="宋体" w:cs="宋体"/>
                <w:color w:val="auto"/>
                <w:kern w:val="0"/>
                <w:highlight w:val="none"/>
              </w:rPr>
              <w:t>（50分）</w:t>
            </w:r>
          </w:p>
        </w:tc>
        <w:tc>
          <w:tcPr>
            <w:tcW w:w="1402" w:type="dxa"/>
            <w:noWrap w:val="0"/>
            <w:vAlign w:val="center"/>
          </w:tcPr>
          <w:p>
            <w:pPr>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技术符合程度（</w:t>
            </w:r>
            <w:r>
              <w:rPr>
                <w:rFonts w:hint="eastAsia" w:ascii="宋体" w:hAnsi="宋体" w:eastAsia="宋体" w:cs="宋体"/>
                <w:color w:val="auto"/>
                <w:kern w:val="0"/>
                <w:highlight w:val="none"/>
                <w:lang w:val="en-US" w:eastAsia="zh-CN"/>
              </w:rPr>
              <w:t>35</w:t>
            </w:r>
            <w:r>
              <w:rPr>
                <w:rFonts w:hint="eastAsia" w:ascii="宋体" w:hAnsi="宋体" w:eastAsia="宋体" w:cs="宋体"/>
                <w:color w:val="auto"/>
                <w:kern w:val="0"/>
                <w:highlight w:val="none"/>
              </w:rPr>
              <w:t>分）</w:t>
            </w:r>
          </w:p>
        </w:tc>
        <w:tc>
          <w:tcPr>
            <w:tcW w:w="7706" w:type="dxa"/>
            <w:noWrap w:val="0"/>
            <w:vAlign w:val="center"/>
          </w:tcPr>
          <w:p>
            <w:pP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标注“★”的参数为关键参数，按每项3分抵扣，扣完为止；未标注“★”的参数为一般参数，如不满足，按每项1分抵扣，扣完为止。</w:t>
            </w:r>
          </w:p>
          <w:p>
            <w:pP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注：标注“★”与未标注“★”技术参数，投标时提供对应的证明材料（证明材料为厂家出具的对应产品的白皮书，第三方检测机构出具的对应的检测报告，技术规格彩页），若未提供有效证明材料则该参数将被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773" w:type="dxa"/>
            <w:vMerge w:val="continue"/>
            <w:noWrap w:val="0"/>
            <w:vAlign w:val="center"/>
          </w:tcPr>
          <w:p>
            <w:pPr>
              <w:rPr>
                <w:rFonts w:hint="eastAsia" w:ascii="宋体" w:hAnsi="宋体" w:eastAsia="宋体" w:cs="宋体"/>
                <w:color w:val="auto"/>
                <w:kern w:val="0"/>
                <w:highlight w:val="none"/>
              </w:rPr>
            </w:pPr>
          </w:p>
        </w:tc>
        <w:tc>
          <w:tcPr>
            <w:tcW w:w="1402" w:type="dxa"/>
            <w:noWrap w:val="0"/>
            <w:vAlign w:val="center"/>
          </w:tcPr>
          <w:p>
            <w:pPr>
              <w:rPr>
                <w:rFonts w:hint="eastAsia" w:ascii="宋体" w:hAnsi="宋体" w:eastAsia="宋体" w:cs="宋体"/>
                <w:color w:val="auto"/>
                <w:kern w:val="0"/>
                <w:highlight w:val="none"/>
              </w:rPr>
            </w:pPr>
            <w:r>
              <w:rPr>
                <w:rFonts w:hint="eastAsia" w:ascii="宋体" w:hAnsi="宋体" w:eastAsia="宋体" w:cs="宋体"/>
                <w:color w:val="auto"/>
                <w:kern w:val="0"/>
                <w:highlight w:val="none"/>
              </w:rPr>
              <w:t>产品性能质量及安全可靠性（</w:t>
            </w:r>
            <w:r>
              <w:rPr>
                <w:rFonts w:hint="eastAsia" w:ascii="宋体" w:hAnsi="宋体" w:eastAsia="宋体" w:cs="宋体"/>
                <w:color w:val="auto"/>
                <w:kern w:val="0"/>
                <w:highlight w:val="none"/>
                <w:lang w:val="en-US" w:eastAsia="zh-CN"/>
              </w:rPr>
              <w:t>6</w:t>
            </w:r>
            <w:r>
              <w:rPr>
                <w:rFonts w:hint="eastAsia" w:ascii="宋体" w:hAnsi="宋体" w:eastAsia="宋体" w:cs="宋体"/>
                <w:color w:val="auto"/>
                <w:kern w:val="0"/>
                <w:highlight w:val="none"/>
              </w:rPr>
              <w:t>分）</w:t>
            </w:r>
          </w:p>
        </w:tc>
        <w:tc>
          <w:tcPr>
            <w:tcW w:w="7706" w:type="dxa"/>
            <w:noWrap w:val="0"/>
            <w:vAlign w:val="center"/>
          </w:tcPr>
          <w:p>
            <w:pP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所投产品性能稳定，在以往销售过的产品中未出现不良使用记录，运行良好，故障率小，返修率低，得6分。否则不得分。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773" w:type="dxa"/>
            <w:vMerge w:val="continue"/>
            <w:noWrap w:val="0"/>
            <w:vAlign w:val="center"/>
          </w:tcPr>
          <w:p>
            <w:pPr>
              <w:rPr>
                <w:rFonts w:hint="eastAsia" w:ascii="宋体" w:hAnsi="宋体" w:eastAsia="宋体" w:cs="宋体"/>
                <w:color w:val="auto"/>
                <w:kern w:val="0"/>
                <w:highlight w:val="none"/>
              </w:rPr>
            </w:pPr>
          </w:p>
        </w:tc>
        <w:tc>
          <w:tcPr>
            <w:tcW w:w="1402" w:type="dxa"/>
            <w:noWrap w:val="0"/>
            <w:vAlign w:val="center"/>
          </w:tcPr>
          <w:p>
            <w:pPr>
              <w:rPr>
                <w:rFonts w:hint="eastAsia" w:ascii="宋体" w:hAnsi="宋体" w:eastAsia="宋体" w:cs="宋体"/>
                <w:color w:val="auto"/>
                <w:kern w:val="0"/>
                <w:highlight w:val="none"/>
              </w:rPr>
            </w:pPr>
            <w:r>
              <w:rPr>
                <w:rFonts w:hint="eastAsia" w:ascii="宋体" w:hAnsi="宋体" w:eastAsia="宋体" w:cs="宋体"/>
                <w:color w:val="auto"/>
                <w:kern w:val="0"/>
                <w:highlight w:val="none"/>
              </w:rPr>
              <w:t>可操作、可维护性（</w:t>
            </w: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rPr>
              <w:t>分）</w:t>
            </w:r>
          </w:p>
        </w:tc>
        <w:tc>
          <w:tcPr>
            <w:tcW w:w="7706" w:type="dxa"/>
            <w:noWrap w:val="0"/>
            <w:vAlign w:val="center"/>
          </w:tcPr>
          <w:p>
            <w:pP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以利于医疗工作需要为前提，根据设备配置符合程度综合评判：所投产品①配置齐全，②便于用户使用，③操作简便，④便于维护。以上符合一项得1分，不符合不得分。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773" w:type="dxa"/>
            <w:vMerge w:val="continue"/>
            <w:noWrap w:val="0"/>
            <w:vAlign w:val="center"/>
          </w:tcPr>
          <w:p>
            <w:pPr>
              <w:rPr>
                <w:rFonts w:hint="eastAsia" w:ascii="宋体" w:hAnsi="宋体" w:eastAsia="宋体" w:cs="宋体"/>
                <w:color w:val="auto"/>
                <w:kern w:val="0"/>
                <w:highlight w:val="none"/>
              </w:rPr>
            </w:pPr>
          </w:p>
        </w:tc>
        <w:tc>
          <w:tcPr>
            <w:tcW w:w="1402" w:type="dxa"/>
            <w:noWrap w:val="0"/>
            <w:vAlign w:val="center"/>
          </w:tcPr>
          <w:p>
            <w:pPr>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投标设备的运</w:t>
            </w:r>
            <w:r>
              <w:rPr>
                <w:rFonts w:hint="eastAsia" w:ascii="宋体" w:hAnsi="宋体" w:eastAsia="宋体" w:cs="宋体"/>
                <w:color w:val="auto"/>
                <w:kern w:val="0"/>
                <w:highlight w:val="none"/>
                <w:lang w:eastAsia="zh-CN"/>
              </w:rPr>
              <w:t>行成本</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分）</w:t>
            </w:r>
          </w:p>
        </w:tc>
        <w:tc>
          <w:tcPr>
            <w:tcW w:w="7706" w:type="dxa"/>
            <w:noWrap w:val="0"/>
            <w:vAlign w:val="center"/>
          </w:tcPr>
          <w:p>
            <w:pP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根据产品的维修维护成本、配套耗材价格（供应商需提供备品备件价目表，配套耗材价目表等；未提供此项不得分）等方面进行综合评价。</w:t>
            </w:r>
          </w:p>
          <w:p>
            <w:pP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所提供产品备品备件价目表，配套耗材项目齐全且维修维护成本低得3分，项目不全或产品的维修维护成本高得1分，未提供不得分。并承诺质保期后的维修仍然按照备品备件件表内价格收取费用（提供承诺函得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73" w:type="dxa"/>
            <w:vMerge w:val="restart"/>
            <w:noWrap w:val="0"/>
            <w:vAlign w:val="center"/>
          </w:tcPr>
          <w:p>
            <w:pPr>
              <w:rPr>
                <w:rFonts w:hint="eastAsia" w:ascii="宋体" w:hAnsi="宋体" w:eastAsia="宋体" w:cs="宋体"/>
                <w:color w:val="auto"/>
                <w:kern w:val="0"/>
                <w:highlight w:val="none"/>
              </w:rPr>
            </w:pPr>
            <w:r>
              <w:rPr>
                <w:rFonts w:hint="eastAsia" w:ascii="宋体" w:hAnsi="宋体" w:eastAsia="宋体" w:cs="宋体"/>
                <w:color w:val="auto"/>
                <w:kern w:val="0"/>
                <w:highlight w:val="none"/>
              </w:rPr>
              <w:t>商务因素</w:t>
            </w:r>
          </w:p>
          <w:p>
            <w:pPr>
              <w:rPr>
                <w:rFonts w:hint="eastAsia" w:ascii="宋体" w:hAnsi="宋体" w:eastAsia="宋体" w:cs="宋体"/>
                <w:color w:val="auto"/>
                <w:kern w:val="0"/>
                <w:highlight w:val="none"/>
              </w:rPr>
            </w:pPr>
            <w:r>
              <w:rPr>
                <w:rFonts w:hint="eastAsia" w:ascii="宋体" w:hAnsi="宋体" w:eastAsia="宋体" w:cs="宋体"/>
                <w:color w:val="auto"/>
                <w:kern w:val="0"/>
                <w:highlight w:val="none"/>
              </w:rPr>
              <w:t>（20分）</w:t>
            </w:r>
          </w:p>
        </w:tc>
        <w:tc>
          <w:tcPr>
            <w:tcW w:w="1402" w:type="dxa"/>
            <w:noWrap w:val="0"/>
            <w:vAlign w:val="center"/>
          </w:tcPr>
          <w:p>
            <w:pP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业绩（6分）</w:t>
            </w:r>
          </w:p>
        </w:tc>
        <w:tc>
          <w:tcPr>
            <w:tcW w:w="7706" w:type="dxa"/>
            <w:noWrap w:val="0"/>
            <w:vAlign w:val="center"/>
          </w:tcPr>
          <w:p>
            <w:pPr>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供应商近三年（2020年1</w:t>
            </w:r>
            <w:r>
              <w:rPr>
                <w:rFonts w:hint="eastAsia" w:ascii="宋体" w:hAnsi="宋体" w:cs="宋体"/>
                <w:color w:val="auto"/>
                <w:kern w:val="0"/>
                <w:highlight w:val="none"/>
                <w:lang w:val="en-US" w:eastAsia="zh-CN"/>
              </w:rPr>
              <w:t>1</w:t>
            </w:r>
            <w:r>
              <w:rPr>
                <w:rFonts w:hint="eastAsia" w:ascii="宋体" w:hAnsi="宋体" w:eastAsia="宋体" w:cs="宋体"/>
                <w:color w:val="auto"/>
                <w:kern w:val="0"/>
                <w:highlight w:val="none"/>
                <w:lang w:val="en-US" w:eastAsia="zh-CN"/>
              </w:rPr>
              <w:t>月至今）</w:t>
            </w:r>
            <w:r>
              <w:rPr>
                <w:rFonts w:hint="eastAsia" w:ascii="宋体" w:hAnsi="宋体" w:eastAsia="宋体" w:cs="宋体"/>
                <w:color w:val="auto"/>
                <w:kern w:val="0"/>
                <w:highlight w:val="none"/>
              </w:rPr>
              <w:t>以来类似项目成功案例，最多提供</w:t>
            </w:r>
            <w:r>
              <w:rPr>
                <w:rFonts w:hint="eastAsia" w:ascii="宋体" w:hAnsi="宋体" w:eastAsia="宋体" w:cs="宋体"/>
                <w:color w:val="auto"/>
                <w:kern w:val="0"/>
                <w:highlight w:val="none"/>
                <w:lang w:val="en-US" w:eastAsia="zh-CN"/>
              </w:rPr>
              <w:t>6</w:t>
            </w:r>
            <w:r>
              <w:rPr>
                <w:rFonts w:hint="eastAsia" w:ascii="宋体" w:hAnsi="宋体" w:eastAsia="宋体" w:cs="宋体"/>
                <w:color w:val="auto"/>
                <w:kern w:val="0"/>
                <w:highlight w:val="none"/>
              </w:rPr>
              <w:t>个，提供中标通知书</w:t>
            </w:r>
            <w:r>
              <w:rPr>
                <w:rFonts w:hint="eastAsia" w:ascii="宋体" w:hAnsi="宋体" w:eastAsia="宋体" w:cs="宋体"/>
                <w:color w:val="auto"/>
                <w:kern w:val="0"/>
                <w:highlight w:val="none"/>
                <w:lang w:eastAsia="zh-CN"/>
              </w:rPr>
              <w:t>或</w:t>
            </w:r>
            <w:r>
              <w:rPr>
                <w:rFonts w:hint="eastAsia" w:ascii="宋体" w:hAnsi="宋体" w:eastAsia="宋体" w:cs="宋体"/>
                <w:color w:val="auto"/>
                <w:kern w:val="0"/>
                <w:highlight w:val="none"/>
              </w:rPr>
              <w:t>销售合同证明材料并加盖投标单位公章，1</w:t>
            </w:r>
            <w:r>
              <w:rPr>
                <w:rFonts w:hint="eastAsia" w:ascii="宋体" w:hAnsi="宋体" w:eastAsia="宋体" w:cs="宋体"/>
                <w:color w:val="auto"/>
                <w:kern w:val="0"/>
                <w:highlight w:val="none"/>
                <w:lang w:eastAsia="zh-CN"/>
              </w:rPr>
              <w:t>份业绩</w:t>
            </w:r>
            <w:r>
              <w:rPr>
                <w:rFonts w:hint="eastAsia" w:ascii="宋体" w:hAnsi="宋体" w:eastAsia="宋体" w:cs="宋体"/>
                <w:color w:val="auto"/>
                <w:kern w:val="0"/>
                <w:highlight w:val="none"/>
              </w:rPr>
              <w:t>得1分，最高得分为</w:t>
            </w:r>
            <w:r>
              <w:rPr>
                <w:rFonts w:hint="eastAsia" w:ascii="宋体" w:hAnsi="宋体" w:eastAsia="宋体" w:cs="宋体"/>
                <w:color w:val="auto"/>
                <w:kern w:val="0"/>
                <w:highlight w:val="none"/>
                <w:lang w:val="en-US" w:eastAsia="zh-CN"/>
              </w:rPr>
              <w:t>6</w:t>
            </w:r>
            <w:r>
              <w:rPr>
                <w:rFonts w:hint="eastAsia" w:ascii="宋体" w:hAnsi="宋体" w:eastAsia="宋体" w:cs="宋体"/>
                <w:color w:val="auto"/>
                <w:kern w:val="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73" w:type="dxa"/>
            <w:vMerge w:val="continue"/>
            <w:noWrap w:val="0"/>
            <w:vAlign w:val="center"/>
          </w:tcPr>
          <w:p>
            <w:pPr>
              <w:rPr>
                <w:rFonts w:hint="eastAsia" w:ascii="宋体" w:hAnsi="宋体" w:eastAsia="宋体" w:cs="宋体"/>
                <w:color w:val="auto"/>
                <w:kern w:val="0"/>
                <w:highlight w:val="none"/>
              </w:rPr>
            </w:pPr>
          </w:p>
        </w:tc>
        <w:tc>
          <w:tcPr>
            <w:tcW w:w="1402" w:type="dxa"/>
            <w:noWrap w:val="0"/>
            <w:vAlign w:val="center"/>
          </w:tcPr>
          <w:p>
            <w:pPr>
              <w:rPr>
                <w:rFonts w:hint="eastAsia" w:ascii="宋体" w:hAnsi="宋体" w:eastAsia="宋体" w:cs="宋体"/>
                <w:color w:val="auto"/>
                <w:kern w:val="0"/>
                <w:highlight w:val="none"/>
              </w:rPr>
            </w:pPr>
            <w:r>
              <w:rPr>
                <w:rFonts w:hint="eastAsia" w:ascii="宋体" w:hAnsi="宋体" w:eastAsia="宋体" w:cs="宋体"/>
                <w:color w:val="auto"/>
                <w:kern w:val="0"/>
                <w:highlight w:val="none"/>
              </w:rPr>
              <w:t>优惠条款</w:t>
            </w:r>
          </w:p>
          <w:p>
            <w:pP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rPr>
              <w:t>分）</w:t>
            </w:r>
          </w:p>
        </w:tc>
        <w:tc>
          <w:tcPr>
            <w:tcW w:w="7706" w:type="dxa"/>
            <w:noWrap w:val="0"/>
            <w:vAlign w:val="center"/>
          </w:tcPr>
          <w:p>
            <w:pP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rPr>
              <w:t>有实质性优于招标文件要求的条款，如交货期、质保期、付款方式、完善可行的应急措施等，每项得0.5分，最高</w:t>
            </w:r>
            <w:r>
              <w:rPr>
                <w:rFonts w:hint="eastAsia" w:ascii="宋体" w:hAnsi="宋体" w:eastAsia="宋体" w:cs="宋体"/>
                <w:color w:val="auto"/>
                <w:kern w:val="0"/>
                <w:highlight w:val="none"/>
                <w:lang w:eastAsia="zh-CN"/>
              </w:rPr>
              <w:t>得</w:t>
            </w:r>
            <w:r>
              <w:rPr>
                <w:rFonts w:hint="eastAsia" w:ascii="宋体" w:hAnsi="宋体" w:eastAsia="宋体" w:cs="宋体"/>
                <w:color w:val="auto"/>
                <w:kern w:val="0"/>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73" w:type="dxa"/>
            <w:vMerge w:val="continue"/>
            <w:noWrap w:val="0"/>
            <w:vAlign w:val="center"/>
          </w:tcPr>
          <w:p>
            <w:pPr>
              <w:rPr>
                <w:rFonts w:hint="eastAsia" w:ascii="宋体" w:hAnsi="宋体" w:eastAsia="宋体" w:cs="宋体"/>
                <w:color w:val="auto"/>
                <w:kern w:val="0"/>
                <w:highlight w:val="none"/>
              </w:rPr>
            </w:pPr>
          </w:p>
        </w:tc>
        <w:tc>
          <w:tcPr>
            <w:tcW w:w="1402" w:type="dxa"/>
            <w:vMerge w:val="restart"/>
            <w:noWrap w:val="0"/>
            <w:vAlign w:val="center"/>
          </w:tcPr>
          <w:p>
            <w:pPr>
              <w:rPr>
                <w:rFonts w:hint="eastAsia" w:ascii="宋体" w:hAnsi="宋体" w:eastAsia="宋体" w:cs="宋体"/>
                <w:color w:val="auto"/>
                <w:kern w:val="0"/>
                <w:highlight w:val="none"/>
              </w:rPr>
            </w:pPr>
            <w:r>
              <w:rPr>
                <w:rFonts w:hint="eastAsia" w:ascii="宋体" w:hAnsi="宋体" w:eastAsia="宋体" w:cs="宋体"/>
                <w:color w:val="auto"/>
                <w:kern w:val="0"/>
                <w:highlight w:val="none"/>
              </w:rPr>
              <w:t>售后服务体系</w:t>
            </w:r>
          </w:p>
          <w:p>
            <w:pPr>
              <w:rPr>
                <w:rFonts w:hint="eastAsia" w:ascii="宋体" w:hAnsi="宋体" w:eastAsia="宋体" w:cs="宋体"/>
                <w:color w:val="auto"/>
                <w:kern w:val="0"/>
                <w:highlight w:val="none"/>
              </w:rPr>
            </w:pPr>
            <w:r>
              <w:rPr>
                <w:rFonts w:hint="eastAsia" w:ascii="宋体" w:hAnsi="宋体" w:eastAsia="宋体" w:cs="宋体"/>
                <w:color w:val="auto"/>
                <w:kern w:val="0"/>
                <w:highlight w:val="none"/>
              </w:rPr>
              <w:t>（8分）</w:t>
            </w:r>
          </w:p>
          <w:p>
            <w:pPr>
              <w:rPr>
                <w:rFonts w:hint="eastAsia" w:ascii="宋体" w:hAnsi="宋体" w:eastAsia="宋体" w:cs="宋体"/>
                <w:color w:val="auto"/>
                <w:kern w:val="0"/>
                <w:highlight w:val="none"/>
              </w:rPr>
            </w:pPr>
          </w:p>
        </w:tc>
        <w:tc>
          <w:tcPr>
            <w:tcW w:w="7706" w:type="dxa"/>
            <w:noWrap w:val="0"/>
            <w:vAlign w:val="center"/>
          </w:tcPr>
          <w:p>
            <w:pP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具有专职维修工程师，保证设备的日常维护及故障排除（3分）；附相应证明材料，否则不得分。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773" w:type="dxa"/>
            <w:vMerge w:val="continue"/>
            <w:noWrap w:val="0"/>
            <w:vAlign w:val="center"/>
          </w:tcPr>
          <w:p>
            <w:pPr>
              <w:rPr>
                <w:rFonts w:hint="eastAsia" w:ascii="宋体" w:hAnsi="宋体" w:eastAsia="宋体" w:cs="宋体"/>
                <w:color w:val="auto"/>
                <w:kern w:val="0"/>
                <w:highlight w:val="none"/>
              </w:rPr>
            </w:pPr>
          </w:p>
        </w:tc>
        <w:tc>
          <w:tcPr>
            <w:tcW w:w="1402" w:type="dxa"/>
            <w:vMerge w:val="continue"/>
            <w:noWrap w:val="0"/>
            <w:vAlign w:val="center"/>
          </w:tcPr>
          <w:p>
            <w:pPr>
              <w:rPr>
                <w:rFonts w:hint="eastAsia" w:ascii="宋体" w:hAnsi="宋体" w:eastAsia="宋体" w:cs="宋体"/>
                <w:color w:val="auto"/>
                <w:kern w:val="0"/>
                <w:highlight w:val="none"/>
              </w:rPr>
            </w:pPr>
          </w:p>
        </w:tc>
        <w:tc>
          <w:tcPr>
            <w:tcW w:w="7706" w:type="dxa"/>
            <w:noWrap w:val="0"/>
            <w:vAlign w:val="center"/>
          </w:tcPr>
          <w:p>
            <w:pP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拥有完善的售后服务保障体系（2分）；附相应证明材料，否则不得分。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73" w:type="dxa"/>
            <w:vMerge w:val="continue"/>
            <w:noWrap w:val="0"/>
            <w:vAlign w:val="center"/>
          </w:tcPr>
          <w:p>
            <w:pPr>
              <w:rPr>
                <w:rFonts w:hint="eastAsia" w:ascii="宋体" w:hAnsi="宋体" w:eastAsia="宋体" w:cs="宋体"/>
                <w:color w:val="auto"/>
                <w:kern w:val="0"/>
                <w:highlight w:val="none"/>
              </w:rPr>
            </w:pPr>
          </w:p>
        </w:tc>
        <w:tc>
          <w:tcPr>
            <w:tcW w:w="1402" w:type="dxa"/>
            <w:vMerge w:val="continue"/>
            <w:noWrap w:val="0"/>
            <w:vAlign w:val="center"/>
          </w:tcPr>
          <w:p>
            <w:pPr>
              <w:rPr>
                <w:rFonts w:hint="eastAsia" w:ascii="宋体" w:hAnsi="宋体" w:eastAsia="宋体" w:cs="宋体"/>
                <w:color w:val="auto"/>
                <w:kern w:val="0"/>
                <w:highlight w:val="none"/>
              </w:rPr>
            </w:pPr>
          </w:p>
        </w:tc>
        <w:tc>
          <w:tcPr>
            <w:tcW w:w="7706" w:type="dxa"/>
            <w:noWrap w:val="0"/>
            <w:vAlign w:val="center"/>
          </w:tcPr>
          <w:p>
            <w:pP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设有常驻专业维修工程师以提供技术服务支持（2分）；附相应证明材料，否则不得分。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773" w:type="dxa"/>
            <w:vMerge w:val="continue"/>
            <w:noWrap w:val="0"/>
            <w:vAlign w:val="center"/>
          </w:tcPr>
          <w:p>
            <w:pPr>
              <w:rPr>
                <w:rFonts w:hint="eastAsia" w:ascii="宋体" w:hAnsi="宋体" w:eastAsia="宋体" w:cs="宋体"/>
                <w:color w:val="auto"/>
                <w:kern w:val="0"/>
                <w:highlight w:val="none"/>
              </w:rPr>
            </w:pPr>
          </w:p>
        </w:tc>
        <w:tc>
          <w:tcPr>
            <w:tcW w:w="1402" w:type="dxa"/>
            <w:vMerge w:val="continue"/>
            <w:noWrap w:val="0"/>
            <w:vAlign w:val="center"/>
          </w:tcPr>
          <w:p>
            <w:pPr>
              <w:rPr>
                <w:rFonts w:hint="eastAsia" w:ascii="宋体" w:hAnsi="宋体" w:eastAsia="宋体" w:cs="宋体"/>
                <w:color w:val="auto"/>
                <w:kern w:val="0"/>
                <w:highlight w:val="none"/>
              </w:rPr>
            </w:pPr>
          </w:p>
        </w:tc>
        <w:tc>
          <w:tcPr>
            <w:tcW w:w="7706" w:type="dxa"/>
            <w:noWrap w:val="0"/>
            <w:vAlign w:val="center"/>
          </w:tcPr>
          <w:p>
            <w:pP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设有备件仓库保证常规配件供应（1分）；附相应证明材料，否则不得分。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773" w:type="dxa"/>
            <w:vMerge w:val="continue"/>
            <w:noWrap w:val="0"/>
            <w:vAlign w:val="center"/>
          </w:tcPr>
          <w:p>
            <w:pPr>
              <w:rPr>
                <w:rFonts w:hint="eastAsia" w:ascii="宋体" w:hAnsi="宋体" w:eastAsia="宋体" w:cs="宋体"/>
                <w:color w:val="auto"/>
                <w:kern w:val="0"/>
                <w:highlight w:val="none"/>
              </w:rPr>
            </w:pPr>
          </w:p>
        </w:tc>
        <w:tc>
          <w:tcPr>
            <w:tcW w:w="1402" w:type="dxa"/>
            <w:noWrap w:val="0"/>
            <w:vAlign w:val="center"/>
          </w:tcPr>
          <w:p>
            <w:pP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故障处理方案及培训计划</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rPr>
              <w:t>分）</w:t>
            </w:r>
          </w:p>
        </w:tc>
        <w:tc>
          <w:tcPr>
            <w:tcW w:w="7706" w:type="dxa"/>
            <w:noWrap w:val="0"/>
            <w:vAlign w:val="center"/>
          </w:tcPr>
          <w:p>
            <w:pP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由供应商根据医院实际情况提供相适应的方案，根据方案的合理性、适用性及可操作性进行评分。每存在一处缺陷扣0.5分，未提供不得分。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73" w:type="dxa"/>
            <w:vMerge w:val="continue"/>
            <w:noWrap w:val="0"/>
            <w:vAlign w:val="center"/>
          </w:tcPr>
          <w:p>
            <w:pPr>
              <w:rPr>
                <w:rFonts w:hint="eastAsia" w:ascii="宋体" w:hAnsi="宋体" w:eastAsia="宋体" w:cs="宋体"/>
                <w:color w:val="auto"/>
                <w:kern w:val="0"/>
                <w:highlight w:val="none"/>
              </w:rPr>
            </w:pPr>
          </w:p>
        </w:tc>
        <w:tc>
          <w:tcPr>
            <w:tcW w:w="1402" w:type="dxa"/>
            <w:noWrap w:val="0"/>
            <w:vAlign w:val="center"/>
          </w:tcPr>
          <w:p>
            <w:pPr>
              <w:rPr>
                <w:rFonts w:hint="eastAsia" w:ascii="宋体" w:hAnsi="宋体" w:eastAsia="宋体" w:cs="宋体"/>
                <w:color w:val="auto"/>
                <w:kern w:val="0"/>
                <w:highlight w:val="none"/>
              </w:rPr>
            </w:pPr>
            <w:r>
              <w:rPr>
                <w:rFonts w:hint="eastAsia" w:ascii="宋体" w:hAnsi="宋体" w:eastAsia="宋体" w:cs="宋体"/>
                <w:color w:val="auto"/>
                <w:kern w:val="0"/>
                <w:highlight w:val="none"/>
              </w:rPr>
              <w:t>综合因素</w:t>
            </w:r>
          </w:p>
          <w:p>
            <w:pPr>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rPr>
              <w:t>分）</w:t>
            </w:r>
          </w:p>
        </w:tc>
        <w:tc>
          <w:tcPr>
            <w:tcW w:w="7706" w:type="dxa"/>
            <w:noWrap w:val="0"/>
            <w:vAlign w:val="center"/>
          </w:tcPr>
          <w:p>
            <w:pP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rPr>
              <w:t>投标文件编制完整、有详细目录并且对应页码准确、产品宣传的客观、技术参数响应的真实性、投标报价合理的，得2分，上述情况每有一项不满足，扣1分，扣完为止。</w:t>
            </w:r>
          </w:p>
        </w:tc>
      </w:tr>
    </w:tbl>
    <w:p>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pPr>
        <w:pStyle w:val="2"/>
        <w:jc w:val="center"/>
        <w:rPr>
          <w:rFonts w:hint="eastAsia" w:ascii="宋体" w:hAnsi="宋体" w:eastAsia="宋体" w:cs="宋体"/>
          <w:color w:val="auto"/>
          <w:sz w:val="28"/>
          <w:szCs w:val="28"/>
          <w:highlight w:val="none"/>
        </w:rPr>
      </w:pPr>
      <w:bookmarkStart w:id="48" w:name="_Toc26713"/>
      <w:r>
        <w:rPr>
          <w:rFonts w:hint="eastAsia" w:ascii="宋体" w:hAnsi="宋体" w:eastAsia="宋体" w:cs="宋体"/>
          <w:color w:val="auto"/>
          <w:sz w:val="28"/>
          <w:highlight w:val="none"/>
        </w:rPr>
        <w:t>第四章合同草案条款</w:t>
      </w:r>
      <w:bookmarkEnd w:id="46"/>
      <w:bookmarkEnd w:id="47"/>
      <w:bookmarkEnd w:id="48"/>
      <w:bookmarkStart w:id="49" w:name="_Toc43715827"/>
      <w:bookmarkStart w:id="50" w:name="_Toc73710342"/>
    </w:p>
    <w:p>
      <w:pPr>
        <w:adjustRightInd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(此合同样本仅供参考,合同具体细则以成交双方协定为准)</w:t>
      </w:r>
    </w:p>
    <w:p>
      <w:pPr>
        <w:overflowPunct w:val="0"/>
        <w:adjustRightInd w:val="0"/>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合同号：</w:t>
      </w:r>
    </w:p>
    <w:p>
      <w:pPr>
        <w:adjustRightInd w:val="0"/>
        <w:snapToGrid w:val="0"/>
        <w:spacing w:line="360" w:lineRule="auto"/>
        <w:rPr>
          <w:rFonts w:hint="eastAsia" w:ascii="宋体" w:hAnsi="宋体" w:eastAsia="宋体" w:cs="宋体"/>
          <w:color w:val="auto"/>
          <w:sz w:val="24"/>
          <w:highlight w:val="none"/>
          <w:lang w:eastAsia="zh-CN"/>
        </w:rPr>
      </w:pPr>
      <w:bookmarkStart w:id="51" w:name="_Toc14935"/>
      <w:r>
        <w:rPr>
          <w:rFonts w:hint="eastAsia" w:ascii="宋体" w:hAnsi="宋体" w:eastAsia="宋体" w:cs="宋体"/>
          <w:color w:val="auto"/>
          <w:sz w:val="24"/>
          <w:highlight w:val="none"/>
        </w:rPr>
        <w:t>甲方（采购方）：</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乙方（供应商）：</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甲乙双方根据政府采购的有关规定，和中标通知书的要求，经双方友好协商，一致同意达成如下内容，特订立本合同，以便共同遵守。</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第一条：合同标的</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乙方根据甲方需求提供下列货物：</w:t>
      </w:r>
    </w:p>
    <w:tbl>
      <w:tblPr>
        <w:tblStyle w:val="30"/>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43"/>
        <w:gridCol w:w="1559"/>
        <w:gridCol w:w="1816"/>
        <w:gridCol w:w="980"/>
        <w:gridCol w:w="1294"/>
        <w:gridCol w:w="970"/>
        <w:gridCol w:w="12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843" w:type="dxa"/>
            <w:noWrap w:val="0"/>
            <w:vAlign w:val="center"/>
          </w:tcPr>
          <w:p>
            <w:pPr>
              <w:autoSpaceDE w:val="0"/>
              <w:autoSpaceDN w:val="0"/>
              <w:spacing w:before="8"/>
              <w:jc w:val="left"/>
              <w:rPr>
                <w:rFonts w:hint="eastAsia" w:ascii="宋体" w:hAnsi="宋体" w:eastAsia="宋体" w:cs="宋体"/>
                <w:color w:val="auto"/>
                <w:kern w:val="0"/>
                <w:sz w:val="24"/>
                <w:highlight w:val="none"/>
              </w:rPr>
            </w:pPr>
          </w:p>
          <w:p>
            <w:pPr>
              <w:autoSpaceDE w:val="0"/>
              <w:autoSpaceDN w:val="0"/>
              <w:ind w:left="784"/>
              <w:jc w:val="left"/>
              <w:rPr>
                <w:rFonts w:hint="eastAsia" w:ascii="宋体" w:hAnsi="宋体" w:eastAsia="宋体" w:cs="宋体"/>
                <w:color w:val="auto"/>
                <w:kern w:val="0"/>
                <w:sz w:val="24"/>
                <w:highlight w:val="none"/>
                <w:lang w:eastAsia="en-US"/>
              </w:rPr>
            </w:pPr>
            <w:r>
              <w:rPr>
                <w:rFonts w:hint="eastAsia" w:ascii="宋体" w:hAnsi="宋体" w:eastAsia="宋体" w:cs="宋体"/>
                <w:color w:val="auto"/>
                <w:kern w:val="0"/>
                <w:sz w:val="24"/>
                <w:highlight w:val="none"/>
                <w:lang w:eastAsia="en-US"/>
              </w:rPr>
              <w:t>货物名称</w:t>
            </w:r>
          </w:p>
        </w:tc>
        <w:tc>
          <w:tcPr>
            <w:tcW w:w="1559" w:type="dxa"/>
            <w:noWrap w:val="0"/>
            <w:vAlign w:val="center"/>
          </w:tcPr>
          <w:p>
            <w:pPr>
              <w:autoSpaceDE w:val="0"/>
              <w:autoSpaceDN w:val="0"/>
              <w:ind w:left="138"/>
              <w:jc w:val="left"/>
              <w:rPr>
                <w:rFonts w:hint="eastAsia" w:ascii="宋体" w:hAnsi="宋体" w:eastAsia="宋体" w:cs="宋体"/>
                <w:color w:val="auto"/>
                <w:kern w:val="0"/>
                <w:sz w:val="24"/>
                <w:highlight w:val="none"/>
                <w:lang w:eastAsia="en-US"/>
              </w:rPr>
            </w:pPr>
          </w:p>
          <w:p>
            <w:pPr>
              <w:autoSpaceDE w:val="0"/>
              <w:autoSpaceDN w:val="0"/>
              <w:ind w:left="138"/>
              <w:jc w:val="left"/>
              <w:rPr>
                <w:rFonts w:hint="eastAsia" w:ascii="宋体" w:hAnsi="宋体" w:eastAsia="宋体" w:cs="宋体"/>
                <w:color w:val="auto"/>
                <w:kern w:val="0"/>
                <w:sz w:val="24"/>
                <w:highlight w:val="none"/>
                <w:lang w:eastAsia="en-US"/>
              </w:rPr>
            </w:pPr>
            <w:r>
              <w:rPr>
                <w:rFonts w:hint="eastAsia" w:ascii="宋体" w:hAnsi="宋体" w:eastAsia="宋体" w:cs="宋体"/>
                <w:color w:val="auto"/>
                <w:kern w:val="0"/>
                <w:sz w:val="24"/>
                <w:highlight w:val="none"/>
                <w:lang w:eastAsia="en-US"/>
              </w:rPr>
              <w:t>规格型号</w:t>
            </w:r>
          </w:p>
        </w:tc>
        <w:tc>
          <w:tcPr>
            <w:tcW w:w="1816" w:type="dxa"/>
            <w:noWrap w:val="0"/>
            <w:vAlign w:val="center"/>
          </w:tcPr>
          <w:p>
            <w:pPr>
              <w:autoSpaceDE w:val="0"/>
              <w:autoSpaceDN w:val="0"/>
              <w:ind w:left="138"/>
              <w:jc w:val="left"/>
              <w:rPr>
                <w:rFonts w:hint="eastAsia" w:ascii="宋体" w:hAnsi="宋体" w:eastAsia="宋体" w:cs="宋体"/>
                <w:color w:val="auto"/>
                <w:kern w:val="0"/>
                <w:sz w:val="24"/>
                <w:highlight w:val="none"/>
                <w:lang w:eastAsia="en-US"/>
              </w:rPr>
            </w:pPr>
            <w:r>
              <w:rPr>
                <w:rFonts w:hint="eastAsia" w:ascii="宋体" w:hAnsi="宋体" w:eastAsia="宋体" w:cs="宋体"/>
                <w:color w:val="auto"/>
                <w:kern w:val="0"/>
                <w:sz w:val="24"/>
                <w:highlight w:val="none"/>
                <w:lang w:eastAsia="en-US"/>
              </w:rPr>
              <w:t>单价（元）</w:t>
            </w:r>
          </w:p>
        </w:tc>
        <w:tc>
          <w:tcPr>
            <w:tcW w:w="980" w:type="dxa"/>
            <w:noWrap w:val="0"/>
            <w:vAlign w:val="center"/>
          </w:tcPr>
          <w:p>
            <w:pPr>
              <w:autoSpaceDE w:val="0"/>
              <w:autoSpaceDN w:val="0"/>
              <w:spacing w:before="12"/>
              <w:jc w:val="left"/>
              <w:rPr>
                <w:rFonts w:hint="eastAsia" w:ascii="宋体" w:hAnsi="宋体" w:eastAsia="宋体" w:cs="宋体"/>
                <w:color w:val="auto"/>
                <w:kern w:val="0"/>
                <w:sz w:val="24"/>
                <w:highlight w:val="none"/>
                <w:lang w:eastAsia="en-US"/>
              </w:rPr>
            </w:pPr>
          </w:p>
          <w:p>
            <w:pPr>
              <w:autoSpaceDE w:val="0"/>
              <w:autoSpaceDN w:val="0"/>
              <w:ind w:left="263"/>
              <w:jc w:val="left"/>
              <w:rPr>
                <w:rFonts w:hint="eastAsia" w:ascii="宋体" w:hAnsi="宋体" w:eastAsia="宋体" w:cs="宋体"/>
                <w:color w:val="auto"/>
                <w:kern w:val="0"/>
                <w:sz w:val="24"/>
                <w:highlight w:val="none"/>
                <w:lang w:eastAsia="en-US"/>
              </w:rPr>
            </w:pPr>
            <w:r>
              <w:rPr>
                <w:rFonts w:hint="eastAsia" w:ascii="宋体" w:hAnsi="宋体" w:eastAsia="宋体" w:cs="宋体"/>
                <w:color w:val="auto"/>
                <w:w w:val="105"/>
                <w:kern w:val="0"/>
                <w:sz w:val="24"/>
                <w:highlight w:val="none"/>
                <w:lang w:eastAsia="en-US"/>
              </w:rPr>
              <w:t>数量</w:t>
            </w:r>
          </w:p>
        </w:tc>
        <w:tc>
          <w:tcPr>
            <w:tcW w:w="1294" w:type="dxa"/>
            <w:noWrap w:val="0"/>
            <w:vAlign w:val="center"/>
          </w:tcPr>
          <w:p>
            <w:pPr>
              <w:autoSpaceDE w:val="0"/>
              <w:autoSpaceDN w:val="0"/>
              <w:spacing w:before="12"/>
              <w:jc w:val="left"/>
              <w:rPr>
                <w:rFonts w:hint="eastAsia" w:ascii="宋体" w:hAnsi="宋体" w:eastAsia="宋体" w:cs="宋体"/>
                <w:color w:val="auto"/>
                <w:kern w:val="0"/>
                <w:sz w:val="24"/>
                <w:highlight w:val="none"/>
                <w:lang w:eastAsia="en-US"/>
              </w:rPr>
            </w:pPr>
          </w:p>
          <w:p>
            <w:pPr>
              <w:autoSpaceDE w:val="0"/>
              <w:autoSpaceDN w:val="0"/>
              <w:ind w:left="138"/>
              <w:jc w:val="left"/>
              <w:rPr>
                <w:rFonts w:hint="eastAsia" w:ascii="宋体" w:hAnsi="宋体" w:eastAsia="宋体" w:cs="宋体"/>
                <w:color w:val="auto"/>
                <w:kern w:val="0"/>
                <w:sz w:val="24"/>
                <w:highlight w:val="none"/>
                <w:lang w:eastAsia="en-US"/>
              </w:rPr>
            </w:pPr>
            <w:r>
              <w:rPr>
                <w:rFonts w:hint="eastAsia" w:ascii="宋体" w:hAnsi="宋体" w:eastAsia="宋体" w:cs="宋体"/>
                <w:color w:val="auto"/>
                <w:kern w:val="0"/>
                <w:sz w:val="24"/>
                <w:highlight w:val="none"/>
                <w:lang w:eastAsia="en-US"/>
              </w:rPr>
              <w:t>金额（元）</w:t>
            </w:r>
          </w:p>
        </w:tc>
        <w:tc>
          <w:tcPr>
            <w:tcW w:w="970" w:type="dxa"/>
            <w:noWrap w:val="0"/>
            <w:vAlign w:val="center"/>
          </w:tcPr>
          <w:p>
            <w:pPr>
              <w:autoSpaceDE w:val="0"/>
              <w:autoSpaceDN w:val="0"/>
              <w:spacing w:before="12"/>
              <w:jc w:val="left"/>
              <w:rPr>
                <w:rFonts w:hint="eastAsia" w:ascii="宋体" w:hAnsi="宋体" w:eastAsia="宋体" w:cs="宋体"/>
                <w:color w:val="auto"/>
                <w:kern w:val="0"/>
                <w:sz w:val="24"/>
                <w:highlight w:val="none"/>
                <w:lang w:eastAsia="en-US"/>
              </w:rPr>
            </w:pPr>
          </w:p>
          <w:p>
            <w:pPr>
              <w:autoSpaceDE w:val="0"/>
              <w:autoSpaceDN w:val="0"/>
              <w:ind w:left="138"/>
              <w:jc w:val="left"/>
              <w:rPr>
                <w:rFonts w:hint="eastAsia" w:ascii="宋体" w:hAnsi="宋体" w:eastAsia="宋体" w:cs="宋体"/>
                <w:color w:val="auto"/>
                <w:kern w:val="0"/>
                <w:sz w:val="24"/>
                <w:highlight w:val="none"/>
                <w:lang w:eastAsia="en-US"/>
              </w:rPr>
            </w:pPr>
            <w:r>
              <w:rPr>
                <w:rFonts w:hint="eastAsia" w:ascii="宋体" w:hAnsi="宋体" w:eastAsia="宋体" w:cs="宋体"/>
                <w:color w:val="auto"/>
                <w:kern w:val="0"/>
                <w:sz w:val="24"/>
                <w:highlight w:val="none"/>
                <w:lang w:eastAsia="en-US"/>
              </w:rPr>
              <w:t>质保期</w:t>
            </w:r>
          </w:p>
        </w:tc>
        <w:tc>
          <w:tcPr>
            <w:tcW w:w="1273" w:type="dxa"/>
            <w:noWrap w:val="0"/>
            <w:vAlign w:val="center"/>
          </w:tcPr>
          <w:p>
            <w:pPr>
              <w:autoSpaceDE w:val="0"/>
              <w:autoSpaceDN w:val="0"/>
              <w:spacing w:before="12"/>
              <w:jc w:val="left"/>
              <w:rPr>
                <w:rFonts w:hint="eastAsia" w:ascii="宋体" w:hAnsi="宋体" w:eastAsia="宋体" w:cs="宋体"/>
                <w:color w:val="auto"/>
                <w:kern w:val="0"/>
                <w:sz w:val="24"/>
                <w:highlight w:val="none"/>
                <w:lang w:eastAsia="en-US"/>
              </w:rPr>
            </w:pPr>
          </w:p>
          <w:p>
            <w:pPr>
              <w:autoSpaceDE w:val="0"/>
              <w:autoSpaceDN w:val="0"/>
              <w:ind w:left="410"/>
              <w:jc w:val="left"/>
              <w:rPr>
                <w:rFonts w:hint="eastAsia" w:ascii="宋体" w:hAnsi="宋体" w:eastAsia="宋体" w:cs="宋体"/>
                <w:color w:val="auto"/>
                <w:kern w:val="0"/>
                <w:sz w:val="24"/>
                <w:highlight w:val="none"/>
                <w:lang w:eastAsia="en-US"/>
              </w:rPr>
            </w:pPr>
            <w:r>
              <w:rPr>
                <w:rFonts w:hint="eastAsia" w:ascii="宋体" w:hAnsi="宋体" w:eastAsia="宋体" w:cs="宋体"/>
                <w:color w:val="auto"/>
                <w:kern w:val="0"/>
                <w:sz w:val="24"/>
                <w:highlight w:val="none"/>
                <w:lang w:eastAsia="en-US"/>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843" w:type="dxa"/>
            <w:noWrap w:val="0"/>
            <w:vAlign w:val="center"/>
          </w:tcPr>
          <w:p>
            <w:pPr>
              <w:autoSpaceDE w:val="0"/>
              <w:autoSpaceDN w:val="0"/>
              <w:jc w:val="left"/>
              <w:rPr>
                <w:rFonts w:hint="eastAsia" w:ascii="宋体" w:hAnsi="宋体" w:eastAsia="宋体" w:cs="宋体"/>
                <w:color w:val="auto"/>
                <w:kern w:val="0"/>
                <w:sz w:val="24"/>
                <w:highlight w:val="none"/>
                <w:lang w:eastAsia="en-US"/>
              </w:rPr>
            </w:pPr>
          </w:p>
        </w:tc>
        <w:tc>
          <w:tcPr>
            <w:tcW w:w="1559" w:type="dxa"/>
            <w:noWrap w:val="0"/>
            <w:vAlign w:val="center"/>
          </w:tcPr>
          <w:p>
            <w:pPr>
              <w:autoSpaceDE w:val="0"/>
              <w:autoSpaceDN w:val="0"/>
              <w:jc w:val="left"/>
              <w:rPr>
                <w:rFonts w:hint="eastAsia" w:ascii="宋体" w:hAnsi="宋体" w:eastAsia="宋体" w:cs="宋体"/>
                <w:color w:val="auto"/>
                <w:kern w:val="0"/>
                <w:sz w:val="24"/>
                <w:highlight w:val="none"/>
                <w:lang w:eastAsia="en-US"/>
              </w:rPr>
            </w:pPr>
          </w:p>
        </w:tc>
        <w:tc>
          <w:tcPr>
            <w:tcW w:w="1816" w:type="dxa"/>
            <w:noWrap w:val="0"/>
            <w:vAlign w:val="center"/>
          </w:tcPr>
          <w:p>
            <w:pPr>
              <w:autoSpaceDE w:val="0"/>
              <w:autoSpaceDN w:val="0"/>
              <w:jc w:val="left"/>
              <w:rPr>
                <w:rFonts w:hint="eastAsia" w:ascii="宋体" w:hAnsi="宋体" w:eastAsia="宋体" w:cs="宋体"/>
                <w:color w:val="auto"/>
                <w:kern w:val="0"/>
                <w:sz w:val="24"/>
                <w:highlight w:val="none"/>
                <w:lang w:eastAsia="en-US"/>
              </w:rPr>
            </w:pPr>
          </w:p>
        </w:tc>
        <w:tc>
          <w:tcPr>
            <w:tcW w:w="980" w:type="dxa"/>
            <w:noWrap w:val="0"/>
            <w:vAlign w:val="center"/>
          </w:tcPr>
          <w:p>
            <w:pPr>
              <w:autoSpaceDE w:val="0"/>
              <w:autoSpaceDN w:val="0"/>
              <w:jc w:val="left"/>
              <w:rPr>
                <w:rFonts w:hint="eastAsia" w:ascii="宋体" w:hAnsi="宋体" w:eastAsia="宋体" w:cs="宋体"/>
                <w:color w:val="auto"/>
                <w:kern w:val="0"/>
                <w:sz w:val="24"/>
                <w:highlight w:val="none"/>
                <w:lang w:eastAsia="en-US"/>
              </w:rPr>
            </w:pPr>
          </w:p>
        </w:tc>
        <w:tc>
          <w:tcPr>
            <w:tcW w:w="1294" w:type="dxa"/>
            <w:noWrap w:val="0"/>
            <w:vAlign w:val="center"/>
          </w:tcPr>
          <w:p>
            <w:pPr>
              <w:autoSpaceDE w:val="0"/>
              <w:autoSpaceDN w:val="0"/>
              <w:jc w:val="left"/>
              <w:rPr>
                <w:rFonts w:hint="eastAsia" w:ascii="宋体" w:hAnsi="宋体" w:eastAsia="宋体" w:cs="宋体"/>
                <w:color w:val="auto"/>
                <w:kern w:val="0"/>
                <w:sz w:val="24"/>
                <w:highlight w:val="none"/>
                <w:lang w:eastAsia="en-US"/>
              </w:rPr>
            </w:pPr>
          </w:p>
        </w:tc>
        <w:tc>
          <w:tcPr>
            <w:tcW w:w="970" w:type="dxa"/>
            <w:noWrap w:val="0"/>
            <w:vAlign w:val="center"/>
          </w:tcPr>
          <w:p>
            <w:pPr>
              <w:autoSpaceDE w:val="0"/>
              <w:autoSpaceDN w:val="0"/>
              <w:jc w:val="left"/>
              <w:rPr>
                <w:rFonts w:hint="eastAsia" w:ascii="宋体" w:hAnsi="宋体" w:eastAsia="宋体" w:cs="宋体"/>
                <w:color w:val="auto"/>
                <w:kern w:val="0"/>
                <w:sz w:val="24"/>
                <w:highlight w:val="none"/>
                <w:lang w:eastAsia="en-US"/>
              </w:rPr>
            </w:pPr>
          </w:p>
        </w:tc>
        <w:tc>
          <w:tcPr>
            <w:tcW w:w="1273" w:type="dxa"/>
            <w:noWrap w:val="0"/>
            <w:vAlign w:val="center"/>
          </w:tcPr>
          <w:p>
            <w:pPr>
              <w:autoSpaceDE w:val="0"/>
              <w:autoSpaceDN w:val="0"/>
              <w:jc w:val="left"/>
              <w:rPr>
                <w:rFonts w:hint="eastAsia" w:ascii="宋体" w:hAnsi="宋体" w:eastAsia="宋体" w:cs="宋体"/>
                <w:color w:val="auto"/>
                <w:kern w:val="0"/>
                <w:sz w:val="24"/>
                <w:highlight w:val="none"/>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843" w:type="dxa"/>
            <w:noWrap w:val="0"/>
            <w:vAlign w:val="center"/>
          </w:tcPr>
          <w:p>
            <w:pPr>
              <w:autoSpaceDE w:val="0"/>
              <w:autoSpaceDN w:val="0"/>
              <w:jc w:val="left"/>
              <w:rPr>
                <w:rFonts w:hint="eastAsia" w:ascii="宋体" w:hAnsi="宋体" w:eastAsia="宋体" w:cs="宋体"/>
                <w:color w:val="auto"/>
                <w:kern w:val="0"/>
                <w:sz w:val="24"/>
                <w:highlight w:val="none"/>
                <w:lang w:eastAsia="en-US"/>
              </w:rPr>
            </w:pPr>
          </w:p>
        </w:tc>
        <w:tc>
          <w:tcPr>
            <w:tcW w:w="1559" w:type="dxa"/>
            <w:noWrap w:val="0"/>
            <w:vAlign w:val="center"/>
          </w:tcPr>
          <w:p>
            <w:pPr>
              <w:autoSpaceDE w:val="0"/>
              <w:autoSpaceDN w:val="0"/>
              <w:jc w:val="left"/>
              <w:rPr>
                <w:rFonts w:hint="eastAsia" w:ascii="宋体" w:hAnsi="宋体" w:eastAsia="宋体" w:cs="宋体"/>
                <w:color w:val="auto"/>
                <w:kern w:val="0"/>
                <w:sz w:val="24"/>
                <w:highlight w:val="none"/>
                <w:lang w:eastAsia="en-US"/>
              </w:rPr>
            </w:pPr>
          </w:p>
        </w:tc>
        <w:tc>
          <w:tcPr>
            <w:tcW w:w="1816" w:type="dxa"/>
            <w:noWrap w:val="0"/>
            <w:vAlign w:val="center"/>
          </w:tcPr>
          <w:p>
            <w:pPr>
              <w:autoSpaceDE w:val="0"/>
              <w:autoSpaceDN w:val="0"/>
              <w:jc w:val="left"/>
              <w:rPr>
                <w:rFonts w:hint="eastAsia" w:ascii="宋体" w:hAnsi="宋体" w:eastAsia="宋体" w:cs="宋体"/>
                <w:color w:val="auto"/>
                <w:kern w:val="0"/>
                <w:sz w:val="24"/>
                <w:highlight w:val="none"/>
                <w:lang w:eastAsia="en-US"/>
              </w:rPr>
            </w:pPr>
          </w:p>
        </w:tc>
        <w:tc>
          <w:tcPr>
            <w:tcW w:w="980" w:type="dxa"/>
            <w:noWrap w:val="0"/>
            <w:vAlign w:val="center"/>
          </w:tcPr>
          <w:p>
            <w:pPr>
              <w:autoSpaceDE w:val="0"/>
              <w:autoSpaceDN w:val="0"/>
              <w:jc w:val="left"/>
              <w:rPr>
                <w:rFonts w:hint="eastAsia" w:ascii="宋体" w:hAnsi="宋体" w:eastAsia="宋体" w:cs="宋体"/>
                <w:color w:val="auto"/>
                <w:kern w:val="0"/>
                <w:sz w:val="24"/>
                <w:highlight w:val="none"/>
                <w:lang w:eastAsia="en-US"/>
              </w:rPr>
            </w:pPr>
          </w:p>
        </w:tc>
        <w:tc>
          <w:tcPr>
            <w:tcW w:w="1294" w:type="dxa"/>
            <w:noWrap w:val="0"/>
            <w:vAlign w:val="center"/>
          </w:tcPr>
          <w:p>
            <w:pPr>
              <w:autoSpaceDE w:val="0"/>
              <w:autoSpaceDN w:val="0"/>
              <w:jc w:val="left"/>
              <w:rPr>
                <w:rFonts w:hint="eastAsia" w:ascii="宋体" w:hAnsi="宋体" w:eastAsia="宋体" w:cs="宋体"/>
                <w:color w:val="auto"/>
                <w:kern w:val="0"/>
                <w:sz w:val="24"/>
                <w:highlight w:val="none"/>
                <w:lang w:eastAsia="en-US"/>
              </w:rPr>
            </w:pPr>
          </w:p>
        </w:tc>
        <w:tc>
          <w:tcPr>
            <w:tcW w:w="970" w:type="dxa"/>
            <w:noWrap w:val="0"/>
            <w:vAlign w:val="center"/>
          </w:tcPr>
          <w:p>
            <w:pPr>
              <w:autoSpaceDE w:val="0"/>
              <w:autoSpaceDN w:val="0"/>
              <w:jc w:val="left"/>
              <w:rPr>
                <w:rFonts w:hint="eastAsia" w:ascii="宋体" w:hAnsi="宋体" w:eastAsia="宋体" w:cs="宋体"/>
                <w:color w:val="auto"/>
                <w:kern w:val="0"/>
                <w:sz w:val="24"/>
                <w:highlight w:val="none"/>
                <w:lang w:eastAsia="en-US"/>
              </w:rPr>
            </w:pPr>
          </w:p>
        </w:tc>
        <w:tc>
          <w:tcPr>
            <w:tcW w:w="1273" w:type="dxa"/>
            <w:noWrap w:val="0"/>
            <w:vAlign w:val="center"/>
          </w:tcPr>
          <w:p>
            <w:pPr>
              <w:autoSpaceDE w:val="0"/>
              <w:autoSpaceDN w:val="0"/>
              <w:jc w:val="left"/>
              <w:rPr>
                <w:rFonts w:hint="eastAsia" w:ascii="宋体" w:hAnsi="宋体" w:eastAsia="宋体" w:cs="宋体"/>
                <w:color w:val="auto"/>
                <w:kern w:val="0"/>
                <w:sz w:val="24"/>
                <w:highlight w:val="none"/>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843" w:type="dxa"/>
            <w:noWrap w:val="0"/>
            <w:vAlign w:val="center"/>
          </w:tcPr>
          <w:p>
            <w:pPr>
              <w:autoSpaceDE w:val="0"/>
              <w:autoSpaceDN w:val="0"/>
              <w:jc w:val="left"/>
              <w:rPr>
                <w:rFonts w:hint="eastAsia" w:ascii="宋体" w:hAnsi="宋体" w:eastAsia="宋体" w:cs="宋体"/>
                <w:color w:val="auto"/>
                <w:kern w:val="0"/>
                <w:sz w:val="24"/>
                <w:highlight w:val="none"/>
                <w:lang w:eastAsia="en-US"/>
              </w:rPr>
            </w:pPr>
          </w:p>
        </w:tc>
        <w:tc>
          <w:tcPr>
            <w:tcW w:w="1559" w:type="dxa"/>
            <w:noWrap w:val="0"/>
            <w:vAlign w:val="center"/>
          </w:tcPr>
          <w:p>
            <w:pPr>
              <w:autoSpaceDE w:val="0"/>
              <w:autoSpaceDN w:val="0"/>
              <w:jc w:val="left"/>
              <w:rPr>
                <w:rFonts w:hint="eastAsia" w:ascii="宋体" w:hAnsi="宋体" w:eastAsia="宋体" w:cs="宋体"/>
                <w:color w:val="auto"/>
                <w:kern w:val="0"/>
                <w:sz w:val="24"/>
                <w:highlight w:val="none"/>
                <w:lang w:eastAsia="en-US"/>
              </w:rPr>
            </w:pPr>
          </w:p>
        </w:tc>
        <w:tc>
          <w:tcPr>
            <w:tcW w:w="1816" w:type="dxa"/>
            <w:noWrap w:val="0"/>
            <w:vAlign w:val="center"/>
          </w:tcPr>
          <w:p>
            <w:pPr>
              <w:autoSpaceDE w:val="0"/>
              <w:autoSpaceDN w:val="0"/>
              <w:jc w:val="left"/>
              <w:rPr>
                <w:rFonts w:hint="eastAsia" w:ascii="宋体" w:hAnsi="宋体" w:eastAsia="宋体" w:cs="宋体"/>
                <w:color w:val="auto"/>
                <w:kern w:val="0"/>
                <w:sz w:val="24"/>
                <w:highlight w:val="none"/>
                <w:lang w:eastAsia="en-US"/>
              </w:rPr>
            </w:pPr>
          </w:p>
        </w:tc>
        <w:tc>
          <w:tcPr>
            <w:tcW w:w="980" w:type="dxa"/>
            <w:noWrap w:val="0"/>
            <w:vAlign w:val="center"/>
          </w:tcPr>
          <w:p>
            <w:pPr>
              <w:autoSpaceDE w:val="0"/>
              <w:autoSpaceDN w:val="0"/>
              <w:jc w:val="left"/>
              <w:rPr>
                <w:rFonts w:hint="eastAsia" w:ascii="宋体" w:hAnsi="宋体" w:eastAsia="宋体" w:cs="宋体"/>
                <w:color w:val="auto"/>
                <w:kern w:val="0"/>
                <w:sz w:val="24"/>
                <w:highlight w:val="none"/>
                <w:lang w:eastAsia="en-US"/>
              </w:rPr>
            </w:pPr>
          </w:p>
        </w:tc>
        <w:tc>
          <w:tcPr>
            <w:tcW w:w="1294" w:type="dxa"/>
            <w:noWrap w:val="0"/>
            <w:vAlign w:val="center"/>
          </w:tcPr>
          <w:p>
            <w:pPr>
              <w:autoSpaceDE w:val="0"/>
              <w:autoSpaceDN w:val="0"/>
              <w:jc w:val="left"/>
              <w:rPr>
                <w:rFonts w:hint="eastAsia" w:ascii="宋体" w:hAnsi="宋体" w:eastAsia="宋体" w:cs="宋体"/>
                <w:color w:val="auto"/>
                <w:kern w:val="0"/>
                <w:sz w:val="24"/>
                <w:highlight w:val="none"/>
                <w:lang w:eastAsia="en-US"/>
              </w:rPr>
            </w:pPr>
          </w:p>
        </w:tc>
        <w:tc>
          <w:tcPr>
            <w:tcW w:w="970" w:type="dxa"/>
            <w:noWrap w:val="0"/>
            <w:vAlign w:val="center"/>
          </w:tcPr>
          <w:p>
            <w:pPr>
              <w:autoSpaceDE w:val="0"/>
              <w:autoSpaceDN w:val="0"/>
              <w:jc w:val="left"/>
              <w:rPr>
                <w:rFonts w:hint="eastAsia" w:ascii="宋体" w:hAnsi="宋体" w:eastAsia="宋体" w:cs="宋体"/>
                <w:color w:val="auto"/>
                <w:kern w:val="0"/>
                <w:sz w:val="24"/>
                <w:highlight w:val="none"/>
                <w:lang w:eastAsia="en-US"/>
              </w:rPr>
            </w:pPr>
          </w:p>
        </w:tc>
        <w:tc>
          <w:tcPr>
            <w:tcW w:w="1273" w:type="dxa"/>
            <w:noWrap w:val="0"/>
            <w:vAlign w:val="center"/>
          </w:tcPr>
          <w:p>
            <w:pPr>
              <w:autoSpaceDE w:val="0"/>
              <w:autoSpaceDN w:val="0"/>
              <w:jc w:val="left"/>
              <w:rPr>
                <w:rFonts w:hint="eastAsia" w:ascii="宋体" w:hAnsi="宋体" w:eastAsia="宋体" w:cs="宋体"/>
                <w:color w:val="auto"/>
                <w:kern w:val="0"/>
                <w:sz w:val="24"/>
                <w:highlight w:val="none"/>
                <w:lang w:eastAsia="en-US"/>
              </w:rPr>
            </w:pPr>
          </w:p>
        </w:tc>
      </w:tr>
    </w:tbl>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第二条：合同价格</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l、货物总价为人民币（大写） ： 元整。</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2、总价中包括货物金额、安装费、包装费、软件接口费、运输费及运输途中保险费、装卸费及税金。本合同价格一般不得做任何变更与调整。</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第三条：付款方式</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1、甲乙双方确认的货款结算依据： 投标文件、中标通知书，采购合同书， 乙方开具的发票， 甲方出具的验收结算书等。</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2、货物验收合格， 甲方出具验收结算书后付款。</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3、买方和卖方签订合同后，</w:t>
      </w:r>
      <w:r>
        <w:rPr>
          <w:rFonts w:hint="eastAsia" w:ascii="宋体" w:hAnsi="宋体" w:eastAsia="宋体" w:cs="宋体"/>
          <w:color w:val="auto"/>
          <w:sz w:val="24"/>
          <w:highlight w:val="none"/>
          <w:lang w:val="en-US" w:eastAsia="zh-CN"/>
        </w:rPr>
        <w:t>支付货款的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，交货验收合格后买方通过财政国库支付给卖方合同总价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的货款，发放完成，无质量问题、无投诉后，返还合同履约保证金。</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第四条：交货、包装与验收</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交货地点：</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指定地点</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2、交货时间 ：2023年  月   日前</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3、货物包装应符合国家标准，以保证货物在运输过程中不受损伤。货物在运输或邮寄途中发生毁损或丢失，由乙方负责。在运输途中、交货前、卸货中发生人身伤害或货物受损的，由 乙方负责承担。</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4、货物到达后，甲乙双方均须在场并确认包装的完好性后，安装后由甲方验货。并对货物进行清点验收，共同签字确认。如验收不合格，乙方应退货，预缴押金的要全额退还，一切损失由乙方承担。</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第五条：本合同的有效组成文件：</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2、中标通知书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3、甲方出具的验货结算书。</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4、乙方所提供的其他承诺。</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第六条：质量保证和售后服务：</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乙方应保证所提供的货物是全新、未使用过的原装合格正品，并完全符合国家标准和行业的相关标准。</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第七条：违约责任：</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1、乙方不能按期按约交货或部分交货的，甲方有权不予支付乙方货款，并有权解除合同，乙方并应向甲方偿付相当千不能交货部分货款5%的违约金。</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2、乙方所提供货物品种、数量、质量不符合国家法律法规和本合同规定的，甲方有权拒收， 由乙方负责包换或退货，并承担由此而支付的实际费用。</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3、乙方逾期交货的，按逾期缴货部分货款计算，向甲方偿付每日千分之五的违约金，并承担甲方因此所受的损失费用。</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4、乙方违反本合同相关约定的，除应当承担违约责任外，因乙方违约导致甲方产生其他相关损失的，乙方应当赔偿甲方因此产生的经济损失。</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5、甲方未按合同约定逾期付款的，应按照每日千分之五的比例向乙方偿付逾期货款的违约金。</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6、甲方违反本合同规定拒绝接货的， 应当承担由此对乙方造成的损失。</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7、双方必须严格执行《中华人民共和国民法典》的有关违约责任规定。</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第八条：不可抗力</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1、本合同生效后发生不可抗力的， 发生不可抗力的一方应立即通知对方和</w:t>
      </w:r>
      <w:r>
        <w:rPr>
          <w:rFonts w:hint="eastAsia" w:ascii="宋体" w:hAnsi="宋体" w:eastAsia="宋体" w:cs="宋体"/>
          <w:color w:val="auto"/>
          <w:sz w:val="24"/>
          <w:highlight w:val="none"/>
          <w:lang w:eastAsia="zh-CN"/>
        </w:rPr>
        <w:t>库车市人民医院</w:t>
      </w:r>
      <w:r>
        <w:rPr>
          <w:rFonts w:hint="eastAsia" w:ascii="宋体" w:hAnsi="宋体" w:eastAsia="宋体" w:cs="宋体"/>
          <w:color w:val="auto"/>
          <w:sz w:val="24"/>
          <w:highlight w:val="none"/>
        </w:rPr>
        <w:t>，并在不可抗力发生之日起五天内提供不可抗力的详情及有关证明文件送交  对方和</w:t>
      </w:r>
      <w:r>
        <w:rPr>
          <w:rFonts w:hint="eastAsia" w:ascii="宋体" w:hAnsi="宋体" w:eastAsia="宋体" w:cs="宋体"/>
          <w:color w:val="auto"/>
          <w:sz w:val="24"/>
          <w:highlight w:val="none"/>
          <w:lang w:eastAsia="zh-CN"/>
        </w:rPr>
        <w:t>库车市人民医院</w:t>
      </w:r>
      <w:r>
        <w:rPr>
          <w:rFonts w:hint="eastAsia" w:ascii="宋体" w:hAnsi="宋体" w:eastAsia="宋体" w:cs="宋体"/>
          <w:color w:val="auto"/>
          <w:sz w:val="24"/>
          <w:highlight w:val="none"/>
        </w:rPr>
        <w:t>。</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2、发生不可抗力事件时，双方应协商以寻找一个合理的解决方法，并尽一切努力减轻不可抗力产生的后果。如不可抗力影响双方合同正常执行的，双方应友好协商解决本合同是否继续  履行或终止。</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3、一方因不可抗力不能按本合同约定履行的，可以减轻或免除一方的违约责任，一方不能证明不能按本合同约定履行是因不可抗力的，应当承担本合同约定的违约和赔偿责任。</w:t>
      </w:r>
    </w:p>
    <w:p>
      <w:pPr>
        <w:adjustRightInd w:val="0"/>
        <w:snapToGrid w:val="0"/>
        <w:spacing w:line="360" w:lineRule="auto"/>
        <w:ind w:left="600" w:hanging="600" w:hanging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第九条：合同的解除和变更</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当合同一方要求变更或解除合同时，在新协议未达成前，原合同仍然有效。要求变更的一方应及时书面通知对方</w:t>
      </w:r>
      <w:r>
        <w:rPr>
          <w:rFonts w:hint="eastAsia" w:ascii="宋体" w:hAnsi="宋体" w:eastAsia="宋体" w:cs="宋体"/>
          <w:color w:val="auto"/>
          <w:sz w:val="24"/>
          <w:highlight w:val="none"/>
          <w:lang w:eastAsia="zh-CN"/>
        </w:rPr>
        <w:t>库车市人民医院</w:t>
      </w:r>
      <w:r>
        <w:rPr>
          <w:rFonts w:hint="eastAsia" w:ascii="宋体" w:hAnsi="宋体" w:eastAsia="宋体" w:cs="宋体"/>
          <w:color w:val="auto"/>
          <w:sz w:val="24"/>
          <w:highlight w:val="none"/>
        </w:rPr>
        <w:t>，对方在接到通知 15 日内书面给予答复，逾期未答复则视为己同意。双方达成协议的，按新协议执行，并报</w:t>
      </w:r>
      <w:r>
        <w:rPr>
          <w:rFonts w:hint="eastAsia" w:ascii="宋体" w:hAnsi="宋体" w:eastAsia="宋体" w:cs="宋体"/>
          <w:color w:val="auto"/>
          <w:sz w:val="24"/>
          <w:highlight w:val="none"/>
          <w:lang w:val="en-US" w:eastAsia="zh-CN"/>
        </w:rPr>
        <w:t>当地</w:t>
      </w:r>
      <w:r>
        <w:rPr>
          <w:rFonts w:hint="eastAsia" w:ascii="宋体" w:hAnsi="宋体" w:eastAsia="宋体" w:cs="宋体"/>
          <w:color w:val="auto"/>
          <w:sz w:val="24"/>
          <w:highlight w:val="none"/>
        </w:rPr>
        <w:t>卫生健康委员会备案。</w:t>
      </w:r>
    </w:p>
    <w:p>
      <w:pPr>
        <w:adjustRightInd w:val="0"/>
        <w:snapToGrid w:val="0"/>
        <w:spacing w:line="360" w:lineRule="auto"/>
        <w:ind w:left="600" w:hanging="600" w:hanging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第十条：争议解决方式</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甲乙双方在合同执行中发生争议，由甲乙双方协商解决，协商解决不了的，甲乙双方均有权向</w:t>
      </w:r>
      <w:r>
        <w:rPr>
          <w:rFonts w:hint="eastAsia" w:ascii="宋体" w:hAnsi="宋体" w:eastAsia="宋体" w:cs="宋体"/>
          <w:color w:val="auto"/>
          <w:sz w:val="24"/>
          <w:highlight w:val="none"/>
          <w:lang w:eastAsia="zh-CN"/>
        </w:rPr>
        <w:t>库车市人民医院</w:t>
      </w:r>
      <w:r>
        <w:rPr>
          <w:rFonts w:hint="eastAsia" w:ascii="宋体" w:hAnsi="宋体" w:eastAsia="宋体" w:cs="宋体"/>
          <w:color w:val="auto"/>
          <w:sz w:val="24"/>
          <w:highlight w:val="none"/>
        </w:rPr>
        <w:t>投诉或向合同签署所在地人民法院提起诉讼。</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第十一条：合同生效及其他</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l 、本合同经甲乙双方盖章和代表签字日期，  即为本合同生效日期。如双方盖章签字日期不一致时，以最后盖章签字方的盖章签字日期为合同的生效日期。</w:t>
      </w:r>
    </w:p>
    <w:p>
      <w:pPr>
        <w:adjustRightInd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2、本合同一式陆份</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甲</w:t>
      </w:r>
      <w:r>
        <w:rPr>
          <w:rFonts w:hint="eastAsia" w:ascii="宋体" w:hAnsi="宋体" w:eastAsia="宋体" w:cs="宋体"/>
          <w:color w:val="auto"/>
          <w:sz w:val="24"/>
          <w:highlight w:val="none"/>
          <w:lang w:val="en-US" w:eastAsia="zh-CN"/>
        </w:rPr>
        <w:t>方贰</w:t>
      </w:r>
      <w:r>
        <w:rPr>
          <w:rFonts w:hint="eastAsia" w:ascii="宋体" w:hAnsi="宋体" w:eastAsia="宋体" w:cs="宋体"/>
          <w:color w:val="auto"/>
          <w:sz w:val="24"/>
          <w:highlight w:val="none"/>
        </w:rPr>
        <w:t>份，乙方</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份， 政府采购办、招标代理公司各</w:t>
      </w:r>
      <w:r>
        <w:rPr>
          <w:rFonts w:hint="eastAsia" w:ascii="宋体" w:hAnsi="宋体" w:eastAsia="宋体" w:cs="宋体"/>
          <w:color w:val="auto"/>
          <w:sz w:val="24"/>
          <w:highlight w:val="none"/>
          <w:lang w:val="en-US" w:eastAsia="zh-CN"/>
        </w:rPr>
        <w:t>壹份</w:t>
      </w:r>
      <w:r>
        <w:rPr>
          <w:rFonts w:hint="eastAsia" w:ascii="宋体" w:hAnsi="宋体" w:eastAsia="宋体" w:cs="宋体"/>
          <w:color w:val="auto"/>
          <w:sz w:val="24"/>
          <w:highlight w:val="none"/>
          <w:lang w:eastAsia="zh-CN"/>
        </w:rPr>
        <w:t>。</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3、本合同的未尽事项， 必要时由甲乙双方另订补充协议， 经甲乙双方盖章和双方授权代表签字后与本合同具有同等法律效力，补充协议必须交</w:t>
      </w:r>
      <w:r>
        <w:rPr>
          <w:rFonts w:hint="eastAsia" w:ascii="宋体" w:hAnsi="宋体" w:eastAsia="宋体" w:cs="宋体"/>
          <w:color w:val="auto"/>
          <w:sz w:val="24"/>
          <w:highlight w:val="none"/>
          <w:lang w:eastAsia="zh-CN"/>
        </w:rPr>
        <w:t>库车市人民医院</w:t>
      </w:r>
      <w:r>
        <w:rPr>
          <w:rFonts w:hint="eastAsia" w:ascii="宋体" w:hAnsi="宋体" w:eastAsia="宋体" w:cs="宋体"/>
          <w:color w:val="auto"/>
          <w:sz w:val="24"/>
          <w:highlight w:val="none"/>
        </w:rPr>
        <w:t>备案。</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                                                 乙方：</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                                              签约代表：</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                                                  地址：</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电话：</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传真：　　　                                            传真：</w:t>
      </w:r>
    </w:p>
    <w:p>
      <w:pPr>
        <w:adjustRightInd w:val="0"/>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开户行：</w:t>
      </w:r>
    </w:p>
    <w:p>
      <w:pPr>
        <w:adjustRightInd w:val="0"/>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账号：</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  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                                      20  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2"/>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第五章响应文件组成</w:t>
      </w:r>
      <w:bookmarkEnd w:id="49"/>
      <w:bookmarkEnd w:id="50"/>
      <w:bookmarkEnd w:id="51"/>
    </w:p>
    <w:p>
      <w:pPr>
        <w:pStyle w:val="2"/>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第一部分商务部分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一、磋商响应声明</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附件1－1法定代表人身份证明复印件(法定代表人参加磋商)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附件1－2法定代表人授权书(授权代表参加磋商)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附件1－3授权委托书(格式二)(适用于自然人委托磋商)</w:t>
      </w:r>
    </w:p>
    <w:p>
      <w:pPr>
        <w:pStyle w:val="17"/>
        <w:numPr>
          <w:ilvl w:val="0"/>
          <w:numId w:val="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报价一览表</w:t>
      </w:r>
    </w:p>
    <w:p>
      <w:pPr>
        <w:pStyle w:val="17"/>
        <w:numPr>
          <w:ilvl w:val="0"/>
          <w:numId w:val="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商务条款偏离表(格式附后)</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的资格证明材料</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基本情况表(格式附后)</w:t>
      </w:r>
    </w:p>
    <w:p>
      <w:pPr>
        <w:pStyle w:val="17"/>
        <w:spacing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近三年（20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月-至今）类似项目业绩(附件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(三)参加政府采购活动的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应当提供下列材料：</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－2－1有效的企业营业执照（复印件需加盖本单位公章）；</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有效的《医疗器械经营许可证》或《医疗器械生产许可证》</w:t>
      </w:r>
      <w:r>
        <w:rPr>
          <w:rFonts w:hint="eastAsia" w:ascii="宋体" w:hAnsi="宋体" w:eastAsia="宋体" w:cs="宋体"/>
          <w:color w:val="auto"/>
          <w:sz w:val="24"/>
          <w:szCs w:val="24"/>
          <w:highlight w:val="none"/>
        </w:rPr>
        <w:t>（需加盖本单位公章）；</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－2－3参加政府采购活动前三年内在经营活动中没有重大违法记录的书面声明；</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－2－4无不良信用记录承诺函(磋商文件要求由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自行查询信用记录的提供)。</w:t>
      </w:r>
    </w:p>
    <w:p>
      <w:pPr>
        <w:pStyle w:val="17"/>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附件4-2-5 一年内未发生安全生产故事、未被行政主管部门行政处罚或其他不良记录。</w:t>
      </w:r>
    </w:p>
    <w:p>
      <w:pPr>
        <w:pStyle w:val="17"/>
        <w:numPr>
          <w:ilvl w:val="0"/>
          <w:numId w:val="0"/>
        </w:numPr>
        <w:spacing w:line="360" w:lineRule="auto"/>
        <w:ind w:left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五、经审计财务会计报告（上一年度），或基本开户银行出具的资信证明；近半年内任一月依法缴纳税收证明；近半年内任一月社保缴纳证明。</w:t>
      </w:r>
    </w:p>
    <w:p>
      <w:pPr>
        <w:pStyle w:val="17"/>
        <w:numPr>
          <w:ilvl w:val="0"/>
          <w:numId w:val="0"/>
        </w:numPr>
        <w:spacing w:line="360" w:lineRule="auto"/>
        <w:ind w:left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认为需提供的其他资料</w:t>
      </w:r>
    </w:p>
    <w:p>
      <w:pPr>
        <w:pStyle w:val="17"/>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企业类型声明函</w:t>
      </w:r>
    </w:p>
    <w:p>
      <w:pPr>
        <w:pStyle w:val="17"/>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、中小企业声明函</w:t>
      </w:r>
    </w:p>
    <w:p>
      <w:pPr>
        <w:pStyle w:val="17"/>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、中小企业生产或销售的产品优惠明细表</w:t>
      </w:r>
    </w:p>
    <w:p>
      <w:pPr>
        <w:pStyle w:val="17"/>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、监狱企业声明函</w:t>
      </w:r>
    </w:p>
    <w:p>
      <w:pPr>
        <w:pStyle w:val="17"/>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残疾人福利性单位声明函</w:t>
      </w:r>
    </w:p>
    <w:p>
      <w:pPr>
        <w:pStyle w:val="17"/>
        <w:spacing w:line="360" w:lineRule="auto"/>
        <w:ind w:firstLine="361" w:firstLineChars="150"/>
        <w:rPr>
          <w:rFonts w:hint="eastAsia" w:ascii="宋体" w:hAnsi="宋体" w:eastAsia="宋体" w:cs="宋体"/>
          <w:b/>
          <w:bCs/>
          <w:color w:val="auto"/>
          <w:sz w:val="24"/>
          <w:highlight w:val="none"/>
          <w:em w:val="dot"/>
        </w:rPr>
      </w:pPr>
      <w:r>
        <w:rPr>
          <w:rFonts w:hint="eastAsia" w:ascii="宋体" w:hAnsi="宋体" w:eastAsia="宋体" w:cs="宋体"/>
          <w:b/>
          <w:bCs/>
          <w:color w:val="auto"/>
          <w:sz w:val="24"/>
          <w:highlight w:val="none"/>
          <w:em w:val="dot"/>
        </w:rPr>
        <w:t>注：(</w:t>
      </w:r>
      <w:r>
        <w:rPr>
          <w:rFonts w:hint="eastAsia" w:ascii="宋体" w:hAnsi="宋体" w:eastAsia="宋体" w:cs="宋体"/>
          <w:b/>
          <w:bCs/>
          <w:color w:val="auto"/>
          <w:sz w:val="24"/>
          <w:highlight w:val="none"/>
          <w:em w:val="dot"/>
          <w:lang w:val="en-US" w:eastAsia="zh-CN"/>
        </w:rPr>
        <w:t>九至十一</w:t>
      </w:r>
      <w:r>
        <w:rPr>
          <w:rFonts w:hint="eastAsia" w:ascii="宋体" w:hAnsi="宋体" w:eastAsia="宋体" w:cs="宋体"/>
          <w:b/>
          <w:bCs/>
          <w:color w:val="auto"/>
          <w:sz w:val="24"/>
          <w:highlight w:val="none"/>
          <w:em w:val="dot"/>
        </w:rPr>
        <w:t>)项</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根据情况自行选择，不享受相关政策的</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无需提供。</w:t>
      </w:r>
    </w:p>
    <w:p>
      <w:pPr>
        <w:pStyle w:val="17"/>
        <w:spacing w:line="360" w:lineRule="auto"/>
        <w:ind w:firstLine="361" w:firstLineChars="150"/>
        <w:rPr>
          <w:rFonts w:hint="eastAsia" w:ascii="宋体" w:hAnsi="宋体" w:eastAsia="宋体" w:cs="宋体"/>
          <w:b/>
          <w:bCs/>
          <w:color w:val="auto"/>
          <w:sz w:val="24"/>
          <w:highlight w:val="none"/>
          <w:em w:val="dot"/>
        </w:rPr>
      </w:pPr>
    </w:p>
    <w:p>
      <w:pPr>
        <w:pStyle w:val="17"/>
        <w:spacing w:line="360" w:lineRule="auto"/>
        <w:ind w:firstLine="361" w:firstLineChars="150"/>
        <w:rPr>
          <w:rFonts w:hint="eastAsia" w:ascii="宋体" w:hAnsi="宋体" w:eastAsia="宋体" w:cs="宋体"/>
          <w:b/>
          <w:bCs/>
          <w:color w:val="auto"/>
          <w:sz w:val="24"/>
          <w:highlight w:val="none"/>
          <w:em w:val="dot"/>
        </w:rPr>
      </w:pPr>
    </w:p>
    <w:p>
      <w:pPr>
        <w:pStyle w:val="17"/>
        <w:spacing w:line="360" w:lineRule="auto"/>
        <w:ind w:firstLine="422" w:firstLineChars="15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第二部分技术部分</w:t>
      </w:r>
    </w:p>
    <w:p>
      <w:pPr>
        <w:pStyle w:val="17"/>
        <w:numPr>
          <w:ilvl w:val="0"/>
          <w:numId w:val="5"/>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产品简要说明一览表</w:t>
      </w:r>
    </w:p>
    <w:p>
      <w:pPr>
        <w:pStyle w:val="17"/>
        <w:numPr>
          <w:ilvl w:val="0"/>
          <w:numId w:val="5"/>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产品技术支持文件（包含但不限于产品检测报告、产品彩页或技术白皮书等）</w:t>
      </w:r>
    </w:p>
    <w:p>
      <w:pPr>
        <w:pStyle w:val="17"/>
        <w:numPr>
          <w:ilvl w:val="0"/>
          <w:numId w:val="5"/>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备品、备件清单</w:t>
      </w:r>
    </w:p>
    <w:p>
      <w:pPr>
        <w:pStyle w:val="17"/>
        <w:numPr>
          <w:ilvl w:val="0"/>
          <w:numId w:val="5"/>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规格、技术参数偏离表</w:t>
      </w:r>
    </w:p>
    <w:p>
      <w:pPr>
        <w:pStyle w:val="17"/>
        <w:numPr>
          <w:ilvl w:val="0"/>
          <w:numId w:val="5"/>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服务团队配备情况</w:t>
      </w:r>
    </w:p>
    <w:p>
      <w:pPr>
        <w:pStyle w:val="17"/>
        <w:numPr>
          <w:ilvl w:val="0"/>
          <w:numId w:val="5"/>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供货方案及培训方案</w:t>
      </w:r>
    </w:p>
    <w:p>
      <w:pPr>
        <w:pStyle w:val="17"/>
        <w:numPr>
          <w:ilvl w:val="0"/>
          <w:numId w:val="5"/>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售后服务方案</w:t>
      </w:r>
    </w:p>
    <w:p>
      <w:pPr>
        <w:pStyle w:val="17"/>
        <w:numPr>
          <w:ilvl w:val="0"/>
          <w:numId w:val="5"/>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售后服务承诺书</w:t>
      </w:r>
    </w:p>
    <w:p>
      <w:pPr>
        <w:pStyle w:val="17"/>
        <w:numPr>
          <w:ilvl w:val="0"/>
          <w:numId w:val="5"/>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认为可能需要的其他文件</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7"/>
        <w:spacing w:line="360" w:lineRule="auto"/>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第一部分商务部分</w:t>
      </w:r>
    </w:p>
    <w:p>
      <w:pPr>
        <w:pStyle w:val="17"/>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一、磋商响应声明</w:t>
      </w:r>
    </w:p>
    <w:p>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磋商响应声明</w:t>
      </w:r>
    </w:p>
    <w:p>
      <w:pPr>
        <w:pStyle w:val="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我方已仔细研究了___________(项目名称)的竞争性磋商文件(项目编号：____________)的全部内容，知悉参加竞争性磋商的风险，我方承诺接受磋商文件的全部条款且无任何异议。</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一、我方同意在磋商响应有效期内遵守本响应文件中的承诺，且在此期限期满之前均具有法律约束力。</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二、我方提交电子响应文件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并保证响应文件提供的数据和材料是真实、准确的。否则，愿承担《政府采购法》第七十七条规定的法律责任。</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三、我方愿意向贵方提供任何与本项采购有关的数据、情况和技术资料。若贵方需要，我方愿意提供我方作出的一切承诺的证明材料。</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四、我方愿意按磋商文件规定和磋商小组要求重新提交响应文件和最后报价。</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五、我方承诺遵守《政府采购法》的有关规定，保证在获得成交资格后，按照磋商文件确定的事项签订政府采购合同，履行双方所签订的合同，并承担合同规定的责任和义务。</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附件1－1：法定代表人身份证明复印件(法定代表人参加磋商)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附件1－2：法定代表人授权书(授权代表参加磋商)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附件1－3：授权委托书(自然人提供)</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附件1－1法定代表人身份证明复印件(法定代表人参加磋商)</w:t>
      </w:r>
    </w:p>
    <w:p>
      <w:pPr>
        <w:pStyle w:val="17"/>
        <w:spacing w:line="360" w:lineRule="auto"/>
        <w:ind w:firstLine="480" w:firstLineChars="200"/>
        <w:rPr>
          <w:rFonts w:hint="eastAsia" w:ascii="宋体" w:hAnsi="宋体" w:eastAsia="宋体" w:cs="宋体"/>
          <w:color w:val="auto"/>
          <w:sz w:val="24"/>
          <w:szCs w:val="24"/>
          <w:highlight w:val="none"/>
        </w:rPr>
      </w:pPr>
    </w:p>
    <w:tbl>
      <w:tblPr>
        <w:tblStyle w:val="30"/>
        <w:tblW w:w="49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jc w:val="center"/>
        </w:trPr>
        <w:tc>
          <w:tcPr>
            <w:tcW w:w="4983" w:type="dxa"/>
            <w:tcBorders>
              <w:top w:val="single" w:color="auto" w:sz="4" w:space="0"/>
              <w:bottom w:val="single" w:color="auto" w:sz="4" w:space="0"/>
            </w:tcBorders>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tc>
      </w:tr>
    </w:tbl>
    <w:p>
      <w:pPr>
        <w:pStyle w:val="17"/>
        <w:spacing w:line="360" w:lineRule="auto"/>
        <w:ind w:firstLine="480" w:firstLineChars="200"/>
        <w:rPr>
          <w:rFonts w:hint="eastAsia" w:ascii="宋体" w:hAnsi="宋体" w:eastAsia="宋体" w:cs="宋体"/>
          <w:color w:val="auto"/>
          <w:sz w:val="24"/>
          <w:szCs w:val="24"/>
          <w:highlight w:val="none"/>
        </w:rPr>
      </w:pPr>
    </w:p>
    <w:p>
      <w:pPr>
        <w:pStyle w:val="17"/>
        <w:pageBreakBefore/>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w:t>
      </w:r>
    </w:p>
    <w:p>
      <w:pPr>
        <w:pStyle w:val="17"/>
        <w:spacing w:line="360" w:lineRule="auto"/>
        <w:ind w:firstLine="480" w:firstLineChars="200"/>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法定代表人授权委托书(授权代表参加磋商)</w:t>
      </w:r>
    </w:p>
    <w:p>
      <w:pPr>
        <w:pStyle w:val="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名称)的法定代表人(姓名、职务)授权____________(磋商代表姓名、职务)为本公司的磋商代表，就____________(项目名称)磋商及相关事务代表本公司处理与之有关的一切事务。</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委托期限：____________________。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本授权书于______年____月____日签字生效，特此声明。</w:t>
      </w:r>
    </w:p>
    <w:p>
      <w:pPr>
        <w:pStyle w:val="17"/>
        <w:spacing w:line="360" w:lineRule="auto"/>
        <w:ind w:firstLine="480" w:firstLineChars="200"/>
        <w:rPr>
          <w:rFonts w:hint="eastAsia" w:ascii="宋体" w:hAnsi="宋体" w:eastAsia="宋体" w:cs="宋体"/>
          <w:color w:val="auto"/>
          <w:sz w:val="24"/>
          <w:szCs w:val="24"/>
          <w:highlight w:val="none"/>
        </w:rPr>
      </w:pPr>
    </w:p>
    <w:tbl>
      <w:tblPr>
        <w:tblStyle w:val="30"/>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8" w:hRule="atLeast"/>
          <w:jc w:val="center"/>
        </w:trPr>
        <w:tc>
          <w:tcPr>
            <w:tcW w:w="5296" w:type="dxa"/>
            <w:tcBorders>
              <w:top w:val="single" w:color="auto" w:sz="4" w:space="0"/>
              <w:bottom w:val="single" w:color="auto" w:sz="4" w:space="0"/>
            </w:tcBorders>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tc>
      </w:tr>
    </w:tbl>
    <w:p>
      <w:pPr>
        <w:pStyle w:val="17"/>
        <w:spacing w:line="360" w:lineRule="auto"/>
        <w:ind w:firstLine="480" w:firstLineChars="200"/>
        <w:rPr>
          <w:rFonts w:hint="eastAsia" w:ascii="宋体" w:hAnsi="宋体" w:eastAsia="宋体" w:cs="宋体"/>
          <w:color w:val="auto"/>
          <w:sz w:val="24"/>
          <w:szCs w:val="24"/>
          <w:highlight w:val="none"/>
        </w:rPr>
      </w:pPr>
    </w:p>
    <w:tbl>
      <w:tblPr>
        <w:tblStyle w:val="30"/>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授权代表身份证明复印件</w:t>
            </w:r>
          </w:p>
        </w:tc>
      </w:tr>
    </w:tbl>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授权代表(签字或签章)：____________</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______年____月____日</w:t>
      </w:r>
    </w:p>
    <w:p>
      <w:pPr>
        <w:pStyle w:val="17"/>
        <w:spacing w:line="360" w:lineRule="auto"/>
        <w:ind w:firstLine="480" w:firstLineChars="200"/>
        <w:rPr>
          <w:rFonts w:hint="eastAsia" w:ascii="宋体" w:hAnsi="宋体" w:eastAsia="宋体" w:cs="宋体"/>
          <w:color w:val="auto"/>
          <w:sz w:val="24"/>
          <w:szCs w:val="24"/>
          <w:highlight w:val="none"/>
        </w:rPr>
      </w:pPr>
    </w:p>
    <w:p>
      <w:pPr>
        <w:pStyle w:val="17"/>
        <w:pageBreakBefore/>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w:t>
      </w: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授权委托书(格式二)(适用于自然人磋商)</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我________(姓名)系自然人，现授权委托________(姓名)以本人名义参加____________(项目名称)的磋商活动，并代表本人全权办理针对上述项目的磋商、签约等具体事务和签署相关文件。</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本人对被授权人的签字事项负全部责任。</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授权委托代理期限：从年月日起至年月日止。</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自然人签字并在签名处加盖食指指印：年月日</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7"/>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二、报价一览表</w:t>
      </w:r>
    </w:p>
    <w:p>
      <w:pPr>
        <w:pStyle w:val="17"/>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报价一览表</w:t>
      </w:r>
    </w:p>
    <w:p>
      <w:pPr>
        <w:pStyle w:val="17"/>
        <w:spacing w:line="360" w:lineRule="auto"/>
        <w:ind w:firstLine="482" w:firstLineChars="200"/>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项目名称</w:t>
      </w:r>
      <w:r>
        <w:rPr>
          <w:rFonts w:hint="eastAsia" w:ascii="宋体" w:hAnsi="宋体" w:eastAsia="宋体" w:cs="宋体"/>
          <w:b/>
          <w:bCs/>
          <w:color w:val="auto"/>
          <w:sz w:val="24"/>
          <w:szCs w:val="24"/>
          <w:highlight w:val="none"/>
          <w:lang w:eastAsia="zh-CN"/>
        </w:rPr>
        <w:t>：</w:t>
      </w:r>
    </w:p>
    <w:p>
      <w:pPr>
        <w:pStyle w:val="17"/>
        <w:spacing w:line="360" w:lineRule="auto"/>
        <w:ind w:firstLine="482" w:firstLineChars="200"/>
        <w:jc w:val="both"/>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项目编号：</w:t>
      </w:r>
      <w:r>
        <w:rPr>
          <w:rFonts w:hint="eastAsia" w:ascii="宋体" w:hAnsi="宋体" w:eastAsia="宋体" w:cs="宋体"/>
          <w:b/>
          <w:color w:val="auto"/>
          <w:highlight w:val="none"/>
        </w:rPr>
        <w:t xml:space="preserve">                                                    </w:t>
      </w:r>
    </w:p>
    <w:tbl>
      <w:tblPr>
        <w:tblStyle w:val="30"/>
        <w:tblW w:w="84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2230"/>
        <w:gridCol w:w="4253"/>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6483"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30"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4253"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highlight w:val="none"/>
              </w:rPr>
            </w:pP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总报价（首次报价）</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           元</w:t>
            </w:r>
          </w:p>
          <w:p>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           元</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交货期</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响应有效期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tc>
        <w:tc>
          <w:tcPr>
            <w:tcW w:w="4253"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eastAsia="宋体" w:cs="宋体"/>
                <w:color w:val="auto"/>
                <w:szCs w:val="21"/>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eastAsia="宋体" w:cs="宋体"/>
                <w:color w:val="auto"/>
                <w:szCs w:val="21"/>
                <w:highlight w:val="none"/>
              </w:rPr>
            </w:pPr>
          </w:p>
        </w:tc>
      </w:tr>
    </w:tbl>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 1、投标价格应包括供应商履行本项目合同（如果中标）所必须的所有成本费用和中标人应承担的一切税费，包括但不仅限于包装、装车、卸车、运输、保险、利润、税金等一切费用。未列和没有填写的项目费用，采购人将视为已包括在投标价格中。</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、项目须附详细的报价明细表，报价明细表中金额和报价一览表金额一致。</w:t>
      </w:r>
    </w:p>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p>
    <w:p>
      <w:pPr>
        <w:pStyle w:val="17"/>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名称(公章)：____________</w:t>
      </w:r>
    </w:p>
    <w:p>
      <w:pPr>
        <w:pStyle w:val="17"/>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法定代表人或其授权代表(签字或盖章)：____________</w:t>
      </w:r>
    </w:p>
    <w:p>
      <w:pPr>
        <w:pStyle w:val="17"/>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日期：______年____月____日</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adjustRightInd w:val="0"/>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报价明细表 </w:t>
      </w:r>
    </w:p>
    <w:p>
      <w:pPr>
        <w:spacing w:line="400" w:lineRule="exact"/>
        <w:jc w:val="left"/>
        <w:rPr>
          <w:rFonts w:hint="eastAsia" w:ascii="宋体" w:hAnsi="宋体" w:eastAsia="宋体" w:cs="宋体"/>
          <w:b/>
          <w:color w:val="auto"/>
          <w:highlight w:val="none"/>
        </w:rPr>
      </w:pPr>
      <w:r>
        <w:rPr>
          <w:rFonts w:hint="eastAsia" w:ascii="宋体" w:hAnsi="宋体" w:eastAsia="宋体" w:cs="宋体"/>
          <w:b/>
          <w:color w:val="auto"/>
          <w:highlight w:val="none"/>
        </w:rPr>
        <w:t xml:space="preserve">项目名称：                                                                                    项目编号：                                                         </w:t>
      </w:r>
    </w:p>
    <w:tbl>
      <w:tblPr>
        <w:tblStyle w:val="30"/>
        <w:tblW w:w="847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1108"/>
        <w:gridCol w:w="992"/>
        <w:gridCol w:w="1560"/>
        <w:gridCol w:w="1417"/>
        <w:gridCol w:w="900"/>
        <w:gridCol w:w="735"/>
        <w:gridCol w:w="10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3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59"/>
              <w:snapToGrid w:val="0"/>
              <w:spacing w:before="50" w:after="50" w:line="240" w:lineRule="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品牌</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73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9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3" w:type="dxa"/>
            <w:gridSpan w:val="2"/>
            <w:vMerge w:val="restart"/>
            <w:tcBorders>
              <w:top w:val="single" w:color="auto" w:sz="4" w:space="0"/>
              <w:left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6632"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3" w:type="dxa"/>
            <w:gridSpan w:val="2"/>
            <w:vMerge w:val="continue"/>
            <w:tcBorders>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宋体" w:hAnsi="宋体" w:eastAsia="宋体" w:cs="宋体"/>
                <w:color w:val="auto"/>
                <w:szCs w:val="21"/>
                <w:highlight w:val="none"/>
              </w:rPr>
            </w:pPr>
          </w:p>
        </w:tc>
        <w:tc>
          <w:tcPr>
            <w:tcW w:w="6632"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r>
    </w:tbl>
    <w:p>
      <w:pPr>
        <w:spacing w:line="360" w:lineRule="exact"/>
        <w:ind w:firstLine="210" w:firstLineChars="100"/>
        <w:jc w:val="left"/>
        <w:rPr>
          <w:rFonts w:hint="eastAsia" w:ascii="宋体" w:hAnsi="宋体" w:eastAsia="宋体" w:cs="宋体"/>
          <w:color w:val="auto"/>
          <w:szCs w:val="21"/>
          <w:highlight w:val="none"/>
        </w:rPr>
      </w:pPr>
    </w:p>
    <w:p>
      <w:pPr>
        <w:spacing w:line="360" w:lineRule="exact"/>
        <w:ind w:left="1155" w:leftChars="400" w:hanging="315" w:hanging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说明：供应商如需对各费用项目的构成进行分解说明，表格自行设计。</w:t>
      </w:r>
    </w:p>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供应商（盖单位章）：</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szCs w:val="21"/>
          <w:highlight w:val="none"/>
          <w:u w:val="single"/>
        </w:rPr>
        <w:t xml:space="preserve">       </w:t>
      </w:r>
    </w:p>
    <w:p>
      <w:pPr>
        <w:adjustRightInd w:val="0"/>
        <w:snapToGrid w:val="0"/>
        <w:rPr>
          <w:rFonts w:hint="eastAsia" w:ascii="宋体" w:hAnsi="宋体" w:eastAsia="宋体" w:cs="宋体"/>
          <w:b/>
          <w:color w:val="auto"/>
          <w:sz w:val="24"/>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b/>
          <w:color w:val="auto"/>
          <w:sz w:val="24"/>
          <w:highlight w:val="none"/>
        </w:rPr>
        <w:t xml:space="preserve"> </w:t>
      </w:r>
    </w:p>
    <w:p>
      <w:pPr>
        <w:adjustRightInd w:val="0"/>
        <w:snapToGrid w:val="0"/>
        <w:rPr>
          <w:rFonts w:hint="eastAsia" w:ascii="宋体" w:hAnsi="宋体" w:eastAsia="宋体" w:cs="宋体"/>
          <w:b/>
          <w:color w:val="auto"/>
          <w:sz w:val="28"/>
          <w:szCs w:val="28"/>
          <w:highlight w:val="none"/>
        </w:rPr>
      </w:pPr>
    </w:p>
    <w:p>
      <w:pPr>
        <w:adjustRightInd w:val="0"/>
        <w:snapToGrid w:val="0"/>
        <w:spacing w:line="360" w:lineRule="auto"/>
        <w:jc w:val="center"/>
        <w:rPr>
          <w:rFonts w:hint="eastAsia" w:ascii="宋体" w:hAnsi="宋体" w:eastAsia="宋体" w:cs="宋体"/>
          <w:b/>
          <w:color w:val="auto"/>
          <w:sz w:val="28"/>
          <w:szCs w:val="28"/>
          <w:highlight w:val="none"/>
        </w:rPr>
        <w:sectPr>
          <w:footerReference r:id="rId5" w:type="default"/>
          <w:pgSz w:w="11906" w:h="16838"/>
          <w:pgMar w:top="1440" w:right="1417" w:bottom="1440" w:left="1701" w:header="851" w:footer="992" w:gutter="0"/>
          <w:pgNumType w:fmt="decimal" w:start="1"/>
          <w:cols w:space="720" w:num="1"/>
          <w:docGrid w:linePitch="312" w:charSpace="0"/>
        </w:sectPr>
      </w:pPr>
    </w:p>
    <w:p>
      <w:pPr>
        <w:pStyle w:val="17"/>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商务条款偏离表</w:t>
      </w:r>
    </w:p>
    <w:p>
      <w:pPr>
        <w:pStyle w:val="17"/>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商务条款偏离表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p>
    <w:tbl>
      <w:tblPr>
        <w:tblStyle w:val="30"/>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63"/>
        <w:gridCol w:w="2127"/>
        <w:gridCol w:w="173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63"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磋商文件内容</w:t>
            </w:r>
          </w:p>
        </w:tc>
        <w:tc>
          <w:tcPr>
            <w:tcW w:w="2127"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响应文件的内容</w:t>
            </w:r>
          </w:p>
        </w:tc>
        <w:tc>
          <w:tcPr>
            <w:tcW w:w="1735"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偏离内容</w:t>
            </w:r>
          </w:p>
        </w:tc>
        <w:tc>
          <w:tcPr>
            <w:tcW w:w="1701" w:type="dxa"/>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7"/>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7"/>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7"/>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7"/>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7"/>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7"/>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7"/>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7"/>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7"/>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7"/>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7"/>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7"/>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7"/>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7"/>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7"/>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7"/>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7"/>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7"/>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7"/>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7"/>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7"/>
              <w:spacing w:line="360" w:lineRule="auto"/>
              <w:jc w:val="center"/>
              <w:rPr>
                <w:rFonts w:hint="eastAsia" w:ascii="宋体" w:hAnsi="宋体" w:eastAsia="宋体" w:cs="宋体"/>
                <w:color w:val="auto"/>
                <w:sz w:val="24"/>
                <w:szCs w:val="24"/>
                <w:highlight w:val="none"/>
              </w:rPr>
            </w:pPr>
          </w:p>
        </w:tc>
      </w:tr>
    </w:tbl>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说明：如有偏离，则必须注明“偏离”；未注明偏离的，视为完全响应。</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凡响应文件中商务条款（包括完成时间、付款、合同条款以及其它所有商务内容等）与磋商文件有偏差的，均应在此表中列出（内容较多的可以标注见响应文件第几页，偏差包括正偏差和负偏差）。未在本表中列明的偏差视同响应磋商文件规定。</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法定代表人或授权代表(签字或盖章)：________________________</w:t>
      </w:r>
    </w:p>
    <w:p>
      <w:pPr>
        <w:pStyle w:val="17"/>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______年____月____日</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lang w:val="en-US" w:eastAsia="zh-CN"/>
        </w:rPr>
        <w:t>四、供应商的资格证明材料</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基本情况表</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9"/>
        <w:gridCol w:w="701"/>
        <w:gridCol w:w="1829"/>
        <w:gridCol w:w="213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8" w:type="pct"/>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1484" w:type="pct"/>
            <w:gridSpan w:val="2"/>
            <w:vAlign w:val="center"/>
          </w:tcPr>
          <w:p>
            <w:pPr>
              <w:pStyle w:val="17"/>
              <w:spacing w:line="360" w:lineRule="auto"/>
              <w:jc w:val="center"/>
              <w:rPr>
                <w:rFonts w:hint="eastAsia" w:ascii="宋体" w:hAnsi="宋体" w:eastAsia="宋体" w:cs="宋体"/>
                <w:color w:val="auto"/>
                <w:sz w:val="24"/>
                <w:szCs w:val="24"/>
                <w:highlight w:val="none"/>
              </w:rPr>
            </w:pPr>
          </w:p>
        </w:tc>
        <w:tc>
          <w:tcPr>
            <w:tcW w:w="1250" w:type="pct"/>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887" w:type="pct"/>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8" w:type="pct"/>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84" w:type="pct"/>
            <w:gridSpan w:val="2"/>
            <w:vAlign w:val="center"/>
          </w:tcPr>
          <w:p>
            <w:pPr>
              <w:pStyle w:val="17"/>
              <w:spacing w:line="360" w:lineRule="auto"/>
              <w:jc w:val="center"/>
              <w:rPr>
                <w:rFonts w:hint="eastAsia" w:ascii="宋体" w:hAnsi="宋体" w:eastAsia="宋体" w:cs="宋体"/>
                <w:color w:val="auto"/>
                <w:sz w:val="24"/>
                <w:szCs w:val="24"/>
                <w:highlight w:val="none"/>
              </w:rPr>
            </w:pPr>
          </w:p>
        </w:tc>
        <w:tc>
          <w:tcPr>
            <w:tcW w:w="1250" w:type="pct"/>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887" w:type="pct"/>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8" w:type="pct"/>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1484" w:type="pct"/>
            <w:gridSpan w:val="2"/>
            <w:vAlign w:val="center"/>
          </w:tcPr>
          <w:p>
            <w:pPr>
              <w:pStyle w:val="17"/>
              <w:spacing w:line="360" w:lineRule="auto"/>
              <w:jc w:val="center"/>
              <w:rPr>
                <w:rFonts w:hint="eastAsia" w:ascii="宋体" w:hAnsi="宋体" w:eastAsia="宋体" w:cs="宋体"/>
                <w:color w:val="auto"/>
                <w:sz w:val="24"/>
                <w:szCs w:val="24"/>
                <w:highlight w:val="none"/>
              </w:rPr>
            </w:pPr>
          </w:p>
        </w:tc>
        <w:tc>
          <w:tcPr>
            <w:tcW w:w="1250" w:type="pct"/>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887" w:type="pct"/>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8" w:type="pct"/>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84" w:type="pct"/>
            <w:gridSpan w:val="2"/>
            <w:vAlign w:val="center"/>
          </w:tcPr>
          <w:p>
            <w:pPr>
              <w:pStyle w:val="17"/>
              <w:spacing w:line="360" w:lineRule="auto"/>
              <w:jc w:val="center"/>
              <w:rPr>
                <w:rFonts w:hint="eastAsia" w:ascii="宋体" w:hAnsi="宋体" w:eastAsia="宋体" w:cs="宋体"/>
                <w:color w:val="auto"/>
                <w:sz w:val="24"/>
                <w:szCs w:val="24"/>
                <w:highlight w:val="none"/>
              </w:rPr>
            </w:pPr>
          </w:p>
        </w:tc>
        <w:tc>
          <w:tcPr>
            <w:tcW w:w="1250" w:type="pct"/>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887" w:type="pct"/>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8" w:type="pct"/>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1484" w:type="pct"/>
            <w:gridSpan w:val="2"/>
            <w:vAlign w:val="center"/>
          </w:tcPr>
          <w:p>
            <w:pPr>
              <w:pStyle w:val="17"/>
              <w:spacing w:line="360" w:lineRule="auto"/>
              <w:jc w:val="center"/>
              <w:rPr>
                <w:rFonts w:hint="eastAsia" w:ascii="宋体" w:hAnsi="宋体" w:eastAsia="宋体" w:cs="宋体"/>
                <w:color w:val="auto"/>
                <w:sz w:val="24"/>
                <w:szCs w:val="24"/>
                <w:highlight w:val="none"/>
              </w:rPr>
            </w:pPr>
          </w:p>
        </w:tc>
        <w:tc>
          <w:tcPr>
            <w:tcW w:w="1250" w:type="pct"/>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887" w:type="pct"/>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89" w:type="pct"/>
            <w:gridSpan w:val="2"/>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3210" w:type="pct"/>
            <w:gridSpan w:val="3"/>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89" w:type="pct"/>
            <w:gridSpan w:val="2"/>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3210" w:type="pct"/>
            <w:gridSpan w:val="3"/>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89" w:type="pct"/>
            <w:gridSpan w:val="2"/>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1073" w:type="pct"/>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250" w:type="pct"/>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887" w:type="pct"/>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89" w:type="pct"/>
            <w:gridSpan w:val="2"/>
            <w:vAlign w:val="center"/>
          </w:tcPr>
          <w:p>
            <w:pPr>
              <w:pStyle w:val="17"/>
              <w:spacing w:line="360" w:lineRule="auto"/>
              <w:jc w:val="center"/>
              <w:rPr>
                <w:rFonts w:hint="eastAsia" w:ascii="宋体" w:hAnsi="宋体" w:eastAsia="宋体" w:cs="宋体"/>
                <w:color w:val="auto"/>
                <w:sz w:val="24"/>
                <w:szCs w:val="24"/>
                <w:highlight w:val="none"/>
              </w:rPr>
            </w:pPr>
          </w:p>
        </w:tc>
        <w:tc>
          <w:tcPr>
            <w:tcW w:w="1073" w:type="pct"/>
            <w:vAlign w:val="center"/>
          </w:tcPr>
          <w:p>
            <w:pPr>
              <w:pStyle w:val="17"/>
              <w:spacing w:line="360" w:lineRule="auto"/>
              <w:jc w:val="center"/>
              <w:rPr>
                <w:rFonts w:hint="eastAsia" w:ascii="宋体" w:hAnsi="宋体" w:eastAsia="宋体" w:cs="宋体"/>
                <w:color w:val="auto"/>
                <w:sz w:val="24"/>
                <w:szCs w:val="24"/>
                <w:highlight w:val="none"/>
              </w:rPr>
            </w:pPr>
          </w:p>
        </w:tc>
        <w:tc>
          <w:tcPr>
            <w:tcW w:w="1250" w:type="pct"/>
            <w:vAlign w:val="center"/>
          </w:tcPr>
          <w:p>
            <w:pPr>
              <w:pStyle w:val="17"/>
              <w:spacing w:line="360" w:lineRule="auto"/>
              <w:jc w:val="center"/>
              <w:rPr>
                <w:rFonts w:hint="eastAsia" w:ascii="宋体" w:hAnsi="宋体" w:eastAsia="宋体" w:cs="宋体"/>
                <w:color w:val="auto"/>
                <w:sz w:val="24"/>
                <w:szCs w:val="24"/>
                <w:highlight w:val="none"/>
              </w:rPr>
            </w:pPr>
          </w:p>
        </w:tc>
        <w:tc>
          <w:tcPr>
            <w:tcW w:w="887" w:type="pct"/>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89" w:type="pct"/>
            <w:gridSpan w:val="2"/>
            <w:vAlign w:val="center"/>
          </w:tcPr>
          <w:p>
            <w:pPr>
              <w:pStyle w:val="17"/>
              <w:spacing w:line="360" w:lineRule="auto"/>
              <w:jc w:val="center"/>
              <w:rPr>
                <w:rFonts w:hint="eastAsia" w:ascii="宋体" w:hAnsi="宋体" w:eastAsia="宋体" w:cs="宋体"/>
                <w:color w:val="auto"/>
                <w:sz w:val="24"/>
                <w:szCs w:val="24"/>
                <w:highlight w:val="none"/>
              </w:rPr>
            </w:pPr>
          </w:p>
        </w:tc>
        <w:tc>
          <w:tcPr>
            <w:tcW w:w="1073" w:type="pct"/>
            <w:vAlign w:val="center"/>
          </w:tcPr>
          <w:p>
            <w:pPr>
              <w:pStyle w:val="17"/>
              <w:spacing w:line="360" w:lineRule="auto"/>
              <w:jc w:val="center"/>
              <w:rPr>
                <w:rFonts w:hint="eastAsia" w:ascii="宋体" w:hAnsi="宋体" w:eastAsia="宋体" w:cs="宋体"/>
                <w:color w:val="auto"/>
                <w:sz w:val="24"/>
                <w:szCs w:val="24"/>
                <w:highlight w:val="none"/>
              </w:rPr>
            </w:pPr>
          </w:p>
        </w:tc>
        <w:tc>
          <w:tcPr>
            <w:tcW w:w="1250" w:type="pct"/>
            <w:vAlign w:val="center"/>
          </w:tcPr>
          <w:p>
            <w:pPr>
              <w:pStyle w:val="17"/>
              <w:spacing w:line="360" w:lineRule="auto"/>
              <w:jc w:val="center"/>
              <w:rPr>
                <w:rFonts w:hint="eastAsia" w:ascii="宋体" w:hAnsi="宋体" w:eastAsia="宋体" w:cs="宋体"/>
                <w:color w:val="auto"/>
                <w:sz w:val="24"/>
                <w:szCs w:val="24"/>
                <w:highlight w:val="none"/>
              </w:rPr>
            </w:pPr>
          </w:p>
        </w:tc>
        <w:tc>
          <w:tcPr>
            <w:tcW w:w="887" w:type="pct"/>
            <w:vAlign w:val="center"/>
          </w:tcPr>
          <w:p>
            <w:pPr>
              <w:pStyle w:val="17"/>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8" w:type="pct"/>
            <w:vAlign w:val="center"/>
          </w:tcPr>
          <w:p>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621" w:type="pct"/>
            <w:gridSpan w:val="4"/>
            <w:vAlign w:val="center"/>
          </w:tcPr>
          <w:p>
            <w:pPr>
              <w:pStyle w:val="17"/>
              <w:spacing w:line="360" w:lineRule="auto"/>
              <w:jc w:val="center"/>
              <w:rPr>
                <w:rFonts w:hint="eastAsia" w:ascii="宋体" w:hAnsi="宋体" w:eastAsia="宋体" w:cs="宋体"/>
                <w:color w:val="auto"/>
                <w:sz w:val="24"/>
                <w:szCs w:val="24"/>
                <w:highlight w:val="none"/>
              </w:rPr>
            </w:pPr>
          </w:p>
        </w:tc>
      </w:tr>
    </w:tbl>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lang w:eastAsia="zh-CN"/>
        </w:rPr>
        <w:t>供应商</w:t>
      </w:r>
      <w:r>
        <w:rPr>
          <w:rFonts w:hint="eastAsia" w:ascii="宋体" w:hAnsi="宋体" w:eastAsia="宋体" w:cs="宋体"/>
          <w:b/>
          <w:color w:val="auto"/>
          <w:sz w:val="28"/>
          <w:highlight w:val="none"/>
        </w:rPr>
        <w:t>近三年（20</w:t>
      </w:r>
      <w:r>
        <w:rPr>
          <w:rFonts w:hint="eastAsia" w:ascii="宋体" w:hAnsi="宋体" w:eastAsia="宋体" w:cs="宋体"/>
          <w:b/>
          <w:color w:val="auto"/>
          <w:sz w:val="28"/>
          <w:highlight w:val="none"/>
          <w:lang w:val="en-US" w:eastAsia="zh-CN"/>
        </w:rPr>
        <w:t>20</w:t>
      </w:r>
      <w:r>
        <w:rPr>
          <w:rFonts w:hint="eastAsia" w:ascii="宋体" w:hAnsi="宋体" w:eastAsia="宋体" w:cs="宋体"/>
          <w:b/>
          <w:color w:val="auto"/>
          <w:sz w:val="28"/>
          <w:highlight w:val="none"/>
        </w:rPr>
        <w:t>年</w:t>
      </w:r>
      <w:r>
        <w:rPr>
          <w:rFonts w:hint="eastAsia" w:ascii="宋体" w:hAnsi="宋体" w:eastAsia="宋体" w:cs="宋体"/>
          <w:b/>
          <w:color w:val="auto"/>
          <w:sz w:val="28"/>
          <w:highlight w:val="none"/>
          <w:lang w:val="en-US" w:eastAsia="zh-CN"/>
        </w:rPr>
        <w:t>1</w:t>
      </w:r>
      <w:r>
        <w:rPr>
          <w:rFonts w:hint="eastAsia" w:ascii="宋体" w:hAnsi="宋体" w:cs="宋体"/>
          <w:b/>
          <w:color w:val="auto"/>
          <w:sz w:val="28"/>
          <w:highlight w:val="none"/>
          <w:lang w:val="en-US" w:eastAsia="zh-CN"/>
        </w:rPr>
        <w:t>1</w:t>
      </w:r>
      <w:r>
        <w:rPr>
          <w:rFonts w:hint="eastAsia" w:ascii="宋体" w:hAnsi="宋体" w:eastAsia="宋体" w:cs="宋体"/>
          <w:b/>
          <w:color w:val="auto"/>
          <w:sz w:val="28"/>
          <w:highlight w:val="none"/>
        </w:rPr>
        <w:t>月-至今）类似项目业绩</w:t>
      </w:r>
    </w:p>
    <w:tbl>
      <w:tblPr>
        <w:tblStyle w:val="3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采购人地址</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943" w:type="dxa"/>
            <w:vAlign w:val="center"/>
          </w:tcPr>
          <w:p>
            <w:pPr>
              <w:tabs>
                <w:tab w:val="left" w:pos="1660"/>
                <w:tab w:val="left" w:pos="9453"/>
              </w:tabs>
              <w:spacing w:line="360" w:lineRule="auto"/>
              <w:ind w:left="5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采购人联系人及电话</w:t>
            </w:r>
          </w:p>
        </w:tc>
        <w:tc>
          <w:tcPr>
            <w:tcW w:w="6343" w:type="dxa"/>
            <w:vAlign w:val="center"/>
          </w:tcPr>
          <w:p>
            <w:pPr>
              <w:tabs>
                <w:tab w:val="left" w:pos="1660"/>
                <w:tab w:val="left" w:pos="9453"/>
              </w:tabs>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完成时间</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bl>
    <w:p>
      <w:pPr>
        <w:pStyle w:val="17"/>
        <w:spacing w:line="360" w:lineRule="auto"/>
        <w:ind w:left="72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备注：1、类似项目业绩为：20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月-至今类似业绩，以合同签订时间为准。</w:t>
      </w:r>
    </w:p>
    <w:p>
      <w:pPr>
        <w:pStyle w:val="17"/>
        <w:spacing w:line="360" w:lineRule="auto"/>
        <w:ind w:left="735" w:left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2、本表后附合同或中标通知书等其他有效证明材料复印件。每张表格只填写一个项目，并标明序号。</w:t>
      </w:r>
    </w:p>
    <w:p>
      <w:pPr>
        <w:pStyle w:val="17"/>
        <w:ind w:firstLine="422" w:firstLineChars="200"/>
        <w:rPr>
          <w:rFonts w:hint="eastAsia" w:ascii="宋体" w:hAnsi="宋体" w:eastAsia="宋体" w:cs="宋体"/>
          <w:b/>
          <w:bCs/>
          <w:color w:val="auto"/>
          <w:szCs w:val="22"/>
          <w:highlight w:val="none"/>
        </w:rPr>
      </w:pPr>
    </w:p>
    <w:p>
      <w:pPr>
        <w:pStyle w:val="17"/>
        <w:ind w:firstLine="422" w:firstLineChars="200"/>
        <w:rPr>
          <w:rFonts w:hint="eastAsia" w:ascii="宋体" w:hAnsi="宋体" w:eastAsia="宋体" w:cs="宋体"/>
          <w:b/>
          <w:bCs/>
          <w:color w:val="auto"/>
          <w:szCs w:val="22"/>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(公章)：____________________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－2－1有效的企业营业执照（复印件需加盖本单位公章）</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有效的《医疗器械经营许可证》或《医疗器械生产许可证》</w:t>
      </w:r>
      <w:r>
        <w:rPr>
          <w:rFonts w:hint="eastAsia" w:ascii="宋体" w:hAnsi="宋体" w:eastAsia="宋体" w:cs="宋体"/>
          <w:color w:val="auto"/>
          <w:sz w:val="24"/>
          <w:szCs w:val="24"/>
          <w:highlight w:val="none"/>
        </w:rPr>
        <w:t>（需加盖本单位公章）；</w:t>
      </w:r>
    </w:p>
    <w:p>
      <w:pPr>
        <w:pStyle w:val="17"/>
        <w:spacing w:line="360" w:lineRule="auto"/>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－2－3</w:t>
      </w:r>
    </w:p>
    <w:p>
      <w:pPr>
        <w:pStyle w:val="17"/>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参加政府采购活动前三年内在经营活动中</w:t>
      </w:r>
    </w:p>
    <w:p>
      <w:pPr>
        <w:pStyle w:val="17"/>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没有重大违法记录的书面声明</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我单位在参加采购活动前三年内在经营活动中没有《政府采购法》第二十二条第一款第(五)项所称重大违法记录，包括：</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－2－4</w:t>
      </w: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无不良信用记录承诺函(</w:t>
      </w:r>
      <w:r>
        <w:rPr>
          <w:rFonts w:hint="eastAsia" w:ascii="宋体" w:hAnsi="宋体" w:eastAsia="宋体" w:cs="宋体"/>
          <w:b/>
          <w:color w:val="auto"/>
          <w:sz w:val="28"/>
          <w:highlight w:val="none"/>
          <w:lang w:eastAsia="zh-CN"/>
        </w:rPr>
        <w:t>供应商</w:t>
      </w:r>
      <w:r>
        <w:rPr>
          <w:rFonts w:hint="eastAsia" w:ascii="宋体" w:hAnsi="宋体" w:eastAsia="宋体" w:cs="宋体"/>
          <w:b/>
          <w:color w:val="auto"/>
          <w:sz w:val="28"/>
          <w:highlight w:val="none"/>
        </w:rPr>
        <w:t>自行查询适用)</w:t>
      </w:r>
    </w:p>
    <w:p>
      <w:pPr>
        <w:pStyle w:val="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致______(采购人或采购代理机构)：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本单位郑重承诺，我单位无以下不良信用记录情形：</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1.被人民法院列入失信被执行人；</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2.被税务部门列入</w:t>
      </w:r>
      <w:r>
        <w:rPr>
          <w:rFonts w:hint="eastAsia" w:hAnsi="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3.被政府采购监管部门列入政府采购严重违法失信行为记录名单；</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4.不符合《政府采购法》第二十二条规定的条件。</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名称(盖公章)：____________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附件4-2-5 一年内未发生安全生产故事、未被行政主管部门行政处罚或其他不良记录。</w:t>
      </w:r>
      <w:r>
        <w:rPr>
          <w:rFonts w:hint="eastAsia" w:hAnsi="宋体" w:cs="宋体"/>
          <w:b/>
          <w:bCs/>
          <w:color w:val="auto"/>
          <w:sz w:val="24"/>
          <w:szCs w:val="24"/>
          <w:highlight w:val="none"/>
          <w:lang w:val="en-US" w:eastAsia="zh-CN"/>
        </w:rPr>
        <w:t>（提供承诺函，格式自拟）</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7"/>
        <w:numPr>
          <w:ilvl w:val="0"/>
          <w:numId w:val="0"/>
        </w:numPr>
        <w:spacing w:line="360" w:lineRule="auto"/>
        <w:ind w:leftChars="200"/>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经审计财务会计报告（上一年度），或基本开户银行出具的资信证明；近半年内任一月依法缴纳税收证明；近半年内任一月社保缴纳证明。</w:t>
      </w:r>
    </w:p>
    <w:p>
      <w:pPr>
        <w:pStyle w:val="17"/>
        <w:spacing w:line="360" w:lineRule="auto"/>
        <w:ind w:firstLine="482" w:firstLineChars="200"/>
        <w:rPr>
          <w:rFonts w:hint="eastAsia" w:ascii="宋体" w:hAnsi="宋体" w:eastAsia="宋体" w:cs="宋体"/>
          <w:b/>
          <w:color w:val="auto"/>
          <w:sz w:val="24"/>
          <w:szCs w:val="24"/>
          <w:highlight w:val="none"/>
          <w:lang w:eastAsia="zh-CN"/>
        </w:rPr>
      </w:pPr>
    </w:p>
    <w:p>
      <w:pPr>
        <w:pStyle w:val="17"/>
        <w:spacing w:line="360" w:lineRule="auto"/>
        <w:ind w:firstLine="482" w:firstLineChars="200"/>
        <w:rPr>
          <w:rFonts w:hint="eastAsia" w:ascii="宋体" w:hAnsi="宋体" w:eastAsia="宋体" w:cs="宋体"/>
          <w:b/>
          <w:color w:val="auto"/>
          <w:sz w:val="24"/>
          <w:szCs w:val="24"/>
          <w:highlight w:val="none"/>
          <w:lang w:eastAsia="zh-CN"/>
        </w:rPr>
      </w:pPr>
    </w:p>
    <w:p>
      <w:pPr>
        <w:pStyle w:val="17"/>
        <w:spacing w:line="360" w:lineRule="auto"/>
        <w:ind w:firstLine="482" w:firstLineChars="200"/>
        <w:rPr>
          <w:rFonts w:hint="eastAsia" w:ascii="宋体" w:hAnsi="宋体" w:eastAsia="宋体" w:cs="宋体"/>
          <w:b/>
          <w:color w:val="auto"/>
          <w:sz w:val="24"/>
          <w:szCs w:val="24"/>
          <w:highlight w:val="none"/>
          <w:lang w:val="en-US" w:eastAsia="zh-CN"/>
        </w:rPr>
      </w:pPr>
    </w:p>
    <w:p>
      <w:pPr>
        <w:pStyle w:val="17"/>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认为需提供的其他资料</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须具有良好的信誉，未在“信用中国”网站（www.creditchina.gov.cn）、中国政府采购网（www.ccgp.gov.cn）被列入失信被执行人、</w:t>
      </w:r>
      <w:r>
        <w:rPr>
          <w:rFonts w:hint="eastAsia" w:hAnsi="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、政府采购严重违法失信行为记录名单的（尚在处罚期内的），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近三年无因投标申请人违约或不恰当履约引起的合同终止、纠纷、争议、仲裁和公诉记录，查询时间必须在公告期内；</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其它(示例略)</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p>
    <w:p>
      <w:pPr>
        <w:spacing w:line="440" w:lineRule="exact"/>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企业类型声明函</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(示例略)</w:t>
      </w: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widowControl/>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、中小企业声明函</w:t>
      </w:r>
    </w:p>
    <w:p>
      <w:pPr>
        <w:widowControl/>
        <w:spacing w:before="248" w:line="370" w:lineRule="exact"/>
        <w:jc w:val="center"/>
        <w:rPr>
          <w:rFonts w:hint="eastAsia" w:ascii="宋体" w:hAnsi="宋体" w:eastAsia="宋体" w:cs="宋体"/>
          <w:b/>
          <w:bCs/>
          <w:snapToGrid w:val="0"/>
          <w:color w:val="auto"/>
          <w:kern w:val="0"/>
          <w:sz w:val="24"/>
          <w:highlight w:val="none"/>
        </w:rPr>
      </w:pPr>
      <w:bookmarkStart w:id="52" w:name="_Hlk98154178"/>
      <w:r>
        <w:rPr>
          <w:rFonts w:hint="eastAsia" w:ascii="宋体" w:hAnsi="宋体" w:eastAsia="宋体" w:cs="宋体"/>
          <w:b/>
          <w:bCs/>
          <w:snapToGrid w:val="0"/>
          <w:color w:val="auto"/>
          <w:kern w:val="0"/>
          <w:sz w:val="24"/>
          <w:highlight w:val="none"/>
        </w:rPr>
        <w:t>中小企业声明函</w:t>
      </w:r>
      <w:bookmarkEnd w:id="52"/>
      <w:r>
        <w:rPr>
          <w:rFonts w:hint="eastAsia" w:ascii="宋体" w:hAnsi="宋体" w:eastAsia="宋体" w:cs="宋体"/>
          <w:b/>
          <w:bCs/>
          <w:snapToGrid w:val="0"/>
          <w:color w:val="auto"/>
          <w:kern w:val="0"/>
          <w:sz w:val="24"/>
          <w:highlight w:val="none"/>
        </w:rPr>
        <w:t>（货物）</w:t>
      </w:r>
    </w:p>
    <w:p>
      <w:pPr>
        <w:widowControl/>
        <w:spacing w:before="707" w:line="329" w:lineRule="exact"/>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本公司（联合体）郑重声明，根据《政府采购促进中小企业发展管理办法》（财库﹝2020﹞46 号）的规定，本公司（联合体）参加</w:t>
      </w:r>
      <w:r>
        <w:rPr>
          <w:rFonts w:hint="eastAsia" w:ascii="宋体" w:hAnsi="宋体" w:eastAsia="宋体" w:cs="宋体"/>
          <w:snapToGrid w:val="0"/>
          <w:color w:val="auto"/>
          <w:kern w:val="0"/>
          <w:sz w:val="24"/>
          <w:highlight w:val="none"/>
          <w:u w:val="single"/>
        </w:rPr>
        <w:t>（单位名称）</w:t>
      </w:r>
      <w:r>
        <w:rPr>
          <w:rFonts w:hint="eastAsia" w:ascii="宋体" w:hAnsi="宋体" w:eastAsia="宋体" w:cs="宋体"/>
          <w:snapToGrid w:val="0"/>
          <w:color w:val="auto"/>
          <w:kern w:val="0"/>
          <w:sz w:val="24"/>
          <w:highlight w:val="none"/>
        </w:rPr>
        <w:t>的</w:t>
      </w:r>
      <w:r>
        <w:rPr>
          <w:rFonts w:hint="eastAsia" w:ascii="宋体" w:hAnsi="宋体" w:eastAsia="宋体" w:cs="宋体"/>
          <w:snapToGrid w:val="0"/>
          <w:color w:val="auto"/>
          <w:kern w:val="0"/>
          <w:sz w:val="24"/>
          <w:highlight w:val="none"/>
          <w:u w:val="single"/>
        </w:rPr>
        <w:t>（项目名称）</w:t>
      </w:r>
      <w:r>
        <w:rPr>
          <w:rFonts w:hint="eastAsia" w:ascii="宋体" w:hAnsi="宋体" w:eastAsia="宋体" w:cs="宋体"/>
          <w:snapToGrid w:val="0"/>
          <w:color w:val="auto"/>
          <w:kern w:val="0"/>
          <w:sz w:val="24"/>
          <w:highlight w:val="none"/>
        </w:rPr>
        <w:t>采购活动，提供的货物全部由符合政策要求的中小企业制造。相关企业（含联合体中的中小企业、签订分包意向协议的中小企业）的具体情况如下：</w:t>
      </w:r>
    </w:p>
    <w:p>
      <w:pPr>
        <w:widowControl/>
        <w:spacing w:before="191" w:line="330" w:lineRule="exact"/>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1. </w:t>
      </w:r>
      <w:r>
        <w:rPr>
          <w:rFonts w:hint="eastAsia" w:ascii="宋体" w:hAnsi="宋体" w:eastAsia="宋体" w:cs="宋体"/>
          <w:snapToGrid w:val="0"/>
          <w:color w:val="auto"/>
          <w:kern w:val="0"/>
          <w:sz w:val="24"/>
          <w:highlight w:val="none"/>
          <w:u w:val="single"/>
        </w:rPr>
        <w:t>（标的名称</w:t>
      </w:r>
      <w:r>
        <w:rPr>
          <w:rFonts w:hint="eastAsia" w:ascii="宋体" w:hAnsi="宋体" w:eastAsia="宋体" w:cs="宋体"/>
          <w:snapToGrid w:val="0"/>
          <w:color w:val="auto"/>
          <w:kern w:val="0"/>
          <w:sz w:val="24"/>
          <w:highlight w:val="none"/>
        </w:rPr>
        <w:t>） ，属 于</w:t>
      </w:r>
      <w:r>
        <w:rPr>
          <w:rFonts w:hint="eastAsia" w:ascii="宋体" w:hAnsi="宋体" w:cs="宋体"/>
          <w:snapToGrid w:val="0"/>
          <w:color w:val="auto"/>
          <w:kern w:val="0"/>
          <w:sz w:val="24"/>
          <w:highlight w:val="none"/>
          <w:u w:val="single"/>
          <w:lang w:val="en-US" w:eastAsia="zh-CN"/>
        </w:rPr>
        <w:t>制造业</w:t>
      </w:r>
      <w:r>
        <w:rPr>
          <w:rFonts w:hint="eastAsia" w:ascii="宋体" w:hAnsi="宋体" w:eastAsia="宋体" w:cs="宋体"/>
          <w:snapToGrid w:val="0"/>
          <w:color w:val="auto"/>
          <w:kern w:val="0"/>
          <w:sz w:val="24"/>
          <w:highlight w:val="none"/>
          <w:u w:val="single"/>
        </w:rPr>
        <w:t>（采购文件中明确的所属行业</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u w:val="single"/>
        </w:rPr>
        <w:t>行业</w:t>
      </w:r>
      <w:r>
        <w:rPr>
          <w:rFonts w:hint="eastAsia" w:ascii="宋体" w:hAnsi="宋体" w:eastAsia="宋体" w:cs="宋体"/>
          <w:snapToGrid w:val="0"/>
          <w:color w:val="auto"/>
          <w:kern w:val="0"/>
          <w:sz w:val="24"/>
          <w:highlight w:val="none"/>
        </w:rPr>
        <w:t>；制造商为</w:t>
      </w:r>
      <w:r>
        <w:rPr>
          <w:rFonts w:hint="eastAsia" w:ascii="宋体" w:hAnsi="宋体" w:eastAsia="宋体" w:cs="宋体"/>
          <w:snapToGrid w:val="0"/>
          <w:color w:val="auto"/>
          <w:kern w:val="0"/>
          <w:sz w:val="24"/>
          <w:highlight w:val="none"/>
          <w:u w:val="single"/>
        </w:rPr>
        <w:t>（企业名称</w:t>
      </w:r>
      <w:r>
        <w:rPr>
          <w:rFonts w:hint="eastAsia" w:ascii="宋体" w:hAnsi="宋体" w:eastAsia="宋体" w:cs="宋体"/>
          <w:snapToGrid w:val="0"/>
          <w:color w:val="auto"/>
          <w:kern w:val="0"/>
          <w:sz w:val="24"/>
          <w:highlight w:val="none"/>
        </w:rPr>
        <w:t>），从业人员</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人，营业收入为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万元，资产总额为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万元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"br9"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kern w:val="0"/>
          <w:sz w:val="24"/>
          <w:highlight w:val="none"/>
          <w:vertAlign w:val="superscript"/>
        </w:rPr>
        <w:t>1</w:t>
      </w:r>
      <w:r>
        <w:rPr>
          <w:rFonts w:hint="eastAsia" w:ascii="宋体" w:hAnsi="宋体" w:eastAsia="宋体" w:cs="宋体"/>
          <w:snapToGrid w:val="0"/>
          <w:color w:val="auto"/>
          <w:kern w:val="0"/>
          <w:sz w:val="24"/>
          <w:highlight w:val="none"/>
          <w:vertAlign w:val="superscript"/>
        </w:rPr>
        <w:fldChar w:fldCharType="end"/>
      </w:r>
      <w:r>
        <w:rPr>
          <w:rFonts w:hint="eastAsia" w:ascii="宋体" w:hAnsi="宋体" w:eastAsia="宋体" w:cs="宋体"/>
          <w:snapToGrid w:val="0"/>
          <w:color w:val="auto"/>
          <w:kern w:val="0"/>
          <w:sz w:val="24"/>
          <w:highlight w:val="none"/>
        </w:rPr>
        <w:t>，属 于</w:t>
      </w:r>
      <w:r>
        <w:rPr>
          <w:rFonts w:hint="eastAsia" w:ascii="宋体" w:hAnsi="宋体" w:eastAsia="宋体" w:cs="宋体"/>
          <w:snapToGrid w:val="0"/>
          <w:color w:val="auto"/>
          <w:kern w:val="0"/>
          <w:sz w:val="24"/>
          <w:highlight w:val="none"/>
          <w:u w:val="single"/>
        </w:rPr>
        <w:t>（中型企业、小型企业、微型企业</w:t>
      </w:r>
      <w:r>
        <w:rPr>
          <w:rFonts w:hint="eastAsia" w:ascii="宋体" w:hAnsi="宋体" w:eastAsia="宋体" w:cs="宋体"/>
          <w:snapToGrid w:val="0"/>
          <w:color w:val="auto"/>
          <w:kern w:val="0"/>
          <w:sz w:val="24"/>
          <w:highlight w:val="none"/>
        </w:rPr>
        <w:t>）；</w:t>
      </w:r>
    </w:p>
    <w:p>
      <w:pPr>
        <w:widowControl/>
        <w:spacing w:before="189" w:line="330" w:lineRule="exact"/>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2. </w:t>
      </w:r>
      <w:r>
        <w:rPr>
          <w:rFonts w:hint="eastAsia" w:ascii="宋体" w:hAnsi="宋体" w:eastAsia="宋体" w:cs="宋体"/>
          <w:snapToGrid w:val="0"/>
          <w:color w:val="auto"/>
          <w:kern w:val="0"/>
          <w:sz w:val="24"/>
          <w:highlight w:val="none"/>
          <w:u w:val="single"/>
        </w:rPr>
        <w:t>（标的名称</w:t>
      </w:r>
      <w:r>
        <w:rPr>
          <w:rFonts w:hint="eastAsia" w:ascii="宋体" w:hAnsi="宋体" w:eastAsia="宋体" w:cs="宋体"/>
          <w:snapToGrid w:val="0"/>
          <w:color w:val="auto"/>
          <w:kern w:val="0"/>
          <w:sz w:val="24"/>
          <w:highlight w:val="none"/>
        </w:rPr>
        <w:t>） ，属 于</w:t>
      </w:r>
      <w:r>
        <w:rPr>
          <w:rFonts w:hint="eastAsia" w:ascii="宋体" w:hAnsi="宋体" w:cs="宋体"/>
          <w:snapToGrid w:val="0"/>
          <w:color w:val="auto"/>
          <w:kern w:val="0"/>
          <w:sz w:val="24"/>
          <w:highlight w:val="none"/>
          <w:u w:val="single"/>
          <w:lang w:val="en-US" w:eastAsia="zh-CN"/>
        </w:rPr>
        <w:t>制造业</w:t>
      </w:r>
      <w:r>
        <w:rPr>
          <w:rFonts w:hint="eastAsia" w:ascii="宋体" w:hAnsi="宋体" w:eastAsia="宋体" w:cs="宋体"/>
          <w:snapToGrid w:val="0"/>
          <w:color w:val="auto"/>
          <w:kern w:val="0"/>
          <w:sz w:val="24"/>
          <w:highlight w:val="none"/>
          <w:u w:val="single"/>
        </w:rPr>
        <w:t>（采购文件中明确的所属行业</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u w:val="single"/>
        </w:rPr>
        <w:t>行业</w:t>
      </w:r>
      <w:r>
        <w:rPr>
          <w:rFonts w:hint="eastAsia" w:ascii="宋体" w:hAnsi="宋体" w:eastAsia="宋体" w:cs="宋体"/>
          <w:snapToGrid w:val="0"/>
          <w:color w:val="auto"/>
          <w:kern w:val="0"/>
          <w:sz w:val="24"/>
          <w:highlight w:val="none"/>
        </w:rPr>
        <w:t>；制造商为</w:t>
      </w:r>
      <w:r>
        <w:rPr>
          <w:rFonts w:hint="eastAsia" w:ascii="宋体" w:hAnsi="宋体" w:eastAsia="宋体" w:cs="宋体"/>
          <w:snapToGrid w:val="0"/>
          <w:color w:val="auto"/>
          <w:kern w:val="0"/>
          <w:sz w:val="24"/>
          <w:highlight w:val="none"/>
          <w:u w:val="single"/>
        </w:rPr>
        <w:t>（企业名称</w:t>
      </w:r>
      <w:r>
        <w:rPr>
          <w:rFonts w:hint="eastAsia" w:ascii="宋体" w:hAnsi="宋体" w:eastAsia="宋体" w:cs="宋体"/>
          <w:snapToGrid w:val="0"/>
          <w:color w:val="auto"/>
          <w:kern w:val="0"/>
          <w:sz w:val="24"/>
          <w:highlight w:val="none"/>
        </w:rPr>
        <w:t>），从业人员</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人，营业收入为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万元，资产总额为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万元，属于</w:t>
      </w:r>
      <w:r>
        <w:rPr>
          <w:rFonts w:hint="eastAsia" w:ascii="宋体" w:hAnsi="宋体" w:eastAsia="宋体" w:cs="宋体"/>
          <w:snapToGrid w:val="0"/>
          <w:color w:val="auto"/>
          <w:kern w:val="0"/>
          <w:sz w:val="24"/>
          <w:highlight w:val="none"/>
          <w:u w:val="single"/>
        </w:rPr>
        <w:t>（中型企业、小型企业、微型企业</w:t>
      </w:r>
      <w:r>
        <w:rPr>
          <w:rFonts w:hint="eastAsia" w:ascii="宋体" w:hAnsi="宋体" w:eastAsia="宋体" w:cs="宋体"/>
          <w:snapToGrid w:val="0"/>
          <w:color w:val="auto"/>
          <w:kern w:val="0"/>
          <w:sz w:val="24"/>
          <w:highlight w:val="none"/>
        </w:rPr>
        <w:t>）；</w:t>
      </w:r>
    </w:p>
    <w:p>
      <w:pPr>
        <w:widowControl/>
        <w:spacing w:before="192" w:line="329" w:lineRule="exact"/>
        <w:ind w:left="641"/>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w:t>
      </w:r>
    </w:p>
    <w:p>
      <w:pPr>
        <w:widowControl/>
        <w:spacing w:before="192" w:line="329" w:lineRule="exact"/>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以上企业，不属于大企业的分支机构，不存在控股股东为大企业的情形，也不存在与大企业的负责人为同一人的情形。</w:t>
      </w:r>
    </w:p>
    <w:p>
      <w:pPr>
        <w:widowControl/>
        <w:spacing w:before="192" w:line="329" w:lineRule="exact"/>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本企业对上述声明内容的真实性负责。如有虚假，将依法承担相应责任。</w:t>
      </w:r>
    </w:p>
    <w:p>
      <w:pPr>
        <w:widowControl/>
        <w:spacing w:before="223" w:line="329" w:lineRule="exact"/>
        <w:jc w:val="left"/>
        <w:rPr>
          <w:rFonts w:hint="eastAsia" w:ascii="宋体" w:hAnsi="宋体" w:eastAsia="宋体" w:cs="宋体"/>
          <w:snapToGrid w:val="0"/>
          <w:color w:val="auto"/>
          <w:kern w:val="0"/>
          <w:sz w:val="24"/>
          <w:highlight w:val="none"/>
        </w:rPr>
      </w:pPr>
    </w:p>
    <w:p>
      <w:pPr>
        <w:widowControl/>
        <w:spacing w:before="223" w:line="329" w:lineRule="exact"/>
        <w:ind w:left="3840"/>
        <w:jc w:val="left"/>
        <w:rPr>
          <w:rFonts w:hint="eastAsia" w:ascii="宋体" w:hAnsi="宋体" w:eastAsia="宋体" w:cs="宋体"/>
          <w:snapToGrid w:val="0"/>
          <w:color w:val="auto"/>
          <w:kern w:val="0"/>
          <w:sz w:val="24"/>
          <w:highlight w:val="none"/>
        </w:rPr>
      </w:pPr>
    </w:p>
    <w:p>
      <w:pPr>
        <w:widowControl/>
        <w:spacing w:before="223" w:line="329" w:lineRule="exact"/>
        <w:ind w:left="384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企业名称（盖章）：</w:t>
      </w:r>
    </w:p>
    <w:p>
      <w:pPr>
        <w:widowControl/>
        <w:spacing w:before="211" w:line="329" w:lineRule="exact"/>
        <w:ind w:left="384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日 期：</w:t>
      </w:r>
    </w:p>
    <w:p>
      <w:pPr>
        <w:spacing w:line="360" w:lineRule="auto"/>
        <w:ind w:firstLine="480" w:firstLineChars="200"/>
        <w:rPr>
          <w:rFonts w:hint="eastAsia" w:ascii="宋体" w:hAnsi="宋体" w:eastAsia="宋体" w:cs="宋体"/>
          <w:snapToGrid w:val="0"/>
          <w:color w:val="auto"/>
          <w:kern w:val="0"/>
          <w:sz w:val="24"/>
          <w:highlight w:val="none"/>
        </w:rPr>
      </w:pPr>
    </w:p>
    <w:p>
      <w:pPr>
        <w:widowControl/>
        <w:spacing w:line="4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备注：1、从业人员、营业收入、资产总额填报上一年度数据，无上一年度数据的新成立企业可不填报。</w:t>
      </w:r>
    </w:p>
    <w:p>
      <w:pPr>
        <w:spacing w:line="360" w:lineRule="auto"/>
        <w:ind w:firstLine="3240" w:firstLineChars="1350"/>
        <w:rPr>
          <w:rFonts w:hint="eastAsia" w:ascii="宋体" w:hAnsi="宋体" w:eastAsia="宋体" w:cs="宋体"/>
          <w:color w:val="auto"/>
          <w:kern w:val="0"/>
          <w:sz w:val="24"/>
          <w:highlight w:val="none"/>
        </w:rPr>
      </w:pPr>
    </w:p>
    <w:p>
      <w:pPr>
        <w:widowControl/>
        <w:jc w:val="left"/>
        <w:rPr>
          <w:rFonts w:hint="eastAsia" w:ascii="宋体" w:hAnsi="宋体" w:eastAsia="宋体" w:cs="宋体"/>
          <w:color w:val="auto"/>
          <w:kern w:val="0"/>
          <w:sz w:val="24"/>
          <w:highlight w:val="none"/>
        </w:rPr>
      </w:pPr>
    </w:p>
    <w:p>
      <w:pPr>
        <w:pStyle w:val="29"/>
        <w:rPr>
          <w:rFonts w:hint="eastAsia" w:ascii="宋体" w:hAnsi="宋体" w:eastAsia="宋体" w:cs="宋体"/>
          <w:color w:val="auto"/>
          <w:kern w:val="0"/>
          <w:sz w:val="24"/>
          <w:highlight w:val="none"/>
        </w:rPr>
      </w:pPr>
    </w:p>
    <w:p>
      <w:pPr>
        <w:pStyle w:val="29"/>
        <w:rPr>
          <w:rFonts w:hint="eastAsia" w:ascii="宋体" w:hAnsi="宋体" w:eastAsia="宋体" w:cs="宋体"/>
          <w:color w:val="auto"/>
          <w:kern w:val="0"/>
          <w:sz w:val="24"/>
          <w:highlight w:val="none"/>
        </w:rPr>
      </w:pPr>
    </w:p>
    <w:p>
      <w:pPr>
        <w:pStyle w:val="29"/>
        <w:rPr>
          <w:rFonts w:hint="eastAsia" w:ascii="宋体" w:hAnsi="宋体" w:eastAsia="宋体" w:cs="宋体"/>
          <w:color w:val="auto"/>
          <w:kern w:val="0"/>
          <w:sz w:val="24"/>
          <w:highlight w:val="none"/>
        </w:rPr>
      </w:pPr>
    </w:p>
    <w:p>
      <w:pPr>
        <w:pStyle w:val="29"/>
        <w:rPr>
          <w:rFonts w:hint="eastAsia" w:ascii="宋体" w:hAnsi="宋体" w:eastAsia="宋体" w:cs="宋体"/>
          <w:color w:val="auto"/>
          <w:kern w:val="0"/>
          <w:sz w:val="24"/>
          <w:highlight w:val="none"/>
        </w:rPr>
      </w:pPr>
    </w:p>
    <w:p>
      <w:pPr>
        <w:pStyle w:val="29"/>
        <w:ind w:left="0" w:leftChars="0" w:firstLine="0" w:firstLineChars="0"/>
        <w:rPr>
          <w:rFonts w:hint="eastAsia" w:ascii="宋体" w:hAnsi="宋体" w:eastAsia="宋体" w:cs="宋体"/>
          <w:color w:val="auto"/>
          <w:kern w:val="0"/>
          <w:sz w:val="24"/>
          <w:highlight w:val="none"/>
        </w:rPr>
      </w:pPr>
    </w:p>
    <w:p>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、中小企业生产或销售的产品优惠明细表</w:t>
      </w:r>
    </w:p>
    <w:p>
      <w:pPr>
        <w:rPr>
          <w:rFonts w:hint="eastAsia" w:ascii="宋体" w:hAnsi="宋体" w:eastAsia="宋体" w:cs="宋体"/>
          <w:b/>
          <w:bCs/>
          <w:color w:val="auto"/>
          <w:sz w:val="24"/>
          <w:highlight w:val="none"/>
        </w:rPr>
      </w:pPr>
    </w:p>
    <w:p>
      <w:pPr>
        <w:jc w:val="center"/>
        <w:rPr>
          <w:rFonts w:hint="eastAsia" w:ascii="宋体" w:hAnsi="宋体" w:eastAsia="宋体" w:cs="宋体"/>
          <w:b/>
          <w:bCs/>
          <w:color w:val="auto"/>
          <w:sz w:val="24"/>
          <w:highlight w:val="none"/>
        </w:rPr>
      </w:pPr>
      <w:bookmarkStart w:id="53" w:name="_Toc439149569"/>
      <w:r>
        <w:rPr>
          <w:rFonts w:hint="eastAsia" w:ascii="宋体" w:hAnsi="宋体" w:eastAsia="宋体" w:cs="宋体"/>
          <w:b/>
          <w:bCs/>
          <w:color w:val="auto"/>
          <w:sz w:val="24"/>
          <w:highlight w:val="none"/>
        </w:rPr>
        <w:t>（若有，请如实填写）</w:t>
      </w:r>
      <w:bookmarkEnd w:id="53"/>
    </w:p>
    <w:p>
      <w:pPr>
        <w:pStyle w:val="48"/>
        <w:spacing w:line="440" w:lineRule="exact"/>
        <w:ind w:left="1680" w:leftChars="800"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报价货币种类：</w:t>
      </w:r>
    </w:p>
    <w:tbl>
      <w:tblPr>
        <w:tblStyle w:val="3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012"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标段（包）</w:t>
            </w:r>
          </w:p>
        </w:tc>
        <w:tc>
          <w:tcPr>
            <w:tcW w:w="2012"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小型和微型企业产品名称</w:t>
            </w: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报价（元）</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价格评审扣除金额（元）</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品牌型号规格</w:t>
            </w: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2012" w:type="dxa"/>
          </w:tcPr>
          <w:p>
            <w:pPr>
              <w:tabs>
                <w:tab w:val="left" w:pos="5355"/>
              </w:tabs>
              <w:spacing w:line="380" w:lineRule="atLeast"/>
              <w:jc w:val="center"/>
              <w:rPr>
                <w:rFonts w:hint="eastAsia" w:ascii="宋体" w:hAnsi="宋体" w:eastAsia="宋体" w:cs="宋体"/>
                <w:color w:val="auto"/>
                <w:sz w:val="24"/>
                <w:highlight w:val="none"/>
              </w:rPr>
            </w:pP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2012" w:type="dxa"/>
          </w:tcPr>
          <w:p>
            <w:pPr>
              <w:tabs>
                <w:tab w:val="left" w:pos="5355"/>
              </w:tabs>
              <w:spacing w:line="380" w:lineRule="atLeast"/>
              <w:jc w:val="center"/>
              <w:rPr>
                <w:rFonts w:hint="eastAsia" w:ascii="宋体" w:hAnsi="宋体" w:eastAsia="宋体" w:cs="宋体"/>
                <w:color w:val="auto"/>
                <w:sz w:val="24"/>
                <w:highlight w:val="none"/>
              </w:rPr>
            </w:pP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8647" w:type="dxa"/>
            <w:gridSpan w:val="6"/>
            <w:vAlign w:val="center"/>
          </w:tcPr>
          <w:p>
            <w:pPr>
              <w:tabs>
                <w:tab w:val="left" w:pos="5355"/>
              </w:tabs>
              <w:spacing w:line="38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8647" w:type="dxa"/>
            <w:gridSpan w:val="6"/>
            <w:vAlign w:val="center"/>
          </w:tcPr>
          <w:p>
            <w:pPr>
              <w:tabs>
                <w:tab w:val="left" w:pos="5355"/>
              </w:tabs>
              <w:spacing w:line="38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本标段（包）价格评审扣除金额总计：（元）</w:t>
            </w:r>
          </w:p>
        </w:tc>
      </w:tr>
    </w:tbl>
    <w:p>
      <w:pPr>
        <w:pStyle w:val="48"/>
        <w:spacing w:line="440" w:lineRule="exact"/>
        <w:ind w:left="420" w:firstLine="0"/>
        <w:rPr>
          <w:rFonts w:hint="eastAsia" w:ascii="宋体" w:hAnsi="宋体" w:eastAsia="宋体" w:cs="宋体"/>
          <w:bCs/>
          <w:color w:val="auto"/>
          <w:sz w:val="24"/>
          <w:szCs w:val="24"/>
          <w:highlight w:val="none"/>
        </w:rPr>
      </w:pPr>
    </w:p>
    <w:p>
      <w:pPr>
        <w:tabs>
          <w:tab w:val="left" w:pos="1300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1、当一个标段（包）内有多个属于小型和微型企业的产品时，服务商应按序号详细填写。</w:t>
      </w:r>
    </w:p>
    <w:p>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2、栏目5=栏目4×招标文件规定的价格扣除比率的优惠幅度。</w:t>
      </w:r>
    </w:p>
    <w:p>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3、若所供应的产品不具备此类评审优惠条件，本“中小价格扣除明细表”不必填写。</w:t>
      </w:r>
    </w:p>
    <w:p>
      <w:pPr>
        <w:spacing w:line="440" w:lineRule="exact"/>
        <w:ind w:firstLine="600"/>
        <w:rPr>
          <w:rFonts w:hint="eastAsia" w:ascii="宋体" w:hAnsi="宋体" w:eastAsia="宋体" w:cs="宋体"/>
          <w:color w:val="auto"/>
          <w:sz w:val="24"/>
          <w:highlight w:val="none"/>
        </w:rPr>
      </w:pPr>
    </w:p>
    <w:p>
      <w:pPr>
        <w:adjustRightInd w:val="0"/>
        <w:snapToGrid w:val="0"/>
        <w:spacing w:line="360" w:lineRule="auto"/>
        <w:ind w:right="480" w:firstLine="2760" w:firstLineChars="115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（盖公章）：</w:t>
      </w:r>
    </w:p>
    <w:p>
      <w:pPr>
        <w:pStyle w:val="17"/>
        <w:spacing w:line="36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adjustRightInd w:val="0"/>
        <w:snapToGrid w:val="0"/>
        <w:spacing w:line="360" w:lineRule="auto"/>
        <w:jc w:val="right"/>
        <w:rPr>
          <w:rFonts w:hint="eastAsia" w:ascii="宋体" w:hAnsi="宋体" w:eastAsia="宋体" w:cs="宋体"/>
          <w:color w:val="auto"/>
          <w:sz w:val="24"/>
          <w:highlight w:val="none"/>
        </w:rPr>
      </w:pPr>
    </w:p>
    <w:p>
      <w:pPr>
        <w:adjustRightInd w:val="0"/>
        <w:snapToGrid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日期：年月日</w:t>
      </w:r>
    </w:p>
    <w:p>
      <w:pPr>
        <w:tabs>
          <w:tab w:val="left" w:pos="3600"/>
        </w:tabs>
        <w:adjustRightInd w:val="0"/>
        <w:snapToGrid w:val="0"/>
        <w:spacing w:line="440" w:lineRule="exact"/>
        <w:rPr>
          <w:rFonts w:hint="eastAsia" w:ascii="宋体" w:hAnsi="宋体" w:eastAsia="宋体" w:cs="宋体"/>
          <w:color w:val="auto"/>
          <w:sz w:val="24"/>
          <w:highlight w:val="none"/>
        </w:rPr>
      </w:pPr>
    </w:p>
    <w:p>
      <w:pPr>
        <w:tabs>
          <w:tab w:val="left" w:pos="3600"/>
        </w:tabs>
        <w:adjustRightInd w:val="0"/>
        <w:snapToGrid w:val="0"/>
        <w:spacing w:line="440" w:lineRule="exact"/>
        <w:rPr>
          <w:rFonts w:hint="eastAsia" w:ascii="宋体" w:hAnsi="宋体" w:eastAsia="宋体" w:cs="宋体"/>
          <w:color w:val="auto"/>
          <w:sz w:val="24"/>
          <w:highlight w:val="none"/>
        </w:rPr>
      </w:pPr>
    </w:p>
    <w:p>
      <w:pPr>
        <w:tabs>
          <w:tab w:val="left" w:pos="3600"/>
        </w:tabs>
        <w:adjustRightInd w:val="0"/>
        <w:snapToGrid w:val="0"/>
        <w:spacing w:line="440" w:lineRule="exact"/>
        <w:rPr>
          <w:rFonts w:hint="eastAsia" w:ascii="宋体" w:hAnsi="宋体" w:eastAsia="宋体" w:cs="宋体"/>
          <w:color w:val="auto"/>
          <w:sz w:val="24"/>
          <w:highlight w:val="none"/>
        </w:rPr>
      </w:pPr>
    </w:p>
    <w:p>
      <w:pPr>
        <w:spacing w:line="440" w:lineRule="exact"/>
        <w:ind w:firstLine="120" w:firstLineChar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、监狱企业声明函</w:t>
      </w:r>
    </w:p>
    <w:p>
      <w:pPr>
        <w:spacing w:line="360" w:lineRule="auto"/>
        <w:jc w:val="center"/>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（监狱企业适用）</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本公司郑重声明，根据《关于政府采购支持监狱企业发展有关问题的通知》（财库[2014]68号）的规定，本公司为监狱企业。</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本公司参加______单位的______项目采购活动，采购活动提供本企业（填写制造的货物，由本企业承担工程、提供服务）。</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本条所称货物不包括使用大型企业注册商标的货物和服务。</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本公司对上述声明的真实性负责。如有虚假，将依法承担相应责任。</w:t>
      </w:r>
    </w:p>
    <w:p>
      <w:pPr>
        <w:spacing w:line="360" w:lineRule="auto"/>
        <w:ind w:firstLine="5103" w:firstLineChars="2025"/>
        <w:rPr>
          <w:rFonts w:hint="eastAsia" w:ascii="宋体" w:hAnsi="宋体" w:eastAsia="宋体" w:cs="宋体"/>
          <w:color w:val="auto"/>
          <w:spacing w:val="6"/>
          <w:kern w:val="0"/>
          <w:sz w:val="24"/>
          <w:highlight w:val="none"/>
        </w:rPr>
      </w:pPr>
    </w:p>
    <w:p>
      <w:pPr>
        <w:spacing w:line="360" w:lineRule="auto"/>
        <w:ind w:firstLine="3780" w:firstLineChars="1500"/>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lang w:eastAsia="zh-CN"/>
        </w:rPr>
        <w:t>供应商</w:t>
      </w:r>
      <w:r>
        <w:rPr>
          <w:rFonts w:hint="eastAsia" w:ascii="宋体" w:hAnsi="宋体" w:eastAsia="宋体" w:cs="宋体"/>
          <w:color w:val="auto"/>
          <w:spacing w:val="6"/>
          <w:kern w:val="0"/>
          <w:sz w:val="24"/>
          <w:highlight w:val="none"/>
        </w:rPr>
        <w:t>（盖公章）：</w:t>
      </w:r>
    </w:p>
    <w:p>
      <w:pPr>
        <w:pStyle w:val="17"/>
        <w:spacing w:line="36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spacing w:line="360" w:lineRule="auto"/>
        <w:ind w:firstLine="1260" w:firstLineChars="500"/>
        <w:rPr>
          <w:rFonts w:hint="eastAsia" w:ascii="宋体" w:hAnsi="宋体" w:eastAsia="宋体" w:cs="宋体"/>
          <w:color w:val="auto"/>
          <w:spacing w:val="6"/>
          <w:kern w:val="0"/>
          <w:sz w:val="24"/>
          <w:highlight w:val="none"/>
        </w:rPr>
      </w:pPr>
    </w:p>
    <w:p>
      <w:pPr>
        <w:tabs>
          <w:tab w:val="left" w:pos="2880"/>
        </w:tabs>
        <w:spacing w:line="460" w:lineRule="atLeast"/>
        <w:ind w:firstLine="5040" w:firstLineChars="2000"/>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日期：</w:t>
      </w:r>
      <w:r>
        <w:rPr>
          <w:rFonts w:hint="eastAsia" w:ascii="宋体" w:hAnsi="宋体" w:eastAsia="宋体" w:cs="宋体"/>
          <w:color w:val="auto"/>
          <w:sz w:val="24"/>
          <w:highlight w:val="none"/>
        </w:rPr>
        <w:t>年月日</w:t>
      </w: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、残疾人福利性单位声明函</w:t>
      </w:r>
    </w:p>
    <w:p>
      <w:pPr>
        <w:autoSpaceDE w:val="0"/>
        <w:autoSpaceDN w:val="0"/>
        <w:adjustRightInd w:val="0"/>
        <w:spacing w:line="440" w:lineRule="exact"/>
        <w:rPr>
          <w:rFonts w:hint="eastAsia" w:ascii="宋体" w:hAnsi="宋体" w:eastAsia="宋体" w:cs="宋体"/>
          <w:b/>
          <w:bCs/>
          <w:color w:val="auto"/>
          <w:spacing w:val="6"/>
          <w:kern w:val="0"/>
          <w:sz w:val="24"/>
          <w:highlight w:val="none"/>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本单位对上述声明的真实性负责。如有虚假，将依法承担相应责任。</w:t>
      </w:r>
    </w:p>
    <w:p>
      <w:pPr>
        <w:widowControl/>
        <w:adjustRightInd w:val="0"/>
        <w:snapToGrid w:val="0"/>
        <w:spacing w:line="440" w:lineRule="exact"/>
        <w:jc w:val="left"/>
        <w:rPr>
          <w:rFonts w:hint="eastAsia" w:ascii="宋体" w:hAnsi="宋体" w:eastAsia="宋体" w:cs="宋体"/>
          <w:color w:val="auto"/>
          <w:spacing w:val="6"/>
          <w:kern w:val="0"/>
          <w:sz w:val="24"/>
          <w:highlight w:val="none"/>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p>
    <w:p>
      <w:pPr>
        <w:widowControl/>
        <w:adjustRightInd w:val="0"/>
        <w:snapToGrid w:val="0"/>
        <w:spacing w:line="440" w:lineRule="exact"/>
        <w:ind w:firstLine="5544" w:firstLineChars="2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单位名称（盖章）：</w:t>
      </w:r>
    </w:p>
    <w:p>
      <w:pPr>
        <w:widowControl/>
        <w:adjustRightInd w:val="0"/>
        <w:snapToGrid w:val="0"/>
        <w:spacing w:line="440" w:lineRule="exact"/>
        <w:ind w:firstLine="6048" w:firstLineChars="24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日期：</w:t>
      </w:r>
    </w:p>
    <w:p>
      <w:pPr>
        <w:pStyle w:val="17"/>
        <w:spacing w:line="360" w:lineRule="auto"/>
        <w:ind w:firstLine="361" w:firstLineChars="150"/>
        <w:rPr>
          <w:rFonts w:hint="eastAsia" w:ascii="宋体" w:hAnsi="宋体" w:eastAsia="宋体" w:cs="宋体"/>
          <w:b/>
          <w:bCs/>
          <w:color w:val="auto"/>
          <w:sz w:val="24"/>
          <w:highlight w:val="none"/>
          <w:em w:val="dot"/>
        </w:rPr>
      </w:pPr>
    </w:p>
    <w:p>
      <w:pPr>
        <w:pStyle w:val="17"/>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em w:val="dot"/>
        </w:rPr>
        <w:t>注：附件</w:t>
      </w:r>
      <w:r>
        <w:rPr>
          <w:rFonts w:hint="eastAsia" w:ascii="宋体" w:hAnsi="宋体" w:eastAsia="宋体" w:cs="宋体"/>
          <w:b/>
          <w:bCs/>
          <w:color w:val="auto"/>
          <w:sz w:val="24"/>
          <w:highlight w:val="none"/>
          <w:em w:val="dot"/>
          <w:lang w:val="en-US" w:eastAsia="zh-CN"/>
        </w:rPr>
        <w:t>九</w:t>
      </w:r>
      <w:r>
        <w:rPr>
          <w:rFonts w:hint="eastAsia" w:ascii="宋体" w:hAnsi="宋体" w:eastAsia="宋体" w:cs="宋体"/>
          <w:b/>
          <w:bCs/>
          <w:color w:val="auto"/>
          <w:sz w:val="24"/>
          <w:highlight w:val="none"/>
          <w:em w:val="dot"/>
        </w:rPr>
        <w:t>至十</w:t>
      </w:r>
      <w:r>
        <w:rPr>
          <w:rFonts w:hint="eastAsia" w:ascii="宋体" w:hAnsi="宋体" w:eastAsia="宋体" w:cs="宋体"/>
          <w:b/>
          <w:bCs/>
          <w:color w:val="auto"/>
          <w:sz w:val="24"/>
          <w:highlight w:val="none"/>
          <w:em w:val="dot"/>
          <w:lang w:val="en-US" w:eastAsia="zh-CN"/>
        </w:rPr>
        <w:t>一</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根据情况自行选择，不享受相关政策的</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无需提供。</w:t>
      </w:r>
    </w:p>
    <w:p>
      <w:pPr>
        <w:pStyle w:val="17"/>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第二部分技术部分</w:t>
      </w:r>
    </w:p>
    <w:p>
      <w:pPr>
        <w:numPr>
          <w:ilvl w:val="0"/>
          <w:numId w:val="6"/>
        </w:numPr>
        <w:spacing w:line="440" w:lineRule="exact"/>
        <w:ind w:left="0" w:left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产品简要说明一览表</w:t>
      </w:r>
    </w:p>
    <w:p>
      <w:pPr>
        <w:pStyle w:val="17"/>
        <w:numPr>
          <w:ilvl w:val="0"/>
          <w:numId w:val="0"/>
        </w:numPr>
        <w:spacing w:line="360" w:lineRule="auto"/>
        <w:rPr>
          <w:rFonts w:hint="eastAsia" w:ascii="宋体" w:hAnsi="宋体" w:eastAsia="宋体" w:cs="宋体"/>
          <w:color w:val="auto"/>
          <w:sz w:val="24"/>
          <w:szCs w:val="24"/>
          <w:highlight w:val="none"/>
        </w:rPr>
      </w:pPr>
    </w:p>
    <w:tbl>
      <w:tblPr>
        <w:tblStyle w:val="30"/>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026"/>
        <w:gridCol w:w="1952"/>
        <w:gridCol w:w="1823"/>
        <w:gridCol w:w="1445"/>
        <w:gridCol w:w="1445"/>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61"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026"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产品名称</w:t>
            </w:r>
          </w:p>
        </w:tc>
        <w:tc>
          <w:tcPr>
            <w:tcW w:w="1952"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823"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主要技术参数</w:t>
            </w:r>
          </w:p>
        </w:tc>
        <w:tc>
          <w:tcPr>
            <w:tcW w:w="1445"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性能说明</w:t>
            </w:r>
          </w:p>
        </w:tc>
        <w:tc>
          <w:tcPr>
            <w:tcW w:w="1445"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供货厂（商）</w:t>
            </w:r>
          </w:p>
        </w:tc>
        <w:tc>
          <w:tcPr>
            <w:tcW w:w="1445"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品牌及产地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661"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026" w:type="dxa"/>
            <w:noWrap w:val="0"/>
            <w:vAlign w:val="center"/>
          </w:tcPr>
          <w:p>
            <w:pPr>
              <w:spacing w:line="440" w:lineRule="exact"/>
              <w:jc w:val="center"/>
              <w:rPr>
                <w:rFonts w:hint="eastAsia" w:ascii="宋体" w:hAnsi="宋体" w:eastAsia="宋体" w:cs="宋体"/>
                <w:color w:val="auto"/>
                <w:sz w:val="24"/>
                <w:highlight w:val="none"/>
              </w:rPr>
            </w:pPr>
          </w:p>
        </w:tc>
        <w:tc>
          <w:tcPr>
            <w:tcW w:w="1952" w:type="dxa"/>
            <w:noWrap w:val="0"/>
            <w:vAlign w:val="center"/>
          </w:tcPr>
          <w:p>
            <w:pPr>
              <w:spacing w:line="440" w:lineRule="exact"/>
              <w:jc w:val="center"/>
              <w:rPr>
                <w:rFonts w:hint="eastAsia" w:ascii="宋体" w:hAnsi="宋体" w:eastAsia="宋体" w:cs="宋体"/>
                <w:color w:val="auto"/>
                <w:sz w:val="24"/>
                <w:highlight w:val="none"/>
              </w:rPr>
            </w:pPr>
          </w:p>
        </w:tc>
        <w:tc>
          <w:tcPr>
            <w:tcW w:w="1823" w:type="dxa"/>
            <w:noWrap w:val="0"/>
            <w:vAlign w:val="center"/>
          </w:tcPr>
          <w:p>
            <w:pPr>
              <w:spacing w:line="440" w:lineRule="exact"/>
              <w:jc w:val="center"/>
              <w:rPr>
                <w:rFonts w:hint="eastAsia" w:ascii="宋体" w:hAnsi="宋体" w:eastAsia="宋体" w:cs="宋体"/>
                <w:color w:val="auto"/>
                <w:sz w:val="24"/>
                <w:highlight w:val="none"/>
              </w:rPr>
            </w:pPr>
          </w:p>
        </w:tc>
        <w:tc>
          <w:tcPr>
            <w:tcW w:w="1445" w:type="dxa"/>
            <w:noWrap w:val="0"/>
            <w:vAlign w:val="top"/>
          </w:tcPr>
          <w:p>
            <w:pPr>
              <w:spacing w:line="440" w:lineRule="exact"/>
              <w:jc w:val="center"/>
              <w:rPr>
                <w:rFonts w:hint="eastAsia" w:ascii="宋体" w:hAnsi="宋体" w:eastAsia="宋体" w:cs="宋体"/>
                <w:color w:val="auto"/>
                <w:sz w:val="24"/>
                <w:highlight w:val="none"/>
              </w:rPr>
            </w:pPr>
          </w:p>
        </w:tc>
        <w:tc>
          <w:tcPr>
            <w:tcW w:w="1445" w:type="dxa"/>
            <w:noWrap w:val="0"/>
            <w:vAlign w:val="center"/>
          </w:tcPr>
          <w:p>
            <w:pPr>
              <w:spacing w:line="440" w:lineRule="exact"/>
              <w:jc w:val="center"/>
              <w:rPr>
                <w:rFonts w:hint="eastAsia" w:ascii="宋体" w:hAnsi="宋体" w:eastAsia="宋体" w:cs="宋体"/>
                <w:color w:val="auto"/>
                <w:sz w:val="24"/>
                <w:highlight w:val="none"/>
              </w:rPr>
            </w:pPr>
          </w:p>
        </w:tc>
        <w:tc>
          <w:tcPr>
            <w:tcW w:w="1445"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661"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026" w:type="dxa"/>
            <w:noWrap w:val="0"/>
            <w:vAlign w:val="center"/>
          </w:tcPr>
          <w:p>
            <w:pPr>
              <w:spacing w:line="440" w:lineRule="exact"/>
              <w:jc w:val="center"/>
              <w:rPr>
                <w:rFonts w:hint="eastAsia" w:ascii="宋体" w:hAnsi="宋体" w:eastAsia="宋体" w:cs="宋体"/>
                <w:color w:val="auto"/>
                <w:sz w:val="24"/>
                <w:highlight w:val="none"/>
              </w:rPr>
            </w:pPr>
          </w:p>
        </w:tc>
        <w:tc>
          <w:tcPr>
            <w:tcW w:w="1952" w:type="dxa"/>
            <w:noWrap w:val="0"/>
            <w:vAlign w:val="center"/>
          </w:tcPr>
          <w:p>
            <w:pPr>
              <w:spacing w:line="440" w:lineRule="exact"/>
              <w:jc w:val="center"/>
              <w:rPr>
                <w:rFonts w:hint="eastAsia" w:ascii="宋体" w:hAnsi="宋体" w:eastAsia="宋体" w:cs="宋体"/>
                <w:color w:val="auto"/>
                <w:sz w:val="24"/>
                <w:highlight w:val="none"/>
              </w:rPr>
            </w:pPr>
          </w:p>
        </w:tc>
        <w:tc>
          <w:tcPr>
            <w:tcW w:w="1823" w:type="dxa"/>
            <w:noWrap w:val="0"/>
            <w:vAlign w:val="center"/>
          </w:tcPr>
          <w:p>
            <w:pPr>
              <w:spacing w:line="440" w:lineRule="exact"/>
              <w:jc w:val="center"/>
              <w:rPr>
                <w:rFonts w:hint="eastAsia" w:ascii="宋体" w:hAnsi="宋体" w:eastAsia="宋体" w:cs="宋体"/>
                <w:color w:val="auto"/>
                <w:sz w:val="24"/>
                <w:highlight w:val="none"/>
              </w:rPr>
            </w:pPr>
          </w:p>
        </w:tc>
        <w:tc>
          <w:tcPr>
            <w:tcW w:w="1445" w:type="dxa"/>
            <w:noWrap w:val="0"/>
            <w:vAlign w:val="top"/>
          </w:tcPr>
          <w:p>
            <w:pPr>
              <w:spacing w:line="440" w:lineRule="exact"/>
              <w:jc w:val="center"/>
              <w:rPr>
                <w:rFonts w:hint="eastAsia" w:ascii="宋体" w:hAnsi="宋体" w:eastAsia="宋体" w:cs="宋体"/>
                <w:color w:val="auto"/>
                <w:sz w:val="24"/>
                <w:highlight w:val="none"/>
              </w:rPr>
            </w:pPr>
          </w:p>
        </w:tc>
        <w:tc>
          <w:tcPr>
            <w:tcW w:w="1445" w:type="dxa"/>
            <w:noWrap w:val="0"/>
            <w:vAlign w:val="center"/>
          </w:tcPr>
          <w:p>
            <w:pPr>
              <w:spacing w:line="440" w:lineRule="exact"/>
              <w:jc w:val="center"/>
              <w:rPr>
                <w:rFonts w:hint="eastAsia" w:ascii="宋体" w:hAnsi="宋体" w:eastAsia="宋体" w:cs="宋体"/>
                <w:color w:val="auto"/>
                <w:sz w:val="24"/>
                <w:highlight w:val="none"/>
              </w:rPr>
            </w:pPr>
          </w:p>
        </w:tc>
        <w:tc>
          <w:tcPr>
            <w:tcW w:w="1445"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661"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026" w:type="dxa"/>
            <w:noWrap w:val="0"/>
            <w:vAlign w:val="center"/>
          </w:tcPr>
          <w:p>
            <w:pPr>
              <w:spacing w:line="440" w:lineRule="exact"/>
              <w:jc w:val="center"/>
              <w:rPr>
                <w:rFonts w:hint="eastAsia" w:ascii="宋体" w:hAnsi="宋体" w:eastAsia="宋体" w:cs="宋体"/>
                <w:color w:val="auto"/>
                <w:sz w:val="24"/>
                <w:highlight w:val="none"/>
              </w:rPr>
            </w:pPr>
          </w:p>
        </w:tc>
        <w:tc>
          <w:tcPr>
            <w:tcW w:w="1952" w:type="dxa"/>
            <w:noWrap w:val="0"/>
            <w:vAlign w:val="center"/>
          </w:tcPr>
          <w:p>
            <w:pPr>
              <w:spacing w:line="440" w:lineRule="exact"/>
              <w:jc w:val="center"/>
              <w:rPr>
                <w:rFonts w:hint="eastAsia" w:ascii="宋体" w:hAnsi="宋体" w:eastAsia="宋体" w:cs="宋体"/>
                <w:color w:val="auto"/>
                <w:sz w:val="24"/>
                <w:highlight w:val="none"/>
              </w:rPr>
            </w:pPr>
          </w:p>
        </w:tc>
        <w:tc>
          <w:tcPr>
            <w:tcW w:w="1823" w:type="dxa"/>
            <w:noWrap w:val="0"/>
            <w:vAlign w:val="center"/>
          </w:tcPr>
          <w:p>
            <w:pPr>
              <w:spacing w:line="440" w:lineRule="exact"/>
              <w:jc w:val="center"/>
              <w:rPr>
                <w:rFonts w:hint="eastAsia" w:ascii="宋体" w:hAnsi="宋体" w:eastAsia="宋体" w:cs="宋体"/>
                <w:color w:val="auto"/>
                <w:sz w:val="24"/>
                <w:highlight w:val="none"/>
              </w:rPr>
            </w:pPr>
          </w:p>
        </w:tc>
        <w:tc>
          <w:tcPr>
            <w:tcW w:w="1445" w:type="dxa"/>
            <w:noWrap w:val="0"/>
            <w:vAlign w:val="top"/>
          </w:tcPr>
          <w:p>
            <w:pPr>
              <w:spacing w:line="440" w:lineRule="exact"/>
              <w:jc w:val="center"/>
              <w:rPr>
                <w:rFonts w:hint="eastAsia" w:ascii="宋体" w:hAnsi="宋体" w:eastAsia="宋体" w:cs="宋体"/>
                <w:color w:val="auto"/>
                <w:sz w:val="24"/>
                <w:highlight w:val="none"/>
              </w:rPr>
            </w:pPr>
          </w:p>
        </w:tc>
        <w:tc>
          <w:tcPr>
            <w:tcW w:w="1445" w:type="dxa"/>
            <w:noWrap w:val="0"/>
            <w:vAlign w:val="center"/>
          </w:tcPr>
          <w:p>
            <w:pPr>
              <w:spacing w:line="440" w:lineRule="exact"/>
              <w:jc w:val="center"/>
              <w:rPr>
                <w:rFonts w:hint="eastAsia" w:ascii="宋体" w:hAnsi="宋体" w:eastAsia="宋体" w:cs="宋体"/>
                <w:color w:val="auto"/>
                <w:sz w:val="24"/>
                <w:highlight w:val="none"/>
              </w:rPr>
            </w:pPr>
          </w:p>
        </w:tc>
        <w:tc>
          <w:tcPr>
            <w:tcW w:w="1445"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661"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026" w:type="dxa"/>
            <w:noWrap w:val="0"/>
            <w:vAlign w:val="center"/>
          </w:tcPr>
          <w:p>
            <w:pPr>
              <w:spacing w:line="440" w:lineRule="exact"/>
              <w:jc w:val="center"/>
              <w:rPr>
                <w:rFonts w:hint="eastAsia" w:ascii="宋体" w:hAnsi="宋体" w:eastAsia="宋体" w:cs="宋体"/>
                <w:color w:val="auto"/>
                <w:sz w:val="24"/>
                <w:highlight w:val="none"/>
              </w:rPr>
            </w:pPr>
          </w:p>
        </w:tc>
        <w:tc>
          <w:tcPr>
            <w:tcW w:w="1952" w:type="dxa"/>
            <w:noWrap w:val="0"/>
            <w:vAlign w:val="center"/>
          </w:tcPr>
          <w:p>
            <w:pPr>
              <w:spacing w:line="440" w:lineRule="exact"/>
              <w:jc w:val="center"/>
              <w:rPr>
                <w:rFonts w:hint="eastAsia" w:ascii="宋体" w:hAnsi="宋体" w:eastAsia="宋体" w:cs="宋体"/>
                <w:color w:val="auto"/>
                <w:sz w:val="24"/>
                <w:highlight w:val="none"/>
              </w:rPr>
            </w:pPr>
          </w:p>
        </w:tc>
        <w:tc>
          <w:tcPr>
            <w:tcW w:w="1823" w:type="dxa"/>
            <w:noWrap w:val="0"/>
            <w:vAlign w:val="center"/>
          </w:tcPr>
          <w:p>
            <w:pPr>
              <w:spacing w:line="440" w:lineRule="exact"/>
              <w:jc w:val="center"/>
              <w:rPr>
                <w:rFonts w:hint="eastAsia" w:ascii="宋体" w:hAnsi="宋体" w:eastAsia="宋体" w:cs="宋体"/>
                <w:color w:val="auto"/>
                <w:sz w:val="24"/>
                <w:highlight w:val="none"/>
              </w:rPr>
            </w:pPr>
          </w:p>
        </w:tc>
        <w:tc>
          <w:tcPr>
            <w:tcW w:w="1445" w:type="dxa"/>
            <w:noWrap w:val="0"/>
            <w:vAlign w:val="top"/>
          </w:tcPr>
          <w:p>
            <w:pPr>
              <w:spacing w:line="440" w:lineRule="exact"/>
              <w:jc w:val="center"/>
              <w:rPr>
                <w:rFonts w:hint="eastAsia" w:ascii="宋体" w:hAnsi="宋体" w:eastAsia="宋体" w:cs="宋体"/>
                <w:color w:val="auto"/>
                <w:sz w:val="24"/>
                <w:highlight w:val="none"/>
              </w:rPr>
            </w:pPr>
          </w:p>
        </w:tc>
        <w:tc>
          <w:tcPr>
            <w:tcW w:w="1445" w:type="dxa"/>
            <w:noWrap w:val="0"/>
            <w:vAlign w:val="center"/>
          </w:tcPr>
          <w:p>
            <w:pPr>
              <w:spacing w:line="440" w:lineRule="exact"/>
              <w:jc w:val="center"/>
              <w:rPr>
                <w:rFonts w:hint="eastAsia" w:ascii="宋体" w:hAnsi="宋体" w:eastAsia="宋体" w:cs="宋体"/>
                <w:color w:val="auto"/>
                <w:sz w:val="24"/>
                <w:highlight w:val="none"/>
              </w:rPr>
            </w:pPr>
          </w:p>
        </w:tc>
        <w:tc>
          <w:tcPr>
            <w:tcW w:w="1445"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661"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026" w:type="dxa"/>
            <w:noWrap w:val="0"/>
            <w:vAlign w:val="center"/>
          </w:tcPr>
          <w:p>
            <w:pPr>
              <w:spacing w:line="440" w:lineRule="exact"/>
              <w:jc w:val="center"/>
              <w:rPr>
                <w:rFonts w:hint="eastAsia" w:ascii="宋体" w:hAnsi="宋体" w:eastAsia="宋体" w:cs="宋体"/>
                <w:color w:val="auto"/>
                <w:sz w:val="24"/>
                <w:highlight w:val="none"/>
              </w:rPr>
            </w:pPr>
          </w:p>
        </w:tc>
        <w:tc>
          <w:tcPr>
            <w:tcW w:w="1952" w:type="dxa"/>
            <w:noWrap w:val="0"/>
            <w:vAlign w:val="center"/>
          </w:tcPr>
          <w:p>
            <w:pPr>
              <w:spacing w:line="440" w:lineRule="exact"/>
              <w:jc w:val="center"/>
              <w:rPr>
                <w:rFonts w:hint="eastAsia" w:ascii="宋体" w:hAnsi="宋体" w:eastAsia="宋体" w:cs="宋体"/>
                <w:color w:val="auto"/>
                <w:sz w:val="24"/>
                <w:highlight w:val="none"/>
              </w:rPr>
            </w:pPr>
          </w:p>
        </w:tc>
        <w:tc>
          <w:tcPr>
            <w:tcW w:w="1823" w:type="dxa"/>
            <w:noWrap w:val="0"/>
            <w:vAlign w:val="center"/>
          </w:tcPr>
          <w:p>
            <w:pPr>
              <w:spacing w:line="440" w:lineRule="exact"/>
              <w:jc w:val="center"/>
              <w:rPr>
                <w:rFonts w:hint="eastAsia" w:ascii="宋体" w:hAnsi="宋体" w:eastAsia="宋体" w:cs="宋体"/>
                <w:color w:val="auto"/>
                <w:sz w:val="24"/>
                <w:highlight w:val="none"/>
              </w:rPr>
            </w:pPr>
          </w:p>
        </w:tc>
        <w:tc>
          <w:tcPr>
            <w:tcW w:w="1445" w:type="dxa"/>
            <w:noWrap w:val="0"/>
            <w:vAlign w:val="top"/>
          </w:tcPr>
          <w:p>
            <w:pPr>
              <w:spacing w:line="440" w:lineRule="exact"/>
              <w:jc w:val="center"/>
              <w:rPr>
                <w:rFonts w:hint="eastAsia" w:ascii="宋体" w:hAnsi="宋体" w:eastAsia="宋体" w:cs="宋体"/>
                <w:color w:val="auto"/>
                <w:sz w:val="24"/>
                <w:highlight w:val="none"/>
              </w:rPr>
            </w:pPr>
          </w:p>
        </w:tc>
        <w:tc>
          <w:tcPr>
            <w:tcW w:w="1445" w:type="dxa"/>
            <w:noWrap w:val="0"/>
            <w:vAlign w:val="center"/>
          </w:tcPr>
          <w:p>
            <w:pPr>
              <w:spacing w:line="440" w:lineRule="exact"/>
              <w:jc w:val="center"/>
              <w:rPr>
                <w:rFonts w:hint="eastAsia" w:ascii="宋体" w:hAnsi="宋体" w:eastAsia="宋体" w:cs="宋体"/>
                <w:color w:val="auto"/>
                <w:sz w:val="24"/>
                <w:highlight w:val="none"/>
              </w:rPr>
            </w:pPr>
          </w:p>
        </w:tc>
        <w:tc>
          <w:tcPr>
            <w:tcW w:w="1445"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661"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026" w:type="dxa"/>
            <w:noWrap w:val="0"/>
            <w:vAlign w:val="center"/>
          </w:tcPr>
          <w:p>
            <w:pPr>
              <w:spacing w:line="440" w:lineRule="exact"/>
              <w:jc w:val="center"/>
              <w:rPr>
                <w:rFonts w:hint="eastAsia" w:ascii="宋体" w:hAnsi="宋体" w:eastAsia="宋体" w:cs="宋体"/>
                <w:color w:val="auto"/>
                <w:sz w:val="24"/>
                <w:highlight w:val="none"/>
              </w:rPr>
            </w:pPr>
          </w:p>
        </w:tc>
        <w:tc>
          <w:tcPr>
            <w:tcW w:w="1952" w:type="dxa"/>
            <w:noWrap w:val="0"/>
            <w:vAlign w:val="center"/>
          </w:tcPr>
          <w:p>
            <w:pPr>
              <w:spacing w:line="440" w:lineRule="exact"/>
              <w:jc w:val="center"/>
              <w:rPr>
                <w:rFonts w:hint="eastAsia" w:ascii="宋体" w:hAnsi="宋体" w:eastAsia="宋体" w:cs="宋体"/>
                <w:color w:val="auto"/>
                <w:sz w:val="24"/>
                <w:highlight w:val="none"/>
              </w:rPr>
            </w:pPr>
          </w:p>
        </w:tc>
        <w:tc>
          <w:tcPr>
            <w:tcW w:w="1823" w:type="dxa"/>
            <w:noWrap w:val="0"/>
            <w:vAlign w:val="center"/>
          </w:tcPr>
          <w:p>
            <w:pPr>
              <w:spacing w:line="440" w:lineRule="exact"/>
              <w:jc w:val="center"/>
              <w:rPr>
                <w:rFonts w:hint="eastAsia" w:ascii="宋体" w:hAnsi="宋体" w:eastAsia="宋体" w:cs="宋体"/>
                <w:color w:val="auto"/>
                <w:sz w:val="24"/>
                <w:highlight w:val="none"/>
              </w:rPr>
            </w:pPr>
          </w:p>
        </w:tc>
        <w:tc>
          <w:tcPr>
            <w:tcW w:w="1445" w:type="dxa"/>
            <w:noWrap w:val="0"/>
            <w:vAlign w:val="top"/>
          </w:tcPr>
          <w:p>
            <w:pPr>
              <w:spacing w:line="440" w:lineRule="exact"/>
              <w:jc w:val="center"/>
              <w:rPr>
                <w:rFonts w:hint="eastAsia" w:ascii="宋体" w:hAnsi="宋体" w:eastAsia="宋体" w:cs="宋体"/>
                <w:color w:val="auto"/>
                <w:sz w:val="24"/>
                <w:highlight w:val="none"/>
              </w:rPr>
            </w:pPr>
          </w:p>
        </w:tc>
        <w:tc>
          <w:tcPr>
            <w:tcW w:w="1445" w:type="dxa"/>
            <w:noWrap w:val="0"/>
            <w:vAlign w:val="center"/>
          </w:tcPr>
          <w:p>
            <w:pPr>
              <w:spacing w:line="440" w:lineRule="exact"/>
              <w:jc w:val="center"/>
              <w:rPr>
                <w:rFonts w:hint="eastAsia" w:ascii="宋体" w:hAnsi="宋体" w:eastAsia="宋体" w:cs="宋体"/>
                <w:color w:val="auto"/>
                <w:sz w:val="24"/>
                <w:highlight w:val="none"/>
              </w:rPr>
            </w:pPr>
          </w:p>
        </w:tc>
        <w:tc>
          <w:tcPr>
            <w:tcW w:w="1445"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661"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026" w:type="dxa"/>
            <w:noWrap w:val="0"/>
            <w:vAlign w:val="center"/>
          </w:tcPr>
          <w:p>
            <w:pPr>
              <w:spacing w:line="440" w:lineRule="exact"/>
              <w:jc w:val="center"/>
              <w:rPr>
                <w:rFonts w:hint="eastAsia" w:ascii="宋体" w:hAnsi="宋体" w:eastAsia="宋体" w:cs="宋体"/>
                <w:color w:val="auto"/>
                <w:sz w:val="24"/>
                <w:highlight w:val="none"/>
              </w:rPr>
            </w:pPr>
          </w:p>
        </w:tc>
        <w:tc>
          <w:tcPr>
            <w:tcW w:w="1952" w:type="dxa"/>
            <w:noWrap w:val="0"/>
            <w:vAlign w:val="center"/>
          </w:tcPr>
          <w:p>
            <w:pPr>
              <w:spacing w:line="440" w:lineRule="exact"/>
              <w:jc w:val="center"/>
              <w:rPr>
                <w:rFonts w:hint="eastAsia" w:ascii="宋体" w:hAnsi="宋体" w:eastAsia="宋体" w:cs="宋体"/>
                <w:color w:val="auto"/>
                <w:sz w:val="24"/>
                <w:highlight w:val="none"/>
              </w:rPr>
            </w:pPr>
          </w:p>
        </w:tc>
        <w:tc>
          <w:tcPr>
            <w:tcW w:w="1823" w:type="dxa"/>
            <w:noWrap w:val="0"/>
            <w:vAlign w:val="center"/>
          </w:tcPr>
          <w:p>
            <w:pPr>
              <w:spacing w:line="440" w:lineRule="exact"/>
              <w:jc w:val="center"/>
              <w:rPr>
                <w:rFonts w:hint="eastAsia" w:ascii="宋体" w:hAnsi="宋体" w:eastAsia="宋体" w:cs="宋体"/>
                <w:color w:val="auto"/>
                <w:sz w:val="24"/>
                <w:highlight w:val="none"/>
              </w:rPr>
            </w:pPr>
          </w:p>
        </w:tc>
        <w:tc>
          <w:tcPr>
            <w:tcW w:w="1445" w:type="dxa"/>
            <w:noWrap w:val="0"/>
            <w:vAlign w:val="top"/>
          </w:tcPr>
          <w:p>
            <w:pPr>
              <w:spacing w:line="440" w:lineRule="exact"/>
              <w:jc w:val="center"/>
              <w:rPr>
                <w:rFonts w:hint="eastAsia" w:ascii="宋体" w:hAnsi="宋体" w:eastAsia="宋体" w:cs="宋体"/>
                <w:color w:val="auto"/>
                <w:sz w:val="24"/>
                <w:highlight w:val="none"/>
              </w:rPr>
            </w:pPr>
          </w:p>
        </w:tc>
        <w:tc>
          <w:tcPr>
            <w:tcW w:w="1445" w:type="dxa"/>
            <w:noWrap w:val="0"/>
            <w:vAlign w:val="center"/>
          </w:tcPr>
          <w:p>
            <w:pPr>
              <w:spacing w:line="440" w:lineRule="exact"/>
              <w:jc w:val="center"/>
              <w:rPr>
                <w:rFonts w:hint="eastAsia" w:ascii="宋体" w:hAnsi="宋体" w:eastAsia="宋体" w:cs="宋体"/>
                <w:color w:val="auto"/>
                <w:sz w:val="24"/>
                <w:highlight w:val="none"/>
              </w:rPr>
            </w:pPr>
          </w:p>
        </w:tc>
        <w:tc>
          <w:tcPr>
            <w:tcW w:w="1445" w:type="dxa"/>
            <w:noWrap w:val="0"/>
            <w:vAlign w:val="top"/>
          </w:tcPr>
          <w:p>
            <w:pPr>
              <w:spacing w:line="440" w:lineRule="exact"/>
              <w:jc w:val="center"/>
              <w:rPr>
                <w:rFonts w:hint="eastAsia" w:ascii="宋体" w:hAnsi="宋体" w:eastAsia="宋体" w:cs="宋体"/>
                <w:color w:val="auto"/>
                <w:sz w:val="24"/>
                <w:highlight w:val="none"/>
              </w:rPr>
            </w:pPr>
          </w:p>
        </w:tc>
      </w:tr>
    </w:tbl>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注：此表需详列投标的每种产品。</w:t>
      </w:r>
    </w:p>
    <w:p>
      <w:pPr>
        <w:pStyle w:val="17"/>
        <w:numPr>
          <w:ilvl w:val="0"/>
          <w:numId w:val="0"/>
        </w:numPr>
        <w:spacing w:line="360" w:lineRule="auto"/>
        <w:rPr>
          <w:rFonts w:hint="eastAsia" w:ascii="宋体" w:hAnsi="宋体" w:eastAsia="宋体" w:cs="宋体"/>
          <w:color w:val="auto"/>
          <w:sz w:val="24"/>
          <w:szCs w:val="24"/>
          <w:highlight w:val="none"/>
        </w:rPr>
      </w:pPr>
    </w:p>
    <w:p>
      <w:pPr>
        <w:pStyle w:val="22"/>
        <w:rPr>
          <w:rFonts w:hint="eastAsia"/>
          <w:color w:val="auto"/>
          <w:lang w:eastAsia="zh-CN"/>
        </w:rPr>
      </w:pPr>
    </w:p>
    <w:p>
      <w:pPr>
        <w:pStyle w:val="22"/>
        <w:rPr>
          <w:rFonts w:hint="eastAsia"/>
          <w:color w:val="auto"/>
        </w:rPr>
      </w:pPr>
    </w:p>
    <w:p>
      <w:pPr>
        <w:widowControl/>
        <w:ind w:firstLine="4800" w:firstLineChars="20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供应商</w:t>
      </w:r>
      <w:r>
        <w:rPr>
          <w:rFonts w:hint="eastAsia" w:ascii="宋体" w:hAnsi="宋体" w:eastAsia="宋体" w:cs="宋体"/>
          <w:bCs/>
          <w:color w:val="auto"/>
          <w:sz w:val="24"/>
          <w:highlight w:val="none"/>
        </w:rPr>
        <w:t xml:space="preserve">名称（加盖公章）：     </w:t>
      </w:r>
    </w:p>
    <w:p>
      <w:pPr>
        <w:widowControl/>
        <w:ind w:firstLine="4800" w:firstLineChars="20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法定代表人（盖章）：                  </w:t>
      </w:r>
    </w:p>
    <w:p>
      <w:pPr>
        <w:pStyle w:val="28"/>
        <w:numPr>
          <w:ilvl w:val="0"/>
          <w:numId w:val="0"/>
        </w:numPr>
        <w:ind w:firstLine="4800" w:firstLineChars="2000"/>
        <w:rPr>
          <w:rFonts w:hint="eastAsia" w:ascii="宋体" w:hAnsi="宋体" w:eastAsia="宋体" w:cs="宋体"/>
          <w:color w:val="auto"/>
          <w:lang w:eastAsia="zh-CN"/>
        </w:rPr>
      </w:pPr>
      <w:r>
        <w:rPr>
          <w:rFonts w:hint="eastAsia" w:ascii="宋体" w:hAnsi="宋体" w:eastAsia="宋体" w:cs="宋体"/>
          <w:bCs/>
          <w:color w:val="auto"/>
          <w:sz w:val="24"/>
          <w:highlight w:val="none"/>
        </w:rPr>
        <w:t>日期：</w:t>
      </w:r>
    </w:p>
    <w:p>
      <w:pPr>
        <w:pStyle w:val="17"/>
        <w:numPr>
          <w:ilvl w:val="0"/>
          <w:numId w:val="0"/>
        </w:numPr>
        <w:spacing w:line="360" w:lineRule="auto"/>
        <w:rPr>
          <w:rFonts w:hint="eastAsia" w:ascii="宋体" w:hAnsi="宋体" w:eastAsia="宋体" w:cs="宋体"/>
          <w:color w:val="auto"/>
          <w:sz w:val="24"/>
          <w:szCs w:val="24"/>
          <w:highlight w:val="none"/>
        </w:rPr>
      </w:pPr>
    </w:p>
    <w:p>
      <w:pPr>
        <w:pStyle w:val="17"/>
        <w:numPr>
          <w:ilvl w:val="0"/>
          <w:numId w:val="0"/>
        </w:numPr>
        <w:spacing w:line="360" w:lineRule="auto"/>
        <w:rPr>
          <w:rFonts w:hint="eastAsia" w:ascii="宋体" w:hAnsi="宋体" w:eastAsia="宋体" w:cs="宋体"/>
          <w:color w:val="auto"/>
          <w:sz w:val="24"/>
          <w:szCs w:val="24"/>
          <w:highlight w:val="none"/>
        </w:rPr>
      </w:pPr>
    </w:p>
    <w:p>
      <w:pPr>
        <w:pStyle w:val="17"/>
        <w:numPr>
          <w:ilvl w:val="0"/>
          <w:numId w:val="0"/>
        </w:numPr>
        <w:spacing w:line="360" w:lineRule="auto"/>
        <w:rPr>
          <w:rFonts w:hint="eastAsia" w:ascii="宋体" w:hAnsi="宋体" w:eastAsia="宋体" w:cs="宋体"/>
          <w:color w:val="auto"/>
          <w:sz w:val="24"/>
          <w:szCs w:val="24"/>
          <w:highlight w:val="none"/>
        </w:rPr>
      </w:pPr>
    </w:p>
    <w:p>
      <w:pPr>
        <w:pStyle w:val="17"/>
        <w:numPr>
          <w:ilvl w:val="0"/>
          <w:numId w:val="0"/>
        </w:numPr>
        <w:spacing w:line="360" w:lineRule="auto"/>
        <w:rPr>
          <w:rFonts w:hint="eastAsia" w:ascii="宋体" w:hAnsi="宋体" w:eastAsia="宋体" w:cs="宋体"/>
          <w:color w:val="auto"/>
          <w:sz w:val="24"/>
          <w:szCs w:val="24"/>
          <w:highlight w:val="none"/>
        </w:rPr>
      </w:pPr>
    </w:p>
    <w:p>
      <w:pPr>
        <w:pStyle w:val="17"/>
        <w:numPr>
          <w:ilvl w:val="0"/>
          <w:numId w:val="0"/>
        </w:numPr>
        <w:spacing w:line="360" w:lineRule="auto"/>
        <w:rPr>
          <w:rFonts w:hint="eastAsia" w:ascii="宋体" w:hAnsi="宋体" w:eastAsia="宋体" w:cs="宋体"/>
          <w:color w:val="auto"/>
          <w:sz w:val="24"/>
          <w:szCs w:val="24"/>
          <w:highlight w:val="none"/>
        </w:rPr>
      </w:pPr>
    </w:p>
    <w:p>
      <w:pPr>
        <w:pStyle w:val="17"/>
        <w:numPr>
          <w:ilvl w:val="0"/>
          <w:numId w:val="0"/>
        </w:numPr>
        <w:spacing w:line="360" w:lineRule="auto"/>
        <w:rPr>
          <w:rFonts w:hint="eastAsia" w:ascii="宋体" w:hAnsi="宋体" w:eastAsia="宋体" w:cs="宋体"/>
          <w:color w:val="auto"/>
          <w:sz w:val="24"/>
          <w:szCs w:val="24"/>
          <w:highlight w:val="none"/>
        </w:rPr>
      </w:pPr>
    </w:p>
    <w:p>
      <w:pPr>
        <w:pStyle w:val="17"/>
        <w:numPr>
          <w:ilvl w:val="0"/>
          <w:numId w:val="0"/>
        </w:numPr>
        <w:spacing w:line="360" w:lineRule="auto"/>
        <w:rPr>
          <w:rFonts w:hint="eastAsia" w:ascii="宋体" w:hAnsi="宋体" w:eastAsia="宋体" w:cs="宋体"/>
          <w:color w:val="auto"/>
          <w:sz w:val="24"/>
          <w:szCs w:val="24"/>
          <w:highlight w:val="none"/>
        </w:rPr>
      </w:pPr>
    </w:p>
    <w:p>
      <w:pPr>
        <w:pStyle w:val="17"/>
        <w:numPr>
          <w:ilvl w:val="0"/>
          <w:numId w:val="0"/>
        </w:numPr>
        <w:spacing w:line="360" w:lineRule="auto"/>
        <w:rPr>
          <w:rFonts w:hint="eastAsia" w:ascii="宋体" w:hAnsi="宋体" w:eastAsia="宋体" w:cs="宋体"/>
          <w:color w:val="auto"/>
          <w:sz w:val="24"/>
          <w:szCs w:val="24"/>
          <w:highlight w:val="none"/>
        </w:rPr>
      </w:pPr>
    </w:p>
    <w:p>
      <w:pPr>
        <w:pStyle w:val="17"/>
        <w:numPr>
          <w:ilvl w:val="0"/>
          <w:numId w:val="0"/>
        </w:numPr>
        <w:spacing w:line="360" w:lineRule="auto"/>
        <w:rPr>
          <w:rFonts w:hint="eastAsia" w:ascii="宋体" w:hAnsi="宋体" w:eastAsia="宋体" w:cs="宋体"/>
          <w:color w:val="auto"/>
          <w:sz w:val="24"/>
          <w:szCs w:val="24"/>
          <w:highlight w:val="none"/>
        </w:rPr>
      </w:pPr>
    </w:p>
    <w:p>
      <w:pPr>
        <w:pStyle w:val="17"/>
        <w:numPr>
          <w:ilvl w:val="0"/>
          <w:numId w:val="0"/>
        </w:numPr>
        <w:spacing w:line="360" w:lineRule="auto"/>
        <w:rPr>
          <w:rFonts w:hint="eastAsia" w:ascii="宋体" w:hAnsi="宋体" w:eastAsia="宋体" w:cs="宋体"/>
          <w:color w:val="auto"/>
          <w:sz w:val="24"/>
          <w:szCs w:val="24"/>
          <w:highlight w:val="none"/>
        </w:rPr>
      </w:pPr>
    </w:p>
    <w:p>
      <w:pPr>
        <w:pStyle w:val="17"/>
        <w:numPr>
          <w:ilvl w:val="0"/>
          <w:numId w:val="0"/>
        </w:numPr>
        <w:spacing w:line="360" w:lineRule="auto"/>
        <w:rPr>
          <w:rFonts w:hint="eastAsia" w:ascii="宋体" w:hAnsi="宋体" w:eastAsia="宋体" w:cs="宋体"/>
          <w:color w:val="auto"/>
          <w:sz w:val="24"/>
          <w:szCs w:val="24"/>
          <w:highlight w:val="none"/>
        </w:rPr>
      </w:pPr>
    </w:p>
    <w:p>
      <w:pPr>
        <w:numPr>
          <w:ilvl w:val="0"/>
          <w:numId w:val="0"/>
        </w:numPr>
        <w:spacing w:line="440" w:lineRule="exact"/>
        <w:jc w:val="both"/>
        <w:rPr>
          <w:rFonts w:hint="eastAsia" w:ascii="宋体" w:hAnsi="宋体" w:eastAsia="宋体" w:cs="宋体"/>
          <w:b/>
          <w:color w:val="auto"/>
          <w:sz w:val="24"/>
          <w:szCs w:val="24"/>
          <w:highlight w:val="none"/>
          <w:lang w:eastAsia="zh-CN"/>
        </w:rPr>
      </w:pPr>
    </w:p>
    <w:p>
      <w:pPr>
        <w:pStyle w:val="22"/>
        <w:rPr>
          <w:rFonts w:hint="eastAsia" w:ascii="宋体" w:hAnsi="宋体" w:eastAsia="宋体" w:cs="宋体"/>
          <w:b/>
          <w:color w:val="auto"/>
          <w:sz w:val="24"/>
          <w:szCs w:val="24"/>
          <w:highlight w:val="none"/>
          <w:lang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sectPr>
          <w:footerReference r:id="rId6" w:type="default"/>
          <w:pgSz w:w="11906" w:h="16838"/>
          <w:pgMar w:top="1440" w:right="1800" w:bottom="1440" w:left="1800" w:header="851" w:footer="992" w:gutter="0"/>
          <w:pgNumType w:fmt="decimal"/>
          <w:cols w:space="720" w:num="1"/>
          <w:docGrid w:type="lines" w:linePitch="312" w:charSpace="0"/>
        </w:sect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w:t>
      </w:r>
      <w:r>
        <w:rPr>
          <w:rFonts w:hint="eastAsia" w:ascii="宋体" w:hAnsi="宋体" w:cs="宋体"/>
          <w:b/>
          <w:color w:val="auto"/>
          <w:sz w:val="24"/>
          <w:szCs w:val="24"/>
          <w:highlight w:val="none"/>
          <w:lang w:eastAsia="zh-CN"/>
        </w:rPr>
        <w:t>产品技术支持文件（包含但不限于产品检测报告、产品彩页或技术白皮书等）</w:t>
      </w: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pStyle w:val="17"/>
        <w:numPr>
          <w:ilvl w:val="0"/>
          <w:numId w:val="0"/>
        </w:numPr>
        <w:spacing w:line="360" w:lineRule="auto"/>
        <w:ind w:leftChars="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kern w:val="2"/>
          <w:sz w:val="24"/>
          <w:szCs w:val="24"/>
          <w:highlight w:val="none"/>
          <w:lang w:val="en-US" w:eastAsia="zh-CN" w:bidi="ar-SA"/>
        </w:rPr>
        <w:t>备品、备件清单</w:t>
      </w:r>
    </w:p>
    <w:p>
      <w:pPr>
        <w:numPr>
          <w:ilvl w:val="0"/>
          <w:numId w:val="0"/>
        </w:numPr>
        <w:spacing w:line="440" w:lineRule="exact"/>
        <w:ind w:left="0" w:leftChars="0"/>
        <w:jc w:val="center"/>
        <w:rPr>
          <w:rFonts w:hint="eastAsia" w:ascii="宋体" w:hAnsi="宋体" w:eastAsia="宋体" w:cs="宋体"/>
          <w:b/>
          <w:color w:val="auto"/>
          <w:sz w:val="24"/>
          <w:szCs w:val="24"/>
          <w:highlight w:val="none"/>
          <w:lang w:eastAsia="zh-CN"/>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投标内容：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260"/>
        <w:gridCol w:w="1801"/>
        <w:gridCol w:w="2161"/>
        <w:gridCol w:w="846"/>
        <w:gridCol w:w="928"/>
        <w:gridCol w:w="899"/>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673"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60"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备品、备件名称</w:t>
            </w:r>
          </w:p>
        </w:tc>
        <w:tc>
          <w:tcPr>
            <w:tcW w:w="1801"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2161"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生产厂家</w:t>
            </w:r>
          </w:p>
        </w:tc>
        <w:tc>
          <w:tcPr>
            <w:tcW w:w="846"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928"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899"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899"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673" w:type="dxa"/>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60" w:type="dxa"/>
            <w:noWrap w:val="0"/>
            <w:vAlign w:val="top"/>
          </w:tcPr>
          <w:p>
            <w:pPr>
              <w:spacing w:line="440" w:lineRule="exact"/>
              <w:rPr>
                <w:rFonts w:hint="eastAsia" w:ascii="宋体" w:hAnsi="宋体" w:eastAsia="宋体" w:cs="宋体"/>
                <w:color w:val="auto"/>
                <w:sz w:val="24"/>
                <w:highlight w:val="none"/>
              </w:rPr>
            </w:pPr>
          </w:p>
        </w:tc>
        <w:tc>
          <w:tcPr>
            <w:tcW w:w="1801" w:type="dxa"/>
            <w:noWrap w:val="0"/>
            <w:vAlign w:val="top"/>
          </w:tcPr>
          <w:p>
            <w:pPr>
              <w:spacing w:line="440" w:lineRule="exact"/>
              <w:rPr>
                <w:rFonts w:hint="eastAsia" w:ascii="宋体" w:hAnsi="宋体" w:eastAsia="宋体" w:cs="宋体"/>
                <w:color w:val="auto"/>
                <w:sz w:val="24"/>
                <w:highlight w:val="none"/>
              </w:rPr>
            </w:pPr>
          </w:p>
        </w:tc>
        <w:tc>
          <w:tcPr>
            <w:tcW w:w="2161" w:type="dxa"/>
            <w:noWrap w:val="0"/>
            <w:vAlign w:val="top"/>
          </w:tcPr>
          <w:p>
            <w:pPr>
              <w:spacing w:line="440" w:lineRule="exact"/>
              <w:rPr>
                <w:rFonts w:hint="eastAsia" w:ascii="宋体" w:hAnsi="宋体" w:eastAsia="宋体" w:cs="宋体"/>
                <w:color w:val="auto"/>
                <w:sz w:val="24"/>
                <w:highlight w:val="none"/>
              </w:rPr>
            </w:pPr>
          </w:p>
        </w:tc>
        <w:tc>
          <w:tcPr>
            <w:tcW w:w="846" w:type="dxa"/>
            <w:noWrap w:val="0"/>
            <w:vAlign w:val="top"/>
          </w:tcPr>
          <w:p>
            <w:pPr>
              <w:spacing w:line="440" w:lineRule="exact"/>
              <w:rPr>
                <w:rFonts w:hint="eastAsia" w:ascii="宋体" w:hAnsi="宋体" w:eastAsia="宋体" w:cs="宋体"/>
                <w:color w:val="auto"/>
                <w:sz w:val="24"/>
                <w:highlight w:val="none"/>
              </w:rPr>
            </w:pPr>
          </w:p>
        </w:tc>
        <w:tc>
          <w:tcPr>
            <w:tcW w:w="928" w:type="dxa"/>
            <w:noWrap w:val="0"/>
            <w:vAlign w:val="top"/>
          </w:tcPr>
          <w:p>
            <w:pPr>
              <w:spacing w:line="440" w:lineRule="exact"/>
              <w:rPr>
                <w:rFonts w:hint="eastAsia" w:ascii="宋体" w:hAnsi="宋体" w:eastAsia="宋体" w:cs="宋体"/>
                <w:color w:val="auto"/>
                <w:sz w:val="24"/>
                <w:highlight w:val="none"/>
              </w:rPr>
            </w:pPr>
          </w:p>
        </w:tc>
        <w:tc>
          <w:tcPr>
            <w:tcW w:w="899" w:type="dxa"/>
            <w:noWrap w:val="0"/>
            <w:vAlign w:val="top"/>
          </w:tcPr>
          <w:p>
            <w:pPr>
              <w:spacing w:line="440" w:lineRule="exact"/>
              <w:rPr>
                <w:rFonts w:hint="eastAsia" w:ascii="宋体" w:hAnsi="宋体" w:eastAsia="宋体" w:cs="宋体"/>
                <w:color w:val="auto"/>
                <w:sz w:val="24"/>
                <w:highlight w:val="none"/>
              </w:rPr>
            </w:pPr>
          </w:p>
        </w:tc>
        <w:tc>
          <w:tcPr>
            <w:tcW w:w="899"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673" w:type="dxa"/>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60" w:type="dxa"/>
            <w:noWrap w:val="0"/>
            <w:vAlign w:val="top"/>
          </w:tcPr>
          <w:p>
            <w:pPr>
              <w:spacing w:line="440" w:lineRule="exact"/>
              <w:rPr>
                <w:rFonts w:hint="eastAsia" w:ascii="宋体" w:hAnsi="宋体" w:eastAsia="宋体" w:cs="宋体"/>
                <w:color w:val="auto"/>
                <w:sz w:val="24"/>
                <w:highlight w:val="none"/>
              </w:rPr>
            </w:pPr>
          </w:p>
        </w:tc>
        <w:tc>
          <w:tcPr>
            <w:tcW w:w="1801" w:type="dxa"/>
            <w:noWrap w:val="0"/>
            <w:vAlign w:val="top"/>
          </w:tcPr>
          <w:p>
            <w:pPr>
              <w:spacing w:line="440" w:lineRule="exact"/>
              <w:rPr>
                <w:rFonts w:hint="eastAsia" w:ascii="宋体" w:hAnsi="宋体" w:eastAsia="宋体" w:cs="宋体"/>
                <w:color w:val="auto"/>
                <w:sz w:val="24"/>
                <w:highlight w:val="none"/>
              </w:rPr>
            </w:pPr>
          </w:p>
        </w:tc>
        <w:tc>
          <w:tcPr>
            <w:tcW w:w="2161" w:type="dxa"/>
            <w:noWrap w:val="0"/>
            <w:vAlign w:val="top"/>
          </w:tcPr>
          <w:p>
            <w:pPr>
              <w:spacing w:line="440" w:lineRule="exact"/>
              <w:rPr>
                <w:rFonts w:hint="eastAsia" w:ascii="宋体" w:hAnsi="宋体" w:eastAsia="宋体" w:cs="宋体"/>
                <w:color w:val="auto"/>
                <w:sz w:val="24"/>
                <w:highlight w:val="none"/>
              </w:rPr>
            </w:pPr>
          </w:p>
        </w:tc>
        <w:tc>
          <w:tcPr>
            <w:tcW w:w="846" w:type="dxa"/>
            <w:noWrap w:val="0"/>
            <w:vAlign w:val="top"/>
          </w:tcPr>
          <w:p>
            <w:pPr>
              <w:spacing w:line="440" w:lineRule="exact"/>
              <w:rPr>
                <w:rFonts w:hint="eastAsia" w:ascii="宋体" w:hAnsi="宋体" w:eastAsia="宋体" w:cs="宋体"/>
                <w:color w:val="auto"/>
                <w:sz w:val="24"/>
                <w:highlight w:val="none"/>
              </w:rPr>
            </w:pPr>
          </w:p>
        </w:tc>
        <w:tc>
          <w:tcPr>
            <w:tcW w:w="928" w:type="dxa"/>
            <w:noWrap w:val="0"/>
            <w:vAlign w:val="top"/>
          </w:tcPr>
          <w:p>
            <w:pPr>
              <w:spacing w:line="440" w:lineRule="exact"/>
              <w:rPr>
                <w:rFonts w:hint="eastAsia" w:ascii="宋体" w:hAnsi="宋体" w:eastAsia="宋体" w:cs="宋体"/>
                <w:color w:val="auto"/>
                <w:sz w:val="24"/>
                <w:highlight w:val="none"/>
              </w:rPr>
            </w:pPr>
          </w:p>
        </w:tc>
        <w:tc>
          <w:tcPr>
            <w:tcW w:w="899" w:type="dxa"/>
            <w:noWrap w:val="0"/>
            <w:vAlign w:val="top"/>
          </w:tcPr>
          <w:p>
            <w:pPr>
              <w:spacing w:line="440" w:lineRule="exact"/>
              <w:rPr>
                <w:rFonts w:hint="eastAsia" w:ascii="宋体" w:hAnsi="宋体" w:eastAsia="宋体" w:cs="宋体"/>
                <w:color w:val="auto"/>
                <w:sz w:val="24"/>
                <w:highlight w:val="none"/>
              </w:rPr>
            </w:pPr>
          </w:p>
        </w:tc>
        <w:tc>
          <w:tcPr>
            <w:tcW w:w="899"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673" w:type="dxa"/>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60" w:type="dxa"/>
            <w:noWrap w:val="0"/>
            <w:vAlign w:val="top"/>
          </w:tcPr>
          <w:p>
            <w:pPr>
              <w:spacing w:line="440" w:lineRule="exact"/>
              <w:rPr>
                <w:rFonts w:hint="eastAsia" w:ascii="宋体" w:hAnsi="宋体" w:eastAsia="宋体" w:cs="宋体"/>
                <w:color w:val="auto"/>
                <w:sz w:val="24"/>
                <w:highlight w:val="none"/>
              </w:rPr>
            </w:pPr>
          </w:p>
        </w:tc>
        <w:tc>
          <w:tcPr>
            <w:tcW w:w="1801" w:type="dxa"/>
            <w:noWrap w:val="0"/>
            <w:vAlign w:val="top"/>
          </w:tcPr>
          <w:p>
            <w:pPr>
              <w:spacing w:line="440" w:lineRule="exact"/>
              <w:rPr>
                <w:rFonts w:hint="eastAsia" w:ascii="宋体" w:hAnsi="宋体" w:eastAsia="宋体" w:cs="宋体"/>
                <w:color w:val="auto"/>
                <w:sz w:val="24"/>
                <w:highlight w:val="none"/>
              </w:rPr>
            </w:pPr>
          </w:p>
        </w:tc>
        <w:tc>
          <w:tcPr>
            <w:tcW w:w="2161" w:type="dxa"/>
            <w:noWrap w:val="0"/>
            <w:vAlign w:val="top"/>
          </w:tcPr>
          <w:p>
            <w:pPr>
              <w:spacing w:line="440" w:lineRule="exact"/>
              <w:rPr>
                <w:rFonts w:hint="eastAsia" w:ascii="宋体" w:hAnsi="宋体" w:eastAsia="宋体" w:cs="宋体"/>
                <w:color w:val="auto"/>
                <w:sz w:val="24"/>
                <w:highlight w:val="none"/>
              </w:rPr>
            </w:pPr>
          </w:p>
        </w:tc>
        <w:tc>
          <w:tcPr>
            <w:tcW w:w="846" w:type="dxa"/>
            <w:noWrap w:val="0"/>
            <w:vAlign w:val="top"/>
          </w:tcPr>
          <w:p>
            <w:pPr>
              <w:spacing w:line="440" w:lineRule="exact"/>
              <w:rPr>
                <w:rFonts w:hint="eastAsia" w:ascii="宋体" w:hAnsi="宋体" w:eastAsia="宋体" w:cs="宋体"/>
                <w:color w:val="auto"/>
                <w:sz w:val="24"/>
                <w:highlight w:val="none"/>
              </w:rPr>
            </w:pPr>
          </w:p>
        </w:tc>
        <w:tc>
          <w:tcPr>
            <w:tcW w:w="928" w:type="dxa"/>
            <w:noWrap w:val="0"/>
            <w:vAlign w:val="top"/>
          </w:tcPr>
          <w:p>
            <w:pPr>
              <w:spacing w:line="440" w:lineRule="exact"/>
              <w:rPr>
                <w:rFonts w:hint="eastAsia" w:ascii="宋体" w:hAnsi="宋体" w:eastAsia="宋体" w:cs="宋体"/>
                <w:color w:val="auto"/>
                <w:sz w:val="24"/>
                <w:highlight w:val="none"/>
              </w:rPr>
            </w:pPr>
          </w:p>
        </w:tc>
        <w:tc>
          <w:tcPr>
            <w:tcW w:w="899" w:type="dxa"/>
            <w:noWrap w:val="0"/>
            <w:vAlign w:val="top"/>
          </w:tcPr>
          <w:p>
            <w:pPr>
              <w:spacing w:line="440" w:lineRule="exact"/>
              <w:rPr>
                <w:rFonts w:hint="eastAsia" w:ascii="宋体" w:hAnsi="宋体" w:eastAsia="宋体" w:cs="宋体"/>
                <w:color w:val="auto"/>
                <w:sz w:val="24"/>
                <w:highlight w:val="none"/>
              </w:rPr>
            </w:pPr>
          </w:p>
        </w:tc>
        <w:tc>
          <w:tcPr>
            <w:tcW w:w="899"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673" w:type="dxa"/>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60" w:type="dxa"/>
            <w:noWrap w:val="0"/>
            <w:vAlign w:val="top"/>
          </w:tcPr>
          <w:p>
            <w:pPr>
              <w:spacing w:line="440" w:lineRule="exact"/>
              <w:rPr>
                <w:rFonts w:hint="eastAsia" w:ascii="宋体" w:hAnsi="宋体" w:eastAsia="宋体" w:cs="宋体"/>
                <w:color w:val="auto"/>
                <w:sz w:val="24"/>
                <w:highlight w:val="none"/>
              </w:rPr>
            </w:pPr>
          </w:p>
        </w:tc>
        <w:tc>
          <w:tcPr>
            <w:tcW w:w="1801" w:type="dxa"/>
            <w:noWrap w:val="0"/>
            <w:vAlign w:val="top"/>
          </w:tcPr>
          <w:p>
            <w:pPr>
              <w:spacing w:line="440" w:lineRule="exact"/>
              <w:rPr>
                <w:rFonts w:hint="eastAsia" w:ascii="宋体" w:hAnsi="宋体" w:eastAsia="宋体" w:cs="宋体"/>
                <w:color w:val="auto"/>
                <w:sz w:val="24"/>
                <w:highlight w:val="none"/>
              </w:rPr>
            </w:pPr>
          </w:p>
        </w:tc>
        <w:tc>
          <w:tcPr>
            <w:tcW w:w="2161" w:type="dxa"/>
            <w:noWrap w:val="0"/>
            <w:vAlign w:val="top"/>
          </w:tcPr>
          <w:p>
            <w:pPr>
              <w:spacing w:line="440" w:lineRule="exact"/>
              <w:rPr>
                <w:rFonts w:hint="eastAsia" w:ascii="宋体" w:hAnsi="宋体" w:eastAsia="宋体" w:cs="宋体"/>
                <w:color w:val="auto"/>
                <w:sz w:val="24"/>
                <w:highlight w:val="none"/>
              </w:rPr>
            </w:pPr>
          </w:p>
        </w:tc>
        <w:tc>
          <w:tcPr>
            <w:tcW w:w="846" w:type="dxa"/>
            <w:noWrap w:val="0"/>
            <w:vAlign w:val="top"/>
          </w:tcPr>
          <w:p>
            <w:pPr>
              <w:spacing w:line="440" w:lineRule="exact"/>
              <w:rPr>
                <w:rFonts w:hint="eastAsia" w:ascii="宋体" w:hAnsi="宋体" w:eastAsia="宋体" w:cs="宋体"/>
                <w:color w:val="auto"/>
                <w:sz w:val="24"/>
                <w:highlight w:val="none"/>
              </w:rPr>
            </w:pPr>
          </w:p>
        </w:tc>
        <w:tc>
          <w:tcPr>
            <w:tcW w:w="928" w:type="dxa"/>
            <w:noWrap w:val="0"/>
            <w:vAlign w:val="top"/>
          </w:tcPr>
          <w:p>
            <w:pPr>
              <w:spacing w:line="440" w:lineRule="exact"/>
              <w:rPr>
                <w:rFonts w:hint="eastAsia" w:ascii="宋体" w:hAnsi="宋体" w:eastAsia="宋体" w:cs="宋体"/>
                <w:color w:val="auto"/>
                <w:sz w:val="24"/>
                <w:highlight w:val="none"/>
              </w:rPr>
            </w:pPr>
          </w:p>
        </w:tc>
        <w:tc>
          <w:tcPr>
            <w:tcW w:w="899" w:type="dxa"/>
            <w:noWrap w:val="0"/>
            <w:vAlign w:val="top"/>
          </w:tcPr>
          <w:p>
            <w:pPr>
              <w:spacing w:line="440" w:lineRule="exact"/>
              <w:rPr>
                <w:rFonts w:hint="eastAsia" w:ascii="宋体" w:hAnsi="宋体" w:eastAsia="宋体" w:cs="宋体"/>
                <w:color w:val="auto"/>
                <w:sz w:val="24"/>
                <w:highlight w:val="none"/>
              </w:rPr>
            </w:pPr>
          </w:p>
        </w:tc>
        <w:tc>
          <w:tcPr>
            <w:tcW w:w="899" w:type="dxa"/>
            <w:noWrap w:val="0"/>
            <w:vAlign w:val="top"/>
          </w:tcPr>
          <w:p>
            <w:pPr>
              <w:spacing w:line="440" w:lineRule="exact"/>
              <w:rPr>
                <w:rFonts w:hint="eastAsia" w:ascii="宋体" w:hAnsi="宋体" w:eastAsia="宋体" w:cs="宋体"/>
                <w:color w:val="auto"/>
                <w:sz w:val="24"/>
                <w:highlight w:val="none"/>
              </w:rPr>
            </w:pPr>
          </w:p>
        </w:tc>
      </w:tr>
    </w:tbl>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 xml:space="preserve">名称（加盖公章）：     </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法定代表人（盖章）：                  </w:t>
      </w:r>
    </w:p>
    <w:p>
      <w:pPr>
        <w:pStyle w:val="17"/>
        <w:numPr>
          <w:ilvl w:val="0"/>
          <w:numId w:val="0"/>
        </w:numPr>
        <w:spacing w:line="360" w:lineRule="auto"/>
        <w:ind w:leftChars="0"/>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highlight w:val="none"/>
        </w:rPr>
        <w:t>日期：　</w:t>
      </w:r>
      <w:r>
        <w:rPr>
          <w:rFonts w:hint="eastAsia" w:ascii="宋体" w:hAnsi="宋体" w:eastAsia="宋体" w:cs="宋体"/>
          <w:b/>
          <w:color w:val="auto"/>
          <w:sz w:val="24"/>
          <w:szCs w:val="24"/>
          <w:highlight w:val="none"/>
          <w:lang w:val="en-US" w:eastAsia="zh-CN"/>
        </w:rPr>
        <w:br w:type="page"/>
      </w: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lang w:eastAsia="zh-CN"/>
        </w:rPr>
        <w:t>规格、技术参数偏离表</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投标内容：</w:t>
      </w:r>
    </w:p>
    <w:tbl>
      <w:tblPr>
        <w:tblStyle w:val="30"/>
        <w:tblW w:w="9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749"/>
        <w:gridCol w:w="2066"/>
        <w:gridCol w:w="2405"/>
        <w:gridCol w:w="1348"/>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729"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49"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文件规格条目号</w:t>
            </w:r>
          </w:p>
        </w:tc>
        <w:tc>
          <w:tcPr>
            <w:tcW w:w="2066"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招标规格</w:t>
            </w:r>
          </w:p>
        </w:tc>
        <w:tc>
          <w:tcPr>
            <w:tcW w:w="2405"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投标规格</w:t>
            </w:r>
          </w:p>
        </w:tc>
        <w:tc>
          <w:tcPr>
            <w:tcW w:w="1348"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w:t>
            </w:r>
          </w:p>
        </w:tc>
        <w:tc>
          <w:tcPr>
            <w:tcW w:w="857"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29" w:type="dxa"/>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49" w:type="dxa"/>
            <w:noWrap w:val="0"/>
            <w:vAlign w:val="top"/>
          </w:tcPr>
          <w:p>
            <w:pPr>
              <w:spacing w:line="440" w:lineRule="exact"/>
              <w:rPr>
                <w:rFonts w:hint="eastAsia" w:ascii="宋体" w:hAnsi="宋体" w:eastAsia="宋体" w:cs="宋体"/>
                <w:color w:val="auto"/>
                <w:sz w:val="24"/>
                <w:highlight w:val="none"/>
              </w:rPr>
            </w:pPr>
          </w:p>
        </w:tc>
        <w:tc>
          <w:tcPr>
            <w:tcW w:w="2066" w:type="dxa"/>
            <w:noWrap w:val="0"/>
            <w:vAlign w:val="top"/>
          </w:tcPr>
          <w:p>
            <w:pPr>
              <w:spacing w:line="440" w:lineRule="exact"/>
              <w:rPr>
                <w:rFonts w:hint="eastAsia" w:ascii="宋体" w:hAnsi="宋体" w:eastAsia="宋体" w:cs="宋体"/>
                <w:color w:val="auto"/>
                <w:sz w:val="24"/>
                <w:highlight w:val="none"/>
              </w:rPr>
            </w:pPr>
          </w:p>
        </w:tc>
        <w:tc>
          <w:tcPr>
            <w:tcW w:w="2405" w:type="dxa"/>
            <w:noWrap w:val="0"/>
            <w:vAlign w:val="top"/>
          </w:tcPr>
          <w:p>
            <w:pPr>
              <w:spacing w:line="440" w:lineRule="exact"/>
              <w:rPr>
                <w:rFonts w:hint="eastAsia" w:ascii="宋体" w:hAnsi="宋体" w:eastAsia="宋体" w:cs="宋体"/>
                <w:color w:val="auto"/>
                <w:sz w:val="24"/>
                <w:highlight w:val="none"/>
              </w:rPr>
            </w:pPr>
          </w:p>
        </w:tc>
        <w:tc>
          <w:tcPr>
            <w:tcW w:w="1348" w:type="dxa"/>
            <w:noWrap w:val="0"/>
            <w:vAlign w:val="top"/>
          </w:tcPr>
          <w:p>
            <w:pPr>
              <w:spacing w:line="440" w:lineRule="exact"/>
              <w:rPr>
                <w:rFonts w:hint="eastAsia" w:ascii="宋体" w:hAnsi="宋体" w:eastAsia="宋体" w:cs="宋体"/>
                <w:color w:val="auto"/>
                <w:sz w:val="24"/>
                <w:highlight w:val="none"/>
              </w:rPr>
            </w:pPr>
          </w:p>
        </w:tc>
        <w:tc>
          <w:tcPr>
            <w:tcW w:w="857"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29" w:type="dxa"/>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49" w:type="dxa"/>
            <w:noWrap w:val="0"/>
            <w:vAlign w:val="top"/>
          </w:tcPr>
          <w:p>
            <w:pPr>
              <w:spacing w:line="440" w:lineRule="exact"/>
              <w:rPr>
                <w:rFonts w:hint="eastAsia" w:ascii="宋体" w:hAnsi="宋体" w:eastAsia="宋体" w:cs="宋体"/>
                <w:color w:val="auto"/>
                <w:sz w:val="24"/>
                <w:highlight w:val="none"/>
              </w:rPr>
            </w:pPr>
          </w:p>
        </w:tc>
        <w:tc>
          <w:tcPr>
            <w:tcW w:w="2066" w:type="dxa"/>
            <w:noWrap w:val="0"/>
            <w:vAlign w:val="top"/>
          </w:tcPr>
          <w:p>
            <w:pPr>
              <w:spacing w:line="440" w:lineRule="exact"/>
              <w:rPr>
                <w:rFonts w:hint="eastAsia" w:ascii="宋体" w:hAnsi="宋体" w:eastAsia="宋体" w:cs="宋体"/>
                <w:color w:val="auto"/>
                <w:sz w:val="24"/>
                <w:highlight w:val="none"/>
              </w:rPr>
            </w:pPr>
          </w:p>
        </w:tc>
        <w:tc>
          <w:tcPr>
            <w:tcW w:w="2405" w:type="dxa"/>
            <w:noWrap w:val="0"/>
            <w:vAlign w:val="top"/>
          </w:tcPr>
          <w:p>
            <w:pPr>
              <w:spacing w:line="440" w:lineRule="exact"/>
              <w:rPr>
                <w:rFonts w:hint="eastAsia" w:ascii="宋体" w:hAnsi="宋体" w:eastAsia="宋体" w:cs="宋体"/>
                <w:color w:val="auto"/>
                <w:sz w:val="24"/>
                <w:highlight w:val="none"/>
              </w:rPr>
            </w:pPr>
          </w:p>
        </w:tc>
        <w:tc>
          <w:tcPr>
            <w:tcW w:w="1348" w:type="dxa"/>
            <w:noWrap w:val="0"/>
            <w:vAlign w:val="top"/>
          </w:tcPr>
          <w:p>
            <w:pPr>
              <w:spacing w:line="440" w:lineRule="exact"/>
              <w:rPr>
                <w:rFonts w:hint="eastAsia" w:ascii="宋体" w:hAnsi="宋体" w:eastAsia="宋体" w:cs="宋体"/>
                <w:color w:val="auto"/>
                <w:sz w:val="24"/>
                <w:highlight w:val="none"/>
              </w:rPr>
            </w:pPr>
          </w:p>
        </w:tc>
        <w:tc>
          <w:tcPr>
            <w:tcW w:w="857"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29" w:type="dxa"/>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49" w:type="dxa"/>
            <w:noWrap w:val="0"/>
            <w:vAlign w:val="top"/>
          </w:tcPr>
          <w:p>
            <w:pPr>
              <w:spacing w:line="440" w:lineRule="exact"/>
              <w:rPr>
                <w:rFonts w:hint="eastAsia" w:ascii="宋体" w:hAnsi="宋体" w:eastAsia="宋体" w:cs="宋体"/>
                <w:color w:val="auto"/>
                <w:sz w:val="24"/>
                <w:highlight w:val="none"/>
              </w:rPr>
            </w:pPr>
          </w:p>
        </w:tc>
        <w:tc>
          <w:tcPr>
            <w:tcW w:w="2066" w:type="dxa"/>
            <w:noWrap w:val="0"/>
            <w:vAlign w:val="top"/>
          </w:tcPr>
          <w:p>
            <w:pPr>
              <w:spacing w:line="440" w:lineRule="exact"/>
              <w:rPr>
                <w:rFonts w:hint="eastAsia" w:ascii="宋体" w:hAnsi="宋体" w:eastAsia="宋体" w:cs="宋体"/>
                <w:color w:val="auto"/>
                <w:sz w:val="24"/>
                <w:highlight w:val="none"/>
              </w:rPr>
            </w:pPr>
          </w:p>
        </w:tc>
        <w:tc>
          <w:tcPr>
            <w:tcW w:w="2405" w:type="dxa"/>
            <w:noWrap w:val="0"/>
            <w:vAlign w:val="top"/>
          </w:tcPr>
          <w:p>
            <w:pPr>
              <w:spacing w:line="440" w:lineRule="exact"/>
              <w:rPr>
                <w:rFonts w:hint="eastAsia" w:ascii="宋体" w:hAnsi="宋体" w:eastAsia="宋体" w:cs="宋体"/>
                <w:color w:val="auto"/>
                <w:sz w:val="24"/>
                <w:highlight w:val="none"/>
              </w:rPr>
            </w:pPr>
          </w:p>
        </w:tc>
        <w:tc>
          <w:tcPr>
            <w:tcW w:w="1348" w:type="dxa"/>
            <w:noWrap w:val="0"/>
            <w:vAlign w:val="top"/>
          </w:tcPr>
          <w:p>
            <w:pPr>
              <w:spacing w:line="440" w:lineRule="exact"/>
              <w:rPr>
                <w:rFonts w:hint="eastAsia" w:ascii="宋体" w:hAnsi="宋体" w:eastAsia="宋体" w:cs="宋体"/>
                <w:color w:val="auto"/>
                <w:sz w:val="24"/>
                <w:highlight w:val="none"/>
              </w:rPr>
            </w:pPr>
          </w:p>
        </w:tc>
        <w:tc>
          <w:tcPr>
            <w:tcW w:w="857"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29" w:type="dxa"/>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49" w:type="dxa"/>
            <w:noWrap w:val="0"/>
            <w:vAlign w:val="top"/>
          </w:tcPr>
          <w:p>
            <w:pPr>
              <w:spacing w:line="440" w:lineRule="exact"/>
              <w:rPr>
                <w:rFonts w:hint="eastAsia" w:ascii="宋体" w:hAnsi="宋体" w:eastAsia="宋体" w:cs="宋体"/>
                <w:color w:val="auto"/>
                <w:sz w:val="24"/>
                <w:highlight w:val="none"/>
              </w:rPr>
            </w:pPr>
          </w:p>
        </w:tc>
        <w:tc>
          <w:tcPr>
            <w:tcW w:w="2066" w:type="dxa"/>
            <w:noWrap w:val="0"/>
            <w:vAlign w:val="top"/>
          </w:tcPr>
          <w:p>
            <w:pPr>
              <w:spacing w:line="440" w:lineRule="exact"/>
              <w:rPr>
                <w:rFonts w:hint="eastAsia" w:ascii="宋体" w:hAnsi="宋体" w:eastAsia="宋体" w:cs="宋体"/>
                <w:color w:val="auto"/>
                <w:sz w:val="24"/>
                <w:highlight w:val="none"/>
              </w:rPr>
            </w:pPr>
          </w:p>
        </w:tc>
        <w:tc>
          <w:tcPr>
            <w:tcW w:w="2405" w:type="dxa"/>
            <w:noWrap w:val="0"/>
            <w:vAlign w:val="top"/>
          </w:tcPr>
          <w:p>
            <w:pPr>
              <w:spacing w:line="440" w:lineRule="exact"/>
              <w:rPr>
                <w:rFonts w:hint="eastAsia" w:ascii="宋体" w:hAnsi="宋体" w:eastAsia="宋体" w:cs="宋体"/>
                <w:color w:val="auto"/>
                <w:sz w:val="24"/>
                <w:highlight w:val="none"/>
              </w:rPr>
            </w:pPr>
          </w:p>
        </w:tc>
        <w:tc>
          <w:tcPr>
            <w:tcW w:w="1348" w:type="dxa"/>
            <w:noWrap w:val="0"/>
            <w:vAlign w:val="top"/>
          </w:tcPr>
          <w:p>
            <w:pPr>
              <w:spacing w:line="440" w:lineRule="exact"/>
              <w:rPr>
                <w:rFonts w:hint="eastAsia" w:ascii="宋体" w:hAnsi="宋体" w:eastAsia="宋体" w:cs="宋体"/>
                <w:color w:val="auto"/>
                <w:sz w:val="24"/>
                <w:highlight w:val="none"/>
              </w:rPr>
            </w:pPr>
          </w:p>
        </w:tc>
        <w:tc>
          <w:tcPr>
            <w:tcW w:w="857" w:type="dxa"/>
            <w:noWrap w:val="0"/>
            <w:vAlign w:val="top"/>
          </w:tcPr>
          <w:p>
            <w:pPr>
              <w:spacing w:line="440" w:lineRule="exact"/>
              <w:rPr>
                <w:rFonts w:hint="eastAsia" w:ascii="宋体" w:hAnsi="宋体" w:eastAsia="宋体" w:cs="宋体"/>
                <w:color w:val="auto"/>
                <w:sz w:val="24"/>
                <w:highlight w:val="none"/>
              </w:rPr>
            </w:pPr>
          </w:p>
        </w:tc>
      </w:tr>
    </w:tbl>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注：与</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文件</w:t>
      </w:r>
      <w:r>
        <w:rPr>
          <w:rFonts w:hint="eastAsia" w:ascii="宋体" w:hAnsi="宋体" w:cs="宋体"/>
          <w:color w:val="auto"/>
          <w:sz w:val="24"/>
          <w:highlight w:val="none"/>
          <w:lang w:val="en-US" w:eastAsia="zh-CN"/>
        </w:rPr>
        <w:t>技术参数</w:t>
      </w:r>
      <w:r>
        <w:rPr>
          <w:rFonts w:hint="eastAsia" w:ascii="宋体" w:hAnsi="宋体" w:eastAsia="宋体" w:cs="宋体"/>
          <w:color w:val="auto"/>
          <w:sz w:val="24"/>
          <w:highlight w:val="none"/>
        </w:rPr>
        <w:t>要求逐条对应填写。</w:t>
      </w:r>
    </w:p>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 xml:space="preserve">名称（加盖公章）：     </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法定代表人（盖章）：                  </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w:t>
      </w: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numPr>
          <w:ilvl w:val="0"/>
          <w:numId w:val="0"/>
        </w:numPr>
        <w:spacing w:line="440" w:lineRule="exact"/>
        <w:ind w:left="0" w:left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lang w:eastAsia="zh-CN"/>
        </w:rPr>
        <w:t>服务团队配备情况</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（1）服务团队配备情况表（人员数量、专业种类</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证书等</w:t>
      </w:r>
      <w:r>
        <w:rPr>
          <w:rFonts w:hint="eastAsia" w:ascii="宋体" w:hAnsi="宋体" w:eastAsia="宋体" w:cs="宋体"/>
          <w:color w:val="auto"/>
          <w:sz w:val="24"/>
          <w:highlight w:val="none"/>
        </w:rPr>
        <w:t>）</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（2）主要负责人简历表</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认为有必要提供的其他文件</w:t>
      </w:r>
    </w:p>
    <w:p>
      <w:pPr>
        <w:widowControl/>
        <w:jc w:val="left"/>
        <w:rPr>
          <w:rFonts w:hint="eastAsia" w:ascii="宋体" w:hAnsi="宋体" w:eastAsia="宋体" w:cs="宋体"/>
          <w:b/>
          <w:color w:val="auto"/>
          <w:sz w:val="32"/>
          <w:szCs w:val="32"/>
          <w:highlight w:val="none"/>
        </w:rPr>
      </w:pPr>
    </w:p>
    <w:p>
      <w:pPr>
        <w:numPr>
          <w:ilvl w:val="0"/>
          <w:numId w:val="7"/>
        </w:num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项目负责人简历表</w:t>
      </w:r>
    </w:p>
    <w:tbl>
      <w:tblPr>
        <w:tblStyle w:val="30"/>
        <w:tblpPr w:leftFromText="180" w:rightFromText="180" w:vertAnchor="text" w:horzAnchor="page" w:tblpX="1754" w:tblpY="560"/>
        <w:tblOverlap w:val="never"/>
        <w:tblW w:w="9259" w:type="dxa"/>
        <w:tblInd w:w="0" w:type="dxa"/>
        <w:tblLayout w:type="fixed"/>
        <w:tblCellMar>
          <w:top w:w="0" w:type="dxa"/>
          <w:left w:w="108" w:type="dxa"/>
          <w:bottom w:w="0" w:type="dxa"/>
          <w:right w:w="108" w:type="dxa"/>
        </w:tblCellMar>
      </w:tblPr>
      <w:tblGrid>
        <w:gridCol w:w="1285"/>
        <w:gridCol w:w="2422"/>
        <w:gridCol w:w="1005"/>
        <w:gridCol w:w="1072"/>
        <w:gridCol w:w="1715"/>
        <w:gridCol w:w="1760"/>
      </w:tblGrid>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tc>
        <w:tc>
          <w:tcPr>
            <w:tcW w:w="1760"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760"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760"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服务时间</w:t>
            </w:r>
          </w:p>
        </w:tc>
        <w:tc>
          <w:tcPr>
            <w:tcW w:w="1760"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主要经历</w:t>
            </w:r>
          </w:p>
          <w:p>
            <w:pPr>
              <w:spacing w:line="440" w:lineRule="exact"/>
              <w:rPr>
                <w:rFonts w:hint="eastAsia" w:ascii="宋体" w:hAnsi="宋体" w:eastAsia="宋体" w:cs="宋体"/>
                <w:color w:val="auto"/>
                <w:sz w:val="24"/>
                <w:highlight w:val="none"/>
              </w:rPr>
            </w:pPr>
          </w:p>
        </w:tc>
        <w:tc>
          <w:tcPr>
            <w:tcW w:w="7974"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担任何职务</w:t>
            </w:r>
          </w:p>
        </w:tc>
        <w:tc>
          <w:tcPr>
            <w:tcW w:w="1760"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1760"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1760"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c>
          <w:tcPr>
            <w:tcW w:w="1760"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highlight w:val="none"/>
              </w:rPr>
            </w:pPr>
          </w:p>
        </w:tc>
      </w:tr>
    </w:tbl>
    <w:p>
      <w:pPr>
        <w:autoSpaceDE w:val="0"/>
        <w:autoSpaceDN w:val="0"/>
        <w:adjustRightInd w:val="0"/>
        <w:spacing w:line="440" w:lineRule="exact"/>
        <w:rPr>
          <w:rFonts w:hint="eastAsia" w:ascii="宋体" w:hAnsi="宋体" w:eastAsia="宋体" w:cs="宋体"/>
          <w:b/>
          <w:bCs/>
          <w:color w:val="auto"/>
          <w:sz w:val="24"/>
          <w:highlight w:val="none"/>
        </w:rPr>
      </w:pPr>
    </w:p>
    <w:p>
      <w:pPr>
        <w:widowControl/>
        <w:jc w:val="left"/>
        <w:rPr>
          <w:rFonts w:hint="eastAsia" w:ascii="宋体" w:hAnsi="宋体" w:eastAsia="宋体" w:cs="宋体"/>
          <w:b/>
          <w:bCs/>
          <w:color w:val="auto"/>
          <w:sz w:val="24"/>
          <w:highlight w:val="none"/>
        </w:rPr>
      </w:pPr>
    </w:p>
    <w:p>
      <w:pPr>
        <w:autoSpaceDE w:val="0"/>
        <w:autoSpaceDN w:val="0"/>
        <w:adjustRightInd w:val="0"/>
        <w:spacing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2、拟投入本项目的主要成员表</w:t>
      </w:r>
    </w:p>
    <w:tbl>
      <w:tblPr>
        <w:tblStyle w:val="30"/>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602"/>
        <w:gridCol w:w="1556"/>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330"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040"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602"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556"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岗位</w:t>
            </w:r>
          </w:p>
        </w:tc>
        <w:tc>
          <w:tcPr>
            <w:tcW w:w="2122"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30" w:type="dxa"/>
            <w:noWrap w:val="0"/>
            <w:vAlign w:val="top"/>
          </w:tcPr>
          <w:p>
            <w:pPr>
              <w:spacing w:line="440" w:lineRule="exact"/>
              <w:jc w:val="center"/>
              <w:rPr>
                <w:rFonts w:hint="eastAsia" w:ascii="宋体" w:hAnsi="宋体" w:eastAsia="宋体" w:cs="宋体"/>
                <w:color w:val="auto"/>
                <w:sz w:val="24"/>
                <w:highlight w:val="none"/>
              </w:rPr>
            </w:pPr>
          </w:p>
        </w:tc>
        <w:tc>
          <w:tcPr>
            <w:tcW w:w="2040" w:type="dxa"/>
            <w:noWrap w:val="0"/>
            <w:vAlign w:val="top"/>
          </w:tcPr>
          <w:p>
            <w:pPr>
              <w:spacing w:line="440" w:lineRule="exact"/>
              <w:jc w:val="center"/>
              <w:rPr>
                <w:rFonts w:hint="eastAsia" w:ascii="宋体" w:hAnsi="宋体" w:eastAsia="宋体" w:cs="宋体"/>
                <w:color w:val="auto"/>
                <w:sz w:val="24"/>
                <w:highlight w:val="none"/>
              </w:rPr>
            </w:pPr>
          </w:p>
        </w:tc>
        <w:tc>
          <w:tcPr>
            <w:tcW w:w="1602" w:type="dxa"/>
            <w:noWrap w:val="0"/>
            <w:vAlign w:val="top"/>
          </w:tcPr>
          <w:p>
            <w:pPr>
              <w:spacing w:line="440" w:lineRule="exact"/>
              <w:jc w:val="center"/>
              <w:rPr>
                <w:rFonts w:hint="eastAsia" w:ascii="宋体" w:hAnsi="宋体" w:eastAsia="宋体" w:cs="宋体"/>
                <w:color w:val="auto"/>
                <w:sz w:val="24"/>
                <w:highlight w:val="none"/>
              </w:rPr>
            </w:pPr>
          </w:p>
        </w:tc>
        <w:tc>
          <w:tcPr>
            <w:tcW w:w="1556" w:type="dxa"/>
            <w:noWrap w:val="0"/>
            <w:vAlign w:val="top"/>
          </w:tcPr>
          <w:p>
            <w:pPr>
              <w:spacing w:line="440" w:lineRule="exact"/>
              <w:jc w:val="center"/>
              <w:rPr>
                <w:rFonts w:hint="eastAsia" w:ascii="宋体" w:hAnsi="宋体" w:eastAsia="宋体" w:cs="宋体"/>
                <w:color w:val="auto"/>
                <w:sz w:val="24"/>
                <w:highlight w:val="none"/>
              </w:rPr>
            </w:pPr>
          </w:p>
        </w:tc>
        <w:tc>
          <w:tcPr>
            <w:tcW w:w="2122"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noWrap w:val="0"/>
            <w:vAlign w:val="top"/>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330" w:type="dxa"/>
            <w:noWrap w:val="0"/>
            <w:vAlign w:val="top"/>
          </w:tcPr>
          <w:p>
            <w:pPr>
              <w:spacing w:line="440" w:lineRule="exact"/>
              <w:jc w:val="center"/>
              <w:rPr>
                <w:rFonts w:hint="eastAsia" w:ascii="宋体" w:hAnsi="宋体" w:eastAsia="宋体" w:cs="宋体"/>
                <w:color w:val="auto"/>
                <w:sz w:val="24"/>
                <w:highlight w:val="none"/>
              </w:rPr>
            </w:pPr>
          </w:p>
        </w:tc>
        <w:tc>
          <w:tcPr>
            <w:tcW w:w="2040" w:type="dxa"/>
            <w:noWrap w:val="0"/>
            <w:vAlign w:val="top"/>
          </w:tcPr>
          <w:p>
            <w:pPr>
              <w:spacing w:line="440" w:lineRule="exact"/>
              <w:jc w:val="center"/>
              <w:rPr>
                <w:rFonts w:hint="eastAsia" w:ascii="宋体" w:hAnsi="宋体" w:eastAsia="宋体" w:cs="宋体"/>
                <w:color w:val="auto"/>
                <w:sz w:val="24"/>
                <w:highlight w:val="none"/>
              </w:rPr>
            </w:pPr>
          </w:p>
        </w:tc>
        <w:tc>
          <w:tcPr>
            <w:tcW w:w="1602" w:type="dxa"/>
            <w:noWrap w:val="0"/>
            <w:vAlign w:val="top"/>
          </w:tcPr>
          <w:p>
            <w:pPr>
              <w:spacing w:line="440" w:lineRule="exact"/>
              <w:jc w:val="center"/>
              <w:rPr>
                <w:rFonts w:hint="eastAsia" w:ascii="宋体" w:hAnsi="宋体" w:eastAsia="宋体" w:cs="宋体"/>
                <w:color w:val="auto"/>
                <w:sz w:val="24"/>
                <w:highlight w:val="none"/>
              </w:rPr>
            </w:pPr>
          </w:p>
        </w:tc>
        <w:tc>
          <w:tcPr>
            <w:tcW w:w="1556" w:type="dxa"/>
            <w:noWrap w:val="0"/>
            <w:vAlign w:val="top"/>
          </w:tcPr>
          <w:p>
            <w:pPr>
              <w:spacing w:line="440" w:lineRule="exact"/>
              <w:jc w:val="center"/>
              <w:rPr>
                <w:rFonts w:hint="eastAsia" w:ascii="宋体" w:hAnsi="宋体" w:eastAsia="宋体" w:cs="宋体"/>
                <w:color w:val="auto"/>
                <w:sz w:val="24"/>
                <w:highlight w:val="none"/>
              </w:rPr>
            </w:pPr>
          </w:p>
        </w:tc>
        <w:tc>
          <w:tcPr>
            <w:tcW w:w="2122"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330" w:type="dxa"/>
            <w:noWrap w:val="0"/>
            <w:vAlign w:val="top"/>
          </w:tcPr>
          <w:p>
            <w:pPr>
              <w:spacing w:line="440" w:lineRule="exact"/>
              <w:jc w:val="center"/>
              <w:rPr>
                <w:rFonts w:hint="eastAsia" w:ascii="宋体" w:hAnsi="宋体" w:eastAsia="宋体" w:cs="宋体"/>
                <w:color w:val="auto"/>
                <w:sz w:val="24"/>
                <w:highlight w:val="none"/>
              </w:rPr>
            </w:pPr>
          </w:p>
        </w:tc>
        <w:tc>
          <w:tcPr>
            <w:tcW w:w="2040" w:type="dxa"/>
            <w:noWrap w:val="0"/>
            <w:vAlign w:val="top"/>
          </w:tcPr>
          <w:p>
            <w:pPr>
              <w:spacing w:line="440" w:lineRule="exact"/>
              <w:jc w:val="center"/>
              <w:rPr>
                <w:rFonts w:hint="eastAsia" w:ascii="宋体" w:hAnsi="宋体" w:eastAsia="宋体" w:cs="宋体"/>
                <w:color w:val="auto"/>
                <w:sz w:val="24"/>
                <w:highlight w:val="none"/>
              </w:rPr>
            </w:pPr>
          </w:p>
        </w:tc>
        <w:tc>
          <w:tcPr>
            <w:tcW w:w="1602" w:type="dxa"/>
            <w:noWrap w:val="0"/>
            <w:vAlign w:val="top"/>
          </w:tcPr>
          <w:p>
            <w:pPr>
              <w:spacing w:line="440" w:lineRule="exact"/>
              <w:jc w:val="center"/>
              <w:rPr>
                <w:rFonts w:hint="eastAsia" w:ascii="宋体" w:hAnsi="宋体" w:eastAsia="宋体" w:cs="宋体"/>
                <w:color w:val="auto"/>
                <w:sz w:val="24"/>
                <w:highlight w:val="none"/>
              </w:rPr>
            </w:pPr>
          </w:p>
        </w:tc>
        <w:tc>
          <w:tcPr>
            <w:tcW w:w="1556" w:type="dxa"/>
            <w:noWrap w:val="0"/>
            <w:vAlign w:val="top"/>
          </w:tcPr>
          <w:p>
            <w:pPr>
              <w:spacing w:line="440" w:lineRule="exact"/>
              <w:jc w:val="center"/>
              <w:rPr>
                <w:rFonts w:hint="eastAsia" w:ascii="宋体" w:hAnsi="宋体" w:eastAsia="宋体" w:cs="宋体"/>
                <w:color w:val="auto"/>
                <w:sz w:val="24"/>
                <w:highlight w:val="none"/>
              </w:rPr>
            </w:pPr>
          </w:p>
        </w:tc>
        <w:tc>
          <w:tcPr>
            <w:tcW w:w="2122"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330" w:type="dxa"/>
            <w:noWrap w:val="0"/>
            <w:vAlign w:val="top"/>
          </w:tcPr>
          <w:p>
            <w:pPr>
              <w:spacing w:line="440" w:lineRule="exact"/>
              <w:jc w:val="center"/>
              <w:rPr>
                <w:rFonts w:hint="eastAsia" w:ascii="宋体" w:hAnsi="宋体" w:eastAsia="宋体" w:cs="宋体"/>
                <w:color w:val="auto"/>
                <w:sz w:val="24"/>
                <w:highlight w:val="none"/>
              </w:rPr>
            </w:pPr>
          </w:p>
        </w:tc>
        <w:tc>
          <w:tcPr>
            <w:tcW w:w="2040" w:type="dxa"/>
            <w:noWrap w:val="0"/>
            <w:vAlign w:val="top"/>
          </w:tcPr>
          <w:p>
            <w:pPr>
              <w:spacing w:line="440" w:lineRule="exact"/>
              <w:jc w:val="center"/>
              <w:rPr>
                <w:rFonts w:hint="eastAsia" w:ascii="宋体" w:hAnsi="宋体" w:eastAsia="宋体" w:cs="宋体"/>
                <w:color w:val="auto"/>
                <w:sz w:val="24"/>
                <w:highlight w:val="none"/>
              </w:rPr>
            </w:pPr>
          </w:p>
        </w:tc>
        <w:tc>
          <w:tcPr>
            <w:tcW w:w="1602" w:type="dxa"/>
            <w:noWrap w:val="0"/>
            <w:vAlign w:val="top"/>
          </w:tcPr>
          <w:p>
            <w:pPr>
              <w:spacing w:line="440" w:lineRule="exact"/>
              <w:jc w:val="center"/>
              <w:rPr>
                <w:rFonts w:hint="eastAsia" w:ascii="宋体" w:hAnsi="宋体" w:eastAsia="宋体" w:cs="宋体"/>
                <w:color w:val="auto"/>
                <w:sz w:val="24"/>
                <w:highlight w:val="none"/>
              </w:rPr>
            </w:pPr>
          </w:p>
        </w:tc>
        <w:tc>
          <w:tcPr>
            <w:tcW w:w="1556" w:type="dxa"/>
            <w:noWrap w:val="0"/>
            <w:vAlign w:val="top"/>
          </w:tcPr>
          <w:p>
            <w:pPr>
              <w:spacing w:line="440" w:lineRule="exact"/>
              <w:jc w:val="center"/>
              <w:rPr>
                <w:rFonts w:hint="eastAsia" w:ascii="宋体" w:hAnsi="宋体" w:eastAsia="宋体" w:cs="宋体"/>
                <w:color w:val="auto"/>
                <w:sz w:val="24"/>
                <w:highlight w:val="none"/>
              </w:rPr>
            </w:pPr>
          </w:p>
        </w:tc>
        <w:tc>
          <w:tcPr>
            <w:tcW w:w="2122" w:type="dxa"/>
            <w:noWrap w:val="0"/>
            <w:vAlign w:val="top"/>
          </w:tcPr>
          <w:p>
            <w:pPr>
              <w:spacing w:line="440" w:lineRule="exact"/>
              <w:jc w:val="center"/>
              <w:rPr>
                <w:rFonts w:hint="eastAsia" w:ascii="宋体" w:hAnsi="宋体" w:eastAsia="宋体" w:cs="宋体"/>
                <w:color w:val="auto"/>
                <w:sz w:val="24"/>
                <w:highlight w:val="none"/>
              </w:rPr>
            </w:pPr>
          </w:p>
        </w:tc>
      </w:tr>
    </w:tbl>
    <w:p>
      <w:pPr>
        <w:spacing w:line="440" w:lineRule="exact"/>
        <w:rPr>
          <w:rFonts w:hint="eastAsia" w:ascii="宋体" w:hAnsi="宋体" w:eastAsia="宋体" w:cs="宋体"/>
          <w:color w:val="auto"/>
          <w:sz w:val="24"/>
          <w:highlight w:val="none"/>
          <w:u w:val="single"/>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六、</w:t>
      </w:r>
      <w:r>
        <w:rPr>
          <w:rFonts w:hint="eastAsia" w:ascii="宋体" w:hAnsi="宋体" w:cs="宋体"/>
          <w:b/>
          <w:color w:val="auto"/>
          <w:sz w:val="24"/>
          <w:szCs w:val="24"/>
          <w:highlight w:val="none"/>
          <w:lang w:eastAsia="zh-CN"/>
        </w:rPr>
        <w:t>供货方案及培训方案</w:t>
      </w:r>
    </w:p>
    <w:p>
      <w:pPr>
        <w:spacing w:line="520" w:lineRule="exact"/>
        <w:ind w:leftChars="100"/>
        <w:rPr>
          <w:rFonts w:hint="eastAsia" w:ascii="宋体" w:hAnsi="宋体" w:eastAsia="宋体" w:cs="宋体"/>
          <w:color w:val="auto"/>
          <w:kern w:val="0"/>
          <w:sz w:val="24"/>
          <w:highlight w:val="none"/>
        </w:rPr>
      </w:pPr>
    </w:p>
    <w:p>
      <w:pPr>
        <w:spacing w:line="520" w:lineRule="exact"/>
        <w:ind w:left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主要内容应包括但不限于以下内容（格式自定）：</w:t>
      </w:r>
    </w:p>
    <w:p>
      <w:pPr>
        <w:spacing w:line="360" w:lineRule="auto"/>
        <w:ind w:left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1、供货计划和供货周期安排</w:t>
      </w:r>
    </w:p>
    <w:p>
      <w:pPr>
        <w:spacing w:line="360" w:lineRule="auto"/>
        <w:ind w:left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2、质量保证</w:t>
      </w:r>
    </w:p>
    <w:p>
      <w:pPr>
        <w:spacing w:line="360" w:lineRule="auto"/>
        <w:ind w:left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3、应对突发事件的应急方案</w:t>
      </w:r>
    </w:p>
    <w:p>
      <w:pPr>
        <w:widowControl/>
        <w:ind w:left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4、培训方案（包括培训计划、培训内容、培训时效性及预期培训结果等）</w:t>
      </w:r>
    </w:p>
    <w:p>
      <w:pPr>
        <w:pStyle w:val="17"/>
        <w:numPr>
          <w:ilvl w:val="0"/>
          <w:numId w:val="0"/>
        </w:numPr>
        <w:spacing w:line="360" w:lineRule="auto"/>
        <w:ind w:leftChars="1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numPr>
          <w:ilvl w:val="0"/>
          <w:numId w:val="0"/>
        </w:numPr>
        <w:spacing w:line="440" w:lineRule="exact"/>
        <w:ind w:left="0" w:left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七、</w:t>
      </w:r>
      <w:r>
        <w:rPr>
          <w:rFonts w:hint="eastAsia" w:ascii="宋体" w:hAnsi="宋体" w:cs="宋体"/>
          <w:b/>
          <w:color w:val="auto"/>
          <w:sz w:val="24"/>
          <w:szCs w:val="24"/>
          <w:highlight w:val="none"/>
          <w:lang w:eastAsia="zh-CN"/>
        </w:rPr>
        <w:t>售后服务方案</w:t>
      </w:r>
    </w:p>
    <w:p>
      <w:pPr>
        <w:pStyle w:val="13"/>
        <w:jc w:val="both"/>
        <w:rPr>
          <w:rFonts w:hint="eastAsia" w:ascii="宋体" w:hAnsi="宋体" w:eastAsia="宋体" w:cs="宋体"/>
          <w:b w:val="0"/>
          <w:bCs/>
          <w:color w:val="auto"/>
          <w:sz w:val="24"/>
          <w:highlight w:val="none"/>
        </w:rPr>
      </w:pPr>
      <w:bookmarkStart w:id="54" w:name="_Toc780"/>
      <w:bookmarkStart w:id="55" w:name="_Toc30852"/>
    </w:p>
    <w:p>
      <w:pPr>
        <w:pStyle w:val="13"/>
        <w:ind w:firstLine="480" w:firstLineChars="200"/>
        <w:jc w:val="both"/>
        <w:rPr>
          <w:rFonts w:hint="eastAsia" w:ascii="宋体" w:hAnsi="宋体" w:eastAsia="宋体" w:cs="宋体"/>
          <w:b w:val="0"/>
          <w:bCs/>
          <w:color w:val="auto"/>
          <w:highlight w:val="none"/>
        </w:rPr>
      </w:pPr>
      <w:r>
        <w:rPr>
          <w:rFonts w:hint="eastAsia" w:ascii="宋体" w:hAnsi="宋体" w:eastAsia="宋体" w:cs="宋体"/>
          <w:b w:val="0"/>
          <w:bCs/>
          <w:color w:val="auto"/>
          <w:sz w:val="24"/>
          <w:highlight w:val="none"/>
        </w:rPr>
        <w:t>包括但不限于</w:t>
      </w:r>
      <w:r>
        <w:rPr>
          <w:rFonts w:hint="eastAsia" w:ascii="宋体" w:hAnsi="宋体" w:eastAsia="宋体" w:cs="宋体"/>
          <w:b w:val="0"/>
          <w:bCs/>
          <w:color w:val="auto"/>
          <w:sz w:val="24"/>
          <w:highlight w:val="none"/>
          <w:lang w:val="zh-CN"/>
        </w:rPr>
        <w:t>售后服务内容、售后服务措施、售后服务团队及人员安排、</w:t>
      </w:r>
      <w:r>
        <w:rPr>
          <w:rFonts w:hint="eastAsia" w:ascii="宋体" w:hAnsi="宋体" w:eastAsia="宋体" w:cs="宋体"/>
          <w:b w:val="0"/>
          <w:bCs/>
          <w:color w:val="auto"/>
          <w:sz w:val="24"/>
          <w:highlight w:val="none"/>
        </w:rPr>
        <w:t>售后服务机构装备配置、保修、服务响应时间、修复时间、应急处理等售后计划措施等</w:t>
      </w:r>
      <w:bookmarkEnd w:id="54"/>
      <w:bookmarkEnd w:id="55"/>
    </w:p>
    <w:p>
      <w:pPr>
        <w:rPr>
          <w:rFonts w:hint="eastAsia" w:ascii="宋体" w:hAnsi="宋体" w:eastAsia="宋体" w:cs="宋体"/>
          <w:b/>
          <w:color w:val="auto"/>
          <w:sz w:val="24"/>
          <w:szCs w:val="24"/>
          <w:highlight w:val="none"/>
          <w:lang w:val="en-US" w:eastAsia="zh-CN"/>
        </w:rPr>
      </w:pPr>
    </w:p>
    <w:p>
      <w:pP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sectPr>
          <w:pgSz w:w="11906" w:h="16838"/>
          <w:pgMar w:top="1440" w:right="1800" w:bottom="1440" w:left="1800" w:header="851" w:footer="992" w:gutter="0"/>
          <w:pgNumType w:fmt="decimal"/>
          <w:cols w:space="720" w:num="1"/>
          <w:docGrid w:type="lines" w:linePitch="312" w:charSpace="0"/>
        </w:sectPr>
      </w:pPr>
    </w:p>
    <w:p>
      <w:pPr>
        <w:numPr>
          <w:ilvl w:val="0"/>
          <w:numId w:val="0"/>
        </w:numPr>
        <w:spacing w:line="440" w:lineRule="exact"/>
        <w:ind w:left="0" w:leftChars="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kern w:val="2"/>
          <w:sz w:val="24"/>
          <w:szCs w:val="24"/>
          <w:highlight w:val="none"/>
          <w:lang w:val="en-US" w:eastAsia="zh-CN" w:bidi="ar-SA"/>
        </w:rPr>
        <w:t>售后服务承诺书</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1、固定的售后服务机构等常设机构（需提供相关证明）</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2、固定的售后服务人员、联系方式等详述</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3、投标人必须按提交的售后服务承诺书，提供售后服务。</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一、拟提供售后服务的项目：</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二、服务响应及到达现场的时间：</w:t>
      </w:r>
    </w:p>
    <w:p>
      <w:pPr>
        <w:widowControl/>
        <w:jc w:val="left"/>
        <w:rPr>
          <w:rFonts w:hint="eastAsia" w:ascii="宋体" w:hAnsi="宋体" w:eastAsia="宋体" w:cs="宋体"/>
          <w:bCs/>
          <w:color w:val="auto"/>
          <w:sz w:val="24"/>
          <w:highlight w:val="none"/>
        </w:rPr>
      </w:pPr>
    </w:p>
    <w:p>
      <w:pPr>
        <w:widowControl/>
        <w:jc w:val="left"/>
        <w:rPr>
          <w:rFonts w:hint="eastAsia" w:ascii="宋体" w:hAnsi="宋体" w:eastAsia="宋体" w:cs="宋体"/>
          <w:bCs/>
          <w:color w:val="auto"/>
          <w:sz w:val="24"/>
          <w:highlight w:val="none"/>
        </w:rPr>
      </w:pPr>
    </w:p>
    <w:p>
      <w:pPr>
        <w:widowControl/>
        <w:jc w:val="left"/>
        <w:rPr>
          <w:rFonts w:hint="eastAsia" w:ascii="宋体" w:hAnsi="宋体" w:eastAsia="宋体" w:cs="宋体"/>
          <w:bCs/>
          <w:color w:val="auto"/>
          <w:sz w:val="24"/>
          <w:highlight w:val="none"/>
        </w:rPr>
      </w:pPr>
    </w:p>
    <w:p>
      <w:pPr>
        <w:widowControl/>
        <w:jc w:val="left"/>
        <w:rPr>
          <w:rFonts w:hint="eastAsia" w:ascii="宋体" w:hAnsi="宋体" w:eastAsia="宋体" w:cs="宋体"/>
          <w:bCs/>
          <w:color w:val="auto"/>
          <w:sz w:val="24"/>
          <w:highlight w:val="none"/>
        </w:rPr>
      </w:pPr>
    </w:p>
    <w:p>
      <w:pPr>
        <w:widowControl/>
        <w:jc w:val="left"/>
        <w:rPr>
          <w:rFonts w:hint="eastAsia" w:ascii="宋体" w:hAnsi="宋体" w:eastAsia="宋体" w:cs="宋体"/>
          <w:bCs/>
          <w:color w:val="auto"/>
          <w:sz w:val="24"/>
          <w:highlight w:val="none"/>
        </w:rPr>
      </w:pPr>
    </w:p>
    <w:p>
      <w:pPr>
        <w:widowControl/>
        <w:jc w:val="left"/>
        <w:rPr>
          <w:rFonts w:hint="eastAsia" w:ascii="宋体" w:hAnsi="宋体" w:eastAsia="宋体" w:cs="宋体"/>
          <w:bCs/>
          <w:color w:val="auto"/>
          <w:sz w:val="24"/>
          <w:highlight w:val="none"/>
        </w:rPr>
      </w:pPr>
    </w:p>
    <w:p>
      <w:pPr>
        <w:widowControl/>
        <w:jc w:val="left"/>
        <w:rPr>
          <w:rFonts w:hint="eastAsia" w:ascii="宋体" w:hAnsi="宋体" w:eastAsia="宋体" w:cs="宋体"/>
          <w:bCs/>
          <w:color w:val="auto"/>
          <w:sz w:val="24"/>
          <w:highlight w:val="none"/>
        </w:rPr>
      </w:pPr>
    </w:p>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 xml:space="preserve">名称（加盖公章）：     </w:t>
      </w:r>
    </w:p>
    <w:p>
      <w:pPr>
        <w:spacing w:line="440" w:lineRule="exact"/>
        <w:ind w:right="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法定代表人（盖章）：                  </w:t>
      </w: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highlight w:val="none"/>
        </w:rPr>
        <w:t>日期：　</w:t>
      </w: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val="en-US" w:eastAsia="zh-CN"/>
        </w:rPr>
      </w:pPr>
    </w:p>
    <w:p>
      <w:pPr>
        <w:numPr>
          <w:ilvl w:val="0"/>
          <w:numId w:val="0"/>
        </w:numPr>
        <w:spacing w:line="440" w:lineRule="exact"/>
        <w:ind w:left="0" w:left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九、</w:t>
      </w: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lang w:eastAsia="zh-CN"/>
        </w:rPr>
        <w:t>认为可能需要的其他文件</w:t>
      </w:r>
    </w:p>
    <w:p>
      <w:pPr>
        <w:tabs>
          <w:tab w:val="left" w:pos="540"/>
          <w:tab w:val="left" w:pos="8610"/>
        </w:tabs>
        <w:spacing w:line="340" w:lineRule="exact"/>
        <w:ind w:firstLine="480" w:firstLineChars="200"/>
        <w:rPr>
          <w:rFonts w:hint="eastAsia" w:ascii="宋体" w:hAnsi="宋体" w:eastAsia="宋体" w:cs="宋体"/>
          <w:color w:val="auto"/>
          <w:sz w:val="24"/>
          <w:szCs w:val="24"/>
          <w:highlight w:val="none"/>
        </w:rPr>
      </w:pPr>
    </w:p>
    <w:p>
      <w:pPr>
        <w:pStyle w:val="17"/>
        <w:spacing w:line="360" w:lineRule="auto"/>
        <w:jc w:val="center"/>
        <w:rPr>
          <w:rFonts w:hint="eastAsia" w:ascii="宋体" w:hAnsi="宋体" w:eastAsia="宋体" w:cs="宋体"/>
          <w:b/>
          <w:color w:val="auto"/>
          <w:sz w:val="24"/>
          <w:szCs w:val="24"/>
          <w:highlight w:val="none"/>
        </w:rPr>
      </w:pPr>
    </w:p>
    <w:p>
      <w:pPr>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（如：荣誉证书、信用等级证书、相关认证证书等相关资料）</w:t>
      </w:r>
    </w:p>
    <w:p>
      <w:pPr>
        <w:pStyle w:val="17"/>
        <w:spacing w:line="360" w:lineRule="auto"/>
        <w:jc w:val="center"/>
        <w:rPr>
          <w:rFonts w:hint="eastAsia" w:ascii="宋体" w:hAnsi="宋体" w:eastAsia="宋体" w:cs="宋体"/>
          <w:b/>
          <w:color w:val="auto"/>
          <w:sz w:val="24"/>
          <w:szCs w:val="24"/>
          <w:highlight w:val="none"/>
        </w:rPr>
      </w:pPr>
    </w:p>
    <w:p>
      <w:pPr>
        <w:pStyle w:val="17"/>
        <w:spacing w:line="360" w:lineRule="auto"/>
        <w:jc w:val="center"/>
        <w:rPr>
          <w:rFonts w:hint="eastAsia" w:ascii="宋体" w:hAnsi="宋体" w:eastAsia="宋体" w:cs="宋体"/>
          <w:b/>
          <w:color w:val="auto"/>
          <w:sz w:val="24"/>
          <w:szCs w:val="24"/>
          <w:highlight w:val="none"/>
        </w:rPr>
      </w:pPr>
    </w:p>
    <w:p>
      <w:pPr>
        <w:pStyle w:val="17"/>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8"/>
          <w:highlight w:val="none"/>
        </w:rPr>
      </w:pPr>
      <w:bookmarkStart w:id="56" w:name="_Toc73710343"/>
      <w:bookmarkStart w:id="57" w:name="_Toc4192"/>
      <w:bookmarkStart w:id="58" w:name="_Toc43715828"/>
      <w:r>
        <w:rPr>
          <w:rFonts w:hint="eastAsia" w:ascii="宋体" w:hAnsi="宋体" w:eastAsia="宋体" w:cs="宋体"/>
          <w:color w:val="auto"/>
          <w:sz w:val="28"/>
          <w:highlight w:val="none"/>
        </w:rPr>
        <w:br w:type="page"/>
      </w:r>
    </w:p>
    <w:p>
      <w:pPr>
        <w:pStyle w:val="2"/>
        <w:spacing w:before="0" w:after="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第六章项目采购需求</w:t>
      </w:r>
      <w:bookmarkEnd w:id="56"/>
      <w:bookmarkEnd w:id="57"/>
      <w:bookmarkEnd w:id="58"/>
    </w:p>
    <w:p>
      <w:pPr>
        <w:tabs>
          <w:tab w:val="left" w:pos="2352"/>
        </w:tabs>
        <w:spacing w:line="5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一、项目名称：</w:t>
      </w:r>
      <w:r>
        <w:rPr>
          <w:rFonts w:hint="eastAsia" w:ascii="宋体" w:hAnsi="宋体" w:eastAsia="宋体" w:cs="宋体"/>
          <w:color w:val="auto"/>
          <w:szCs w:val="21"/>
          <w:highlight w:val="none"/>
          <w:lang w:eastAsia="zh-CN"/>
        </w:rPr>
        <w:t>库车市乌恰镇卫生院能力提升临床医疗设备购置项目</w:t>
      </w:r>
    </w:p>
    <w:p>
      <w:pPr>
        <w:tabs>
          <w:tab w:val="left" w:pos="2352"/>
        </w:tabs>
        <w:spacing w:line="5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二、采购人：</w:t>
      </w:r>
      <w:r>
        <w:rPr>
          <w:rFonts w:hint="eastAsia" w:ascii="宋体" w:hAnsi="宋体" w:eastAsia="宋体" w:cs="宋体"/>
          <w:color w:val="auto"/>
          <w:szCs w:val="21"/>
          <w:highlight w:val="none"/>
          <w:lang w:eastAsia="zh-CN"/>
        </w:rPr>
        <w:t>库车市乌恰镇卫生院</w:t>
      </w:r>
    </w:p>
    <w:p>
      <w:pPr>
        <w:tabs>
          <w:tab w:val="left" w:pos="2352"/>
        </w:tabs>
        <w:spacing w:line="500" w:lineRule="exact"/>
        <w:ind w:firstLine="420" w:firstLineChars="200"/>
        <w:rPr>
          <w:rFonts w:hint="eastAsia" w:ascii="宋体" w:hAnsi="宋体" w:eastAsia="宋体" w:cs="宋体"/>
          <w:b/>
          <w:color w:val="auto"/>
          <w:sz w:val="30"/>
          <w:szCs w:val="30"/>
          <w:highlight w:val="none"/>
          <w:vertAlign w:val="baseline"/>
        </w:rPr>
      </w:pPr>
      <w:r>
        <w:rPr>
          <w:rFonts w:hint="eastAsia" w:ascii="宋体" w:hAnsi="宋体" w:eastAsia="宋体" w:cs="宋体"/>
          <w:color w:val="auto"/>
          <w:szCs w:val="21"/>
          <w:highlight w:val="none"/>
        </w:rPr>
        <w:t xml:space="preserve">三、技术参数要求： </w:t>
      </w:r>
    </w:p>
    <w:p>
      <w:pPr>
        <w:rPr>
          <w:rFonts w:hint="eastAsia" w:ascii="宋体" w:hAnsi="宋体" w:eastAsia="宋体" w:cs="宋体"/>
          <w:b/>
          <w:color w:val="auto"/>
          <w:szCs w:val="28"/>
        </w:rPr>
      </w:pPr>
      <w:r>
        <w:rPr>
          <w:rFonts w:hint="eastAsia" w:ascii="宋体" w:hAnsi="宋体" w:eastAsia="宋体" w:cs="宋体"/>
          <w:b/>
          <w:color w:val="auto"/>
          <w:szCs w:val="28"/>
        </w:rPr>
        <w:t xml:space="preserve">                              </w:t>
      </w:r>
    </w:p>
    <w:tbl>
      <w:tblPr>
        <w:tblStyle w:val="31"/>
        <w:tblpPr w:leftFromText="180" w:rightFromText="180" w:vertAnchor="text" w:horzAnchor="page" w:tblpX="1959"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3296"/>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5" w:type="dxa"/>
            <w:noWrap w:val="0"/>
            <w:vAlign w:val="top"/>
          </w:tcPr>
          <w:p>
            <w:pPr>
              <w:tabs>
                <w:tab w:val="left" w:pos="2352"/>
              </w:tabs>
              <w:spacing w:line="500" w:lineRule="exact"/>
              <w:jc w:val="center"/>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序号</w:t>
            </w:r>
          </w:p>
        </w:tc>
        <w:tc>
          <w:tcPr>
            <w:tcW w:w="3299" w:type="dxa"/>
            <w:noWrap w:val="0"/>
            <w:vAlign w:val="top"/>
          </w:tcPr>
          <w:p>
            <w:pPr>
              <w:tabs>
                <w:tab w:val="left" w:pos="2352"/>
              </w:tabs>
              <w:spacing w:line="500" w:lineRule="exact"/>
              <w:jc w:val="center"/>
              <w:rPr>
                <w:rFonts w:hint="eastAsia" w:ascii="宋体" w:hAnsi="宋体" w:eastAsia="宋体" w:cs="宋体"/>
                <w:b/>
                <w:bCs w:val="0"/>
                <w:color w:val="auto"/>
                <w:sz w:val="21"/>
                <w:szCs w:val="21"/>
                <w:highlight w:val="none"/>
                <w:vertAlign w:val="baseline"/>
              </w:rPr>
            </w:pPr>
            <w:r>
              <w:rPr>
                <w:rFonts w:hint="eastAsia" w:ascii="宋体" w:hAnsi="宋体" w:eastAsia="宋体" w:cs="宋体"/>
                <w:b/>
                <w:bCs w:val="0"/>
                <w:color w:val="auto"/>
                <w:sz w:val="21"/>
                <w:szCs w:val="21"/>
                <w:highlight w:val="none"/>
                <w:vertAlign w:val="baseline"/>
              </w:rPr>
              <w:t>设备名称</w:t>
            </w:r>
          </w:p>
        </w:tc>
        <w:tc>
          <w:tcPr>
            <w:tcW w:w="2132" w:type="dxa"/>
            <w:noWrap w:val="0"/>
            <w:vAlign w:val="top"/>
          </w:tcPr>
          <w:p>
            <w:pPr>
              <w:tabs>
                <w:tab w:val="left" w:pos="2352"/>
              </w:tabs>
              <w:spacing w:line="500" w:lineRule="exact"/>
              <w:jc w:val="center"/>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数量</w:t>
            </w:r>
          </w:p>
        </w:tc>
        <w:tc>
          <w:tcPr>
            <w:tcW w:w="2132" w:type="dxa"/>
            <w:noWrap w:val="0"/>
            <w:vAlign w:val="top"/>
          </w:tcPr>
          <w:p>
            <w:pPr>
              <w:tabs>
                <w:tab w:val="left" w:pos="2352"/>
              </w:tabs>
              <w:spacing w:line="500" w:lineRule="exact"/>
              <w:jc w:val="center"/>
              <w:rPr>
                <w:rFonts w:hint="eastAsia" w:ascii="宋体" w:hAnsi="宋体" w:eastAsia="宋体" w:cs="宋体"/>
                <w:b/>
                <w:bCs w:val="0"/>
                <w:color w:val="auto"/>
                <w:sz w:val="21"/>
                <w:szCs w:val="21"/>
                <w:highlight w:val="none"/>
                <w:vertAlign w:val="baseline"/>
              </w:rPr>
            </w:pPr>
            <w:r>
              <w:rPr>
                <w:rFonts w:hint="eastAsia" w:ascii="宋体" w:hAnsi="宋体" w:eastAsia="宋体" w:cs="宋体"/>
                <w:b/>
                <w:bCs w:val="0"/>
                <w:color w:val="auto"/>
                <w:sz w:val="21"/>
                <w:szCs w:val="21"/>
                <w:highlight w:val="none"/>
                <w:vertAlign w:val="baseline"/>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5" w:type="dxa"/>
            <w:noWrap w:val="0"/>
            <w:vAlign w:val="top"/>
          </w:tcPr>
          <w:p>
            <w:pPr>
              <w:tabs>
                <w:tab w:val="left" w:pos="2352"/>
              </w:tabs>
              <w:spacing w:line="500" w:lineRule="exact"/>
              <w:jc w:val="center"/>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1</w:t>
            </w:r>
          </w:p>
        </w:tc>
        <w:tc>
          <w:tcPr>
            <w:tcW w:w="3299" w:type="dxa"/>
            <w:noWrap w:val="0"/>
            <w:vAlign w:val="top"/>
          </w:tcPr>
          <w:p>
            <w:pPr>
              <w:spacing w:line="500" w:lineRule="exact"/>
              <w:jc w:val="center"/>
              <w:rPr>
                <w:rFonts w:hint="eastAsia" w:ascii="宋体" w:hAnsi="宋体" w:eastAsia="宋体" w:cs="宋体"/>
                <w:b/>
                <w:bCs w:val="0"/>
                <w:color w:val="auto"/>
                <w:sz w:val="21"/>
                <w:szCs w:val="21"/>
                <w:highlight w:val="none"/>
                <w:vertAlign w:val="baseline"/>
              </w:rPr>
            </w:pPr>
            <w:r>
              <w:rPr>
                <w:rFonts w:hint="eastAsia" w:ascii="宋体" w:hAnsi="宋体" w:eastAsia="宋体" w:cs="宋体"/>
                <w:b/>
                <w:bCs w:val="0"/>
                <w:color w:val="auto"/>
                <w:sz w:val="21"/>
                <w:szCs w:val="21"/>
              </w:rPr>
              <w:t>全自动生化分析仪</w:t>
            </w:r>
          </w:p>
        </w:tc>
        <w:tc>
          <w:tcPr>
            <w:tcW w:w="2132" w:type="dxa"/>
            <w:noWrap w:val="0"/>
            <w:vAlign w:val="top"/>
          </w:tcPr>
          <w:p>
            <w:pPr>
              <w:tabs>
                <w:tab w:val="left" w:pos="2352"/>
              </w:tabs>
              <w:spacing w:line="500" w:lineRule="exact"/>
              <w:jc w:val="center"/>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1</w:t>
            </w:r>
          </w:p>
        </w:tc>
        <w:tc>
          <w:tcPr>
            <w:tcW w:w="2132" w:type="dxa"/>
            <w:noWrap w:val="0"/>
            <w:vAlign w:val="top"/>
          </w:tcPr>
          <w:p>
            <w:pPr>
              <w:tabs>
                <w:tab w:val="left" w:pos="2352"/>
              </w:tabs>
              <w:spacing w:line="500" w:lineRule="exact"/>
              <w:jc w:val="center"/>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5" w:type="dxa"/>
            <w:noWrap w:val="0"/>
            <w:vAlign w:val="top"/>
          </w:tcPr>
          <w:p>
            <w:pPr>
              <w:tabs>
                <w:tab w:val="left" w:pos="2352"/>
              </w:tabs>
              <w:spacing w:line="500" w:lineRule="exact"/>
              <w:jc w:val="center"/>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2</w:t>
            </w:r>
          </w:p>
        </w:tc>
        <w:tc>
          <w:tcPr>
            <w:tcW w:w="3299" w:type="dxa"/>
            <w:noWrap w:val="0"/>
            <w:vAlign w:val="top"/>
          </w:tcPr>
          <w:p>
            <w:pPr>
              <w:spacing w:line="500" w:lineRule="exact"/>
              <w:jc w:val="center"/>
              <w:rPr>
                <w:rFonts w:hint="eastAsia" w:ascii="宋体" w:hAnsi="宋体" w:eastAsia="宋体" w:cs="宋体"/>
                <w:b/>
                <w:bCs w:val="0"/>
                <w:color w:val="auto"/>
                <w:sz w:val="21"/>
                <w:szCs w:val="21"/>
                <w:highlight w:val="none"/>
                <w:vertAlign w:val="baseline"/>
              </w:rPr>
            </w:pPr>
            <w:r>
              <w:rPr>
                <w:rFonts w:hint="eastAsia" w:ascii="宋体" w:hAnsi="宋体" w:eastAsia="宋体" w:cs="宋体"/>
                <w:b/>
                <w:bCs w:val="0"/>
                <w:color w:val="auto"/>
                <w:sz w:val="21"/>
                <w:szCs w:val="21"/>
              </w:rPr>
              <w:t>全自动血球分析仪</w:t>
            </w:r>
          </w:p>
        </w:tc>
        <w:tc>
          <w:tcPr>
            <w:tcW w:w="2132" w:type="dxa"/>
            <w:noWrap w:val="0"/>
            <w:vAlign w:val="top"/>
          </w:tcPr>
          <w:p>
            <w:pPr>
              <w:tabs>
                <w:tab w:val="left" w:pos="2352"/>
              </w:tabs>
              <w:spacing w:line="500" w:lineRule="exact"/>
              <w:jc w:val="center"/>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1</w:t>
            </w:r>
          </w:p>
        </w:tc>
        <w:tc>
          <w:tcPr>
            <w:tcW w:w="2132" w:type="dxa"/>
            <w:noWrap w:val="0"/>
            <w:vAlign w:val="top"/>
          </w:tcPr>
          <w:p>
            <w:pPr>
              <w:spacing w:line="500" w:lineRule="exact"/>
              <w:jc w:val="center"/>
              <w:rPr>
                <w:rFonts w:hint="eastAsia" w:ascii="宋体" w:hAnsi="宋体" w:eastAsia="宋体" w:cs="宋体"/>
                <w:b/>
                <w:bCs w:val="0"/>
                <w:color w:val="auto"/>
                <w:sz w:val="21"/>
                <w:szCs w:val="21"/>
                <w:highlight w:val="none"/>
                <w:vertAlign w:val="baseline"/>
              </w:rPr>
            </w:pPr>
            <w:r>
              <w:rPr>
                <w:rFonts w:hint="eastAsia" w:ascii="宋体" w:hAnsi="宋体" w:eastAsia="宋体" w:cs="宋体"/>
                <w:b/>
                <w:bCs w:val="0"/>
                <w:color w:val="auto"/>
                <w:sz w:val="21"/>
                <w:szCs w:val="21"/>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5" w:type="dxa"/>
            <w:noWrap w:val="0"/>
            <w:vAlign w:val="top"/>
          </w:tcPr>
          <w:p>
            <w:pPr>
              <w:tabs>
                <w:tab w:val="left" w:pos="2352"/>
              </w:tabs>
              <w:spacing w:line="500" w:lineRule="exact"/>
              <w:jc w:val="center"/>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3</w:t>
            </w:r>
          </w:p>
        </w:tc>
        <w:tc>
          <w:tcPr>
            <w:tcW w:w="3299" w:type="dxa"/>
            <w:noWrap w:val="0"/>
            <w:vAlign w:val="top"/>
          </w:tcPr>
          <w:p>
            <w:pPr>
              <w:spacing w:line="500" w:lineRule="exact"/>
              <w:jc w:val="center"/>
              <w:rPr>
                <w:rFonts w:hint="eastAsia" w:ascii="宋体" w:hAnsi="宋体" w:eastAsia="宋体" w:cs="宋体"/>
                <w:b/>
                <w:bCs w:val="0"/>
                <w:color w:val="auto"/>
                <w:sz w:val="21"/>
                <w:szCs w:val="21"/>
                <w:highlight w:val="none"/>
                <w:vertAlign w:val="baseline"/>
              </w:rPr>
            </w:pPr>
            <w:r>
              <w:rPr>
                <w:rFonts w:hint="eastAsia" w:ascii="宋体" w:hAnsi="宋体" w:eastAsia="宋体" w:cs="宋体"/>
                <w:b/>
                <w:bCs w:val="0"/>
                <w:color w:val="auto"/>
                <w:sz w:val="21"/>
                <w:szCs w:val="21"/>
              </w:rPr>
              <w:t>尿常规分析仪</w:t>
            </w:r>
          </w:p>
        </w:tc>
        <w:tc>
          <w:tcPr>
            <w:tcW w:w="2132" w:type="dxa"/>
            <w:noWrap w:val="0"/>
            <w:vAlign w:val="top"/>
          </w:tcPr>
          <w:p>
            <w:pPr>
              <w:tabs>
                <w:tab w:val="left" w:pos="2352"/>
              </w:tabs>
              <w:spacing w:line="500" w:lineRule="exact"/>
              <w:jc w:val="center"/>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1</w:t>
            </w:r>
          </w:p>
        </w:tc>
        <w:tc>
          <w:tcPr>
            <w:tcW w:w="2132" w:type="dxa"/>
            <w:noWrap w:val="0"/>
            <w:vAlign w:val="top"/>
          </w:tcPr>
          <w:p>
            <w:pPr>
              <w:spacing w:line="500" w:lineRule="exact"/>
              <w:jc w:val="center"/>
              <w:rPr>
                <w:rFonts w:hint="eastAsia" w:ascii="宋体" w:hAnsi="宋体" w:eastAsia="宋体" w:cs="宋体"/>
                <w:b/>
                <w:bCs w:val="0"/>
                <w:color w:val="auto"/>
                <w:sz w:val="21"/>
                <w:szCs w:val="21"/>
                <w:highlight w:val="none"/>
                <w:vertAlign w:val="baseline"/>
              </w:rPr>
            </w:pPr>
            <w:r>
              <w:rPr>
                <w:rFonts w:hint="eastAsia" w:ascii="宋体" w:hAnsi="宋体" w:eastAsia="宋体" w:cs="宋体"/>
                <w:b/>
                <w:bCs w:val="0"/>
                <w:color w:val="auto"/>
                <w:sz w:val="21"/>
                <w:szCs w:val="21"/>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5" w:type="dxa"/>
            <w:noWrap w:val="0"/>
            <w:vAlign w:val="top"/>
          </w:tcPr>
          <w:p>
            <w:pPr>
              <w:tabs>
                <w:tab w:val="left" w:pos="2352"/>
              </w:tabs>
              <w:spacing w:line="500" w:lineRule="exact"/>
              <w:jc w:val="center"/>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4</w:t>
            </w:r>
          </w:p>
        </w:tc>
        <w:tc>
          <w:tcPr>
            <w:tcW w:w="3299" w:type="dxa"/>
            <w:noWrap w:val="0"/>
            <w:vAlign w:val="top"/>
          </w:tcPr>
          <w:p>
            <w:pPr>
              <w:spacing w:line="500" w:lineRule="exact"/>
              <w:jc w:val="center"/>
              <w:rPr>
                <w:rFonts w:hint="eastAsia" w:ascii="宋体" w:hAnsi="宋体" w:eastAsia="宋体" w:cs="宋体"/>
                <w:b/>
                <w:bCs w:val="0"/>
                <w:color w:val="auto"/>
                <w:sz w:val="21"/>
                <w:szCs w:val="21"/>
                <w:highlight w:val="none"/>
                <w:vertAlign w:val="baseline"/>
              </w:rPr>
            </w:pPr>
            <w:r>
              <w:rPr>
                <w:rFonts w:hint="eastAsia" w:ascii="宋体" w:hAnsi="宋体" w:eastAsia="宋体" w:cs="宋体"/>
                <w:b/>
                <w:bCs w:val="0"/>
                <w:color w:val="auto"/>
                <w:sz w:val="21"/>
                <w:szCs w:val="21"/>
              </w:rPr>
              <w:t>二氧化碳培养箱</w:t>
            </w:r>
          </w:p>
        </w:tc>
        <w:tc>
          <w:tcPr>
            <w:tcW w:w="2132" w:type="dxa"/>
            <w:noWrap w:val="0"/>
            <w:vAlign w:val="top"/>
          </w:tcPr>
          <w:p>
            <w:pPr>
              <w:tabs>
                <w:tab w:val="left" w:pos="2352"/>
              </w:tabs>
              <w:spacing w:line="500" w:lineRule="exact"/>
              <w:jc w:val="center"/>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1</w:t>
            </w:r>
          </w:p>
        </w:tc>
        <w:tc>
          <w:tcPr>
            <w:tcW w:w="2132" w:type="dxa"/>
            <w:noWrap w:val="0"/>
            <w:vAlign w:val="top"/>
          </w:tcPr>
          <w:p>
            <w:pPr>
              <w:spacing w:line="500" w:lineRule="exact"/>
              <w:jc w:val="center"/>
              <w:rPr>
                <w:rFonts w:hint="eastAsia" w:ascii="宋体" w:hAnsi="宋体" w:eastAsia="宋体" w:cs="宋体"/>
                <w:b/>
                <w:bCs w:val="0"/>
                <w:color w:val="auto"/>
                <w:sz w:val="21"/>
                <w:szCs w:val="21"/>
                <w:highlight w:val="none"/>
                <w:vertAlign w:val="baseline"/>
              </w:rPr>
            </w:pPr>
            <w:r>
              <w:rPr>
                <w:rFonts w:hint="eastAsia" w:ascii="宋体" w:hAnsi="宋体" w:eastAsia="宋体" w:cs="宋体"/>
                <w:b/>
                <w:bCs w:val="0"/>
                <w:color w:val="auto"/>
                <w:sz w:val="21"/>
                <w:szCs w:val="21"/>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5" w:type="dxa"/>
            <w:noWrap w:val="0"/>
            <w:vAlign w:val="top"/>
          </w:tcPr>
          <w:p>
            <w:pPr>
              <w:tabs>
                <w:tab w:val="left" w:pos="2352"/>
              </w:tabs>
              <w:spacing w:line="500" w:lineRule="exact"/>
              <w:jc w:val="center"/>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5</w:t>
            </w:r>
          </w:p>
        </w:tc>
        <w:tc>
          <w:tcPr>
            <w:tcW w:w="3299" w:type="dxa"/>
            <w:noWrap w:val="0"/>
            <w:vAlign w:val="top"/>
          </w:tcPr>
          <w:p>
            <w:pPr>
              <w:spacing w:line="500" w:lineRule="exact"/>
              <w:jc w:val="center"/>
              <w:rPr>
                <w:rFonts w:hint="eastAsia" w:ascii="宋体" w:hAnsi="宋体" w:eastAsia="宋体" w:cs="宋体"/>
                <w:b/>
                <w:bCs w:val="0"/>
                <w:color w:val="auto"/>
                <w:sz w:val="21"/>
                <w:szCs w:val="21"/>
                <w:highlight w:val="none"/>
                <w:vertAlign w:val="baseline"/>
              </w:rPr>
            </w:pPr>
            <w:r>
              <w:rPr>
                <w:rFonts w:hint="eastAsia" w:ascii="宋体" w:hAnsi="宋体" w:eastAsia="宋体" w:cs="宋体"/>
                <w:b/>
                <w:bCs w:val="0"/>
                <w:color w:val="auto"/>
                <w:sz w:val="21"/>
                <w:szCs w:val="21"/>
              </w:rPr>
              <w:t>阴道五联检分析仪</w:t>
            </w:r>
          </w:p>
        </w:tc>
        <w:tc>
          <w:tcPr>
            <w:tcW w:w="2132" w:type="dxa"/>
            <w:noWrap w:val="0"/>
            <w:vAlign w:val="top"/>
          </w:tcPr>
          <w:p>
            <w:pPr>
              <w:tabs>
                <w:tab w:val="left" w:pos="2352"/>
              </w:tabs>
              <w:spacing w:line="500" w:lineRule="exact"/>
              <w:jc w:val="center"/>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1</w:t>
            </w:r>
          </w:p>
        </w:tc>
        <w:tc>
          <w:tcPr>
            <w:tcW w:w="2132" w:type="dxa"/>
            <w:noWrap w:val="0"/>
            <w:vAlign w:val="top"/>
          </w:tcPr>
          <w:p>
            <w:pPr>
              <w:spacing w:line="500" w:lineRule="exact"/>
              <w:jc w:val="center"/>
              <w:rPr>
                <w:rFonts w:hint="eastAsia" w:ascii="宋体" w:hAnsi="宋体" w:eastAsia="宋体" w:cs="宋体"/>
                <w:b/>
                <w:bCs w:val="0"/>
                <w:color w:val="auto"/>
                <w:sz w:val="21"/>
                <w:szCs w:val="21"/>
                <w:highlight w:val="none"/>
                <w:vertAlign w:val="baseline"/>
              </w:rPr>
            </w:pPr>
            <w:r>
              <w:rPr>
                <w:rFonts w:hint="eastAsia" w:ascii="宋体" w:hAnsi="宋体" w:eastAsia="宋体" w:cs="宋体"/>
                <w:b/>
                <w:bCs w:val="0"/>
                <w:color w:val="auto"/>
                <w:sz w:val="21"/>
                <w:szCs w:val="21"/>
                <w:highlight w:val="none"/>
                <w:vertAlign w:val="baseline"/>
                <w:lang w:val="en-US" w:eastAsia="zh-CN"/>
              </w:rPr>
              <w:t>台</w:t>
            </w:r>
          </w:p>
        </w:tc>
      </w:tr>
    </w:tbl>
    <w:p>
      <w:pPr>
        <w:rPr>
          <w:rFonts w:hint="eastAsia" w:ascii="宋体" w:hAnsi="宋体" w:eastAsia="宋体" w:cs="宋体"/>
          <w:b/>
          <w:color w:val="auto"/>
          <w:sz w:val="30"/>
          <w:szCs w:val="30"/>
          <w:highlight w:val="none"/>
        </w:rPr>
      </w:pPr>
      <w:r>
        <w:rPr>
          <w:rFonts w:hint="eastAsia" w:ascii="宋体" w:hAnsi="宋体" w:eastAsia="宋体" w:cs="宋体"/>
          <w:color w:val="auto"/>
          <w:szCs w:val="21"/>
          <w:highlight w:val="none"/>
        </w:rPr>
        <w:t xml:space="preserve">   </w:t>
      </w:r>
    </w:p>
    <w:p>
      <w:pPr>
        <w:jc w:val="both"/>
        <w:rPr>
          <w:rFonts w:hint="eastAsia" w:ascii="宋体" w:hAnsi="宋体" w:eastAsia="宋体" w:cs="宋体"/>
          <w:b/>
          <w:color w:val="auto"/>
          <w:sz w:val="21"/>
          <w:szCs w:val="21"/>
        </w:rPr>
      </w:pPr>
      <w:r>
        <w:rPr>
          <w:rFonts w:hint="eastAsia" w:ascii="宋体" w:hAnsi="宋体" w:eastAsia="宋体" w:cs="宋体"/>
          <w:b/>
          <w:color w:val="auto"/>
          <w:sz w:val="21"/>
          <w:szCs w:val="21"/>
        </w:rPr>
        <w:t>生化仪招标参数</w:t>
      </w:r>
    </w:p>
    <w:tbl>
      <w:tblPr>
        <w:tblStyle w:val="30"/>
        <w:tblW w:w="533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6"/>
        <w:gridCol w:w="1032"/>
        <w:gridCol w:w="70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p>
        </w:tc>
        <w:tc>
          <w:tcPr>
            <w:tcW w:w="3983"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详细描述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restar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整机性能</w:t>
            </w: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工作速度</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恒速≥800T/H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vMerge w:val="restar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系统功能★</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根据需求，可封闭，可开放，支持进口和国产试剂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24小时连续开机，急诊优先插入，自动重测，血清信息，远程诊断，自动休眠和唤醒功能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1-4试剂，双波长或单波长测试，反应时间≤10分钟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测试范围</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临床生化，免疫透射比浊，治疗性药物监测等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样本类型</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血清，血浆，尿液，脑脊液等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分析方法</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一点终点法，两点终点法，动力学法（速率法），固定时间法（两点速率法）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vMerge w:val="restar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校准方法</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线性校准：K因数法、线性法（包括两点线性和多点线性）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非线性校准：样条法、折线法、指数法、对数法、3P参数法、4P参数法、5P参数法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restar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样本系统</w:t>
            </w: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样本盘★</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样本位≥144个，其中常规不少于93个，急诊位不少于15个，质控位和校准不少于33个，支持条码扫描(样本位可扩展可升级)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样本量★</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1.5-50ul，0.1ul递增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vMerge w:val="restar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样本针</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进口材质，高精度内外壁抛光型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液面感应、随量跟踪、立体防撞保护，选配堵针模块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lang w:val="en-US" w:eastAsia="zh-CN"/>
              </w:rPr>
            </w:pPr>
            <w:r>
              <w:rPr>
                <w:rFonts w:hint="eastAsia" w:ascii="宋体" w:hAnsi="宋体" w:eastAsia="宋体" w:cs="宋体"/>
                <w:color w:val="auto"/>
                <w:kern w:val="0"/>
                <w:sz w:val="22"/>
              </w:rPr>
              <w:t>立体内外壁清洗技术，自动维护清洗，交叉污染</w:t>
            </w:r>
            <w:r>
              <w:rPr>
                <w:rFonts w:hint="eastAsia" w:ascii="宋体" w:hAnsi="宋体" w:eastAsia="宋体" w:cs="宋体"/>
                <w:color w:val="auto"/>
                <w:kern w:val="0"/>
                <w:sz w:val="22"/>
                <w:lang w:val="en-US" w:eastAsia="zh-CN"/>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样本管</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微量样本杯、原始采血管、塑料试管等多种规格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restar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试剂系统</w:t>
            </w: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试剂盘★</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试剂位≥100个，双盘设计，均支持条码扫描，支持多种试剂规格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rPr>
                <w:rFonts w:hint="eastAsia" w:ascii="宋体" w:hAnsi="宋体" w:eastAsia="宋体" w:cs="宋体"/>
                <w:color w:val="auto"/>
                <w:sz w:val="22"/>
              </w:rPr>
            </w:pPr>
          </w:p>
        </w:tc>
        <w:tc>
          <w:tcPr>
            <w:tcW w:w="3983" w:type="pct"/>
            <w:noWrap w:val="0"/>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一个为清洗剂位，一个位置固定为生理盐水/去离子水（稀释用）；</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试剂瓶开模，底部凹槽设计，更小的试剂剩余体积。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试剂量</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20-400ul，0.5ul递增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vMerge w:val="restar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试剂针</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val="en-US" w:eastAsia="zh-CN"/>
              </w:rPr>
              <w:t>2支试剂加样针，</w:t>
            </w:r>
            <w:r>
              <w:rPr>
                <w:rFonts w:hint="eastAsia" w:ascii="宋体" w:hAnsi="宋体" w:eastAsia="宋体" w:cs="宋体"/>
                <w:color w:val="auto"/>
                <w:kern w:val="0"/>
                <w:sz w:val="22"/>
              </w:rPr>
              <w:t>进口材质，高精度内外壁抛光型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液面感应、随量跟踪、立体防撞保护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立体内外壁清洗技术，自动维护清洗，交叉污染&lt;0.08%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试剂冷藏★</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2℃-8℃，可24小时连续冷藏，半导体帕尔帖制冷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ins w:id="0" w:author="WPS_1657709526" w:date="2023-09-13T16:33:00Z"/>
        </w:trPr>
        <w:tc>
          <w:tcPr>
            <w:tcW w:w="436" w:type="pct"/>
            <w:vMerge w:val="continue"/>
            <w:noWrap/>
            <w:tcMar>
              <w:top w:w="15" w:type="dxa"/>
              <w:left w:w="15" w:type="dxa"/>
              <w:right w:w="15" w:type="dxa"/>
            </w:tcMar>
            <w:vAlign w:val="center"/>
          </w:tcPr>
          <w:p>
            <w:pPr>
              <w:jc w:val="center"/>
              <w:rPr>
                <w:ins w:id="1" w:author="WPS_1657709526" w:date="2023-09-13T16:33:00Z"/>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left"/>
              <w:textAlignment w:val="center"/>
              <w:rPr>
                <w:ins w:id="2" w:author="WPS_1657709526" w:date="2023-09-13T16:33:00Z"/>
                <w:rFonts w:hint="eastAsia" w:ascii="宋体" w:hAnsi="宋体" w:eastAsia="宋体" w:cs="宋体"/>
                <w:color w:val="auto"/>
                <w:kern w:val="0"/>
                <w:sz w:val="22"/>
              </w:rPr>
            </w:pPr>
            <w:r>
              <w:rPr>
                <w:rFonts w:hint="eastAsia" w:ascii="宋体" w:hAnsi="宋体" w:eastAsia="宋体" w:cs="宋体"/>
                <w:color w:val="auto"/>
                <w:kern w:val="0"/>
                <w:sz w:val="22"/>
                <w:lang w:val="en-US" w:eastAsia="zh-CN"/>
              </w:rPr>
              <w:t>运行中装载试剂</w:t>
            </w:r>
          </w:p>
        </w:tc>
        <w:tc>
          <w:tcPr>
            <w:tcW w:w="3983" w:type="pct"/>
            <w:noWrap/>
            <w:tcMar>
              <w:top w:w="15" w:type="dxa"/>
              <w:left w:w="15" w:type="dxa"/>
              <w:right w:w="15" w:type="dxa"/>
            </w:tcMar>
            <w:vAlign w:val="center"/>
          </w:tcPr>
          <w:p>
            <w:pPr>
              <w:widowControl/>
              <w:jc w:val="left"/>
              <w:textAlignment w:val="center"/>
              <w:rPr>
                <w:ins w:id="3" w:author="WPS_1657709526" w:date="2023-09-13T16:33:00Z"/>
                <w:rFonts w:hint="eastAsia" w:ascii="宋体" w:hAnsi="宋体" w:eastAsia="宋体" w:cs="宋体"/>
                <w:color w:val="auto"/>
                <w:kern w:val="0"/>
                <w:sz w:val="22"/>
              </w:rPr>
            </w:pPr>
            <w:r>
              <w:rPr>
                <w:rFonts w:hint="eastAsia" w:ascii="宋体" w:hAnsi="宋体" w:eastAsia="宋体" w:cs="宋体"/>
                <w:color w:val="auto"/>
                <w:kern w:val="0"/>
                <w:sz w:val="22"/>
                <w:lang w:val="en-US" w:eastAsia="zh-CN"/>
              </w:rPr>
              <w:t>仪器测试进行中可支持试剂在线更换，节省操作时间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ins w:id="4" w:author="WPS_1657709526" w:date="2023-09-13T16:32:00Z"/>
        </w:trPr>
        <w:tc>
          <w:tcPr>
            <w:tcW w:w="436" w:type="pct"/>
            <w:vMerge w:val="continue"/>
            <w:noWrap/>
            <w:tcMar>
              <w:top w:w="15" w:type="dxa"/>
              <w:left w:w="15" w:type="dxa"/>
              <w:right w:w="15" w:type="dxa"/>
            </w:tcMar>
            <w:vAlign w:val="center"/>
          </w:tcPr>
          <w:p>
            <w:pPr>
              <w:jc w:val="center"/>
              <w:rPr>
                <w:ins w:id="5" w:author="WPS_1657709526" w:date="2023-09-13T16:32:00Z"/>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ins w:id="6" w:author="WPS_1657709526" w:date="2023-09-13T16:32:00Z"/>
                <w:rFonts w:hint="eastAsia" w:ascii="宋体" w:hAnsi="宋体" w:eastAsia="宋体" w:cs="宋体"/>
                <w:color w:val="auto"/>
                <w:kern w:val="0"/>
                <w:sz w:val="22"/>
              </w:rPr>
            </w:pPr>
            <w:r>
              <w:rPr>
                <w:rFonts w:hint="eastAsia" w:ascii="宋体" w:hAnsi="宋体" w:eastAsia="宋体" w:cs="宋体"/>
                <w:color w:val="auto"/>
                <w:kern w:val="0"/>
                <w:sz w:val="22"/>
                <w:lang w:val="en-US" w:eastAsia="zh-CN"/>
              </w:rPr>
              <w:t>微量分注系统</w:t>
            </w:r>
          </w:p>
        </w:tc>
        <w:tc>
          <w:tcPr>
            <w:tcW w:w="3983" w:type="pct"/>
            <w:noWrap/>
            <w:tcMar>
              <w:top w:w="15" w:type="dxa"/>
              <w:left w:w="15" w:type="dxa"/>
              <w:right w:w="15" w:type="dxa"/>
            </w:tcMar>
            <w:vAlign w:val="center"/>
          </w:tcPr>
          <w:p>
            <w:pPr>
              <w:widowControl/>
              <w:jc w:val="left"/>
              <w:textAlignment w:val="center"/>
              <w:rPr>
                <w:ins w:id="7" w:author="WPS_1657709526" w:date="2023-09-13T16:32:00Z"/>
                <w:rFonts w:hint="eastAsia" w:ascii="宋体" w:hAnsi="宋体" w:eastAsia="宋体" w:cs="宋体"/>
                <w:color w:val="auto"/>
                <w:kern w:val="0"/>
                <w:sz w:val="22"/>
              </w:rPr>
            </w:pPr>
            <w:r>
              <w:rPr>
                <w:rFonts w:hint="eastAsia" w:ascii="宋体" w:hAnsi="宋体" w:eastAsia="宋体" w:cs="宋体"/>
                <w:color w:val="auto"/>
                <w:kern w:val="0"/>
                <w:sz w:val="22"/>
                <w:lang w:eastAsia="zh-CN"/>
              </w:rPr>
              <w:t>采用高耐磨陶瓷芯分注泵</w:t>
            </w:r>
            <w:r>
              <w:rPr>
                <w:rFonts w:hint="eastAsia" w:ascii="宋体" w:hAnsi="宋体" w:eastAsia="宋体" w:cs="宋体"/>
                <w:color w:val="auto"/>
                <w:sz w:val="24"/>
                <w:szCs w:val="24"/>
                <w:lang w:val="en-US" w:eastAsia="zh-CN"/>
              </w:rPr>
              <w:t>，耐腐蚀、耐磨损、性能优良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436" w:type="pct"/>
            <w:vMerge w:val="restar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反应系统</w:t>
            </w: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反应盘</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圆盘式，比色杯</w:t>
            </w:r>
            <w:r>
              <w:rPr>
                <w:rFonts w:hint="eastAsia" w:ascii="宋体" w:hAnsi="宋体" w:eastAsia="宋体" w:cs="宋体"/>
                <w:color w:val="auto"/>
                <w:kern w:val="0"/>
                <w:sz w:val="22"/>
                <w:lang w:val="en-US" w:eastAsia="zh-CN"/>
              </w:rPr>
              <w:t>≥</w:t>
            </w:r>
            <w:r>
              <w:rPr>
                <w:rFonts w:hint="eastAsia" w:ascii="宋体" w:hAnsi="宋体" w:eastAsia="宋体" w:cs="宋体"/>
                <w:color w:val="auto"/>
                <w:kern w:val="0"/>
                <w:sz w:val="22"/>
              </w:rPr>
              <w:t>165个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比色杯★</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石英玻璃杯（可选配永久性硬质玻璃杯），每个比色杯可独立更换，永久性免更换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反应液体积★</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90-450ul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恒温系统★</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固体直热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反应杯清洗★</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rPr>
              <w:t>8</w:t>
            </w:r>
            <w:r>
              <w:rPr>
                <w:rFonts w:hint="eastAsia" w:ascii="宋体" w:hAnsi="宋体" w:eastAsia="宋体" w:cs="宋体"/>
                <w:color w:val="auto"/>
                <w:kern w:val="0"/>
                <w:sz w:val="22"/>
                <w:highlight w:val="none"/>
              </w:rPr>
              <w:t>阶温水清洗，反应杯携带污染更低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反应盘温度</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37±0.3℃，温度实时显示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搅拌机构★</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独立搅拌杆，纳米技术，高度抛光，自动变频技术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restar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光学系统</w:t>
            </w: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光源★</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进口卤素灯，自动调节，寿命可达2000h，12V，20W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分光方式</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全息平场凹面光栅，PDA，后分光技术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波长★</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w:t>
            </w:r>
            <w:r>
              <w:rPr>
                <w:rFonts w:hint="eastAsia" w:ascii="宋体" w:hAnsi="宋体" w:eastAsia="宋体" w:cs="宋体"/>
                <w:color w:val="auto"/>
                <w:kern w:val="0"/>
                <w:sz w:val="22"/>
                <w:highlight w:val="none"/>
                <w:lang w:eastAsia="zh-CN"/>
              </w:rPr>
              <w:t>1</w:t>
            </w:r>
            <w:r>
              <w:rPr>
                <w:rFonts w:hint="eastAsia" w:ascii="宋体" w:hAnsi="宋体" w:eastAsia="宋体" w:cs="宋体"/>
                <w:color w:val="auto"/>
                <w:kern w:val="0"/>
                <w:sz w:val="22"/>
                <w:highlight w:val="none"/>
                <w:lang w:val="en-US" w:eastAsia="zh-CN"/>
              </w:rPr>
              <w:t>2</w:t>
            </w:r>
            <w:r>
              <w:rPr>
                <w:rFonts w:hint="eastAsia" w:ascii="宋体" w:hAnsi="宋体" w:eastAsia="宋体" w:cs="宋体"/>
                <w:color w:val="auto"/>
                <w:kern w:val="0"/>
                <w:sz w:val="22"/>
                <w:highlight w:val="none"/>
              </w:rPr>
              <w:t>个波长，波长范围340-850nm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波长准确度</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±2nm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吸光度范围</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范围：0-4.0 ABS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分辨率</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0.001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杂散光</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340nm处的杂散光</w:t>
            </w:r>
            <w:r>
              <w:rPr>
                <w:rFonts w:hint="eastAsia" w:ascii="宋体" w:hAnsi="宋体" w:eastAsia="宋体" w:cs="宋体"/>
                <w:color w:val="auto"/>
                <w:kern w:val="0"/>
                <w:sz w:val="22"/>
                <w:highlight w:val="none"/>
                <w:lang w:val="en-US" w:eastAsia="zh-CN"/>
              </w:rPr>
              <w:t>≥4.8Abs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restar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数据管理</w:t>
            </w: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软件功能</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简洁的操作界面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显示器</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液晶显示器，软件支持触摸屏操作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打印功能</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支持多种报告格式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系统接口</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TCP/IP网络接口、RS-232标准接口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restar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工作条件</w:t>
            </w: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电源</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~220V，50HZ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功率</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≤3000VA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环境温度</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15℃—32℃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峰值耗水量★</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耗水量≤25L/H（均值）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外形尺寸</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1600*850*1200(长*宽*高）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海拔</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2000M以下，高海拔地区需选配外置气泵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重量</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≤400KG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restart"/>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计算机要求</w:t>
            </w:r>
          </w:p>
          <w:p>
            <w:pPr>
              <w:widowControl/>
              <w:jc w:val="center"/>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（附件）</w:t>
            </w: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操作系统</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Window 7及以上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CPU</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CPU主频≥2.8GHz，硬盘≥320G，内存≥2G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显示器</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19英寸以上，分辨率：1920*1080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接口</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TCP/IP网络接口、RS-232标准接口，USB1.1、并行口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noWrap/>
            <w:tcMar>
              <w:top w:w="15" w:type="dxa"/>
              <w:left w:w="15" w:type="dxa"/>
              <w:right w:w="15" w:type="dxa"/>
            </w:tcMar>
            <w:vAlign w:val="center"/>
          </w:tcPr>
          <w:p>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rPr>
              <w:t>打印机</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rPr>
              <w:t>USB或并口打印机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restart"/>
            <w:noWrap/>
            <w:tcMar>
              <w:top w:w="15" w:type="dxa"/>
              <w:left w:w="15" w:type="dxa"/>
              <w:right w:w="15" w:type="dxa"/>
            </w:tcMar>
            <w:vAlign w:val="center"/>
          </w:tcPr>
          <w:p>
            <w:pPr>
              <w:jc w:val="center"/>
              <w:rPr>
                <w:rFonts w:hint="eastAsia" w:ascii="宋体" w:hAnsi="宋体" w:eastAsia="宋体" w:cs="宋体"/>
                <w:color w:val="auto"/>
                <w:sz w:val="22"/>
              </w:rPr>
            </w:pPr>
            <w:r>
              <w:rPr>
                <w:rFonts w:hint="eastAsia" w:ascii="宋体" w:hAnsi="宋体" w:eastAsia="宋体" w:cs="宋体"/>
                <w:color w:val="auto"/>
                <w:sz w:val="22"/>
              </w:rPr>
              <w:t>其他</w:t>
            </w:r>
          </w:p>
        </w:tc>
        <w:tc>
          <w:tcPr>
            <w:tcW w:w="580" w:type="pct"/>
            <w:vMerge w:val="restart"/>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其他</w:t>
            </w: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具备LIS端口，能够与科室LIS系统连接，支持HIS系统。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6" w:type="pct"/>
            <w:vMerge w:val="continue"/>
            <w:noWrap/>
            <w:tcMar>
              <w:top w:w="15" w:type="dxa"/>
              <w:left w:w="15" w:type="dxa"/>
              <w:right w:w="15" w:type="dxa"/>
            </w:tcMar>
            <w:vAlign w:val="center"/>
          </w:tcPr>
          <w:p>
            <w:pPr>
              <w:jc w:val="center"/>
              <w:rPr>
                <w:rFonts w:hint="eastAsia" w:ascii="宋体" w:hAnsi="宋体" w:eastAsia="宋体" w:cs="宋体"/>
                <w:color w:val="auto"/>
                <w:sz w:val="22"/>
              </w:rPr>
            </w:pPr>
          </w:p>
        </w:tc>
        <w:tc>
          <w:tcPr>
            <w:tcW w:w="580" w:type="pct"/>
            <w:vMerge w:val="continue"/>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rPr>
            </w:pPr>
          </w:p>
        </w:tc>
        <w:tc>
          <w:tcPr>
            <w:tcW w:w="3983" w:type="pct"/>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售后服务：项目实施地配备专职售后服务人员，提供7×24小时×365天</w:t>
            </w:r>
            <w:r>
              <w:rPr>
                <w:rStyle w:val="60"/>
                <w:rFonts w:hint="eastAsia" w:ascii="宋体" w:hAnsi="宋体" w:eastAsia="宋体" w:cs="宋体"/>
                <w:color w:val="auto"/>
              </w:rPr>
              <w:t>服务响应</w:t>
            </w:r>
            <w:r>
              <w:rPr>
                <w:rStyle w:val="60"/>
                <w:rFonts w:hint="eastAsia" w:ascii="宋体" w:hAnsi="宋体" w:eastAsia="宋体" w:cs="宋体"/>
                <w:color w:val="auto"/>
                <w:lang w:eastAsia="zh-CN"/>
              </w:rPr>
              <w:t>，</w:t>
            </w:r>
            <w:r>
              <w:rPr>
                <w:rStyle w:val="60"/>
                <w:rFonts w:hint="eastAsia" w:ascii="宋体" w:hAnsi="宋体" w:eastAsia="宋体" w:cs="宋体"/>
                <w:color w:val="auto"/>
                <w:lang w:val="en-US" w:eastAsia="zh-CN"/>
              </w:rPr>
              <w:t>免费安装、调试（含调试试剂）、人员培训；24h免费报修电话</w:t>
            </w:r>
          </w:p>
        </w:tc>
      </w:tr>
    </w:tbl>
    <w:p>
      <w:pPr>
        <w:spacing w:line="360" w:lineRule="exact"/>
        <w:jc w:val="both"/>
        <w:outlineLvl w:val="0"/>
        <w:rPr>
          <w:rFonts w:hint="eastAsia" w:ascii="宋体" w:hAnsi="宋体" w:eastAsia="宋体" w:cs="宋体"/>
          <w:b/>
          <w:color w:val="auto"/>
          <w:sz w:val="32"/>
          <w:szCs w:val="32"/>
          <w:highlight w:val="none"/>
        </w:rPr>
      </w:pPr>
    </w:p>
    <w:p>
      <w:pPr>
        <w:spacing w:before="156" w:beforeLines="50" w:after="156" w:afterLines="50" w:line="480" w:lineRule="auto"/>
        <w:jc w:val="left"/>
        <w:rPr>
          <w:rFonts w:hint="eastAsia" w:ascii="宋体" w:hAnsi="宋体" w:eastAsia="宋体" w:cs="宋体"/>
          <w:b/>
          <w:bCs/>
          <w:color w:val="auto"/>
          <w:sz w:val="24"/>
          <w:szCs w:val="24"/>
        </w:rPr>
      </w:pPr>
      <w:bookmarkStart w:id="59" w:name="_Toc401132069"/>
      <w:r>
        <w:rPr>
          <w:rFonts w:hint="eastAsia" w:ascii="宋体" w:hAnsi="宋体" w:eastAsia="宋体" w:cs="宋体"/>
          <w:b/>
          <w:bCs/>
          <w:color w:val="auto"/>
          <w:sz w:val="24"/>
          <w:szCs w:val="24"/>
        </w:rPr>
        <w:t>血球分析仪技术参数</w:t>
      </w:r>
      <w:bookmarkEnd w:id="59"/>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检测原理：</w:t>
      </w:r>
      <w:bookmarkStart w:id="60" w:name="_Hlk124870438"/>
      <w:r>
        <w:rPr>
          <w:rFonts w:hint="eastAsia" w:ascii="宋体" w:hAnsi="宋体" w:eastAsia="宋体" w:cs="宋体"/>
          <w:color w:val="auto"/>
          <w:sz w:val="24"/>
          <w:szCs w:val="24"/>
        </w:rPr>
        <w:t>采用半导体激光流式细胞技术结合细胞化学染色原理实现白细胞五分类；阻抗法原理检测白细胞/嗜碱性粒细胞、红细胞和血小板的数目以及体积分布；采用比色法测量血红蛋白浓度；采用胶乳增强免疫散射比浊法测定C-反应蛋白含量。</w:t>
      </w:r>
    </w:p>
    <w:bookmarkEnd w:id="60"/>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检测项目：33项参数：包含两项C-反应蛋白参数：CRP、Hs-CRP；25项血常规报告参数：WBC、Neu#、Lym#、Mon#、Eos#、Bas#、Neu%、Lym%、Mon%、Eos%、Bas%、RBC、HGB、HCT、MCV、MCH、MCHC、RDW-SD、RDW-CV、PLT、MPV、PDW、PCT、P-LCR、P-LCC；6项血常规研究参数：ALY#、ALY%、LIC#、LIC%、NRBC#、NRBC%。</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散点图：3个二维DIFF散点图和1个可旋转三维DIFF散点图。</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直方图：WBC直方图、RBC直方图、PLT直方图。</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分析模式：CBC、CBC+DIFF、CRP、CBC+CRP、CBC+DIFF+CRP。</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分析速度：血常规90样本/小时、CRP检测60样本/小时、血常规联合CRP检测60样本/小时。</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血样模式：静脉全血、末梢全血、预稀释血。</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进样模式：开放进样、自动进样。</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自动进样：配备自动进样器，一次可装载60个样本，支持不间断循环添加样本。</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样本量：</w:t>
      </w:r>
      <w:bookmarkStart w:id="61" w:name="_Hlk115274005"/>
      <w:r>
        <w:rPr>
          <w:rFonts w:hint="eastAsia" w:ascii="宋体" w:hAnsi="宋体" w:eastAsia="宋体" w:cs="宋体"/>
          <w:color w:val="auto"/>
          <w:sz w:val="24"/>
          <w:szCs w:val="24"/>
        </w:rPr>
        <w:t>最小用血量</w:t>
      </w:r>
      <w:bookmarkEnd w:id="61"/>
      <w:r>
        <w:rPr>
          <w:rFonts w:hint="eastAsia" w:ascii="宋体" w:hAnsi="宋体" w:eastAsia="宋体" w:cs="宋体"/>
          <w:color w:val="auto"/>
          <w:sz w:val="24"/>
          <w:szCs w:val="24"/>
        </w:rPr>
        <w:t>≤20μL。</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冷藏功能：具有试剂冷藏系统，支持特定蛋白试剂冷藏存放。</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校准模式：具备校准物校准、新鲜血校准以及人工校准模式。</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质控模式：具有L-J、X-B两种质控模式，能够自动绘制质控图。</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操作软件：支持中英文软件操作。</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输入方式：支持中英文输入患者信息，医院信息。</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输出方式：可外接打印机，中英文报告格式，可打印直方图、散点图、参考范围等，包括多种打印模式和用户自定义模板。</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数据存储管理：自动对标本结果、仪器状态、日志等进行记录、并支持对信息进行回顾查询，仪器可存储至少30万条样本记录（包含散点图、直方图、患者信息）。</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单位制选择：支持自定义、中国、国际、美国、加拿大、荷兰、英国7种单位制，可自由设置。</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防抵死：采样针有防抵死功能，可以减少堵孔及保障吸样准确性。</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联网功能：支持双向LIS，具有与实验室信息系统进行通信的功能。</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排堵功能：仪器拥有自动检测堵孔，自动排堵的功能。</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清洗功能：</w:t>
      </w:r>
      <w:bookmarkStart w:id="62" w:name="_Hlk124870620"/>
      <w:r>
        <w:rPr>
          <w:rFonts w:hint="eastAsia" w:ascii="宋体" w:hAnsi="宋体" w:eastAsia="宋体" w:cs="宋体"/>
          <w:color w:val="auto"/>
          <w:sz w:val="24"/>
          <w:szCs w:val="24"/>
        </w:rPr>
        <w:t>可在仪器保养界面选择进行整机清洗、WBC池、RBC池及采样针清洗，同时支持自动采样针清洗、开关机自动清洗。</w:t>
      </w:r>
      <w:bookmarkEnd w:id="62"/>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维护功能：具备一键故障消除功能。</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报警功能：具备异常样本FLAG报警功能，支持自定义报警规则；支持分类或形态异常报警；具备试剂报警功能、故障报警功能。</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可维护性：具备可视化试剂管理界面、仪器关键器部件状态检测以及仪器自检。</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休眠模式：具有自动休眠和一键唤醒功能。</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试剂：提供原厂配套试剂。</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质控：提供配套高、中、低质控品。</w:t>
      </w:r>
    </w:p>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重复性</w:t>
      </w:r>
    </w:p>
    <w:tbl>
      <w:tblPr>
        <w:tblStyle w:val="30"/>
        <w:tblW w:w="0" w:type="auto"/>
        <w:tblInd w:w="8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985"/>
        <w:gridCol w:w="5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84" w:hRule="atLeast"/>
        </w:trPr>
        <w:tc>
          <w:tcPr>
            <w:tcW w:w="1985" w:type="dxa"/>
            <w:shd w:val="clear" w:color="auto" w:fill="FFFFFF"/>
            <w:noWrap w:val="0"/>
            <w:vAlign w:val="center"/>
          </w:tcPr>
          <w:p>
            <w:pPr>
              <w:spacing w:line="360" w:lineRule="auto"/>
              <w:ind w:firstLine="705" w:firstLineChars="336"/>
              <w:rPr>
                <w:rFonts w:hint="eastAsia" w:ascii="宋体" w:hAnsi="宋体" w:eastAsia="宋体" w:cs="宋体"/>
                <w:color w:val="auto"/>
                <w:szCs w:val="21"/>
              </w:rPr>
            </w:pPr>
            <w:r>
              <w:rPr>
                <w:rFonts w:hint="eastAsia" w:ascii="宋体" w:hAnsi="宋体" w:eastAsia="宋体" w:cs="宋体"/>
                <w:color w:val="auto"/>
                <w:szCs w:val="21"/>
              </w:rPr>
              <w:t>项目</w:t>
            </w:r>
          </w:p>
        </w:tc>
        <w:tc>
          <w:tcPr>
            <w:tcW w:w="5585" w:type="dxa"/>
            <w:shd w:val="clear" w:color="auto" w:fill="FFFFFF"/>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重复性(精密度)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 w:hRule="atLeast"/>
        </w:trPr>
        <w:tc>
          <w:tcPr>
            <w:tcW w:w="1985" w:type="dxa"/>
            <w:shd w:val="clear" w:color="auto" w:fill="FFFFFF"/>
            <w:noWrap w:val="0"/>
            <w:vAlign w:val="center"/>
          </w:tcPr>
          <w:p>
            <w:pPr>
              <w:spacing w:line="360" w:lineRule="auto"/>
              <w:ind w:firstLine="705" w:firstLineChars="336"/>
              <w:rPr>
                <w:rFonts w:hint="eastAsia" w:ascii="宋体" w:hAnsi="宋体" w:eastAsia="宋体" w:cs="宋体"/>
                <w:color w:val="auto"/>
                <w:szCs w:val="21"/>
              </w:rPr>
            </w:pPr>
            <w:r>
              <w:rPr>
                <w:rFonts w:hint="eastAsia" w:ascii="宋体" w:hAnsi="宋体" w:eastAsia="宋体" w:cs="宋体"/>
                <w:color w:val="auto"/>
                <w:szCs w:val="21"/>
              </w:rPr>
              <w:t>WBC</w:t>
            </w:r>
          </w:p>
        </w:tc>
        <w:tc>
          <w:tcPr>
            <w:tcW w:w="5585" w:type="dxa"/>
            <w:shd w:val="clear" w:color="auto" w:fill="FFFFFF"/>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shd w:val="clear" w:color="auto" w:fill="FFFFFF"/>
            <w:noWrap w:val="0"/>
            <w:vAlign w:val="center"/>
          </w:tcPr>
          <w:p>
            <w:pPr>
              <w:spacing w:line="360" w:lineRule="auto"/>
              <w:ind w:firstLine="705" w:firstLineChars="336"/>
              <w:rPr>
                <w:rFonts w:hint="eastAsia" w:ascii="宋体" w:hAnsi="宋体" w:eastAsia="宋体" w:cs="宋体"/>
                <w:color w:val="auto"/>
                <w:szCs w:val="21"/>
              </w:rPr>
            </w:pPr>
            <w:r>
              <w:rPr>
                <w:rFonts w:hint="eastAsia" w:ascii="宋体" w:hAnsi="宋体" w:eastAsia="宋体" w:cs="宋体"/>
                <w:color w:val="auto"/>
                <w:szCs w:val="21"/>
              </w:rPr>
              <w:t>RBC</w:t>
            </w:r>
          </w:p>
        </w:tc>
        <w:tc>
          <w:tcPr>
            <w:tcW w:w="5585" w:type="dxa"/>
            <w:shd w:val="clear" w:color="auto" w:fill="FFFFFF"/>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shd w:val="clear" w:color="auto" w:fill="FFFFFF"/>
            <w:noWrap w:val="0"/>
            <w:vAlign w:val="center"/>
          </w:tcPr>
          <w:p>
            <w:pPr>
              <w:spacing w:line="360" w:lineRule="auto"/>
              <w:ind w:firstLine="705" w:firstLineChars="336"/>
              <w:rPr>
                <w:rFonts w:hint="eastAsia" w:ascii="宋体" w:hAnsi="宋体" w:eastAsia="宋体" w:cs="宋体"/>
                <w:color w:val="auto"/>
                <w:szCs w:val="21"/>
              </w:rPr>
            </w:pPr>
            <w:r>
              <w:rPr>
                <w:rFonts w:hint="eastAsia" w:ascii="宋体" w:hAnsi="宋体" w:eastAsia="宋体" w:cs="宋体"/>
                <w:color w:val="auto"/>
                <w:szCs w:val="21"/>
              </w:rPr>
              <w:t>HGB</w:t>
            </w:r>
          </w:p>
        </w:tc>
        <w:tc>
          <w:tcPr>
            <w:tcW w:w="5585" w:type="dxa"/>
            <w:shd w:val="clear" w:color="auto" w:fill="FFFFFF"/>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shd w:val="clear" w:color="auto" w:fill="FFFFFF"/>
            <w:noWrap w:val="0"/>
            <w:vAlign w:val="center"/>
          </w:tcPr>
          <w:p>
            <w:pPr>
              <w:spacing w:line="360" w:lineRule="auto"/>
              <w:ind w:firstLine="705" w:firstLineChars="336"/>
              <w:rPr>
                <w:rFonts w:hint="eastAsia" w:ascii="宋体" w:hAnsi="宋体" w:eastAsia="宋体" w:cs="宋体"/>
                <w:color w:val="auto"/>
                <w:szCs w:val="21"/>
              </w:rPr>
            </w:pPr>
            <w:r>
              <w:rPr>
                <w:rFonts w:hint="eastAsia" w:ascii="宋体" w:hAnsi="宋体" w:eastAsia="宋体" w:cs="宋体"/>
                <w:color w:val="auto"/>
                <w:szCs w:val="21"/>
              </w:rPr>
              <w:t>MCV</w:t>
            </w:r>
          </w:p>
        </w:tc>
        <w:tc>
          <w:tcPr>
            <w:tcW w:w="5585" w:type="dxa"/>
            <w:shd w:val="clear" w:color="auto" w:fill="FFFFFF"/>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1985" w:type="dxa"/>
            <w:shd w:val="clear" w:color="auto" w:fill="FFFFFF"/>
            <w:noWrap w:val="0"/>
            <w:vAlign w:val="center"/>
          </w:tcPr>
          <w:p>
            <w:pPr>
              <w:spacing w:line="360" w:lineRule="auto"/>
              <w:ind w:firstLine="705" w:firstLineChars="336"/>
              <w:rPr>
                <w:rFonts w:hint="eastAsia" w:ascii="宋体" w:hAnsi="宋体" w:eastAsia="宋体" w:cs="宋体"/>
                <w:color w:val="auto"/>
                <w:szCs w:val="21"/>
              </w:rPr>
            </w:pPr>
            <w:r>
              <w:rPr>
                <w:rFonts w:hint="eastAsia" w:ascii="宋体" w:hAnsi="宋体" w:eastAsia="宋体" w:cs="宋体"/>
                <w:color w:val="auto"/>
                <w:szCs w:val="21"/>
              </w:rPr>
              <w:t>PLT</w:t>
            </w:r>
          </w:p>
        </w:tc>
        <w:tc>
          <w:tcPr>
            <w:tcW w:w="5585" w:type="dxa"/>
            <w:shd w:val="clear" w:color="auto" w:fill="FFFFFF"/>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shd w:val="clear" w:color="auto" w:fill="FFFFFF"/>
            <w:noWrap w:val="0"/>
            <w:vAlign w:val="center"/>
          </w:tcPr>
          <w:p>
            <w:pPr>
              <w:spacing w:line="360" w:lineRule="auto"/>
              <w:ind w:firstLine="705" w:firstLineChars="336"/>
              <w:rPr>
                <w:rFonts w:hint="eastAsia" w:ascii="宋体" w:hAnsi="宋体" w:eastAsia="宋体" w:cs="宋体"/>
                <w:color w:val="auto"/>
                <w:szCs w:val="21"/>
              </w:rPr>
            </w:pPr>
            <w:r>
              <w:rPr>
                <w:rFonts w:hint="eastAsia" w:ascii="宋体" w:hAnsi="宋体" w:eastAsia="宋体" w:cs="宋体"/>
                <w:color w:val="auto"/>
                <w:szCs w:val="21"/>
              </w:rPr>
              <w:t>MCV</w:t>
            </w:r>
          </w:p>
        </w:tc>
        <w:tc>
          <w:tcPr>
            <w:tcW w:w="5585" w:type="dxa"/>
            <w:shd w:val="clear" w:color="auto" w:fill="FFFFFF"/>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70" w:hRule="atLeast"/>
        </w:trPr>
        <w:tc>
          <w:tcPr>
            <w:tcW w:w="1985" w:type="dxa"/>
            <w:vMerge w:val="restart"/>
            <w:shd w:val="clear" w:color="auto" w:fill="FFFFFF"/>
            <w:noWrap w:val="0"/>
            <w:vAlign w:val="center"/>
          </w:tcPr>
          <w:p>
            <w:pPr>
              <w:spacing w:line="360" w:lineRule="auto"/>
              <w:ind w:firstLine="705" w:firstLineChars="336"/>
              <w:rPr>
                <w:rFonts w:hint="eastAsia" w:ascii="宋体" w:hAnsi="宋体" w:eastAsia="宋体" w:cs="宋体"/>
                <w:color w:val="auto"/>
                <w:szCs w:val="21"/>
              </w:rPr>
            </w:pPr>
            <w:r>
              <w:rPr>
                <w:rFonts w:hint="eastAsia" w:ascii="宋体" w:hAnsi="宋体" w:eastAsia="宋体" w:cs="宋体"/>
                <w:color w:val="auto"/>
                <w:szCs w:val="21"/>
              </w:rPr>
              <w:t>CRP</w:t>
            </w:r>
          </w:p>
        </w:tc>
        <w:tc>
          <w:tcPr>
            <w:tcW w:w="5585" w:type="dxa"/>
            <w:shd w:val="clear" w:color="auto" w:fill="FFFFFF"/>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≤0.5mg/L (0.2~10mg/L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985" w:type="dxa"/>
            <w:vMerge w:val="continue"/>
            <w:shd w:val="clear" w:color="auto" w:fill="FFFFFF"/>
            <w:noWrap w:val="0"/>
            <w:vAlign w:val="center"/>
          </w:tcPr>
          <w:p>
            <w:pPr>
              <w:spacing w:line="360" w:lineRule="auto"/>
              <w:ind w:firstLine="495" w:firstLineChars="236"/>
              <w:rPr>
                <w:rFonts w:hint="eastAsia" w:ascii="宋体" w:hAnsi="宋体" w:eastAsia="宋体" w:cs="宋体"/>
                <w:color w:val="auto"/>
                <w:szCs w:val="21"/>
              </w:rPr>
            </w:pPr>
          </w:p>
        </w:tc>
        <w:tc>
          <w:tcPr>
            <w:tcW w:w="5585" w:type="dxa"/>
            <w:shd w:val="clear" w:color="auto" w:fill="FFFFFF"/>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≤4.0％(10.1~320 mg/L )</w:t>
            </w:r>
          </w:p>
        </w:tc>
      </w:tr>
    </w:tbl>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线性范围</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2122"/>
        <w:gridCol w:w="5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87" w:hRule="atLeast"/>
          <w:jc w:val="center"/>
        </w:trPr>
        <w:tc>
          <w:tcPr>
            <w:tcW w:w="2122" w:type="dxa"/>
            <w:shd w:val="clear" w:color="auto" w:fill="FFFFFF"/>
            <w:noWrap w:val="0"/>
            <w:vAlign w:val="top"/>
          </w:tcPr>
          <w:p>
            <w:pPr>
              <w:spacing w:line="360" w:lineRule="auto"/>
              <w:ind w:firstLine="705" w:firstLineChars="336"/>
              <w:rPr>
                <w:rFonts w:hint="eastAsia" w:ascii="宋体" w:hAnsi="宋体" w:eastAsia="宋体" w:cs="宋体"/>
                <w:color w:val="auto"/>
                <w:szCs w:val="21"/>
              </w:rPr>
            </w:pPr>
            <w:r>
              <w:rPr>
                <w:rFonts w:hint="eastAsia" w:ascii="宋体" w:hAnsi="宋体" w:eastAsia="宋体" w:cs="宋体"/>
                <w:color w:val="auto"/>
                <w:szCs w:val="21"/>
              </w:rPr>
              <w:t>项目</w:t>
            </w:r>
          </w:p>
        </w:tc>
        <w:tc>
          <w:tcPr>
            <w:tcW w:w="5521" w:type="dxa"/>
            <w:shd w:val="clear" w:color="auto" w:fill="FFFFFF"/>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线性范围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75" w:hRule="atLeast"/>
          <w:jc w:val="center"/>
        </w:trPr>
        <w:tc>
          <w:tcPr>
            <w:tcW w:w="2122" w:type="dxa"/>
            <w:shd w:val="clear" w:color="auto" w:fill="FFFFFF"/>
            <w:noWrap w:val="0"/>
            <w:vAlign w:val="center"/>
          </w:tcPr>
          <w:p>
            <w:pPr>
              <w:spacing w:line="360" w:lineRule="auto"/>
              <w:ind w:firstLine="705" w:firstLineChars="336"/>
              <w:rPr>
                <w:rFonts w:hint="eastAsia" w:ascii="宋体" w:hAnsi="宋体" w:eastAsia="宋体" w:cs="宋体"/>
                <w:color w:val="auto"/>
                <w:szCs w:val="21"/>
              </w:rPr>
            </w:pPr>
            <w:r>
              <w:rPr>
                <w:rFonts w:hint="eastAsia" w:ascii="宋体" w:hAnsi="宋体" w:eastAsia="宋体" w:cs="宋体"/>
                <w:color w:val="auto"/>
                <w:szCs w:val="21"/>
              </w:rPr>
              <w:t>WBC</w:t>
            </w:r>
          </w:p>
        </w:tc>
        <w:tc>
          <w:tcPr>
            <w:tcW w:w="5521" w:type="dxa"/>
            <w:shd w:val="clear" w:color="auto" w:fill="FFFFFF"/>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0.00～500×10</w:t>
            </w:r>
            <w:r>
              <w:rPr>
                <w:rFonts w:hint="eastAsia" w:ascii="宋体" w:hAnsi="宋体" w:eastAsia="宋体" w:cs="宋体"/>
                <w:color w:val="auto"/>
                <w:szCs w:val="21"/>
                <w:vertAlign w:val="superscript"/>
              </w:rPr>
              <w:t>9</w:t>
            </w:r>
            <w:r>
              <w:rPr>
                <w:rFonts w:hint="eastAsia" w:ascii="宋体" w:hAnsi="宋体" w:eastAsia="宋体" w:cs="宋体"/>
                <w:color w:val="auto"/>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83" w:hRule="atLeast"/>
          <w:jc w:val="center"/>
        </w:trPr>
        <w:tc>
          <w:tcPr>
            <w:tcW w:w="2122" w:type="dxa"/>
            <w:shd w:val="clear" w:color="auto" w:fill="FFFFFF"/>
            <w:noWrap w:val="0"/>
            <w:vAlign w:val="center"/>
          </w:tcPr>
          <w:p>
            <w:pPr>
              <w:spacing w:line="360" w:lineRule="auto"/>
              <w:ind w:firstLine="705" w:firstLineChars="336"/>
              <w:rPr>
                <w:rFonts w:hint="eastAsia" w:ascii="宋体" w:hAnsi="宋体" w:eastAsia="宋体" w:cs="宋体"/>
                <w:color w:val="auto"/>
                <w:szCs w:val="21"/>
              </w:rPr>
            </w:pPr>
            <w:r>
              <w:rPr>
                <w:rFonts w:hint="eastAsia" w:ascii="宋体" w:hAnsi="宋体" w:eastAsia="宋体" w:cs="宋体"/>
                <w:color w:val="auto"/>
                <w:szCs w:val="21"/>
              </w:rPr>
              <w:t>RBC</w:t>
            </w:r>
          </w:p>
        </w:tc>
        <w:tc>
          <w:tcPr>
            <w:tcW w:w="5521" w:type="dxa"/>
            <w:shd w:val="clear" w:color="auto" w:fill="FFFFFF"/>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0.00～8.5×10</w:t>
            </w:r>
            <w:r>
              <w:rPr>
                <w:rFonts w:hint="eastAsia" w:ascii="宋体" w:hAnsi="宋体" w:eastAsia="宋体" w:cs="宋体"/>
                <w:color w:val="auto"/>
                <w:szCs w:val="21"/>
                <w:vertAlign w:val="superscript"/>
              </w:rPr>
              <w:t>12</w:t>
            </w:r>
            <w:r>
              <w:rPr>
                <w:rFonts w:hint="eastAsia" w:ascii="宋体" w:hAnsi="宋体" w:eastAsia="宋体" w:cs="宋体"/>
                <w:color w:val="auto"/>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79" w:hRule="atLeast"/>
          <w:jc w:val="center"/>
        </w:trPr>
        <w:tc>
          <w:tcPr>
            <w:tcW w:w="2122" w:type="dxa"/>
            <w:shd w:val="clear" w:color="auto" w:fill="FFFFFF"/>
            <w:noWrap w:val="0"/>
            <w:vAlign w:val="center"/>
          </w:tcPr>
          <w:p>
            <w:pPr>
              <w:spacing w:line="360" w:lineRule="auto"/>
              <w:ind w:firstLine="705" w:firstLineChars="336"/>
              <w:rPr>
                <w:rFonts w:hint="eastAsia" w:ascii="宋体" w:hAnsi="宋体" w:eastAsia="宋体" w:cs="宋体"/>
                <w:color w:val="auto"/>
                <w:szCs w:val="21"/>
              </w:rPr>
            </w:pPr>
            <w:r>
              <w:rPr>
                <w:rFonts w:hint="eastAsia" w:ascii="宋体" w:hAnsi="宋体" w:eastAsia="宋体" w:cs="宋体"/>
                <w:color w:val="auto"/>
                <w:szCs w:val="21"/>
              </w:rPr>
              <w:t>HGB</w:t>
            </w:r>
          </w:p>
        </w:tc>
        <w:tc>
          <w:tcPr>
            <w:tcW w:w="5521" w:type="dxa"/>
            <w:shd w:val="clear" w:color="auto" w:fill="FFFFFF"/>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0～250g/L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26" w:hRule="atLeast"/>
          <w:jc w:val="center"/>
        </w:trPr>
        <w:tc>
          <w:tcPr>
            <w:tcW w:w="2122" w:type="dxa"/>
            <w:shd w:val="clear" w:color="auto" w:fill="FFFFFF"/>
            <w:noWrap w:val="0"/>
            <w:vAlign w:val="center"/>
          </w:tcPr>
          <w:p>
            <w:pPr>
              <w:spacing w:line="360" w:lineRule="auto"/>
              <w:ind w:firstLine="705" w:firstLineChars="336"/>
              <w:rPr>
                <w:rFonts w:hint="eastAsia" w:ascii="宋体" w:hAnsi="宋体" w:eastAsia="宋体" w:cs="宋体"/>
                <w:color w:val="auto"/>
                <w:szCs w:val="21"/>
              </w:rPr>
            </w:pPr>
            <w:r>
              <w:rPr>
                <w:rFonts w:hint="eastAsia" w:ascii="宋体" w:hAnsi="宋体" w:eastAsia="宋体" w:cs="宋体"/>
                <w:color w:val="auto"/>
                <w:szCs w:val="21"/>
              </w:rPr>
              <w:t>PLT</w:t>
            </w:r>
          </w:p>
        </w:tc>
        <w:tc>
          <w:tcPr>
            <w:tcW w:w="5521" w:type="dxa"/>
            <w:shd w:val="clear" w:color="auto" w:fill="FFFFFF"/>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0～5000×10</w:t>
            </w:r>
            <w:r>
              <w:rPr>
                <w:rFonts w:hint="eastAsia" w:ascii="宋体" w:hAnsi="宋体" w:eastAsia="宋体" w:cs="宋体"/>
                <w:color w:val="auto"/>
                <w:szCs w:val="21"/>
                <w:vertAlign w:val="superscript"/>
              </w:rPr>
              <w:t>9</w:t>
            </w:r>
            <w:r>
              <w:rPr>
                <w:rFonts w:hint="eastAsia" w:ascii="宋体" w:hAnsi="宋体" w:eastAsia="宋体" w:cs="宋体"/>
                <w:color w:val="auto"/>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87" w:hRule="atLeast"/>
          <w:jc w:val="center"/>
        </w:trPr>
        <w:tc>
          <w:tcPr>
            <w:tcW w:w="2122" w:type="dxa"/>
            <w:shd w:val="clear" w:color="auto" w:fill="FFFFFF"/>
            <w:noWrap w:val="0"/>
            <w:vAlign w:val="center"/>
          </w:tcPr>
          <w:p>
            <w:pPr>
              <w:spacing w:line="360" w:lineRule="auto"/>
              <w:ind w:firstLine="705" w:firstLineChars="336"/>
              <w:rPr>
                <w:rFonts w:hint="eastAsia" w:ascii="宋体" w:hAnsi="宋体" w:eastAsia="宋体" w:cs="宋体"/>
                <w:color w:val="auto"/>
                <w:szCs w:val="21"/>
              </w:rPr>
            </w:pPr>
            <w:r>
              <w:rPr>
                <w:rFonts w:hint="eastAsia" w:ascii="宋体" w:hAnsi="宋体" w:eastAsia="宋体" w:cs="宋体"/>
                <w:color w:val="auto"/>
                <w:szCs w:val="21"/>
              </w:rPr>
              <w:t>HCT</w:t>
            </w:r>
          </w:p>
        </w:tc>
        <w:tc>
          <w:tcPr>
            <w:tcW w:w="5521" w:type="dxa"/>
            <w:shd w:val="clear" w:color="auto" w:fill="FFFFFF"/>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0～67%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87" w:hRule="atLeast"/>
          <w:jc w:val="center"/>
        </w:trPr>
        <w:tc>
          <w:tcPr>
            <w:tcW w:w="2122" w:type="dxa"/>
            <w:shd w:val="clear" w:color="auto" w:fill="FFFFFF"/>
            <w:noWrap w:val="0"/>
            <w:vAlign w:val="top"/>
          </w:tcPr>
          <w:p>
            <w:pPr>
              <w:spacing w:line="360" w:lineRule="auto"/>
              <w:ind w:firstLine="705" w:firstLineChars="336"/>
              <w:rPr>
                <w:rFonts w:hint="eastAsia" w:ascii="宋体" w:hAnsi="宋体" w:eastAsia="宋体" w:cs="宋体"/>
                <w:color w:val="auto"/>
                <w:szCs w:val="21"/>
              </w:rPr>
            </w:pPr>
            <w:r>
              <w:rPr>
                <w:rFonts w:hint="eastAsia" w:ascii="宋体" w:hAnsi="宋体" w:eastAsia="宋体" w:cs="宋体"/>
                <w:color w:val="auto"/>
                <w:szCs w:val="21"/>
              </w:rPr>
              <w:t>CRP</w:t>
            </w:r>
          </w:p>
        </w:tc>
        <w:tc>
          <w:tcPr>
            <w:tcW w:w="5521" w:type="dxa"/>
            <w:shd w:val="clear" w:color="auto" w:fill="FFFFFF"/>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0.2～320mg/L</w:t>
            </w:r>
          </w:p>
        </w:tc>
      </w:tr>
    </w:tbl>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本底要求</w:t>
      </w:r>
    </w:p>
    <w:tbl>
      <w:tblPr>
        <w:tblStyle w:val="30"/>
        <w:tblW w:w="0" w:type="auto"/>
        <w:jc w:val="center"/>
        <w:tblLayout w:type="fixed"/>
        <w:tblCellMar>
          <w:top w:w="0" w:type="dxa"/>
          <w:left w:w="28" w:type="dxa"/>
          <w:bottom w:w="0" w:type="dxa"/>
          <w:right w:w="28" w:type="dxa"/>
        </w:tblCellMar>
      </w:tblPr>
      <w:tblGrid>
        <w:gridCol w:w="2257"/>
        <w:gridCol w:w="5393"/>
      </w:tblGrid>
      <w:tr>
        <w:tblPrEx>
          <w:tblCellMar>
            <w:top w:w="0" w:type="dxa"/>
            <w:left w:w="28" w:type="dxa"/>
            <w:bottom w:w="0" w:type="dxa"/>
            <w:right w:w="28" w:type="dxa"/>
          </w:tblCellMar>
        </w:tblPrEx>
        <w:trPr>
          <w:jc w:val="center"/>
        </w:trPr>
        <w:tc>
          <w:tcPr>
            <w:tcW w:w="2257"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firstLine="915" w:firstLineChars="436"/>
              <w:rPr>
                <w:rFonts w:hint="eastAsia" w:ascii="宋体" w:hAnsi="宋体" w:eastAsia="宋体" w:cs="宋体"/>
                <w:color w:val="auto"/>
                <w:szCs w:val="21"/>
              </w:rPr>
            </w:pPr>
            <w:r>
              <w:rPr>
                <w:rFonts w:hint="eastAsia" w:ascii="宋体" w:hAnsi="宋体" w:eastAsia="宋体" w:cs="宋体"/>
                <w:color w:val="auto"/>
                <w:szCs w:val="21"/>
              </w:rPr>
              <w:t>参数</w:t>
            </w:r>
          </w:p>
        </w:tc>
        <w:tc>
          <w:tcPr>
            <w:tcW w:w="5393"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firstLine="705" w:firstLineChars="336"/>
              <w:jc w:val="center"/>
              <w:rPr>
                <w:rFonts w:hint="eastAsia" w:ascii="宋体" w:hAnsi="宋体" w:eastAsia="宋体" w:cs="宋体"/>
                <w:color w:val="auto"/>
                <w:szCs w:val="21"/>
              </w:rPr>
            </w:pPr>
            <w:r>
              <w:rPr>
                <w:rFonts w:hint="eastAsia" w:ascii="宋体" w:hAnsi="宋体" w:eastAsia="宋体" w:cs="宋体"/>
                <w:color w:val="auto"/>
                <w:szCs w:val="21"/>
              </w:rPr>
              <w:t>本底</w:t>
            </w:r>
          </w:p>
        </w:tc>
      </w:tr>
      <w:tr>
        <w:tblPrEx>
          <w:tblCellMar>
            <w:top w:w="0" w:type="dxa"/>
            <w:left w:w="28" w:type="dxa"/>
            <w:bottom w:w="0" w:type="dxa"/>
            <w:right w:w="28" w:type="dxa"/>
          </w:tblCellMar>
        </w:tblPrEx>
        <w:trPr>
          <w:jc w:val="center"/>
        </w:trPr>
        <w:tc>
          <w:tcPr>
            <w:tcW w:w="2257"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firstLine="915" w:firstLineChars="436"/>
              <w:rPr>
                <w:rFonts w:hint="eastAsia" w:ascii="宋体" w:hAnsi="宋体" w:eastAsia="宋体" w:cs="宋体"/>
                <w:color w:val="auto"/>
                <w:szCs w:val="21"/>
              </w:rPr>
            </w:pPr>
            <w:r>
              <w:rPr>
                <w:rFonts w:hint="eastAsia" w:ascii="宋体" w:hAnsi="宋体" w:eastAsia="宋体" w:cs="宋体"/>
                <w:color w:val="auto"/>
                <w:szCs w:val="21"/>
              </w:rPr>
              <w:t>WBC</w:t>
            </w:r>
          </w:p>
        </w:tc>
        <w:tc>
          <w:tcPr>
            <w:tcW w:w="5393"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 xml:space="preserve">≤ 0.2 </w:t>
            </w:r>
            <w:r>
              <w:rPr>
                <w:rFonts w:hint="eastAsia" w:ascii="宋体" w:hAnsi="宋体" w:eastAsia="宋体" w:cs="宋体"/>
                <w:color w:val="auto"/>
                <w:szCs w:val="21"/>
              </w:rPr>
              <w:sym w:font="Symbol" w:char="F0B4"/>
            </w:r>
            <w:r>
              <w:rPr>
                <w:rFonts w:hint="eastAsia" w:ascii="宋体" w:hAnsi="宋体" w:eastAsia="宋体" w:cs="宋体"/>
                <w:color w:val="auto"/>
                <w:szCs w:val="21"/>
              </w:rPr>
              <w:t xml:space="preserve"> 10</w:t>
            </w:r>
            <w:r>
              <w:rPr>
                <w:rFonts w:hint="eastAsia" w:ascii="宋体" w:hAnsi="宋体" w:eastAsia="宋体" w:cs="宋体"/>
                <w:color w:val="auto"/>
                <w:szCs w:val="21"/>
                <w:vertAlign w:val="superscript"/>
              </w:rPr>
              <w:t>9</w:t>
            </w:r>
            <w:r>
              <w:rPr>
                <w:rFonts w:hint="eastAsia" w:ascii="宋体" w:hAnsi="宋体" w:eastAsia="宋体" w:cs="宋体"/>
                <w:color w:val="auto"/>
                <w:szCs w:val="21"/>
              </w:rPr>
              <w:t xml:space="preserve"> / L</w:t>
            </w:r>
          </w:p>
        </w:tc>
      </w:tr>
      <w:tr>
        <w:tblPrEx>
          <w:tblCellMar>
            <w:top w:w="0" w:type="dxa"/>
            <w:left w:w="28" w:type="dxa"/>
            <w:bottom w:w="0" w:type="dxa"/>
            <w:right w:w="28" w:type="dxa"/>
          </w:tblCellMar>
        </w:tblPrEx>
        <w:trPr>
          <w:jc w:val="center"/>
        </w:trPr>
        <w:tc>
          <w:tcPr>
            <w:tcW w:w="2257"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firstLine="915" w:firstLineChars="436"/>
              <w:rPr>
                <w:rFonts w:hint="eastAsia" w:ascii="宋体" w:hAnsi="宋体" w:eastAsia="宋体" w:cs="宋体"/>
                <w:color w:val="auto"/>
                <w:szCs w:val="21"/>
              </w:rPr>
            </w:pPr>
            <w:r>
              <w:rPr>
                <w:rFonts w:hint="eastAsia" w:ascii="宋体" w:hAnsi="宋体" w:eastAsia="宋体" w:cs="宋体"/>
                <w:color w:val="auto"/>
                <w:szCs w:val="21"/>
              </w:rPr>
              <w:t>RBC</w:t>
            </w:r>
          </w:p>
        </w:tc>
        <w:tc>
          <w:tcPr>
            <w:tcW w:w="5393"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 0.02</w:t>
            </w:r>
            <w:r>
              <w:rPr>
                <w:rFonts w:hint="eastAsia" w:ascii="宋体" w:hAnsi="宋体" w:eastAsia="宋体" w:cs="宋体"/>
                <w:color w:val="auto"/>
                <w:szCs w:val="21"/>
              </w:rPr>
              <w:sym w:font="Symbol" w:char="F0B4"/>
            </w:r>
            <w:r>
              <w:rPr>
                <w:rFonts w:hint="eastAsia" w:ascii="宋体" w:hAnsi="宋体" w:eastAsia="宋体" w:cs="宋体"/>
                <w:color w:val="auto"/>
                <w:szCs w:val="21"/>
              </w:rPr>
              <w:t xml:space="preserve"> 10</w:t>
            </w:r>
            <w:r>
              <w:rPr>
                <w:rFonts w:hint="eastAsia" w:ascii="宋体" w:hAnsi="宋体" w:eastAsia="宋体" w:cs="宋体"/>
                <w:color w:val="auto"/>
                <w:szCs w:val="21"/>
                <w:vertAlign w:val="superscript"/>
              </w:rPr>
              <w:t>12</w:t>
            </w:r>
            <w:r>
              <w:rPr>
                <w:rFonts w:hint="eastAsia" w:ascii="宋体" w:hAnsi="宋体" w:eastAsia="宋体" w:cs="宋体"/>
                <w:color w:val="auto"/>
                <w:szCs w:val="21"/>
              </w:rPr>
              <w:t>/ L</w:t>
            </w:r>
          </w:p>
        </w:tc>
      </w:tr>
      <w:tr>
        <w:tblPrEx>
          <w:tblCellMar>
            <w:top w:w="0" w:type="dxa"/>
            <w:left w:w="28" w:type="dxa"/>
            <w:bottom w:w="0" w:type="dxa"/>
            <w:right w:w="28" w:type="dxa"/>
          </w:tblCellMar>
        </w:tblPrEx>
        <w:trPr>
          <w:jc w:val="center"/>
        </w:trPr>
        <w:tc>
          <w:tcPr>
            <w:tcW w:w="2257"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firstLine="915" w:firstLineChars="436"/>
              <w:rPr>
                <w:rFonts w:hint="eastAsia" w:ascii="宋体" w:hAnsi="宋体" w:eastAsia="宋体" w:cs="宋体"/>
                <w:color w:val="auto"/>
                <w:szCs w:val="21"/>
              </w:rPr>
            </w:pPr>
            <w:r>
              <w:rPr>
                <w:rFonts w:hint="eastAsia" w:ascii="宋体" w:hAnsi="宋体" w:eastAsia="宋体" w:cs="宋体"/>
                <w:color w:val="auto"/>
                <w:szCs w:val="21"/>
              </w:rPr>
              <w:t>HGB</w:t>
            </w:r>
          </w:p>
        </w:tc>
        <w:tc>
          <w:tcPr>
            <w:tcW w:w="5393"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 1 g / L</w:t>
            </w:r>
          </w:p>
        </w:tc>
      </w:tr>
      <w:tr>
        <w:tblPrEx>
          <w:tblCellMar>
            <w:top w:w="0" w:type="dxa"/>
            <w:left w:w="28" w:type="dxa"/>
            <w:bottom w:w="0" w:type="dxa"/>
            <w:right w:w="28" w:type="dxa"/>
          </w:tblCellMar>
        </w:tblPrEx>
        <w:trPr>
          <w:jc w:val="center"/>
        </w:trPr>
        <w:tc>
          <w:tcPr>
            <w:tcW w:w="2257"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firstLine="915" w:firstLineChars="436"/>
              <w:rPr>
                <w:rFonts w:hint="eastAsia" w:ascii="宋体" w:hAnsi="宋体" w:eastAsia="宋体" w:cs="宋体"/>
                <w:color w:val="auto"/>
                <w:szCs w:val="21"/>
              </w:rPr>
            </w:pPr>
            <w:r>
              <w:rPr>
                <w:rFonts w:hint="eastAsia" w:ascii="宋体" w:hAnsi="宋体" w:eastAsia="宋体" w:cs="宋体"/>
                <w:color w:val="auto"/>
                <w:szCs w:val="21"/>
              </w:rPr>
              <w:t>HCT</w:t>
            </w:r>
          </w:p>
        </w:tc>
        <w:tc>
          <w:tcPr>
            <w:tcW w:w="5393"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 0.5 %</w:t>
            </w:r>
          </w:p>
        </w:tc>
      </w:tr>
      <w:tr>
        <w:tblPrEx>
          <w:tblCellMar>
            <w:top w:w="0" w:type="dxa"/>
            <w:left w:w="28" w:type="dxa"/>
            <w:bottom w:w="0" w:type="dxa"/>
            <w:right w:w="28" w:type="dxa"/>
          </w:tblCellMar>
        </w:tblPrEx>
        <w:trPr>
          <w:jc w:val="center"/>
        </w:trPr>
        <w:tc>
          <w:tcPr>
            <w:tcW w:w="2257"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firstLine="915" w:firstLineChars="436"/>
              <w:rPr>
                <w:rFonts w:hint="eastAsia" w:ascii="宋体" w:hAnsi="宋体" w:eastAsia="宋体" w:cs="宋体"/>
                <w:color w:val="auto"/>
                <w:szCs w:val="21"/>
              </w:rPr>
            </w:pPr>
            <w:r>
              <w:rPr>
                <w:rFonts w:hint="eastAsia" w:ascii="宋体" w:hAnsi="宋体" w:eastAsia="宋体" w:cs="宋体"/>
                <w:color w:val="auto"/>
                <w:szCs w:val="21"/>
              </w:rPr>
              <w:t>PLT</w:t>
            </w:r>
          </w:p>
        </w:tc>
        <w:tc>
          <w:tcPr>
            <w:tcW w:w="5393"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 xml:space="preserve">≤ 10 </w:t>
            </w:r>
            <w:r>
              <w:rPr>
                <w:rFonts w:hint="eastAsia" w:ascii="宋体" w:hAnsi="宋体" w:eastAsia="宋体" w:cs="宋体"/>
                <w:color w:val="auto"/>
                <w:szCs w:val="21"/>
              </w:rPr>
              <w:sym w:font="Symbol" w:char="F0B4"/>
            </w:r>
            <w:r>
              <w:rPr>
                <w:rFonts w:hint="eastAsia" w:ascii="宋体" w:hAnsi="宋体" w:eastAsia="宋体" w:cs="宋体"/>
                <w:color w:val="auto"/>
                <w:szCs w:val="21"/>
              </w:rPr>
              <w:t xml:space="preserve"> 10</w:t>
            </w:r>
            <w:r>
              <w:rPr>
                <w:rFonts w:hint="eastAsia" w:ascii="宋体" w:hAnsi="宋体" w:eastAsia="宋体" w:cs="宋体"/>
                <w:color w:val="auto"/>
                <w:szCs w:val="21"/>
                <w:vertAlign w:val="superscript"/>
              </w:rPr>
              <w:t>9</w:t>
            </w:r>
            <w:r>
              <w:rPr>
                <w:rFonts w:hint="eastAsia" w:ascii="宋体" w:hAnsi="宋体" w:eastAsia="宋体" w:cs="宋体"/>
                <w:color w:val="auto"/>
                <w:szCs w:val="21"/>
              </w:rPr>
              <w:t xml:space="preserve"> / L</w:t>
            </w:r>
          </w:p>
        </w:tc>
      </w:tr>
      <w:tr>
        <w:tblPrEx>
          <w:tblCellMar>
            <w:top w:w="0" w:type="dxa"/>
            <w:left w:w="28" w:type="dxa"/>
            <w:bottom w:w="0" w:type="dxa"/>
            <w:right w:w="28" w:type="dxa"/>
          </w:tblCellMar>
        </w:tblPrEx>
        <w:trPr>
          <w:jc w:val="center"/>
        </w:trPr>
        <w:tc>
          <w:tcPr>
            <w:tcW w:w="2257"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firstLine="915" w:firstLineChars="436"/>
              <w:rPr>
                <w:rFonts w:hint="eastAsia" w:ascii="宋体" w:hAnsi="宋体" w:eastAsia="宋体" w:cs="宋体"/>
                <w:color w:val="auto"/>
                <w:szCs w:val="21"/>
              </w:rPr>
            </w:pPr>
            <w:r>
              <w:rPr>
                <w:rFonts w:hint="eastAsia" w:ascii="宋体" w:hAnsi="宋体" w:eastAsia="宋体" w:cs="宋体"/>
                <w:color w:val="auto"/>
                <w:szCs w:val="21"/>
              </w:rPr>
              <w:t>CRP</w:t>
            </w:r>
          </w:p>
        </w:tc>
        <w:tc>
          <w:tcPr>
            <w:tcW w:w="5393"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 0.2 mg/L</w:t>
            </w:r>
          </w:p>
        </w:tc>
      </w:tr>
    </w:tbl>
    <w:p>
      <w:pPr>
        <w:numPr>
          <w:ilvl w:val="2"/>
          <w:numId w:val="8"/>
        </w:num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携带污染率</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7"/>
        <w:gridCol w:w="5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87" w:type="dxa"/>
            <w:noWrap w:val="0"/>
            <w:vAlign w:val="center"/>
          </w:tcPr>
          <w:p>
            <w:pPr>
              <w:spacing w:line="360" w:lineRule="auto"/>
              <w:ind w:firstLine="915" w:firstLineChars="436"/>
              <w:rPr>
                <w:rFonts w:hint="eastAsia" w:ascii="宋体" w:hAnsi="宋体" w:eastAsia="宋体" w:cs="宋体"/>
                <w:color w:val="auto"/>
                <w:szCs w:val="21"/>
              </w:rPr>
            </w:pPr>
            <w:r>
              <w:rPr>
                <w:rFonts w:hint="eastAsia" w:ascii="宋体" w:hAnsi="宋体" w:eastAsia="宋体" w:cs="宋体"/>
                <w:color w:val="auto"/>
                <w:szCs w:val="21"/>
              </w:rPr>
              <w:t>项目</w:t>
            </w:r>
          </w:p>
        </w:tc>
        <w:tc>
          <w:tcPr>
            <w:tcW w:w="5364" w:type="dxa"/>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携带污染率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87" w:type="dxa"/>
            <w:noWrap w:val="0"/>
            <w:vAlign w:val="center"/>
          </w:tcPr>
          <w:p>
            <w:pPr>
              <w:spacing w:line="360" w:lineRule="auto"/>
              <w:ind w:firstLine="915" w:firstLineChars="436"/>
              <w:rPr>
                <w:rFonts w:hint="eastAsia" w:ascii="宋体" w:hAnsi="宋体" w:eastAsia="宋体" w:cs="宋体"/>
                <w:color w:val="auto"/>
                <w:szCs w:val="21"/>
              </w:rPr>
            </w:pPr>
            <w:r>
              <w:rPr>
                <w:rFonts w:hint="eastAsia" w:ascii="宋体" w:hAnsi="宋体" w:eastAsia="宋体" w:cs="宋体"/>
                <w:color w:val="auto"/>
                <w:szCs w:val="21"/>
              </w:rPr>
              <w:t>WBC</w:t>
            </w:r>
          </w:p>
        </w:tc>
        <w:tc>
          <w:tcPr>
            <w:tcW w:w="5364" w:type="dxa"/>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87" w:type="dxa"/>
            <w:noWrap w:val="0"/>
            <w:vAlign w:val="center"/>
          </w:tcPr>
          <w:p>
            <w:pPr>
              <w:spacing w:line="360" w:lineRule="auto"/>
              <w:ind w:firstLine="915" w:firstLineChars="436"/>
              <w:rPr>
                <w:rFonts w:hint="eastAsia" w:ascii="宋体" w:hAnsi="宋体" w:eastAsia="宋体" w:cs="宋体"/>
                <w:color w:val="auto"/>
                <w:szCs w:val="21"/>
              </w:rPr>
            </w:pPr>
            <w:r>
              <w:rPr>
                <w:rFonts w:hint="eastAsia" w:ascii="宋体" w:hAnsi="宋体" w:eastAsia="宋体" w:cs="宋体"/>
                <w:color w:val="auto"/>
                <w:szCs w:val="21"/>
              </w:rPr>
              <w:t>RBC</w:t>
            </w:r>
          </w:p>
        </w:tc>
        <w:tc>
          <w:tcPr>
            <w:tcW w:w="5364" w:type="dxa"/>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87" w:type="dxa"/>
            <w:noWrap w:val="0"/>
            <w:vAlign w:val="center"/>
          </w:tcPr>
          <w:p>
            <w:pPr>
              <w:spacing w:line="360" w:lineRule="auto"/>
              <w:ind w:firstLine="915" w:firstLineChars="436"/>
              <w:rPr>
                <w:rFonts w:hint="eastAsia" w:ascii="宋体" w:hAnsi="宋体" w:eastAsia="宋体" w:cs="宋体"/>
                <w:color w:val="auto"/>
                <w:szCs w:val="21"/>
              </w:rPr>
            </w:pPr>
            <w:r>
              <w:rPr>
                <w:rFonts w:hint="eastAsia" w:ascii="宋体" w:hAnsi="宋体" w:eastAsia="宋体" w:cs="宋体"/>
                <w:color w:val="auto"/>
                <w:szCs w:val="21"/>
              </w:rPr>
              <w:t>HGB</w:t>
            </w:r>
          </w:p>
        </w:tc>
        <w:tc>
          <w:tcPr>
            <w:tcW w:w="5364" w:type="dxa"/>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87" w:type="dxa"/>
            <w:noWrap w:val="0"/>
            <w:vAlign w:val="center"/>
          </w:tcPr>
          <w:p>
            <w:pPr>
              <w:spacing w:line="360" w:lineRule="auto"/>
              <w:ind w:firstLine="915" w:firstLineChars="436"/>
              <w:rPr>
                <w:rFonts w:hint="eastAsia" w:ascii="宋体" w:hAnsi="宋体" w:eastAsia="宋体" w:cs="宋体"/>
                <w:color w:val="auto"/>
                <w:szCs w:val="21"/>
              </w:rPr>
            </w:pPr>
            <w:r>
              <w:rPr>
                <w:rFonts w:hint="eastAsia" w:ascii="宋体" w:hAnsi="宋体" w:eastAsia="宋体" w:cs="宋体"/>
                <w:color w:val="auto"/>
                <w:szCs w:val="21"/>
              </w:rPr>
              <w:t>HCT</w:t>
            </w:r>
          </w:p>
        </w:tc>
        <w:tc>
          <w:tcPr>
            <w:tcW w:w="5364" w:type="dxa"/>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87" w:type="dxa"/>
            <w:noWrap w:val="0"/>
            <w:vAlign w:val="center"/>
          </w:tcPr>
          <w:p>
            <w:pPr>
              <w:spacing w:line="360" w:lineRule="auto"/>
              <w:ind w:firstLine="915" w:firstLineChars="436"/>
              <w:rPr>
                <w:rFonts w:hint="eastAsia" w:ascii="宋体" w:hAnsi="宋体" w:eastAsia="宋体" w:cs="宋体"/>
                <w:color w:val="auto"/>
                <w:szCs w:val="21"/>
              </w:rPr>
            </w:pPr>
            <w:r>
              <w:rPr>
                <w:rFonts w:hint="eastAsia" w:ascii="宋体" w:hAnsi="宋体" w:eastAsia="宋体" w:cs="宋体"/>
                <w:color w:val="auto"/>
                <w:szCs w:val="21"/>
              </w:rPr>
              <w:t>PLT</w:t>
            </w:r>
          </w:p>
        </w:tc>
        <w:tc>
          <w:tcPr>
            <w:tcW w:w="5364" w:type="dxa"/>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87" w:type="dxa"/>
            <w:noWrap w:val="0"/>
            <w:vAlign w:val="center"/>
          </w:tcPr>
          <w:p>
            <w:pPr>
              <w:spacing w:line="360" w:lineRule="auto"/>
              <w:ind w:firstLine="915" w:firstLineChars="436"/>
              <w:rPr>
                <w:rFonts w:hint="eastAsia" w:ascii="宋体" w:hAnsi="宋体" w:eastAsia="宋体" w:cs="宋体"/>
                <w:color w:val="auto"/>
                <w:szCs w:val="21"/>
              </w:rPr>
            </w:pPr>
            <w:r>
              <w:rPr>
                <w:rFonts w:hint="eastAsia" w:ascii="宋体" w:hAnsi="宋体" w:eastAsia="宋体" w:cs="宋体"/>
                <w:color w:val="auto"/>
                <w:szCs w:val="21"/>
              </w:rPr>
              <w:t>CRP</w:t>
            </w:r>
          </w:p>
        </w:tc>
        <w:tc>
          <w:tcPr>
            <w:tcW w:w="5364" w:type="dxa"/>
            <w:noWrap w:val="0"/>
            <w:vAlign w:val="center"/>
          </w:tcPr>
          <w:p>
            <w:pPr>
              <w:spacing w:line="360" w:lineRule="auto"/>
              <w:ind w:firstLine="495" w:firstLineChars="236"/>
              <w:jc w:val="center"/>
              <w:rPr>
                <w:rFonts w:hint="eastAsia" w:ascii="宋体" w:hAnsi="宋体" w:eastAsia="宋体" w:cs="宋体"/>
                <w:color w:val="auto"/>
                <w:szCs w:val="21"/>
              </w:rPr>
            </w:pPr>
            <w:r>
              <w:rPr>
                <w:rFonts w:hint="eastAsia" w:ascii="宋体" w:hAnsi="宋体" w:eastAsia="宋体" w:cs="宋体"/>
                <w:color w:val="auto"/>
                <w:szCs w:val="21"/>
              </w:rPr>
              <w:t>≤0.5％</w:t>
            </w:r>
          </w:p>
        </w:tc>
      </w:tr>
    </w:tbl>
    <w:p>
      <w:pPr>
        <w:spacing w:before="156" w:beforeLines="50" w:after="312" w:afterLines="100" w:line="360" w:lineRule="auto"/>
        <w:jc w:val="center"/>
        <w:rPr>
          <w:rFonts w:hint="eastAsia" w:ascii="宋体" w:hAnsi="宋体" w:eastAsia="宋体" w:cs="宋体"/>
          <w:b/>
          <w:color w:val="auto"/>
          <w:sz w:val="36"/>
          <w:szCs w:val="36"/>
        </w:rPr>
      </w:pPr>
    </w:p>
    <w:p>
      <w:pPr>
        <w:jc w:val="both"/>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全自动尿液分析仪招标参数</w:t>
      </w:r>
    </w:p>
    <w:p>
      <w:pPr>
        <w:rPr>
          <w:rFonts w:hint="eastAsia" w:ascii="宋体" w:hAnsi="宋体" w:eastAsia="宋体" w:cs="宋体"/>
          <w:color w:val="auto"/>
          <w:sz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测试原理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试纸条：反射率测定法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测试速度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210例/小时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存储结果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10000例简单 快速</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4.检测项目包含：</w:t>
      </w:r>
      <w:r>
        <w:rPr>
          <w:rFonts w:hint="eastAsia" w:ascii="宋体" w:hAnsi="宋体" w:eastAsia="宋体" w:cs="宋体"/>
          <w:color w:val="auto"/>
          <w:sz w:val="24"/>
          <w:szCs w:val="24"/>
        </w:rPr>
        <w:t>抗坏血酸（VC）</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白细胞（LEU）</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葡萄糖（GLU）</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微量白蛋白（MALB）</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胆红素（BIL）</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酸碱度（PH）</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比重（SG）</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酮体（KET）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蛋白质（PRO）</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亚硝酸盐（NIT）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尿胆原（UBG）</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肌酐（CRE）</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潜血（BLD）</w:t>
      </w:r>
      <w:r>
        <w:rPr>
          <w:rFonts w:hint="eastAsia" w:ascii="宋体" w:hAnsi="宋体" w:eastAsia="宋体" w:cs="宋体"/>
          <w:color w:val="auto"/>
          <w:sz w:val="24"/>
          <w:szCs w:val="24"/>
        </w:rPr>
        <w:tab/>
      </w:r>
      <w:r>
        <w:rPr>
          <w:rFonts w:hint="eastAsia" w:ascii="宋体" w:hAnsi="宋体" w:eastAsia="宋体" w:cs="宋体"/>
          <w:color w:val="auto"/>
          <w:sz w:val="24"/>
          <w:szCs w:val="24"/>
        </w:rPr>
        <w:t>钙（CA）</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5.样本架容量：≥50份</w:t>
      </w:r>
      <w:r>
        <w:rPr>
          <w:rFonts w:hint="eastAsia" w:ascii="宋体" w:hAnsi="宋体" w:eastAsia="宋体" w:cs="宋体"/>
          <w:color w:val="auto"/>
          <w:sz w:val="24"/>
          <w:szCs w:val="24"/>
        </w:rPr>
        <w:tab/>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6.样本量：≤0.2ml</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7.智能化检测：全自动检测，</w:t>
      </w:r>
      <w:r>
        <w:rPr>
          <w:rFonts w:hint="eastAsia" w:ascii="宋体" w:hAnsi="宋体" w:eastAsia="宋体" w:cs="宋体"/>
          <w:color w:val="auto"/>
          <w:sz w:val="24"/>
          <w:szCs w:val="24"/>
        </w:rPr>
        <w:t>一键操作模式，完成多个标本的连续测定智能化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自动输送、测试、清洗、收集急诊测试</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9.急诊功能：</w:t>
      </w:r>
      <w:r>
        <w:rPr>
          <w:rFonts w:hint="eastAsia" w:ascii="宋体" w:hAnsi="宋体" w:eastAsia="宋体" w:cs="宋体"/>
          <w:color w:val="auto"/>
          <w:sz w:val="24"/>
          <w:szCs w:val="24"/>
        </w:rPr>
        <w:t>急诊插入功能，可进行单个或成组样本的急诊测试高兼容性</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10.显示屏：≥8寸液晶屏</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11.使用语言：中文、英文</w:t>
      </w:r>
    </w:p>
    <w:p>
      <w:pPr>
        <w:numPr>
          <w:ilvl w:val="0"/>
          <w:numId w:val="0"/>
        </w:num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12.打印功能：内置热敏打印机</w:t>
      </w:r>
    </w:p>
    <w:p>
      <w:pPr>
        <w:numPr>
          <w:ilvl w:val="0"/>
          <w:numId w:val="0"/>
        </w:numPr>
        <w:spacing w:line="360" w:lineRule="auto"/>
        <w:jc w:val="both"/>
        <w:rPr>
          <w:rFonts w:hint="eastAsia" w:ascii="宋体" w:hAnsi="宋体" w:eastAsia="宋体" w:cs="宋体"/>
          <w:color w:val="auto"/>
          <w:lang w:val="en-US" w:eastAsia="zh-CN"/>
        </w:rPr>
      </w:pPr>
      <w:r>
        <w:rPr>
          <w:rFonts w:hint="eastAsia" w:ascii="宋体" w:hAnsi="宋体" w:eastAsia="宋体" w:cs="宋体"/>
          <w:color w:val="auto"/>
          <w:sz w:val="24"/>
          <w:szCs w:val="24"/>
          <w:lang w:val="en-US" w:eastAsia="zh-CN"/>
        </w:rPr>
        <w:t>13.生产厂家通过ISO9001及ISO13485质量体系认证</w:t>
      </w: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numPr>
          <w:ilvl w:val="0"/>
          <w:numId w:val="0"/>
        </w:numPr>
        <w:autoSpaceDE/>
        <w:autoSpaceDN/>
        <w:snapToGrid/>
        <w:spacing w:before="0" w:after="0" w:line="240" w:lineRule="auto"/>
        <w:ind w:right="0" w:firstLine="0"/>
        <w:jc w:val="both"/>
        <w:rPr>
          <w:rFonts w:hint="eastAsia" w:ascii="宋体" w:hAnsi="宋体" w:eastAsia="宋体" w:cs="宋体"/>
          <w:b w:val="0"/>
          <w:color w:val="auto"/>
          <w:position w:val="0"/>
          <w:sz w:val="28"/>
          <w:szCs w:val="28"/>
        </w:rPr>
      </w:pPr>
      <w:r>
        <w:rPr>
          <w:rFonts w:hint="eastAsia" w:ascii="宋体" w:hAnsi="宋体" w:eastAsia="宋体" w:cs="宋体"/>
          <w:b/>
          <w:color w:val="auto"/>
          <w:position w:val="0"/>
          <w:sz w:val="28"/>
          <w:szCs w:val="28"/>
          <w:lang w:eastAsia="zh-CN"/>
        </w:rPr>
        <w:t>气套式</w:t>
      </w:r>
      <w:r>
        <w:rPr>
          <w:rFonts w:hint="eastAsia" w:ascii="宋体" w:hAnsi="宋体" w:eastAsia="宋体" w:cs="宋体"/>
          <w:b/>
          <w:color w:val="auto"/>
          <w:position w:val="0"/>
          <w:sz w:val="28"/>
          <w:szCs w:val="28"/>
        </w:rPr>
        <w:t>二氧化碳培养箱技术参数</w:t>
      </w:r>
    </w:p>
    <w:p>
      <w:pPr>
        <w:pStyle w:val="3"/>
        <w:numPr>
          <w:ilvl w:val="0"/>
          <w:numId w:val="9"/>
        </w:numPr>
        <w:autoSpaceDE/>
        <w:autoSpaceDN/>
        <w:bidi w:val="0"/>
        <w:spacing w:before="0" w:after="0" w:line="412" w:lineRule="auto"/>
        <w:ind w:left="454" w:right="0" w:hanging="171"/>
        <w:jc w:val="both"/>
        <w:outlineLvl w:val="1"/>
        <w:rPr>
          <w:rFonts w:hint="eastAsia" w:ascii="宋体" w:hAnsi="宋体" w:eastAsia="宋体" w:cs="宋体"/>
          <w:color w:val="auto"/>
          <w:position w:val="0"/>
          <w:sz w:val="30"/>
          <w:szCs w:val="30"/>
          <w:highlight w:val="none"/>
        </w:rPr>
      </w:pPr>
      <w:r>
        <w:rPr>
          <w:rFonts w:hint="eastAsia" w:ascii="宋体" w:hAnsi="宋体" w:eastAsia="宋体" w:cs="宋体"/>
          <w:color w:val="auto"/>
          <w:position w:val="0"/>
          <w:sz w:val="30"/>
          <w:szCs w:val="30"/>
          <w:highlight w:val="none"/>
        </w:rPr>
        <w:t>培养箱基本参数：</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rPr>
        <w:t>类型：气套式触摸屏</w:t>
      </w:r>
      <w:r>
        <w:rPr>
          <w:rFonts w:hint="eastAsia" w:ascii="宋体" w:hAnsi="宋体" w:eastAsia="宋体" w:cs="宋体"/>
          <w:b/>
          <w:color w:val="auto"/>
          <w:w w:val="100"/>
          <w:sz w:val="22"/>
          <w:highlight w:val="none"/>
          <w:lang w:eastAsia="zh-CN"/>
        </w:rPr>
        <w:t>★</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rPr>
        <w:t>外形尺寸≧（L×D×H）：500mm×527mm×821mm</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rPr>
        <w:t>工作室尺寸≧（L×D×H）：3</w:t>
      </w:r>
      <w:r>
        <w:rPr>
          <w:rFonts w:hint="eastAsia" w:ascii="宋体" w:hAnsi="宋体" w:eastAsia="宋体" w:cs="宋体"/>
          <w:b w:val="0"/>
          <w:color w:val="auto"/>
          <w:position w:val="0"/>
          <w:sz w:val="28"/>
          <w:szCs w:val="28"/>
          <w:highlight w:val="none"/>
          <w:lang w:val="en-US" w:eastAsia="zh-CN"/>
        </w:rPr>
        <w:t>37</w:t>
      </w:r>
      <w:r>
        <w:rPr>
          <w:rFonts w:hint="eastAsia" w:ascii="宋体" w:hAnsi="宋体" w:eastAsia="宋体" w:cs="宋体"/>
          <w:b w:val="0"/>
          <w:color w:val="auto"/>
          <w:position w:val="0"/>
          <w:sz w:val="28"/>
          <w:szCs w:val="28"/>
          <w:highlight w:val="none"/>
        </w:rPr>
        <w:t>mm×</w:t>
      </w:r>
      <w:r>
        <w:rPr>
          <w:rFonts w:hint="eastAsia" w:ascii="宋体" w:hAnsi="宋体" w:eastAsia="宋体" w:cs="宋体"/>
          <w:b w:val="0"/>
          <w:color w:val="auto"/>
          <w:position w:val="0"/>
          <w:sz w:val="28"/>
          <w:szCs w:val="28"/>
          <w:highlight w:val="none"/>
          <w:lang w:val="en-US" w:eastAsia="zh-CN"/>
        </w:rPr>
        <w:t>338</w:t>
      </w:r>
      <w:r>
        <w:rPr>
          <w:rFonts w:hint="eastAsia" w:ascii="宋体" w:hAnsi="宋体" w:eastAsia="宋体" w:cs="宋体"/>
          <w:b w:val="0"/>
          <w:color w:val="auto"/>
          <w:position w:val="0"/>
          <w:sz w:val="28"/>
          <w:szCs w:val="28"/>
          <w:highlight w:val="none"/>
        </w:rPr>
        <w:t>mm×</w:t>
      </w:r>
      <w:r>
        <w:rPr>
          <w:rFonts w:hint="eastAsia" w:ascii="宋体" w:hAnsi="宋体" w:eastAsia="宋体" w:cs="宋体"/>
          <w:b w:val="0"/>
          <w:color w:val="auto"/>
          <w:position w:val="0"/>
          <w:sz w:val="28"/>
          <w:szCs w:val="28"/>
          <w:highlight w:val="none"/>
          <w:lang w:val="en-US" w:eastAsia="zh-CN"/>
        </w:rPr>
        <w:t>443</w:t>
      </w:r>
      <w:r>
        <w:rPr>
          <w:rFonts w:hint="eastAsia" w:ascii="宋体" w:hAnsi="宋体" w:eastAsia="宋体" w:cs="宋体"/>
          <w:b w:val="0"/>
          <w:color w:val="auto"/>
          <w:position w:val="0"/>
          <w:sz w:val="28"/>
          <w:szCs w:val="28"/>
          <w:highlight w:val="none"/>
        </w:rPr>
        <w:t>mm</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rPr>
        <w:t>公称容积：50L</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rPr>
        <w:t>额定功率：</w:t>
      </w:r>
      <w:r>
        <w:rPr>
          <w:rFonts w:hint="eastAsia" w:ascii="宋体" w:hAnsi="宋体" w:eastAsia="宋体" w:cs="宋体"/>
          <w:b w:val="0"/>
          <w:color w:val="auto"/>
          <w:position w:val="0"/>
          <w:sz w:val="28"/>
          <w:szCs w:val="28"/>
          <w:highlight w:val="none"/>
          <w:lang w:val="en-US" w:eastAsia="zh-CN"/>
        </w:rPr>
        <w:t>310</w:t>
      </w:r>
      <w:r>
        <w:rPr>
          <w:rFonts w:hint="eastAsia" w:ascii="宋体" w:hAnsi="宋体" w:eastAsia="宋体" w:cs="宋体"/>
          <w:b w:val="0"/>
          <w:color w:val="auto"/>
          <w:position w:val="0"/>
          <w:sz w:val="28"/>
          <w:szCs w:val="28"/>
          <w:highlight w:val="none"/>
        </w:rPr>
        <w:t>W</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rPr>
        <w:t>控温方式：PT100</w:t>
      </w:r>
      <w:r>
        <w:rPr>
          <w:rFonts w:hint="eastAsia" w:ascii="宋体" w:hAnsi="宋体" w:eastAsia="宋体" w:cs="宋体"/>
          <w:b/>
          <w:color w:val="auto"/>
          <w:w w:val="100"/>
          <w:sz w:val="22"/>
          <w:highlight w:val="none"/>
          <w:lang w:eastAsia="zh-CN"/>
        </w:rPr>
        <w:t>★</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rPr>
        <w:t>控温范围：Rt+5--</w:t>
      </w:r>
      <w:r>
        <w:rPr>
          <w:rFonts w:hint="eastAsia" w:ascii="宋体" w:hAnsi="宋体" w:eastAsia="宋体" w:cs="宋体"/>
          <w:b w:val="0"/>
          <w:color w:val="auto"/>
          <w:position w:val="0"/>
          <w:sz w:val="28"/>
          <w:szCs w:val="28"/>
          <w:highlight w:val="none"/>
          <w:lang w:val="en-US" w:eastAsia="zh-CN"/>
        </w:rPr>
        <w:t>60</w:t>
      </w:r>
      <w:r>
        <w:rPr>
          <w:rFonts w:hint="eastAsia" w:ascii="宋体" w:hAnsi="宋体" w:eastAsia="宋体" w:cs="宋体"/>
          <w:b w:val="0"/>
          <w:color w:val="auto"/>
          <w:position w:val="0"/>
          <w:sz w:val="28"/>
          <w:szCs w:val="28"/>
          <w:highlight w:val="none"/>
        </w:rPr>
        <w:t>℃</w:t>
      </w:r>
      <w:r>
        <w:rPr>
          <w:rFonts w:hint="eastAsia" w:ascii="宋体" w:hAnsi="宋体" w:eastAsia="宋体" w:cs="宋体"/>
          <w:b/>
          <w:color w:val="auto"/>
          <w:w w:val="100"/>
          <w:sz w:val="22"/>
          <w:highlight w:val="none"/>
          <w:lang w:eastAsia="zh-CN"/>
        </w:rPr>
        <w:t>★</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rPr>
        <w:t>温度波动：±0.</w:t>
      </w:r>
      <w:r>
        <w:rPr>
          <w:rFonts w:hint="eastAsia" w:ascii="宋体" w:hAnsi="宋体" w:eastAsia="宋体" w:cs="宋体"/>
          <w:b w:val="0"/>
          <w:color w:val="auto"/>
          <w:position w:val="0"/>
          <w:sz w:val="28"/>
          <w:szCs w:val="28"/>
          <w:highlight w:val="none"/>
          <w:lang w:val="en-US" w:eastAsia="zh-CN"/>
        </w:rPr>
        <w:t>3</w:t>
      </w:r>
      <w:r>
        <w:rPr>
          <w:rFonts w:hint="eastAsia" w:ascii="宋体" w:hAnsi="宋体" w:eastAsia="宋体" w:cs="宋体"/>
          <w:b w:val="0"/>
          <w:color w:val="auto"/>
          <w:position w:val="0"/>
          <w:sz w:val="28"/>
          <w:szCs w:val="28"/>
          <w:highlight w:val="none"/>
        </w:rPr>
        <w:t>（@37）℃</w:t>
      </w:r>
      <w:r>
        <w:rPr>
          <w:rFonts w:hint="eastAsia" w:ascii="宋体" w:hAnsi="宋体" w:eastAsia="宋体" w:cs="宋体"/>
          <w:b/>
          <w:color w:val="auto"/>
          <w:w w:val="100"/>
          <w:sz w:val="22"/>
          <w:highlight w:val="none"/>
          <w:lang w:eastAsia="zh-CN"/>
        </w:rPr>
        <w:t>★</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rPr>
        <w:t>温度均匀性：±0.</w:t>
      </w:r>
      <w:r>
        <w:rPr>
          <w:rFonts w:hint="eastAsia" w:ascii="宋体" w:hAnsi="宋体" w:eastAsia="宋体" w:cs="宋体"/>
          <w:b w:val="0"/>
          <w:color w:val="auto"/>
          <w:position w:val="0"/>
          <w:sz w:val="28"/>
          <w:szCs w:val="28"/>
          <w:highlight w:val="none"/>
          <w:lang w:val="en-US" w:eastAsia="zh-CN"/>
        </w:rPr>
        <w:t>5</w:t>
      </w:r>
      <w:r>
        <w:rPr>
          <w:rFonts w:hint="eastAsia" w:ascii="宋体" w:hAnsi="宋体" w:eastAsia="宋体" w:cs="宋体"/>
          <w:b w:val="0"/>
          <w:color w:val="auto"/>
          <w:position w:val="0"/>
          <w:sz w:val="28"/>
          <w:szCs w:val="28"/>
          <w:highlight w:val="none"/>
        </w:rPr>
        <w:t>（@37）℃</w:t>
      </w:r>
      <w:r>
        <w:rPr>
          <w:rFonts w:hint="eastAsia" w:ascii="宋体" w:hAnsi="宋体" w:eastAsia="宋体" w:cs="宋体"/>
          <w:b/>
          <w:color w:val="auto"/>
          <w:w w:val="100"/>
          <w:sz w:val="22"/>
          <w:highlight w:val="none"/>
          <w:lang w:eastAsia="zh-CN"/>
        </w:rPr>
        <w:t>★</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rPr>
        <w:t>CO2控制方式：IR红外线传感器（VAISALA）,具有NIST校准证书</w:t>
      </w:r>
      <w:r>
        <w:rPr>
          <w:rFonts w:hint="eastAsia" w:ascii="宋体" w:hAnsi="宋体" w:eastAsia="宋体" w:cs="宋体"/>
          <w:b/>
          <w:color w:val="auto"/>
          <w:w w:val="100"/>
          <w:sz w:val="22"/>
          <w:highlight w:val="none"/>
          <w:lang w:eastAsia="zh-CN"/>
        </w:rPr>
        <w:t>★</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rPr>
        <w:t>浓度控制范围：0--20（vol%）</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rPr>
        <w:t>浓度控制误差：</w:t>
      </w:r>
      <w:r>
        <w:rPr>
          <w:rFonts w:hint="eastAsia" w:ascii="宋体" w:hAnsi="宋体" w:eastAsia="宋体" w:cs="宋体"/>
          <w:b w:val="0"/>
          <w:bCs w:val="0"/>
          <w:color w:val="auto"/>
          <w:kern w:val="2"/>
          <w:sz w:val="28"/>
          <w:szCs w:val="28"/>
          <w:lang w:val="en-US" w:eastAsia="zh-CN" w:bidi="ar-SA"/>
        </w:rPr>
        <w:t>±1.0％（@5.0％±0.5％）</w:t>
      </w:r>
      <w:r>
        <w:rPr>
          <w:rFonts w:hint="eastAsia" w:ascii="宋体" w:hAnsi="宋体" w:eastAsia="宋体" w:cs="宋体"/>
          <w:b/>
          <w:color w:val="auto"/>
          <w:w w:val="100"/>
          <w:sz w:val="24"/>
          <w:szCs w:val="22"/>
          <w:highlight w:val="none"/>
          <w:lang w:eastAsia="zh-CN"/>
        </w:rPr>
        <w:t>★</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rPr>
        <w:t>浓度均匀性：±0.2（vol%）</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rPr>
        <w:t>相对湿度：≥90%（RH%），该参数不显示</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rPr>
        <w:t>环境温度：</w:t>
      </w:r>
      <w:r>
        <w:rPr>
          <w:rFonts w:hint="eastAsia" w:ascii="宋体" w:hAnsi="宋体" w:eastAsia="宋体" w:cs="宋体"/>
          <w:b w:val="0"/>
          <w:color w:val="auto"/>
          <w:position w:val="0"/>
          <w:sz w:val="28"/>
          <w:szCs w:val="28"/>
          <w:highlight w:val="none"/>
          <w:lang w:val="en-US" w:eastAsia="zh-CN"/>
        </w:rPr>
        <w:t>18</w:t>
      </w:r>
      <w:r>
        <w:rPr>
          <w:rFonts w:hint="eastAsia" w:ascii="宋体" w:hAnsi="宋体" w:eastAsia="宋体" w:cs="宋体"/>
          <w:b w:val="0"/>
          <w:color w:val="auto"/>
          <w:position w:val="0"/>
          <w:sz w:val="28"/>
          <w:szCs w:val="28"/>
          <w:highlight w:val="none"/>
        </w:rPr>
        <w:t>—30℃，建议25±2℃</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rPr>
        <w:t>过滤器种类：</w:t>
      </w:r>
      <w:r>
        <w:rPr>
          <w:rFonts w:hint="eastAsia" w:ascii="宋体" w:hAnsi="宋体" w:eastAsia="宋体" w:cs="宋体"/>
          <w:b w:val="0"/>
          <w:color w:val="auto"/>
          <w:position w:val="0"/>
          <w:sz w:val="28"/>
          <w:szCs w:val="28"/>
          <w:highlight w:val="none"/>
          <w:lang w:val="en-US" w:eastAsia="zh-CN"/>
        </w:rPr>
        <w:t>HEPA高效</w:t>
      </w:r>
      <w:r>
        <w:rPr>
          <w:rFonts w:hint="eastAsia" w:ascii="宋体" w:hAnsi="宋体" w:eastAsia="宋体" w:cs="宋体"/>
          <w:b w:val="0"/>
          <w:color w:val="auto"/>
          <w:position w:val="0"/>
          <w:sz w:val="28"/>
          <w:szCs w:val="28"/>
          <w:highlight w:val="none"/>
        </w:rPr>
        <w:t>过滤器，针对直径大于等于0.3μm的颗粒，过滤效率达99.</w:t>
      </w:r>
      <w:r>
        <w:rPr>
          <w:rFonts w:hint="eastAsia" w:ascii="宋体" w:hAnsi="宋体" w:eastAsia="宋体" w:cs="宋体"/>
          <w:b w:val="0"/>
          <w:color w:val="auto"/>
          <w:position w:val="0"/>
          <w:sz w:val="28"/>
          <w:szCs w:val="28"/>
          <w:highlight w:val="none"/>
          <w:lang w:val="en-US" w:eastAsia="zh-CN"/>
        </w:rPr>
        <w:t>97</w:t>
      </w:r>
      <w:r>
        <w:rPr>
          <w:rFonts w:hint="eastAsia" w:ascii="宋体" w:hAnsi="宋体" w:eastAsia="宋体" w:cs="宋体"/>
          <w:b w:val="0"/>
          <w:color w:val="auto"/>
          <w:position w:val="0"/>
          <w:sz w:val="28"/>
          <w:szCs w:val="28"/>
          <w:highlight w:val="none"/>
        </w:rPr>
        <w:t>%</w:t>
      </w:r>
      <w:r>
        <w:rPr>
          <w:rFonts w:hint="eastAsia" w:ascii="宋体" w:hAnsi="宋体" w:eastAsia="宋体" w:cs="宋体"/>
          <w:b/>
          <w:color w:val="auto"/>
          <w:w w:val="100"/>
          <w:sz w:val="22"/>
          <w:highlight w:val="none"/>
          <w:lang w:eastAsia="zh-CN"/>
        </w:rPr>
        <w:t>★</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rPr>
        <w:t>隔板：标配两块，可增加</w:t>
      </w:r>
      <w:r>
        <w:rPr>
          <w:rFonts w:hint="eastAsia" w:ascii="宋体" w:hAnsi="宋体" w:eastAsia="宋体" w:cs="宋体"/>
          <w:b w:val="0"/>
          <w:color w:val="auto"/>
          <w:position w:val="0"/>
          <w:sz w:val="28"/>
          <w:szCs w:val="28"/>
          <w:highlight w:val="none"/>
          <w:lang w:val="en-US" w:eastAsia="zh-CN"/>
        </w:rPr>
        <w:t>3块</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rPr>
        <w:t>电源电压：AC220/110V</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rPr>
        <w:t>数据存储 :USB接口</w:t>
      </w:r>
      <w:r>
        <w:rPr>
          <w:rFonts w:hint="eastAsia" w:ascii="宋体" w:hAnsi="宋体" w:eastAsia="宋体" w:cs="宋体"/>
          <w:b/>
          <w:color w:val="auto"/>
          <w:w w:val="100"/>
          <w:sz w:val="22"/>
          <w:highlight w:val="none"/>
          <w:lang w:eastAsia="zh-CN"/>
        </w:rPr>
        <w:t>★</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rPr>
        <w:t>数据曲线界面</w:t>
      </w:r>
      <w:r>
        <w:rPr>
          <w:rFonts w:hint="eastAsia" w:ascii="宋体" w:hAnsi="宋体" w:eastAsia="宋体" w:cs="宋体"/>
          <w:b/>
          <w:color w:val="auto"/>
          <w:w w:val="100"/>
          <w:sz w:val="22"/>
          <w:highlight w:val="none"/>
          <w:lang w:eastAsia="zh-CN"/>
        </w:rPr>
        <w:t>★</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rPr>
        <w:t>界面显示：7.0寸触摸屏</w:t>
      </w:r>
      <w:r>
        <w:rPr>
          <w:rFonts w:hint="eastAsia" w:ascii="宋体" w:hAnsi="宋体" w:eastAsia="宋体" w:cs="宋体"/>
          <w:b/>
          <w:color w:val="auto"/>
          <w:w w:val="100"/>
          <w:sz w:val="22"/>
          <w:highlight w:val="none"/>
          <w:lang w:eastAsia="zh-CN"/>
        </w:rPr>
        <w:t>★</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highlight w:val="none"/>
        </w:rPr>
      </w:pPr>
      <w:r>
        <w:rPr>
          <w:rFonts w:hint="eastAsia" w:ascii="宋体" w:hAnsi="宋体" w:eastAsia="宋体" w:cs="宋体"/>
          <w:b w:val="0"/>
          <w:color w:val="auto"/>
          <w:position w:val="0"/>
          <w:sz w:val="28"/>
          <w:szCs w:val="28"/>
          <w:highlight w:val="none"/>
          <w:lang w:val="en-US" w:eastAsia="zh-CN"/>
        </w:rPr>
        <w:t>消毒</w:t>
      </w:r>
      <w:r>
        <w:rPr>
          <w:rFonts w:hint="eastAsia" w:ascii="宋体" w:hAnsi="宋体" w:eastAsia="宋体" w:cs="宋体"/>
          <w:b w:val="0"/>
          <w:color w:val="auto"/>
          <w:position w:val="0"/>
          <w:sz w:val="28"/>
          <w:szCs w:val="28"/>
          <w:highlight w:val="none"/>
        </w:rPr>
        <w:t>方式：UV</w:t>
      </w:r>
      <w:r>
        <w:rPr>
          <w:rFonts w:hint="eastAsia" w:ascii="宋体" w:hAnsi="宋体" w:eastAsia="宋体" w:cs="宋体"/>
          <w:b w:val="0"/>
          <w:color w:val="auto"/>
          <w:position w:val="0"/>
          <w:sz w:val="28"/>
          <w:szCs w:val="28"/>
          <w:highlight w:val="none"/>
          <w:lang w:val="en-US" w:eastAsia="zh-CN"/>
        </w:rPr>
        <w:t>消毒</w:t>
      </w:r>
      <w:r>
        <w:rPr>
          <w:rFonts w:hint="eastAsia" w:ascii="宋体" w:hAnsi="宋体" w:eastAsia="宋体" w:cs="宋体"/>
          <w:b/>
          <w:color w:val="auto"/>
          <w:w w:val="100"/>
          <w:sz w:val="22"/>
          <w:highlight w:val="none"/>
          <w:lang w:eastAsia="zh-CN"/>
        </w:rPr>
        <w:t>★</w:t>
      </w:r>
    </w:p>
    <w:p>
      <w:pPr>
        <w:numPr>
          <w:ilvl w:val="0"/>
          <w:numId w:val="10"/>
        </w:numPr>
        <w:autoSpaceDE/>
        <w:autoSpaceDN/>
        <w:bidi w:val="0"/>
        <w:snapToGrid/>
        <w:spacing w:before="0" w:after="0" w:line="240" w:lineRule="auto"/>
        <w:ind w:left="-397" w:leftChars="0" w:right="0" w:firstLine="397" w:firstLineChars="0"/>
        <w:jc w:val="both"/>
        <w:rPr>
          <w:rFonts w:hint="eastAsia" w:ascii="宋体" w:hAnsi="宋体" w:eastAsia="宋体" w:cs="宋体"/>
          <w:b w:val="0"/>
          <w:color w:val="auto"/>
          <w:position w:val="0"/>
          <w:sz w:val="28"/>
          <w:szCs w:val="28"/>
        </w:rPr>
      </w:pPr>
      <w:r>
        <w:rPr>
          <w:rFonts w:hint="eastAsia" w:ascii="宋体" w:hAnsi="宋体" w:eastAsia="宋体" w:cs="宋体"/>
          <w:b w:val="0"/>
          <w:color w:val="auto"/>
          <w:position w:val="0"/>
          <w:sz w:val="28"/>
          <w:szCs w:val="28"/>
          <w:lang w:eastAsia="zh-CN"/>
        </w:rPr>
        <w:t>设备净重：</w:t>
      </w:r>
      <w:r>
        <w:rPr>
          <w:rFonts w:hint="eastAsia" w:ascii="宋体" w:hAnsi="宋体" w:eastAsia="宋体" w:cs="宋体"/>
          <w:b w:val="0"/>
          <w:color w:val="auto"/>
          <w:position w:val="0"/>
          <w:sz w:val="28"/>
          <w:szCs w:val="28"/>
          <w:lang w:val="en-US" w:eastAsia="zh-CN"/>
        </w:rPr>
        <w:t>48Kg</w:t>
      </w:r>
    </w:p>
    <w:p>
      <w:pPr>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WOMO联检分析仪技术参数</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76"/>
        <w:gridCol w:w="6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1</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仪器功能</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仪器可自检、分析、显示、打印测定结果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2</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测试项目</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1、过氧化氢(H2O2)        2、白细胞酯酶(LE)</w:t>
            </w:r>
          </w:p>
          <w:p>
            <w:pPr>
              <w:jc w:val="left"/>
              <w:rPr>
                <w:rFonts w:hint="eastAsia" w:ascii="宋体" w:hAnsi="宋体" w:eastAsia="宋体" w:cs="宋体"/>
                <w:color w:val="auto"/>
              </w:rPr>
            </w:pPr>
            <w:r>
              <w:rPr>
                <w:rFonts w:hint="eastAsia" w:ascii="宋体" w:hAnsi="宋体" w:eastAsia="宋体" w:cs="宋体"/>
                <w:color w:val="auto"/>
              </w:rPr>
              <w:t>3、唾液酸苷酶(NA)        4、脯氨酸氨基肽酶（PIP）</w:t>
            </w:r>
          </w:p>
          <w:p>
            <w:pPr>
              <w:jc w:val="left"/>
              <w:rPr>
                <w:rFonts w:hint="eastAsia" w:ascii="宋体" w:hAnsi="宋体" w:eastAsia="宋体" w:cs="宋体"/>
                <w:color w:val="auto"/>
              </w:rPr>
            </w:pPr>
            <w:r>
              <w:rPr>
                <w:rFonts w:hint="eastAsia" w:ascii="宋体" w:hAnsi="宋体" w:eastAsia="宋体" w:cs="宋体"/>
                <w:color w:val="auto"/>
              </w:rPr>
              <w:t>5、氨基葡萄糖苷酶（NAG） 6、酸碱度（PH）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3</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检测原理</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反射光电比色法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4</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光源系统</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高亮度冷光源LED，寿命长，重复性好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5</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检测器</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先进颜色传感器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6</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测试速度</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测量5卡小于15秒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7</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样品位</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5个样品位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8</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数据储存量</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能储存4000份测试结果，外接电脑可无限扩容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9</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操作语言</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中文，英文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10</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适用试剂</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郑州安图生物工程股份有限公司生产的联检试剂盒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11</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软件</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安图联检分析仪控制管理软件；强大的仪器控制及数据分析及管理功能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12</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打印机</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内置微型热敏打印机（可外置打印机）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13</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外部打印机型号</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针式打印机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14</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使用环境</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温度度10-40℃，最佳温度20-25℃，相对湿度≤80%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15</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通讯接口</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标准RS-232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16</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波特率</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17</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电源</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外置电源适配器DC-24V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18</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熔断器</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250V，3A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19</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功率</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≤60VA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20</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重量</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8KG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21</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主机尺寸</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480mm*300mm*160mm(L*W*H)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22</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电磁干扰</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远离强电磁场干扰源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jc w:val="center"/>
              <w:rPr>
                <w:rFonts w:hint="eastAsia" w:ascii="宋体" w:hAnsi="宋体" w:eastAsia="宋体" w:cs="宋体"/>
                <w:color w:val="auto"/>
              </w:rPr>
            </w:pPr>
            <w:r>
              <w:rPr>
                <w:rFonts w:hint="eastAsia" w:ascii="宋体" w:hAnsi="宋体" w:eastAsia="宋体" w:cs="宋体"/>
                <w:color w:val="auto"/>
              </w:rPr>
              <w:t>23</w:t>
            </w:r>
          </w:p>
        </w:tc>
        <w:tc>
          <w:tcPr>
            <w:tcW w:w="1276" w:type="dxa"/>
            <w:noWrap w:val="0"/>
            <w:vAlign w:val="top"/>
          </w:tcPr>
          <w:p>
            <w:pPr>
              <w:jc w:val="left"/>
              <w:rPr>
                <w:rFonts w:hint="eastAsia" w:ascii="宋体" w:hAnsi="宋体" w:eastAsia="宋体" w:cs="宋体"/>
                <w:color w:val="auto"/>
              </w:rPr>
            </w:pPr>
            <w:r>
              <w:rPr>
                <w:rFonts w:hint="eastAsia" w:ascii="宋体" w:hAnsi="宋体" w:eastAsia="宋体" w:cs="宋体"/>
                <w:color w:val="auto"/>
              </w:rPr>
              <w:t>其他仪器设备干扰</w:t>
            </w:r>
          </w:p>
        </w:tc>
        <w:tc>
          <w:tcPr>
            <w:tcW w:w="6174" w:type="dxa"/>
            <w:noWrap w:val="0"/>
            <w:vAlign w:val="top"/>
          </w:tcPr>
          <w:p>
            <w:pPr>
              <w:jc w:val="left"/>
              <w:rPr>
                <w:rFonts w:hint="eastAsia" w:ascii="宋体" w:hAnsi="宋体" w:eastAsia="宋体" w:cs="宋体"/>
                <w:color w:val="auto"/>
              </w:rPr>
            </w:pPr>
            <w:r>
              <w:rPr>
                <w:rFonts w:hint="eastAsia" w:ascii="宋体" w:hAnsi="宋体" w:eastAsia="宋体" w:cs="宋体"/>
                <w:color w:val="auto"/>
              </w:rPr>
              <w:t>远离大功率，强振幅，强光照仪器及设备</w:t>
            </w:r>
          </w:p>
        </w:tc>
      </w:tr>
    </w:tbl>
    <w:p>
      <w:pPr>
        <w:rPr>
          <w:rFonts w:hint="default" w:ascii="宋体" w:hAnsi="宋体" w:eastAsia="宋体" w:cs="宋体"/>
          <w:b/>
          <w:color w:val="auto"/>
          <w:kern w:val="0"/>
          <w:sz w:val="24"/>
          <w:szCs w:val="24"/>
          <w:highlight w:val="none"/>
          <w:lang w:val="en-US" w:eastAsia="zh-CN"/>
        </w:rPr>
      </w:pPr>
      <w:r>
        <w:rPr>
          <w:rFonts w:hint="eastAsia" w:ascii="宋体" w:hAnsi="宋体" w:eastAsia="宋体" w:cs="宋体"/>
          <w:b/>
          <w:bCs/>
          <w:color w:val="auto"/>
          <w:lang w:val="en-US" w:eastAsia="zh-CN"/>
        </w:rPr>
        <w:t>以上技术参数，标注</w:t>
      </w:r>
      <w:r>
        <w:rPr>
          <w:rFonts w:hint="eastAsia" w:ascii="宋体" w:hAnsi="宋体" w:eastAsia="宋体" w:cs="宋体"/>
          <w:b/>
          <w:bCs/>
          <w:color w:val="auto"/>
          <w:w w:val="100"/>
          <w:sz w:val="22"/>
          <w:highlight w:val="none"/>
          <w:lang w:eastAsia="zh-CN"/>
        </w:rPr>
        <w:t>★</w:t>
      </w:r>
      <w:r>
        <w:rPr>
          <w:rFonts w:hint="eastAsia" w:ascii="宋体" w:hAnsi="宋体" w:eastAsia="宋体" w:cs="宋体"/>
          <w:b/>
          <w:bCs/>
          <w:color w:val="auto"/>
          <w:w w:val="100"/>
          <w:sz w:val="22"/>
          <w:highlight w:val="none"/>
          <w:lang w:val="en-US" w:eastAsia="zh-CN"/>
        </w:rPr>
        <w:t>必须满足</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1" w:fontKey="{4F37429A-E353-4F8C-B122-B0A8DAACDC57}"/>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8370"/>
        <w:tab w:val="right" w:pos="9639"/>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8370"/>
        <w:tab w:val="right" w:pos="9639"/>
      </w:tabs>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宋体" w:hAnsi="宋体"/>
        <w:sz w:val="22"/>
      </w:rPr>
    </w:pPr>
    <w:r>
      <w:rPr>
        <w:sz w:val="22"/>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sdt>
                <w:sdtPr>
                  <w:id w:val="1434624420"/>
                </w:sdtPr>
                <w:sdtEndPr>
                  <w:rPr>
                    <w:rFonts w:ascii="宋体" w:hAnsi="宋体"/>
                    <w:sz w:val="22"/>
                  </w:rPr>
                </w:sdtEndPr>
                <w:sdtContent>
                  <w:p>
                    <w:pPr>
                      <w:pStyle w:val="19"/>
                      <w:jc w:val="center"/>
                      <w:rPr>
                        <w:rFonts w:ascii="宋体" w:hAnsi="宋体"/>
                        <w:sz w:val="22"/>
                      </w:rPr>
                    </w:pPr>
                    <w:r>
                      <w:rPr>
                        <w:rFonts w:hint="eastAsia" w:ascii="宋体" w:hAnsi="宋体"/>
                        <w:sz w:val="22"/>
                      </w:rPr>
                      <w:t>-</w:t>
                    </w:r>
                    <w:r>
                      <w:rPr>
                        <w:rFonts w:ascii="宋体" w:hAnsi="宋体"/>
                        <w:sz w:val="22"/>
                      </w:rPr>
                      <w:fldChar w:fldCharType="begin"/>
                    </w:r>
                    <w:r>
                      <w:rPr>
                        <w:rFonts w:ascii="宋体" w:hAnsi="宋体"/>
                        <w:sz w:val="22"/>
                      </w:rPr>
                      <w:instrText xml:space="preserve">PAGE   \* MERGEFORMAT</w:instrText>
                    </w:r>
                    <w:r>
                      <w:rPr>
                        <w:rFonts w:ascii="宋体" w:hAnsi="宋体"/>
                        <w:sz w:val="22"/>
                      </w:rPr>
                      <w:fldChar w:fldCharType="separate"/>
                    </w:r>
                    <w:r>
                      <w:rPr>
                        <w:rFonts w:ascii="宋体" w:hAnsi="宋体"/>
                        <w:sz w:val="22"/>
                        <w:lang w:val="zh-CN"/>
                      </w:rPr>
                      <w:t>27</w:t>
                    </w:r>
                    <w:r>
                      <w:rPr>
                        <w:rFonts w:ascii="宋体" w:hAnsi="宋体"/>
                        <w:sz w:val="22"/>
                      </w:rPr>
                      <w:fldChar w:fldCharType="end"/>
                    </w:r>
                    <w:r>
                      <w:rPr>
                        <w:rFonts w:hint="eastAsia" w:ascii="宋体" w:hAnsi="宋体"/>
                        <w:sz w:val="22"/>
                      </w:rPr>
                      <w:t>-</w:t>
                    </w:r>
                  </w:p>
                </w:sdtContent>
              </w:sdt>
              <w:p>
                <w:pPr>
                  <w:pStyle w:val="3"/>
                </w:pPr>
              </w:p>
            </w:txbxContent>
          </v:textbox>
        </v:shape>
      </w:pic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bidi w:val="0"/>
      <w:jc w:val="left"/>
      <w:rPr>
        <w:rFonts w:hint="eastAsia"/>
        <w:b/>
        <w:bCs/>
        <w:lang w:val="en-US" w:eastAsia="zh-CN"/>
      </w:rPr>
    </w:pPr>
  </w:p>
  <w:p>
    <w:pPr>
      <w:pStyle w:val="20"/>
      <w:pBdr>
        <w:bottom w:val="none" w:color="auto" w:sz="0" w:space="1"/>
      </w:pBdr>
      <w:bidi w:val="0"/>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3217D"/>
    <w:multiLevelType w:val="singleLevel"/>
    <w:tmpl w:val="E893217D"/>
    <w:lvl w:ilvl="0" w:tentative="0">
      <w:start w:val="1"/>
      <w:numFmt w:val="decimal"/>
      <w:lvlText w:val="(%1)"/>
      <w:lvlJc w:val="left"/>
      <w:pPr>
        <w:tabs>
          <w:tab w:val="left" w:pos="420"/>
        </w:tabs>
        <w:ind w:left="845" w:hanging="425"/>
      </w:pPr>
      <w:rPr>
        <w:rFonts w:hint="default"/>
      </w:rPr>
    </w:lvl>
  </w:abstractNum>
  <w:abstractNum w:abstractNumId="1">
    <w:nsid w:val="FC2D67B4"/>
    <w:multiLevelType w:val="singleLevel"/>
    <w:tmpl w:val="FC2D67B4"/>
    <w:lvl w:ilvl="0" w:tentative="0">
      <w:start w:val="1"/>
      <w:numFmt w:val="chineseCounting"/>
      <w:suff w:val="nothing"/>
      <w:lvlText w:val="%1、"/>
      <w:lvlJc w:val="left"/>
      <w:rPr>
        <w:rFonts w:hint="eastAsia"/>
      </w:rPr>
    </w:lvl>
  </w:abstractNum>
  <w:abstractNum w:abstractNumId="2">
    <w:nsid w:val="00000000"/>
    <w:multiLevelType w:val="multilevel"/>
    <w:tmpl w:val="00000000"/>
    <w:lvl w:ilvl="0" w:tentative="0">
      <w:start w:val="1"/>
      <w:numFmt w:val="decimal"/>
      <w:suff w:val="nothing"/>
      <w:lvlText w:val="（%1）"/>
      <w:lvlJc w:val="left"/>
      <w:pPr>
        <w:ind w:left="-397" w:firstLine="397"/>
        <w:jc w:val="both"/>
      </w:pPr>
      <w:rPr>
        <w:w w:val="100"/>
        <w:sz w:val="20"/>
        <w:szCs w:val="20"/>
        <w:shd w:val="clear" w:color="auto" w:fill="auto"/>
      </w:rPr>
    </w:lvl>
    <w:lvl w:ilvl="1" w:tentative="0">
      <w:start w:val="1"/>
      <w:numFmt w:val="decimal"/>
      <w:suff w:val="nothing"/>
      <w:lvlText w:val="（%1）"/>
      <w:lvlJc w:val="left"/>
      <w:pPr>
        <w:ind w:firstLine="397"/>
        <w:jc w:val="both"/>
      </w:pPr>
      <w:rPr>
        <w:w w:val="100"/>
        <w:sz w:val="20"/>
        <w:szCs w:val="20"/>
        <w:shd w:val="clear" w:color="auto" w:fill="auto"/>
      </w:rPr>
    </w:lvl>
    <w:lvl w:ilvl="2" w:tentative="0">
      <w:start w:val="1"/>
      <w:numFmt w:val="decimal"/>
      <w:suff w:val="nothing"/>
      <w:lvlText w:val="（%1）"/>
      <w:lvlJc w:val="left"/>
      <w:pPr>
        <w:ind w:firstLine="397"/>
        <w:jc w:val="both"/>
      </w:pPr>
      <w:rPr>
        <w:w w:val="100"/>
        <w:sz w:val="20"/>
        <w:szCs w:val="20"/>
        <w:shd w:val="clear" w:color="auto" w:fill="auto"/>
      </w:rPr>
    </w:lvl>
    <w:lvl w:ilvl="3" w:tentative="0">
      <w:start w:val="1"/>
      <w:numFmt w:val="decimal"/>
      <w:suff w:val="nothing"/>
      <w:lvlText w:val="（%1）"/>
      <w:lvlJc w:val="left"/>
      <w:pPr>
        <w:ind w:firstLine="397"/>
        <w:jc w:val="both"/>
      </w:pPr>
      <w:rPr>
        <w:w w:val="100"/>
        <w:sz w:val="20"/>
        <w:szCs w:val="20"/>
        <w:shd w:val="clear" w:color="auto" w:fill="auto"/>
      </w:rPr>
    </w:lvl>
    <w:lvl w:ilvl="4" w:tentative="0">
      <w:start w:val="1"/>
      <w:numFmt w:val="decimal"/>
      <w:suff w:val="nothing"/>
      <w:lvlText w:val="（%1）"/>
      <w:lvlJc w:val="left"/>
      <w:pPr>
        <w:ind w:firstLine="397"/>
        <w:jc w:val="both"/>
      </w:pPr>
      <w:rPr>
        <w:w w:val="100"/>
        <w:sz w:val="20"/>
        <w:szCs w:val="20"/>
        <w:shd w:val="clear" w:color="auto" w:fill="auto"/>
      </w:rPr>
    </w:lvl>
    <w:lvl w:ilvl="5" w:tentative="0">
      <w:start w:val="1"/>
      <w:numFmt w:val="decimal"/>
      <w:suff w:val="nothing"/>
      <w:lvlText w:val="（%1）"/>
      <w:lvlJc w:val="left"/>
      <w:pPr>
        <w:ind w:firstLine="397"/>
        <w:jc w:val="both"/>
      </w:pPr>
      <w:rPr>
        <w:w w:val="100"/>
        <w:sz w:val="20"/>
        <w:szCs w:val="20"/>
        <w:shd w:val="clear" w:color="auto" w:fill="auto"/>
      </w:rPr>
    </w:lvl>
    <w:lvl w:ilvl="6" w:tentative="0">
      <w:start w:val="1"/>
      <w:numFmt w:val="decimal"/>
      <w:suff w:val="nothing"/>
      <w:lvlText w:val="（%1）"/>
      <w:lvlJc w:val="left"/>
      <w:pPr>
        <w:ind w:firstLine="397"/>
        <w:jc w:val="both"/>
      </w:pPr>
      <w:rPr>
        <w:w w:val="100"/>
        <w:sz w:val="20"/>
        <w:szCs w:val="20"/>
        <w:shd w:val="clear" w:color="auto" w:fill="auto"/>
      </w:rPr>
    </w:lvl>
    <w:lvl w:ilvl="7" w:tentative="0">
      <w:start w:val="1"/>
      <w:numFmt w:val="decimal"/>
      <w:suff w:val="nothing"/>
      <w:lvlText w:val="（%1）"/>
      <w:lvlJc w:val="left"/>
      <w:pPr>
        <w:ind w:firstLine="397"/>
        <w:jc w:val="both"/>
      </w:pPr>
      <w:rPr>
        <w:w w:val="100"/>
        <w:sz w:val="20"/>
        <w:szCs w:val="20"/>
        <w:shd w:val="clear" w:color="auto" w:fill="auto"/>
      </w:rPr>
    </w:lvl>
    <w:lvl w:ilvl="8" w:tentative="0">
      <w:start w:val="1"/>
      <w:numFmt w:val="decimal"/>
      <w:suff w:val="nothing"/>
      <w:lvlText w:val="（%1）"/>
      <w:lvlJc w:val="left"/>
      <w:pPr>
        <w:ind w:firstLine="397"/>
        <w:jc w:val="both"/>
      </w:pPr>
      <w:rPr>
        <w:w w:val="100"/>
        <w:sz w:val="20"/>
        <w:szCs w:val="20"/>
        <w:shd w:val="clear" w:color="auto" w:fill="auto"/>
      </w:rPr>
    </w:lvl>
  </w:abstractNum>
  <w:abstractNum w:abstractNumId="3">
    <w:nsid w:val="00000008"/>
    <w:multiLevelType w:val="multilevel"/>
    <w:tmpl w:val="00000008"/>
    <w:lvl w:ilvl="0" w:tentative="0">
      <w:start w:val="1"/>
      <w:numFmt w:val="decimal"/>
      <w:lvlText w:val="%1、"/>
      <w:lvlJc w:val="left"/>
      <w:pPr>
        <w:tabs>
          <w:tab w:val="left" w:pos="283"/>
        </w:tabs>
        <w:ind w:left="454" w:hanging="171"/>
        <w:jc w:val="both"/>
      </w:pPr>
      <w:rPr>
        <w:w w:val="100"/>
        <w:sz w:val="20"/>
        <w:szCs w:val="20"/>
        <w:shd w:val="clear" w:color="auto" w:fill="auto"/>
      </w:rPr>
    </w:lvl>
    <w:lvl w:ilvl="1" w:tentative="0">
      <w:start w:val="1"/>
      <w:numFmt w:val="decimal"/>
      <w:lvlText w:val="%1、"/>
      <w:lvlJc w:val="left"/>
      <w:pPr>
        <w:tabs>
          <w:tab w:val="left" w:pos="283"/>
        </w:tabs>
        <w:ind w:left="454" w:hanging="171"/>
        <w:jc w:val="both"/>
      </w:pPr>
      <w:rPr>
        <w:w w:val="100"/>
        <w:sz w:val="20"/>
        <w:szCs w:val="20"/>
        <w:shd w:val="clear" w:color="auto" w:fill="auto"/>
      </w:rPr>
    </w:lvl>
    <w:lvl w:ilvl="2" w:tentative="0">
      <w:start w:val="1"/>
      <w:numFmt w:val="decimal"/>
      <w:lvlText w:val="%1、"/>
      <w:lvlJc w:val="left"/>
      <w:pPr>
        <w:tabs>
          <w:tab w:val="left" w:pos="283"/>
        </w:tabs>
        <w:ind w:left="454" w:hanging="171"/>
        <w:jc w:val="both"/>
      </w:pPr>
      <w:rPr>
        <w:w w:val="100"/>
        <w:sz w:val="20"/>
        <w:szCs w:val="20"/>
        <w:shd w:val="clear" w:color="auto" w:fill="auto"/>
      </w:rPr>
    </w:lvl>
    <w:lvl w:ilvl="3" w:tentative="0">
      <w:start w:val="1"/>
      <w:numFmt w:val="decimal"/>
      <w:lvlText w:val="%1、"/>
      <w:lvlJc w:val="left"/>
      <w:pPr>
        <w:tabs>
          <w:tab w:val="left" w:pos="283"/>
        </w:tabs>
        <w:ind w:left="454" w:hanging="171"/>
        <w:jc w:val="both"/>
      </w:pPr>
      <w:rPr>
        <w:w w:val="100"/>
        <w:sz w:val="20"/>
        <w:szCs w:val="20"/>
        <w:shd w:val="clear" w:color="auto" w:fill="auto"/>
      </w:rPr>
    </w:lvl>
    <w:lvl w:ilvl="4" w:tentative="0">
      <w:start w:val="1"/>
      <w:numFmt w:val="decimal"/>
      <w:lvlText w:val="%1、"/>
      <w:lvlJc w:val="left"/>
      <w:pPr>
        <w:tabs>
          <w:tab w:val="left" w:pos="283"/>
        </w:tabs>
        <w:ind w:left="454" w:hanging="171"/>
        <w:jc w:val="both"/>
      </w:pPr>
      <w:rPr>
        <w:w w:val="100"/>
        <w:sz w:val="20"/>
        <w:szCs w:val="20"/>
        <w:shd w:val="clear" w:color="auto" w:fill="auto"/>
      </w:rPr>
    </w:lvl>
    <w:lvl w:ilvl="5" w:tentative="0">
      <w:start w:val="1"/>
      <w:numFmt w:val="decimal"/>
      <w:lvlText w:val="%1、"/>
      <w:lvlJc w:val="left"/>
      <w:pPr>
        <w:tabs>
          <w:tab w:val="left" w:pos="283"/>
        </w:tabs>
        <w:ind w:left="454" w:hanging="171"/>
        <w:jc w:val="both"/>
      </w:pPr>
      <w:rPr>
        <w:w w:val="100"/>
        <w:sz w:val="20"/>
        <w:szCs w:val="20"/>
        <w:shd w:val="clear" w:color="auto" w:fill="auto"/>
      </w:rPr>
    </w:lvl>
    <w:lvl w:ilvl="6" w:tentative="0">
      <w:start w:val="1"/>
      <w:numFmt w:val="decimal"/>
      <w:lvlText w:val="%1、"/>
      <w:lvlJc w:val="left"/>
      <w:pPr>
        <w:tabs>
          <w:tab w:val="left" w:pos="283"/>
        </w:tabs>
        <w:ind w:left="454" w:hanging="171"/>
        <w:jc w:val="both"/>
      </w:pPr>
      <w:rPr>
        <w:w w:val="100"/>
        <w:sz w:val="20"/>
        <w:szCs w:val="20"/>
        <w:shd w:val="clear" w:color="auto" w:fill="auto"/>
      </w:rPr>
    </w:lvl>
    <w:lvl w:ilvl="7" w:tentative="0">
      <w:start w:val="1"/>
      <w:numFmt w:val="decimal"/>
      <w:lvlText w:val="%1、"/>
      <w:lvlJc w:val="left"/>
      <w:pPr>
        <w:tabs>
          <w:tab w:val="left" w:pos="283"/>
        </w:tabs>
        <w:ind w:left="454" w:hanging="171"/>
        <w:jc w:val="both"/>
      </w:pPr>
      <w:rPr>
        <w:w w:val="100"/>
        <w:sz w:val="20"/>
        <w:szCs w:val="20"/>
        <w:shd w:val="clear" w:color="auto" w:fill="auto"/>
      </w:rPr>
    </w:lvl>
    <w:lvl w:ilvl="8" w:tentative="0">
      <w:start w:val="1"/>
      <w:numFmt w:val="decimal"/>
      <w:lvlText w:val="%1、"/>
      <w:lvlJc w:val="left"/>
      <w:pPr>
        <w:tabs>
          <w:tab w:val="left" w:pos="283"/>
        </w:tabs>
        <w:ind w:left="454" w:hanging="171"/>
        <w:jc w:val="both"/>
      </w:pPr>
      <w:rPr>
        <w:w w:val="100"/>
        <w:sz w:val="20"/>
        <w:szCs w:val="20"/>
        <w:shd w:val="clear" w:color="auto" w:fill="auto"/>
      </w:rPr>
    </w:lvl>
  </w:abstractNum>
  <w:abstractNum w:abstractNumId="4">
    <w:nsid w:val="05D15567"/>
    <w:multiLevelType w:val="multilevel"/>
    <w:tmpl w:val="05D15567"/>
    <w:lvl w:ilvl="0" w:tentative="0">
      <w:start w:val="1"/>
      <w:numFmt w:val="decimal"/>
      <w:lvlText w:val="%1."/>
      <w:lvlJc w:val="left"/>
      <w:pPr>
        <w:ind w:left="986" w:hanging="420"/>
      </w:pPr>
    </w:lvl>
    <w:lvl w:ilvl="1" w:tentative="0">
      <w:start w:val="1"/>
      <w:numFmt w:val="lowerLetter"/>
      <w:lvlText w:val="%2)"/>
      <w:lvlJc w:val="left"/>
      <w:pPr>
        <w:ind w:left="1406" w:hanging="420"/>
      </w:pPr>
    </w:lvl>
    <w:lvl w:ilvl="2" w:tentative="0">
      <w:start w:val="1"/>
      <w:numFmt w:val="decimal"/>
      <w:lvlText w:val="%3."/>
      <w:lvlJc w:val="left"/>
      <w:pPr>
        <w:ind w:left="1826" w:hanging="420"/>
      </w:pPr>
      <w:rPr>
        <w:color w:val="auto"/>
      </w:r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5">
    <w:nsid w:val="077702D0"/>
    <w:multiLevelType w:val="multilevel"/>
    <w:tmpl w:val="077702D0"/>
    <w:lvl w:ilvl="0" w:tentative="0">
      <w:start w:val="1"/>
      <w:numFmt w:val="chineseCountingThousand"/>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7C6EEE4"/>
    <w:multiLevelType w:val="singleLevel"/>
    <w:tmpl w:val="47C6EEE4"/>
    <w:lvl w:ilvl="0" w:tentative="0">
      <w:start w:val="1"/>
      <w:numFmt w:val="chineseCounting"/>
      <w:suff w:val="space"/>
      <w:lvlText w:val="第%1章"/>
      <w:lvlJc w:val="left"/>
      <w:rPr>
        <w:rFonts w:hint="eastAsia"/>
      </w:rPr>
    </w:lvl>
  </w:abstractNum>
  <w:abstractNum w:abstractNumId="7">
    <w:nsid w:val="4DB66916"/>
    <w:multiLevelType w:val="singleLevel"/>
    <w:tmpl w:val="4DB66916"/>
    <w:lvl w:ilvl="0" w:tentative="0">
      <w:start w:val="2"/>
      <w:numFmt w:val="chineseCounting"/>
      <w:suff w:val="nothing"/>
      <w:lvlText w:val="%1、"/>
      <w:lvlJc w:val="left"/>
      <w:rPr>
        <w:rFonts w:hint="eastAsia"/>
      </w:rPr>
    </w:lvl>
  </w:abstractNum>
  <w:abstractNum w:abstractNumId="8">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79B7C67F"/>
    <w:multiLevelType w:val="singleLevel"/>
    <w:tmpl w:val="79B7C67F"/>
    <w:lvl w:ilvl="0" w:tentative="0">
      <w:start w:val="1"/>
      <w:numFmt w:val="chineseCounting"/>
      <w:suff w:val="nothing"/>
      <w:lvlText w:val="%1、"/>
      <w:lvlJc w:val="left"/>
      <w:pPr>
        <w:ind w:left="0" w:firstLine="420"/>
      </w:pPr>
      <w:rPr>
        <w:rFonts w:hint="eastAsia"/>
      </w:rPr>
    </w:lvl>
  </w:abstractNum>
  <w:num w:numId="1">
    <w:abstractNumId w:val="6"/>
  </w:num>
  <w:num w:numId="2">
    <w:abstractNumId w:val="5"/>
  </w:num>
  <w:num w:numId="3">
    <w:abstractNumId w:val="0"/>
  </w:num>
  <w:num w:numId="4">
    <w:abstractNumId w:val="7"/>
  </w:num>
  <w:num w:numId="5">
    <w:abstractNumId w:val="9"/>
  </w:num>
  <w:num w:numId="6">
    <w:abstractNumId w:val="1"/>
  </w:num>
  <w:num w:numId="7">
    <w:abstractNumId w:val="8"/>
  </w:num>
  <w:num w:numId="8">
    <w:abstractNumId w:val="4"/>
  </w:num>
  <w:num w:numId="9">
    <w:abstractNumId w:val="3"/>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57709526">
    <w15:presenceInfo w15:providerId="None" w15:userId="WPS_1657709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EyMzdiYzk1OWZhODYyODcxNjZiMzUyZWVjMzc0ZWEifQ=="/>
  </w:docVars>
  <w:rsids>
    <w:rsidRoot w:val="001C261C"/>
    <w:rsid w:val="00012349"/>
    <w:rsid w:val="00016CFF"/>
    <w:rsid w:val="00021BD8"/>
    <w:rsid w:val="0002334E"/>
    <w:rsid w:val="00027180"/>
    <w:rsid w:val="00044424"/>
    <w:rsid w:val="00045C25"/>
    <w:rsid w:val="00047D69"/>
    <w:rsid w:val="000525E5"/>
    <w:rsid w:val="00056B62"/>
    <w:rsid w:val="00057F60"/>
    <w:rsid w:val="00060206"/>
    <w:rsid w:val="00063E78"/>
    <w:rsid w:val="00073B0F"/>
    <w:rsid w:val="000776B7"/>
    <w:rsid w:val="00081D3A"/>
    <w:rsid w:val="00082FB8"/>
    <w:rsid w:val="0008723A"/>
    <w:rsid w:val="00091D1C"/>
    <w:rsid w:val="0009571E"/>
    <w:rsid w:val="000A1B40"/>
    <w:rsid w:val="000A2660"/>
    <w:rsid w:val="000A2FE8"/>
    <w:rsid w:val="000A68D2"/>
    <w:rsid w:val="000B206C"/>
    <w:rsid w:val="000D06E4"/>
    <w:rsid w:val="000D7BF0"/>
    <w:rsid w:val="000E1296"/>
    <w:rsid w:val="000E7C65"/>
    <w:rsid w:val="000F1877"/>
    <w:rsid w:val="000F3DD2"/>
    <w:rsid w:val="000F5127"/>
    <w:rsid w:val="000F6002"/>
    <w:rsid w:val="000F687B"/>
    <w:rsid w:val="00103ED7"/>
    <w:rsid w:val="0010401A"/>
    <w:rsid w:val="00105493"/>
    <w:rsid w:val="00115CE8"/>
    <w:rsid w:val="001166EE"/>
    <w:rsid w:val="00121CB9"/>
    <w:rsid w:val="00126911"/>
    <w:rsid w:val="00136DED"/>
    <w:rsid w:val="001407E5"/>
    <w:rsid w:val="00142181"/>
    <w:rsid w:val="00145AD9"/>
    <w:rsid w:val="001462A7"/>
    <w:rsid w:val="00157F8A"/>
    <w:rsid w:val="0016005C"/>
    <w:rsid w:val="00164105"/>
    <w:rsid w:val="00171AFB"/>
    <w:rsid w:val="00173AC4"/>
    <w:rsid w:val="0017485A"/>
    <w:rsid w:val="00182DBD"/>
    <w:rsid w:val="00192ACA"/>
    <w:rsid w:val="001A1214"/>
    <w:rsid w:val="001A4117"/>
    <w:rsid w:val="001A5A37"/>
    <w:rsid w:val="001B5591"/>
    <w:rsid w:val="001B76FF"/>
    <w:rsid w:val="001C261C"/>
    <w:rsid w:val="001C4BD9"/>
    <w:rsid w:val="001C5360"/>
    <w:rsid w:val="001C5EC0"/>
    <w:rsid w:val="001D54F9"/>
    <w:rsid w:val="001D5C82"/>
    <w:rsid w:val="001E3056"/>
    <w:rsid w:val="001E72C9"/>
    <w:rsid w:val="001F03D1"/>
    <w:rsid w:val="001F29C2"/>
    <w:rsid w:val="001F4C5E"/>
    <w:rsid w:val="001F50AC"/>
    <w:rsid w:val="00205E9F"/>
    <w:rsid w:val="002141A4"/>
    <w:rsid w:val="002152B4"/>
    <w:rsid w:val="0021532D"/>
    <w:rsid w:val="00217349"/>
    <w:rsid w:val="0021792B"/>
    <w:rsid w:val="0022032D"/>
    <w:rsid w:val="0022035A"/>
    <w:rsid w:val="00222071"/>
    <w:rsid w:val="00222D74"/>
    <w:rsid w:val="00225D58"/>
    <w:rsid w:val="002273E8"/>
    <w:rsid w:val="002275DE"/>
    <w:rsid w:val="00241CAB"/>
    <w:rsid w:val="00244A06"/>
    <w:rsid w:val="00244AC0"/>
    <w:rsid w:val="00247D49"/>
    <w:rsid w:val="00250181"/>
    <w:rsid w:val="00254923"/>
    <w:rsid w:val="002665FC"/>
    <w:rsid w:val="00267F64"/>
    <w:rsid w:val="00274E82"/>
    <w:rsid w:val="00276539"/>
    <w:rsid w:val="00284276"/>
    <w:rsid w:val="0028476D"/>
    <w:rsid w:val="002903FC"/>
    <w:rsid w:val="00293059"/>
    <w:rsid w:val="002930FA"/>
    <w:rsid w:val="00294888"/>
    <w:rsid w:val="00295876"/>
    <w:rsid w:val="002A3DF8"/>
    <w:rsid w:val="002B141E"/>
    <w:rsid w:val="002C640C"/>
    <w:rsid w:val="002D3071"/>
    <w:rsid w:val="002D633A"/>
    <w:rsid w:val="002E326B"/>
    <w:rsid w:val="002E5095"/>
    <w:rsid w:val="002F4C34"/>
    <w:rsid w:val="002F54F7"/>
    <w:rsid w:val="00301124"/>
    <w:rsid w:val="00306BE3"/>
    <w:rsid w:val="003136A3"/>
    <w:rsid w:val="003235FE"/>
    <w:rsid w:val="00325169"/>
    <w:rsid w:val="00332AED"/>
    <w:rsid w:val="003352CB"/>
    <w:rsid w:val="00342FD7"/>
    <w:rsid w:val="00345751"/>
    <w:rsid w:val="0034755B"/>
    <w:rsid w:val="00354855"/>
    <w:rsid w:val="003605B5"/>
    <w:rsid w:val="0036120C"/>
    <w:rsid w:val="00361DC2"/>
    <w:rsid w:val="003654DE"/>
    <w:rsid w:val="003668A6"/>
    <w:rsid w:val="003668AD"/>
    <w:rsid w:val="0037375C"/>
    <w:rsid w:val="00376403"/>
    <w:rsid w:val="00384DE8"/>
    <w:rsid w:val="00385632"/>
    <w:rsid w:val="00391D90"/>
    <w:rsid w:val="00395669"/>
    <w:rsid w:val="003973AC"/>
    <w:rsid w:val="003A2347"/>
    <w:rsid w:val="003A4975"/>
    <w:rsid w:val="003B105B"/>
    <w:rsid w:val="003D25F2"/>
    <w:rsid w:val="003F1390"/>
    <w:rsid w:val="003F16E0"/>
    <w:rsid w:val="003F2828"/>
    <w:rsid w:val="003F4CB3"/>
    <w:rsid w:val="00403D7B"/>
    <w:rsid w:val="00406018"/>
    <w:rsid w:val="00407E1B"/>
    <w:rsid w:val="00410E2D"/>
    <w:rsid w:val="00413E9C"/>
    <w:rsid w:val="0041506E"/>
    <w:rsid w:val="0042351F"/>
    <w:rsid w:val="004236C1"/>
    <w:rsid w:val="00427C6E"/>
    <w:rsid w:val="004312E4"/>
    <w:rsid w:val="00437F85"/>
    <w:rsid w:val="004411C3"/>
    <w:rsid w:val="00445BFE"/>
    <w:rsid w:val="004460B7"/>
    <w:rsid w:val="00450046"/>
    <w:rsid w:val="00454C46"/>
    <w:rsid w:val="00455713"/>
    <w:rsid w:val="00455834"/>
    <w:rsid w:val="00473C42"/>
    <w:rsid w:val="00474A15"/>
    <w:rsid w:val="00486592"/>
    <w:rsid w:val="00493A2D"/>
    <w:rsid w:val="004A1D50"/>
    <w:rsid w:val="004A2523"/>
    <w:rsid w:val="004A2F8F"/>
    <w:rsid w:val="004A579F"/>
    <w:rsid w:val="004A60F0"/>
    <w:rsid w:val="004A61B8"/>
    <w:rsid w:val="004A642E"/>
    <w:rsid w:val="004B099B"/>
    <w:rsid w:val="004B24D2"/>
    <w:rsid w:val="004C02B5"/>
    <w:rsid w:val="004C2B5B"/>
    <w:rsid w:val="004C4654"/>
    <w:rsid w:val="004C54D1"/>
    <w:rsid w:val="004D2C7D"/>
    <w:rsid w:val="004D2EAB"/>
    <w:rsid w:val="004E0F20"/>
    <w:rsid w:val="004E1A1D"/>
    <w:rsid w:val="004E2403"/>
    <w:rsid w:val="004F1E55"/>
    <w:rsid w:val="004F2B6A"/>
    <w:rsid w:val="004F2FEC"/>
    <w:rsid w:val="004F338A"/>
    <w:rsid w:val="004F426A"/>
    <w:rsid w:val="004F6484"/>
    <w:rsid w:val="00500F14"/>
    <w:rsid w:val="0051461F"/>
    <w:rsid w:val="005160C7"/>
    <w:rsid w:val="0051760E"/>
    <w:rsid w:val="005179F1"/>
    <w:rsid w:val="00517A33"/>
    <w:rsid w:val="00521CE8"/>
    <w:rsid w:val="00527E1E"/>
    <w:rsid w:val="00534D9D"/>
    <w:rsid w:val="00534F6F"/>
    <w:rsid w:val="00543AB8"/>
    <w:rsid w:val="005442E4"/>
    <w:rsid w:val="00544583"/>
    <w:rsid w:val="005514FD"/>
    <w:rsid w:val="00552F0B"/>
    <w:rsid w:val="00557F97"/>
    <w:rsid w:val="00565E5B"/>
    <w:rsid w:val="005731A3"/>
    <w:rsid w:val="00574978"/>
    <w:rsid w:val="00584CA1"/>
    <w:rsid w:val="005932C0"/>
    <w:rsid w:val="005A0F82"/>
    <w:rsid w:val="005B4E7B"/>
    <w:rsid w:val="005B7B9B"/>
    <w:rsid w:val="005B7BFB"/>
    <w:rsid w:val="005D5B5C"/>
    <w:rsid w:val="005D5F5E"/>
    <w:rsid w:val="005D7E68"/>
    <w:rsid w:val="005E1A45"/>
    <w:rsid w:val="005E6C94"/>
    <w:rsid w:val="005F6247"/>
    <w:rsid w:val="0060251A"/>
    <w:rsid w:val="006060DF"/>
    <w:rsid w:val="00607A85"/>
    <w:rsid w:val="00611735"/>
    <w:rsid w:val="00627EB7"/>
    <w:rsid w:val="00631C53"/>
    <w:rsid w:val="006427BD"/>
    <w:rsid w:val="0065010D"/>
    <w:rsid w:val="00650C26"/>
    <w:rsid w:val="00657ABB"/>
    <w:rsid w:val="006679AF"/>
    <w:rsid w:val="006712B9"/>
    <w:rsid w:val="006712D4"/>
    <w:rsid w:val="00672812"/>
    <w:rsid w:val="006756A1"/>
    <w:rsid w:val="00677457"/>
    <w:rsid w:val="00680CB0"/>
    <w:rsid w:val="0068491F"/>
    <w:rsid w:val="00685DCB"/>
    <w:rsid w:val="0069112B"/>
    <w:rsid w:val="0069127C"/>
    <w:rsid w:val="00695F2B"/>
    <w:rsid w:val="006A373F"/>
    <w:rsid w:val="006A6FD8"/>
    <w:rsid w:val="006A7C7C"/>
    <w:rsid w:val="006B33B2"/>
    <w:rsid w:val="006D5CFA"/>
    <w:rsid w:val="006E3902"/>
    <w:rsid w:val="006F0285"/>
    <w:rsid w:val="006F377A"/>
    <w:rsid w:val="006F3A92"/>
    <w:rsid w:val="006F7FB8"/>
    <w:rsid w:val="007141C8"/>
    <w:rsid w:val="007148CF"/>
    <w:rsid w:val="00715F4F"/>
    <w:rsid w:val="00716608"/>
    <w:rsid w:val="00721BAE"/>
    <w:rsid w:val="00731E83"/>
    <w:rsid w:val="007405EC"/>
    <w:rsid w:val="00747518"/>
    <w:rsid w:val="0075523C"/>
    <w:rsid w:val="0075642C"/>
    <w:rsid w:val="007569E4"/>
    <w:rsid w:val="0076105A"/>
    <w:rsid w:val="0076710D"/>
    <w:rsid w:val="00775D4F"/>
    <w:rsid w:val="00776CF6"/>
    <w:rsid w:val="007870A4"/>
    <w:rsid w:val="0079015D"/>
    <w:rsid w:val="00791750"/>
    <w:rsid w:val="00791A45"/>
    <w:rsid w:val="007943AA"/>
    <w:rsid w:val="007A20DC"/>
    <w:rsid w:val="007A3CD1"/>
    <w:rsid w:val="007B70A2"/>
    <w:rsid w:val="007C2D15"/>
    <w:rsid w:val="007C5B53"/>
    <w:rsid w:val="007D53D8"/>
    <w:rsid w:val="007D729A"/>
    <w:rsid w:val="007E5996"/>
    <w:rsid w:val="007E6C9E"/>
    <w:rsid w:val="007E7DCA"/>
    <w:rsid w:val="007F330E"/>
    <w:rsid w:val="00800F2B"/>
    <w:rsid w:val="00801EA3"/>
    <w:rsid w:val="00813AF3"/>
    <w:rsid w:val="008319AF"/>
    <w:rsid w:val="008327A2"/>
    <w:rsid w:val="00835352"/>
    <w:rsid w:val="0084097C"/>
    <w:rsid w:val="0084204D"/>
    <w:rsid w:val="008424E1"/>
    <w:rsid w:val="00850397"/>
    <w:rsid w:val="008504BF"/>
    <w:rsid w:val="008556A0"/>
    <w:rsid w:val="0086407A"/>
    <w:rsid w:val="00866E0A"/>
    <w:rsid w:val="00870BB8"/>
    <w:rsid w:val="00870EAB"/>
    <w:rsid w:val="00871F6B"/>
    <w:rsid w:val="00876865"/>
    <w:rsid w:val="00880A87"/>
    <w:rsid w:val="00885946"/>
    <w:rsid w:val="0088795F"/>
    <w:rsid w:val="008939F1"/>
    <w:rsid w:val="0089478F"/>
    <w:rsid w:val="00897A54"/>
    <w:rsid w:val="008A45B8"/>
    <w:rsid w:val="008A6463"/>
    <w:rsid w:val="008B28E4"/>
    <w:rsid w:val="008B306C"/>
    <w:rsid w:val="008C7495"/>
    <w:rsid w:val="008D175F"/>
    <w:rsid w:val="008D6434"/>
    <w:rsid w:val="008D69E3"/>
    <w:rsid w:val="008E4E57"/>
    <w:rsid w:val="008F13BF"/>
    <w:rsid w:val="008F1AEA"/>
    <w:rsid w:val="008F1EEA"/>
    <w:rsid w:val="008F4DDB"/>
    <w:rsid w:val="00900D02"/>
    <w:rsid w:val="00901C32"/>
    <w:rsid w:val="00902D4E"/>
    <w:rsid w:val="00911230"/>
    <w:rsid w:val="00913B2E"/>
    <w:rsid w:val="009141FE"/>
    <w:rsid w:val="00935BF2"/>
    <w:rsid w:val="00937829"/>
    <w:rsid w:val="00950E60"/>
    <w:rsid w:val="00957541"/>
    <w:rsid w:val="009614CD"/>
    <w:rsid w:val="00971FD2"/>
    <w:rsid w:val="0097511F"/>
    <w:rsid w:val="009758EE"/>
    <w:rsid w:val="009810DA"/>
    <w:rsid w:val="0098642A"/>
    <w:rsid w:val="00992403"/>
    <w:rsid w:val="00997DAA"/>
    <w:rsid w:val="009A254F"/>
    <w:rsid w:val="009C3501"/>
    <w:rsid w:val="009C3E91"/>
    <w:rsid w:val="009C47EF"/>
    <w:rsid w:val="009C7184"/>
    <w:rsid w:val="009D5E41"/>
    <w:rsid w:val="009E0C04"/>
    <w:rsid w:val="009E352C"/>
    <w:rsid w:val="009E3A0A"/>
    <w:rsid w:val="009E54AC"/>
    <w:rsid w:val="009F5CC1"/>
    <w:rsid w:val="00A13939"/>
    <w:rsid w:val="00A208CF"/>
    <w:rsid w:val="00A22FCF"/>
    <w:rsid w:val="00A3062D"/>
    <w:rsid w:val="00A32C3C"/>
    <w:rsid w:val="00A3525C"/>
    <w:rsid w:val="00A466D6"/>
    <w:rsid w:val="00A513B7"/>
    <w:rsid w:val="00A53F46"/>
    <w:rsid w:val="00A63068"/>
    <w:rsid w:val="00A63657"/>
    <w:rsid w:val="00A67072"/>
    <w:rsid w:val="00A70907"/>
    <w:rsid w:val="00A70B22"/>
    <w:rsid w:val="00A728CA"/>
    <w:rsid w:val="00A73FFE"/>
    <w:rsid w:val="00A77540"/>
    <w:rsid w:val="00A868F6"/>
    <w:rsid w:val="00A87814"/>
    <w:rsid w:val="00A96D9A"/>
    <w:rsid w:val="00AA4E91"/>
    <w:rsid w:val="00AB5E25"/>
    <w:rsid w:val="00AB5E2C"/>
    <w:rsid w:val="00AB7E60"/>
    <w:rsid w:val="00AB7ECA"/>
    <w:rsid w:val="00AC0BF5"/>
    <w:rsid w:val="00AC4FD9"/>
    <w:rsid w:val="00AE0391"/>
    <w:rsid w:val="00AE4C1C"/>
    <w:rsid w:val="00AF148B"/>
    <w:rsid w:val="00B01054"/>
    <w:rsid w:val="00B025E5"/>
    <w:rsid w:val="00B0387E"/>
    <w:rsid w:val="00B04270"/>
    <w:rsid w:val="00B15BFD"/>
    <w:rsid w:val="00B21E45"/>
    <w:rsid w:val="00B24E0A"/>
    <w:rsid w:val="00B253A2"/>
    <w:rsid w:val="00B33E32"/>
    <w:rsid w:val="00B350CE"/>
    <w:rsid w:val="00B3570A"/>
    <w:rsid w:val="00B36697"/>
    <w:rsid w:val="00B42568"/>
    <w:rsid w:val="00B505EF"/>
    <w:rsid w:val="00B53461"/>
    <w:rsid w:val="00B54B8B"/>
    <w:rsid w:val="00B631A7"/>
    <w:rsid w:val="00B84480"/>
    <w:rsid w:val="00B85325"/>
    <w:rsid w:val="00B87211"/>
    <w:rsid w:val="00B879F9"/>
    <w:rsid w:val="00BA11A7"/>
    <w:rsid w:val="00BA3707"/>
    <w:rsid w:val="00BB3D0F"/>
    <w:rsid w:val="00BC635A"/>
    <w:rsid w:val="00BD0958"/>
    <w:rsid w:val="00BD4FE2"/>
    <w:rsid w:val="00BD5C64"/>
    <w:rsid w:val="00BD773B"/>
    <w:rsid w:val="00BD7751"/>
    <w:rsid w:val="00BE78DF"/>
    <w:rsid w:val="00BF3A28"/>
    <w:rsid w:val="00C011C6"/>
    <w:rsid w:val="00C02DF3"/>
    <w:rsid w:val="00C05858"/>
    <w:rsid w:val="00C13D48"/>
    <w:rsid w:val="00C169A0"/>
    <w:rsid w:val="00C334D9"/>
    <w:rsid w:val="00C3678B"/>
    <w:rsid w:val="00C4096E"/>
    <w:rsid w:val="00C41B18"/>
    <w:rsid w:val="00C439BF"/>
    <w:rsid w:val="00C511D3"/>
    <w:rsid w:val="00C54D02"/>
    <w:rsid w:val="00C56A0A"/>
    <w:rsid w:val="00C61FBE"/>
    <w:rsid w:val="00C80810"/>
    <w:rsid w:val="00C81AFB"/>
    <w:rsid w:val="00C82617"/>
    <w:rsid w:val="00C84528"/>
    <w:rsid w:val="00C86882"/>
    <w:rsid w:val="00C90C6E"/>
    <w:rsid w:val="00C922CE"/>
    <w:rsid w:val="00C92C05"/>
    <w:rsid w:val="00C931A1"/>
    <w:rsid w:val="00C953BD"/>
    <w:rsid w:val="00CA7C13"/>
    <w:rsid w:val="00CB020D"/>
    <w:rsid w:val="00CB0BDC"/>
    <w:rsid w:val="00CB6088"/>
    <w:rsid w:val="00CB6B28"/>
    <w:rsid w:val="00CC04AB"/>
    <w:rsid w:val="00CD359E"/>
    <w:rsid w:val="00CE4D61"/>
    <w:rsid w:val="00CE5832"/>
    <w:rsid w:val="00CF2A0B"/>
    <w:rsid w:val="00D15571"/>
    <w:rsid w:val="00D17E72"/>
    <w:rsid w:val="00D21362"/>
    <w:rsid w:val="00D215A5"/>
    <w:rsid w:val="00D23F32"/>
    <w:rsid w:val="00D25B05"/>
    <w:rsid w:val="00D25EB7"/>
    <w:rsid w:val="00D35A65"/>
    <w:rsid w:val="00D6144B"/>
    <w:rsid w:val="00D6182C"/>
    <w:rsid w:val="00D63B3F"/>
    <w:rsid w:val="00D70EEE"/>
    <w:rsid w:val="00D72028"/>
    <w:rsid w:val="00D72AAE"/>
    <w:rsid w:val="00D80E2D"/>
    <w:rsid w:val="00D93A03"/>
    <w:rsid w:val="00D968A3"/>
    <w:rsid w:val="00DA1D53"/>
    <w:rsid w:val="00DA52C3"/>
    <w:rsid w:val="00DA77CE"/>
    <w:rsid w:val="00DB1350"/>
    <w:rsid w:val="00DC127F"/>
    <w:rsid w:val="00DD2308"/>
    <w:rsid w:val="00DD466D"/>
    <w:rsid w:val="00DE735A"/>
    <w:rsid w:val="00DF050F"/>
    <w:rsid w:val="00DF0CC3"/>
    <w:rsid w:val="00DF2113"/>
    <w:rsid w:val="00DF77B3"/>
    <w:rsid w:val="00E00958"/>
    <w:rsid w:val="00E076B9"/>
    <w:rsid w:val="00E11403"/>
    <w:rsid w:val="00E1308A"/>
    <w:rsid w:val="00E206F4"/>
    <w:rsid w:val="00E21C71"/>
    <w:rsid w:val="00E24EC4"/>
    <w:rsid w:val="00E2556C"/>
    <w:rsid w:val="00E37885"/>
    <w:rsid w:val="00E40C27"/>
    <w:rsid w:val="00E73C48"/>
    <w:rsid w:val="00E740A6"/>
    <w:rsid w:val="00E742F0"/>
    <w:rsid w:val="00E81E57"/>
    <w:rsid w:val="00E83185"/>
    <w:rsid w:val="00E91930"/>
    <w:rsid w:val="00E956AB"/>
    <w:rsid w:val="00EB3629"/>
    <w:rsid w:val="00EC2237"/>
    <w:rsid w:val="00EC606B"/>
    <w:rsid w:val="00EE3C63"/>
    <w:rsid w:val="00EE5645"/>
    <w:rsid w:val="00EE5957"/>
    <w:rsid w:val="00EE6DDC"/>
    <w:rsid w:val="00EE7DBE"/>
    <w:rsid w:val="00EF6527"/>
    <w:rsid w:val="00EF78F5"/>
    <w:rsid w:val="00F02112"/>
    <w:rsid w:val="00F041D6"/>
    <w:rsid w:val="00F062F8"/>
    <w:rsid w:val="00F202AF"/>
    <w:rsid w:val="00F20CB1"/>
    <w:rsid w:val="00F33212"/>
    <w:rsid w:val="00F40042"/>
    <w:rsid w:val="00F43363"/>
    <w:rsid w:val="00F469DF"/>
    <w:rsid w:val="00F5507D"/>
    <w:rsid w:val="00F6730A"/>
    <w:rsid w:val="00F721A7"/>
    <w:rsid w:val="00F74B97"/>
    <w:rsid w:val="00F7618F"/>
    <w:rsid w:val="00F942B3"/>
    <w:rsid w:val="00FA62F8"/>
    <w:rsid w:val="00FA7E5F"/>
    <w:rsid w:val="00FB3C01"/>
    <w:rsid w:val="00FC7C42"/>
    <w:rsid w:val="00FD1F26"/>
    <w:rsid w:val="00FD225B"/>
    <w:rsid w:val="00FD699E"/>
    <w:rsid w:val="00FE1D94"/>
    <w:rsid w:val="00FE4931"/>
    <w:rsid w:val="00FE733A"/>
    <w:rsid w:val="00FF2283"/>
    <w:rsid w:val="00FF48CC"/>
    <w:rsid w:val="014D0B1B"/>
    <w:rsid w:val="016F45ED"/>
    <w:rsid w:val="018A4F73"/>
    <w:rsid w:val="0194674A"/>
    <w:rsid w:val="01995B0E"/>
    <w:rsid w:val="01B97CA8"/>
    <w:rsid w:val="02377801"/>
    <w:rsid w:val="02AC6223"/>
    <w:rsid w:val="02B40E52"/>
    <w:rsid w:val="02B65C2A"/>
    <w:rsid w:val="02F45EDC"/>
    <w:rsid w:val="03140498"/>
    <w:rsid w:val="03507D3F"/>
    <w:rsid w:val="03D90444"/>
    <w:rsid w:val="03F70790"/>
    <w:rsid w:val="03FC3858"/>
    <w:rsid w:val="04B862AB"/>
    <w:rsid w:val="04DA3708"/>
    <w:rsid w:val="05353DA0"/>
    <w:rsid w:val="05383ED4"/>
    <w:rsid w:val="05507159"/>
    <w:rsid w:val="058060BB"/>
    <w:rsid w:val="05D97E37"/>
    <w:rsid w:val="05FD666C"/>
    <w:rsid w:val="06734CA1"/>
    <w:rsid w:val="06A05249"/>
    <w:rsid w:val="06E6295D"/>
    <w:rsid w:val="06EE4286"/>
    <w:rsid w:val="0708351A"/>
    <w:rsid w:val="070954E4"/>
    <w:rsid w:val="074E2EF7"/>
    <w:rsid w:val="0765096C"/>
    <w:rsid w:val="077B0190"/>
    <w:rsid w:val="07DC6755"/>
    <w:rsid w:val="07E04497"/>
    <w:rsid w:val="08444585"/>
    <w:rsid w:val="085011A3"/>
    <w:rsid w:val="08585DDB"/>
    <w:rsid w:val="085D5AE7"/>
    <w:rsid w:val="087A399D"/>
    <w:rsid w:val="08AB0029"/>
    <w:rsid w:val="08E743E6"/>
    <w:rsid w:val="09331651"/>
    <w:rsid w:val="093F343F"/>
    <w:rsid w:val="0958005D"/>
    <w:rsid w:val="096D3B75"/>
    <w:rsid w:val="097C623F"/>
    <w:rsid w:val="09926ADE"/>
    <w:rsid w:val="09B90AFC"/>
    <w:rsid w:val="0A1C72DC"/>
    <w:rsid w:val="0A3D172D"/>
    <w:rsid w:val="0A453AB0"/>
    <w:rsid w:val="0A570314"/>
    <w:rsid w:val="0A5B1BB3"/>
    <w:rsid w:val="0ACF4FB3"/>
    <w:rsid w:val="0AE12395"/>
    <w:rsid w:val="0B17651E"/>
    <w:rsid w:val="0B422D73"/>
    <w:rsid w:val="0B50723E"/>
    <w:rsid w:val="0B660775"/>
    <w:rsid w:val="0B705B32"/>
    <w:rsid w:val="0BA31A63"/>
    <w:rsid w:val="0BE431D1"/>
    <w:rsid w:val="0BF253F9"/>
    <w:rsid w:val="0CA27A13"/>
    <w:rsid w:val="0CCC323C"/>
    <w:rsid w:val="0D981100"/>
    <w:rsid w:val="0D984F26"/>
    <w:rsid w:val="0DE819AF"/>
    <w:rsid w:val="0DEA607F"/>
    <w:rsid w:val="0E0F40B7"/>
    <w:rsid w:val="0E387F21"/>
    <w:rsid w:val="0E434ADC"/>
    <w:rsid w:val="0E816450"/>
    <w:rsid w:val="0F20786F"/>
    <w:rsid w:val="0F5542C7"/>
    <w:rsid w:val="0F735BF1"/>
    <w:rsid w:val="0FBA1453"/>
    <w:rsid w:val="100827DD"/>
    <w:rsid w:val="105318DF"/>
    <w:rsid w:val="10817E99"/>
    <w:rsid w:val="112A7867"/>
    <w:rsid w:val="114333A1"/>
    <w:rsid w:val="11836890"/>
    <w:rsid w:val="11A35EB9"/>
    <w:rsid w:val="11CB1D14"/>
    <w:rsid w:val="122537FA"/>
    <w:rsid w:val="124539D3"/>
    <w:rsid w:val="124B62C3"/>
    <w:rsid w:val="12767ED2"/>
    <w:rsid w:val="12891287"/>
    <w:rsid w:val="12993BC0"/>
    <w:rsid w:val="13094489"/>
    <w:rsid w:val="131E7C21"/>
    <w:rsid w:val="137D5290"/>
    <w:rsid w:val="13E73A9D"/>
    <w:rsid w:val="14007397"/>
    <w:rsid w:val="14065285"/>
    <w:rsid w:val="14371460"/>
    <w:rsid w:val="14575AE1"/>
    <w:rsid w:val="14AB3737"/>
    <w:rsid w:val="14BD22E1"/>
    <w:rsid w:val="14C51977"/>
    <w:rsid w:val="155B6545"/>
    <w:rsid w:val="15633D5B"/>
    <w:rsid w:val="15804BC3"/>
    <w:rsid w:val="15952A34"/>
    <w:rsid w:val="15B11221"/>
    <w:rsid w:val="15CA4090"/>
    <w:rsid w:val="1612090E"/>
    <w:rsid w:val="165C0979"/>
    <w:rsid w:val="16915A5C"/>
    <w:rsid w:val="16980C9F"/>
    <w:rsid w:val="16B51629"/>
    <w:rsid w:val="16F7468C"/>
    <w:rsid w:val="17107B4D"/>
    <w:rsid w:val="17753C8E"/>
    <w:rsid w:val="17F82CBC"/>
    <w:rsid w:val="186740EE"/>
    <w:rsid w:val="18694035"/>
    <w:rsid w:val="18AC5CCF"/>
    <w:rsid w:val="18B255D5"/>
    <w:rsid w:val="19722CDC"/>
    <w:rsid w:val="199F3505"/>
    <w:rsid w:val="19DD1875"/>
    <w:rsid w:val="19DF0F3F"/>
    <w:rsid w:val="1A825ACD"/>
    <w:rsid w:val="1AA41354"/>
    <w:rsid w:val="1AB803AE"/>
    <w:rsid w:val="1ADC289C"/>
    <w:rsid w:val="1AFF658A"/>
    <w:rsid w:val="1B1C3432"/>
    <w:rsid w:val="1BB6133F"/>
    <w:rsid w:val="1BFA3B03"/>
    <w:rsid w:val="1C065CD1"/>
    <w:rsid w:val="1C09031B"/>
    <w:rsid w:val="1C1D6162"/>
    <w:rsid w:val="1C244D13"/>
    <w:rsid w:val="1C520816"/>
    <w:rsid w:val="1C6C40F3"/>
    <w:rsid w:val="1CA643DD"/>
    <w:rsid w:val="1CC932F4"/>
    <w:rsid w:val="1CD63694"/>
    <w:rsid w:val="1CDC7CB2"/>
    <w:rsid w:val="1CED5115"/>
    <w:rsid w:val="1D146891"/>
    <w:rsid w:val="1D1C3424"/>
    <w:rsid w:val="1D1C5EE0"/>
    <w:rsid w:val="1D6927AB"/>
    <w:rsid w:val="1D953B83"/>
    <w:rsid w:val="1DB25B36"/>
    <w:rsid w:val="1DC35F95"/>
    <w:rsid w:val="1E122A78"/>
    <w:rsid w:val="1E5906A7"/>
    <w:rsid w:val="1EF50A5B"/>
    <w:rsid w:val="1F1114A0"/>
    <w:rsid w:val="1F2C6E50"/>
    <w:rsid w:val="1F3039B0"/>
    <w:rsid w:val="1F31278E"/>
    <w:rsid w:val="1F494278"/>
    <w:rsid w:val="1F59095F"/>
    <w:rsid w:val="1F874D8A"/>
    <w:rsid w:val="1F8A4FBC"/>
    <w:rsid w:val="1FA12306"/>
    <w:rsid w:val="1FD44489"/>
    <w:rsid w:val="2014716F"/>
    <w:rsid w:val="20191E9C"/>
    <w:rsid w:val="20547D9F"/>
    <w:rsid w:val="2057145D"/>
    <w:rsid w:val="20735A50"/>
    <w:rsid w:val="20756524"/>
    <w:rsid w:val="20D9162C"/>
    <w:rsid w:val="21045E9D"/>
    <w:rsid w:val="211F1734"/>
    <w:rsid w:val="21425423"/>
    <w:rsid w:val="214531F6"/>
    <w:rsid w:val="21D11E83"/>
    <w:rsid w:val="22507B57"/>
    <w:rsid w:val="22711996"/>
    <w:rsid w:val="228201CD"/>
    <w:rsid w:val="22AD2D70"/>
    <w:rsid w:val="22C407E5"/>
    <w:rsid w:val="22F90C34"/>
    <w:rsid w:val="23101C42"/>
    <w:rsid w:val="23124094"/>
    <w:rsid w:val="23185DB3"/>
    <w:rsid w:val="234C7206"/>
    <w:rsid w:val="23791477"/>
    <w:rsid w:val="23BC326A"/>
    <w:rsid w:val="23C1283B"/>
    <w:rsid w:val="23FB6EB4"/>
    <w:rsid w:val="2492690D"/>
    <w:rsid w:val="24D740D4"/>
    <w:rsid w:val="24DC15E0"/>
    <w:rsid w:val="250E6BB2"/>
    <w:rsid w:val="26306192"/>
    <w:rsid w:val="263500D4"/>
    <w:rsid w:val="26413EFB"/>
    <w:rsid w:val="26A06E73"/>
    <w:rsid w:val="26FF54C0"/>
    <w:rsid w:val="2714160F"/>
    <w:rsid w:val="27B24ED7"/>
    <w:rsid w:val="27B30E28"/>
    <w:rsid w:val="28125B4F"/>
    <w:rsid w:val="28377363"/>
    <w:rsid w:val="28447CD2"/>
    <w:rsid w:val="28BF06BD"/>
    <w:rsid w:val="28EF0601"/>
    <w:rsid w:val="28F44088"/>
    <w:rsid w:val="29046554"/>
    <w:rsid w:val="292E56CA"/>
    <w:rsid w:val="298962E5"/>
    <w:rsid w:val="298C36DF"/>
    <w:rsid w:val="2998280B"/>
    <w:rsid w:val="29C42591"/>
    <w:rsid w:val="2A0950A8"/>
    <w:rsid w:val="2A222295"/>
    <w:rsid w:val="2AB704A6"/>
    <w:rsid w:val="2AEA1D56"/>
    <w:rsid w:val="2AFB6D6E"/>
    <w:rsid w:val="2B2371B5"/>
    <w:rsid w:val="2B3202B6"/>
    <w:rsid w:val="2B335F40"/>
    <w:rsid w:val="2B3C3FC1"/>
    <w:rsid w:val="2C1005F7"/>
    <w:rsid w:val="2C2A1E20"/>
    <w:rsid w:val="2C303381"/>
    <w:rsid w:val="2C7F28B0"/>
    <w:rsid w:val="2C91312E"/>
    <w:rsid w:val="2D07221A"/>
    <w:rsid w:val="2D3C3247"/>
    <w:rsid w:val="2D4D6783"/>
    <w:rsid w:val="2D5E70C0"/>
    <w:rsid w:val="2D823B7A"/>
    <w:rsid w:val="2DC76BD6"/>
    <w:rsid w:val="2DF2421D"/>
    <w:rsid w:val="2E3C55DF"/>
    <w:rsid w:val="2E5F1461"/>
    <w:rsid w:val="2E6234EA"/>
    <w:rsid w:val="2E6A6B71"/>
    <w:rsid w:val="2E7D3F3E"/>
    <w:rsid w:val="2E954DE4"/>
    <w:rsid w:val="2E9C09B2"/>
    <w:rsid w:val="2EB1074A"/>
    <w:rsid w:val="2F0E4B96"/>
    <w:rsid w:val="2F104DB2"/>
    <w:rsid w:val="2F204FF5"/>
    <w:rsid w:val="2F5E0560"/>
    <w:rsid w:val="2FB33015"/>
    <w:rsid w:val="2FBC004A"/>
    <w:rsid w:val="2FBE742A"/>
    <w:rsid w:val="3012466B"/>
    <w:rsid w:val="30354AD0"/>
    <w:rsid w:val="30376287"/>
    <w:rsid w:val="30526F2D"/>
    <w:rsid w:val="305D4027"/>
    <w:rsid w:val="30B92E97"/>
    <w:rsid w:val="31844B16"/>
    <w:rsid w:val="31846DBA"/>
    <w:rsid w:val="31AD0696"/>
    <w:rsid w:val="31B22151"/>
    <w:rsid w:val="31BA7633"/>
    <w:rsid w:val="31C6355E"/>
    <w:rsid w:val="32001381"/>
    <w:rsid w:val="3264223F"/>
    <w:rsid w:val="326E348D"/>
    <w:rsid w:val="328E7420"/>
    <w:rsid w:val="32B617CD"/>
    <w:rsid w:val="32D87CB9"/>
    <w:rsid w:val="32E20DCB"/>
    <w:rsid w:val="33242BDA"/>
    <w:rsid w:val="3355548A"/>
    <w:rsid w:val="33656EE4"/>
    <w:rsid w:val="34270BD4"/>
    <w:rsid w:val="34394463"/>
    <w:rsid w:val="344277BC"/>
    <w:rsid w:val="34690693"/>
    <w:rsid w:val="34AF4725"/>
    <w:rsid w:val="34B01D27"/>
    <w:rsid w:val="34F21C19"/>
    <w:rsid w:val="350B4EB3"/>
    <w:rsid w:val="351C24B4"/>
    <w:rsid w:val="3531447C"/>
    <w:rsid w:val="355E6877"/>
    <w:rsid w:val="35841E81"/>
    <w:rsid w:val="35A26DAC"/>
    <w:rsid w:val="35B5395F"/>
    <w:rsid w:val="3633706B"/>
    <w:rsid w:val="363D2C9C"/>
    <w:rsid w:val="36AE37C2"/>
    <w:rsid w:val="36C11399"/>
    <w:rsid w:val="3705164D"/>
    <w:rsid w:val="37664448"/>
    <w:rsid w:val="37B24C58"/>
    <w:rsid w:val="37F4443E"/>
    <w:rsid w:val="37F75D45"/>
    <w:rsid w:val="38806B05"/>
    <w:rsid w:val="38AC5B4C"/>
    <w:rsid w:val="38BB7B3D"/>
    <w:rsid w:val="39032368"/>
    <w:rsid w:val="392E28E8"/>
    <w:rsid w:val="395C0261"/>
    <w:rsid w:val="39C3314D"/>
    <w:rsid w:val="39D864CC"/>
    <w:rsid w:val="39E9296C"/>
    <w:rsid w:val="39FB470F"/>
    <w:rsid w:val="3A4818A4"/>
    <w:rsid w:val="3A6340C3"/>
    <w:rsid w:val="3A784990"/>
    <w:rsid w:val="3A8D5509"/>
    <w:rsid w:val="3AAF36D1"/>
    <w:rsid w:val="3AB556BE"/>
    <w:rsid w:val="3AB74AF8"/>
    <w:rsid w:val="3B0C4499"/>
    <w:rsid w:val="3B6B584A"/>
    <w:rsid w:val="3BA2329A"/>
    <w:rsid w:val="3BFD221A"/>
    <w:rsid w:val="3C37397E"/>
    <w:rsid w:val="3C3825DD"/>
    <w:rsid w:val="3C853690"/>
    <w:rsid w:val="3CFF2676"/>
    <w:rsid w:val="3D162A00"/>
    <w:rsid w:val="3D4E5423"/>
    <w:rsid w:val="3DB00EAB"/>
    <w:rsid w:val="3DD0408A"/>
    <w:rsid w:val="3DD31485"/>
    <w:rsid w:val="3DF17618"/>
    <w:rsid w:val="3E32264F"/>
    <w:rsid w:val="3E946E66"/>
    <w:rsid w:val="3EB64B69"/>
    <w:rsid w:val="3ED951C1"/>
    <w:rsid w:val="3EFB6376"/>
    <w:rsid w:val="3F875BFF"/>
    <w:rsid w:val="3FBA1B9C"/>
    <w:rsid w:val="3FC32955"/>
    <w:rsid w:val="3FED60C4"/>
    <w:rsid w:val="401F30A7"/>
    <w:rsid w:val="4050332A"/>
    <w:rsid w:val="4082665E"/>
    <w:rsid w:val="40954D20"/>
    <w:rsid w:val="40AD2461"/>
    <w:rsid w:val="40BA4B7E"/>
    <w:rsid w:val="40CC4C3A"/>
    <w:rsid w:val="40D566D8"/>
    <w:rsid w:val="40E43497"/>
    <w:rsid w:val="410B7759"/>
    <w:rsid w:val="418A395B"/>
    <w:rsid w:val="4207062B"/>
    <w:rsid w:val="422A3998"/>
    <w:rsid w:val="42366486"/>
    <w:rsid w:val="425A6618"/>
    <w:rsid w:val="429F227D"/>
    <w:rsid w:val="429F3390"/>
    <w:rsid w:val="42B21F0C"/>
    <w:rsid w:val="42B850ED"/>
    <w:rsid w:val="42CD6DEA"/>
    <w:rsid w:val="433A3E09"/>
    <w:rsid w:val="433E322A"/>
    <w:rsid w:val="435F12BD"/>
    <w:rsid w:val="43AB3F01"/>
    <w:rsid w:val="44055F4E"/>
    <w:rsid w:val="44F468B0"/>
    <w:rsid w:val="4521341D"/>
    <w:rsid w:val="456450B8"/>
    <w:rsid w:val="45B85B30"/>
    <w:rsid w:val="45BB265C"/>
    <w:rsid w:val="45C55E2C"/>
    <w:rsid w:val="45CB1E22"/>
    <w:rsid w:val="45D606DC"/>
    <w:rsid w:val="45D65FB6"/>
    <w:rsid w:val="469C7200"/>
    <w:rsid w:val="46AF3AC9"/>
    <w:rsid w:val="474941BD"/>
    <w:rsid w:val="47503B46"/>
    <w:rsid w:val="475A67AA"/>
    <w:rsid w:val="478832E0"/>
    <w:rsid w:val="47BC742D"/>
    <w:rsid w:val="47E367DC"/>
    <w:rsid w:val="47F95160"/>
    <w:rsid w:val="48B545A9"/>
    <w:rsid w:val="48D903AC"/>
    <w:rsid w:val="48EC5AF0"/>
    <w:rsid w:val="49182876"/>
    <w:rsid w:val="49261002"/>
    <w:rsid w:val="49444BE7"/>
    <w:rsid w:val="49630B49"/>
    <w:rsid w:val="49A102E9"/>
    <w:rsid w:val="49A95790"/>
    <w:rsid w:val="49C67F79"/>
    <w:rsid w:val="49CC7349"/>
    <w:rsid w:val="49D547D7"/>
    <w:rsid w:val="49D913E0"/>
    <w:rsid w:val="49D94700"/>
    <w:rsid w:val="49E05655"/>
    <w:rsid w:val="4A8A3813"/>
    <w:rsid w:val="4AEE2607"/>
    <w:rsid w:val="4AEE38D3"/>
    <w:rsid w:val="4B052E99"/>
    <w:rsid w:val="4B613A78"/>
    <w:rsid w:val="4B643BD4"/>
    <w:rsid w:val="4B874776"/>
    <w:rsid w:val="4BD54C5F"/>
    <w:rsid w:val="4BE01C54"/>
    <w:rsid w:val="4C3049AB"/>
    <w:rsid w:val="4C927E9E"/>
    <w:rsid w:val="4CA02E7A"/>
    <w:rsid w:val="4CDB0356"/>
    <w:rsid w:val="4DBE3EFF"/>
    <w:rsid w:val="4DE64E8D"/>
    <w:rsid w:val="4DEB45C9"/>
    <w:rsid w:val="4E182C90"/>
    <w:rsid w:val="4E6D0384"/>
    <w:rsid w:val="4EA040E4"/>
    <w:rsid w:val="4EA0721A"/>
    <w:rsid w:val="4EAD5D22"/>
    <w:rsid w:val="4EF120B3"/>
    <w:rsid w:val="4F2840E6"/>
    <w:rsid w:val="4F38401A"/>
    <w:rsid w:val="4F4659F3"/>
    <w:rsid w:val="4F4B10B2"/>
    <w:rsid w:val="4F596D5B"/>
    <w:rsid w:val="4FF97471"/>
    <w:rsid w:val="50840A87"/>
    <w:rsid w:val="509379B9"/>
    <w:rsid w:val="50A82C45"/>
    <w:rsid w:val="50AE11DD"/>
    <w:rsid w:val="51317D65"/>
    <w:rsid w:val="522321A3"/>
    <w:rsid w:val="523560D6"/>
    <w:rsid w:val="52674866"/>
    <w:rsid w:val="527A401D"/>
    <w:rsid w:val="52B15D06"/>
    <w:rsid w:val="52B72D1B"/>
    <w:rsid w:val="52E127ED"/>
    <w:rsid w:val="52FD6523"/>
    <w:rsid w:val="53211B74"/>
    <w:rsid w:val="53316B2B"/>
    <w:rsid w:val="534E1882"/>
    <w:rsid w:val="539D3442"/>
    <w:rsid w:val="545A0816"/>
    <w:rsid w:val="546D5D37"/>
    <w:rsid w:val="5472334E"/>
    <w:rsid w:val="547D1CF3"/>
    <w:rsid w:val="549E05E7"/>
    <w:rsid w:val="54ED35AA"/>
    <w:rsid w:val="551B39E5"/>
    <w:rsid w:val="55777228"/>
    <w:rsid w:val="55813BC5"/>
    <w:rsid w:val="562B4DF0"/>
    <w:rsid w:val="562C5A69"/>
    <w:rsid w:val="5647080A"/>
    <w:rsid w:val="564E7DEA"/>
    <w:rsid w:val="565C5AA9"/>
    <w:rsid w:val="567B424B"/>
    <w:rsid w:val="568437F3"/>
    <w:rsid w:val="56984E0A"/>
    <w:rsid w:val="576D5D74"/>
    <w:rsid w:val="57CA34A1"/>
    <w:rsid w:val="580F25F1"/>
    <w:rsid w:val="58400A6E"/>
    <w:rsid w:val="58CD3249"/>
    <w:rsid w:val="58E862D4"/>
    <w:rsid w:val="5975743C"/>
    <w:rsid w:val="598A4F96"/>
    <w:rsid w:val="598C3104"/>
    <w:rsid w:val="59A52878"/>
    <w:rsid w:val="59B77A55"/>
    <w:rsid w:val="5A007EC4"/>
    <w:rsid w:val="5A587827"/>
    <w:rsid w:val="5A61214D"/>
    <w:rsid w:val="5A920D5A"/>
    <w:rsid w:val="5B140904"/>
    <w:rsid w:val="5B4D241F"/>
    <w:rsid w:val="5BCD4E97"/>
    <w:rsid w:val="5BF20521"/>
    <w:rsid w:val="5C5120BF"/>
    <w:rsid w:val="5CB62246"/>
    <w:rsid w:val="5CBB6325"/>
    <w:rsid w:val="5CDA25E8"/>
    <w:rsid w:val="5CDE29AA"/>
    <w:rsid w:val="5CF54B1C"/>
    <w:rsid w:val="5D2709F5"/>
    <w:rsid w:val="5D290D12"/>
    <w:rsid w:val="5D9308B6"/>
    <w:rsid w:val="5D9357D8"/>
    <w:rsid w:val="5D9500AD"/>
    <w:rsid w:val="5E187611"/>
    <w:rsid w:val="5E2D7753"/>
    <w:rsid w:val="5E3E0745"/>
    <w:rsid w:val="5E9D3BBE"/>
    <w:rsid w:val="5EC549C2"/>
    <w:rsid w:val="5EEC63F2"/>
    <w:rsid w:val="5F6C32F2"/>
    <w:rsid w:val="5F9E593F"/>
    <w:rsid w:val="5FC15189"/>
    <w:rsid w:val="60820DBC"/>
    <w:rsid w:val="60976869"/>
    <w:rsid w:val="60B8658C"/>
    <w:rsid w:val="60CB2763"/>
    <w:rsid w:val="60DF6597"/>
    <w:rsid w:val="61292BC0"/>
    <w:rsid w:val="619C7C5C"/>
    <w:rsid w:val="61BE74A3"/>
    <w:rsid w:val="62641BCE"/>
    <w:rsid w:val="62A52B40"/>
    <w:rsid w:val="62AC2121"/>
    <w:rsid w:val="62BD432E"/>
    <w:rsid w:val="62DD22DA"/>
    <w:rsid w:val="62E713AB"/>
    <w:rsid w:val="62F1290C"/>
    <w:rsid w:val="630E2DDB"/>
    <w:rsid w:val="634361BD"/>
    <w:rsid w:val="637846F9"/>
    <w:rsid w:val="63B84AF5"/>
    <w:rsid w:val="63C27253"/>
    <w:rsid w:val="63DF50FF"/>
    <w:rsid w:val="63F61DC8"/>
    <w:rsid w:val="642D7291"/>
    <w:rsid w:val="65F227C2"/>
    <w:rsid w:val="662C560B"/>
    <w:rsid w:val="66453DB2"/>
    <w:rsid w:val="668F4233"/>
    <w:rsid w:val="66AB26EF"/>
    <w:rsid w:val="66B2453A"/>
    <w:rsid w:val="673E185F"/>
    <w:rsid w:val="68115D74"/>
    <w:rsid w:val="68631316"/>
    <w:rsid w:val="68701E42"/>
    <w:rsid w:val="68B95597"/>
    <w:rsid w:val="68CB6EF0"/>
    <w:rsid w:val="68F77E6E"/>
    <w:rsid w:val="69692948"/>
    <w:rsid w:val="69DC2875"/>
    <w:rsid w:val="6A525FCF"/>
    <w:rsid w:val="6AA57970"/>
    <w:rsid w:val="6ACB0418"/>
    <w:rsid w:val="6B7216AE"/>
    <w:rsid w:val="6BB34520"/>
    <w:rsid w:val="6BF012D0"/>
    <w:rsid w:val="6C042E05"/>
    <w:rsid w:val="6C21592D"/>
    <w:rsid w:val="6C581FF4"/>
    <w:rsid w:val="6C90660F"/>
    <w:rsid w:val="6CB57E24"/>
    <w:rsid w:val="6CB84EC0"/>
    <w:rsid w:val="6CDD2F12"/>
    <w:rsid w:val="6CEC6DB2"/>
    <w:rsid w:val="6D346605"/>
    <w:rsid w:val="6D3E083B"/>
    <w:rsid w:val="6D491F9B"/>
    <w:rsid w:val="6DC742B3"/>
    <w:rsid w:val="6DE02D6B"/>
    <w:rsid w:val="6E0C50AB"/>
    <w:rsid w:val="6E1F1A89"/>
    <w:rsid w:val="6E391F20"/>
    <w:rsid w:val="6E52533A"/>
    <w:rsid w:val="6E5D5501"/>
    <w:rsid w:val="6E8B1784"/>
    <w:rsid w:val="6EDA1DC4"/>
    <w:rsid w:val="6F3962AE"/>
    <w:rsid w:val="6F573414"/>
    <w:rsid w:val="6F83722C"/>
    <w:rsid w:val="6FDB5DF3"/>
    <w:rsid w:val="704C3761"/>
    <w:rsid w:val="70E51775"/>
    <w:rsid w:val="712D267F"/>
    <w:rsid w:val="71325EE7"/>
    <w:rsid w:val="715B0081"/>
    <w:rsid w:val="718912BA"/>
    <w:rsid w:val="71A05546"/>
    <w:rsid w:val="71AA3CCF"/>
    <w:rsid w:val="724208EB"/>
    <w:rsid w:val="72662FF9"/>
    <w:rsid w:val="726C5429"/>
    <w:rsid w:val="726E5F49"/>
    <w:rsid w:val="727128B9"/>
    <w:rsid w:val="733E5017"/>
    <w:rsid w:val="73693EA2"/>
    <w:rsid w:val="73760F3F"/>
    <w:rsid w:val="737B128B"/>
    <w:rsid w:val="73A526C4"/>
    <w:rsid w:val="73B1017F"/>
    <w:rsid w:val="73B537CD"/>
    <w:rsid w:val="73C117A4"/>
    <w:rsid w:val="73D634A1"/>
    <w:rsid w:val="73F90B45"/>
    <w:rsid w:val="74195B1D"/>
    <w:rsid w:val="74243C19"/>
    <w:rsid w:val="74691D0C"/>
    <w:rsid w:val="74DD779B"/>
    <w:rsid w:val="750477D6"/>
    <w:rsid w:val="753003D8"/>
    <w:rsid w:val="75ED04B3"/>
    <w:rsid w:val="76355799"/>
    <w:rsid w:val="76424E1E"/>
    <w:rsid w:val="76E7074E"/>
    <w:rsid w:val="77163BB5"/>
    <w:rsid w:val="7718792D"/>
    <w:rsid w:val="77244524"/>
    <w:rsid w:val="77381815"/>
    <w:rsid w:val="773B361B"/>
    <w:rsid w:val="77813179"/>
    <w:rsid w:val="77E339D2"/>
    <w:rsid w:val="77E837A3"/>
    <w:rsid w:val="78281DF2"/>
    <w:rsid w:val="786F5C73"/>
    <w:rsid w:val="78760647"/>
    <w:rsid w:val="78A201EC"/>
    <w:rsid w:val="78AF1092"/>
    <w:rsid w:val="792A2638"/>
    <w:rsid w:val="79AA37B3"/>
    <w:rsid w:val="79BF0534"/>
    <w:rsid w:val="79E444FD"/>
    <w:rsid w:val="79FD4B66"/>
    <w:rsid w:val="7A280D7B"/>
    <w:rsid w:val="7A3F0D0F"/>
    <w:rsid w:val="7A6510DB"/>
    <w:rsid w:val="7ABB1B89"/>
    <w:rsid w:val="7AFD71E3"/>
    <w:rsid w:val="7B106FFF"/>
    <w:rsid w:val="7B3F680F"/>
    <w:rsid w:val="7B7344E8"/>
    <w:rsid w:val="7B85747A"/>
    <w:rsid w:val="7B8F2BB8"/>
    <w:rsid w:val="7BC316F7"/>
    <w:rsid w:val="7BC84D09"/>
    <w:rsid w:val="7BE02E20"/>
    <w:rsid w:val="7C44364E"/>
    <w:rsid w:val="7C5B7726"/>
    <w:rsid w:val="7C947A32"/>
    <w:rsid w:val="7C9E6B26"/>
    <w:rsid w:val="7CEF6C6B"/>
    <w:rsid w:val="7CF15A77"/>
    <w:rsid w:val="7D20753B"/>
    <w:rsid w:val="7D9C2143"/>
    <w:rsid w:val="7DBF6D54"/>
    <w:rsid w:val="7E2E2619"/>
    <w:rsid w:val="7E3547AD"/>
    <w:rsid w:val="7E3570E2"/>
    <w:rsid w:val="7E461224"/>
    <w:rsid w:val="7E464632"/>
    <w:rsid w:val="7E5A1441"/>
    <w:rsid w:val="7E5C0A47"/>
    <w:rsid w:val="7E657ECE"/>
    <w:rsid w:val="7EB60CAA"/>
    <w:rsid w:val="7EB8586B"/>
    <w:rsid w:val="7EEF5DC2"/>
    <w:rsid w:val="7F222950"/>
    <w:rsid w:val="7F2826D7"/>
    <w:rsid w:val="7F3B065C"/>
    <w:rsid w:val="7F5E434B"/>
    <w:rsid w:val="7F6776A3"/>
    <w:rsid w:val="7FC93EBA"/>
    <w:rsid w:val="7FCC6F66"/>
    <w:rsid w:val="7FDB599C"/>
    <w:rsid w:val="7FDD55F1"/>
    <w:rsid w:val="7FEC04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99"/>
    <w:pPr>
      <w:keepNext/>
      <w:keepLines/>
      <w:spacing w:before="260" w:after="260" w:line="413" w:lineRule="auto"/>
      <w:outlineLvl w:val="1"/>
    </w:pPr>
    <w:rPr>
      <w:rFonts w:ascii="Arial" w:hAnsi="Arial" w:eastAsia="黑体"/>
      <w:b/>
      <w:sz w:val="32"/>
    </w:rPr>
  </w:style>
  <w:style w:type="paragraph" w:styleId="4">
    <w:name w:val="heading 3"/>
    <w:basedOn w:val="1"/>
    <w:next w:val="1"/>
    <w:link w:val="40"/>
    <w:qFormat/>
    <w:uiPriority w:val="0"/>
    <w:pPr>
      <w:keepNext/>
      <w:keepLines/>
      <w:spacing w:line="413" w:lineRule="auto"/>
      <w:outlineLvl w:val="2"/>
    </w:pPr>
    <w:rPr>
      <w:b/>
    </w:rPr>
  </w:style>
  <w:style w:type="paragraph" w:styleId="5">
    <w:name w:val="heading 4"/>
    <w:basedOn w:val="1"/>
    <w:next w:val="1"/>
    <w:link w:val="41"/>
    <w:qFormat/>
    <w:uiPriority w:val="99"/>
    <w:pPr>
      <w:keepNext/>
      <w:keepLines/>
      <w:spacing w:before="280" w:after="290" w:line="376" w:lineRule="auto"/>
      <w:outlineLvl w:val="3"/>
    </w:pPr>
    <w:rPr>
      <w:rFonts w:ascii="Calibri Light" w:hAnsi="Calibri Light"/>
      <w:b/>
      <w:bCs/>
      <w:sz w:val="28"/>
      <w:szCs w:val="28"/>
    </w:rPr>
  </w:style>
  <w:style w:type="paragraph" w:styleId="6">
    <w:name w:val="heading 5"/>
    <w:basedOn w:val="1"/>
    <w:next w:val="1"/>
    <w:link w:val="42"/>
    <w:qFormat/>
    <w:uiPriority w:val="99"/>
    <w:pPr>
      <w:keepNext/>
      <w:keepLines/>
      <w:spacing w:before="280" w:after="290" w:line="376" w:lineRule="auto"/>
      <w:outlineLvl w:val="4"/>
    </w:pPr>
    <w:rPr>
      <w:b/>
      <w:bCs/>
      <w:sz w:val="28"/>
      <w:szCs w:val="28"/>
    </w:rPr>
  </w:style>
  <w:style w:type="paragraph" w:styleId="7">
    <w:name w:val="heading 6"/>
    <w:basedOn w:val="1"/>
    <w:next w:val="1"/>
    <w:link w:val="43"/>
    <w:qFormat/>
    <w:uiPriority w:val="99"/>
    <w:pPr>
      <w:keepNext/>
      <w:keepLines/>
      <w:spacing w:before="240" w:after="64" w:line="320" w:lineRule="auto"/>
      <w:outlineLvl w:val="5"/>
    </w:pPr>
    <w:rPr>
      <w:rFonts w:ascii="Calibri Light" w:hAnsi="Calibri Light"/>
      <w:b/>
      <w:bCs/>
      <w:sz w:val="24"/>
      <w:szCs w:val="24"/>
    </w:rPr>
  </w:style>
  <w:style w:type="paragraph" w:styleId="8">
    <w:name w:val="heading 7"/>
    <w:basedOn w:val="1"/>
    <w:next w:val="1"/>
    <w:link w:val="44"/>
    <w:qFormat/>
    <w:uiPriority w:val="99"/>
    <w:pPr>
      <w:keepNext/>
      <w:keepLines/>
      <w:spacing w:before="240" w:after="64" w:line="320" w:lineRule="auto"/>
      <w:outlineLvl w:val="6"/>
    </w:pPr>
    <w:rPr>
      <w:b/>
      <w:bCs/>
      <w:sz w:val="24"/>
      <w:szCs w:val="24"/>
    </w:rPr>
  </w:style>
  <w:style w:type="paragraph" w:styleId="9">
    <w:name w:val="heading 8"/>
    <w:basedOn w:val="1"/>
    <w:next w:val="1"/>
    <w:link w:val="45"/>
    <w:qFormat/>
    <w:uiPriority w:val="99"/>
    <w:pPr>
      <w:keepNext/>
      <w:keepLines/>
      <w:spacing w:before="240" w:after="64" w:line="320" w:lineRule="auto"/>
      <w:outlineLvl w:val="7"/>
    </w:pPr>
    <w:rPr>
      <w:rFonts w:ascii="Calibri Light" w:hAnsi="Calibri Light"/>
      <w:sz w:val="24"/>
      <w:szCs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next w:val="1"/>
    <w:link w:val="52"/>
    <w:qFormat/>
    <w:uiPriority w:val="0"/>
    <w:pPr>
      <w:ind w:firstLine="420"/>
    </w:pPr>
    <w:rPr>
      <w:rFonts w:ascii="Times New Roman" w:hAnsi="Times New Roman"/>
      <w:szCs w:val="21"/>
    </w:rPr>
  </w:style>
  <w:style w:type="paragraph" w:styleId="11">
    <w:name w:val="toa heading"/>
    <w:basedOn w:val="1"/>
    <w:next w:val="1"/>
    <w:qFormat/>
    <w:uiPriority w:val="0"/>
    <w:pPr>
      <w:spacing w:before="120"/>
    </w:pPr>
    <w:rPr>
      <w:rFonts w:ascii="Cambria" w:hAnsi="Cambria"/>
      <w:sz w:val="24"/>
    </w:rPr>
  </w:style>
  <w:style w:type="paragraph" w:styleId="12">
    <w:name w:val="Body Text"/>
    <w:basedOn w:val="1"/>
    <w:next w:val="13"/>
    <w:link w:val="51"/>
    <w:qFormat/>
    <w:uiPriority w:val="1"/>
    <w:pPr>
      <w:spacing w:before="13"/>
    </w:pPr>
    <w:rPr>
      <w:rFonts w:ascii="宋体" w:hAnsi="宋体" w:cs="宋体"/>
      <w:sz w:val="28"/>
      <w:szCs w:val="28"/>
      <w:lang w:val="zh-CN" w:bidi="zh-CN"/>
    </w:rPr>
  </w:style>
  <w:style w:type="paragraph" w:customStyle="1" w:styleId="13">
    <w:name w:val="Default"/>
    <w:basedOn w:val="14"/>
    <w:next w:val="2"/>
    <w:qFormat/>
    <w:uiPriority w:val="0"/>
    <w:pPr>
      <w:widowControl w:val="0"/>
      <w:autoSpaceDE w:val="0"/>
      <w:autoSpaceDN w:val="0"/>
    </w:pPr>
    <w:rPr>
      <w:rFonts w:hint="eastAsia" w:ascii="黑体" w:hAnsi="黑体" w:eastAsia="黑体" w:cs="Times New Roman"/>
      <w:color w:val="000000"/>
      <w:sz w:val="24"/>
      <w:lang w:val="en-US" w:eastAsia="zh-CN" w:bidi="ar-SA"/>
    </w:rPr>
  </w:style>
  <w:style w:type="paragraph" w:styleId="14">
    <w:name w:val="Title"/>
    <w:basedOn w:val="1"/>
    <w:next w:val="1"/>
    <w:qFormat/>
    <w:uiPriority w:val="0"/>
    <w:pPr>
      <w:spacing w:before="240" w:after="60"/>
      <w:jc w:val="center"/>
      <w:outlineLvl w:val="0"/>
    </w:pPr>
    <w:rPr>
      <w:rFonts w:ascii="Cambria" w:hAnsi="Cambria"/>
      <w:b/>
      <w:sz w:val="32"/>
    </w:rPr>
  </w:style>
  <w:style w:type="paragraph" w:styleId="15">
    <w:name w:val="Body Text Indent"/>
    <w:basedOn w:val="1"/>
    <w:next w:val="13"/>
    <w:qFormat/>
    <w:uiPriority w:val="0"/>
    <w:pPr>
      <w:spacing w:after="120"/>
      <w:ind w:left="420" w:leftChars="200"/>
    </w:pPr>
  </w:style>
  <w:style w:type="paragraph" w:styleId="16">
    <w:name w:val="toc 3"/>
    <w:basedOn w:val="1"/>
    <w:next w:val="1"/>
    <w:unhideWhenUsed/>
    <w:qFormat/>
    <w:uiPriority w:val="39"/>
    <w:pPr>
      <w:ind w:left="840" w:leftChars="400"/>
    </w:pPr>
  </w:style>
  <w:style w:type="paragraph" w:styleId="17">
    <w:name w:val="Plain Text"/>
    <w:basedOn w:val="1"/>
    <w:link w:val="46"/>
    <w:qFormat/>
    <w:uiPriority w:val="99"/>
    <w:rPr>
      <w:rFonts w:ascii="宋体" w:hAnsi="Courier New" w:cs="Courier New"/>
      <w:szCs w:val="21"/>
    </w:rPr>
  </w:style>
  <w:style w:type="paragraph" w:styleId="18">
    <w:name w:val="Balloon Text"/>
    <w:basedOn w:val="1"/>
    <w:link w:val="49"/>
    <w:unhideWhenUsed/>
    <w:qFormat/>
    <w:uiPriority w:val="0"/>
    <w:rPr>
      <w:sz w:val="18"/>
      <w:szCs w:val="18"/>
    </w:rPr>
  </w:style>
  <w:style w:type="paragraph" w:styleId="19">
    <w:name w:val="footer"/>
    <w:basedOn w:val="1"/>
    <w:link w:val="37"/>
    <w:unhideWhenUsed/>
    <w:qFormat/>
    <w:uiPriority w:val="99"/>
    <w:pPr>
      <w:tabs>
        <w:tab w:val="center" w:pos="4153"/>
        <w:tab w:val="right" w:pos="8306"/>
      </w:tabs>
      <w:snapToGrid w:val="0"/>
      <w:jc w:val="left"/>
    </w:pPr>
    <w:rPr>
      <w:sz w:val="18"/>
      <w:szCs w:val="18"/>
    </w:rPr>
  </w:style>
  <w:style w:type="paragraph" w:styleId="20">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footnote text"/>
    <w:basedOn w:val="1"/>
    <w:qFormat/>
    <w:uiPriority w:val="99"/>
    <w:pPr>
      <w:snapToGrid w:val="0"/>
      <w:jc w:val="left"/>
    </w:pPr>
    <w:rPr>
      <w:sz w:val="18"/>
    </w:rPr>
  </w:style>
  <w:style w:type="paragraph" w:styleId="23">
    <w:name w:val="toc 6"/>
    <w:basedOn w:val="1"/>
    <w:next w:val="1"/>
    <w:qFormat/>
    <w:uiPriority w:val="0"/>
    <w:pPr>
      <w:ind w:left="1050"/>
      <w:jc w:val="left"/>
    </w:pPr>
    <w:rPr>
      <w:sz w:val="18"/>
      <w:szCs w:val="18"/>
    </w:rPr>
  </w:style>
  <w:style w:type="paragraph" w:styleId="24">
    <w:name w:val="toc 2"/>
    <w:basedOn w:val="1"/>
    <w:next w:val="1"/>
    <w:unhideWhenUsed/>
    <w:qFormat/>
    <w:uiPriority w:val="39"/>
    <w:pPr>
      <w:ind w:left="420" w:leftChars="200"/>
    </w:pPr>
  </w:style>
  <w:style w:type="paragraph" w:styleId="25">
    <w:name w:val="Body Text 2"/>
    <w:basedOn w:val="1"/>
    <w:qFormat/>
    <w:uiPriority w:val="0"/>
    <w:pPr>
      <w:spacing w:after="120" w:line="480" w:lineRule="auto"/>
    </w:pPr>
  </w:style>
  <w:style w:type="paragraph" w:styleId="26">
    <w:name w:val="HTML Preformatted"/>
    <w:basedOn w:val="1"/>
    <w:qFormat/>
    <w:uiPriority w:val="0"/>
    <w:pPr>
      <w:widowControl/>
      <w:spacing w:line="360" w:lineRule="auto"/>
    </w:pPr>
    <w:rPr>
      <w:rFonts w:ascii="Courier New" w:hAnsi="Courier New"/>
      <w:sz w:val="20"/>
      <w:szCs w:val="20"/>
    </w:rPr>
  </w:style>
  <w:style w:type="paragraph" w:styleId="27">
    <w:name w:val="Normal (Web)"/>
    <w:basedOn w:val="1"/>
    <w:qFormat/>
    <w:uiPriority w:val="0"/>
    <w:rPr>
      <w:rFonts w:ascii="Times New Roman" w:hAnsi="Times New Roman"/>
      <w:sz w:val="24"/>
      <w:szCs w:val="24"/>
    </w:rPr>
  </w:style>
  <w:style w:type="paragraph" w:styleId="28">
    <w:name w:val="Body Text First Indent"/>
    <w:basedOn w:val="12"/>
    <w:next w:val="23"/>
    <w:qFormat/>
    <w:uiPriority w:val="0"/>
    <w:pPr>
      <w:ind w:firstLine="420" w:firstLineChars="100"/>
    </w:pPr>
    <w:rPr>
      <w:rFonts w:ascii="Arial" w:hAnsi="Arial"/>
    </w:rPr>
  </w:style>
  <w:style w:type="paragraph" w:styleId="29">
    <w:name w:val="Body Text First Indent 2"/>
    <w:basedOn w:val="15"/>
    <w:qFormat/>
    <w:uiPriority w:val="0"/>
    <w:pPr>
      <w:ind w:firstLine="420" w:firstLineChars="200"/>
    </w:pPr>
    <w:rPr>
      <w:kern w:val="0"/>
      <w:sz w:val="20"/>
      <w:szCs w:val="24"/>
    </w:rPr>
  </w:style>
  <w:style w:type="table" w:styleId="31">
    <w:name w:val="Table Grid"/>
    <w:basedOn w:val="3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basedOn w:val="32"/>
    <w:qFormat/>
    <w:uiPriority w:val="0"/>
    <w:rPr>
      <w:b/>
      <w:bCs/>
    </w:rPr>
  </w:style>
  <w:style w:type="character" w:styleId="34">
    <w:name w:val="page number"/>
    <w:basedOn w:val="32"/>
    <w:qFormat/>
    <w:uiPriority w:val="0"/>
  </w:style>
  <w:style w:type="character" w:styleId="35">
    <w:name w:val="Hyperlink"/>
    <w:basedOn w:val="32"/>
    <w:unhideWhenUsed/>
    <w:qFormat/>
    <w:uiPriority w:val="99"/>
    <w:rPr>
      <w:color w:val="0000FF" w:themeColor="hyperlink"/>
      <w:u w:val="single"/>
    </w:rPr>
  </w:style>
  <w:style w:type="character" w:customStyle="1" w:styleId="36">
    <w:name w:val="页眉 Char"/>
    <w:basedOn w:val="32"/>
    <w:link w:val="20"/>
    <w:qFormat/>
    <w:uiPriority w:val="99"/>
    <w:rPr>
      <w:sz w:val="18"/>
      <w:szCs w:val="18"/>
    </w:rPr>
  </w:style>
  <w:style w:type="character" w:customStyle="1" w:styleId="37">
    <w:name w:val="页脚 Char"/>
    <w:basedOn w:val="32"/>
    <w:link w:val="19"/>
    <w:qFormat/>
    <w:uiPriority w:val="99"/>
    <w:rPr>
      <w:sz w:val="18"/>
      <w:szCs w:val="18"/>
    </w:rPr>
  </w:style>
  <w:style w:type="character" w:customStyle="1" w:styleId="38">
    <w:name w:val="标题 1 Char"/>
    <w:basedOn w:val="32"/>
    <w:link w:val="2"/>
    <w:qFormat/>
    <w:uiPriority w:val="99"/>
    <w:rPr>
      <w:rFonts w:ascii="Calibri" w:hAnsi="Calibri" w:eastAsia="宋体" w:cs="Times New Roman"/>
      <w:b/>
      <w:bCs/>
      <w:kern w:val="44"/>
      <w:sz w:val="44"/>
      <w:szCs w:val="44"/>
    </w:rPr>
  </w:style>
  <w:style w:type="character" w:customStyle="1" w:styleId="39">
    <w:name w:val="标题 2 Char"/>
    <w:basedOn w:val="32"/>
    <w:link w:val="3"/>
    <w:qFormat/>
    <w:uiPriority w:val="99"/>
    <w:rPr>
      <w:rFonts w:ascii="Arial" w:hAnsi="Arial" w:eastAsia="黑体" w:cs="Times New Roman"/>
      <w:b/>
      <w:sz w:val="32"/>
    </w:rPr>
  </w:style>
  <w:style w:type="character" w:customStyle="1" w:styleId="40">
    <w:name w:val="标题 3 Char"/>
    <w:basedOn w:val="32"/>
    <w:link w:val="4"/>
    <w:qFormat/>
    <w:uiPriority w:val="0"/>
    <w:rPr>
      <w:rFonts w:ascii="Calibri" w:hAnsi="Calibri" w:eastAsia="宋体" w:cs="Times New Roman"/>
      <w:b/>
      <w:kern w:val="2"/>
      <w:sz w:val="21"/>
      <w:szCs w:val="22"/>
    </w:rPr>
  </w:style>
  <w:style w:type="character" w:customStyle="1" w:styleId="41">
    <w:name w:val="标题 4 Char"/>
    <w:basedOn w:val="32"/>
    <w:link w:val="5"/>
    <w:qFormat/>
    <w:uiPriority w:val="99"/>
    <w:rPr>
      <w:rFonts w:ascii="Calibri Light" w:hAnsi="Calibri Light" w:eastAsia="宋体" w:cs="Times New Roman"/>
      <w:b/>
      <w:bCs/>
      <w:sz w:val="28"/>
      <w:szCs w:val="28"/>
    </w:rPr>
  </w:style>
  <w:style w:type="character" w:customStyle="1" w:styleId="42">
    <w:name w:val="标题 5 Char"/>
    <w:basedOn w:val="32"/>
    <w:link w:val="6"/>
    <w:qFormat/>
    <w:uiPriority w:val="99"/>
    <w:rPr>
      <w:rFonts w:ascii="Calibri" w:hAnsi="Calibri" w:eastAsia="宋体" w:cs="Times New Roman"/>
      <w:b/>
      <w:bCs/>
      <w:sz w:val="28"/>
      <w:szCs w:val="28"/>
    </w:rPr>
  </w:style>
  <w:style w:type="character" w:customStyle="1" w:styleId="43">
    <w:name w:val="标题 6 Char"/>
    <w:basedOn w:val="32"/>
    <w:link w:val="7"/>
    <w:qFormat/>
    <w:uiPriority w:val="99"/>
    <w:rPr>
      <w:rFonts w:ascii="Calibri Light" w:hAnsi="Calibri Light" w:eastAsia="宋体" w:cs="Times New Roman"/>
      <w:b/>
      <w:bCs/>
      <w:sz w:val="24"/>
      <w:szCs w:val="24"/>
    </w:rPr>
  </w:style>
  <w:style w:type="character" w:customStyle="1" w:styleId="44">
    <w:name w:val="标题 7 Char"/>
    <w:basedOn w:val="32"/>
    <w:link w:val="8"/>
    <w:qFormat/>
    <w:uiPriority w:val="99"/>
    <w:rPr>
      <w:rFonts w:ascii="Calibri" w:hAnsi="Calibri" w:eastAsia="宋体" w:cs="Times New Roman"/>
      <w:b/>
      <w:bCs/>
      <w:sz w:val="24"/>
      <w:szCs w:val="24"/>
    </w:rPr>
  </w:style>
  <w:style w:type="character" w:customStyle="1" w:styleId="45">
    <w:name w:val="标题 8 Char"/>
    <w:basedOn w:val="32"/>
    <w:link w:val="9"/>
    <w:qFormat/>
    <w:uiPriority w:val="99"/>
    <w:rPr>
      <w:rFonts w:ascii="Calibri Light" w:hAnsi="Calibri Light" w:eastAsia="宋体" w:cs="Times New Roman"/>
      <w:sz w:val="24"/>
      <w:szCs w:val="24"/>
    </w:rPr>
  </w:style>
  <w:style w:type="character" w:customStyle="1" w:styleId="46">
    <w:name w:val="纯文本 Char"/>
    <w:basedOn w:val="32"/>
    <w:link w:val="17"/>
    <w:qFormat/>
    <w:uiPriority w:val="99"/>
    <w:rPr>
      <w:rFonts w:ascii="宋体" w:hAnsi="Courier New" w:eastAsia="宋体" w:cs="Courier New"/>
      <w:szCs w:val="21"/>
    </w:rPr>
  </w:style>
  <w:style w:type="paragraph" w:styleId="47">
    <w:name w:val="List Paragraph"/>
    <w:basedOn w:val="1"/>
    <w:unhideWhenUsed/>
    <w:qFormat/>
    <w:uiPriority w:val="99"/>
    <w:pPr>
      <w:ind w:firstLine="420" w:firstLineChars="200"/>
    </w:pPr>
  </w:style>
  <w:style w:type="paragraph" w:customStyle="1" w:styleId="48">
    <w:name w:val="样式1"/>
    <w:basedOn w:val="1"/>
    <w:qFormat/>
    <w:uiPriority w:val="0"/>
    <w:pPr>
      <w:tabs>
        <w:tab w:val="left" w:pos="480"/>
      </w:tabs>
      <w:adjustRightInd w:val="0"/>
      <w:ind w:left="480" w:hanging="480"/>
      <w:textAlignment w:val="baseline"/>
    </w:pPr>
    <w:rPr>
      <w:rFonts w:ascii="宋体" w:hAnsi="宋体"/>
      <w:kern w:val="0"/>
      <w:szCs w:val="21"/>
    </w:rPr>
  </w:style>
  <w:style w:type="character" w:customStyle="1" w:styleId="49">
    <w:name w:val="批注框文本 Char"/>
    <w:basedOn w:val="32"/>
    <w:link w:val="18"/>
    <w:qFormat/>
    <w:uiPriority w:val="0"/>
    <w:rPr>
      <w:rFonts w:ascii="Calibri" w:hAnsi="Calibri" w:eastAsia="宋体" w:cs="Times New Roman"/>
      <w:kern w:val="2"/>
      <w:sz w:val="18"/>
      <w:szCs w:val="18"/>
    </w:rPr>
  </w:style>
  <w:style w:type="paragraph" w:customStyle="1" w:styleId="50">
    <w:name w:val="列出段落1"/>
    <w:basedOn w:val="1"/>
    <w:qFormat/>
    <w:uiPriority w:val="0"/>
    <w:pPr>
      <w:ind w:firstLine="420" w:firstLineChars="200"/>
    </w:pPr>
  </w:style>
  <w:style w:type="character" w:customStyle="1" w:styleId="51">
    <w:name w:val="正文文本 Char"/>
    <w:basedOn w:val="32"/>
    <w:link w:val="12"/>
    <w:qFormat/>
    <w:uiPriority w:val="1"/>
    <w:rPr>
      <w:rFonts w:ascii="宋体" w:hAnsi="宋体" w:eastAsia="宋体" w:cs="宋体"/>
      <w:kern w:val="2"/>
      <w:sz w:val="28"/>
      <w:szCs w:val="28"/>
      <w:lang w:val="zh-CN" w:bidi="zh-CN"/>
    </w:rPr>
  </w:style>
  <w:style w:type="character" w:customStyle="1" w:styleId="52">
    <w:name w:val="正文缩进 Char"/>
    <w:link w:val="10"/>
    <w:qFormat/>
    <w:uiPriority w:val="0"/>
    <w:rPr>
      <w:rFonts w:ascii="Times New Roman" w:hAnsi="Times New Roman" w:eastAsia="宋体" w:cs="Times New Roman"/>
      <w:kern w:val="2"/>
      <w:sz w:val="21"/>
      <w:szCs w:val="21"/>
    </w:rPr>
  </w:style>
  <w:style w:type="character" w:customStyle="1" w:styleId="53">
    <w:name w:val="NormalCharacter"/>
    <w:qFormat/>
    <w:uiPriority w:val="0"/>
    <w:rPr>
      <w:rFonts w:ascii="Times New Roman" w:hAnsi="Times New Roman" w:eastAsia="宋体"/>
    </w:rPr>
  </w:style>
  <w:style w:type="paragraph" w:customStyle="1" w:styleId="54">
    <w:name w:val="WPSOffice手动目录 1"/>
    <w:qFormat/>
    <w:uiPriority w:val="0"/>
    <w:pPr>
      <w:ind w:leftChars="0"/>
    </w:pPr>
    <w:rPr>
      <w:rFonts w:ascii="Times New Roman" w:hAnsi="Times New Roman" w:eastAsia="宋体" w:cs="Times New Roman"/>
      <w:sz w:val="20"/>
      <w:szCs w:val="20"/>
    </w:rPr>
  </w:style>
  <w:style w:type="table" w:customStyle="1" w:styleId="55">
    <w:name w:val="Table Normal"/>
    <w:unhideWhenUsed/>
    <w:qFormat/>
    <w:uiPriority w:val="0"/>
    <w:tblPr>
      <w:tblCellMar>
        <w:top w:w="0" w:type="dxa"/>
        <w:left w:w="0" w:type="dxa"/>
        <w:bottom w:w="0" w:type="dxa"/>
        <w:right w:w="0" w:type="dxa"/>
      </w:tblCellMar>
    </w:tblPr>
  </w:style>
  <w:style w:type="paragraph" w:customStyle="1" w:styleId="56">
    <w:name w:val="样式 首行缩进:  2 字符"/>
    <w:basedOn w:val="1"/>
    <w:qFormat/>
    <w:uiPriority w:val="0"/>
    <w:pPr>
      <w:spacing w:line="400" w:lineRule="exact"/>
      <w:ind w:firstLine="200" w:firstLineChars="200"/>
    </w:pPr>
    <w:rPr>
      <w:sz w:val="24"/>
    </w:rPr>
  </w:style>
  <w:style w:type="paragraph" w:customStyle="1" w:styleId="57">
    <w:name w:val="Table Text"/>
    <w:basedOn w:val="1"/>
    <w:semiHidden/>
    <w:qFormat/>
    <w:uiPriority w:val="0"/>
    <w:rPr>
      <w:rFonts w:ascii="仿宋" w:hAnsi="仿宋" w:eastAsia="仿宋" w:cs="仿宋"/>
      <w:sz w:val="24"/>
      <w:szCs w:val="24"/>
      <w:lang w:val="en-US" w:eastAsia="en-US" w:bidi="ar-SA"/>
    </w:rPr>
  </w:style>
  <w:style w:type="paragraph" w:customStyle="1" w:styleId="5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9">
    <w:name w:val="表内文字"/>
    <w:basedOn w:val="1"/>
    <w:qFormat/>
    <w:uiPriority w:val="0"/>
    <w:pPr>
      <w:tabs>
        <w:tab w:val="left" w:pos="1418"/>
      </w:tabs>
      <w:spacing w:line="360" w:lineRule="auto"/>
      <w:jc w:val="center"/>
    </w:pPr>
    <w:rPr>
      <w:rFonts w:ascii="仿宋_GB2312" w:eastAsia="仿宋_GB2312"/>
      <w:spacing w:val="-20"/>
      <w:kern w:val="0"/>
      <w:sz w:val="24"/>
    </w:rPr>
  </w:style>
  <w:style w:type="character" w:customStyle="1" w:styleId="60">
    <w:name w:val="font01"/>
    <w:basedOn w:val="32"/>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textRotate="1"/>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94DA04-5AD4-4639-8525-F53283E1223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19510</Words>
  <Characters>21277</Characters>
  <Lines>199</Lines>
  <Paragraphs>56</Paragraphs>
  <TotalTime>1</TotalTime>
  <ScaleCrop>false</ScaleCrop>
  <LinksUpToDate>false</LinksUpToDate>
  <CharactersWithSpaces>21579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2021-06-02T10:59:00Z</dcterms:created>
  <dc:creator>lenovo</dc:creator>
  <cp:lastModifiedBy>林霄</cp:lastModifiedBy>
  <cp:lastPrinted>2022-04-29T10:37:00Z</cp:lastPrinted>
  <dcterms:modified xsi:type="dcterms:W3CDTF">2023-11-02T05:10:54Z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1419CE6C8BDD4E5BBD7E6D571EC547B9</vt:lpwstr>
  </property>
  <property fmtid="{D5CDD505-2E9C-101B-9397-08002B2CF9AE}" pid="4" name="commondata">
    <vt:lpwstr>eyJoZGlkIjoiYTc4ZmQzNjM2MGVkMGM0MjMyOWJhYTE2M2U1NDQ0ZjEifQ==</vt:lpwstr>
  </property>
</Properties>
</file>