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utoSpaceDE w:val="0"/>
        <w:autoSpaceDN w:val="0"/>
        <w:adjustRightInd w:val="0"/>
        <w:spacing w:line="500" w:lineRule="exact"/>
        <w:rPr>
          <w:rFonts w:ascii="宋体" w:hAnsi="宋体"/>
          <w:b/>
          <w:color w:val="auto"/>
          <w:kern w:val="0"/>
          <w:sz w:val="36"/>
          <w:szCs w:val="36"/>
          <w:highlight w:val="none"/>
        </w:rPr>
      </w:pPr>
    </w:p>
    <w:p>
      <w:pPr>
        <w:pStyle w:val="22"/>
        <w:shd w:val="clear"/>
        <w:ind w:firstLine="480"/>
        <w:rPr>
          <w:color w:val="auto"/>
          <w:highlight w:val="none"/>
        </w:rPr>
      </w:pPr>
    </w:p>
    <w:p>
      <w:pPr>
        <w:shd w:val="clear"/>
        <w:jc w:val="center"/>
        <w:rPr>
          <w:rFonts w:ascii="宋体" w:hAnsi="宋体"/>
          <w:b/>
          <w:color w:val="auto"/>
          <w:kern w:val="0"/>
          <w:sz w:val="44"/>
          <w:szCs w:val="48"/>
          <w:highlight w:val="none"/>
        </w:rPr>
      </w:pPr>
      <w:r>
        <w:rPr>
          <w:rFonts w:hint="eastAsia" w:ascii="宋体" w:hAnsi="宋体"/>
          <w:b/>
          <w:color w:val="auto"/>
          <w:kern w:val="0"/>
          <w:sz w:val="44"/>
          <w:szCs w:val="48"/>
          <w:highlight w:val="none"/>
        </w:rPr>
        <w:t>新疆医科大学附属肿瘤医院消防设施维护及检测</w:t>
      </w:r>
      <w:r>
        <w:rPr>
          <w:rFonts w:hint="eastAsia" w:ascii="宋体" w:hAnsi="宋体"/>
          <w:b/>
          <w:color w:val="auto"/>
          <w:kern w:val="0"/>
          <w:sz w:val="44"/>
          <w:szCs w:val="48"/>
          <w:highlight w:val="none"/>
        </w:rPr>
        <w:t>项目</w:t>
      </w:r>
      <w:r>
        <w:rPr>
          <w:rFonts w:hint="eastAsia" w:ascii="宋体" w:hAnsi="宋体"/>
          <w:b/>
          <w:color w:val="auto"/>
          <w:kern w:val="0"/>
          <w:sz w:val="44"/>
          <w:szCs w:val="48"/>
          <w:highlight w:val="none"/>
          <w:lang w:eastAsia="zh-CN"/>
        </w:rPr>
        <w:t>（</w:t>
      </w:r>
      <w:r>
        <w:rPr>
          <w:rFonts w:hint="eastAsia" w:ascii="宋体" w:hAnsi="宋体"/>
          <w:b/>
          <w:color w:val="auto"/>
          <w:kern w:val="0"/>
          <w:sz w:val="44"/>
          <w:szCs w:val="48"/>
          <w:highlight w:val="none"/>
          <w:lang w:val="en-US" w:eastAsia="zh-CN"/>
        </w:rPr>
        <w:t>二次</w:t>
      </w:r>
      <w:r>
        <w:rPr>
          <w:rFonts w:hint="eastAsia" w:ascii="宋体" w:hAnsi="宋体"/>
          <w:b/>
          <w:color w:val="auto"/>
          <w:kern w:val="0"/>
          <w:sz w:val="44"/>
          <w:szCs w:val="48"/>
          <w:highlight w:val="none"/>
          <w:lang w:eastAsia="zh-CN"/>
        </w:rPr>
        <w:t>）</w:t>
      </w:r>
      <w:r>
        <w:rPr>
          <w:rFonts w:hint="eastAsia" w:ascii="宋体" w:hAnsi="宋体"/>
          <w:b/>
          <w:color w:val="auto"/>
          <w:kern w:val="0"/>
          <w:sz w:val="44"/>
          <w:szCs w:val="48"/>
          <w:highlight w:val="none"/>
        </w:rPr>
        <w:t>竞争性磋商采购文件</w:t>
      </w:r>
    </w:p>
    <w:p>
      <w:pPr>
        <w:shd w:val="clear"/>
        <w:autoSpaceDE w:val="0"/>
        <w:autoSpaceDN w:val="0"/>
        <w:adjustRightInd w:val="0"/>
        <w:spacing w:line="500" w:lineRule="exact"/>
        <w:jc w:val="center"/>
        <w:rPr>
          <w:rFonts w:ascii="宋体" w:hAnsi="宋体"/>
          <w:b/>
          <w:color w:val="auto"/>
          <w:kern w:val="0"/>
          <w:sz w:val="30"/>
          <w:szCs w:val="30"/>
          <w:highlight w:val="none"/>
        </w:rPr>
      </w:pPr>
    </w:p>
    <w:p>
      <w:pPr>
        <w:shd w:val="clear"/>
        <w:autoSpaceDE w:val="0"/>
        <w:autoSpaceDN w:val="0"/>
        <w:adjustRightInd w:val="0"/>
        <w:spacing w:line="500" w:lineRule="exact"/>
        <w:jc w:val="center"/>
        <w:rPr>
          <w:rFonts w:ascii="宋体" w:hAnsi="宋体"/>
          <w:b/>
          <w:color w:val="auto"/>
          <w:kern w:val="0"/>
          <w:sz w:val="30"/>
          <w:szCs w:val="30"/>
          <w:highlight w:val="none"/>
        </w:rPr>
      </w:pPr>
    </w:p>
    <w:p>
      <w:pPr>
        <w:pStyle w:val="22"/>
        <w:shd w:val="clear"/>
        <w:ind w:firstLine="602"/>
        <w:rPr>
          <w:b/>
          <w:color w:val="auto"/>
          <w:kern w:val="0"/>
          <w:sz w:val="30"/>
          <w:szCs w:val="30"/>
          <w:highlight w:val="none"/>
        </w:rPr>
      </w:pPr>
    </w:p>
    <w:p>
      <w:pPr>
        <w:shd w:val="clear"/>
        <w:rPr>
          <w:rFonts w:ascii="宋体" w:hAnsi="宋体"/>
          <w:b/>
          <w:color w:val="auto"/>
          <w:kern w:val="0"/>
          <w:sz w:val="30"/>
          <w:szCs w:val="30"/>
          <w:highlight w:val="none"/>
        </w:rPr>
      </w:pPr>
    </w:p>
    <w:p>
      <w:pPr>
        <w:pStyle w:val="22"/>
        <w:shd w:val="clear"/>
        <w:ind w:firstLine="602"/>
        <w:rPr>
          <w:b/>
          <w:color w:val="auto"/>
          <w:kern w:val="0"/>
          <w:sz w:val="30"/>
          <w:szCs w:val="30"/>
          <w:highlight w:val="none"/>
        </w:rPr>
      </w:pPr>
    </w:p>
    <w:p>
      <w:pPr>
        <w:shd w:val="clear"/>
        <w:rPr>
          <w:color w:val="auto"/>
          <w:highlight w:val="none"/>
        </w:rPr>
      </w:pPr>
    </w:p>
    <w:p>
      <w:pPr>
        <w:pStyle w:val="22"/>
        <w:shd w:val="clear"/>
        <w:ind w:firstLine="480"/>
        <w:rPr>
          <w:color w:val="auto"/>
          <w:highlight w:val="none"/>
        </w:rPr>
      </w:pPr>
    </w:p>
    <w:p>
      <w:pPr>
        <w:shd w:val="clear"/>
        <w:autoSpaceDE w:val="0"/>
        <w:autoSpaceDN w:val="0"/>
        <w:adjustRightInd w:val="0"/>
        <w:spacing w:line="500" w:lineRule="exact"/>
        <w:rPr>
          <w:b/>
          <w:color w:val="auto"/>
          <w:highlight w:val="none"/>
        </w:rPr>
      </w:pPr>
    </w:p>
    <w:p>
      <w:pPr>
        <w:shd w:val="clear"/>
        <w:autoSpaceDE w:val="0"/>
        <w:autoSpaceDN w:val="0"/>
        <w:adjustRightInd w:val="0"/>
        <w:spacing w:line="400" w:lineRule="exact"/>
        <w:ind w:firstLine="551" w:firstLineChars="196"/>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rPr>
        <w:t>项目编号：</w:t>
      </w:r>
      <w:r>
        <w:rPr>
          <w:rFonts w:hint="eastAsia" w:ascii="宋体" w:hAnsi="宋体"/>
          <w:b/>
          <w:color w:val="auto"/>
          <w:sz w:val="28"/>
          <w:szCs w:val="28"/>
          <w:highlight w:val="none"/>
        </w:rPr>
        <w:t>[2023]24345</w:t>
      </w:r>
      <w:r>
        <w:rPr>
          <w:rFonts w:hint="eastAsia" w:ascii="宋体" w:hAnsi="宋体"/>
          <w:b/>
          <w:color w:val="auto"/>
          <w:sz w:val="28"/>
          <w:szCs w:val="28"/>
          <w:highlight w:val="none"/>
          <w:lang w:val="en-US" w:eastAsia="zh-CN"/>
        </w:rPr>
        <w:t>-02号</w:t>
      </w:r>
    </w:p>
    <w:p>
      <w:pPr>
        <w:pStyle w:val="16"/>
        <w:shd w:val="clear"/>
        <w:jc w:val="both"/>
        <w:rPr>
          <w:color w:val="auto"/>
          <w:highlight w:val="none"/>
        </w:rPr>
      </w:pPr>
    </w:p>
    <w:p>
      <w:pPr>
        <w:shd w:val="clear"/>
        <w:autoSpaceDE w:val="0"/>
        <w:autoSpaceDN w:val="0"/>
        <w:adjustRightInd w:val="0"/>
        <w:spacing w:line="400" w:lineRule="exact"/>
        <w:ind w:firstLine="551" w:firstLineChars="196"/>
        <w:rPr>
          <w:rFonts w:ascii="宋体" w:hAnsi="宋体"/>
          <w:b/>
          <w:color w:val="auto"/>
          <w:sz w:val="28"/>
          <w:szCs w:val="28"/>
          <w:highlight w:val="none"/>
        </w:rPr>
      </w:pPr>
      <w:r>
        <w:rPr>
          <w:rFonts w:hint="eastAsia" w:ascii="宋体" w:hAnsi="宋体"/>
          <w:b/>
          <w:color w:val="auto"/>
          <w:sz w:val="28"/>
          <w:szCs w:val="28"/>
          <w:highlight w:val="none"/>
        </w:rPr>
        <w:t xml:space="preserve">招 标 人：新疆医科大学附属肿瘤医院 </w:t>
      </w:r>
    </w:p>
    <w:p>
      <w:pPr>
        <w:shd w:val="clear"/>
        <w:autoSpaceDE w:val="0"/>
        <w:autoSpaceDN w:val="0"/>
        <w:adjustRightInd w:val="0"/>
        <w:spacing w:line="400" w:lineRule="exact"/>
        <w:ind w:firstLine="551" w:firstLineChars="196"/>
        <w:rPr>
          <w:rFonts w:ascii="宋体" w:hAnsi="宋体"/>
          <w:b/>
          <w:color w:val="auto"/>
          <w:sz w:val="28"/>
          <w:szCs w:val="28"/>
          <w:highlight w:val="none"/>
        </w:rPr>
      </w:pPr>
    </w:p>
    <w:p>
      <w:pPr>
        <w:shd w:val="clear"/>
        <w:autoSpaceDE w:val="0"/>
        <w:autoSpaceDN w:val="0"/>
        <w:adjustRightInd w:val="0"/>
        <w:spacing w:line="400" w:lineRule="exact"/>
        <w:ind w:firstLine="551" w:firstLineChars="196"/>
        <w:rPr>
          <w:rFonts w:ascii="宋体" w:hAnsi="宋体"/>
          <w:b/>
          <w:color w:val="auto"/>
          <w:sz w:val="28"/>
          <w:szCs w:val="28"/>
          <w:highlight w:val="none"/>
        </w:rPr>
      </w:pPr>
      <w:r>
        <w:rPr>
          <w:rFonts w:hint="eastAsia" w:ascii="宋体" w:hAnsi="宋体"/>
          <w:b/>
          <w:color w:val="auto"/>
          <w:sz w:val="28"/>
          <w:szCs w:val="28"/>
          <w:highlight w:val="none"/>
        </w:rPr>
        <w:t>招标代理： 华诚博远工程咨询有限公司</w:t>
      </w:r>
    </w:p>
    <w:p>
      <w:pPr>
        <w:shd w:val="clear"/>
        <w:autoSpaceDE w:val="0"/>
        <w:autoSpaceDN w:val="0"/>
        <w:adjustRightInd w:val="0"/>
        <w:spacing w:line="400" w:lineRule="exact"/>
        <w:ind w:firstLine="570"/>
        <w:rPr>
          <w:rFonts w:ascii="宋体" w:hAnsi="宋体"/>
          <w:b/>
          <w:color w:val="auto"/>
          <w:sz w:val="28"/>
          <w:szCs w:val="28"/>
          <w:highlight w:val="none"/>
        </w:rPr>
      </w:pPr>
    </w:p>
    <w:p>
      <w:pPr>
        <w:shd w:val="clear"/>
        <w:autoSpaceDE w:val="0"/>
        <w:autoSpaceDN w:val="0"/>
        <w:adjustRightInd w:val="0"/>
        <w:spacing w:line="400" w:lineRule="exact"/>
        <w:ind w:firstLine="551" w:firstLineChars="196"/>
        <w:rPr>
          <w:rFonts w:ascii="宋体" w:hAnsi="宋体"/>
          <w:b/>
          <w:color w:val="auto"/>
          <w:sz w:val="28"/>
          <w:szCs w:val="28"/>
          <w:highlight w:val="none"/>
        </w:rPr>
      </w:pPr>
      <w:r>
        <w:rPr>
          <w:rFonts w:hint="eastAsia" w:ascii="宋体" w:hAnsi="宋体"/>
          <w:b/>
          <w:color w:val="auto"/>
          <w:sz w:val="28"/>
          <w:szCs w:val="28"/>
          <w:highlight w:val="none"/>
        </w:rPr>
        <w:t>联 系 人： 刘宁</w:t>
      </w:r>
    </w:p>
    <w:p>
      <w:pPr>
        <w:shd w:val="clear"/>
        <w:autoSpaceDE w:val="0"/>
        <w:autoSpaceDN w:val="0"/>
        <w:adjustRightInd w:val="0"/>
        <w:spacing w:line="400" w:lineRule="exact"/>
        <w:rPr>
          <w:rFonts w:ascii="宋体" w:hAnsi="宋体"/>
          <w:b/>
          <w:color w:val="auto"/>
          <w:sz w:val="28"/>
          <w:szCs w:val="28"/>
          <w:highlight w:val="none"/>
        </w:rPr>
      </w:pPr>
      <w:r>
        <w:rPr>
          <w:rFonts w:hint="eastAsia" w:ascii="宋体" w:hAnsi="宋体"/>
          <w:b/>
          <w:color w:val="auto"/>
          <w:sz w:val="28"/>
          <w:szCs w:val="28"/>
          <w:highlight w:val="none"/>
        </w:rPr>
        <w:t xml:space="preserve">    </w:t>
      </w:r>
    </w:p>
    <w:p>
      <w:pPr>
        <w:shd w:val="clear"/>
        <w:autoSpaceDE w:val="0"/>
        <w:autoSpaceDN w:val="0"/>
        <w:adjustRightInd w:val="0"/>
        <w:spacing w:line="400" w:lineRule="exact"/>
        <w:ind w:firstLine="551" w:firstLineChars="196"/>
        <w:rPr>
          <w:rFonts w:ascii="宋体" w:hAnsi="宋体"/>
          <w:b/>
          <w:color w:val="auto"/>
          <w:sz w:val="28"/>
          <w:szCs w:val="28"/>
          <w:highlight w:val="none"/>
        </w:rPr>
      </w:pPr>
      <w:r>
        <w:rPr>
          <w:rFonts w:hint="eastAsia" w:ascii="宋体" w:hAnsi="宋体"/>
          <w:b/>
          <w:color w:val="auto"/>
          <w:sz w:val="28"/>
          <w:szCs w:val="28"/>
          <w:highlight w:val="none"/>
        </w:rPr>
        <w:t>联系电话： 17609059997</w:t>
      </w:r>
    </w:p>
    <w:p>
      <w:pPr>
        <w:shd w:val="clear"/>
        <w:rPr>
          <w:rFonts w:ascii="宋体" w:hAnsi="宋体"/>
          <w:b/>
          <w:color w:val="auto"/>
          <w:sz w:val="28"/>
          <w:szCs w:val="28"/>
          <w:highlight w:val="none"/>
        </w:rPr>
      </w:pPr>
      <w:r>
        <w:rPr>
          <w:rFonts w:hint="eastAsia" w:ascii="宋体" w:hAnsi="宋体"/>
          <w:b/>
          <w:color w:val="auto"/>
          <w:sz w:val="28"/>
          <w:szCs w:val="28"/>
          <w:highlight w:val="none"/>
        </w:rPr>
        <w:t xml:space="preserve">    </w:t>
      </w:r>
    </w:p>
    <w:p>
      <w:pPr>
        <w:shd w:val="clear"/>
        <w:jc w:val="center"/>
        <w:rPr>
          <w:rFonts w:ascii="宋体" w:hAnsi="宋体"/>
          <w:b/>
          <w:bCs/>
          <w:color w:val="auto"/>
          <w:sz w:val="32"/>
          <w:szCs w:val="32"/>
          <w:highlight w:val="none"/>
        </w:rPr>
      </w:pPr>
      <w:r>
        <w:rPr>
          <w:rFonts w:hint="eastAsia" w:ascii="宋体" w:hAnsi="宋体"/>
          <w:b/>
          <w:bCs/>
          <w:color w:val="auto"/>
          <w:sz w:val="32"/>
          <w:szCs w:val="32"/>
          <w:highlight w:val="none"/>
        </w:rPr>
        <w:t>2023年1</w:t>
      </w:r>
      <w:r>
        <w:rPr>
          <w:rFonts w:hint="eastAsia" w:ascii="宋体" w:hAnsi="宋体"/>
          <w:b/>
          <w:bCs/>
          <w:color w:val="auto"/>
          <w:sz w:val="32"/>
          <w:szCs w:val="32"/>
          <w:highlight w:val="none"/>
          <w:lang w:val="en-US" w:eastAsia="zh-CN"/>
        </w:rPr>
        <w:t>1</w:t>
      </w:r>
      <w:r>
        <w:rPr>
          <w:rFonts w:hint="eastAsia" w:ascii="宋体" w:hAnsi="宋体"/>
          <w:b/>
          <w:bCs/>
          <w:color w:val="auto"/>
          <w:sz w:val="32"/>
          <w:szCs w:val="32"/>
          <w:highlight w:val="none"/>
        </w:rPr>
        <w:t>月</w:t>
      </w:r>
    </w:p>
    <w:p>
      <w:pPr>
        <w:shd w:val="clear"/>
        <w:spacing w:line="540" w:lineRule="exact"/>
        <w:ind w:left="2420" w:leftChars="105" w:hanging="2200" w:hangingChars="500"/>
        <w:jc w:val="left"/>
        <w:rPr>
          <w:rFonts w:ascii="宋体" w:hAnsi="宋体" w:cs="宋体"/>
          <w:color w:val="auto"/>
          <w:sz w:val="44"/>
          <w:szCs w:val="44"/>
          <w:highlight w:val="none"/>
        </w:rPr>
        <w:sectPr>
          <w:headerReference r:id="rId4" w:type="first"/>
          <w:footerReference r:id="rId5" w:type="default"/>
          <w:headerReference r:id="rId3" w:type="even"/>
          <w:footerReference r:id="rId6" w:type="even"/>
          <w:pgSz w:w="11906" w:h="16838"/>
          <w:pgMar w:top="1418" w:right="1021" w:bottom="1134" w:left="1247" w:header="0" w:footer="567" w:gutter="0"/>
          <w:pgNumType w:start="1"/>
          <w:cols w:space="720" w:num="1"/>
          <w:titlePg/>
          <w:docGrid w:type="lines" w:linePitch="312" w:charSpace="0"/>
        </w:sectPr>
      </w:pPr>
    </w:p>
    <w:p>
      <w:pPr>
        <w:shd w:val="clear"/>
        <w:jc w:val="center"/>
        <w:rPr>
          <w:b/>
          <w:bCs/>
          <w:color w:val="auto"/>
          <w:sz w:val="28"/>
          <w:szCs w:val="28"/>
          <w:highlight w:val="none"/>
        </w:rPr>
      </w:pPr>
      <w:r>
        <w:rPr>
          <w:rFonts w:ascii="宋体" w:hAnsi="宋体"/>
          <w:b/>
          <w:bCs/>
          <w:color w:val="auto"/>
          <w:sz w:val="28"/>
          <w:szCs w:val="28"/>
          <w:highlight w:val="none"/>
        </w:rPr>
        <w:t>目录</w:t>
      </w:r>
    </w:p>
    <w:p>
      <w:pPr>
        <w:pStyle w:val="28"/>
        <w:shd w:val="clear"/>
        <w:tabs>
          <w:tab w:val="right" w:leader="underscore" w:pos="9354"/>
        </w:tabs>
        <w:rPr>
          <w:color w:val="auto"/>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"1-2" \h \u </w:instrText>
      </w:r>
      <w:r>
        <w:rPr>
          <w:rFonts w:hint="eastAsia" w:ascii="宋体" w:hAnsi="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"_Toc26889" </w:instrText>
      </w:r>
      <w:r>
        <w:rPr>
          <w:color w:val="auto"/>
          <w:highlight w:val="none"/>
        </w:rPr>
        <w:fldChar w:fldCharType="separate"/>
      </w:r>
      <w:r>
        <w:rPr>
          <w:rFonts w:hint="eastAsia" w:ascii="宋体" w:hAnsi="宋体" w:cs="宋体"/>
          <w:b/>
          <w:color w:val="auto"/>
          <w:szCs w:val="24"/>
          <w:highlight w:val="none"/>
        </w:rPr>
        <w:t>第一章 磋 商 公 告</w:t>
      </w:r>
      <w:r>
        <w:rPr>
          <w:b/>
          <w:color w:val="auto"/>
          <w:highlight w:val="none"/>
        </w:rPr>
        <w:tab/>
      </w:r>
      <w:r>
        <w:rPr>
          <w:b/>
          <w:color w:val="auto"/>
          <w:highlight w:val="none"/>
        </w:rPr>
        <w:fldChar w:fldCharType="begin"/>
      </w:r>
      <w:r>
        <w:rPr>
          <w:b/>
          <w:color w:val="auto"/>
          <w:highlight w:val="none"/>
        </w:rPr>
        <w:instrText xml:space="preserve"> PAGEREF _Toc26889 \h </w:instrText>
      </w:r>
      <w:r>
        <w:rPr>
          <w:b/>
          <w:color w:val="auto"/>
          <w:highlight w:val="none"/>
        </w:rPr>
        <w:fldChar w:fldCharType="separate"/>
      </w:r>
      <w:r>
        <w:rPr>
          <w:b/>
          <w:color w:val="auto"/>
          <w:highlight w:val="none"/>
        </w:rPr>
        <w:t>1</w:t>
      </w:r>
      <w:r>
        <w:rPr>
          <w:b/>
          <w:color w:val="auto"/>
          <w:highlight w:val="none"/>
        </w:rPr>
        <w:fldChar w:fldCharType="end"/>
      </w:r>
      <w:r>
        <w:rPr>
          <w:b/>
          <w:color w:val="auto"/>
          <w:highlight w:val="none"/>
        </w:rPr>
        <w:fldChar w:fldCharType="end"/>
      </w:r>
    </w:p>
    <w:p>
      <w:pPr>
        <w:pStyle w:val="28"/>
        <w:shd w:val="clear"/>
        <w:tabs>
          <w:tab w:val="right" w:leader="underscore" w:pos="9354"/>
        </w:tabs>
        <w:rPr>
          <w:b/>
          <w:color w:val="auto"/>
          <w:highlight w:val="none"/>
        </w:rPr>
      </w:pPr>
      <w:r>
        <w:rPr>
          <w:color w:val="auto"/>
          <w:highlight w:val="none"/>
        </w:rPr>
        <w:fldChar w:fldCharType="begin"/>
      </w:r>
      <w:r>
        <w:rPr>
          <w:color w:val="auto"/>
          <w:highlight w:val="none"/>
        </w:rPr>
        <w:instrText xml:space="preserve"> HYPERLINK \l "_Toc18151" </w:instrText>
      </w:r>
      <w:r>
        <w:rPr>
          <w:color w:val="auto"/>
          <w:highlight w:val="none"/>
        </w:rPr>
        <w:fldChar w:fldCharType="separate"/>
      </w:r>
      <w:r>
        <w:rPr>
          <w:rFonts w:hint="eastAsia" w:ascii="宋体" w:hAnsi="宋体" w:cs="宋体"/>
          <w:b/>
          <w:color w:val="auto"/>
          <w:highlight w:val="none"/>
        </w:rPr>
        <w:t>第二章 投标须知</w:t>
      </w:r>
      <w:r>
        <w:rPr>
          <w:b/>
          <w:color w:val="auto"/>
          <w:highlight w:val="none"/>
        </w:rPr>
        <w:tab/>
      </w:r>
      <w:r>
        <w:rPr>
          <w:b/>
          <w:color w:val="auto"/>
          <w:highlight w:val="none"/>
        </w:rPr>
        <w:fldChar w:fldCharType="begin"/>
      </w:r>
      <w:r>
        <w:rPr>
          <w:b/>
          <w:color w:val="auto"/>
          <w:highlight w:val="none"/>
        </w:rPr>
        <w:instrText xml:space="preserve"> PAGEREF _Toc18151 \h </w:instrText>
      </w:r>
      <w:r>
        <w:rPr>
          <w:b/>
          <w:color w:val="auto"/>
          <w:highlight w:val="none"/>
        </w:rPr>
        <w:fldChar w:fldCharType="separate"/>
      </w:r>
      <w:r>
        <w:rPr>
          <w:b/>
          <w:color w:val="auto"/>
          <w:highlight w:val="none"/>
        </w:rPr>
        <w:t>4</w:t>
      </w:r>
      <w:r>
        <w:rPr>
          <w:b/>
          <w:color w:val="auto"/>
          <w:highlight w:val="none"/>
        </w:rPr>
        <w:fldChar w:fldCharType="end"/>
      </w:r>
      <w:r>
        <w:rPr>
          <w:b/>
          <w:color w:val="auto"/>
          <w:highlight w:val="none"/>
        </w:rPr>
        <w:fldChar w:fldCharType="end"/>
      </w:r>
    </w:p>
    <w:p>
      <w:pPr>
        <w:pStyle w:val="28"/>
        <w:shd w:val="clear"/>
        <w:tabs>
          <w:tab w:val="right" w:leader="underscore" w:pos="9354"/>
        </w:tabs>
        <w:rPr>
          <w:b/>
          <w:color w:val="auto"/>
          <w:highlight w:val="none"/>
        </w:rPr>
      </w:pPr>
      <w:r>
        <w:rPr>
          <w:color w:val="auto"/>
          <w:highlight w:val="none"/>
        </w:rPr>
        <w:fldChar w:fldCharType="begin"/>
      </w:r>
      <w:r>
        <w:rPr>
          <w:color w:val="auto"/>
          <w:highlight w:val="none"/>
        </w:rPr>
        <w:instrText xml:space="preserve"> HYPERLINK \l "_Toc23430" </w:instrText>
      </w:r>
      <w:r>
        <w:rPr>
          <w:color w:val="auto"/>
          <w:highlight w:val="none"/>
        </w:rPr>
        <w:fldChar w:fldCharType="separate"/>
      </w:r>
      <w:r>
        <w:rPr>
          <w:rFonts w:hint="eastAsia" w:ascii="宋体" w:hAnsi="宋体" w:cs="宋体"/>
          <w:b/>
          <w:color w:val="auto"/>
          <w:szCs w:val="28"/>
          <w:highlight w:val="none"/>
        </w:rPr>
        <w:t>投标供应商须知前附表</w:t>
      </w:r>
      <w:r>
        <w:rPr>
          <w:b/>
          <w:color w:val="auto"/>
          <w:highlight w:val="none"/>
        </w:rPr>
        <w:tab/>
      </w:r>
      <w:r>
        <w:rPr>
          <w:b/>
          <w:color w:val="auto"/>
          <w:highlight w:val="none"/>
        </w:rPr>
        <w:fldChar w:fldCharType="begin"/>
      </w:r>
      <w:r>
        <w:rPr>
          <w:b/>
          <w:color w:val="auto"/>
          <w:highlight w:val="none"/>
        </w:rPr>
        <w:instrText xml:space="preserve"> PAGEREF _Toc23430 \h </w:instrText>
      </w:r>
      <w:r>
        <w:rPr>
          <w:b/>
          <w:color w:val="auto"/>
          <w:highlight w:val="none"/>
        </w:rPr>
        <w:fldChar w:fldCharType="separate"/>
      </w:r>
      <w:r>
        <w:rPr>
          <w:b/>
          <w:color w:val="auto"/>
          <w:highlight w:val="none"/>
        </w:rPr>
        <w:t>4</w:t>
      </w:r>
      <w:r>
        <w:rPr>
          <w:b/>
          <w:color w:val="auto"/>
          <w:highlight w:val="none"/>
        </w:rPr>
        <w:fldChar w:fldCharType="end"/>
      </w:r>
      <w:r>
        <w:rPr>
          <w:b/>
          <w:color w:val="auto"/>
          <w:highlight w:val="none"/>
        </w:rPr>
        <w:fldChar w:fldCharType="end"/>
      </w:r>
    </w:p>
    <w:p>
      <w:pPr>
        <w:pStyle w:val="29"/>
        <w:shd w:val="clear"/>
        <w:tabs>
          <w:tab w:val="right" w:leader="underscore" w:pos="9354"/>
        </w:tabs>
        <w:ind w:left="420"/>
        <w:rPr>
          <w:color w:val="auto"/>
          <w:highlight w:val="none"/>
        </w:rPr>
      </w:pPr>
      <w:r>
        <w:rPr>
          <w:color w:val="auto"/>
          <w:highlight w:val="none"/>
        </w:rPr>
        <w:fldChar w:fldCharType="begin"/>
      </w:r>
      <w:r>
        <w:rPr>
          <w:color w:val="auto"/>
          <w:highlight w:val="none"/>
        </w:rPr>
        <w:instrText xml:space="preserve"> HYPERLINK \l "_Toc24144" </w:instrText>
      </w:r>
      <w:r>
        <w:rPr>
          <w:color w:val="auto"/>
          <w:highlight w:val="none"/>
        </w:rPr>
        <w:fldChar w:fldCharType="separate"/>
      </w:r>
      <w:r>
        <w:rPr>
          <w:rFonts w:hint="eastAsia" w:ascii="宋体" w:hAnsi="宋体" w:cs="宋体"/>
          <w:color w:val="auto"/>
          <w:szCs w:val="36"/>
          <w:highlight w:val="none"/>
        </w:rPr>
        <w:t>一、总则</w:t>
      </w:r>
      <w:r>
        <w:rPr>
          <w:color w:val="auto"/>
          <w:highlight w:val="none"/>
        </w:rPr>
        <w:tab/>
      </w:r>
      <w:r>
        <w:rPr>
          <w:color w:val="auto"/>
          <w:highlight w:val="none"/>
        </w:rPr>
        <w:fldChar w:fldCharType="begin"/>
      </w:r>
      <w:r>
        <w:rPr>
          <w:color w:val="auto"/>
          <w:highlight w:val="none"/>
        </w:rPr>
        <w:instrText xml:space="preserve"> PAGEREF _Toc24144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9"/>
        <w:shd w:val="clear"/>
        <w:tabs>
          <w:tab w:val="right" w:leader="underscore" w:pos="9354"/>
        </w:tabs>
        <w:ind w:left="420"/>
        <w:rPr>
          <w:color w:val="auto"/>
          <w:highlight w:val="none"/>
        </w:rPr>
      </w:pPr>
      <w:r>
        <w:rPr>
          <w:color w:val="auto"/>
          <w:highlight w:val="none"/>
        </w:rPr>
        <w:fldChar w:fldCharType="begin"/>
      </w:r>
      <w:r>
        <w:rPr>
          <w:color w:val="auto"/>
          <w:highlight w:val="none"/>
        </w:rPr>
        <w:instrText xml:space="preserve"> HYPERLINK \l "_Toc13293" </w:instrText>
      </w:r>
      <w:r>
        <w:rPr>
          <w:color w:val="auto"/>
          <w:highlight w:val="none"/>
        </w:rPr>
        <w:fldChar w:fldCharType="separate"/>
      </w:r>
      <w:r>
        <w:rPr>
          <w:rFonts w:hint="eastAsia" w:ascii="宋体" w:hAnsi="宋体" w:cs="宋体"/>
          <w:color w:val="auto"/>
          <w:szCs w:val="36"/>
          <w:highlight w:val="none"/>
        </w:rPr>
        <w:t>二</w:t>
      </w:r>
      <w:r>
        <w:rPr>
          <w:rFonts w:hint="eastAsia" w:ascii="宋体" w:hAnsi="宋体" w:cs="宋体"/>
          <w:color w:val="auto"/>
          <w:highlight w:val="none"/>
        </w:rPr>
        <w:t>、  磋商文件</w:t>
      </w:r>
      <w:r>
        <w:rPr>
          <w:color w:val="auto"/>
          <w:highlight w:val="none"/>
        </w:rPr>
        <w:tab/>
      </w:r>
      <w:r>
        <w:rPr>
          <w:color w:val="auto"/>
          <w:highlight w:val="none"/>
        </w:rPr>
        <w:fldChar w:fldCharType="begin"/>
      </w:r>
      <w:r>
        <w:rPr>
          <w:color w:val="auto"/>
          <w:highlight w:val="none"/>
        </w:rPr>
        <w:instrText xml:space="preserve"> PAGEREF _Toc13293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29"/>
        <w:shd w:val="clear"/>
        <w:tabs>
          <w:tab w:val="right" w:leader="underscore" w:pos="9354"/>
        </w:tabs>
        <w:ind w:left="420"/>
        <w:rPr>
          <w:color w:val="auto"/>
          <w:highlight w:val="none"/>
        </w:rPr>
      </w:pPr>
      <w:r>
        <w:rPr>
          <w:color w:val="auto"/>
          <w:highlight w:val="none"/>
        </w:rPr>
        <w:fldChar w:fldCharType="begin"/>
      </w:r>
      <w:r>
        <w:rPr>
          <w:color w:val="auto"/>
          <w:highlight w:val="none"/>
        </w:rPr>
        <w:instrText xml:space="preserve"> HYPERLINK \l "_Toc31063" </w:instrText>
      </w:r>
      <w:r>
        <w:rPr>
          <w:color w:val="auto"/>
          <w:highlight w:val="none"/>
        </w:rPr>
        <w:fldChar w:fldCharType="separate"/>
      </w:r>
      <w:r>
        <w:rPr>
          <w:rFonts w:hint="eastAsia" w:ascii="宋体" w:hAnsi="宋体" w:cs="宋体"/>
          <w:color w:val="auto"/>
          <w:highlight w:val="none"/>
        </w:rPr>
        <w:t>三、</w:t>
      </w:r>
      <w:r>
        <w:rPr>
          <w:rFonts w:hint="eastAsia" w:ascii="宋体" w:hAnsi="宋体" w:cs="宋体"/>
          <w:color w:val="auto"/>
          <w:szCs w:val="36"/>
          <w:highlight w:val="none"/>
        </w:rPr>
        <w:t>响应文件</w:t>
      </w:r>
      <w:r>
        <w:rPr>
          <w:color w:val="auto"/>
          <w:highlight w:val="none"/>
        </w:rPr>
        <w:tab/>
      </w:r>
      <w:r>
        <w:rPr>
          <w:color w:val="auto"/>
          <w:highlight w:val="none"/>
        </w:rPr>
        <w:fldChar w:fldCharType="begin"/>
      </w:r>
      <w:r>
        <w:rPr>
          <w:color w:val="auto"/>
          <w:highlight w:val="none"/>
        </w:rPr>
        <w:instrText xml:space="preserve"> PAGEREF _Toc31063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9"/>
        <w:shd w:val="clear"/>
        <w:tabs>
          <w:tab w:val="right" w:leader="underscore" w:pos="9354"/>
        </w:tabs>
        <w:ind w:left="420"/>
        <w:rPr>
          <w:color w:val="auto"/>
          <w:highlight w:val="none"/>
        </w:rPr>
      </w:pPr>
      <w:r>
        <w:rPr>
          <w:color w:val="auto"/>
          <w:highlight w:val="none"/>
        </w:rPr>
        <w:fldChar w:fldCharType="begin"/>
      </w:r>
      <w:r>
        <w:rPr>
          <w:color w:val="auto"/>
          <w:highlight w:val="none"/>
        </w:rPr>
        <w:instrText xml:space="preserve"> HYPERLINK \l "_Toc30150" </w:instrText>
      </w:r>
      <w:r>
        <w:rPr>
          <w:color w:val="auto"/>
          <w:highlight w:val="none"/>
        </w:rPr>
        <w:fldChar w:fldCharType="separate"/>
      </w:r>
      <w:r>
        <w:rPr>
          <w:rFonts w:hint="eastAsia" w:ascii="宋体" w:hAnsi="宋体" w:cs="宋体"/>
          <w:color w:val="auto"/>
          <w:highlight w:val="none"/>
        </w:rPr>
        <w:t>四、 响应文件的递交</w:t>
      </w:r>
      <w:r>
        <w:rPr>
          <w:color w:val="auto"/>
          <w:highlight w:val="none"/>
        </w:rPr>
        <w:tab/>
      </w:r>
      <w:r>
        <w:rPr>
          <w:color w:val="auto"/>
          <w:highlight w:val="none"/>
        </w:rPr>
        <w:fldChar w:fldCharType="begin"/>
      </w:r>
      <w:r>
        <w:rPr>
          <w:color w:val="auto"/>
          <w:highlight w:val="none"/>
        </w:rPr>
        <w:instrText xml:space="preserve"> PAGEREF _Toc30150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9"/>
        <w:shd w:val="clear"/>
        <w:tabs>
          <w:tab w:val="right" w:leader="underscore" w:pos="9354"/>
        </w:tabs>
        <w:ind w:left="420"/>
        <w:rPr>
          <w:color w:val="auto"/>
          <w:highlight w:val="none"/>
        </w:rPr>
      </w:pPr>
      <w:r>
        <w:rPr>
          <w:color w:val="auto"/>
          <w:highlight w:val="none"/>
        </w:rPr>
        <w:fldChar w:fldCharType="begin"/>
      </w:r>
      <w:r>
        <w:rPr>
          <w:color w:val="auto"/>
          <w:highlight w:val="none"/>
        </w:rPr>
        <w:instrText xml:space="preserve"> HYPERLINK \l "_Toc4347" </w:instrText>
      </w:r>
      <w:r>
        <w:rPr>
          <w:color w:val="auto"/>
          <w:highlight w:val="none"/>
        </w:rPr>
        <w:fldChar w:fldCharType="separate"/>
      </w:r>
      <w:r>
        <w:rPr>
          <w:rFonts w:hint="eastAsia" w:ascii="宋体" w:hAnsi="宋体" w:cs="宋体"/>
          <w:color w:val="auto"/>
          <w:highlight w:val="none"/>
        </w:rPr>
        <w:t>五、开标</w:t>
      </w:r>
      <w:r>
        <w:rPr>
          <w:color w:val="auto"/>
          <w:highlight w:val="none"/>
        </w:rPr>
        <w:tab/>
      </w:r>
      <w:r>
        <w:rPr>
          <w:color w:val="auto"/>
          <w:highlight w:val="none"/>
        </w:rPr>
        <w:fldChar w:fldCharType="begin"/>
      </w:r>
      <w:r>
        <w:rPr>
          <w:color w:val="auto"/>
          <w:highlight w:val="none"/>
        </w:rPr>
        <w:instrText xml:space="preserve"> PAGEREF _Toc4347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9"/>
        <w:shd w:val="clear"/>
        <w:tabs>
          <w:tab w:val="right" w:leader="underscore" w:pos="9354"/>
        </w:tabs>
        <w:ind w:left="420"/>
        <w:rPr>
          <w:color w:val="auto"/>
          <w:highlight w:val="none"/>
        </w:rPr>
      </w:pPr>
      <w:r>
        <w:rPr>
          <w:color w:val="auto"/>
          <w:highlight w:val="none"/>
        </w:rPr>
        <w:fldChar w:fldCharType="begin"/>
      </w:r>
      <w:r>
        <w:rPr>
          <w:color w:val="auto"/>
          <w:highlight w:val="none"/>
        </w:rPr>
        <w:instrText xml:space="preserve"> HYPERLINK \l "_Toc8044" </w:instrText>
      </w:r>
      <w:r>
        <w:rPr>
          <w:color w:val="auto"/>
          <w:highlight w:val="none"/>
        </w:rPr>
        <w:fldChar w:fldCharType="separate"/>
      </w:r>
      <w:r>
        <w:rPr>
          <w:rFonts w:hint="eastAsia" w:ascii="宋体" w:hAnsi="宋体" w:cs="宋体"/>
          <w:color w:val="auto"/>
          <w:highlight w:val="none"/>
        </w:rPr>
        <w:t>六、评标、定标</w:t>
      </w:r>
      <w:r>
        <w:rPr>
          <w:color w:val="auto"/>
          <w:highlight w:val="none"/>
        </w:rPr>
        <w:tab/>
      </w:r>
      <w:r>
        <w:rPr>
          <w:color w:val="auto"/>
          <w:highlight w:val="none"/>
        </w:rPr>
        <w:fldChar w:fldCharType="begin"/>
      </w:r>
      <w:r>
        <w:rPr>
          <w:color w:val="auto"/>
          <w:highlight w:val="none"/>
        </w:rPr>
        <w:instrText xml:space="preserve"> PAGEREF _Toc8044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29"/>
        <w:shd w:val="clear"/>
        <w:tabs>
          <w:tab w:val="right" w:leader="underscore" w:pos="9354"/>
        </w:tabs>
        <w:ind w:left="420"/>
        <w:rPr>
          <w:color w:val="auto"/>
          <w:highlight w:val="none"/>
        </w:rPr>
      </w:pPr>
      <w:r>
        <w:rPr>
          <w:color w:val="auto"/>
          <w:highlight w:val="none"/>
        </w:rPr>
        <w:fldChar w:fldCharType="begin"/>
      </w:r>
      <w:r>
        <w:rPr>
          <w:color w:val="auto"/>
          <w:highlight w:val="none"/>
        </w:rPr>
        <w:instrText xml:space="preserve"> HYPERLINK \l "_Toc20620" </w:instrText>
      </w:r>
      <w:r>
        <w:rPr>
          <w:color w:val="auto"/>
          <w:highlight w:val="none"/>
        </w:rPr>
        <w:fldChar w:fldCharType="separate"/>
      </w:r>
      <w:r>
        <w:rPr>
          <w:rFonts w:hint="eastAsia" w:ascii="宋体" w:hAnsi="宋体" w:cs="宋体"/>
          <w:color w:val="auto"/>
          <w:highlight w:val="none"/>
        </w:rPr>
        <w:t>七、授予合同</w:t>
      </w:r>
      <w:r>
        <w:rPr>
          <w:color w:val="auto"/>
          <w:highlight w:val="none"/>
        </w:rPr>
        <w:tab/>
      </w:r>
      <w:r>
        <w:rPr>
          <w:color w:val="auto"/>
          <w:highlight w:val="none"/>
        </w:rPr>
        <w:fldChar w:fldCharType="begin"/>
      </w:r>
      <w:r>
        <w:rPr>
          <w:color w:val="auto"/>
          <w:highlight w:val="none"/>
        </w:rPr>
        <w:instrText xml:space="preserve"> PAGEREF _Toc20620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28"/>
        <w:shd w:val="clear"/>
        <w:tabs>
          <w:tab w:val="right" w:leader="underscore" w:pos="9354"/>
        </w:tabs>
        <w:rPr>
          <w:b/>
          <w:color w:val="auto"/>
          <w:highlight w:val="none"/>
        </w:rPr>
      </w:pPr>
      <w:r>
        <w:rPr>
          <w:color w:val="auto"/>
          <w:highlight w:val="none"/>
        </w:rPr>
        <w:fldChar w:fldCharType="begin"/>
      </w:r>
      <w:r>
        <w:rPr>
          <w:color w:val="auto"/>
          <w:highlight w:val="none"/>
        </w:rPr>
        <w:instrText xml:space="preserve"> HYPERLINK \l "_Toc14344" </w:instrText>
      </w:r>
      <w:r>
        <w:rPr>
          <w:color w:val="auto"/>
          <w:highlight w:val="none"/>
        </w:rPr>
        <w:fldChar w:fldCharType="separate"/>
      </w:r>
      <w:r>
        <w:rPr>
          <w:rFonts w:hint="eastAsia" w:ascii="宋体" w:hAnsi="宋体" w:cs="宋体"/>
          <w:b/>
          <w:color w:val="auto"/>
          <w:highlight w:val="none"/>
        </w:rPr>
        <w:t>第五章 响应文件格式</w:t>
      </w:r>
      <w:r>
        <w:rPr>
          <w:b/>
          <w:color w:val="auto"/>
          <w:highlight w:val="none"/>
        </w:rPr>
        <w:tab/>
      </w:r>
      <w:r>
        <w:rPr>
          <w:b/>
          <w:color w:val="auto"/>
          <w:highlight w:val="none"/>
        </w:rPr>
        <w:fldChar w:fldCharType="begin"/>
      </w:r>
      <w:r>
        <w:rPr>
          <w:b/>
          <w:color w:val="auto"/>
          <w:highlight w:val="none"/>
        </w:rPr>
        <w:instrText xml:space="preserve"> PAGEREF _Toc14344 \h </w:instrText>
      </w:r>
      <w:r>
        <w:rPr>
          <w:b/>
          <w:color w:val="auto"/>
          <w:highlight w:val="none"/>
        </w:rPr>
        <w:fldChar w:fldCharType="separate"/>
      </w:r>
      <w:r>
        <w:rPr>
          <w:b/>
          <w:color w:val="auto"/>
          <w:highlight w:val="none"/>
        </w:rPr>
        <w:t>29</w:t>
      </w:r>
      <w:r>
        <w:rPr>
          <w:b/>
          <w:color w:val="auto"/>
          <w:highlight w:val="none"/>
        </w:rPr>
        <w:fldChar w:fldCharType="end"/>
      </w:r>
      <w:r>
        <w:rPr>
          <w:b/>
          <w:color w:val="auto"/>
          <w:highlight w:val="none"/>
        </w:rPr>
        <w:fldChar w:fldCharType="end"/>
      </w:r>
    </w:p>
    <w:p>
      <w:pPr>
        <w:pStyle w:val="28"/>
        <w:shd w:val="clear"/>
        <w:tabs>
          <w:tab w:val="right" w:leader="underscore" w:pos="9354"/>
        </w:tabs>
        <w:rPr>
          <w:b/>
          <w:color w:val="auto"/>
          <w:highlight w:val="none"/>
        </w:rPr>
      </w:pPr>
    </w:p>
    <w:p>
      <w:pPr>
        <w:pStyle w:val="28"/>
        <w:shd w:val="clear"/>
        <w:tabs>
          <w:tab w:val="right" w:leader="underscore" w:pos="9354"/>
        </w:tabs>
        <w:rPr>
          <w:b/>
          <w:color w:val="auto"/>
          <w:highlight w:val="none"/>
        </w:rPr>
      </w:pPr>
    </w:p>
    <w:p>
      <w:pPr>
        <w:pStyle w:val="29"/>
        <w:shd w:val="clear"/>
        <w:tabs>
          <w:tab w:val="right" w:leader="underscore" w:pos="9354"/>
        </w:tabs>
        <w:ind w:left="420"/>
        <w:rPr>
          <w:color w:val="auto"/>
          <w:highlight w:val="none"/>
        </w:rPr>
      </w:pPr>
    </w:p>
    <w:p>
      <w:pPr>
        <w:pStyle w:val="29"/>
        <w:shd w:val="clear"/>
        <w:tabs>
          <w:tab w:val="right" w:leader="underscore" w:pos="9354"/>
        </w:tabs>
        <w:ind w:left="420"/>
        <w:rPr>
          <w:color w:val="auto"/>
          <w:highlight w:val="none"/>
        </w:rPr>
      </w:pPr>
    </w:p>
    <w:p>
      <w:pPr>
        <w:pStyle w:val="28"/>
        <w:shd w:val="clear"/>
        <w:tabs>
          <w:tab w:val="right" w:leader="underscore" w:pos="9354"/>
        </w:tabs>
        <w:rPr>
          <w:b/>
          <w:color w:val="auto"/>
          <w:highlight w:val="none"/>
        </w:rPr>
      </w:pPr>
    </w:p>
    <w:p>
      <w:pPr>
        <w:pStyle w:val="30"/>
        <w:shd w:val="clear"/>
        <w:spacing w:line="360" w:lineRule="auto"/>
        <w:rPr>
          <w:rFonts w:ascii="宋体" w:hAnsi="宋体" w:cs="宋体"/>
          <w:color w:val="auto"/>
          <w:sz w:val="28"/>
          <w:szCs w:val="28"/>
          <w:highlight w:val="none"/>
        </w:rPr>
      </w:pPr>
      <w:r>
        <w:rPr>
          <w:rFonts w:hint="eastAsia" w:ascii="宋体" w:hAnsi="宋体" w:cs="宋体"/>
          <w:b/>
          <w:color w:val="auto"/>
          <w:szCs w:val="28"/>
          <w:highlight w:val="none"/>
        </w:rPr>
        <w:fldChar w:fldCharType="end"/>
      </w:r>
    </w:p>
    <w:p>
      <w:pPr>
        <w:pStyle w:val="30"/>
        <w:shd w:val="clear"/>
        <w:spacing w:line="360" w:lineRule="auto"/>
        <w:rPr>
          <w:rFonts w:ascii="宋体" w:hAnsi="宋体" w:cs="宋体"/>
          <w:color w:val="auto"/>
          <w:sz w:val="28"/>
          <w:szCs w:val="28"/>
          <w:highlight w:val="none"/>
        </w:rPr>
      </w:pPr>
    </w:p>
    <w:p>
      <w:pPr>
        <w:pStyle w:val="30"/>
        <w:shd w:val="clear"/>
        <w:spacing w:line="360" w:lineRule="auto"/>
        <w:rPr>
          <w:rFonts w:ascii="宋体" w:hAnsi="宋体" w:cs="宋体"/>
          <w:color w:val="auto"/>
          <w:sz w:val="28"/>
          <w:szCs w:val="28"/>
          <w:highlight w:val="none"/>
        </w:rPr>
      </w:pPr>
    </w:p>
    <w:p>
      <w:pPr>
        <w:pStyle w:val="30"/>
        <w:shd w:val="clear"/>
        <w:spacing w:line="360" w:lineRule="auto"/>
        <w:rPr>
          <w:rFonts w:ascii="宋体" w:hAnsi="宋体" w:cs="宋体"/>
          <w:color w:val="auto"/>
          <w:sz w:val="28"/>
          <w:szCs w:val="28"/>
          <w:highlight w:val="none"/>
        </w:rPr>
      </w:pPr>
    </w:p>
    <w:p>
      <w:pPr>
        <w:pStyle w:val="30"/>
        <w:shd w:val="clear"/>
        <w:spacing w:line="360" w:lineRule="auto"/>
        <w:rPr>
          <w:rFonts w:ascii="宋体" w:hAnsi="宋体" w:cs="宋体"/>
          <w:color w:val="auto"/>
          <w:sz w:val="28"/>
          <w:szCs w:val="28"/>
          <w:highlight w:val="none"/>
        </w:rPr>
      </w:pPr>
    </w:p>
    <w:p>
      <w:pPr>
        <w:pStyle w:val="30"/>
        <w:shd w:val="clear"/>
        <w:spacing w:line="360" w:lineRule="auto"/>
        <w:rPr>
          <w:rFonts w:ascii="宋体" w:hAnsi="宋体" w:cs="宋体"/>
          <w:color w:val="auto"/>
          <w:sz w:val="28"/>
          <w:szCs w:val="28"/>
          <w:highlight w:val="none"/>
        </w:rPr>
      </w:pPr>
    </w:p>
    <w:p>
      <w:pPr>
        <w:pStyle w:val="30"/>
        <w:shd w:val="clear"/>
        <w:spacing w:line="360" w:lineRule="auto"/>
        <w:rPr>
          <w:rFonts w:ascii="宋体" w:hAnsi="宋体" w:cs="宋体"/>
          <w:color w:val="auto"/>
          <w:sz w:val="28"/>
          <w:szCs w:val="28"/>
          <w:highlight w:val="none"/>
        </w:rPr>
      </w:pPr>
    </w:p>
    <w:p>
      <w:pPr>
        <w:pStyle w:val="30"/>
        <w:shd w:val="clear"/>
        <w:spacing w:line="360" w:lineRule="auto"/>
        <w:rPr>
          <w:rFonts w:ascii="宋体" w:hAnsi="宋体" w:cs="宋体"/>
          <w:color w:val="auto"/>
          <w:sz w:val="28"/>
          <w:szCs w:val="28"/>
          <w:highlight w:val="none"/>
        </w:rPr>
      </w:pPr>
    </w:p>
    <w:p>
      <w:pPr>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shd w:val="solid" w:color="FFFFFF"/>
        <w:autoSpaceDN w:val="0"/>
        <w:spacing w:line="480" w:lineRule="auto"/>
        <w:ind w:left="-14" w:leftChars="-7" w:right="-92" w:rightChars="-44" w:firstLine="18" w:firstLineChars="5"/>
        <w:jc w:val="center"/>
        <w:outlineLvl w:val="0"/>
        <w:rPr>
          <w:rFonts w:ascii="宋体" w:hAnsi="宋体" w:cs="宋体"/>
          <w:b/>
          <w:color w:val="auto"/>
          <w:kern w:val="0"/>
          <w:sz w:val="36"/>
          <w:szCs w:val="24"/>
          <w:highlight w:val="none"/>
        </w:rPr>
      </w:pPr>
      <w:bookmarkStart w:id="0" w:name="_Toc26889"/>
      <w:bookmarkStart w:id="1" w:name="_Toc14666"/>
      <w:bookmarkStart w:id="2" w:name="_Toc21628"/>
      <w:r>
        <w:rPr>
          <w:rFonts w:hint="eastAsia" w:ascii="宋体" w:hAnsi="宋体" w:cs="宋体"/>
          <w:b/>
          <w:color w:val="auto"/>
          <w:kern w:val="0"/>
          <w:sz w:val="36"/>
          <w:szCs w:val="24"/>
          <w:highlight w:val="none"/>
        </w:rPr>
        <w:t>第一章 磋 商 公 告</w:t>
      </w:r>
      <w:bookmarkEnd w:id="0"/>
      <w:bookmarkEnd w:id="1"/>
      <w:bookmarkEnd w:id="2"/>
    </w:p>
    <w:p>
      <w:pPr>
        <w:shd w:val="solid" w:color="FFFFFF"/>
        <w:autoSpaceDN w:val="0"/>
        <w:spacing w:line="480" w:lineRule="auto"/>
        <w:ind w:left="-14" w:leftChars="-7" w:right="-92" w:rightChars="-44" w:firstLine="14" w:firstLineChars="5"/>
        <w:jc w:val="center"/>
        <w:outlineLvl w:val="1"/>
        <w:rPr>
          <w:rFonts w:ascii="宋体" w:hAnsi="宋体"/>
          <w:b/>
          <w:color w:val="auto"/>
          <w:sz w:val="28"/>
          <w:highlight w:val="none"/>
          <w:shd w:val="clear" w:color="auto" w:fill="FFFFFF"/>
        </w:rPr>
      </w:pPr>
      <w:bookmarkStart w:id="3" w:name="_Toc2841"/>
      <w:bookmarkStart w:id="4" w:name="_Toc16445"/>
      <w:r>
        <w:rPr>
          <w:rFonts w:hint="eastAsia" w:ascii="宋体" w:hAnsi="宋体"/>
          <w:b/>
          <w:color w:val="auto"/>
          <w:sz w:val="28"/>
          <w:highlight w:val="none"/>
          <w:shd w:val="clear" w:color="auto" w:fill="FFFFFF"/>
        </w:rPr>
        <w:t>新疆医科大学附属肿瘤医院消防设施维护及检测项目</w:t>
      </w:r>
    </w:p>
    <w:p>
      <w:pPr>
        <w:shd w:val="solid" w:color="FFFFFF"/>
        <w:autoSpaceDN w:val="0"/>
        <w:spacing w:line="480" w:lineRule="auto"/>
        <w:ind w:left="-14" w:leftChars="-7" w:right="-92" w:rightChars="-44" w:firstLine="14" w:firstLineChars="5"/>
        <w:jc w:val="center"/>
        <w:outlineLvl w:val="1"/>
        <w:rPr>
          <w:rFonts w:ascii="宋体"/>
          <w:b/>
          <w:color w:val="auto"/>
          <w:sz w:val="28"/>
          <w:highlight w:val="none"/>
          <w:shd w:val="clear" w:color="auto" w:fill="FFFFFF"/>
        </w:rPr>
      </w:pPr>
      <w:r>
        <w:rPr>
          <w:rFonts w:hint="eastAsia" w:ascii="宋体" w:hAnsi="宋体"/>
          <w:b/>
          <w:color w:val="auto"/>
          <w:sz w:val="28"/>
          <w:highlight w:val="none"/>
          <w:shd w:val="clear" w:color="auto" w:fill="FFFFFF"/>
        </w:rPr>
        <w:t>竞争性磋商公告</w:t>
      </w:r>
      <w:bookmarkEnd w:id="3"/>
      <w:bookmarkEnd w:id="4"/>
    </w:p>
    <w:p>
      <w:pPr>
        <w:shd w:val="clear"/>
        <w:spacing w:line="360" w:lineRule="auto"/>
        <w:ind w:right="-92" w:rightChars="-44"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u w:val="single"/>
          <w:shd w:val="clear" w:color="auto" w:fill="FFFFFF"/>
        </w:rPr>
        <w:t>华诚博远工程咨询有限公司</w:t>
      </w:r>
      <w:r>
        <w:rPr>
          <w:rFonts w:hint="eastAsia" w:ascii="宋体" w:hAnsi="宋体" w:cs="宋体"/>
          <w:color w:val="auto"/>
          <w:sz w:val="24"/>
          <w:highlight w:val="none"/>
          <w:shd w:val="clear" w:color="auto" w:fill="FFFFFF"/>
        </w:rPr>
        <w:t>受</w:t>
      </w:r>
      <w:r>
        <w:rPr>
          <w:rFonts w:hint="eastAsia" w:ascii="宋体" w:hAnsi="宋体" w:cs="宋体"/>
          <w:color w:val="auto"/>
          <w:sz w:val="24"/>
          <w:highlight w:val="none"/>
          <w:u w:val="single"/>
          <w:shd w:val="clear" w:color="auto" w:fill="FFFFFF"/>
        </w:rPr>
        <w:t>新疆医科大学附属肿瘤医院</w:t>
      </w:r>
      <w:r>
        <w:rPr>
          <w:rFonts w:hint="eastAsia" w:ascii="宋体" w:hAnsi="宋体" w:cs="宋体"/>
          <w:color w:val="auto"/>
          <w:sz w:val="24"/>
          <w:highlight w:val="none"/>
          <w:shd w:val="clear" w:color="auto" w:fill="FFFFFF"/>
        </w:rPr>
        <w:t>委托，对</w:t>
      </w:r>
      <w:r>
        <w:rPr>
          <w:rFonts w:hint="eastAsia" w:ascii="宋体" w:hAnsi="宋体" w:cs="宋体"/>
          <w:color w:val="auto"/>
          <w:sz w:val="24"/>
          <w:highlight w:val="none"/>
          <w:u w:val="single"/>
          <w:shd w:val="clear" w:color="auto" w:fill="FFFFFF"/>
        </w:rPr>
        <w:t>新疆医科大学附属肿瘤医院消防设施维护及检测</w:t>
      </w:r>
      <w:r>
        <w:rPr>
          <w:rFonts w:hint="eastAsia" w:ascii="宋体" w:hAnsi="宋体" w:cs="宋体"/>
          <w:color w:val="auto"/>
          <w:sz w:val="24"/>
          <w:highlight w:val="none"/>
          <w:u w:val="single"/>
          <w:shd w:val="clear" w:color="auto" w:fill="FFFFFF"/>
        </w:rPr>
        <w:t>项目</w:t>
      </w:r>
      <w:r>
        <w:rPr>
          <w:rFonts w:hint="eastAsia" w:ascii="宋体" w:hAnsi="宋体" w:cs="宋体"/>
          <w:color w:val="auto"/>
          <w:sz w:val="24"/>
          <w:highlight w:val="none"/>
          <w:u w:val="single"/>
          <w:shd w:val="clear" w:color="auto" w:fill="FFFFFF"/>
          <w:lang w:eastAsia="zh-CN"/>
        </w:rPr>
        <w:t>（</w:t>
      </w:r>
      <w:r>
        <w:rPr>
          <w:rFonts w:hint="eastAsia" w:ascii="宋体" w:hAnsi="宋体" w:cs="宋体"/>
          <w:color w:val="auto"/>
          <w:sz w:val="24"/>
          <w:highlight w:val="none"/>
          <w:u w:val="single"/>
          <w:shd w:val="clear" w:color="auto" w:fill="FFFFFF"/>
          <w:lang w:val="en-US" w:eastAsia="zh-CN"/>
        </w:rPr>
        <w:t>二次</w:t>
      </w:r>
      <w:r>
        <w:rPr>
          <w:rFonts w:hint="eastAsia" w:ascii="宋体" w:hAnsi="宋体" w:cs="宋体"/>
          <w:color w:val="auto"/>
          <w:sz w:val="24"/>
          <w:highlight w:val="none"/>
          <w:u w:val="single"/>
          <w:shd w:val="clear" w:color="auto" w:fill="FFFFFF"/>
          <w:lang w:eastAsia="zh-CN"/>
        </w:rPr>
        <w:t>）</w:t>
      </w:r>
      <w:r>
        <w:rPr>
          <w:rFonts w:hint="eastAsia" w:ascii="宋体" w:hAnsi="宋体" w:cs="宋体"/>
          <w:color w:val="auto"/>
          <w:sz w:val="24"/>
          <w:highlight w:val="none"/>
          <w:shd w:val="clear" w:color="auto" w:fill="FFFFFF"/>
        </w:rPr>
        <w:t>以</w:t>
      </w:r>
      <w:r>
        <w:rPr>
          <w:rFonts w:hint="eastAsia" w:ascii="宋体" w:hAnsi="宋体" w:cs="宋体"/>
          <w:color w:val="auto"/>
          <w:sz w:val="24"/>
          <w:highlight w:val="none"/>
          <w:u w:val="single"/>
          <w:shd w:val="clear" w:color="auto" w:fill="FFFFFF"/>
        </w:rPr>
        <w:t>竞争性磋商</w:t>
      </w:r>
      <w:r>
        <w:rPr>
          <w:rFonts w:hint="eastAsia" w:ascii="宋体" w:hAnsi="宋体" w:cs="宋体"/>
          <w:color w:val="auto"/>
          <w:sz w:val="24"/>
          <w:highlight w:val="none"/>
          <w:shd w:val="clear" w:color="auto" w:fill="FFFFFF"/>
        </w:rPr>
        <w:t>的方式进行招标，现欢迎符合要求的投标人参与本次招标活动。</w:t>
      </w:r>
    </w:p>
    <w:p>
      <w:pPr>
        <w:numPr>
          <w:ilvl w:val="0"/>
          <w:numId w:val="2"/>
        </w:numPr>
        <w:shd w:val="clear"/>
        <w:spacing w:line="360" w:lineRule="auto"/>
        <w:ind w:left="-67" w:right="-92" w:rightChars="-44" w:firstLine="67"/>
        <w:outlineLvl w:val="1"/>
        <w:rPr>
          <w:rFonts w:ascii="宋体" w:hAnsi="宋体" w:cs="宋体"/>
          <w:b/>
          <w:bCs/>
          <w:color w:val="auto"/>
          <w:sz w:val="28"/>
          <w:szCs w:val="28"/>
          <w:highlight w:val="none"/>
          <w:shd w:val="clear" w:color="auto" w:fill="FFFFFF"/>
        </w:rPr>
      </w:pPr>
      <w:bookmarkStart w:id="5" w:name="_Toc25315"/>
      <w:bookmarkStart w:id="6" w:name="_Toc15475"/>
      <w:r>
        <w:rPr>
          <w:rFonts w:hint="eastAsia" w:ascii="宋体" w:hAnsi="宋体" w:cs="宋体"/>
          <w:b/>
          <w:bCs/>
          <w:color w:val="auto"/>
          <w:sz w:val="28"/>
          <w:szCs w:val="28"/>
          <w:highlight w:val="none"/>
          <w:shd w:val="clear" w:color="auto" w:fill="FFFFFF"/>
        </w:rPr>
        <w:t>项目基本情况</w:t>
      </w:r>
      <w:bookmarkEnd w:id="5"/>
      <w:bookmarkEnd w:id="6"/>
    </w:p>
    <w:p>
      <w:pPr>
        <w:numPr>
          <w:ilvl w:val="0"/>
          <w:numId w:val="3"/>
        </w:numPr>
        <w:shd w:val="clea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招标项目名称：新疆医科大学附属肿瘤医院消防设施维护及检测</w:t>
      </w:r>
      <w:r>
        <w:rPr>
          <w:rFonts w:hint="eastAsia" w:ascii="宋体" w:hAnsi="宋体" w:cs="宋体"/>
          <w:color w:val="auto"/>
          <w:sz w:val="24"/>
          <w:highlight w:val="none"/>
          <w:shd w:val="clear" w:color="auto" w:fill="FFFFFF"/>
        </w:rPr>
        <w:t>项目</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二次</w:t>
      </w:r>
      <w:r>
        <w:rPr>
          <w:rFonts w:hint="eastAsia" w:ascii="宋体" w:hAnsi="宋体" w:cs="宋体"/>
          <w:color w:val="auto"/>
          <w:sz w:val="24"/>
          <w:highlight w:val="none"/>
          <w:shd w:val="clear" w:color="auto" w:fill="FFFFFF"/>
          <w:lang w:eastAsia="zh-CN"/>
        </w:rPr>
        <w:t>）</w:t>
      </w:r>
    </w:p>
    <w:p>
      <w:pPr>
        <w:shd w:val="clear"/>
        <w:spacing w:line="360" w:lineRule="auto"/>
        <w:ind w:right="-92" w:rightChars="-44"/>
        <w:rPr>
          <w:rFonts w:hint="default" w:ascii="宋体" w:hAnsi="宋体" w:eastAsia="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rPr>
        <w:t>2.项目编号：</w:t>
      </w:r>
      <w:r>
        <w:rPr>
          <w:rFonts w:hint="eastAsia" w:ascii="宋体" w:hAnsi="宋体"/>
          <w:b/>
          <w:color w:val="auto"/>
          <w:sz w:val="28"/>
          <w:szCs w:val="28"/>
          <w:highlight w:val="none"/>
        </w:rPr>
        <w:t>[2023]24345</w:t>
      </w:r>
      <w:r>
        <w:rPr>
          <w:rFonts w:hint="eastAsia" w:ascii="宋体" w:hAnsi="宋体"/>
          <w:b/>
          <w:color w:val="auto"/>
          <w:sz w:val="28"/>
          <w:szCs w:val="28"/>
          <w:highlight w:val="none"/>
          <w:lang w:val="en-US" w:eastAsia="zh-CN"/>
        </w:rPr>
        <w:t>-02号</w:t>
      </w:r>
    </w:p>
    <w:p>
      <w:pPr>
        <w:shd w:val="clea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3.招标内容：新疆医科大学附属肿瘤医院消防设施维护及检测</w:t>
      </w:r>
      <w:bookmarkStart w:id="183" w:name="_GoBack"/>
      <w:bookmarkEnd w:id="183"/>
    </w:p>
    <w:p>
      <w:pPr>
        <w:shd w:val="clea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4.资金来源：自筹资金 。</w:t>
      </w:r>
    </w:p>
    <w:p>
      <w:pPr>
        <w:shd w:val="clear"/>
        <w:spacing w:line="360" w:lineRule="auto"/>
        <w:ind w:right="-92" w:rightChars="-44"/>
        <w:rPr>
          <w:rFonts w:ascii="宋体" w:cs="宋体"/>
          <w:color w:val="auto"/>
          <w:sz w:val="24"/>
          <w:highlight w:val="none"/>
        </w:rPr>
      </w:pPr>
      <w:r>
        <w:rPr>
          <w:rFonts w:hint="eastAsia" w:ascii="宋体" w:hAnsi="宋体" w:cs="宋体"/>
          <w:color w:val="auto"/>
          <w:sz w:val="24"/>
          <w:highlight w:val="none"/>
        </w:rPr>
        <w:t>5.预算金额：18.18万元/年。本项目按单价招标，维保和检测两项单价控制价不超过1元/㎡/年，其中消防设施维保费单价控制价不超过0.8元/㎡/年,消防设施年度检测费单价控制价不超过0.2元/㎡/年，控制总价不超过18.18万元/年。</w:t>
      </w:r>
    </w:p>
    <w:p>
      <w:pPr>
        <w:shd w:val="clear"/>
        <w:spacing w:line="360" w:lineRule="auto"/>
        <w:ind w:right="-92" w:rightChars="-44"/>
        <w:rPr>
          <w:rFonts w:ascii="宋体" w:hAnsi="宋体" w:cs="宋体"/>
          <w:color w:val="auto"/>
          <w:sz w:val="24"/>
          <w:szCs w:val="24"/>
          <w:highlight w:val="none"/>
        </w:rPr>
      </w:pPr>
      <w:r>
        <w:rPr>
          <w:rFonts w:hint="eastAsia" w:ascii="宋体" w:hAnsi="宋体" w:cs="宋体"/>
          <w:color w:val="auto"/>
          <w:sz w:val="24"/>
          <w:szCs w:val="24"/>
          <w:highlight w:val="none"/>
        </w:rPr>
        <w:t>6.服务周期：两年（具体日期与甲方签订合同为准）。</w:t>
      </w:r>
    </w:p>
    <w:p>
      <w:pPr>
        <w:shd w:val="clear"/>
        <w:spacing w:line="360" w:lineRule="auto"/>
        <w:ind w:right="-92" w:rightChars="-44"/>
        <w:outlineLvl w:val="1"/>
        <w:rPr>
          <w:rFonts w:ascii="宋体" w:hAnsi="宋体" w:cs="宋体"/>
          <w:b/>
          <w:bCs/>
          <w:color w:val="auto"/>
          <w:sz w:val="28"/>
          <w:szCs w:val="28"/>
          <w:highlight w:val="none"/>
          <w:shd w:val="clear" w:color="auto" w:fill="FFFFFF"/>
        </w:rPr>
      </w:pPr>
      <w:bookmarkStart w:id="7" w:name="_Toc12124"/>
      <w:bookmarkStart w:id="8" w:name="_Toc10407"/>
      <w:r>
        <w:rPr>
          <w:rFonts w:hint="eastAsia" w:ascii="宋体" w:hAnsi="宋体" w:cs="宋体"/>
          <w:b/>
          <w:bCs/>
          <w:color w:val="auto"/>
          <w:sz w:val="28"/>
          <w:szCs w:val="28"/>
          <w:highlight w:val="none"/>
          <w:shd w:val="clear" w:color="auto" w:fill="FFFFFF"/>
        </w:rPr>
        <w:t>二、申请人的资格要求：</w:t>
      </w:r>
      <w:bookmarkEnd w:id="7"/>
      <w:bookmarkEnd w:id="8"/>
    </w:p>
    <w:p>
      <w:pPr>
        <w:shd w:val="clea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（1）投标人应符合《中华人民共和国政府采购法》第二十二条规定的条件；</w:t>
      </w:r>
    </w:p>
    <w:p>
      <w:pPr>
        <w:shd w:val="clea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①具有独立承担民事责任的能力；</w:t>
      </w:r>
    </w:p>
    <w:p>
      <w:pPr>
        <w:shd w:val="clea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②具有良好的商业信誉和健全的财务会计制度；</w:t>
      </w:r>
    </w:p>
    <w:p>
      <w:pPr>
        <w:shd w:val="clea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③具有履行合同所必须的设备和专业技术能力；</w:t>
      </w:r>
    </w:p>
    <w:p>
      <w:pPr>
        <w:shd w:val="clea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④有依法缴纳税收和社会保障资金的良好记录；</w:t>
      </w:r>
    </w:p>
    <w:p>
      <w:pPr>
        <w:shd w:val="clea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⑤参加政府采购活动前三年内，在经营活动中没有重大违法、犯罪记录；</w:t>
      </w:r>
    </w:p>
    <w:p>
      <w:pPr>
        <w:shd w:val="clea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⑥法律法规规定的其他条件。</w:t>
      </w:r>
    </w:p>
    <w:p>
      <w:pPr>
        <w:shd w:val="clea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（2）.遵守国家法律、法规有关招标的规定。</w:t>
      </w:r>
    </w:p>
    <w:p>
      <w:pPr>
        <w:shd w:val="clea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（3）.与采购人就本次招标的项目委托的咨询机构、招标代理机构、以及上述机构的附属机构没有行政或经济关联。</w:t>
      </w:r>
    </w:p>
    <w:p>
      <w:pPr>
        <w:pStyle w:val="30"/>
        <w:shd w:val="clear"/>
        <w:spacing w:line="360" w:lineRule="auto"/>
        <w:jc w:val="both"/>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4）.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pStyle w:val="31"/>
        <w:shd w:val="clear"/>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（5）.具有有效的营业执照。</w:t>
      </w:r>
    </w:p>
    <w:p>
      <w:pPr>
        <w:shd w:val="clear"/>
        <w:spacing w:line="360" w:lineRule="auto"/>
        <w:ind w:right="-92" w:rightChars="-44"/>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r>
        <w:rPr>
          <w:rFonts w:hint="eastAsia" w:ascii="宋体" w:hAnsi="宋体" w:cs="宋体"/>
          <w:color w:val="auto"/>
          <w:kern w:val="0"/>
          <w:sz w:val="24"/>
          <w:szCs w:val="24"/>
          <w:highlight w:val="none"/>
        </w:rPr>
        <w:t>须具有</w:t>
      </w:r>
      <w:r>
        <w:rPr>
          <w:rFonts w:hint="eastAsia" w:ascii="宋体" w:hAnsi="宋体" w:cs="宋体"/>
          <w:color w:val="auto"/>
          <w:kern w:val="0"/>
          <w:sz w:val="24"/>
          <w:szCs w:val="24"/>
          <w:highlight w:val="none"/>
          <w:lang w:eastAsia="zh-CN"/>
        </w:rPr>
        <w:t>在</w:t>
      </w:r>
      <w:r>
        <w:rPr>
          <w:rFonts w:hint="eastAsia" w:ascii="宋体" w:cs="宋体"/>
          <w:color w:val="auto"/>
          <w:sz w:val="24"/>
          <w:highlight w:val="none"/>
        </w:rPr>
        <w:t>消防部门注册备案</w:t>
      </w:r>
      <w:r>
        <w:rPr>
          <w:rFonts w:hint="eastAsia" w:ascii="宋体" w:cs="宋体"/>
          <w:color w:val="auto"/>
          <w:sz w:val="24"/>
          <w:highlight w:val="none"/>
          <w:lang w:val="en-US" w:eastAsia="zh-CN"/>
        </w:rPr>
        <w:t>相关证明材料</w:t>
      </w:r>
      <w:r>
        <w:rPr>
          <w:rFonts w:hint="eastAsia" w:ascii="宋体" w:cs="宋体"/>
          <w:color w:val="auto"/>
          <w:sz w:val="24"/>
          <w:highlight w:val="none"/>
        </w:rPr>
        <w:t>。</w:t>
      </w:r>
    </w:p>
    <w:p>
      <w:pPr>
        <w:pStyle w:val="31"/>
        <w:shd w:val="clear"/>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（7）.须具备近一年财务审计报告或银行提供的资信证明（新公司从成立之日起算）。</w:t>
      </w:r>
    </w:p>
    <w:p>
      <w:pPr>
        <w:pStyle w:val="31"/>
        <w:shd w:val="clear"/>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（8）.须具有近一年任意月纳税证明（新公司从成立之日起算）。</w:t>
      </w:r>
    </w:p>
    <w:p>
      <w:pPr>
        <w:pStyle w:val="31"/>
        <w:shd w:val="clear"/>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（9）.近一年任意月法人或授权委托人人员明细的社保证明（新公司从成立之日起算）。</w:t>
      </w:r>
    </w:p>
    <w:p>
      <w:pPr>
        <w:pStyle w:val="31"/>
        <w:shd w:val="clear"/>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（10）.须具有履行合同所必须的设备和专业技术能力的承诺函。         </w:t>
      </w:r>
    </w:p>
    <w:p>
      <w:pPr>
        <w:pStyle w:val="31"/>
        <w:shd w:val="clear"/>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（11）.参加政府采购活动前3年内在经营活动中没有重大违法记录的书面声明。</w:t>
      </w:r>
    </w:p>
    <w:p>
      <w:pPr>
        <w:pStyle w:val="31"/>
        <w:shd w:val="clear"/>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（12）.投标单位须为中小企业，提供</w:t>
      </w:r>
      <w:r>
        <w:rPr>
          <w:rFonts w:ascii="宋体" w:hAnsi="宋体" w:cs="宋体"/>
          <w:color w:val="auto"/>
          <w:kern w:val="0"/>
          <w:sz w:val="24"/>
          <w:highlight w:val="none"/>
        </w:rPr>
        <w:t>《</w:t>
      </w:r>
      <w:r>
        <w:rPr>
          <w:rFonts w:hint="eastAsia" w:ascii="宋体" w:hAnsi="宋体" w:cs="宋体"/>
          <w:color w:val="auto"/>
          <w:kern w:val="0"/>
          <w:sz w:val="24"/>
          <w:highlight w:val="none"/>
        </w:rPr>
        <w:t>中小企业声明函</w:t>
      </w:r>
      <w:r>
        <w:rPr>
          <w:rFonts w:ascii="宋体" w:hAnsi="宋体" w:cs="宋体"/>
          <w:color w:val="auto"/>
          <w:kern w:val="0"/>
          <w:sz w:val="24"/>
          <w:highlight w:val="none"/>
        </w:rPr>
        <w:t>》</w:t>
      </w:r>
      <w:r>
        <w:rPr>
          <w:rFonts w:hint="eastAsia" w:ascii="宋体" w:hAnsi="宋体" w:cs="宋体"/>
          <w:color w:val="auto"/>
          <w:kern w:val="0"/>
          <w:sz w:val="24"/>
          <w:highlight w:val="none"/>
        </w:rPr>
        <w:t>。</w:t>
      </w:r>
    </w:p>
    <w:p>
      <w:pPr>
        <w:shd w:val="clear"/>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凡拟参加本次招标项目的投标人，如在“信用中国”网站（www.creditchina.gov.cn）被列入失信被执行人、税收违法黑名单、中国政府采购网（www.ccgp.gov.cn）政府采购严重违法失信行为记录名单的（尚在处罚期内的），将拒绝其参加本次采购活动</w:t>
      </w:r>
    </w:p>
    <w:p>
      <w:pPr>
        <w:pStyle w:val="30"/>
        <w:shd w:val="clear"/>
        <w:spacing w:line="360" w:lineRule="auto"/>
        <w:jc w:val="both"/>
        <w:rPr>
          <w:rFonts w:ascii="宋体" w:hAnsi="宋体" w:cs="宋体"/>
          <w:color w:val="auto"/>
          <w:highlight w:val="none"/>
          <w:shd w:val="clear" w:color="auto" w:fill="FFFFFF"/>
        </w:rPr>
      </w:pPr>
      <w:r>
        <w:rPr>
          <w:rFonts w:hint="eastAsia" w:ascii="宋体" w:hAnsi="宋体" w:cs="宋体"/>
          <w:color w:val="auto"/>
          <w:highlight w:val="none"/>
        </w:rPr>
        <w:t>（14）.落实政府采购政策需满足的资格要求：</w:t>
      </w:r>
      <w:r>
        <w:rPr>
          <w:rFonts w:ascii="宋体" w:hAnsi="宋体" w:cs="宋体"/>
          <w:color w:val="auto"/>
          <w:highlight w:val="none"/>
        </w:rPr>
        <w:t>本项目专门面向中小企业</w:t>
      </w:r>
      <w:r>
        <w:rPr>
          <w:rFonts w:hint="eastAsia" w:ascii="宋体" w:hAnsi="宋体" w:cs="宋体"/>
          <w:color w:val="auto"/>
          <w:highlight w:val="none"/>
        </w:rPr>
        <w:t>。</w:t>
      </w:r>
    </w:p>
    <w:p>
      <w:pPr>
        <w:shd w:val="clear"/>
        <w:spacing w:line="360" w:lineRule="auto"/>
        <w:ind w:right="-92" w:rightChars="-44"/>
        <w:outlineLvl w:val="1"/>
        <w:rPr>
          <w:rFonts w:ascii="宋体" w:hAnsi="宋体" w:cs="宋体"/>
          <w:b/>
          <w:bCs/>
          <w:color w:val="auto"/>
          <w:sz w:val="28"/>
          <w:szCs w:val="28"/>
          <w:highlight w:val="none"/>
          <w:shd w:val="clear" w:color="auto" w:fill="FFFFFF"/>
        </w:rPr>
      </w:pPr>
      <w:bookmarkStart w:id="9" w:name="_Toc18340"/>
      <w:bookmarkStart w:id="10" w:name="_Toc11441"/>
      <w:r>
        <w:rPr>
          <w:rFonts w:hint="eastAsia" w:ascii="宋体" w:hAnsi="宋体" w:cs="宋体"/>
          <w:b/>
          <w:bCs/>
          <w:color w:val="auto"/>
          <w:sz w:val="28"/>
          <w:szCs w:val="28"/>
          <w:highlight w:val="none"/>
          <w:shd w:val="clear" w:color="auto" w:fill="FFFFFF"/>
        </w:rPr>
        <w:t>三、获取磋商文件：</w:t>
      </w:r>
      <w:bookmarkEnd w:id="9"/>
      <w:bookmarkEnd w:id="10"/>
    </w:p>
    <w:p>
      <w:pPr>
        <w:pStyle w:val="10"/>
        <w:shd w:val="clear"/>
        <w:ind w:left="0"/>
        <w:rPr>
          <w:rFonts w:ascii="宋体" w:cs="宋体" w:hAnsiTheme="minorHAnsi" w:eastAsiaTheme="minorEastAsia"/>
          <w:color w:val="auto"/>
          <w:sz w:val="24"/>
          <w:szCs w:val="24"/>
          <w:highlight w:val="none"/>
        </w:rPr>
      </w:pPr>
      <w:bookmarkStart w:id="11" w:name="_Toc10835"/>
      <w:bookmarkStart w:id="12" w:name="_Toc29926"/>
      <w:r>
        <w:rPr>
          <w:rFonts w:hint="eastAsia" w:ascii="宋体" w:cs="宋体" w:hAnsiTheme="minorHAnsi" w:eastAsiaTheme="minorEastAsia"/>
          <w:color w:val="auto"/>
          <w:sz w:val="24"/>
          <w:szCs w:val="24"/>
          <w:highlight w:val="none"/>
        </w:rPr>
        <w:t>1.时间：</w:t>
      </w:r>
      <w:r>
        <w:rPr>
          <w:rFonts w:hint="eastAsia" w:ascii="宋体" w:cs="宋体" w:hAnsiTheme="minorHAnsi" w:eastAsiaTheme="minorEastAsia"/>
          <w:color w:val="auto"/>
          <w:sz w:val="24"/>
          <w:szCs w:val="24"/>
          <w:highlight w:val="none"/>
        </w:rPr>
        <w:t>2023年</w:t>
      </w:r>
      <w:r>
        <w:rPr>
          <w:rFonts w:hint="eastAsia" w:ascii="宋体" w:cs="宋体"/>
          <w:color w:val="auto"/>
          <w:sz w:val="24"/>
          <w:szCs w:val="24"/>
          <w:highlight w:val="none"/>
        </w:rPr>
        <w:t>11</w:t>
      </w:r>
      <w:r>
        <w:rPr>
          <w:rFonts w:hint="eastAsia" w:ascii="宋体" w:cs="宋体" w:hAnsiTheme="minorHAnsi" w:eastAsiaTheme="minorEastAsia"/>
          <w:color w:val="auto"/>
          <w:sz w:val="24"/>
          <w:szCs w:val="24"/>
          <w:highlight w:val="none"/>
        </w:rPr>
        <w:t>月</w:t>
      </w:r>
      <w:r>
        <w:rPr>
          <w:rFonts w:hint="eastAsia" w:ascii="宋体" w:cs="宋体" w:hAnsiTheme="minorHAnsi" w:eastAsiaTheme="minorEastAsia"/>
          <w:color w:val="auto"/>
          <w:sz w:val="24"/>
          <w:szCs w:val="24"/>
          <w:highlight w:val="none"/>
          <w:lang w:val="en-US" w:eastAsia="zh-CN"/>
        </w:rPr>
        <w:t>17</w:t>
      </w:r>
      <w:r>
        <w:rPr>
          <w:rFonts w:hint="eastAsia" w:ascii="宋体" w:cs="宋体" w:hAnsiTheme="minorHAnsi" w:eastAsiaTheme="minorEastAsia"/>
          <w:color w:val="auto"/>
          <w:sz w:val="24"/>
          <w:szCs w:val="24"/>
          <w:highlight w:val="none"/>
        </w:rPr>
        <w:t>日至2022年</w:t>
      </w:r>
      <w:r>
        <w:rPr>
          <w:rFonts w:hint="eastAsia" w:ascii="宋体" w:cs="宋体"/>
          <w:color w:val="auto"/>
          <w:sz w:val="24"/>
          <w:szCs w:val="24"/>
          <w:highlight w:val="none"/>
        </w:rPr>
        <w:t>11</w:t>
      </w:r>
      <w:r>
        <w:rPr>
          <w:rFonts w:hint="eastAsia" w:ascii="宋体" w:cs="宋体" w:hAnsiTheme="minorHAnsi" w:eastAsiaTheme="minorEastAsia"/>
          <w:color w:val="auto"/>
          <w:sz w:val="24"/>
          <w:szCs w:val="24"/>
          <w:highlight w:val="none"/>
        </w:rPr>
        <w:t>月2</w:t>
      </w:r>
      <w:r>
        <w:rPr>
          <w:rFonts w:hint="eastAsia" w:ascii="宋体" w:cs="宋体" w:hAnsiTheme="minorHAnsi" w:eastAsiaTheme="minorEastAsia"/>
          <w:color w:val="auto"/>
          <w:sz w:val="24"/>
          <w:szCs w:val="24"/>
          <w:highlight w:val="none"/>
          <w:lang w:val="en-US" w:eastAsia="zh-CN"/>
        </w:rPr>
        <w:t>4</w:t>
      </w:r>
      <w:r>
        <w:rPr>
          <w:rFonts w:hint="eastAsia" w:ascii="宋体" w:cs="宋体" w:hAnsiTheme="minorHAnsi" w:eastAsiaTheme="minorEastAsia"/>
          <w:color w:val="auto"/>
          <w:sz w:val="24"/>
          <w:szCs w:val="24"/>
          <w:highlight w:val="none"/>
        </w:rPr>
        <w:t>日</w:t>
      </w:r>
      <w:r>
        <w:rPr>
          <w:rFonts w:hint="eastAsia" w:ascii="宋体" w:cs="宋体" w:hAnsiTheme="minorHAnsi" w:eastAsiaTheme="minorEastAsia"/>
          <w:color w:val="auto"/>
          <w:sz w:val="24"/>
          <w:szCs w:val="24"/>
          <w:highlight w:val="none"/>
        </w:rPr>
        <w:t>，每天上午00:00-12:00,下午12:00-23:59（北京时间，法定节假日除外）</w:t>
      </w:r>
    </w:p>
    <w:p>
      <w:pPr>
        <w:shd w:val="clear"/>
        <w:rPr>
          <w:color w:val="auto"/>
          <w:highlight w:val="none"/>
        </w:rPr>
      </w:pPr>
      <w:r>
        <w:rPr>
          <w:rFonts w:hint="eastAsia" w:ascii="宋体" w:cs="宋体" w:hAnsiTheme="minorHAnsi" w:eastAsiaTheme="minorEastAsia"/>
          <w:color w:val="auto"/>
          <w:sz w:val="24"/>
          <w:szCs w:val="24"/>
          <w:highlight w:val="none"/>
        </w:rPr>
        <w:t>2.地点：新疆政府采购云平台</w:t>
      </w:r>
      <w:r>
        <w:rPr>
          <w:rFonts w:hint="eastAsia" w:ascii="宋体" w:hAnsi="Calibri" w:cs="宋体"/>
          <w:color w:val="auto"/>
          <w:sz w:val="24"/>
          <w:szCs w:val="24"/>
          <w:highlight w:val="none"/>
        </w:rPr>
        <w:t>https://www.zcygov.cn/</w:t>
      </w:r>
    </w:p>
    <w:p>
      <w:pPr>
        <w:shd w:val="clear"/>
        <w:spacing w:line="360" w:lineRule="auto"/>
        <w:ind w:right="-92" w:rightChars="-44"/>
        <w:rPr>
          <w:rFonts w:ascii="宋体" w:hAnsi="Calibri" w:cs="宋体"/>
          <w:color w:val="auto"/>
          <w:sz w:val="24"/>
          <w:szCs w:val="24"/>
          <w:highlight w:val="none"/>
        </w:rPr>
      </w:pPr>
      <w:r>
        <w:rPr>
          <w:rFonts w:hint="eastAsia" w:ascii="宋体" w:hAnsi="Calibri" w:cs="宋体"/>
          <w:color w:val="auto"/>
          <w:sz w:val="24"/>
          <w:szCs w:val="24"/>
          <w:highlight w:val="none"/>
        </w:rPr>
        <w:t>3.方式：供应商登录新疆政府采购云平台https://www.zcygov.cn/在线申请获取采购文件（进入“项目采购”应用，在获取采购文件菜单中选择项目，申请获取采购文件）</w:t>
      </w:r>
    </w:p>
    <w:p>
      <w:pPr>
        <w:shd w:val="clear"/>
        <w:spacing w:line="360" w:lineRule="auto"/>
        <w:ind w:right="-92" w:rightChars="-44"/>
        <w:rPr>
          <w:rFonts w:ascii="宋体" w:cs="宋体" w:hAnsiTheme="minorHAnsi" w:eastAsiaTheme="minorEastAsia"/>
          <w:color w:val="auto"/>
          <w:sz w:val="24"/>
          <w:szCs w:val="24"/>
          <w:highlight w:val="none"/>
        </w:rPr>
      </w:pPr>
      <w:r>
        <w:rPr>
          <w:rFonts w:hint="eastAsia" w:ascii="宋体" w:cs="宋体"/>
          <w:color w:val="auto"/>
          <w:sz w:val="24"/>
          <w:szCs w:val="24"/>
          <w:highlight w:val="none"/>
        </w:rPr>
        <w:t>4.</w:t>
      </w:r>
      <w:r>
        <w:rPr>
          <w:rFonts w:hint="eastAsia" w:ascii="宋体" w:cs="宋体" w:hAnsiTheme="minorHAnsi" w:eastAsiaTheme="minorEastAsia"/>
          <w:color w:val="auto"/>
          <w:sz w:val="24"/>
          <w:szCs w:val="24"/>
          <w:highlight w:val="none"/>
        </w:rPr>
        <w:t>售价（元）：0</w:t>
      </w:r>
    </w:p>
    <w:p>
      <w:pPr>
        <w:shd w:val="clear"/>
        <w:spacing w:line="360" w:lineRule="auto"/>
        <w:ind w:right="-92" w:rightChars="-44"/>
        <w:outlineLvl w:val="1"/>
        <w:rPr>
          <w:rFonts w:ascii="宋体" w:hAnsi="宋体" w:cs="宋体"/>
          <w:b/>
          <w:bCs/>
          <w:color w:val="auto"/>
          <w:sz w:val="28"/>
          <w:szCs w:val="28"/>
          <w:highlight w:val="none"/>
          <w:shd w:val="clear" w:color="auto" w:fill="FFFFFF"/>
        </w:rPr>
      </w:pPr>
      <w:r>
        <w:rPr>
          <w:rFonts w:hint="eastAsia" w:ascii="宋体" w:hAnsi="宋体" w:cs="宋体"/>
          <w:b/>
          <w:bCs/>
          <w:color w:val="auto"/>
          <w:sz w:val="28"/>
          <w:szCs w:val="28"/>
          <w:highlight w:val="none"/>
          <w:shd w:val="clear" w:color="auto" w:fill="FFFFFF"/>
        </w:rPr>
        <w:t>四、提交响应文件截止时间、开标时间和地点：</w:t>
      </w:r>
      <w:bookmarkEnd w:id="11"/>
      <w:bookmarkEnd w:id="12"/>
    </w:p>
    <w:p>
      <w:pPr>
        <w:shd w:val="clear"/>
        <w:spacing w:line="360" w:lineRule="auto"/>
        <w:ind w:right="-92" w:rightChars="-44"/>
        <w:rPr>
          <w:rFonts w:ascii="宋体" w:cs="宋体"/>
          <w:color w:val="auto"/>
          <w:sz w:val="24"/>
          <w:highlight w:val="none"/>
        </w:rPr>
      </w:pPr>
      <w:r>
        <w:rPr>
          <w:rFonts w:hint="eastAsia" w:ascii="宋体" w:hAnsi="宋体" w:cs="宋体"/>
          <w:color w:val="auto"/>
          <w:sz w:val="24"/>
          <w:highlight w:val="none"/>
        </w:rPr>
        <w:t>1.投标截止时间及开标日期：</w:t>
      </w:r>
      <w:r>
        <w:rPr>
          <w:rFonts w:hint="eastAsia" w:ascii="宋体" w:hAnsi="宋体" w:cs="宋体"/>
          <w:color w:val="auto"/>
          <w:sz w:val="24"/>
          <w:highlight w:val="none"/>
        </w:rPr>
        <w:t>2023年11月</w:t>
      </w:r>
      <w:r>
        <w:rPr>
          <w:rFonts w:hint="eastAsia" w:ascii="宋体" w:hAnsi="宋体" w:cs="宋体"/>
          <w:color w:val="auto"/>
          <w:sz w:val="24"/>
          <w:highlight w:val="none"/>
          <w:lang w:val="en-US" w:eastAsia="zh-CN"/>
        </w:rPr>
        <w:t>28</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：0</w:t>
      </w:r>
      <w:r>
        <w:rPr>
          <w:rFonts w:ascii="宋体" w:cs="宋体"/>
          <w:color w:val="auto"/>
          <w:sz w:val="24"/>
          <w:highlight w:val="none"/>
        </w:rPr>
        <w:t>0</w:t>
      </w:r>
      <w:r>
        <w:rPr>
          <w:rFonts w:hint="eastAsia" w:ascii="宋体" w:hAnsi="宋体" w:cs="宋体"/>
          <w:color w:val="auto"/>
          <w:sz w:val="24"/>
          <w:highlight w:val="none"/>
        </w:rPr>
        <w:t>时</w:t>
      </w:r>
      <w:r>
        <w:rPr>
          <w:rFonts w:hint="eastAsia" w:ascii="宋体" w:hAnsi="宋体" w:cs="宋体"/>
          <w:color w:val="auto"/>
          <w:sz w:val="24"/>
          <w:highlight w:val="none"/>
        </w:rPr>
        <w:t>（北京时间）（过期不予受理）。</w:t>
      </w:r>
    </w:p>
    <w:p>
      <w:pPr>
        <w:shd w:val="clear"/>
        <w:spacing w:line="360" w:lineRule="auto"/>
        <w:ind w:right="-92" w:rightChars="-44"/>
        <w:rPr>
          <w:rFonts w:ascii="宋体" w:hAnsi="宋体" w:cs="宋体"/>
          <w:color w:val="auto"/>
          <w:sz w:val="24"/>
          <w:highlight w:val="none"/>
        </w:rPr>
      </w:pPr>
      <w:r>
        <w:rPr>
          <w:rFonts w:hint="eastAsia" w:ascii="宋体" w:hAnsi="宋体" w:cs="宋体"/>
          <w:color w:val="auto"/>
          <w:sz w:val="24"/>
          <w:highlight w:val="none"/>
        </w:rPr>
        <w:t>2.开标地点：</w:t>
      </w:r>
      <w:r>
        <w:rPr>
          <w:rFonts w:hint="eastAsia" w:ascii="宋体" w:hAnsi="Calibri" w:cs="宋体"/>
          <w:color w:val="auto"/>
          <w:sz w:val="24"/>
          <w:szCs w:val="24"/>
          <w:highlight w:val="none"/>
        </w:rPr>
        <w:t>政采云平台</w:t>
      </w:r>
      <w:r>
        <w:rPr>
          <w:rFonts w:hint="eastAsia" w:ascii="宋体" w:hAnsi="宋体" w:cs="宋体"/>
          <w:color w:val="auto"/>
          <w:sz w:val="24"/>
          <w:highlight w:val="none"/>
        </w:rPr>
        <w:t>。</w:t>
      </w:r>
    </w:p>
    <w:p>
      <w:pPr>
        <w:shd w:val="clear"/>
        <w:spacing w:line="360" w:lineRule="auto"/>
        <w:ind w:right="-92" w:rightChars="-44"/>
        <w:outlineLvl w:val="1"/>
        <w:rPr>
          <w:rFonts w:ascii="宋体" w:hAnsi="宋体" w:cs="宋体"/>
          <w:b/>
          <w:bCs/>
          <w:color w:val="auto"/>
          <w:sz w:val="28"/>
          <w:szCs w:val="28"/>
          <w:highlight w:val="none"/>
          <w:shd w:val="clear" w:color="auto" w:fill="FFFFFF"/>
        </w:rPr>
      </w:pPr>
      <w:bookmarkStart w:id="13" w:name="_Toc32064"/>
      <w:bookmarkStart w:id="14" w:name="_Toc10523"/>
      <w:r>
        <w:rPr>
          <w:rFonts w:hint="eastAsia" w:ascii="宋体" w:hAnsi="宋体" w:cs="宋体"/>
          <w:b/>
          <w:bCs/>
          <w:color w:val="auto"/>
          <w:sz w:val="28"/>
          <w:szCs w:val="28"/>
          <w:highlight w:val="none"/>
          <w:shd w:val="clear" w:color="auto" w:fill="FFFFFF"/>
        </w:rPr>
        <w:t>五、联系事项：</w:t>
      </w:r>
      <w:bookmarkEnd w:id="13"/>
      <w:bookmarkEnd w:id="14"/>
    </w:p>
    <w:p>
      <w:pPr>
        <w:pStyle w:val="16"/>
        <w:shd w:val="clear"/>
        <w:spacing w:line="360" w:lineRule="auto"/>
        <w:rPr>
          <w:color w:val="auto"/>
          <w:highlight w:val="none"/>
        </w:rPr>
      </w:pPr>
      <w:r>
        <w:rPr>
          <w:rFonts w:hint="eastAsia" w:ascii="宋体" w:hAnsi="宋体" w:cs="宋体"/>
          <w:color w:val="auto"/>
          <w:sz w:val="24"/>
          <w:szCs w:val="24"/>
          <w:highlight w:val="none"/>
        </w:rPr>
        <w:t>1.采购人信息：</w:t>
      </w:r>
    </w:p>
    <w:p>
      <w:pPr>
        <w:shd w:val="clea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名 称：</w:t>
      </w:r>
      <w:r>
        <w:rPr>
          <w:rFonts w:hint="eastAsia" w:ascii="宋体" w:hAnsi="宋体" w:cs="宋体"/>
          <w:color w:val="auto"/>
          <w:sz w:val="24"/>
          <w:highlight w:val="none"/>
          <w:shd w:val="clear" w:color="auto" w:fill="FFFFFF"/>
        </w:rPr>
        <w:t>新疆医科大学附属肿瘤医院</w:t>
      </w:r>
    </w:p>
    <w:p>
      <w:pPr>
        <w:shd w:val="clea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地址：</w:t>
      </w:r>
      <w:r>
        <w:rPr>
          <w:rFonts w:hint="eastAsia" w:ascii="宋体" w:hAnsi="Calibri" w:cs="宋体"/>
          <w:color w:val="auto"/>
          <w:sz w:val="24"/>
          <w:highlight w:val="none"/>
        </w:rPr>
        <w:t>新疆乌鲁木齐市新市区苏州东街789号</w:t>
      </w:r>
      <w:r>
        <w:rPr>
          <w:rFonts w:ascii="宋体" w:hAnsi="宋体"/>
          <w:color w:val="auto"/>
          <w:sz w:val="24"/>
          <w:szCs w:val="24"/>
          <w:highlight w:val="none"/>
        </w:rPr>
        <w:t xml:space="preserve"> </w:t>
      </w:r>
    </w:p>
    <w:p>
      <w:pPr>
        <w:shd w:val="clea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联系电话：</w:t>
      </w:r>
      <w:r>
        <w:rPr>
          <w:rFonts w:hint="eastAsia" w:ascii="宋体" w:hAnsi="Calibri" w:cs="宋体"/>
          <w:color w:val="auto"/>
          <w:sz w:val="24"/>
          <w:highlight w:val="none"/>
        </w:rPr>
        <w:t>0991—7819055      0991—7968067</w:t>
      </w:r>
    </w:p>
    <w:p>
      <w:pPr>
        <w:pStyle w:val="16"/>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2.招标代理机构：</w:t>
      </w:r>
    </w:p>
    <w:p>
      <w:pPr>
        <w:shd w:val="clea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招标代理机构：华诚博远工程咨询有限公司</w:t>
      </w:r>
    </w:p>
    <w:p>
      <w:pPr>
        <w:shd w:val="clea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地址：乌鲁木齐市鲤鱼山北路领世广场3号楼904室</w:t>
      </w:r>
    </w:p>
    <w:p>
      <w:pPr>
        <w:shd w:val="clea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 xml:space="preserve">联系人：许雪洁     </w:t>
      </w:r>
    </w:p>
    <w:p>
      <w:pPr>
        <w:shd w:val="clea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联系电话: 17609059997</w:t>
      </w:r>
    </w:p>
    <w:p>
      <w:pPr>
        <w:shd w:val="clear"/>
        <w:spacing w:line="360" w:lineRule="auto"/>
        <w:ind w:right="-92" w:rightChars="-44"/>
        <w:rPr>
          <w:rFonts w:ascii="宋体" w:hAnsi="宋体" w:cs="宋体"/>
          <w:color w:val="auto"/>
          <w:sz w:val="24"/>
          <w:highlight w:val="none"/>
        </w:rPr>
      </w:pPr>
    </w:p>
    <w:p>
      <w:pPr>
        <w:shd w:val="clear"/>
        <w:spacing w:line="360" w:lineRule="auto"/>
        <w:ind w:left="-14" w:leftChars="-7" w:right="-92" w:rightChars="-44" w:firstLine="487" w:firstLineChars="203"/>
        <w:rPr>
          <w:rFonts w:ascii="宋体" w:hAnsi="宋体" w:cs="宋体"/>
          <w:color w:val="auto"/>
          <w:sz w:val="24"/>
          <w:highlight w:val="none"/>
        </w:rPr>
      </w:pPr>
    </w:p>
    <w:p>
      <w:pPr>
        <w:shd w:val="clear"/>
        <w:spacing w:line="360" w:lineRule="auto"/>
        <w:ind w:left="-14" w:leftChars="-7" w:right="-92" w:rightChars="-44" w:firstLine="12" w:firstLineChars="5"/>
        <w:rPr>
          <w:rFonts w:ascii="宋体" w:hAnsi="宋体" w:cs="宋体"/>
          <w:color w:val="auto"/>
          <w:sz w:val="24"/>
          <w:highlight w:val="none"/>
        </w:rPr>
      </w:pPr>
      <w:r>
        <w:rPr>
          <w:rFonts w:hint="eastAsia" w:ascii="宋体" w:hAnsi="宋体" w:cs="宋体"/>
          <w:color w:val="auto"/>
          <w:sz w:val="24"/>
          <w:highlight w:val="none"/>
        </w:rPr>
        <w:t xml:space="preserve">                                              华诚博远工程咨询有限公司</w:t>
      </w:r>
    </w:p>
    <w:p>
      <w:pPr>
        <w:shd w:val="clear"/>
        <w:spacing w:line="360" w:lineRule="auto"/>
        <w:ind w:left="-14" w:leftChars="-7" w:right="-92" w:rightChars="-44" w:firstLine="6002" w:firstLineChars="2501"/>
        <w:rPr>
          <w:rFonts w:ascii="宋体" w:hAnsi="宋体"/>
          <w:color w:val="auto"/>
          <w:kern w:val="13"/>
          <w:sz w:val="28"/>
          <w:highlight w:val="none"/>
        </w:rPr>
      </w:pPr>
      <w:r>
        <w:rPr>
          <w:rFonts w:ascii="宋体" w:hAnsi="宋体" w:cs="宋体"/>
          <w:color w:val="auto"/>
          <w:sz w:val="24"/>
          <w:highlight w:val="none"/>
        </w:rPr>
        <w:t>20</w:t>
      </w:r>
      <w:r>
        <w:rPr>
          <w:rFonts w:hint="eastAsia" w:ascii="宋体" w:hAnsi="宋体" w:cs="宋体"/>
          <w:color w:val="auto"/>
          <w:sz w:val="24"/>
          <w:highlight w:val="none"/>
        </w:rPr>
        <w:t>23年1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日</w:t>
      </w:r>
    </w:p>
    <w:p>
      <w:pPr>
        <w:pStyle w:val="3"/>
        <w:shd w:val="clear"/>
        <w:rPr>
          <w:color w:val="auto"/>
          <w:highlight w:val="none"/>
        </w:rPr>
        <w:sectPr>
          <w:footerReference r:id="rId7" w:type="default"/>
          <w:pgSz w:w="11906" w:h="16838"/>
          <w:pgMar w:top="1418" w:right="1134" w:bottom="1418" w:left="1418" w:header="851" w:footer="851" w:gutter="0"/>
          <w:pgNumType w:start="1"/>
          <w:cols w:space="720" w:num="1"/>
          <w:docGrid w:type="linesAndChars" w:linePitch="312" w:charSpace="0"/>
        </w:sectPr>
      </w:pPr>
    </w:p>
    <w:p>
      <w:pPr>
        <w:pStyle w:val="30"/>
        <w:numPr>
          <w:ilvl w:val="0"/>
          <w:numId w:val="4"/>
        </w:numPr>
        <w:shd w:val="clear"/>
        <w:spacing w:line="360" w:lineRule="auto"/>
        <w:jc w:val="both"/>
        <w:outlineLvl w:val="0"/>
        <w:rPr>
          <w:rFonts w:ascii="宋体" w:hAnsi="宋体" w:cs="宋体"/>
          <w:b/>
          <w:color w:val="auto"/>
          <w:sz w:val="36"/>
          <w:highlight w:val="none"/>
        </w:rPr>
      </w:pPr>
      <w:bookmarkStart w:id="15" w:name="_Toc26315"/>
      <w:bookmarkStart w:id="16" w:name="_Toc19911"/>
      <w:bookmarkStart w:id="17" w:name="_Toc18151"/>
      <w:bookmarkStart w:id="18" w:name="_Toc7292"/>
      <w:r>
        <w:rPr>
          <w:rFonts w:hint="eastAsia" w:ascii="宋体" w:hAnsi="宋体" w:cs="宋体"/>
          <w:b/>
          <w:color w:val="auto"/>
          <w:sz w:val="36"/>
          <w:highlight w:val="none"/>
        </w:rPr>
        <w:t>投标须知</w:t>
      </w:r>
      <w:bookmarkEnd w:id="15"/>
      <w:bookmarkEnd w:id="16"/>
      <w:bookmarkEnd w:id="17"/>
      <w:bookmarkEnd w:id="18"/>
    </w:p>
    <w:p>
      <w:pPr>
        <w:shd w:val="clear"/>
        <w:spacing w:line="720" w:lineRule="auto"/>
        <w:jc w:val="center"/>
        <w:outlineLvl w:val="0"/>
        <w:rPr>
          <w:rFonts w:ascii="宋体" w:hAnsi="宋体" w:cs="宋体"/>
          <w:b/>
          <w:color w:val="auto"/>
          <w:sz w:val="36"/>
          <w:highlight w:val="none"/>
        </w:rPr>
      </w:pPr>
      <w:bookmarkStart w:id="19" w:name="_Toc7134"/>
      <w:bookmarkStart w:id="20" w:name="_Toc23430"/>
      <w:bookmarkStart w:id="21" w:name="_Toc25647"/>
      <w:bookmarkStart w:id="22" w:name="_Toc12407"/>
      <w:r>
        <w:rPr>
          <w:rFonts w:hint="eastAsia" w:ascii="宋体" w:hAnsi="宋体" w:cs="宋体"/>
          <w:b/>
          <w:color w:val="auto"/>
          <w:sz w:val="28"/>
          <w:szCs w:val="28"/>
          <w:highlight w:val="none"/>
        </w:rPr>
        <w:t>投标供应商须知前附表</w:t>
      </w:r>
      <w:bookmarkEnd w:id="19"/>
      <w:bookmarkEnd w:id="20"/>
      <w:bookmarkEnd w:id="21"/>
      <w:bookmarkEnd w:id="22"/>
    </w:p>
    <w:tbl>
      <w:tblPr>
        <w:tblStyle w:val="23"/>
        <w:tblW w:w="0" w:type="auto"/>
        <w:jc w:val="center"/>
        <w:tblLayout w:type="fixed"/>
        <w:tblCellMar>
          <w:top w:w="0" w:type="dxa"/>
          <w:left w:w="108" w:type="dxa"/>
          <w:bottom w:w="0" w:type="dxa"/>
          <w:right w:w="108" w:type="dxa"/>
        </w:tblCellMar>
      </w:tblPr>
      <w:tblGrid>
        <w:gridCol w:w="792"/>
        <w:gridCol w:w="1815"/>
        <w:gridCol w:w="6963"/>
      </w:tblGrid>
      <w:tr>
        <w:tblPrEx>
          <w:tblCellMar>
            <w:top w:w="0" w:type="dxa"/>
            <w:left w:w="108" w:type="dxa"/>
            <w:bottom w:w="0" w:type="dxa"/>
            <w:right w:w="108" w:type="dxa"/>
          </w:tblCellMar>
        </w:tblPrEx>
        <w:trPr>
          <w:trHeight w:val="506"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b/>
                <w:bCs/>
                <w:color w:val="auto"/>
                <w:highlight w:val="none"/>
              </w:rPr>
            </w:pPr>
            <w:r>
              <w:rPr>
                <w:rFonts w:hint="eastAsia" w:ascii="宋体" w:hAnsi="宋体" w:cs="宋体"/>
                <w:b/>
                <w:bCs/>
                <w:color w:val="auto"/>
                <w:highlight w:val="none"/>
              </w:rPr>
              <w:t>序号</w:t>
            </w:r>
          </w:p>
        </w:tc>
        <w:tc>
          <w:tcPr>
            <w:tcW w:w="1815"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b/>
                <w:bCs/>
                <w:color w:val="auto"/>
                <w:highlight w:val="none"/>
              </w:rPr>
            </w:pPr>
            <w:r>
              <w:rPr>
                <w:rFonts w:hint="eastAsia" w:ascii="宋体" w:hAnsi="宋体" w:cs="宋体"/>
                <w:b/>
                <w:bCs/>
                <w:color w:val="auto"/>
                <w:highlight w:val="none"/>
              </w:rPr>
              <w:t>项目</w:t>
            </w:r>
          </w:p>
        </w:tc>
        <w:tc>
          <w:tcPr>
            <w:tcW w:w="6963"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b/>
                <w:bCs/>
                <w:color w:val="auto"/>
                <w:highlight w:val="none"/>
              </w:rPr>
            </w:pPr>
            <w:r>
              <w:rPr>
                <w:rFonts w:hint="eastAsia" w:ascii="宋体" w:hAnsi="宋体" w:cs="宋体"/>
                <w:b/>
                <w:bCs/>
                <w:color w:val="auto"/>
                <w:highlight w:val="none"/>
              </w:rPr>
              <w:t>内     容</w:t>
            </w:r>
          </w:p>
        </w:tc>
      </w:tr>
      <w:tr>
        <w:tblPrEx>
          <w:tblCellMar>
            <w:top w:w="0" w:type="dxa"/>
            <w:left w:w="108" w:type="dxa"/>
            <w:bottom w:w="0" w:type="dxa"/>
            <w:right w:w="108" w:type="dxa"/>
          </w:tblCellMar>
        </w:tblPrEx>
        <w:trPr>
          <w:trHeight w:val="1204"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color w:val="auto"/>
                <w:highlight w:val="none"/>
              </w:rPr>
              <w:t>1</w:t>
            </w:r>
          </w:p>
        </w:tc>
        <w:tc>
          <w:tcPr>
            <w:tcW w:w="1815" w:type="dxa"/>
            <w:tcBorders>
              <w:top w:val="single" w:color="auto" w:sz="12" w:space="0"/>
              <w:left w:val="single" w:color="auto" w:sz="12" w:space="0"/>
              <w:bottom w:val="single" w:color="auto" w:sz="12" w:space="0"/>
              <w:right w:val="single" w:color="auto" w:sz="12" w:space="0"/>
            </w:tcBorders>
            <w:vAlign w:val="center"/>
          </w:tcPr>
          <w:p>
            <w:pPr>
              <w:shd w:val="clear"/>
              <w:overflowPunct w:val="0"/>
              <w:spacing w:line="288"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项目名称及</w:t>
            </w:r>
          </w:p>
          <w:p>
            <w:pPr>
              <w:pStyle w:val="30"/>
              <w:shd w:val="clear"/>
              <w:spacing w:line="288" w:lineRule="auto"/>
              <w:jc w:val="center"/>
              <w:rPr>
                <w:rFonts w:ascii="宋体" w:hAnsi="宋体" w:cs="宋体"/>
                <w:color w:val="auto"/>
                <w:highlight w:val="none"/>
              </w:rPr>
            </w:pPr>
            <w:r>
              <w:rPr>
                <w:rFonts w:hint="eastAsia" w:ascii="宋体" w:hAnsi="宋体" w:cs="宋体"/>
                <w:b/>
                <w:color w:val="auto"/>
                <w:highlight w:val="none"/>
              </w:rPr>
              <w:t>项目编号</w:t>
            </w:r>
          </w:p>
        </w:tc>
        <w:tc>
          <w:tcPr>
            <w:tcW w:w="6963" w:type="dxa"/>
            <w:tcBorders>
              <w:top w:val="single" w:color="auto" w:sz="12" w:space="0"/>
              <w:left w:val="single" w:color="auto" w:sz="12" w:space="0"/>
              <w:bottom w:val="single" w:color="auto" w:sz="12" w:space="0"/>
              <w:right w:val="single" w:color="auto" w:sz="12" w:space="0"/>
            </w:tcBorders>
            <w:vAlign w:val="center"/>
          </w:tcPr>
          <w:p>
            <w:pPr>
              <w:shd w:val="clear"/>
              <w:spacing w:line="288" w:lineRule="auto"/>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项目名称:</w:t>
            </w:r>
            <w:r>
              <w:rPr>
                <w:rFonts w:hint="eastAsia" w:ascii="宋体" w:hAnsi="宋体" w:cs="宋体"/>
                <w:color w:val="auto"/>
                <w:sz w:val="24"/>
                <w:highlight w:val="none"/>
                <w:shd w:val="clear" w:color="auto" w:fill="FFFFFF"/>
              </w:rPr>
              <w:t>新疆医科大学附属肿瘤医院消防设施维护及检测</w:t>
            </w:r>
            <w:r>
              <w:rPr>
                <w:rFonts w:hint="eastAsia" w:ascii="宋体" w:hAnsi="宋体" w:cs="宋体"/>
                <w:color w:val="auto"/>
                <w:sz w:val="24"/>
                <w:highlight w:val="none"/>
                <w:shd w:val="clear" w:color="auto" w:fill="FFFFFF"/>
              </w:rPr>
              <w:t>项目</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二次</w:t>
            </w:r>
            <w:r>
              <w:rPr>
                <w:rFonts w:hint="eastAsia" w:ascii="宋体" w:hAnsi="宋体" w:cs="宋体"/>
                <w:color w:val="auto"/>
                <w:sz w:val="24"/>
                <w:highlight w:val="none"/>
                <w:shd w:val="clear" w:color="auto" w:fill="FFFFFF"/>
                <w:lang w:eastAsia="zh-CN"/>
              </w:rPr>
              <w:t>）</w:t>
            </w:r>
          </w:p>
          <w:p>
            <w:pPr>
              <w:shd w:val="clear"/>
              <w:spacing w:line="360" w:lineRule="auto"/>
              <w:ind w:right="-92" w:rightChars="-44"/>
              <w:rPr>
                <w:rFonts w:hint="default" w:eastAsia="宋体"/>
                <w:color w:val="auto"/>
                <w:highlight w:val="none"/>
                <w:lang w:val="en-US" w:eastAsia="zh-CN"/>
              </w:rPr>
            </w:pPr>
            <w:r>
              <w:rPr>
                <w:rFonts w:hint="eastAsia" w:ascii="宋体" w:hAnsi="宋体" w:cs="宋体"/>
                <w:b w:val="0"/>
                <w:bCs w:val="0"/>
                <w:caps w:val="0"/>
                <w:color w:val="auto"/>
                <w:kern w:val="0"/>
                <w:sz w:val="24"/>
                <w:szCs w:val="24"/>
                <w:highlight w:val="none"/>
              </w:rPr>
              <w:t>项目编号:</w:t>
            </w:r>
            <w:r>
              <w:rPr>
                <w:rFonts w:hint="eastAsia" w:ascii="宋体" w:hAnsi="宋体"/>
                <w:b/>
                <w:color w:val="auto"/>
                <w:sz w:val="28"/>
                <w:szCs w:val="28"/>
                <w:highlight w:val="none"/>
              </w:rPr>
              <w:t>[2023]24345</w:t>
            </w:r>
            <w:r>
              <w:rPr>
                <w:rFonts w:hint="eastAsia" w:ascii="宋体" w:hAnsi="宋体"/>
                <w:b/>
                <w:color w:val="auto"/>
                <w:sz w:val="28"/>
                <w:szCs w:val="28"/>
                <w:highlight w:val="none"/>
                <w:lang w:val="en-US" w:eastAsia="zh-CN"/>
              </w:rPr>
              <w:t>-02号</w:t>
            </w:r>
          </w:p>
        </w:tc>
      </w:tr>
      <w:tr>
        <w:tblPrEx>
          <w:tblCellMar>
            <w:top w:w="0" w:type="dxa"/>
            <w:left w:w="108" w:type="dxa"/>
            <w:bottom w:w="0" w:type="dxa"/>
            <w:right w:w="108" w:type="dxa"/>
          </w:tblCellMar>
        </w:tblPrEx>
        <w:trPr>
          <w:trHeight w:val="844"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color w:val="auto"/>
                <w:highlight w:val="none"/>
              </w:rPr>
              <w:t>2</w:t>
            </w:r>
          </w:p>
        </w:tc>
        <w:tc>
          <w:tcPr>
            <w:tcW w:w="1815" w:type="dxa"/>
            <w:tcBorders>
              <w:top w:val="single" w:color="auto" w:sz="12" w:space="0"/>
              <w:left w:val="single" w:color="auto" w:sz="12" w:space="0"/>
              <w:bottom w:val="single" w:color="auto" w:sz="12" w:space="0"/>
              <w:right w:val="single" w:color="auto" w:sz="12" w:space="0"/>
            </w:tcBorders>
            <w:vAlign w:val="center"/>
          </w:tcPr>
          <w:p>
            <w:pPr>
              <w:shd w:val="clear"/>
              <w:overflowPunct w:val="0"/>
              <w:spacing w:line="288"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采购方</w:t>
            </w:r>
          </w:p>
          <w:p>
            <w:pPr>
              <w:pStyle w:val="30"/>
              <w:shd w:val="clear"/>
              <w:spacing w:line="288" w:lineRule="auto"/>
              <w:jc w:val="center"/>
              <w:rPr>
                <w:rFonts w:ascii="宋体" w:hAnsi="宋体" w:cs="宋体"/>
                <w:color w:val="auto"/>
                <w:highlight w:val="none"/>
              </w:rPr>
            </w:pPr>
            <w:r>
              <w:rPr>
                <w:rFonts w:hint="eastAsia" w:ascii="宋体" w:hAnsi="宋体" w:cs="宋体"/>
                <w:b/>
                <w:color w:val="auto"/>
                <w:highlight w:val="none"/>
              </w:rPr>
              <w:t>代理方</w:t>
            </w:r>
          </w:p>
        </w:tc>
        <w:tc>
          <w:tcPr>
            <w:tcW w:w="6963"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rPr>
                <w:rFonts w:ascii="宋体" w:hAnsi="宋体" w:cs="宋体"/>
                <w:b/>
                <w:bCs/>
                <w:color w:val="auto"/>
                <w:kern w:val="2"/>
                <w:highlight w:val="none"/>
              </w:rPr>
            </w:pPr>
            <w:r>
              <w:rPr>
                <w:rFonts w:hint="eastAsia" w:ascii="宋体" w:hAnsi="宋体" w:cs="宋体"/>
                <w:color w:val="auto"/>
                <w:highlight w:val="none"/>
              </w:rPr>
              <w:t>采购方名称:新疆医科大学</w:t>
            </w:r>
            <w:r>
              <w:rPr>
                <w:rFonts w:hint="eastAsia" w:ascii="宋体" w:hAnsi="宋体" w:cs="宋体"/>
                <w:color w:val="auto"/>
                <w:highlight w:val="none"/>
                <w:shd w:val="clear" w:color="auto" w:fill="FFFFFF"/>
              </w:rPr>
              <w:t>附属肿瘤医院</w:t>
            </w:r>
            <w:r>
              <w:rPr>
                <w:rFonts w:hint="eastAsia" w:ascii="宋体" w:hAnsi="宋体" w:cs="宋体"/>
                <w:b/>
                <w:bCs/>
                <w:color w:val="auto"/>
                <w:highlight w:val="none"/>
              </w:rPr>
              <w:t xml:space="preserve"> </w:t>
            </w:r>
          </w:p>
          <w:p>
            <w:pPr>
              <w:pStyle w:val="30"/>
              <w:shd w:val="clear"/>
              <w:spacing w:line="288" w:lineRule="auto"/>
              <w:rPr>
                <w:rFonts w:ascii="宋体" w:hAnsi="宋体" w:cs="宋体"/>
                <w:color w:val="auto"/>
                <w:highlight w:val="none"/>
              </w:rPr>
            </w:pPr>
            <w:r>
              <w:rPr>
                <w:rFonts w:hint="eastAsia" w:ascii="宋体" w:hAnsi="宋体" w:cs="宋体"/>
                <w:color w:val="auto"/>
                <w:highlight w:val="none"/>
              </w:rPr>
              <w:t>招标代理方名称:华诚博远工程咨询有限公司</w:t>
            </w:r>
          </w:p>
        </w:tc>
      </w:tr>
      <w:tr>
        <w:tblPrEx>
          <w:tblCellMar>
            <w:top w:w="0" w:type="dxa"/>
            <w:left w:w="108" w:type="dxa"/>
            <w:bottom w:w="0" w:type="dxa"/>
            <w:right w:w="108" w:type="dxa"/>
          </w:tblCellMar>
        </w:tblPrEx>
        <w:trPr>
          <w:trHeight w:val="856"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color w:val="auto"/>
                <w:highlight w:val="none"/>
              </w:rPr>
              <w:t>3</w:t>
            </w:r>
          </w:p>
        </w:tc>
        <w:tc>
          <w:tcPr>
            <w:tcW w:w="1815"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b/>
                <w:color w:val="auto"/>
                <w:highlight w:val="none"/>
              </w:rPr>
            </w:pPr>
            <w:r>
              <w:rPr>
                <w:rFonts w:hint="eastAsia" w:ascii="宋体" w:hAnsi="宋体" w:cs="宋体"/>
                <w:b/>
                <w:color w:val="auto"/>
                <w:highlight w:val="none"/>
              </w:rPr>
              <w:t>资金来源及</w:t>
            </w:r>
          </w:p>
          <w:p>
            <w:pPr>
              <w:pStyle w:val="30"/>
              <w:shd w:val="clear"/>
              <w:spacing w:line="288" w:lineRule="auto"/>
              <w:jc w:val="center"/>
              <w:rPr>
                <w:rFonts w:ascii="宋体" w:hAnsi="宋体" w:cs="宋体"/>
                <w:b/>
                <w:color w:val="auto"/>
                <w:highlight w:val="none"/>
              </w:rPr>
            </w:pPr>
            <w:r>
              <w:rPr>
                <w:rFonts w:hint="eastAsia" w:ascii="宋体" w:hAnsi="宋体" w:cs="宋体"/>
                <w:b/>
                <w:color w:val="auto"/>
                <w:highlight w:val="none"/>
              </w:rPr>
              <w:t>预算金额</w:t>
            </w:r>
          </w:p>
        </w:tc>
        <w:tc>
          <w:tcPr>
            <w:tcW w:w="6963" w:type="dxa"/>
            <w:tcBorders>
              <w:top w:val="single" w:color="auto" w:sz="12" w:space="0"/>
              <w:left w:val="single" w:color="auto" w:sz="12" w:space="0"/>
              <w:bottom w:val="single" w:color="auto" w:sz="12" w:space="0"/>
              <w:right w:val="single" w:color="auto" w:sz="12" w:space="0"/>
            </w:tcBorders>
            <w:vAlign w:val="center"/>
          </w:tcPr>
          <w:p>
            <w:pPr>
              <w:shd w:val="clear"/>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资金来源：</w:t>
            </w:r>
            <w:r>
              <w:rPr>
                <w:rFonts w:hint="eastAsia" w:ascii="宋体" w:hAnsi="宋体" w:cs="宋体"/>
                <w:color w:val="auto"/>
                <w:sz w:val="24"/>
                <w:szCs w:val="24"/>
                <w:highlight w:val="none"/>
                <w:shd w:val="clear" w:color="auto" w:fill="FFFFFF"/>
              </w:rPr>
              <w:t>自筹资金</w:t>
            </w:r>
            <w:r>
              <w:rPr>
                <w:rFonts w:hint="eastAsia" w:ascii="宋体" w:hAnsi="宋体" w:cs="宋体"/>
                <w:color w:val="auto"/>
                <w:kern w:val="0"/>
                <w:sz w:val="24"/>
                <w:szCs w:val="24"/>
                <w:highlight w:val="none"/>
              </w:rPr>
              <w:t xml:space="preserve"> </w:t>
            </w:r>
          </w:p>
          <w:p>
            <w:pPr>
              <w:shd w:val="clear"/>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预算金额：</w:t>
            </w:r>
            <w:r>
              <w:rPr>
                <w:rFonts w:hint="eastAsia" w:ascii="宋体" w:hAnsi="宋体" w:cs="宋体"/>
                <w:color w:val="auto"/>
                <w:sz w:val="24"/>
                <w:highlight w:val="none"/>
              </w:rPr>
              <w:t>18.18万元</w:t>
            </w:r>
          </w:p>
        </w:tc>
      </w:tr>
      <w:tr>
        <w:tblPrEx>
          <w:tblCellMar>
            <w:top w:w="0" w:type="dxa"/>
            <w:left w:w="108" w:type="dxa"/>
            <w:bottom w:w="0" w:type="dxa"/>
            <w:right w:w="108" w:type="dxa"/>
          </w:tblCellMar>
        </w:tblPrEx>
        <w:trPr>
          <w:trHeight w:val="547"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color w:val="auto"/>
                <w:highlight w:val="none"/>
              </w:rPr>
              <w:t>4</w:t>
            </w:r>
          </w:p>
        </w:tc>
        <w:tc>
          <w:tcPr>
            <w:tcW w:w="1815" w:type="dxa"/>
            <w:tcBorders>
              <w:top w:val="single" w:color="auto" w:sz="12" w:space="0"/>
              <w:left w:val="single" w:color="auto" w:sz="12" w:space="0"/>
              <w:bottom w:val="single" w:color="auto" w:sz="12" w:space="0"/>
              <w:right w:val="single" w:color="auto" w:sz="12" w:space="0"/>
            </w:tcBorders>
            <w:vAlign w:val="center"/>
          </w:tcPr>
          <w:p>
            <w:pPr>
              <w:shd w:val="clear"/>
              <w:overflowPunct w:val="0"/>
              <w:spacing w:line="288" w:lineRule="auto"/>
              <w:jc w:val="center"/>
              <w:rPr>
                <w:rFonts w:ascii="宋体" w:hAnsi="宋体" w:cs="宋体"/>
                <w:color w:val="auto"/>
                <w:sz w:val="24"/>
                <w:szCs w:val="24"/>
                <w:highlight w:val="none"/>
              </w:rPr>
            </w:pPr>
            <w:r>
              <w:rPr>
                <w:rFonts w:hint="eastAsia" w:ascii="宋体" w:hAnsi="宋体" w:cs="宋体"/>
                <w:b/>
                <w:color w:val="auto"/>
                <w:sz w:val="24"/>
                <w:szCs w:val="24"/>
                <w:highlight w:val="none"/>
              </w:rPr>
              <w:t>招标方式</w:t>
            </w:r>
          </w:p>
        </w:tc>
        <w:tc>
          <w:tcPr>
            <w:tcW w:w="6963" w:type="dxa"/>
            <w:tcBorders>
              <w:top w:val="single" w:color="auto" w:sz="12" w:space="0"/>
              <w:left w:val="single" w:color="auto" w:sz="12" w:space="0"/>
              <w:bottom w:val="single" w:color="auto" w:sz="12" w:space="0"/>
              <w:right w:val="single" w:color="auto" w:sz="12" w:space="0"/>
            </w:tcBorders>
            <w:vAlign w:val="center"/>
          </w:tcPr>
          <w:p>
            <w:pPr>
              <w:shd w:val="clear"/>
              <w:overflowPunct w:val="0"/>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竞争性磋商</w:t>
            </w:r>
          </w:p>
        </w:tc>
      </w:tr>
      <w:tr>
        <w:tblPrEx>
          <w:tblCellMar>
            <w:top w:w="0" w:type="dxa"/>
            <w:left w:w="108" w:type="dxa"/>
            <w:bottom w:w="0" w:type="dxa"/>
            <w:right w:w="108" w:type="dxa"/>
          </w:tblCellMar>
        </w:tblPrEx>
        <w:trPr>
          <w:trHeight w:val="547"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color w:val="auto"/>
                <w:highlight w:val="none"/>
              </w:rPr>
              <w:t>5</w:t>
            </w:r>
          </w:p>
        </w:tc>
        <w:tc>
          <w:tcPr>
            <w:tcW w:w="1815" w:type="dxa"/>
            <w:tcBorders>
              <w:top w:val="single" w:color="auto" w:sz="12" w:space="0"/>
              <w:left w:val="single" w:color="auto" w:sz="12" w:space="0"/>
              <w:bottom w:val="single" w:color="auto" w:sz="12" w:space="0"/>
              <w:right w:val="single" w:color="auto" w:sz="12" w:space="0"/>
            </w:tcBorders>
            <w:vAlign w:val="center"/>
          </w:tcPr>
          <w:p>
            <w:pPr>
              <w:shd w:val="clear"/>
              <w:overflowPunct w:val="0"/>
              <w:spacing w:line="288"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资格审查方式</w:t>
            </w:r>
          </w:p>
        </w:tc>
        <w:tc>
          <w:tcPr>
            <w:tcW w:w="6963" w:type="dxa"/>
            <w:tcBorders>
              <w:top w:val="single" w:color="auto" w:sz="12" w:space="0"/>
              <w:left w:val="single" w:color="auto" w:sz="12" w:space="0"/>
              <w:bottom w:val="single" w:color="auto" w:sz="12" w:space="0"/>
              <w:right w:val="single" w:color="auto" w:sz="12" w:space="0"/>
            </w:tcBorders>
            <w:vAlign w:val="center"/>
          </w:tcPr>
          <w:p>
            <w:pPr>
              <w:shd w:val="clear"/>
              <w:overflowPunct w:val="0"/>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资格后审</w:t>
            </w:r>
          </w:p>
        </w:tc>
      </w:tr>
      <w:tr>
        <w:tblPrEx>
          <w:tblCellMar>
            <w:top w:w="0" w:type="dxa"/>
            <w:left w:w="108" w:type="dxa"/>
            <w:bottom w:w="0" w:type="dxa"/>
            <w:right w:w="108" w:type="dxa"/>
          </w:tblCellMar>
        </w:tblPrEx>
        <w:trPr>
          <w:trHeight w:val="1191"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color w:val="auto"/>
                <w:highlight w:val="none"/>
              </w:rPr>
              <w:t>6</w:t>
            </w:r>
          </w:p>
        </w:tc>
        <w:tc>
          <w:tcPr>
            <w:tcW w:w="1815"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b/>
                <w:color w:val="auto"/>
                <w:highlight w:val="none"/>
              </w:rPr>
              <w:t>招标范围</w:t>
            </w:r>
          </w:p>
        </w:tc>
        <w:tc>
          <w:tcPr>
            <w:tcW w:w="6963"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rPr>
                <w:rFonts w:ascii="宋体" w:hAnsi="宋体" w:cs="宋体"/>
                <w:color w:val="auto"/>
                <w:highlight w:val="none"/>
              </w:rPr>
            </w:pPr>
            <w:r>
              <w:rPr>
                <w:rFonts w:hint="eastAsia" w:ascii="宋体" w:hAnsi="宋体" w:cs="宋体"/>
                <w:color w:val="auto"/>
                <w:highlight w:val="none"/>
                <w:shd w:val="clear" w:color="auto" w:fill="FFFFFF"/>
              </w:rPr>
              <w:t>新疆医科大学附属肿瘤医院消防设施维护及检测</w:t>
            </w:r>
          </w:p>
        </w:tc>
      </w:tr>
      <w:tr>
        <w:tblPrEx>
          <w:tblCellMar>
            <w:top w:w="0" w:type="dxa"/>
            <w:left w:w="108" w:type="dxa"/>
            <w:bottom w:w="0" w:type="dxa"/>
            <w:right w:w="108" w:type="dxa"/>
          </w:tblCellMar>
        </w:tblPrEx>
        <w:trPr>
          <w:trHeight w:val="1401"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color w:val="auto"/>
                <w:highlight w:val="none"/>
              </w:rPr>
              <w:t>7</w:t>
            </w:r>
          </w:p>
        </w:tc>
        <w:tc>
          <w:tcPr>
            <w:tcW w:w="1815"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b/>
                <w:color w:val="auto"/>
                <w:highlight w:val="none"/>
              </w:rPr>
              <w:t>服务周期</w:t>
            </w:r>
          </w:p>
        </w:tc>
        <w:tc>
          <w:tcPr>
            <w:tcW w:w="6963"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rPr>
                <w:rFonts w:ascii="宋体" w:hAnsi="宋体" w:cs="宋体"/>
                <w:color w:val="auto"/>
                <w:highlight w:val="none"/>
              </w:rPr>
            </w:pPr>
            <w:r>
              <w:rPr>
                <w:rFonts w:hint="eastAsia" w:ascii="宋体" w:hAnsi="宋体" w:cs="宋体"/>
                <w:color w:val="auto"/>
                <w:highlight w:val="none"/>
              </w:rPr>
              <w:t>两年（具体以与甲方签订的合同为准）</w:t>
            </w:r>
          </w:p>
        </w:tc>
      </w:tr>
      <w:tr>
        <w:tblPrEx>
          <w:tblCellMar>
            <w:top w:w="0" w:type="dxa"/>
            <w:left w:w="108" w:type="dxa"/>
            <w:bottom w:w="0" w:type="dxa"/>
            <w:right w:w="108" w:type="dxa"/>
          </w:tblCellMar>
        </w:tblPrEx>
        <w:trPr>
          <w:trHeight w:val="1672" w:hRule="atLeas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color w:val="auto"/>
                <w:highlight w:val="none"/>
              </w:rPr>
              <w:t>8</w:t>
            </w:r>
          </w:p>
        </w:tc>
        <w:tc>
          <w:tcPr>
            <w:tcW w:w="1815"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b/>
                <w:color w:val="auto"/>
                <w:highlight w:val="none"/>
              </w:rPr>
              <w:t>投标人资格</w:t>
            </w:r>
          </w:p>
        </w:tc>
        <w:tc>
          <w:tcPr>
            <w:tcW w:w="6963" w:type="dxa"/>
            <w:tcBorders>
              <w:top w:val="single" w:color="auto" w:sz="12" w:space="0"/>
              <w:left w:val="single" w:color="auto" w:sz="12" w:space="0"/>
              <w:bottom w:val="single" w:color="auto" w:sz="12" w:space="0"/>
              <w:right w:val="single" w:color="auto" w:sz="12" w:space="0"/>
            </w:tcBorders>
            <w:vAlign w:val="center"/>
          </w:tcPr>
          <w:p>
            <w:pPr>
              <w:shd w:val="clear"/>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（1）投标人应符合《中华人民共和国政府采购法》第二十二条规定的条件；</w:t>
            </w:r>
          </w:p>
          <w:p>
            <w:pPr>
              <w:shd w:val="clear"/>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①具有独立承担民事责任的能力；</w:t>
            </w:r>
          </w:p>
          <w:p>
            <w:pPr>
              <w:shd w:val="clear"/>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②具有良好的商业信誉和健全的财务会计制度；</w:t>
            </w:r>
          </w:p>
          <w:p>
            <w:pPr>
              <w:shd w:val="clear"/>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③具有履行合同所必须的设备和专业技术能力；</w:t>
            </w:r>
          </w:p>
          <w:p>
            <w:pPr>
              <w:shd w:val="clear"/>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④有依法缴纳税收和社会保障资金的良好记录；</w:t>
            </w:r>
          </w:p>
          <w:p>
            <w:pPr>
              <w:shd w:val="clear"/>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⑤参加政府采购活动前三年内，在经营活动中没有重大违法、犯罪记录；</w:t>
            </w:r>
          </w:p>
          <w:p>
            <w:pPr>
              <w:shd w:val="clear"/>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⑥法律法规规定的其他条件。</w:t>
            </w:r>
          </w:p>
          <w:p>
            <w:pPr>
              <w:shd w:val="clear"/>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（2）遵守国家法律、法规有关招标的规定。</w:t>
            </w:r>
          </w:p>
          <w:p>
            <w:pPr>
              <w:shd w:val="clear"/>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（3）与采购人就本次招标的项目委托的咨询机构、招标代理机构、以及上述机构的附属机构没有行政或经济关联。</w:t>
            </w:r>
          </w:p>
          <w:p>
            <w:pPr>
              <w:shd w:val="clear"/>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shd w:val="clear"/>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（5）.具有有效的营业执照。</w:t>
            </w:r>
          </w:p>
          <w:p>
            <w:pPr>
              <w:shd w:val="clear"/>
              <w:spacing w:line="360" w:lineRule="auto"/>
              <w:ind w:right="-92" w:rightChars="-44"/>
              <w:rPr>
                <w:color w:val="auto"/>
                <w:highlight w:val="none"/>
              </w:rPr>
            </w:pPr>
            <w:r>
              <w:rPr>
                <w:rFonts w:hint="eastAsia" w:ascii="宋体" w:hAnsi="宋体" w:cs="宋体"/>
                <w:color w:val="auto"/>
                <w:kern w:val="0"/>
                <w:sz w:val="24"/>
                <w:szCs w:val="24"/>
                <w:highlight w:val="none"/>
              </w:rPr>
              <w:t>（6）.</w:t>
            </w:r>
            <w:r>
              <w:rPr>
                <w:rFonts w:hint="eastAsia" w:ascii="宋体" w:hAnsi="宋体" w:cs="宋体"/>
                <w:color w:val="auto"/>
                <w:kern w:val="0"/>
                <w:sz w:val="24"/>
                <w:szCs w:val="24"/>
                <w:highlight w:val="none"/>
              </w:rPr>
              <w:t>须具有</w:t>
            </w:r>
            <w:r>
              <w:rPr>
                <w:rFonts w:hint="eastAsia" w:ascii="宋体" w:hAnsi="宋体" w:cs="宋体"/>
                <w:color w:val="auto"/>
                <w:kern w:val="0"/>
                <w:sz w:val="24"/>
                <w:szCs w:val="24"/>
                <w:highlight w:val="none"/>
                <w:lang w:eastAsia="zh-CN"/>
              </w:rPr>
              <w:t>在</w:t>
            </w:r>
            <w:r>
              <w:rPr>
                <w:rFonts w:hint="eastAsia" w:ascii="宋体" w:cs="宋体"/>
                <w:color w:val="auto"/>
                <w:sz w:val="24"/>
                <w:highlight w:val="none"/>
              </w:rPr>
              <w:t>消防部门注册备案</w:t>
            </w:r>
            <w:r>
              <w:rPr>
                <w:rFonts w:hint="eastAsia" w:ascii="宋体" w:cs="宋体"/>
                <w:color w:val="auto"/>
                <w:sz w:val="24"/>
                <w:highlight w:val="none"/>
                <w:lang w:val="en-US" w:eastAsia="zh-CN"/>
              </w:rPr>
              <w:t>相关证明材料</w:t>
            </w:r>
            <w:r>
              <w:rPr>
                <w:rFonts w:hint="eastAsia" w:ascii="宋体" w:cs="宋体"/>
                <w:color w:val="auto"/>
                <w:sz w:val="24"/>
                <w:highlight w:val="none"/>
              </w:rPr>
              <w:t>。</w:t>
            </w:r>
          </w:p>
          <w:p>
            <w:pPr>
              <w:shd w:val="clear"/>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（7）.须具备近一年财务审计报告或银行提供的资信证明（新公司从成立之日起算）。</w:t>
            </w:r>
          </w:p>
          <w:p>
            <w:pPr>
              <w:shd w:val="clear"/>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（8）.须具有近一年任意月纳税证明（新公司从成立之日起算）。</w:t>
            </w:r>
          </w:p>
          <w:p>
            <w:pPr>
              <w:shd w:val="clear"/>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（9）.近一年任意月法人或授权委托人人员明细的社保证明（新公司从成立之日起算）。</w:t>
            </w:r>
          </w:p>
          <w:p>
            <w:pPr>
              <w:shd w:val="clear"/>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（10）.须具有履行合同所必须的设备和专业技术能力的承诺函。         </w:t>
            </w:r>
          </w:p>
          <w:p>
            <w:pPr>
              <w:shd w:val="clear"/>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（11）.参加政府采购活动前3年内在经营活动中没有重大违法记录的书面声明。</w:t>
            </w:r>
          </w:p>
          <w:p>
            <w:pPr>
              <w:shd w:val="clear"/>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（12）.投标单位须为中小企业，提供《中小企业声明函》。</w:t>
            </w:r>
          </w:p>
          <w:p>
            <w:pPr>
              <w:shd w:val="clear"/>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凡拟参加本次招标项目的投标人，如在“信用中国”网站（www.creditchina.gov.cn）被列入失信被执行人、税收违法黑名单、中国政府采购网（www.ccgp.gov.cn）政府采购严重违法失信行为记录名单的（尚在处罚期内的），将拒绝其参加本次采购活动。</w:t>
            </w:r>
          </w:p>
          <w:p>
            <w:pPr>
              <w:shd w:val="clear"/>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（14）.落实政府采购政策需满足的资格要求：</w:t>
            </w:r>
            <w:r>
              <w:rPr>
                <w:rFonts w:hint="eastAsia" w:ascii="宋体" w:hAnsi="宋体" w:cs="宋体"/>
                <w:color w:val="auto"/>
                <w:kern w:val="0"/>
                <w:sz w:val="24"/>
                <w:szCs w:val="24"/>
                <w:highlight w:val="none"/>
              </w:rPr>
              <w:t>本项目专门面向中小企业。</w:t>
            </w:r>
          </w:p>
          <w:p>
            <w:pPr>
              <w:pStyle w:val="30"/>
              <w:shd w:val="clear"/>
              <w:spacing w:line="360" w:lineRule="auto"/>
              <w:jc w:val="both"/>
              <w:rPr>
                <w:color w:val="auto"/>
                <w:highlight w:val="none"/>
              </w:rPr>
            </w:pPr>
            <w:r>
              <w:rPr>
                <w:rFonts w:hint="eastAsia" w:ascii="宋体" w:hAnsi="宋体" w:cs="宋体"/>
                <w:color w:val="auto"/>
                <w:highlight w:val="none"/>
              </w:rPr>
              <w:t>（15）.缴纳投标保证金凭证。</w:t>
            </w:r>
          </w:p>
        </w:tc>
      </w:tr>
      <w:tr>
        <w:tblPrEx>
          <w:tblCellMar>
            <w:top w:w="0" w:type="dxa"/>
            <w:left w:w="108" w:type="dxa"/>
            <w:bottom w:w="0" w:type="dxa"/>
            <w:right w:w="108" w:type="dxa"/>
          </w:tblCellMar>
        </w:tblPrEx>
        <w:trPr>
          <w:trHeight w:val="509" w:hRule="atLeas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color w:val="auto"/>
                <w:highlight w:val="none"/>
              </w:rPr>
              <w:t>9</w:t>
            </w:r>
          </w:p>
        </w:tc>
        <w:tc>
          <w:tcPr>
            <w:tcW w:w="1815" w:type="dxa"/>
            <w:tcBorders>
              <w:top w:val="single" w:color="auto" w:sz="12" w:space="0"/>
              <w:left w:val="single" w:color="auto" w:sz="12" w:space="0"/>
              <w:bottom w:val="single" w:color="auto" w:sz="12" w:space="0"/>
              <w:right w:val="single" w:color="auto" w:sz="12" w:space="0"/>
            </w:tcBorders>
            <w:vAlign w:val="center"/>
          </w:tcPr>
          <w:p>
            <w:pPr>
              <w:shd w:val="clear"/>
              <w:overflowPunct w:val="0"/>
              <w:spacing w:line="288"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投标有效期</w:t>
            </w:r>
          </w:p>
        </w:tc>
        <w:tc>
          <w:tcPr>
            <w:tcW w:w="6963" w:type="dxa"/>
            <w:tcBorders>
              <w:top w:val="single" w:color="auto" w:sz="12" w:space="0"/>
              <w:left w:val="single" w:color="auto" w:sz="12" w:space="0"/>
              <w:bottom w:val="single" w:color="auto" w:sz="12" w:space="0"/>
              <w:right w:val="single" w:color="auto" w:sz="12" w:space="0"/>
            </w:tcBorders>
            <w:vAlign w:val="center"/>
          </w:tcPr>
          <w:p>
            <w:pPr>
              <w:shd w:val="clear"/>
              <w:overflowPunct w:val="0"/>
              <w:spacing w:line="288" w:lineRule="auto"/>
              <w:jc w:val="left"/>
              <w:rPr>
                <w:rFonts w:ascii="宋体" w:hAnsi="宋体" w:cs="宋体"/>
                <w:color w:val="auto"/>
                <w:kern w:val="0"/>
                <w:sz w:val="24"/>
                <w:szCs w:val="24"/>
                <w:highlight w:val="none"/>
              </w:rPr>
            </w:pPr>
            <w:r>
              <w:rPr>
                <w:rFonts w:hint="eastAsia" w:ascii="宋体" w:hAnsi="宋体" w:cs="宋体"/>
                <w:b/>
                <w:bCs/>
                <w:color w:val="auto"/>
                <w:sz w:val="24"/>
                <w:szCs w:val="24"/>
                <w:highlight w:val="none"/>
              </w:rPr>
              <w:t>90天</w:t>
            </w:r>
          </w:p>
        </w:tc>
      </w:tr>
      <w:tr>
        <w:tblPrEx>
          <w:tblCellMar>
            <w:top w:w="0" w:type="dxa"/>
            <w:left w:w="108" w:type="dxa"/>
            <w:bottom w:w="0" w:type="dxa"/>
            <w:right w:w="108" w:type="dxa"/>
          </w:tblCellMar>
        </w:tblPrEx>
        <w:trPr>
          <w:trHeight w:val="495" w:hRule="atLeas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color w:val="auto"/>
                <w:highlight w:val="none"/>
              </w:rPr>
              <w:t>10</w:t>
            </w:r>
          </w:p>
        </w:tc>
        <w:tc>
          <w:tcPr>
            <w:tcW w:w="1815" w:type="dxa"/>
            <w:tcBorders>
              <w:top w:val="single" w:color="auto" w:sz="12" w:space="0"/>
              <w:left w:val="single" w:color="auto" w:sz="12" w:space="0"/>
              <w:bottom w:val="single" w:color="auto" w:sz="12" w:space="0"/>
              <w:right w:val="single" w:color="auto" w:sz="12" w:space="0"/>
            </w:tcBorders>
            <w:vAlign w:val="center"/>
          </w:tcPr>
          <w:p>
            <w:pPr>
              <w:shd w:val="clear"/>
              <w:overflowPunct w:val="0"/>
              <w:spacing w:line="288"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响应文件份数</w:t>
            </w:r>
          </w:p>
        </w:tc>
        <w:tc>
          <w:tcPr>
            <w:tcW w:w="6963" w:type="dxa"/>
            <w:tcBorders>
              <w:top w:val="single" w:color="auto" w:sz="12" w:space="0"/>
              <w:left w:val="single" w:color="auto" w:sz="12" w:space="0"/>
              <w:bottom w:val="single" w:color="auto" w:sz="12" w:space="0"/>
              <w:right w:val="single" w:color="auto" w:sz="12" w:space="0"/>
            </w:tcBorders>
            <w:vAlign w:val="center"/>
          </w:tcPr>
          <w:p>
            <w:pPr>
              <w:shd w:val="clear"/>
              <w:overflowPunct w:val="0"/>
              <w:spacing w:line="288"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正本壹份，副本叁份（共肆份），加盖公章的电子版文件一份（用U盘存储）</w:t>
            </w:r>
            <w:r>
              <w:rPr>
                <w:rFonts w:hint="eastAsia" w:ascii="宋体" w:hAnsi="宋体" w:cs="宋体"/>
                <w:b/>
                <w:bCs/>
                <w:color w:val="auto"/>
                <w:sz w:val="24"/>
                <w:szCs w:val="24"/>
                <w:highlight w:val="none"/>
              </w:rPr>
              <w:t>(中标单位中标后提供)</w:t>
            </w:r>
          </w:p>
        </w:tc>
      </w:tr>
      <w:tr>
        <w:tblPrEx>
          <w:tblCellMar>
            <w:top w:w="0" w:type="dxa"/>
            <w:left w:w="108" w:type="dxa"/>
            <w:bottom w:w="0" w:type="dxa"/>
            <w:right w:w="108" w:type="dxa"/>
          </w:tblCellMar>
        </w:tblPrEx>
        <w:trPr>
          <w:trHeight w:val="4633"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color w:val="auto"/>
                <w:highlight w:val="none"/>
              </w:rPr>
              <w:t>11</w:t>
            </w:r>
          </w:p>
        </w:tc>
        <w:tc>
          <w:tcPr>
            <w:tcW w:w="1815" w:type="dxa"/>
            <w:tcBorders>
              <w:top w:val="single" w:color="auto" w:sz="12" w:space="0"/>
              <w:left w:val="single" w:color="auto" w:sz="12" w:space="0"/>
              <w:bottom w:val="single" w:color="auto" w:sz="12" w:space="0"/>
              <w:right w:val="single" w:color="auto" w:sz="12" w:space="0"/>
            </w:tcBorders>
            <w:vAlign w:val="center"/>
          </w:tcPr>
          <w:p>
            <w:pPr>
              <w:shd w:val="clear"/>
              <w:overflowPunct w:val="0"/>
              <w:spacing w:line="288"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投标保证金</w:t>
            </w:r>
          </w:p>
        </w:tc>
        <w:tc>
          <w:tcPr>
            <w:tcW w:w="6963" w:type="dxa"/>
            <w:tcBorders>
              <w:top w:val="single" w:color="auto" w:sz="12" w:space="0"/>
              <w:left w:val="single" w:color="auto" w:sz="12" w:space="0"/>
              <w:bottom w:val="single" w:color="auto" w:sz="12" w:space="0"/>
              <w:right w:val="single" w:color="auto" w:sz="12" w:space="0"/>
            </w:tcBorders>
            <w:vAlign w:val="center"/>
          </w:tcPr>
          <w:p>
            <w:pPr>
              <w:shd w:val="clear"/>
              <w:overflowPunct w:val="0"/>
              <w:spacing w:line="288" w:lineRule="auto"/>
              <w:jc w:val="left"/>
              <w:rPr>
                <w:rFonts w:ascii="宋体" w:hAnsi="宋体" w:cs="宋体"/>
                <w:b/>
                <w:color w:val="auto"/>
                <w:sz w:val="24"/>
                <w:szCs w:val="24"/>
                <w:highlight w:val="none"/>
              </w:rPr>
            </w:pPr>
            <w:r>
              <w:rPr>
                <w:rFonts w:hint="eastAsia" w:ascii="宋体" w:hAnsi="宋体" w:cs="宋体"/>
                <w:color w:val="auto"/>
                <w:sz w:val="24"/>
                <w:szCs w:val="24"/>
                <w:highlight w:val="none"/>
              </w:rPr>
              <w:t>保证金金额：</w:t>
            </w:r>
            <w:r>
              <w:rPr>
                <w:rFonts w:hint="eastAsia" w:ascii="宋体" w:hAnsi="宋体" w:cs="宋体"/>
                <w:b/>
                <w:bCs/>
                <w:color w:val="auto"/>
                <w:sz w:val="24"/>
                <w:szCs w:val="24"/>
                <w:highlight w:val="none"/>
              </w:rPr>
              <w:t>1800</w:t>
            </w:r>
            <w:r>
              <w:rPr>
                <w:rFonts w:hint="eastAsia" w:ascii="宋体" w:hAnsi="宋体" w:cs="宋体"/>
                <w:b/>
                <w:color w:val="auto"/>
                <w:sz w:val="24"/>
                <w:szCs w:val="24"/>
                <w:highlight w:val="none"/>
              </w:rPr>
              <w:t>（大写：壹仟捌佰元整）</w:t>
            </w:r>
          </w:p>
          <w:p>
            <w:pPr>
              <w:shd w:val="clear"/>
              <w:overflowPunct w:val="0"/>
              <w:spacing w:line="288"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投标保证金的缴纳形式：</w:t>
            </w:r>
            <w:r>
              <w:rPr>
                <w:color w:val="auto"/>
                <w:sz w:val="24"/>
                <w:highlight w:val="none"/>
              </w:rPr>
              <w:t>应在</w:t>
            </w:r>
            <w:r>
              <w:rPr>
                <w:rFonts w:hint="eastAsia"/>
                <w:color w:val="auto"/>
                <w:sz w:val="24"/>
                <w:highlight w:val="none"/>
              </w:rPr>
              <w:t>2023年11月2</w:t>
            </w:r>
            <w:r>
              <w:rPr>
                <w:rFonts w:hint="eastAsia"/>
                <w:color w:val="auto"/>
                <w:sz w:val="24"/>
                <w:highlight w:val="none"/>
                <w:lang w:val="en-US" w:eastAsia="zh-CN"/>
              </w:rPr>
              <w:t>8</w:t>
            </w:r>
            <w:r>
              <w:rPr>
                <w:rFonts w:hint="eastAsia"/>
                <w:color w:val="auto"/>
                <w:sz w:val="24"/>
                <w:highlight w:val="none"/>
              </w:rPr>
              <w:t>日1</w:t>
            </w:r>
            <w:r>
              <w:rPr>
                <w:rFonts w:hint="eastAsia"/>
                <w:color w:val="auto"/>
                <w:sz w:val="24"/>
                <w:highlight w:val="none"/>
                <w:lang w:val="en-US" w:eastAsia="zh-CN"/>
              </w:rPr>
              <w:t>6</w:t>
            </w:r>
            <w:r>
              <w:rPr>
                <w:color w:val="auto"/>
                <w:sz w:val="24"/>
                <w:highlight w:val="none"/>
              </w:rPr>
              <w:t>:</w:t>
            </w:r>
            <w:r>
              <w:rPr>
                <w:rFonts w:hint="eastAsia"/>
                <w:color w:val="auto"/>
                <w:sz w:val="24"/>
                <w:highlight w:val="none"/>
              </w:rPr>
              <w:t>0</w:t>
            </w:r>
            <w:r>
              <w:rPr>
                <w:color w:val="auto"/>
                <w:sz w:val="24"/>
                <w:highlight w:val="none"/>
              </w:rPr>
              <w:t>0</w:t>
            </w:r>
            <w:r>
              <w:rPr>
                <w:color w:val="auto"/>
                <w:sz w:val="24"/>
                <w:highlight w:val="none"/>
              </w:rPr>
              <w:t>时</w:t>
            </w:r>
            <w:r>
              <w:rPr>
                <w:rFonts w:hint="eastAsia"/>
                <w:color w:val="auto"/>
                <w:sz w:val="24"/>
                <w:highlight w:val="none"/>
              </w:rPr>
              <w:t>以银行电汇保证金必须由投标人的基本账户（即投标人经中国人民银行核准的基本账户《开户许可证》上载明的账户）一次性汇入</w:t>
            </w:r>
            <w:r>
              <w:rPr>
                <w:rFonts w:hint="eastAsia" w:ascii="宋体" w:hAnsi="宋体" w:cs="宋体"/>
                <w:color w:val="auto"/>
                <w:sz w:val="24"/>
                <w:szCs w:val="24"/>
                <w:highlight w:val="none"/>
              </w:rPr>
              <w:t>华诚博远工程咨询有限公司</w:t>
            </w:r>
            <w:r>
              <w:rPr>
                <w:rFonts w:hint="eastAsia"/>
                <w:color w:val="auto"/>
                <w:sz w:val="24"/>
                <w:highlight w:val="none"/>
              </w:rPr>
              <w:t>账户，否则其投标保证金视为无效。</w:t>
            </w:r>
          </w:p>
          <w:p>
            <w:pPr>
              <w:shd w:val="clear"/>
              <w:overflowPunct w:val="0"/>
              <w:spacing w:line="288"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招标人指定的开户银行及账号如下： </w:t>
            </w:r>
          </w:p>
          <w:p>
            <w:pPr>
              <w:shd w:val="clear"/>
              <w:overflowPunct w:val="0"/>
              <w:spacing w:line="288"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账户名称：华诚博远工程咨询有限公司新疆分公司           </w:t>
            </w:r>
          </w:p>
          <w:p>
            <w:pPr>
              <w:shd w:val="clear"/>
              <w:overflowPunct w:val="0"/>
              <w:spacing w:line="288"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开户银行：中国农业银行股份有限公司乌鲁木齐新民西街支行          </w:t>
            </w:r>
          </w:p>
          <w:p>
            <w:pPr>
              <w:shd w:val="clear"/>
              <w:overflowPunct w:val="0"/>
              <w:spacing w:line="288"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账   号：30014701040006436</w:t>
            </w:r>
          </w:p>
          <w:p>
            <w:pPr>
              <w:shd w:val="clear"/>
              <w:overflowPunct w:val="0"/>
              <w:spacing w:line="288"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行   号：103881001479</w:t>
            </w:r>
          </w:p>
          <w:p>
            <w:pPr>
              <w:pStyle w:val="16"/>
              <w:shd w:val="clear"/>
              <w:rPr>
                <w:color w:val="auto"/>
                <w:highlight w:val="none"/>
              </w:rPr>
            </w:pPr>
            <w:r>
              <w:rPr>
                <w:rFonts w:hint="eastAsia" w:ascii="宋体" w:hAnsi="宋体" w:cs="宋体"/>
                <w:b w:val="0"/>
                <w:bCs w:val="0"/>
                <w:color w:val="auto"/>
                <w:sz w:val="24"/>
                <w:szCs w:val="24"/>
                <w:highlight w:val="none"/>
              </w:rPr>
              <w:t>备注须填写项目名称（项目名称可简写，但内容要明确）</w:t>
            </w:r>
          </w:p>
          <w:p>
            <w:pPr>
              <w:shd w:val="clear"/>
              <w:overflowPunct w:val="0"/>
              <w:spacing w:line="288"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备注须填写项目名称（项目名称可简写，但内容要明确）</w:t>
            </w:r>
          </w:p>
          <w:p>
            <w:pPr>
              <w:shd w:val="clear"/>
              <w:overflowPunct w:val="0"/>
              <w:spacing w:line="288" w:lineRule="auto"/>
              <w:jc w:val="lef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1307"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color w:val="auto"/>
                <w:highlight w:val="none"/>
              </w:rPr>
              <w:t>12</w:t>
            </w:r>
          </w:p>
        </w:tc>
        <w:tc>
          <w:tcPr>
            <w:tcW w:w="1815" w:type="dxa"/>
            <w:tcBorders>
              <w:top w:val="single" w:color="auto" w:sz="12" w:space="0"/>
              <w:left w:val="single" w:color="auto" w:sz="12" w:space="0"/>
              <w:bottom w:val="single" w:color="auto" w:sz="12" w:space="0"/>
              <w:right w:val="single" w:color="auto" w:sz="12" w:space="0"/>
            </w:tcBorders>
            <w:vAlign w:val="center"/>
          </w:tcPr>
          <w:p>
            <w:pPr>
              <w:shd w:val="clear"/>
              <w:overflowPunct w:val="0"/>
              <w:spacing w:line="288"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响应文件</w:t>
            </w:r>
          </w:p>
          <w:p>
            <w:pPr>
              <w:shd w:val="clear"/>
              <w:overflowPunct w:val="0"/>
              <w:spacing w:line="288"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递交</w:t>
            </w:r>
          </w:p>
        </w:tc>
        <w:tc>
          <w:tcPr>
            <w:tcW w:w="6963" w:type="dxa"/>
            <w:tcBorders>
              <w:top w:val="single" w:color="auto" w:sz="12" w:space="0"/>
              <w:left w:val="single" w:color="auto" w:sz="12" w:space="0"/>
              <w:bottom w:val="single" w:color="auto" w:sz="12" w:space="0"/>
              <w:right w:val="single" w:color="auto" w:sz="12" w:space="0"/>
            </w:tcBorders>
            <w:vAlign w:val="center"/>
          </w:tcPr>
          <w:p>
            <w:pPr>
              <w:shd w:val="clear"/>
              <w:overflowPunct w:val="0"/>
              <w:spacing w:line="288"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递交截止时间：</w:t>
            </w:r>
            <w:r>
              <w:rPr>
                <w:rFonts w:hint="eastAsia" w:ascii="宋体" w:hAnsi="宋体" w:cs="宋体"/>
                <w:color w:val="auto"/>
                <w:sz w:val="24"/>
                <w:szCs w:val="24"/>
                <w:highlight w:val="none"/>
              </w:rPr>
              <w:t>2023年11月2</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日1</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时00分(北京时间)</w:t>
            </w:r>
          </w:p>
          <w:p>
            <w:pPr>
              <w:shd w:val="clear"/>
              <w:overflowPunct w:val="0"/>
              <w:spacing w:line="288"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地址:政采云平台</w:t>
            </w:r>
          </w:p>
        </w:tc>
      </w:tr>
      <w:tr>
        <w:tblPrEx>
          <w:tblCellMar>
            <w:top w:w="0" w:type="dxa"/>
            <w:left w:w="108" w:type="dxa"/>
            <w:bottom w:w="0" w:type="dxa"/>
            <w:right w:w="108" w:type="dxa"/>
          </w:tblCellMar>
        </w:tblPrEx>
        <w:trPr>
          <w:trHeight w:val="1274"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color w:val="auto"/>
                <w:highlight w:val="none"/>
              </w:rPr>
              <w:t>13</w:t>
            </w:r>
          </w:p>
        </w:tc>
        <w:tc>
          <w:tcPr>
            <w:tcW w:w="1815" w:type="dxa"/>
            <w:tcBorders>
              <w:top w:val="single" w:color="auto" w:sz="12" w:space="0"/>
              <w:left w:val="single" w:color="auto" w:sz="12" w:space="0"/>
              <w:bottom w:val="single" w:color="auto" w:sz="12" w:space="0"/>
              <w:right w:val="single" w:color="auto" w:sz="12" w:space="0"/>
            </w:tcBorders>
            <w:vAlign w:val="center"/>
          </w:tcPr>
          <w:p>
            <w:pPr>
              <w:shd w:val="clear"/>
              <w:overflowPunct w:val="0"/>
              <w:spacing w:line="288"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开标时间及</w:t>
            </w:r>
          </w:p>
          <w:p>
            <w:pPr>
              <w:shd w:val="clear"/>
              <w:overflowPunct w:val="0"/>
              <w:spacing w:line="288"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开标地点</w:t>
            </w:r>
          </w:p>
        </w:tc>
        <w:tc>
          <w:tcPr>
            <w:tcW w:w="6963" w:type="dxa"/>
            <w:tcBorders>
              <w:top w:val="single" w:color="auto" w:sz="12" w:space="0"/>
              <w:left w:val="single" w:color="auto" w:sz="12" w:space="0"/>
              <w:bottom w:val="single" w:color="auto" w:sz="12" w:space="0"/>
              <w:right w:val="single" w:color="auto" w:sz="12" w:space="0"/>
            </w:tcBorders>
            <w:vAlign w:val="center"/>
          </w:tcPr>
          <w:p>
            <w:pPr>
              <w:shd w:val="clear"/>
              <w:overflowPunct w:val="0"/>
              <w:spacing w:line="288"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开标日期及地点：</w:t>
            </w:r>
            <w:r>
              <w:rPr>
                <w:rFonts w:hint="eastAsia" w:ascii="宋体" w:hAnsi="宋体" w:cs="宋体"/>
                <w:color w:val="auto"/>
                <w:sz w:val="24"/>
                <w:szCs w:val="24"/>
                <w:highlight w:val="none"/>
              </w:rPr>
              <w:t>2023年11月2</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日1</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时00分(北京时间)</w:t>
            </w:r>
          </w:p>
          <w:p>
            <w:pPr>
              <w:shd w:val="clear"/>
              <w:overflowPunct w:val="0"/>
              <w:spacing w:line="288"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开标地点：</w:t>
            </w:r>
            <w:r>
              <w:rPr>
                <w:rFonts w:hint="eastAsia" w:ascii="宋体" w:hAnsi="宋体"/>
                <w:color w:val="auto"/>
                <w:sz w:val="24"/>
                <w:szCs w:val="24"/>
                <w:highlight w:val="none"/>
              </w:rPr>
              <w:t>政采云平台</w:t>
            </w:r>
          </w:p>
        </w:tc>
      </w:tr>
      <w:tr>
        <w:tblPrEx>
          <w:tblCellMar>
            <w:top w:w="0" w:type="dxa"/>
            <w:left w:w="108" w:type="dxa"/>
            <w:bottom w:w="0" w:type="dxa"/>
            <w:right w:w="108" w:type="dxa"/>
          </w:tblCellMar>
        </w:tblPrEx>
        <w:trPr>
          <w:trHeight w:val="6790"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color w:val="auto"/>
                <w:highlight w:val="none"/>
              </w:rPr>
              <w:t>14</w:t>
            </w:r>
          </w:p>
        </w:tc>
        <w:tc>
          <w:tcPr>
            <w:tcW w:w="1815" w:type="dxa"/>
            <w:tcBorders>
              <w:top w:val="single" w:color="auto" w:sz="12" w:space="0"/>
              <w:left w:val="single" w:color="auto" w:sz="12" w:space="0"/>
              <w:bottom w:val="single" w:color="auto" w:sz="12" w:space="0"/>
              <w:right w:val="single" w:color="auto" w:sz="12" w:space="0"/>
            </w:tcBorders>
            <w:vAlign w:val="center"/>
          </w:tcPr>
          <w:p>
            <w:pPr>
              <w:shd w:val="clear"/>
              <w:overflowPunct w:val="0"/>
              <w:spacing w:line="288"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开标资格审查（上传至政采云平台）</w:t>
            </w:r>
          </w:p>
        </w:tc>
        <w:tc>
          <w:tcPr>
            <w:tcW w:w="6963" w:type="dxa"/>
            <w:tcBorders>
              <w:top w:val="single" w:color="auto" w:sz="12" w:space="0"/>
              <w:left w:val="single" w:color="auto" w:sz="12" w:space="0"/>
              <w:bottom w:val="single" w:color="auto" w:sz="12" w:space="0"/>
              <w:right w:val="single" w:color="auto" w:sz="12" w:space="0"/>
            </w:tcBorders>
            <w:vAlign w:val="center"/>
          </w:tcPr>
          <w:p>
            <w:pPr>
              <w:shd w:val="clear"/>
              <w:rPr>
                <w:color w:val="auto"/>
                <w:sz w:val="24"/>
                <w:szCs w:val="24"/>
                <w:highlight w:val="none"/>
              </w:rPr>
            </w:pPr>
            <w:r>
              <w:rPr>
                <w:rFonts w:hint="eastAsia"/>
                <w:color w:val="auto"/>
                <w:sz w:val="24"/>
                <w:szCs w:val="24"/>
                <w:highlight w:val="none"/>
              </w:rPr>
              <w:t>①具有有效的营业执照（三证合一）;</w:t>
            </w:r>
          </w:p>
          <w:p>
            <w:pPr>
              <w:shd w:val="clear"/>
              <w:rPr>
                <w:color w:val="auto"/>
                <w:sz w:val="24"/>
                <w:szCs w:val="24"/>
                <w:highlight w:val="none"/>
              </w:rPr>
            </w:pPr>
            <w:r>
              <w:rPr>
                <w:rFonts w:hint="eastAsia"/>
                <w:color w:val="auto"/>
                <w:sz w:val="24"/>
                <w:szCs w:val="24"/>
                <w:highlight w:val="none"/>
              </w:rPr>
              <w:t>②</w:t>
            </w:r>
            <w:r>
              <w:rPr>
                <w:rFonts w:hint="eastAsia" w:ascii="宋体" w:hAnsi="宋体" w:cs="宋体"/>
                <w:color w:val="auto"/>
                <w:kern w:val="0"/>
                <w:sz w:val="24"/>
                <w:szCs w:val="24"/>
                <w:highlight w:val="none"/>
              </w:rPr>
              <w:t>须具有</w:t>
            </w:r>
            <w:r>
              <w:rPr>
                <w:rFonts w:hint="eastAsia" w:ascii="宋体" w:hAnsi="宋体" w:cs="宋体"/>
                <w:color w:val="auto"/>
                <w:kern w:val="0"/>
                <w:sz w:val="24"/>
                <w:szCs w:val="24"/>
                <w:highlight w:val="none"/>
                <w:lang w:eastAsia="zh-CN"/>
              </w:rPr>
              <w:t>在</w:t>
            </w:r>
            <w:r>
              <w:rPr>
                <w:rFonts w:hint="eastAsia" w:ascii="宋体" w:cs="宋体"/>
                <w:color w:val="auto"/>
                <w:sz w:val="24"/>
                <w:highlight w:val="none"/>
              </w:rPr>
              <w:t>消防部门注册备案</w:t>
            </w:r>
            <w:r>
              <w:rPr>
                <w:rFonts w:hint="eastAsia" w:ascii="宋体" w:cs="宋体"/>
                <w:color w:val="auto"/>
                <w:sz w:val="24"/>
                <w:highlight w:val="none"/>
                <w:lang w:val="en-US" w:eastAsia="zh-CN"/>
              </w:rPr>
              <w:t>相关证明材料</w:t>
            </w:r>
            <w:r>
              <w:rPr>
                <w:rFonts w:hint="eastAsia" w:ascii="宋体" w:cs="宋体"/>
                <w:color w:val="auto"/>
                <w:sz w:val="24"/>
                <w:highlight w:val="none"/>
              </w:rPr>
              <w:t>。</w:t>
            </w:r>
          </w:p>
          <w:p>
            <w:pPr>
              <w:shd w:val="clear"/>
              <w:rPr>
                <w:color w:val="auto"/>
                <w:sz w:val="24"/>
                <w:szCs w:val="24"/>
                <w:highlight w:val="none"/>
              </w:rPr>
            </w:pPr>
            <w:r>
              <w:rPr>
                <w:rFonts w:hint="eastAsia" w:ascii="宋体" w:hAnsi="宋体" w:cs="宋体"/>
                <w:color w:val="auto"/>
                <w:sz w:val="24"/>
                <w:szCs w:val="24"/>
                <w:highlight w:val="none"/>
              </w:rPr>
              <w:t>③</w:t>
            </w:r>
            <w:r>
              <w:rPr>
                <w:rFonts w:hint="eastAsia"/>
                <w:color w:val="auto"/>
                <w:sz w:val="24"/>
                <w:szCs w:val="24"/>
                <w:highlight w:val="none"/>
              </w:rPr>
              <w:t>法人身份证明及身份证原件或法人授权委托书原件被授权人有效身份证原件；</w:t>
            </w:r>
          </w:p>
          <w:p>
            <w:pPr>
              <w:pStyle w:val="16"/>
              <w:shd w:val="clear"/>
              <w:rPr>
                <w:b w:val="0"/>
                <w:bCs w:val="0"/>
                <w:color w:val="auto"/>
                <w:highlight w:val="none"/>
              </w:rPr>
            </w:pPr>
            <w:r>
              <w:rPr>
                <w:rFonts w:hint="eastAsia" w:ascii="宋体" w:hAnsi="宋体" w:cs="宋体"/>
                <w:b w:val="0"/>
                <w:bCs w:val="0"/>
                <w:color w:val="auto"/>
                <w:sz w:val="24"/>
                <w:szCs w:val="24"/>
                <w:highlight w:val="none"/>
              </w:rPr>
              <w:t>④</w:t>
            </w:r>
            <w:r>
              <w:rPr>
                <w:rFonts w:hint="eastAsia"/>
                <w:b w:val="0"/>
                <w:bCs w:val="0"/>
                <w:color w:val="auto"/>
                <w:sz w:val="24"/>
                <w:szCs w:val="24"/>
                <w:highlight w:val="none"/>
              </w:rPr>
              <w:t>近一年任意月法人或授权委托人人员社保明细证明（新公司从成立之日起算）；</w:t>
            </w:r>
          </w:p>
          <w:p>
            <w:pPr>
              <w:shd w:val="clear"/>
              <w:rPr>
                <w:color w:val="auto"/>
                <w:sz w:val="24"/>
                <w:szCs w:val="24"/>
                <w:highlight w:val="none"/>
              </w:rPr>
            </w:pPr>
            <w:r>
              <w:rPr>
                <w:rFonts w:hint="eastAsia" w:ascii="宋体" w:hAnsi="宋体" w:cs="宋体"/>
                <w:color w:val="auto"/>
                <w:sz w:val="24"/>
                <w:szCs w:val="24"/>
                <w:highlight w:val="none"/>
              </w:rPr>
              <w:t>⑤</w:t>
            </w:r>
            <w:r>
              <w:rPr>
                <w:rFonts w:hint="eastAsia"/>
                <w:color w:val="auto"/>
                <w:sz w:val="24"/>
                <w:szCs w:val="24"/>
                <w:highlight w:val="none"/>
              </w:rPr>
              <w:t>凡拟参加本次招标项目的供应商，如在“信用中国”网站（www.creditchina.gov.cn）和中国政府采购网（www.ccgp.gov.cn）被列入失信被执行人、税收违法黑名单、政府采购严重违法失信行为记录名单的（尚在处罚期内的），将拒绝其参加本次采购活动。（网页打印件须自招标文件发布之日起至首次提交投标文件截止时间内从上述网站中打印）</w:t>
            </w:r>
          </w:p>
          <w:p>
            <w:pPr>
              <w:pStyle w:val="16"/>
              <w:shd w:val="clear"/>
              <w:rPr>
                <w:b w:val="0"/>
                <w:bCs w:val="0"/>
                <w:color w:val="auto"/>
                <w:sz w:val="24"/>
                <w:szCs w:val="24"/>
                <w:highlight w:val="none"/>
              </w:rPr>
            </w:pPr>
            <w:r>
              <w:rPr>
                <w:rFonts w:hint="eastAsia" w:ascii="宋体" w:hAnsi="宋体" w:cs="宋体"/>
                <w:b w:val="0"/>
                <w:bCs w:val="0"/>
                <w:color w:val="auto"/>
                <w:sz w:val="24"/>
                <w:szCs w:val="24"/>
                <w:highlight w:val="none"/>
              </w:rPr>
              <w:t>⑥</w:t>
            </w:r>
            <w:r>
              <w:rPr>
                <w:rFonts w:hint="eastAsia"/>
                <w:b w:val="0"/>
                <w:bCs w:val="0"/>
                <w:color w:val="auto"/>
                <w:sz w:val="24"/>
                <w:szCs w:val="24"/>
                <w:highlight w:val="none"/>
              </w:rPr>
              <w:t>须具备近一年财务审计报告或银行提供的资信证明（新公司从成立之日起算）</w:t>
            </w:r>
          </w:p>
          <w:p>
            <w:pPr>
              <w:shd w:val="clear"/>
              <w:rPr>
                <w:color w:val="auto"/>
                <w:sz w:val="24"/>
                <w:szCs w:val="24"/>
                <w:highlight w:val="none"/>
              </w:rPr>
            </w:pPr>
            <w:r>
              <w:rPr>
                <w:rFonts w:hint="eastAsia" w:ascii="宋体" w:hAnsi="宋体" w:cs="宋体"/>
                <w:color w:val="auto"/>
                <w:sz w:val="24"/>
                <w:szCs w:val="24"/>
                <w:highlight w:val="none"/>
              </w:rPr>
              <w:t>⑦</w:t>
            </w:r>
            <w:r>
              <w:rPr>
                <w:rFonts w:hint="eastAsia"/>
                <w:color w:val="auto"/>
                <w:sz w:val="24"/>
                <w:szCs w:val="24"/>
                <w:highlight w:val="none"/>
              </w:rPr>
              <w:t>须具有近一年任意月纳税证明（新公司从成立之日起算）</w:t>
            </w:r>
          </w:p>
          <w:p>
            <w:pPr>
              <w:pStyle w:val="30"/>
              <w:shd w:val="clear"/>
              <w:spacing w:line="360" w:lineRule="auto"/>
              <w:jc w:val="both"/>
              <w:rPr>
                <w:rFonts w:ascii="宋体" w:hAnsi="宋体" w:cs="宋体"/>
                <w:color w:val="auto"/>
                <w:highlight w:val="none"/>
              </w:rPr>
            </w:pPr>
            <w:r>
              <w:rPr>
                <w:rFonts w:hint="eastAsia" w:ascii="宋体" w:hAnsi="宋体" w:cs="宋体"/>
                <w:color w:val="auto"/>
                <w:highlight w:val="none"/>
              </w:rPr>
              <w:t>⑧</w:t>
            </w:r>
            <w:r>
              <w:rPr>
                <w:rFonts w:hint="eastAsia" w:ascii="宋体" w:hAnsi="宋体" w:cs="宋体"/>
                <w:color w:val="auto"/>
                <w:highlight w:val="none"/>
              </w:rPr>
              <w:t>缴纳投标保证金凭证。</w:t>
            </w:r>
          </w:p>
          <w:p>
            <w:pPr>
              <w:shd w:val="clear"/>
              <w:overflowPunct w:val="0"/>
              <w:spacing w:line="288" w:lineRule="auto"/>
              <w:jc w:val="left"/>
              <w:rPr>
                <w:rFonts w:ascii="宋体" w:hAnsi="宋体" w:cs="宋体"/>
                <w:color w:val="auto"/>
                <w:sz w:val="24"/>
                <w:szCs w:val="24"/>
                <w:highlight w:val="none"/>
              </w:rPr>
            </w:pPr>
            <w:r>
              <w:rPr>
                <w:rFonts w:hint="eastAsia" w:ascii="宋体" w:hAnsi="宋体" w:cs="宋体"/>
                <w:b/>
                <w:color w:val="auto"/>
                <w:sz w:val="24"/>
                <w:szCs w:val="24"/>
                <w:highlight w:val="none"/>
              </w:rPr>
              <w:t>资格审查不合格，将取消其投标资格</w:t>
            </w:r>
            <w:r>
              <w:rPr>
                <w:rFonts w:hint="eastAsia" w:ascii="宋体" w:hAnsi="宋体" w:cs="宋体"/>
                <w:color w:val="auto"/>
                <w:sz w:val="24"/>
                <w:szCs w:val="24"/>
                <w:highlight w:val="none"/>
              </w:rPr>
              <w:t>。</w:t>
            </w:r>
            <w:r>
              <w:rPr>
                <w:rFonts w:hint="eastAsia" w:ascii="宋体" w:hAnsi="宋体" w:cs="宋体"/>
                <w:b/>
                <w:color w:val="auto"/>
                <w:sz w:val="24"/>
                <w:szCs w:val="24"/>
                <w:highlight w:val="none"/>
              </w:rPr>
              <w:t>(</w:t>
            </w:r>
            <w:r>
              <w:rPr>
                <w:rFonts w:hint="eastAsia"/>
                <w:b/>
                <w:bCs/>
                <w:color w:val="auto"/>
                <w:sz w:val="24"/>
                <w:szCs w:val="24"/>
                <w:highlight w:val="none"/>
              </w:rPr>
              <w:t>开标前需上传以上证件</w:t>
            </w:r>
            <w:r>
              <w:rPr>
                <w:rFonts w:hint="eastAsia" w:ascii="宋体" w:hAnsi="宋体" w:cs="宋体"/>
                <w:b/>
                <w:color w:val="auto"/>
                <w:sz w:val="24"/>
                <w:szCs w:val="24"/>
                <w:highlight w:val="none"/>
              </w:rPr>
              <w:t>）</w:t>
            </w:r>
          </w:p>
        </w:tc>
      </w:tr>
      <w:tr>
        <w:tblPrEx>
          <w:tblCellMar>
            <w:top w:w="0" w:type="dxa"/>
            <w:left w:w="108" w:type="dxa"/>
            <w:bottom w:w="0" w:type="dxa"/>
            <w:right w:w="108" w:type="dxa"/>
          </w:tblCellMar>
        </w:tblPrEx>
        <w:trPr>
          <w:trHeight w:val="1107"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color w:val="auto"/>
                <w:highlight w:val="none"/>
              </w:rPr>
              <w:t>15</w:t>
            </w:r>
          </w:p>
        </w:tc>
        <w:tc>
          <w:tcPr>
            <w:tcW w:w="1815"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color w:val="auto"/>
                <w:highlight w:val="none"/>
              </w:rPr>
              <w:t>招标代理费</w:t>
            </w:r>
          </w:p>
        </w:tc>
        <w:tc>
          <w:tcPr>
            <w:tcW w:w="6963" w:type="dxa"/>
            <w:tcBorders>
              <w:top w:val="single" w:color="auto" w:sz="12" w:space="0"/>
              <w:left w:val="single" w:color="auto" w:sz="12" w:space="0"/>
              <w:bottom w:val="single" w:color="auto" w:sz="12" w:space="0"/>
              <w:right w:val="single" w:color="auto" w:sz="12" w:space="0"/>
            </w:tcBorders>
            <w:vAlign w:val="center"/>
          </w:tcPr>
          <w:p>
            <w:pPr>
              <w:shd w:val="clear"/>
              <w:overflowPunct w:val="0"/>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按发改价格[2011]543号及计价格[2002]1980号文件计算的招标代理服务收费标准下浮50%。</w:t>
            </w:r>
          </w:p>
        </w:tc>
      </w:tr>
      <w:tr>
        <w:tblPrEx>
          <w:tblCellMar>
            <w:top w:w="0" w:type="dxa"/>
            <w:left w:w="108" w:type="dxa"/>
            <w:bottom w:w="0" w:type="dxa"/>
            <w:right w:w="108" w:type="dxa"/>
          </w:tblCellMar>
        </w:tblPrEx>
        <w:trPr>
          <w:trHeight w:val="5388"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color w:val="auto"/>
                <w:highlight w:val="none"/>
              </w:rPr>
              <w:t>16</w:t>
            </w:r>
          </w:p>
        </w:tc>
        <w:tc>
          <w:tcPr>
            <w:tcW w:w="1815" w:type="dxa"/>
            <w:tcBorders>
              <w:top w:val="single" w:color="auto" w:sz="12" w:space="0"/>
              <w:left w:val="single" w:color="auto" w:sz="12" w:space="0"/>
              <w:bottom w:val="single" w:color="auto" w:sz="12" w:space="0"/>
              <w:right w:val="single" w:color="auto" w:sz="12" w:space="0"/>
            </w:tcBorders>
            <w:vAlign w:val="center"/>
          </w:tcPr>
          <w:p>
            <w:pPr>
              <w:shd w:val="clear"/>
              <w:jc w:val="center"/>
              <w:rPr>
                <w:rFonts w:ascii="宋体" w:hAnsi="宋体" w:cs="宋体"/>
                <w:b/>
                <w:color w:val="auto"/>
                <w:sz w:val="24"/>
                <w:szCs w:val="24"/>
                <w:highlight w:val="none"/>
              </w:rPr>
            </w:pPr>
            <w:r>
              <w:rPr>
                <w:rFonts w:hint="eastAsia" w:ascii="宋体" w:hAnsi="宋体" w:cs="宋体"/>
                <w:color w:val="auto"/>
                <w:kern w:val="0"/>
                <w:sz w:val="24"/>
                <w:szCs w:val="24"/>
                <w:highlight w:val="none"/>
                <w:lang w:val="zh-CN"/>
              </w:rPr>
              <w:t>小微企业（监狱企业视同小微企业）价格扣除</w:t>
            </w:r>
          </w:p>
        </w:tc>
        <w:tc>
          <w:tcPr>
            <w:tcW w:w="6963" w:type="dxa"/>
            <w:tcBorders>
              <w:top w:val="single" w:color="auto" w:sz="12" w:space="0"/>
              <w:left w:val="single" w:color="auto" w:sz="12" w:space="0"/>
              <w:bottom w:val="single" w:color="auto" w:sz="12" w:space="0"/>
              <w:right w:val="single" w:color="auto" w:sz="12" w:space="0"/>
            </w:tcBorders>
            <w:vAlign w:val="center"/>
          </w:tcPr>
          <w:p>
            <w:pPr>
              <w:numPr>
                <w:ilvl w:val="0"/>
                <w:numId w:val="5"/>
              </w:numPr>
              <w:shd w:val="clear"/>
              <w:overflowPunct w:val="0"/>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小微企业（监狱企业、残疾人福利性单位视同小微企业）价格扣除</w:t>
            </w:r>
          </w:p>
          <w:p>
            <w:pPr>
              <w:numPr>
                <w:ilvl w:val="0"/>
                <w:numId w:val="5"/>
              </w:numPr>
              <w:shd w:val="clear"/>
              <w:overflowPunct w:val="0"/>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根据《政府采购促进中小企业发展管理办法》（财库[2020]46 号）的规定，对小型和微型企业产品的价格给予10%的价格扣除，用扣除后的价格参与评标。</w:t>
            </w:r>
          </w:p>
          <w:p>
            <w:pPr>
              <w:numPr>
                <w:ilvl w:val="0"/>
                <w:numId w:val="5"/>
              </w:numPr>
              <w:shd w:val="clear"/>
              <w:overflowPunct w:val="0"/>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参加政府采购活动的中小企业应当提供《中小企业声明函》原件。</w:t>
            </w:r>
          </w:p>
          <w:p>
            <w:pPr>
              <w:numPr>
                <w:ilvl w:val="0"/>
                <w:numId w:val="5"/>
              </w:numPr>
              <w:shd w:val="clear"/>
              <w:overflowPunct w:val="0"/>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提供由省级以上监狱管理局、戒毒管理局（含新疆生产建设兵团）出具的属于监狱企业证明文件的原件，视同为小型和微型企业。</w:t>
            </w:r>
          </w:p>
          <w:p>
            <w:pPr>
              <w:numPr>
                <w:ilvl w:val="0"/>
                <w:numId w:val="5"/>
              </w:numPr>
              <w:shd w:val="clear"/>
              <w:overflowPunct w:val="0"/>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符合享受政府采购支持政策的残疾人福利性单位条件且提供《残疾人福利性单位声明函》的原件，视同为小型和微型企业。</w:t>
            </w:r>
          </w:p>
          <w:p>
            <w:pPr>
              <w:numPr>
                <w:ilvl w:val="0"/>
                <w:numId w:val="5"/>
              </w:numPr>
              <w:shd w:val="clear"/>
              <w:overflowPunct w:val="0"/>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注：供应商根据自身实际情况据实提供上述材料原件，未提供的，视为放弃享受小微企业价格扣除优惠政策。</w:t>
            </w:r>
          </w:p>
        </w:tc>
      </w:tr>
      <w:tr>
        <w:tblPrEx>
          <w:tblCellMar>
            <w:top w:w="0" w:type="dxa"/>
            <w:left w:w="108" w:type="dxa"/>
            <w:bottom w:w="0" w:type="dxa"/>
            <w:right w:w="108" w:type="dxa"/>
          </w:tblCellMar>
        </w:tblPrEx>
        <w:trPr>
          <w:trHeight w:val="6248"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color w:val="auto"/>
                <w:highlight w:val="none"/>
              </w:rPr>
              <w:t>17</w:t>
            </w:r>
          </w:p>
        </w:tc>
        <w:tc>
          <w:tcPr>
            <w:tcW w:w="1815"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b/>
                <w:color w:val="auto"/>
                <w:highlight w:val="none"/>
              </w:rPr>
            </w:pPr>
            <w:r>
              <w:rPr>
                <w:rFonts w:hint="eastAsia" w:ascii="宋体" w:hAnsi="宋体" w:cs="宋体"/>
                <w:b/>
                <w:color w:val="auto"/>
                <w:highlight w:val="none"/>
              </w:rPr>
              <w:t>低于成本价不正当竞争预防措施(实质性要求)</w:t>
            </w:r>
          </w:p>
        </w:tc>
        <w:tc>
          <w:tcPr>
            <w:tcW w:w="6963" w:type="dxa"/>
            <w:tcBorders>
              <w:top w:val="single" w:color="auto" w:sz="12" w:space="0"/>
              <w:left w:val="single" w:color="auto" w:sz="12" w:space="0"/>
              <w:bottom w:val="single" w:color="auto" w:sz="12" w:space="0"/>
              <w:right w:val="single" w:color="auto" w:sz="12" w:space="0"/>
            </w:tcBorders>
            <w:vAlign w:val="center"/>
          </w:tcPr>
          <w:p>
            <w:pPr>
              <w:shd w:val="clear"/>
              <w:overflowPunct w:val="0"/>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在评审过程中,评审委员会认为供应商投标价低于成本价,有可能影响产品质量或者不能诚信履约的,磋商小组应当要求其在磋商现场合理的时间内提供书面说明,并提交相关证明材料,供应商不能证明其报价合理性的,磋商小组应当将其作为无效处理。</w:t>
            </w:r>
          </w:p>
          <w:p>
            <w:pPr>
              <w:pStyle w:val="10"/>
              <w:shd w:val="clear"/>
              <w:ind w:left="0"/>
              <w:rPr>
                <w:color w:val="auto"/>
                <w:highlight w:val="none"/>
              </w:rPr>
            </w:pPr>
            <w:r>
              <w:rPr>
                <w:rFonts w:hint="eastAsia"/>
                <w:color w:val="auto"/>
                <w:highlight w:val="none"/>
              </w:rPr>
              <w:t xml:space="preserve">   </w:t>
            </w:r>
            <w:r>
              <w:rPr>
                <w:rFonts w:hint="eastAsia" w:ascii="宋体" w:hAnsi="宋体" w:cs="宋体"/>
                <w:color w:val="auto"/>
                <w:kern w:val="0"/>
                <w:sz w:val="24"/>
                <w:szCs w:val="24"/>
                <w:highlight w:val="none"/>
              </w:rPr>
              <w:t>供应商的书面说明材料应当按照国家财务会计制度的规定要求,逐项就供应商提供的货物、工程和服务的主营业务成本、税金及附加、销售费用、管理费用、财务费用等成本构成事项详细陈述。</w:t>
            </w:r>
          </w:p>
          <w:p>
            <w:pPr>
              <w:shd w:val="clear"/>
              <w:overflowPunct w:val="0"/>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2.供应商书面说明应当签字确认或者加盖公章,否则无效。书面说明的签字确认,由其法定代表人/主要负责人/本人或其授权代表人签字确认。</w:t>
            </w:r>
          </w:p>
          <w:p>
            <w:pPr>
              <w:shd w:val="clear"/>
              <w:overflowPunct w:val="0"/>
              <w:spacing w:line="288" w:lineRule="auto"/>
              <w:jc w:val="left"/>
              <w:rPr>
                <w:color w:val="auto"/>
                <w:highlight w:val="none"/>
              </w:rPr>
            </w:pPr>
            <w:r>
              <w:rPr>
                <w:rFonts w:hint="eastAsia" w:ascii="宋体" w:hAnsi="宋体" w:cs="宋体"/>
                <w:color w:val="auto"/>
                <w:kern w:val="0"/>
                <w:sz w:val="24"/>
                <w:szCs w:val="24"/>
                <w:highlight w:val="none"/>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r>
        <w:tblPrEx>
          <w:tblCellMar>
            <w:top w:w="0" w:type="dxa"/>
            <w:left w:w="108" w:type="dxa"/>
            <w:bottom w:w="0" w:type="dxa"/>
            <w:right w:w="108" w:type="dxa"/>
          </w:tblCellMar>
        </w:tblPrEx>
        <w:trPr>
          <w:trHeight w:val="5209"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color w:val="auto"/>
                <w:highlight w:val="none"/>
              </w:rPr>
              <w:t>18</w:t>
            </w:r>
          </w:p>
        </w:tc>
        <w:tc>
          <w:tcPr>
            <w:tcW w:w="1815"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color w:val="auto"/>
                <w:highlight w:val="none"/>
              </w:rPr>
              <w:t>节能、环保产品政策体现（</w:t>
            </w:r>
            <w:r>
              <w:rPr>
                <w:rFonts w:hint="eastAsia" w:ascii="宋体" w:hAnsi="宋体" w:cs="宋体"/>
                <w:b/>
                <w:bCs/>
                <w:color w:val="auto"/>
                <w:highlight w:val="none"/>
              </w:rPr>
              <w:t>如涉及</w:t>
            </w:r>
            <w:r>
              <w:rPr>
                <w:rFonts w:hint="eastAsia" w:ascii="宋体" w:hAnsi="宋体" w:cs="宋体"/>
                <w:color w:val="auto"/>
                <w:highlight w:val="none"/>
              </w:rPr>
              <w:t>）</w:t>
            </w:r>
          </w:p>
        </w:tc>
        <w:tc>
          <w:tcPr>
            <w:tcW w:w="6963" w:type="dxa"/>
            <w:tcBorders>
              <w:top w:val="single" w:color="auto" w:sz="12" w:space="0"/>
              <w:left w:val="single" w:color="auto" w:sz="12" w:space="0"/>
              <w:bottom w:val="single" w:color="auto" w:sz="12" w:space="0"/>
              <w:right w:val="single" w:color="auto" w:sz="12" w:space="0"/>
            </w:tcBorders>
            <w:vAlign w:val="center"/>
          </w:tcPr>
          <w:p>
            <w:pPr>
              <w:shd w:val="clear"/>
              <w:overflowPunct w:val="0"/>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1、根据《财政部 发展改革委 生态环境部 市场监管总局关于调整优化节能产品、环境标志产品政府采购执行机制的通知》（财库〔2019〕9 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 </w:t>
            </w:r>
          </w:p>
          <w:p>
            <w:pPr>
              <w:shd w:val="clear"/>
              <w:overflowPunct w:val="0"/>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2、本项目采购的产品属于品目清单强制采购范围的，供应商应按上述要求 提供产品认证证书复印件并加盖供应商单位公章（鲜章），否则作无效响应处理。（实质性要求）</w:t>
            </w:r>
          </w:p>
          <w:p>
            <w:pPr>
              <w:shd w:val="clear"/>
              <w:overflowPunct w:val="0"/>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注：对政府采购节能产品、环境标志产品实施品目清单管理。财政部、发展改革委、生态环境部等部门确定实施政府优先采购和强制采购的产品类别，以品目清单的形式发布并适时调整。</w:t>
            </w:r>
          </w:p>
        </w:tc>
      </w:tr>
      <w:tr>
        <w:tblPrEx>
          <w:tblCellMar>
            <w:top w:w="0" w:type="dxa"/>
            <w:left w:w="108" w:type="dxa"/>
            <w:bottom w:w="0" w:type="dxa"/>
            <w:right w:w="108" w:type="dxa"/>
          </w:tblCellMar>
        </w:tblPrEx>
        <w:trPr>
          <w:trHeight w:val="6000" w:hRule="exact"/>
          <w:jc w:val="center"/>
        </w:trPr>
        <w:tc>
          <w:tcPr>
            <w:tcW w:w="792"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color w:val="auto"/>
                <w:highlight w:val="none"/>
              </w:rPr>
              <w:t>19</w:t>
            </w:r>
          </w:p>
        </w:tc>
        <w:tc>
          <w:tcPr>
            <w:tcW w:w="1815" w:type="dxa"/>
            <w:tcBorders>
              <w:top w:val="single" w:color="auto" w:sz="12" w:space="0"/>
              <w:left w:val="single" w:color="auto" w:sz="12" w:space="0"/>
              <w:bottom w:val="single" w:color="auto" w:sz="12" w:space="0"/>
              <w:right w:val="single" w:color="auto" w:sz="12" w:space="0"/>
            </w:tcBorders>
            <w:vAlign w:val="center"/>
          </w:tcPr>
          <w:p>
            <w:pPr>
              <w:pStyle w:val="30"/>
              <w:shd w:val="clear"/>
              <w:spacing w:line="288" w:lineRule="auto"/>
              <w:jc w:val="center"/>
              <w:rPr>
                <w:rFonts w:ascii="宋体" w:hAnsi="宋体" w:cs="宋体"/>
                <w:color w:val="auto"/>
                <w:highlight w:val="none"/>
              </w:rPr>
            </w:pPr>
            <w:r>
              <w:rPr>
                <w:rFonts w:hint="eastAsia" w:ascii="宋体" w:hAnsi="宋体" w:cs="宋体"/>
                <w:color w:val="auto"/>
                <w:highlight w:val="none"/>
              </w:rPr>
              <w:t>付款方式</w:t>
            </w:r>
          </w:p>
        </w:tc>
        <w:tc>
          <w:tcPr>
            <w:tcW w:w="6963" w:type="dxa"/>
            <w:tcBorders>
              <w:top w:val="single" w:color="auto" w:sz="12" w:space="0"/>
              <w:left w:val="single" w:color="auto" w:sz="12" w:space="0"/>
              <w:bottom w:val="single" w:color="auto" w:sz="12" w:space="0"/>
              <w:right w:val="single" w:color="auto" w:sz="12" w:space="0"/>
            </w:tcBorders>
            <w:vAlign w:val="center"/>
          </w:tcPr>
          <w:p>
            <w:pPr>
              <w:shd w:val="clear"/>
              <w:overflowPunct w:val="0"/>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在合同有效期内，先维保，后付款。按照合同条款维保合格后，招标人每六个月付款一次，共计付款四次。第一个维保年度结束前，招标人将根据当年的维保工作情况进行工作评价，经评估合格，则继续执行第二年度维保任务。如果因每月没有按照维保计划完成三次以上（包括三次），维保人员工作不到位，或因投标人原因使消防设施故障，没有得到及时解决，不能正常运行而因此受到上级部门处罚等情况，招标人有权终止合同，不继续执行第二年度的维保工作。</w:t>
            </w:r>
          </w:p>
          <w:p>
            <w:pPr>
              <w:shd w:val="clear"/>
              <w:overflowPunct w:val="0"/>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维保满6个月，中标人完成合同约定维保内容，招标人验收合格，支付总价50%的维保费用，维保满一年，在消防检测公司出具合格的消防设施检测报告后，招标人认可维保工作报告后，按程序支付第二次50%的维保费用。第二个维保年度付款进度同第一年一致。（具体付款方式与甲方签订的合同为准）</w:t>
            </w:r>
          </w:p>
          <w:p>
            <w:pPr>
              <w:shd w:val="clear"/>
              <w:overflowPunct w:val="0"/>
              <w:spacing w:line="288" w:lineRule="auto"/>
              <w:jc w:val="left"/>
              <w:rPr>
                <w:rFonts w:ascii="宋体" w:hAnsi="宋体" w:cs="宋体"/>
                <w:color w:val="auto"/>
                <w:kern w:val="0"/>
                <w:sz w:val="24"/>
                <w:szCs w:val="24"/>
                <w:highlight w:val="none"/>
              </w:rPr>
            </w:pPr>
          </w:p>
        </w:tc>
      </w:tr>
    </w:tbl>
    <w:p>
      <w:pPr>
        <w:shd w:val="clear"/>
        <w:adjustRightInd w:val="0"/>
        <w:snapToGrid w:val="0"/>
        <w:spacing w:line="360" w:lineRule="auto"/>
        <w:jc w:val="right"/>
        <w:rPr>
          <w:rFonts w:ascii="宋体" w:hAnsi="宋体"/>
          <w:color w:val="auto"/>
          <w:kern w:val="13"/>
          <w:sz w:val="28"/>
          <w:highlight w:val="none"/>
        </w:rPr>
      </w:pPr>
    </w:p>
    <w:p>
      <w:pPr>
        <w:pStyle w:val="27"/>
        <w:shd w:val="clear"/>
        <w:outlineLvl w:val="9"/>
        <w:rPr>
          <w:rFonts w:ascii="宋体" w:hAnsi="宋体"/>
          <w:color w:val="auto"/>
          <w:kern w:val="13"/>
          <w:sz w:val="28"/>
          <w:highlight w:val="none"/>
        </w:rPr>
      </w:pPr>
    </w:p>
    <w:p>
      <w:pPr>
        <w:pStyle w:val="3"/>
        <w:shd w:val="clear"/>
        <w:rPr>
          <w:rFonts w:ascii="宋体" w:hAnsi="宋体"/>
          <w:color w:val="auto"/>
          <w:kern w:val="13"/>
          <w:highlight w:val="none"/>
        </w:rPr>
      </w:pPr>
    </w:p>
    <w:p>
      <w:pPr>
        <w:shd w:val="clear"/>
        <w:rPr>
          <w:rFonts w:ascii="宋体" w:hAnsi="宋体"/>
          <w:color w:val="auto"/>
          <w:kern w:val="13"/>
          <w:sz w:val="28"/>
          <w:highlight w:val="none"/>
        </w:rPr>
      </w:pPr>
    </w:p>
    <w:p>
      <w:pPr>
        <w:pStyle w:val="19"/>
        <w:shd w:val="clear"/>
        <w:rPr>
          <w:rFonts w:ascii="宋体" w:hAnsi="宋体"/>
          <w:color w:val="auto"/>
          <w:kern w:val="13"/>
          <w:sz w:val="28"/>
          <w:highlight w:val="none"/>
        </w:rPr>
      </w:pPr>
    </w:p>
    <w:p>
      <w:pPr>
        <w:pStyle w:val="19"/>
        <w:shd w:val="clear"/>
        <w:rPr>
          <w:rFonts w:ascii="宋体" w:hAnsi="宋体"/>
          <w:color w:val="auto"/>
          <w:kern w:val="13"/>
          <w:sz w:val="28"/>
          <w:highlight w:val="none"/>
        </w:rPr>
      </w:pPr>
    </w:p>
    <w:p>
      <w:pPr>
        <w:pStyle w:val="19"/>
        <w:shd w:val="clear"/>
        <w:rPr>
          <w:rFonts w:ascii="宋体" w:hAnsi="宋体"/>
          <w:color w:val="auto"/>
          <w:kern w:val="13"/>
          <w:sz w:val="28"/>
          <w:highlight w:val="none"/>
        </w:rPr>
      </w:pPr>
    </w:p>
    <w:p>
      <w:pPr>
        <w:pStyle w:val="19"/>
        <w:shd w:val="clear"/>
        <w:rPr>
          <w:rFonts w:ascii="宋体" w:hAnsi="宋体"/>
          <w:color w:val="auto"/>
          <w:kern w:val="13"/>
          <w:sz w:val="28"/>
          <w:highlight w:val="none"/>
        </w:rPr>
      </w:pPr>
    </w:p>
    <w:p>
      <w:pPr>
        <w:pStyle w:val="19"/>
        <w:shd w:val="clear"/>
        <w:rPr>
          <w:rFonts w:ascii="宋体" w:hAnsi="宋体"/>
          <w:color w:val="auto"/>
          <w:kern w:val="13"/>
          <w:sz w:val="28"/>
          <w:highlight w:val="none"/>
        </w:rPr>
      </w:pPr>
    </w:p>
    <w:p>
      <w:pPr>
        <w:pStyle w:val="19"/>
        <w:shd w:val="clear"/>
        <w:rPr>
          <w:rFonts w:ascii="宋体" w:hAnsi="宋体"/>
          <w:color w:val="auto"/>
          <w:kern w:val="13"/>
          <w:sz w:val="28"/>
          <w:highlight w:val="none"/>
        </w:rPr>
      </w:pPr>
    </w:p>
    <w:p>
      <w:pPr>
        <w:pStyle w:val="27"/>
        <w:shd w:val="clear"/>
        <w:jc w:val="both"/>
        <w:outlineLvl w:val="9"/>
        <w:rPr>
          <w:color w:val="auto"/>
          <w:highlight w:val="none"/>
        </w:rPr>
      </w:pPr>
    </w:p>
    <w:p>
      <w:pPr>
        <w:pStyle w:val="30"/>
        <w:shd w:val="clear"/>
        <w:spacing w:line="360" w:lineRule="auto"/>
        <w:jc w:val="center"/>
        <w:outlineLvl w:val="1"/>
        <w:rPr>
          <w:rFonts w:hint="eastAsia" w:ascii="宋体" w:hAnsi="宋体" w:cs="宋体"/>
          <w:b/>
          <w:color w:val="auto"/>
          <w:sz w:val="40"/>
          <w:szCs w:val="36"/>
          <w:highlight w:val="none"/>
        </w:rPr>
      </w:pPr>
      <w:bookmarkStart w:id="23" w:name="_Toc24144"/>
      <w:bookmarkStart w:id="24" w:name="_Toc12701"/>
      <w:bookmarkStart w:id="25" w:name="_Toc13478"/>
      <w:bookmarkStart w:id="26" w:name="_Toc13229"/>
    </w:p>
    <w:p>
      <w:pPr>
        <w:pStyle w:val="30"/>
        <w:shd w:val="clear"/>
        <w:spacing w:line="360" w:lineRule="auto"/>
        <w:jc w:val="center"/>
        <w:outlineLvl w:val="1"/>
        <w:rPr>
          <w:rFonts w:hint="eastAsia" w:ascii="宋体" w:hAnsi="宋体" w:cs="宋体"/>
          <w:b/>
          <w:color w:val="auto"/>
          <w:sz w:val="40"/>
          <w:szCs w:val="36"/>
          <w:highlight w:val="none"/>
        </w:rPr>
      </w:pPr>
    </w:p>
    <w:p>
      <w:pPr>
        <w:pStyle w:val="30"/>
        <w:shd w:val="clear"/>
        <w:spacing w:line="360" w:lineRule="auto"/>
        <w:jc w:val="center"/>
        <w:outlineLvl w:val="1"/>
        <w:rPr>
          <w:rFonts w:hint="eastAsia" w:ascii="宋体" w:hAnsi="宋体" w:cs="宋体"/>
          <w:b/>
          <w:color w:val="auto"/>
          <w:sz w:val="40"/>
          <w:szCs w:val="36"/>
          <w:highlight w:val="none"/>
        </w:rPr>
      </w:pPr>
    </w:p>
    <w:p>
      <w:pPr>
        <w:pStyle w:val="30"/>
        <w:shd w:val="clear"/>
        <w:spacing w:line="360" w:lineRule="auto"/>
        <w:jc w:val="center"/>
        <w:outlineLvl w:val="1"/>
        <w:rPr>
          <w:rFonts w:ascii="宋体" w:hAnsi="宋体" w:cs="宋体"/>
          <w:b/>
          <w:color w:val="auto"/>
          <w:sz w:val="40"/>
          <w:szCs w:val="36"/>
          <w:highlight w:val="none"/>
        </w:rPr>
      </w:pPr>
      <w:r>
        <w:rPr>
          <w:rFonts w:hint="eastAsia" w:ascii="宋体" w:hAnsi="宋体" w:cs="宋体"/>
          <w:b/>
          <w:color w:val="auto"/>
          <w:sz w:val="40"/>
          <w:szCs w:val="36"/>
          <w:highlight w:val="none"/>
        </w:rPr>
        <w:t>一、总则</w:t>
      </w:r>
      <w:bookmarkEnd w:id="23"/>
      <w:bookmarkEnd w:id="24"/>
      <w:bookmarkEnd w:id="25"/>
      <w:bookmarkEnd w:id="26"/>
    </w:p>
    <w:p>
      <w:pPr>
        <w:pStyle w:val="30"/>
        <w:shd w:val="clear"/>
        <w:spacing w:line="360" w:lineRule="auto"/>
        <w:jc w:val="both"/>
        <w:rPr>
          <w:rFonts w:ascii="宋体" w:hAnsi="宋体" w:cs="宋体"/>
          <w:b/>
          <w:bCs/>
          <w:color w:val="auto"/>
          <w:highlight w:val="none"/>
        </w:rPr>
      </w:pPr>
      <w:r>
        <w:rPr>
          <w:rFonts w:hint="eastAsia" w:ascii="宋体" w:hAnsi="宋体" w:cs="宋体"/>
          <w:b/>
          <w:bCs/>
          <w:color w:val="auto"/>
          <w:highlight w:val="none"/>
        </w:rPr>
        <w:t>1.合格的投标供应商：</w:t>
      </w:r>
    </w:p>
    <w:p>
      <w:pPr>
        <w:pStyle w:val="30"/>
        <w:shd w:val="clear"/>
        <w:spacing w:line="360" w:lineRule="auto"/>
        <w:ind w:firstLine="480" w:firstLineChars="200"/>
        <w:rPr>
          <w:rFonts w:ascii="宋体" w:hAnsi="宋体" w:cs="宋体"/>
          <w:color w:val="auto"/>
          <w:highlight w:val="none"/>
        </w:rPr>
      </w:pPr>
      <w:r>
        <w:rPr>
          <w:rFonts w:hint="eastAsia" w:ascii="宋体" w:hAnsi="宋体" w:cs="宋体"/>
          <w:color w:val="auto"/>
          <w:highlight w:val="none"/>
        </w:rPr>
        <w:t>1.1 凡有能力提供本采购文件所述内容的，具备有效的企业或事业法人或其它组织均可能成为合格的供应商。</w:t>
      </w:r>
    </w:p>
    <w:p>
      <w:pPr>
        <w:shd w:val="clea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（1）投标人应符合《中华人民共和国政府采购法》第二十二条规定的条件；</w:t>
      </w:r>
    </w:p>
    <w:p>
      <w:pPr>
        <w:shd w:val="clea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①具有独立承担民事责任的能力；</w:t>
      </w:r>
    </w:p>
    <w:p>
      <w:pPr>
        <w:shd w:val="clea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②具有良好的商业信誉和健全的财务会计制度；</w:t>
      </w:r>
    </w:p>
    <w:p>
      <w:pPr>
        <w:shd w:val="clea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③具有履行合同所必须的设备和专业技术能力；</w:t>
      </w:r>
    </w:p>
    <w:p>
      <w:pPr>
        <w:shd w:val="clea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④有依法缴纳税收和社会保障资金的良好记录；</w:t>
      </w:r>
    </w:p>
    <w:p>
      <w:pPr>
        <w:shd w:val="clea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⑤参加政府采购活动前三年内，在经营活动中没有重大违法、犯罪记录；</w:t>
      </w:r>
    </w:p>
    <w:p>
      <w:pPr>
        <w:shd w:val="clea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⑥法律法规规定的其他条件。</w:t>
      </w:r>
    </w:p>
    <w:p>
      <w:pPr>
        <w:shd w:val="clea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（2）.遵守国家法律、法规有关招标的规定。</w:t>
      </w:r>
    </w:p>
    <w:p>
      <w:pPr>
        <w:shd w:val="clea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（3）.与采购人就本次招标的项目委托的咨询机构、招标代理机构、以及上述机构的附属机构没有行政或经济关联。</w:t>
      </w:r>
    </w:p>
    <w:p>
      <w:pPr>
        <w:pStyle w:val="30"/>
        <w:shd w:val="clear"/>
        <w:spacing w:line="360" w:lineRule="auto"/>
        <w:jc w:val="both"/>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4）.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pStyle w:val="31"/>
        <w:shd w:val="clear"/>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（5）.具有有效的营业执照。</w:t>
      </w:r>
    </w:p>
    <w:p>
      <w:pPr>
        <w:pStyle w:val="31"/>
        <w:shd w:val="clear"/>
        <w:snapToGrid w:val="0"/>
        <w:spacing w:line="360" w:lineRule="auto"/>
        <w:jc w:val="left"/>
        <w:rPr>
          <w:rFonts w:ascii="Times New Roman" w:hAnsi="Times New Roman"/>
          <w:b/>
          <w:bCs/>
          <w:color w:val="auto"/>
          <w:sz w:val="24"/>
          <w:highlight w:val="none"/>
        </w:rPr>
      </w:pPr>
      <w:r>
        <w:rPr>
          <w:rFonts w:hint="eastAsia" w:ascii="宋体" w:hAnsi="宋体" w:cs="宋体"/>
          <w:color w:val="auto"/>
          <w:kern w:val="0"/>
          <w:sz w:val="24"/>
          <w:highlight w:val="none"/>
        </w:rPr>
        <w:t>（6）.</w:t>
      </w:r>
      <w:r>
        <w:rPr>
          <w:rFonts w:hint="eastAsia" w:ascii="宋体" w:hAnsi="宋体" w:cs="宋体"/>
          <w:color w:val="auto"/>
          <w:kern w:val="0"/>
          <w:sz w:val="24"/>
          <w:szCs w:val="24"/>
          <w:highlight w:val="none"/>
        </w:rPr>
        <w:t>须具有</w:t>
      </w:r>
      <w:r>
        <w:rPr>
          <w:rFonts w:hint="eastAsia" w:ascii="宋体" w:hAnsi="宋体" w:cs="宋体"/>
          <w:color w:val="auto"/>
          <w:kern w:val="0"/>
          <w:sz w:val="24"/>
          <w:szCs w:val="24"/>
          <w:highlight w:val="none"/>
          <w:lang w:eastAsia="zh-CN"/>
        </w:rPr>
        <w:t>在</w:t>
      </w:r>
      <w:r>
        <w:rPr>
          <w:rFonts w:hint="eastAsia" w:ascii="宋体" w:cs="宋体"/>
          <w:color w:val="auto"/>
          <w:sz w:val="24"/>
          <w:highlight w:val="none"/>
        </w:rPr>
        <w:t>消防部门注册备案</w:t>
      </w:r>
      <w:r>
        <w:rPr>
          <w:rFonts w:hint="eastAsia" w:ascii="宋体" w:cs="宋体"/>
          <w:color w:val="auto"/>
          <w:sz w:val="24"/>
          <w:highlight w:val="none"/>
          <w:lang w:val="en-US" w:eastAsia="zh-CN"/>
        </w:rPr>
        <w:t>相关证明材料</w:t>
      </w:r>
      <w:r>
        <w:rPr>
          <w:rFonts w:hint="eastAsia" w:ascii="宋体" w:cs="宋体"/>
          <w:color w:val="auto"/>
          <w:sz w:val="24"/>
          <w:highlight w:val="none"/>
        </w:rPr>
        <w:t>。</w:t>
      </w:r>
    </w:p>
    <w:p>
      <w:pPr>
        <w:pStyle w:val="31"/>
        <w:shd w:val="clear"/>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（7）.须具备近一年财务审计报告或银行提供的资信证明（新公司从成立之日起算）。</w:t>
      </w:r>
    </w:p>
    <w:p>
      <w:pPr>
        <w:pStyle w:val="31"/>
        <w:shd w:val="clear"/>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（8）.须具有近一年任意月纳税证明（新公司从成立之日起算）。</w:t>
      </w:r>
    </w:p>
    <w:p>
      <w:pPr>
        <w:pStyle w:val="31"/>
        <w:shd w:val="clear"/>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（9）.近一年任意月人员明细的社保证明（新公司从成立之日起算）。</w:t>
      </w:r>
    </w:p>
    <w:p>
      <w:pPr>
        <w:pStyle w:val="31"/>
        <w:shd w:val="clear"/>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（10）.须具有履行合同所必须的设备和专业技术能力的承诺函。         </w:t>
      </w:r>
    </w:p>
    <w:p>
      <w:pPr>
        <w:pStyle w:val="31"/>
        <w:shd w:val="clear"/>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（11）.参加政府采购活动前3年内在经营活动中没有重大违法记录的书面声明。</w:t>
      </w:r>
    </w:p>
    <w:p>
      <w:pPr>
        <w:pStyle w:val="31"/>
        <w:shd w:val="clear"/>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（12）.投标单位须为中小企业，提供</w:t>
      </w:r>
      <w:r>
        <w:rPr>
          <w:rFonts w:ascii="宋体" w:hAnsi="宋体" w:cs="宋体"/>
          <w:color w:val="auto"/>
          <w:kern w:val="0"/>
          <w:sz w:val="24"/>
          <w:highlight w:val="none"/>
        </w:rPr>
        <w:t>《</w:t>
      </w:r>
      <w:r>
        <w:rPr>
          <w:rFonts w:hint="eastAsia" w:ascii="宋体" w:hAnsi="宋体" w:cs="宋体"/>
          <w:color w:val="auto"/>
          <w:kern w:val="0"/>
          <w:sz w:val="24"/>
          <w:highlight w:val="none"/>
        </w:rPr>
        <w:t>中小企业声明函</w:t>
      </w:r>
      <w:r>
        <w:rPr>
          <w:rFonts w:ascii="宋体" w:hAnsi="宋体" w:cs="宋体"/>
          <w:color w:val="auto"/>
          <w:kern w:val="0"/>
          <w:sz w:val="24"/>
          <w:highlight w:val="none"/>
        </w:rPr>
        <w:t>》</w:t>
      </w:r>
      <w:r>
        <w:rPr>
          <w:rFonts w:hint="eastAsia" w:ascii="宋体" w:hAnsi="宋体" w:cs="宋体"/>
          <w:color w:val="auto"/>
          <w:kern w:val="0"/>
          <w:sz w:val="24"/>
          <w:highlight w:val="none"/>
        </w:rPr>
        <w:t>。</w:t>
      </w:r>
    </w:p>
    <w:p>
      <w:pPr>
        <w:shd w:val="clear"/>
        <w:spacing w:line="288"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凡拟参加本次招标项目的投标人，如在“信用中国”网站（www.creditchina.gov.cn）被列入失信被执行人、税收违法黑名单、中国政府采购网（www.ccgp.gov.cn）政府采购严重违法失信行为记录名单的（尚在处罚期内的），将拒绝其参加本次采购活动</w:t>
      </w:r>
    </w:p>
    <w:p>
      <w:pPr>
        <w:pStyle w:val="30"/>
        <w:shd w:val="clear"/>
        <w:spacing w:line="360" w:lineRule="auto"/>
        <w:jc w:val="both"/>
        <w:rPr>
          <w:rFonts w:ascii="宋体" w:hAnsi="宋体" w:cs="宋体"/>
          <w:color w:val="auto"/>
          <w:highlight w:val="none"/>
        </w:rPr>
      </w:pPr>
      <w:r>
        <w:rPr>
          <w:rFonts w:hint="eastAsia" w:ascii="宋体" w:hAnsi="宋体" w:cs="宋体"/>
          <w:color w:val="auto"/>
          <w:highlight w:val="none"/>
        </w:rPr>
        <w:t>（14）.落实政府采购政策需满足的资格要求：</w:t>
      </w:r>
      <w:r>
        <w:rPr>
          <w:rFonts w:ascii="宋体" w:hAnsi="宋体" w:cs="宋体"/>
          <w:color w:val="auto"/>
          <w:highlight w:val="none"/>
        </w:rPr>
        <w:t>本项目专门面向中小企业</w:t>
      </w:r>
      <w:r>
        <w:rPr>
          <w:rFonts w:hint="eastAsia" w:ascii="宋体" w:hAnsi="宋体" w:cs="宋体"/>
          <w:color w:val="auto"/>
          <w:highlight w:val="none"/>
        </w:rPr>
        <w:t>。</w:t>
      </w:r>
    </w:p>
    <w:p>
      <w:pPr>
        <w:pStyle w:val="30"/>
        <w:shd w:val="clear"/>
        <w:spacing w:line="360" w:lineRule="auto"/>
        <w:jc w:val="both"/>
        <w:rPr>
          <w:rFonts w:ascii="宋体" w:hAnsi="宋体" w:cs="宋体"/>
          <w:color w:val="auto"/>
          <w:highlight w:val="none"/>
        </w:rPr>
      </w:pPr>
      <w:r>
        <w:rPr>
          <w:rFonts w:hint="eastAsia" w:ascii="宋体" w:hAnsi="宋体" w:cs="宋体"/>
          <w:color w:val="auto"/>
          <w:highlight w:val="none"/>
        </w:rPr>
        <w:t>（15）.缴纳投标保证金凭证。</w:t>
      </w:r>
    </w:p>
    <w:p>
      <w:pPr>
        <w:pStyle w:val="30"/>
        <w:shd w:val="clear"/>
        <w:spacing w:line="360" w:lineRule="auto"/>
        <w:jc w:val="both"/>
        <w:rPr>
          <w:rFonts w:ascii="宋体" w:hAnsi="宋体" w:cs="宋体"/>
          <w:color w:val="auto"/>
          <w:highlight w:val="none"/>
        </w:rPr>
      </w:pPr>
      <w:r>
        <w:rPr>
          <w:rFonts w:hint="eastAsia" w:ascii="宋体" w:hAnsi="宋体" w:cs="宋体"/>
          <w:b/>
          <w:bCs/>
          <w:color w:val="auto"/>
          <w:highlight w:val="none"/>
        </w:rPr>
        <w:t>2.定义。</w:t>
      </w:r>
    </w:p>
    <w:p>
      <w:pPr>
        <w:pStyle w:val="30"/>
        <w:shd w:val="clear"/>
        <w:spacing w:line="360" w:lineRule="auto"/>
        <w:ind w:firstLine="567"/>
        <w:jc w:val="both"/>
        <w:rPr>
          <w:rFonts w:ascii="宋体" w:hAnsi="宋体" w:cs="宋体"/>
          <w:color w:val="auto"/>
          <w:highlight w:val="none"/>
        </w:rPr>
      </w:pPr>
      <w:r>
        <w:rPr>
          <w:rFonts w:hint="eastAsia" w:ascii="宋体" w:hAnsi="宋体" w:cs="宋体"/>
          <w:color w:val="auto"/>
          <w:highlight w:val="none"/>
        </w:rPr>
        <w:t>2.1 “招标代理机构”系指华诚博远工程咨询有限公司</w:t>
      </w:r>
    </w:p>
    <w:p>
      <w:pPr>
        <w:pStyle w:val="30"/>
        <w:shd w:val="clear"/>
        <w:spacing w:line="360" w:lineRule="auto"/>
        <w:ind w:firstLine="567"/>
        <w:jc w:val="both"/>
        <w:rPr>
          <w:rFonts w:ascii="宋体" w:hAnsi="宋体" w:cs="宋体"/>
          <w:color w:val="auto"/>
          <w:highlight w:val="none"/>
        </w:rPr>
      </w:pPr>
      <w:r>
        <w:rPr>
          <w:rFonts w:hint="eastAsia" w:ascii="宋体" w:hAnsi="宋体" w:cs="宋体"/>
          <w:color w:val="auto"/>
          <w:highlight w:val="none"/>
        </w:rPr>
        <w:t>2.2 “投标供应商”系指向招标代理机构提交响应文件的供应商。</w:t>
      </w:r>
    </w:p>
    <w:p>
      <w:pPr>
        <w:pStyle w:val="30"/>
        <w:shd w:val="clear"/>
        <w:spacing w:line="360" w:lineRule="auto"/>
        <w:ind w:firstLine="567"/>
        <w:jc w:val="both"/>
        <w:rPr>
          <w:rFonts w:ascii="宋体" w:hAnsi="宋体" w:cs="宋体"/>
          <w:color w:val="auto"/>
          <w:highlight w:val="none"/>
        </w:rPr>
      </w:pPr>
      <w:r>
        <w:rPr>
          <w:rFonts w:hint="eastAsia" w:ascii="宋体" w:hAnsi="宋体" w:cs="宋体"/>
          <w:color w:val="auto"/>
          <w:highlight w:val="none"/>
        </w:rPr>
        <w:t>2.3 “货物”系指卖方按合同要求，向买方提供的货物及其配套产品。</w:t>
      </w:r>
    </w:p>
    <w:p>
      <w:pPr>
        <w:pStyle w:val="30"/>
        <w:shd w:val="clear"/>
        <w:spacing w:line="360" w:lineRule="auto"/>
        <w:ind w:firstLine="567"/>
        <w:jc w:val="both"/>
        <w:rPr>
          <w:rFonts w:ascii="宋体" w:hAnsi="宋体" w:cs="宋体"/>
          <w:color w:val="auto"/>
          <w:highlight w:val="none"/>
        </w:rPr>
      </w:pPr>
      <w:r>
        <w:rPr>
          <w:rFonts w:hint="eastAsia" w:ascii="宋体" w:hAnsi="宋体" w:cs="宋体"/>
          <w:color w:val="auto"/>
          <w:highlight w:val="none"/>
        </w:rPr>
        <w:t>2.4 “服务”系指按合同规定卖方须承担的运输、配送、技术协助和交付使用后保修期内应履行的义务及售后服务等其他类似的义务。</w:t>
      </w:r>
    </w:p>
    <w:p>
      <w:pPr>
        <w:pStyle w:val="30"/>
        <w:shd w:val="clear"/>
        <w:spacing w:line="360" w:lineRule="auto"/>
        <w:ind w:firstLine="567"/>
        <w:jc w:val="both"/>
        <w:rPr>
          <w:rFonts w:ascii="宋体" w:hAnsi="宋体" w:cs="宋体"/>
          <w:color w:val="auto"/>
          <w:highlight w:val="none"/>
        </w:rPr>
      </w:pPr>
      <w:r>
        <w:rPr>
          <w:rFonts w:hint="eastAsia" w:ascii="宋体" w:hAnsi="宋体" w:cs="宋体"/>
          <w:color w:val="auto"/>
          <w:highlight w:val="none"/>
        </w:rPr>
        <w:t>2.5 “卖方”系指提供合同货物和服务的经济实体。</w:t>
      </w:r>
    </w:p>
    <w:p>
      <w:pPr>
        <w:pStyle w:val="30"/>
        <w:shd w:val="clear"/>
        <w:spacing w:line="360" w:lineRule="auto"/>
        <w:ind w:firstLine="567"/>
        <w:jc w:val="both"/>
        <w:rPr>
          <w:rFonts w:ascii="宋体" w:hAnsi="宋体" w:cs="宋体"/>
          <w:color w:val="auto"/>
          <w:highlight w:val="none"/>
        </w:rPr>
      </w:pPr>
      <w:r>
        <w:rPr>
          <w:rFonts w:hint="eastAsia" w:ascii="宋体" w:hAnsi="宋体" w:cs="宋体"/>
          <w:color w:val="auto"/>
          <w:highlight w:val="none"/>
        </w:rPr>
        <w:t>2.6 “买方”系指购买货物和服务的单位。</w:t>
      </w:r>
    </w:p>
    <w:p>
      <w:pPr>
        <w:pStyle w:val="30"/>
        <w:shd w:val="clear"/>
        <w:spacing w:line="360" w:lineRule="auto"/>
        <w:jc w:val="both"/>
        <w:rPr>
          <w:rFonts w:ascii="宋体" w:hAnsi="宋体" w:cs="宋体"/>
          <w:color w:val="auto"/>
          <w:highlight w:val="none"/>
        </w:rPr>
      </w:pPr>
      <w:r>
        <w:rPr>
          <w:rFonts w:hint="eastAsia" w:ascii="宋体" w:hAnsi="宋体" w:cs="宋体"/>
          <w:b/>
          <w:bCs/>
          <w:color w:val="auto"/>
          <w:highlight w:val="none"/>
        </w:rPr>
        <w:t>3.投标费用</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3.1 投标供应商在投标时应自行承担所有与编写和提交响应文件有关的费用。</w:t>
      </w:r>
    </w:p>
    <w:p>
      <w:pPr>
        <w:shd w:val="clear"/>
        <w:spacing w:line="360" w:lineRule="auto"/>
        <w:jc w:val="left"/>
        <w:rPr>
          <w:rFonts w:ascii="宋体" w:hAnsi="宋体" w:cs="宋体"/>
          <w:b/>
          <w:bCs/>
          <w:color w:val="auto"/>
          <w:sz w:val="28"/>
          <w:highlight w:val="none"/>
        </w:rPr>
      </w:pPr>
      <w:r>
        <w:rPr>
          <w:rFonts w:hint="eastAsia" w:ascii="宋体" w:hAnsi="宋体" w:cs="宋体"/>
          <w:b/>
          <w:bCs/>
          <w:color w:val="auto"/>
          <w:kern w:val="0"/>
          <w:sz w:val="24"/>
          <w:szCs w:val="24"/>
          <w:highlight w:val="none"/>
        </w:rPr>
        <w:t>4.本次项目不接受联合体投标。</w:t>
      </w:r>
    </w:p>
    <w:p>
      <w:pPr>
        <w:pStyle w:val="30"/>
        <w:shd w:val="clear"/>
        <w:spacing w:line="360" w:lineRule="auto"/>
        <w:jc w:val="center"/>
        <w:outlineLvl w:val="1"/>
        <w:rPr>
          <w:rFonts w:ascii="宋体" w:hAnsi="宋体" w:cs="宋体"/>
          <w:b/>
          <w:color w:val="auto"/>
          <w:sz w:val="40"/>
          <w:highlight w:val="none"/>
        </w:rPr>
      </w:pPr>
      <w:bookmarkStart w:id="27" w:name="_Toc23283"/>
      <w:bookmarkStart w:id="28" w:name="_Toc13276"/>
      <w:bookmarkStart w:id="29" w:name="_Toc20542"/>
      <w:bookmarkStart w:id="30" w:name="_Toc13293"/>
      <w:r>
        <w:rPr>
          <w:rFonts w:hint="eastAsia" w:ascii="宋体" w:hAnsi="宋体" w:cs="宋体"/>
          <w:b/>
          <w:color w:val="auto"/>
          <w:sz w:val="40"/>
          <w:szCs w:val="36"/>
          <w:highlight w:val="none"/>
        </w:rPr>
        <w:t>二</w:t>
      </w:r>
      <w:r>
        <w:rPr>
          <w:rFonts w:hint="eastAsia" w:ascii="宋体" w:hAnsi="宋体" w:cs="宋体"/>
          <w:b/>
          <w:color w:val="auto"/>
          <w:sz w:val="40"/>
          <w:highlight w:val="none"/>
        </w:rPr>
        <w:t>、  磋商文件</w:t>
      </w:r>
      <w:bookmarkEnd w:id="27"/>
      <w:bookmarkEnd w:id="28"/>
      <w:bookmarkEnd w:id="29"/>
      <w:bookmarkEnd w:id="30"/>
    </w:p>
    <w:p>
      <w:pPr>
        <w:pStyle w:val="30"/>
        <w:shd w:val="clear"/>
        <w:spacing w:line="360" w:lineRule="auto"/>
        <w:jc w:val="both"/>
        <w:rPr>
          <w:rFonts w:ascii="宋体" w:hAnsi="宋体" w:cs="宋体"/>
          <w:b/>
          <w:bCs/>
          <w:color w:val="auto"/>
          <w:highlight w:val="none"/>
        </w:rPr>
      </w:pPr>
      <w:r>
        <w:rPr>
          <w:rFonts w:hint="eastAsia" w:ascii="宋体" w:hAnsi="宋体" w:cs="宋体"/>
          <w:b/>
          <w:bCs/>
          <w:color w:val="auto"/>
          <w:highlight w:val="none"/>
        </w:rPr>
        <w:t>5.</w:t>
      </w:r>
      <w:r>
        <w:rPr>
          <w:rFonts w:hint="eastAsia" w:cs="宋体"/>
          <w:b/>
          <w:bCs/>
          <w:color w:val="auto"/>
          <w:highlight w:val="none"/>
        </w:rPr>
        <w:t>磋商文件的构成</w:t>
      </w:r>
    </w:p>
    <w:p>
      <w:pPr>
        <w:pStyle w:val="30"/>
        <w:shd w:val="clear"/>
        <w:spacing w:line="360" w:lineRule="auto"/>
        <w:ind w:firstLine="480" w:firstLineChars="200"/>
        <w:jc w:val="both"/>
        <w:rPr>
          <w:rFonts w:hAnsi="宋体" w:cs="宋体"/>
          <w:color w:val="auto"/>
          <w:highlight w:val="none"/>
        </w:rPr>
      </w:pPr>
      <w:r>
        <w:rPr>
          <w:rFonts w:hint="eastAsia" w:hAnsi="宋体" w:cs="宋体"/>
          <w:color w:val="auto"/>
          <w:highlight w:val="none"/>
        </w:rPr>
        <w:t>5.1磋商文件是供应商准备响应文件和参加磋商的依据，同时也是磋商的重要依据。磋商文件用以阐明磋商项目所需的资质、技术、服务及报价等要求、磋商程序、有关规定和注意事项以及合同主要条款等。</w:t>
      </w:r>
    </w:p>
    <w:p>
      <w:pPr>
        <w:pStyle w:val="30"/>
        <w:shd w:val="clear"/>
        <w:spacing w:line="360" w:lineRule="auto"/>
        <w:ind w:firstLine="480" w:firstLineChars="200"/>
        <w:jc w:val="both"/>
        <w:rPr>
          <w:rFonts w:ascii="宋体" w:hAnsi="宋体" w:cs="宋体"/>
          <w:color w:val="auto"/>
          <w:highlight w:val="none"/>
        </w:rPr>
      </w:pPr>
      <w:r>
        <w:rPr>
          <w:rFonts w:hint="eastAsia" w:hAnsi="宋体" w:cs="宋体"/>
          <w:color w:val="auto"/>
          <w:highlight w:val="none"/>
        </w:rPr>
        <w:t>5.2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pStyle w:val="30"/>
        <w:shd w:val="clear"/>
        <w:spacing w:line="360" w:lineRule="auto"/>
        <w:jc w:val="both"/>
        <w:rPr>
          <w:rFonts w:ascii="宋体" w:hAnsi="宋体" w:cs="宋体"/>
          <w:b/>
          <w:bCs/>
          <w:color w:val="auto"/>
          <w:highlight w:val="none"/>
        </w:rPr>
      </w:pPr>
      <w:r>
        <w:rPr>
          <w:rFonts w:hint="eastAsia" w:ascii="宋体" w:hAnsi="宋体" w:cs="宋体"/>
          <w:b/>
          <w:bCs/>
          <w:color w:val="auto"/>
          <w:highlight w:val="none"/>
        </w:rPr>
        <w:t>6.磋商文件的澄清</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6.1招标采购单位对已发出的磋商文件进行必要澄清或者修改的，应当在磋商文件要求提交响应文件截止时间 5 日前，在财政部门指定的政府采购信息发布媒体上发布更正公告，并以书面形式通知所有磋商文件收受人。该澄清或者修改的内容为磋商文件的组成部分。</w:t>
      </w:r>
    </w:p>
    <w:p>
      <w:pPr>
        <w:pStyle w:val="30"/>
        <w:shd w:val="clear"/>
        <w:spacing w:line="360" w:lineRule="auto"/>
        <w:jc w:val="both"/>
        <w:rPr>
          <w:rFonts w:ascii="宋体" w:hAnsi="宋体" w:cs="宋体"/>
          <w:color w:val="auto"/>
          <w:highlight w:val="none"/>
        </w:rPr>
      </w:pPr>
      <w:r>
        <w:rPr>
          <w:rFonts w:hint="eastAsia" w:ascii="宋体" w:hAnsi="宋体" w:cs="宋体"/>
          <w:b/>
          <w:bCs/>
          <w:color w:val="auto"/>
          <w:highlight w:val="none"/>
        </w:rPr>
        <w:t>7.磋商文件的澄清与修改</w:t>
      </w:r>
      <w:r>
        <w:rPr>
          <w:rFonts w:hint="eastAsia" w:ascii="宋体" w:hAnsi="宋体" w:cs="宋体"/>
          <w:color w:val="auto"/>
          <w:highlight w:val="none"/>
        </w:rPr>
        <w:t xml:space="preserve"> </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7.1.1供应商应认真阅读本磋商文件，发现其中有误或有不合理要求的，供应商必须在投标截止日期前 2 日以书面形式要求招标采购单位澄清，在招标现场以任何方式和理由对磋商文件提出的质疑都将被拒绝。采购代理机构对已发出的磋商文件进行必要澄清、答复、修改或补充的，应当在磋商文件要求提交响应文件截止时间 2 天前，以书面形式通知所有磋商文件收受人。</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7.1.2采购代理机构必须以书面形式答复供应商要求澄清的问题，并将不包含问题来源的答复书面通知所有购买磋商文件的供应商；除书面答复以外的其他澄清方式及澄清内容均无效。</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7.1.3磋商文件的答复、澄清、修改、补充通知实质上改变招标需求相关内容，且自磋商文件的答复、澄清、修改、补充通知发出之日起至投标截止时间止不足 5 天的，招标采购单位应推迟投标截止时间和开标时间，并将变更后的时间书面通知所有磋商文件收受人。</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7.1.4磋商文件澄清、答复、修改、补充的内容为磋商文件的组成部分。当磋商文件与磋商文件的答复、澄清、修改、补充通知就同一内容的表述不一致时，以最后发出的书面文件为准。</w:t>
      </w:r>
    </w:p>
    <w:p>
      <w:pPr>
        <w:pStyle w:val="30"/>
        <w:shd w:val="clear"/>
        <w:spacing w:line="360" w:lineRule="auto"/>
        <w:ind w:firstLine="480" w:firstLineChars="200"/>
        <w:jc w:val="both"/>
        <w:rPr>
          <w:rFonts w:ascii="宋体" w:hAnsi="宋体" w:cs="宋体"/>
          <w:b/>
          <w:color w:val="auto"/>
          <w:sz w:val="32"/>
          <w:highlight w:val="none"/>
        </w:rPr>
      </w:pPr>
      <w:r>
        <w:rPr>
          <w:rFonts w:hint="eastAsia" w:ascii="宋体" w:hAnsi="宋体" w:cs="宋体"/>
          <w:color w:val="auto"/>
          <w:highlight w:val="none"/>
        </w:rPr>
        <w:t>7.1.5磋商文件的澄清、答复、修改或补充都应该通过本代理机构以法定形式发布，采购人非通过本机构，不得擅自澄清、答复、修改或补充磋商文件。</w:t>
      </w:r>
    </w:p>
    <w:p>
      <w:pPr>
        <w:pStyle w:val="30"/>
        <w:shd w:val="clear"/>
        <w:spacing w:line="360" w:lineRule="auto"/>
        <w:jc w:val="center"/>
        <w:outlineLvl w:val="1"/>
        <w:rPr>
          <w:rFonts w:ascii="宋体" w:hAnsi="宋体" w:cs="宋体"/>
          <w:color w:val="auto"/>
          <w:sz w:val="36"/>
          <w:szCs w:val="36"/>
          <w:highlight w:val="none"/>
        </w:rPr>
      </w:pPr>
      <w:bookmarkStart w:id="31" w:name="_Toc31612"/>
      <w:bookmarkStart w:id="32" w:name="_Toc13775"/>
      <w:bookmarkStart w:id="33" w:name="_Toc31063"/>
      <w:r>
        <w:rPr>
          <w:rFonts w:hint="eastAsia" w:ascii="宋体" w:hAnsi="宋体" w:cs="宋体"/>
          <w:b/>
          <w:color w:val="auto"/>
          <w:sz w:val="32"/>
          <w:highlight w:val="none"/>
        </w:rPr>
        <w:t>三、</w:t>
      </w:r>
      <w:bookmarkEnd w:id="31"/>
      <w:r>
        <w:rPr>
          <w:rFonts w:hint="eastAsia" w:ascii="宋体" w:hAnsi="宋体" w:cs="宋体"/>
          <w:b/>
          <w:color w:val="auto"/>
          <w:sz w:val="36"/>
          <w:szCs w:val="36"/>
          <w:highlight w:val="none"/>
        </w:rPr>
        <w:t>响应文件</w:t>
      </w:r>
      <w:bookmarkEnd w:id="32"/>
      <w:bookmarkEnd w:id="33"/>
    </w:p>
    <w:p>
      <w:pPr>
        <w:pStyle w:val="30"/>
        <w:shd w:val="clear"/>
        <w:spacing w:line="360" w:lineRule="auto"/>
        <w:jc w:val="both"/>
        <w:rPr>
          <w:rFonts w:ascii="宋体" w:hAnsi="宋体" w:cs="宋体"/>
          <w:b/>
          <w:bCs/>
          <w:color w:val="auto"/>
          <w:highlight w:val="none"/>
        </w:rPr>
      </w:pPr>
      <w:r>
        <w:rPr>
          <w:rFonts w:hint="eastAsia" w:ascii="宋体" w:hAnsi="宋体" w:cs="宋体"/>
          <w:b/>
          <w:bCs/>
          <w:color w:val="auto"/>
          <w:highlight w:val="none"/>
        </w:rPr>
        <w:t>8.</w:t>
      </w:r>
      <w:r>
        <w:rPr>
          <w:rFonts w:hint="eastAsia" w:cs="宋体"/>
          <w:b/>
          <w:bCs/>
          <w:color w:val="auto"/>
          <w:highlight w:val="none"/>
        </w:rPr>
        <w:t>响应文件的组成</w:t>
      </w:r>
    </w:p>
    <w:p>
      <w:pPr>
        <w:pStyle w:val="30"/>
        <w:shd w:val="clear"/>
        <w:spacing w:line="360" w:lineRule="auto"/>
        <w:ind w:firstLine="480" w:firstLineChars="200"/>
        <w:jc w:val="both"/>
        <w:rPr>
          <w:rFonts w:ascii="宋体" w:hAnsi="宋体" w:cs="宋体"/>
          <w:b/>
          <w:color w:val="auto"/>
          <w:highlight w:val="none"/>
        </w:rPr>
      </w:pPr>
      <w:r>
        <w:rPr>
          <w:rFonts w:hint="eastAsia" w:ascii="宋体" w:hAnsi="宋体" w:cs="宋体"/>
          <w:color w:val="auto"/>
          <w:highlight w:val="none"/>
        </w:rPr>
        <w:t>8.1</w:t>
      </w:r>
      <w:r>
        <w:rPr>
          <w:rFonts w:hint="eastAsia" w:hAnsi="宋体" w:cs="宋体"/>
          <w:color w:val="auto"/>
          <w:highlight w:val="none"/>
        </w:rPr>
        <w:t>供应商应按照磋商文件的规定和要求编制响应文件。供应商拟在成交后将成交项目的非主体、非关键性工作交由他人完成的，应当在响应文件中载明</w:t>
      </w:r>
      <w:r>
        <w:rPr>
          <w:rFonts w:hint="eastAsia" w:ascii="宋体" w:hAnsi="宋体" w:cs="宋体"/>
          <w:b/>
          <w:color w:val="auto"/>
          <w:highlight w:val="none"/>
        </w:rPr>
        <w:t>。</w:t>
      </w:r>
    </w:p>
    <w:p>
      <w:pPr>
        <w:pStyle w:val="30"/>
        <w:shd w:val="clear"/>
        <w:spacing w:line="360" w:lineRule="auto"/>
        <w:jc w:val="both"/>
        <w:rPr>
          <w:rFonts w:ascii="宋体" w:hAnsi="宋体" w:cs="宋体"/>
          <w:color w:val="auto"/>
          <w:highlight w:val="none"/>
        </w:rPr>
      </w:pPr>
      <w:r>
        <w:rPr>
          <w:rFonts w:hint="eastAsia" w:ascii="宋体" w:hAnsi="宋体" w:cs="宋体"/>
          <w:b/>
          <w:bCs/>
          <w:color w:val="auto"/>
          <w:highlight w:val="none"/>
        </w:rPr>
        <w:t>9.投标的语言及计量单位</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9.1投标供应商的响应文件以及投标供应商与招标代理机构就有关招标活动的所有来往函电均应使用中文。如果响应文件或与投标有关的其它文件、信件及来往函电以其它语言书写，投标供应商应将其译成中文。</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9.2响应文件中所使用的计量单位除磋商文件中有特殊规定外，一律使用法定计量单位。</w:t>
      </w:r>
    </w:p>
    <w:p>
      <w:pPr>
        <w:pStyle w:val="30"/>
        <w:shd w:val="clear"/>
        <w:spacing w:line="360" w:lineRule="auto"/>
        <w:jc w:val="both"/>
        <w:rPr>
          <w:rFonts w:ascii="宋体" w:hAnsi="宋体" w:cs="宋体"/>
          <w:b/>
          <w:bCs/>
          <w:color w:val="auto"/>
          <w:highlight w:val="none"/>
        </w:rPr>
      </w:pPr>
      <w:r>
        <w:rPr>
          <w:rFonts w:hint="eastAsia" w:ascii="宋体" w:hAnsi="宋体" w:cs="宋体"/>
          <w:b/>
          <w:bCs/>
          <w:color w:val="auto"/>
          <w:highlight w:val="none"/>
        </w:rPr>
        <w:t>10.响应文件的格式</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10.1磋商文件附件及磋商文件各章节提供了一部分用于编制响应文件时必要的格式，投标供应商应按此格式编制响应文件。</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10.2 磋商文件中未提供格式的部分由投标供应商自行编制。</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 xml:space="preserve">10.3 </w:t>
      </w:r>
      <w:r>
        <w:rPr>
          <w:rFonts w:hint="eastAsia" w:hAnsi="宋体" w:cs="宋体"/>
          <w:color w:val="auto"/>
          <w:highlight w:val="none"/>
        </w:rPr>
        <w:t>供应商应执行磋商文件第四章的规定要求编制。</w:t>
      </w:r>
    </w:p>
    <w:p>
      <w:pPr>
        <w:pStyle w:val="30"/>
        <w:shd w:val="clear"/>
        <w:spacing w:line="360" w:lineRule="auto"/>
        <w:jc w:val="both"/>
        <w:rPr>
          <w:rFonts w:hAnsi="宋体" w:cs="宋体"/>
          <w:b/>
          <w:bCs/>
          <w:color w:val="auto"/>
          <w:highlight w:val="none"/>
        </w:rPr>
      </w:pPr>
      <w:r>
        <w:rPr>
          <w:rFonts w:hint="eastAsia" w:hAnsi="宋体" w:cs="宋体"/>
          <w:b/>
          <w:bCs/>
          <w:color w:val="auto"/>
          <w:highlight w:val="none"/>
        </w:rPr>
        <w:t>11. 证明投标供应商合格和资格的文件。</w:t>
      </w:r>
    </w:p>
    <w:p>
      <w:pPr>
        <w:pStyle w:val="30"/>
        <w:shd w:val="clear"/>
        <w:spacing w:line="360" w:lineRule="auto"/>
        <w:ind w:firstLine="480" w:firstLineChars="200"/>
        <w:jc w:val="both"/>
        <w:rPr>
          <w:rFonts w:hAnsi="宋体" w:cs="宋体"/>
          <w:color w:val="auto"/>
          <w:highlight w:val="none"/>
        </w:rPr>
      </w:pPr>
      <w:r>
        <w:rPr>
          <w:rFonts w:hint="eastAsia" w:hAnsi="宋体" w:cs="宋体"/>
          <w:color w:val="auto"/>
          <w:highlight w:val="none"/>
        </w:rPr>
        <w:t>11.1按照投标须知前附表的规定，投标供应商应提交证明其有资格参加投标和有能力履行合同的文件，并作为其响应文件的一部分。</w:t>
      </w:r>
    </w:p>
    <w:p>
      <w:pPr>
        <w:pStyle w:val="30"/>
        <w:shd w:val="clear"/>
        <w:spacing w:line="360" w:lineRule="auto"/>
        <w:ind w:firstLine="480" w:firstLineChars="200"/>
        <w:jc w:val="both"/>
        <w:rPr>
          <w:rFonts w:hAnsi="宋体" w:cs="宋体"/>
          <w:color w:val="auto"/>
          <w:highlight w:val="none"/>
        </w:rPr>
      </w:pPr>
      <w:r>
        <w:rPr>
          <w:rFonts w:hint="eastAsia" w:hAnsi="宋体" w:cs="宋体"/>
          <w:color w:val="auto"/>
          <w:highlight w:val="none"/>
        </w:rPr>
        <w:t>11.2投标供应商应填写并提交磋商文件所要求的资格证明类文件。</w:t>
      </w:r>
    </w:p>
    <w:p>
      <w:pPr>
        <w:pStyle w:val="30"/>
        <w:shd w:val="clear"/>
        <w:spacing w:line="360" w:lineRule="auto"/>
        <w:jc w:val="both"/>
        <w:rPr>
          <w:rFonts w:hAnsi="宋体" w:cs="宋体"/>
          <w:color w:val="auto"/>
          <w:highlight w:val="none"/>
        </w:rPr>
      </w:pPr>
      <w:r>
        <w:rPr>
          <w:rFonts w:hint="eastAsia" w:hAnsi="宋体" w:cs="宋体"/>
          <w:b/>
          <w:bCs/>
          <w:color w:val="auto"/>
          <w:highlight w:val="none"/>
        </w:rPr>
        <w:t>12.符合磋商文件规定的文件</w:t>
      </w:r>
    </w:p>
    <w:p>
      <w:pPr>
        <w:pStyle w:val="30"/>
        <w:shd w:val="clear"/>
        <w:spacing w:line="360" w:lineRule="auto"/>
        <w:ind w:firstLine="480" w:firstLineChars="200"/>
        <w:jc w:val="both"/>
        <w:rPr>
          <w:rFonts w:hAnsi="宋体" w:cs="宋体"/>
          <w:color w:val="auto"/>
          <w:highlight w:val="none"/>
        </w:rPr>
      </w:pPr>
      <w:r>
        <w:rPr>
          <w:rFonts w:hint="eastAsia" w:ascii="宋体" w:hAnsi="宋体" w:cs="宋体"/>
          <w:color w:val="auto"/>
          <w:highlight w:val="none"/>
        </w:rPr>
        <w:t>12.1投</w:t>
      </w:r>
      <w:r>
        <w:rPr>
          <w:rFonts w:hint="eastAsia" w:hAnsi="宋体" w:cs="宋体"/>
          <w:color w:val="auto"/>
          <w:highlight w:val="none"/>
        </w:rPr>
        <w:t>标供应商应逐条对磋商文件要求的技术规格进行评审，指出自己提供的货物和服务是否对磋商文件做出实质性的响应，并认真填写磋商文件所附的“商务技术条款偏离表”。</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12.2证明设计的合格性和符合磋商文件规定的文件应包括下列内容：</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12.2.1执行的制造、验收标准；</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12.2.2投标供应商认为有必要提供的其它证明文件。</w:t>
      </w:r>
    </w:p>
    <w:p>
      <w:pPr>
        <w:pStyle w:val="30"/>
        <w:shd w:val="clear"/>
        <w:spacing w:line="360" w:lineRule="auto"/>
        <w:jc w:val="both"/>
        <w:rPr>
          <w:rFonts w:ascii="宋体" w:hAnsi="宋体" w:cs="宋体"/>
          <w:b/>
          <w:bCs/>
          <w:color w:val="auto"/>
          <w:highlight w:val="none"/>
        </w:rPr>
      </w:pPr>
      <w:r>
        <w:rPr>
          <w:rFonts w:hint="eastAsia" w:ascii="宋体" w:hAnsi="宋体" w:cs="宋体"/>
          <w:b/>
          <w:bCs/>
          <w:color w:val="auto"/>
          <w:highlight w:val="none"/>
        </w:rPr>
        <w:t>13.响应文件的有效期</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13.1响应文件从实际开标之日起</w:t>
      </w:r>
      <w:r>
        <w:rPr>
          <w:rFonts w:hint="eastAsia" w:ascii="宋体" w:hAnsi="宋体" w:cs="宋体"/>
          <w:b/>
          <w:bCs/>
          <w:color w:val="auto"/>
          <w:highlight w:val="none"/>
          <w:u w:val="single"/>
        </w:rPr>
        <w:t>90天</w:t>
      </w:r>
      <w:r>
        <w:rPr>
          <w:rFonts w:hint="eastAsia" w:ascii="宋体" w:hAnsi="宋体" w:cs="宋体"/>
          <w:color w:val="auto"/>
          <w:highlight w:val="none"/>
        </w:rPr>
        <w:t>内有效。</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13.2在特殊情况下, 在原投标有效期届满之前，招标代理机构可与投标单位协商延长响应文件的有效期，并经投标方确认。</w:t>
      </w:r>
    </w:p>
    <w:p>
      <w:pPr>
        <w:pStyle w:val="30"/>
        <w:shd w:val="clear"/>
        <w:spacing w:line="360" w:lineRule="auto"/>
        <w:jc w:val="both"/>
        <w:rPr>
          <w:rFonts w:ascii="宋体" w:hAnsi="宋体" w:cs="宋体"/>
          <w:color w:val="auto"/>
          <w:highlight w:val="none"/>
        </w:rPr>
      </w:pPr>
      <w:r>
        <w:rPr>
          <w:rFonts w:hint="eastAsia" w:ascii="宋体" w:hAnsi="宋体" w:cs="宋体"/>
          <w:b/>
          <w:bCs/>
          <w:color w:val="auto"/>
          <w:highlight w:val="none"/>
        </w:rPr>
        <w:t>14.投标无效</w:t>
      </w:r>
    </w:p>
    <w:p>
      <w:pPr>
        <w:pStyle w:val="30"/>
        <w:shd w:val="clear"/>
        <w:spacing w:line="360" w:lineRule="auto"/>
        <w:ind w:firstLine="480" w:firstLineChars="200"/>
        <w:jc w:val="both"/>
        <w:rPr>
          <w:color w:val="auto"/>
          <w:highlight w:val="none"/>
        </w:rPr>
      </w:pPr>
      <w:r>
        <w:rPr>
          <w:rFonts w:hint="eastAsia" w:ascii="宋体" w:hAnsi="宋体" w:cs="宋体"/>
          <w:color w:val="auto"/>
          <w:highlight w:val="none"/>
        </w:rPr>
        <w:t>14.1</w:t>
      </w:r>
      <w:r>
        <w:rPr>
          <w:rFonts w:hint="eastAsia"/>
          <w:color w:val="auto"/>
          <w:highlight w:val="none"/>
        </w:rPr>
        <w:t>投标存在下列情况之一的,投标无效:</w:t>
      </w:r>
    </w:p>
    <w:p>
      <w:pPr>
        <w:pStyle w:val="30"/>
        <w:shd w:val="clear"/>
        <w:spacing w:line="360" w:lineRule="auto"/>
        <w:ind w:firstLine="660" w:firstLineChars="275"/>
        <w:jc w:val="both"/>
        <w:rPr>
          <w:color w:val="auto"/>
          <w:highlight w:val="none"/>
        </w:rPr>
      </w:pPr>
      <w:r>
        <w:rPr>
          <w:color w:val="auto"/>
          <w:highlight w:val="none"/>
        </w:rPr>
        <w:t>(1)未按照</w:t>
      </w:r>
      <w:r>
        <w:rPr>
          <w:rFonts w:hint="eastAsia"/>
          <w:color w:val="auto"/>
          <w:highlight w:val="none"/>
        </w:rPr>
        <w:t>磋商文件</w:t>
      </w:r>
      <w:r>
        <w:rPr>
          <w:color w:val="auto"/>
          <w:highlight w:val="none"/>
        </w:rPr>
        <w:t>的规定提交投标保证金的;</w:t>
      </w:r>
    </w:p>
    <w:p>
      <w:pPr>
        <w:pStyle w:val="30"/>
        <w:shd w:val="clear"/>
        <w:spacing w:line="360" w:lineRule="auto"/>
        <w:ind w:firstLine="660" w:firstLineChars="275"/>
        <w:jc w:val="both"/>
        <w:rPr>
          <w:color w:val="auto"/>
          <w:highlight w:val="none"/>
        </w:rPr>
      </w:pPr>
      <w:r>
        <w:rPr>
          <w:color w:val="auto"/>
          <w:highlight w:val="none"/>
        </w:rPr>
        <w:t>(2)</w:t>
      </w:r>
      <w:r>
        <w:rPr>
          <w:rFonts w:hint="eastAsia"/>
          <w:color w:val="auto"/>
          <w:highlight w:val="none"/>
        </w:rPr>
        <w:t>响应文件</w:t>
      </w:r>
      <w:r>
        <w:rPr>
          <w:color w:val="auto"/>
          <w:highlight w:val="none"/>
        </w:rPr>
        <w:t>未按</w:t>
      </w:r>
      <w:r>
        <w:rPr>
          <w:rFonts w:hint="eastAsia"/>
          <w:color w:val="auto"/>
          <w:highlight w:val="none"/>
        </w:rPr>
        <w:t>磋商文件</w:t>
      </w:r>
      <w:r>
        <w:rPr>
          <w:color w:val="auto"/>
          <w:highlight w:val="none"/>
        </w:rPr>
        <w:t>要求签署、盖章的;</w:t>
      </w:r>
    </w:p>
    <w:p>
      <w:pPr>
        <w:pStyle w:val="30"/>
        <w:shd w:val="clear"/>
        <w:spacing w:line="360" w:lineRule="auto"/>
        <w:ind w:firstLine="660" w:firstLineChars="275"/>
        <w:jc w:val="both"/>
        <w:rPr>
          <w:color w:val="auto"/>
          <w:highlight w:val="none"/>
        </w:rPr>
      </w:pPr>
      <w:r>
        <w:rPr>
          <w:color w:val="auto"/>
          <w:highlight w:val="none"/>
        </w:rPr>
        <w:t>(3)不具备</w:t>
      </w:r>
      <w:r>
        <w:rPr>
          <w:rFonts w:hint="eastAsia"/>
          <w:color w:val="auto"/>
          <w:highlight w:val="none"/>
        </w:rPr>
        <w:t>磋商文件</w:t>
      </w:r>
      <w:r>
        <w:rPr>
          <w:color w:val="auto"/>
          <w:highlight w:val="none"/>
        </w:rPr>
        <w:t>中规定的资格要求的;</w:t>
      </w:r>
    </w:p>
    <w:p>
      <w:pPr>
        <w:pStyle w:val="30"/>
        <w:shd w:val="clear"/>
        <w:spacing w:line="360" w:lineRule="auto"/>
        <w:ind w:firstLine="660" w:firstLineChars="275"/>
        <w:jc w:val="both"/>
        <w:rPr>
          <w:color w:val="auto"/>
          <w:highlight w:val="none"/>
        </w:rPr>
      </w:pPr>
      <w:r>
        <w:rPr>
          <w:color w:val="auto"/>
          <w:highlight w:val="none"/>
        </w:rPr>
        <w:t>(4)报价出现超过</w:t>
      </w:r>
      <w:r>
        <w:rPr>
          <w:rFonts w:hint="eastAsia"/>
          <w:color w:val="auto"/>
          <w:highlight w:val="none"/>
        </w:rPr>
        <w:t>磋商文件</w:t>
      </w:r>
      <w:r>
        <w:rPr>
          <w:color w:val="auto"/>
          <w:highlight w:val="none"/>
        </w:rPr>
        <w:t>中最高限价规定的</w:t>
      </w:r>
    </w:p>
    <w:p>
      <w:pPr>
        <w:pStyle w:val="30"/>
        <w:shd w:val="clear"/>
        <w:spacing w:line="360" w:lineRule="auto"/>
        <w:ind w:firstLine="660" w:firstLineChars="275"/>
        <w:jc w:val="both"/>
        <w:rPr>
          <w:color w:val="auto"/>
          <w:highlight w:val="none"/>
        </w:rPr>
      </w:pPr>
      <w:r>
        <w:rPr>
          <w:color w:val="auto"/>
          <w:highlight w:val="none"/>
        </w:rPr>
        <w:t>(5)</w:t>
      </w:r>
      <w:r>
        <w:rPr>
          <w:rFonts w:hint="eastAsia"/>
          <w:color w:val="auto"/>
          <w:highlight w:val="none"/>
        </w:rPr>
        <w:t>响应文件</w:t>
      </w:r>
      <w:r>
        <w:rPr>
          <w:color w:val="auto"/>
          <w:highlight w:val="none"/>
        </w:rPr>
        <w:t>含有采购人不能接受的附加条件的;</w:t>
      </w:r>
    </w:p>
    <w:p>
      <w:pPr>
        <w:pStyle w:val="30"/>
        <w:shd w:val="clear"/>
        <w:spacing w:line="360" w:lineRule="auto"/>
        <w:ind w:firstLine="660" w:firstLineChars="275"/>
        <w:jc w:val="both"/>
        <w:rPr>
          <w:color w:val="auto"/>
          <w:highlight w:val="none"/>
        </w:rPr>
      </w:pPr>
      <w:r>
        <w:rPr>
          <w:color w:val="auto"/>
          <w:highlight w:val="none"/>
        </w:rPr>
        <w:t>(6)法律、法规和</w:t>
      </w:r>
      <w:r>
        <w:rPr>
          <w:rFonts w:hint="eastAsia"/>
          <w:color w:val="auto"/>
          <w:highlight w:val="none"/>
        </w:rPr>
        <w:t>磋商文件</w:t>
      </w:r>
      <w:r>
        <w:rPr>
          <w:color w:val="auto"/>
          <w:highlight w:val="none"/>
        </w:rPr>
        <w:t>规定的其他无效情形;</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14.2其他投标无效情形:</w:t>
      </w:r>
    </w:p>
    <w:p>
      <w:pPr>
        <w:pStyle w:val="30"/>
        <w:shd w:val="clear"/>
        <w:spacing w:line="360" w:lineRule="auto"/>
        <w:ind w:firstLine="720" w:firstLineChars="300"/>
        <w:jc w:val="both"/>
        <w:rPr>
          <w:color w:val="auto"/>
          <w:highlight w:val="none"/>
        </w:rPr>
      </w:pPr>
      <w:r>
        <w:rPr>
          <w:color w:val="auto"/>
          <w:highlight w:val="none"/>
        </w:rPr>
        <w:t>(1)不符合</w:t>
      </w:r>
      <w:r>
        <w:rPr>
          <w:rFonts w:hint="eastAsia"/>
          <w:color w:val="auto"/>
          <w:highlight w:val="none"/>
        </w:rPr>
        <w:t>磋商文件</w:t>
      </w:r>
      <w:r>
        <w:rPr>
          <w:color w:val="auto"/>
          <w:highlight w:val="none"/>
        </w:rPr>
        <w:t>关于进口产品规定的;</w:t>
      </w:r>
    </w:p>
    <w:p>
      <w:pPr>
        <w:pStyle w:val="30"/>
        <w:shd w:val="clear"/>
        <w:spacing w:line="360" w:lineRule="auto"/>
        <w:ind w:firstLine="720" w:firstLineChars="300"/>
        <w:jc w:val="both"/>
        <w:rPr>
          <w:color w:val="auto"/>
          <w:highlight w:val="none"/>
        </w:rPr>
      </w:pPr>
      <w:r>
        <w:rPr>
          <w:color w:val="auto"/>
          <w:highlight w:val="none"/>
        </w:rPr>
        <w:t>(2)任何选择性报价(或多个方案)的投标;</w:t>
      </w:r>
    </w:p>
    <w:p>
      <w:pPr>
        <w:pStyle w:val="30"/>
        <w:shd w:val="clear"/>
        <w:spacing w:line="360" w:lineRule="auto"/>
        <w:ind w:firstLine="720" w:firstLineChars="300"/>
        <w:jc w:val="both"/>
        <w:rPr>
          <w:color w:val="auto"/>
          <w:highlight w:val="none"/>
        </w:rPr>
      </w:pPr>
      <w:r>
        <w:rPr>
          <w:color w:val="auto"/>
          <w:highlight w:val="none"/>
        </w:rPr>
        <w:t>(3)任何保函价格调整要求的投标;</w:t>
      </w:r>
    </w:p>
    <w:p>
      <w:pPr>
        <w:pStyle w:val="30"/>
        <w:shd w:val="clear"/>
        <w:spacing w:line="360" w:lineRule="auto"/>
        <w:ind w:firstLine="720" w:firstLineChars="300"/>
        <w:jc w:val="both"/>
        <w:rPr>
          <w:color w:val="auto"/>
          <w:highlight w:val="none"/>
        </w:rPr>
      </w:pPr>
      <w:r>
        <w:rPr>
          <w:color w:val="auto"/>
          <w:highlight w:val="none"/>
        </w:rPr>
        <w:t>(4)投标有效期不满足要求的投标;</w:t>
      </w:r>
    </w:p>
    <w:p>
      <w:pPr>
        <w:pStyle w:val="30"/>
        <w:shd w:val="clear"/>
        <w:spacing w:line="360" w:lineRule="auto"/>
        <w:ind w:firstLine="720" w:firstLineChars="300"/>
        <w:jc w:val="both"/>
        <w:rPr>
          <w:color w:val="auto"/>
          <w:highlight w:val="none"/>
        </w:rPr>
      </w:pPr>
      <w:r>
        <w:rPr>
          <w:color w:val="auto"/>
          <w:highlight w:val="none"/>
        </w:rPr>
        <w:t>(5)评标委员会认为投标人报价明显低于其他通过符合性审查投标人的报价,有可能影响产品质量或者不能诚信履行的,投标人不能证明其报价合理性的;</w:t>
      </w:r>
    </w:p>
    <w:p>
      <w:pPr>
        <w:pStyle w:val="30"/>
        <w:shd w:val="clear"/>
        <w:spacing w:line="360" w:lineRule="auto"/>
        <w:ind w:firstLine="720" w:firstLineChars="300"/>
        <w:jc w:val="both"/>
        <w:rPr>
          <w:color w:val="auto"/>
          <w:highlight w:val="none"/>
        </w:rPr>
      </w:pPr>
      <w:r>
        <w:rPr>
          <w:color w:val="auto"/>
          <w:highlight w:val="none"/>
        </w:rPr>
        <w:t>(6)</w:t>
      </w:r>
      <w:r>
        <w:rPr>
          <w:rFonts w:hint="eastAsia"/>
          <w:color w:val="auto"/>
          <w:highlight w:val="none"/>
        </w:rPr>
        <w:t>响应文件</w:t>
      </w:r>
      <w:r>
        <w:rPr>
          <w:color w:val="auto"/>
          <w:highlight w:val="none"/>
        </w:rPr>
        <w:t>报价出现前后不一致,投标人不确认修正后的报价的;</w:t>
      </w:r>
    </w:p>
    <w:p>
      <w:pPr>
        <w:pStyle w:val="30"/>
        <w:shd w:val="clear"/>
        <w:spacing w:line="360" w:lineRule="auto"/>
        <w:ind w:firstLine="720" w:firstLineChars="300"/>
        <w:jc w:val="both"/>
        <w:rPr>
          <w:color w:val="auto"/>
          <w:highlight w:val="none"/>
        </w:rPr>
      </w:pPr>
      <w:r>
        <w:rPr>
          <w:color w:val="auto"/>
          <w:highlight w:val="none"/>
        </w:rPr>
        <w:t>(7)未按照</w:t>
      </w:r>
      <w:r>
        <w:rPr>
          <w:rFonts w:hint="eastAsia"/>
          <w:color w:val="auto"/>
          <w:highlight w:val="none"/>
        </w:rPr>
        <w:t>磋商文件</w:t>
      </w:r>
      <w:r>
        <w:rPr>
          <w:color w:val="auto"/>
          <w:highlight w:val="none"/>
        </w:rPr>
        <w:t>要求提交”投标人申明函”的;</w:t>
      </w:r>
    </w:p>
    <w:p>
      <w:pPr>
        <w:pStyle w:val="30"/>
        <w:shd w:val="clear"/>
        <w:spacing w:line="360" w:lineRule="auto"/>
        <w:ind w:firstLine="720" w:firstLineChars="300"/>
        <w:jc w:val="both"/>
        <w:rPr>
          <w:color w:val="auto"/>
          <w:highlight w:val="none"/>
        </w:rPr>
      </w:pPr>
      <w:r>
        <w:rPr>
          <w:color w:val="auto"/>
          <w:highlight w:val="none"/>
        </w:rPr>
        <w:t>(8)服务期限(或交货期)不满足</w:t>
      </w:r>
      <w:r>
        <w:rPr>
          <w:rFonts w:hint="eastAsia"/>
          <w:color w:val="auto"/>
          <w:highlight w:val="none"/>
        </w:rPr>
        <w:t>磋商文件</w:t>
      </w:r>
      <w:r>
        <w:rPr>
          <w:color w:val="auto"/>
          <w:highlight w:val="none"/>
        </w:rPr>
        <w:t>要求的;</w:t>
      </w:r>
    </w:p>
    <w:p>
      <w:pPr>
        <w:pStyle w:val="30"/>
        <w:shd w:val="clear"/>
        <w:spacing w:line="360" w:lineRule="auto"/>
        <w:ind w:firstLine="720" w:firstLineChars="300"/>
        <w:jc w:val="both"/>
        <w:rPr>
          <w:color w:val="auto"/>
          <w:highlight w:val="none"/>
        </w:rPr>
      </w:pPr>
      <w:r>
        <w:rPr>
          <w:color w:val="auto"/>
          <w:highlight w:val="none"/>
        </w:rPr>
        <w:t>(9)未按照</w:t>
      </w:r>
      <w:r>
        <w:rPr>
          <w:rFonts w:hint="eastAsia"/>
          <w:color w:val="auto"/>
          <w:highlight w:val="none"/>
        </w:rPr>
        <w:t>磋商文件</w:t>
      </w:r>
      <w:r>
        <w:rPr>
          <w:color w:val="auto"/>
          <w:highlight w:val="none"/>
        </w:rPr>
        <w:t>要求单独递交报价一览表原件的;</w:t>
      </w:r>
    </w:p>
    <w:p>
      <w:pPr>
        <w:pStyle w:val="30"/>
        <w:shd w:val="clear"/>
        <w:spacing w:line="360" w:lineRule="auto"/>
        <w:jc w:val="both"/>
        <w:rPr>
          <w:rFonts w:ascii="宋体" w:hAnsi="宋体" w:cs="宋体"/>
          <w:color w:val="auto"/>
          <w:highlight w:val="none"/>
        </w:rPr>
      </w:pPr>
      <w:r>
        <w:rPr>
          <w:rFonts w:hint="eastAsia" w:ascii="宋体" w:hAnsi="宋体" w:cs="宋体"/>
          <w:color w:val="auto"/>
          <w:highlight w:val="none"/>
        </w:rPr>
        <w:t>15.响应文件的书写要求、签署、装订及数量。</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15.1响应文件正本须用不褪色的墨水笔书写或打印，</w:t>
      </w:r>
      <w:r>
        <w:rPr>
          <w:rFonts w:hint="eastAsia" w:ascii="宋体" w:hAnsi="宋体"/>
          <w:b/>
          <w:bCs/>
          <w:color w:val="auto"/>
          <w:highlight w:val="none"/>
        </w:rPr>
        <w:t>磋商文件中提到的所有复印件均为彩色扫描件或彩色复印件。响应文件正本中提供的复印件均为彩色扫描件或彩色复印件，副本可以是正本的复印件。（中标单位提供）</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15.2</w:t>
      </w:r>
      <w:r>
        <w:rPr>
          <w:rFonts w:hint="eastAsia" w:hAnsi="宋体" w:cs="宋体"/>
          <w:bCs/>
          <w:color w:val="auto"/>
          <w:sz w:val="24"/>
          <w:highlight w:val="none"/>
        </w:rPr>
        <w:t>响应文件的打印和书写应清楚工整，任何行间插字、涂改或增删，必须由供应商的法定代表人或其授权代表签字并盖供应商公章。</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15.3未实质性响应磋商文件、字迹潦草、表达不清、未按要求填写或可能导致非唯一理解的响应文件将被定为废标。</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15.4响应文件应由投标供应商企业法人或法人授权代表在规定签章处逐一签署及加盖单位的公章。</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15.5</w:t>
      </w:r>
      <w:r>
        <w:rPr>
          <w:rFonts w:hint="eastAsia" w:hAnsi="宋体" w:cs="宋体"/>
          <w:bCs/>
          <w:color w:val="auto"/>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 xml:space="preserve">15.6在磋商过程中，供应商按磋商文件规定和磋商小组要求提交的最后报价(或者重新提交的响应文件和最后报价)，供应商须登录政采云平台https://www.zcygov.cn/在线进行最终报价。否则，将导致响应文件无效。 </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15.7投标供应商可根据响应文件要求具体需要自行编制，其它文件一式肆份纳入投标书中。</w:t>
      </w:r>
    </w:p>
    <w:p>
      <w:pPr>
        <w:pStyle w:val="30"/>
        <w:shd w:val="clear"/>
        <w:spacing w:line="360" w:lineRule="auto"/>
        <w:ind w:firstLine="480" w:firstLineChars="200"/>
        <w:jc w:val="both"/>
        <w:rPr>
          <w:rFonts w:hAnsi="宋体" w:cs="宋体"/>
          <w:bCs/>
          <w:color w:val="auto"/>
          <w:highlight w:val="none"/>
        </w:rPr>
      </w:pPr>
      <w:r>
        <w:rPr>
          <w:rFonts w:hint="eastAsia" w:ascii="宋体" w:hAnsi="宋体" w:cs="宋体"/>
          <w:color w:val="auto"/>
          <w:highlight w:val="none"/>
        </w:rPr>
        <w:t>15.8</w:t>
      </w:r>
      <w:r>
        <w:rPr>
          <w:rFonts w:hint="eastAsia" w:hAnsi="宋体" w:cs="宋体"/>
          <w:bCs/>
          <w:color w:val="auto"/>
          <w:highlight w:val="none"/>
        </w:rPr>
        <w:t>响应文件正本和副本需要逐页编目编码。</w:t>
      </w:r>
    </w:p>
    <w:p>
      <w:pPr>
        <w:pStyle w:val="30"/>
        <w:shd w:val="clear"/>
        <w:spacing w:line="360" w:lineRule="auto"/>
        <w:ind w:firstLine="480" w:firstLineChars="200"/>
        <w:jc w:val="both"/>
        <w:rPr>
          <w:rFonts w:hAnsi="宋体" w:cs="宋体"/>
          <w:bCs/>
          <w:color w:val="auto"/>
          <w:highlight w:val="none"/>
        </w:rPr>
      </w:pPr>
      <w:r>
        <w:rPr>
          <w:rFonts w:hint="eastAsia" w:ascii="宋体" w:hAnsi="宋体" w:cs="宋体"/>
          <w:color w:val="auto"/>
          <w:highlight w:val="none"/>
        </w:rPr>
        <w:t>15.9响应文件统一用A4幅面纸印制，除另有规定外。</w:t>
      </w:r>
    </w:p>
    <w:p>
      <w:pPr>
        <w:pStyle w:val="30"/>
        <w:shd w:val="clear"/>
        <w:spacing w:line="360" w:lineRule="auto"/>
        <w:jc w:val="both"/>
        <w:rPr>
          <w:rFonts w:ascii="宋体" w:hAnsi="宋体" w:cs="宋体"/>
          <w:b/>
          <w:bCs/>
          <w:color w:val="auto"/>
          <w:highlight w:val="none"/>
        </w:rPr>
      </w:pPr>
      <w:r>
        <w:rPr>
          <w:rFonts w:hint="eastAsia" w:ascii="宋体" w:hAnsi="宋体" w:cs="宋体"/>
          <w:b/>
          <w:bCs/>
          <w:color w:val="auto"/>
          <w:highlight w:val="none"/>
        </w:rPr>
        <w:t>16.投标保证金</w:t>
      </w:r>
    </w:p>
    <w:p>
      <w:pPr>
        <w:pStyle w:val="30"/>
        <w:shd w:val="clear"/>
        <w:spacing w:line="360" w:lineRule="auto"/>
        <w:ind w:firstLine="482" w:firstLineChars="200"/>
        <w:jc w:val="both"/>
        <w:rPr>
          <w:rFonts w:ascii="宋体" w:hAnsi="宋体" w:cs="宋体"/>
          <w:b/>
          <w:color w:val="auto"/>
          <w:highlight w:val="none"/>
        </w:rPr>
      </w:pPr>
      <w:r>
        <w:rPr>
          <w:rFonts w:hint="eastAsia" w:ascii="宋体" w:hAnsi="宋体" w:cs="宋体"/>
          <w:b/>
          <w:color w:val="auto"/>
          <w:highlight w:val="none"/>
        </w:rPr>
        <w:t>16.1投标保证金金额为：</w:t>
      </w:r>
      <w:r>
        <w:rPr>
          <w:rFonts w:hint="eastAsia" w:ascii="宋体" w:hAnsi="宋体" w:cs="宋体"/>
          <w:b/>
          <w:bCs/>
          <w:color w:val="auto"/>
          <w:highlight w:val="none"/>
        </w:rPr>
        <w:t>1800</w:t>
      </w:r>
      <w:r>
        <w:rPr>
          <w:rFonts w:hint="eastAsia" w:ascii="宋体" w:hAnsi="宋体" w:cs="宋体"/>
          <w:b/>
          <w:color w:val="auto"/>
          <w:highlight w:val="none"/>
        </w:rPr>
        <w:t>（大写：壹仟捌佰元整）</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16.2投标保证金用于保护本次招标免受投标供应商的违规、违约行为而引起的风险。</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16.3投标保证金用人民币</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16.4投标保证金以电汇形式提交。</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16.5本次项目不接受联合体投标。</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16.6未按时缴纳投标保证金的投标，将被拒绝。</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16.7中标供应商的投标保证金，将在合同签订后的</w:t>
      </w:r>
      <w:r>
        <w:rPr>
          <w:rFonts w:hint="eastAsia" w:ascii="宋体" w:hAnsi="宋体" w:cs="宋体"/>
          <w:color w:val="auto"/>
          <w:highlight w:val="none"/>
          <w:u w:val="single"/>
        </w:rPr>
        <w:t>5个工作日内</w:t>
      </w:r>
      <w:r>
        <w:rPr>
          <w:rFonts w:hint="eastAsia" w:ascii="宋体" w:hAnsi="宋体" w:cs="宋体"/>
          <w:color w:val="auto"/>
          <w:highlight w:val="none"/>
        </w:rPr>
        <w:t>予以退还；未中标供应商的投标保证金在中标通知书发出后</w:t>
      </w:r>
      <w:r>
        <w:rPr>
          <w:rFonts w:hint="eastAsia" w:ascii="宋体" w:hAnsi="宋体" w:cs="宋体"/>
          <w:color w:val="auto"/>
          <w:highlight w:val="none"/>
          <w:u w:val="single"/>
        </w:rPr>
        <w:t>5个工作日内</w:t>
      </w:r>
      <w:r>
        <w:rPr>
          <w:rFonts w:hint="eastAsia" w:ascii="宋体" w:hAnsi="宋体" w:cs="宋体"/>
          <w:color w:val="auto"/>
          <w:highlight w:val="none"/>
        </w:rPr>
        <w:t>予以退还。</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16.8发生以下情况投标保证金可能被没收：</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16.8.1如果投标供应商在投标有效期内撤回投标；</w:t>
      </w:r>
    </w:p>
    <w:p>
      <w:pPr>
        <w:pStyle w:val="30"/>
        <w:shd w:val="clear"/>
        <w:spacing w:line="360" w:lineRule="auto"/>
        <w:ind w:firstLine="480" w:firstLineChars="200"/>
        <w:jc w:val="both"/>
        <w:rPr>
          <w:rFonts w:ascii="宋体" w:hAnsi="宋体" w:cs="宋体"/>
          <w:color w:val="auto"/>
          <w:sz w:val="28"/>
          <w:highlight w:val="none"/>
        </w:rPr>
      </w:pPr>
      <w:r>
        <w:rPr>
          <w:rFonts w:hint="eastAsia" w:ascii="宋体" w:hAnsi="宋体" w:cs="宋体"/>
          <w:color w:val="auto"/>
          <w:highlight w:val="none"/>
        </w:rPr>
        <w:t>16.8.2如果中标供应商放弃中标项目的，无正当理由不与采购人签订合同的，在签订合同时向采购人提出附加条件或者更改合同实质性内容的，或者拒不提交所要求的履约保证金的。</w:t>
      </w:r>
    </w:p>
    <w:p>
      <w:pPr>
        <w:pStyle w:val="30"/>
        <w:numPr>
          <w:ilvl w:val="0"/>
          <w:numId w:val="6"/>
        </w:numPr>
        <w:shd w:val="clear"/>
        <w:spacing w:line="360" w:lineRule="auto"/>
        <w:jc w:val="center"/>
        <w:outlineLvl w:val="1"/>
        <w:rPr>
          <w:rFonts w:ascii="宋体" w:hAnsi="宋体" w:cs="宋体"/>
          <w:b/>
          <w:color w:val="auto"/>
          <w:sz w:val="40"/>
          <w:highlight w:val="none"/>
        </w:rPr>
      </w:pPr>
      <w:bookmarkStart w:id="34" w:name="_Toc23349"/>
      <w:bookmarkStart w:id="35" w:name="_Toc7393"/>
      <w:bookmarkStart w:id="36" w:name="_Toc30150"/>
      <w:bookmarkStart w:id="37" w:name="_Toc20444"/>
      <w:r>
        <w:rPr>
          <w:rFonts w:hint="eastAsia" w:ascii="宋体" w:hAnsi="宋体" w:cs="宋体"/>
          <w:b/>
          <w:color w:val="auto"/>
          <w:sz w:val="40"/>
          <w:highlight w:val="none"/>
        </w:rPr>
        <w:t>响应文件的递交</w:t>
      </w:r>
      <w:bookmarkEnd w:id="34"/>
      <w:bookmarkEnd w:id="35"/>
      <w:bookmarkEnd w:id="36"/>
      <w:bookmarkEnd w:id="37"/>
    </w:p>
    <w:p>
      <w:pPr>
        <w:pStyle w:val="30"/>
        <w:shd w:val="clear"/>
        <w:spacing w:line="360" w:lineRule="auto"/>
        <w:jc w:val="both"/>
        <w:outlineLvl w:val="1"/>
        <w:rPr>
          <w:rFonts w:ascii="宋体" w:hAnsi="宋体" w:cs="宋体"/>
          <w:color w:val="auto"/>
          <w:highlight w:val="none"/>
        </w:rPr>
      </w:pPr>
      <w:bookmarkStart w:id="38" w:name="_Toc31780"/>
      <w:bookmarkStart w:id="39" w:name="_Toc7657"/>
      <w:r>
        <w:rPr>
          <w:rFonts w:hint="eastAsia" w:ascii="宋体" w:hAnsi="宋体" w:cs="宋体"/>
          <w:b/>
          <w:bCs/>
          <w:color w:val="auto"/>
          <w:highlight w:val="none"/>
        </w:rPr>
        <w:t>17.响应文件的密封与标记</w:t>
      </w:r>
      <w:bookmarkEnd w:id="38"/>
      <w:bookmarkEnd w:id="39"/>
    </w:p>
    <w:p>
      <w:pPr>
        <w:pStyle w:val="30"/>
        <w:shd w:val="clear"/>
        <w:spacing w:line="360" w:lineRule="auto"/>
        <w:ind w:left="479" w:leftChars="228"/>
        <w:jc w:val="both"/>
        <w:rPr>
          <w:rFonts w:ascii="宋体" w:hAnsi="宋体" w:cs="宋体"/>
          <w:color w:val="auto"/>
          <w:highlight w:val="none"/>
        </w:rPr>
      </w:pPr>
      <w:r>
        <w:rPr>
          <w:rFonts w:hint="eastAsia" w:ascii="宋体" w:hAnsi="宋体" w:cs="宋体"/>
          <w:color w:val="auto"/>
          <w:highlight w:val="none"/>
        </w:rPr>
        <w:t>17.1</w:t>
      </w:r>
      <w:r>
        <w:rPr>
          <w:rFonts w:hint="eastAsia" w:ascii="宋体" w:hAnsi="宋体"/>
          <w:color w:val="auto"/>
          <w:szCs w:val="21"/>
          <w:highlight w:val="none"/>
        </w:rPr>
        <w:t>响应文件如果未按上述规定</w:t>
      </w:r>
      <w:r>
        <w:rPr>
          <w:rFonts w:hint="eastAsia" w:ascii="宋体" w:hAnsi="宋体"/>
          <w:b/>
          <w:bCs/>
          <w:color w:val="auto"/>
          <w:szCs w:val="21"/>
          <w:highlight w:val="none"/>
        </w:rPr>
        <w:t>加密和解密</w:t>
      </w:r>
      <w:r>
        <w:rPr>
          <w:rFonts w:hint="eastAsia" w:ascii="宋体" w:hAnsi="宋体"/>
          <w:color w:val="auto"/>
          <w:szCs w:val="21"/>
          <w:highlight w:val="none"/>
        </w:rPr>
        <w:t>，将导致代理机构无法接收解密响应文件</w:t>
      </w:r>
      <w:r>
        <w:rPr>
          <w:rFonts w:hint="eastAsia" w:ascii="宋体" w:hAnsi="宋体" w:cs="宋体"/>
          <w:color w:val="auto"/>
          <w:highlight w:val="none"/>
        </w:rPr>
        <w:t>，招标代理机构不对其后果负责。</w:t>
      </w:r>
    </w:p>
    <w:p>
      <w:pPr>
        <w:pStyle w:val="30"/>
        <w:shd w:val="clear"/>
        <w:spacing w:line="360" w:lineRule="auto"/>
        <w:jc w:val="both"/>
        <w:rPr>
          <w:rFonts w:ascii="宋体" w:hAnsi="宋体" w:cs="宋体"/>
          <w:b/>
          <w:bCs/>
          <w:color w:val="auto"/>
          <w:highlight w:val="none"/>
        </w:rPr>
      </w:pPr>
      <w:r>
        <w:rPr>
          <w:rFonts w:hint="eastAsia" w:ascii="宋体" w:hAnsi="宋体" w:cs="宋体"/>
          <w:b/>
          <w:bCs/>
          <w:color w:val="auto"/>
          <w:highlight w:val="none"/>
        </w:rPr>
        <w:t>18.响应文件递交的截止日期</w:t>
      </w:r>
    </w:p>
    <w:p>
      <w:pPr>
        <w:pStyle w:val="30"/>
        <w:shd w:val="clear"/>
        <w:spacing w:line="360" w:lineRule="auto"/>
        <w:jc w:val="both"/>
        <w:rPr>
          <w:rFonts w:ascii="宋体" w:hAnsi="宋体" w:cs="宋体"/>
          <w:color w:val="auto"/>
          <w:highlight w:val="none"/>
          <w:u w:val="single"/>
        </w:rPr>
      </w:pPr>
      <w:r>
        <w:rPr>
          <w:rFonts w:hint="eastAsia" w:ascii="宋体" w:hAnsi="宋体" w:cs="宋体"/>
          <w:color w:val="auto"/>
          <w:highlight w:val="none"/>
        </w:rPr>
        <w:t>18.1</w:t>
      </w:r>
      <w:r>
        <w:rPr>
          <w:rFonts w:hint="eastAsia" w:ascii="宋体" w:hAnsi="宋体" w:cs="宋体"/>
          <w:b/>
          <w:color w:val="auto"/>
          <w:highlight w:val="none"/>
        </w:rPr>
        <w:t>投标供应商必须在</w:t>
      </w:r>
      <w:r>
        <w:rPr>
          <w:rFonts w:hint="eastAsia" w:ascii="宋体" w:hAnsi="宋体" w:cs="宋体"/>
          <w:b/>
          <w:color w:val="auto"/>
          <w:highlight w:val="none"/>
        </w:rPr>
        <w:t>2023年1</w:t>
      </w:r>
      <w:r>
        <w:rPr>
          <w:rFonts w:hint="eastAsia" w:ascii="宋体" w:hAnsi="宋体" w:cs="宋体"/>
          <w:b/>
          <w:color w:val="auto"/>
          <w:highlight w:val="none"/>
          <w:lang w:val="en-US" w:eastAsia="zh-CN"/>
        </w:rPr>
        <w:t>1</w:t>
      </w:r>
      <w:r>
        <w:rPr>
          <w:rFonts w:hint="eastAsia" w:ascii="宋体" w:hAnsi="宋体" w:cs="宋体"/>
          <w:b/>
          <w:color w:val="auto"/>
          <w:highlight w:val="none"/>
        </w:rPr>
        <w:t>月</w:t>
      </w:r>
      <w:r>
        <w:rPr>
          <w:rFonts w:hint="eastAsia" w:ascii="宋体" w:hAnsi="宋体" w:cs="宋体"/>
          <w:b/>
          <w:color w:val="auto"/>
          <w:highlight w:val="none"/>
          <w:lang w:val="en-US" w:eastAsia="zh-CN"/>
        </w:rPr>
        <w:t>28</w:t>
      </w:r>
      <w:r>
        <w:rPr>
          <w:rFonts w:hint="eastAsia" w:ascii="宋体" w:hAnsi="宋体" w:cs="宋体"/>
          <w:b/>
          <w:color w:val="auto"/>
          <w:highlight w:val="none"/>
        </w:rPr>
        <w:t>日1</w:t>
      </w:r>
      <w:r>
        <w:rPr>
          <w:rFonts w:hint="eastAsia" w:ascii="宋体" w:hAnsi="宋体" w:cs="宋体"/>
          <w:b/>
          <w:color w:val="auto"/>
          <w:highlight w:val="none"/>
          <w:lang w:val="en-US" w:eastAsia="zh-CN"/>
        </w:rPr>
        <w:t>6</w:t>
      </w:r>
      <w:r>
        <w:rPr>
          <w:rFonts w:hint="eastAsia" w:ascii="宋体" w:hAnsi="宋体" w:cs="宋体"/>
          <w:b/>
          <w:color w:val="auto"/>
          <w:highlight w:val="none"/>
        </w:rPr>
        <w:t>时</w:t>
      </w:r>
      <w:r>
        <w:rPr>
          <w:rFonts w:hint="eastAsia" w:ascii="宋体" w:hAnsi="宋体" w:cs="宋体"/>
          <w:b/>
          <w:color w:val="auto"/>
          <w:highlight w:val="none"/>
          <w:lang w:val="en-US" w:eastAsia="zh-CN"/>
        </w:rPr>
        <w:t>0</w:t>
      </w:r>
      <w:r>
        <w:rPr>
          <w:rFonts w:hint="eastAsia" w:ascii="宋体" w:hAnsi="宋体" w:cs="宋体"/>
          <w:b/>
          <w:color w:val="auto"/>
          <w:highlight w:val="none"/>
        </w:rPr>
        <w:t>0分</w:t>
      </w:r>
      <w:r>
        <w:rPr>
          <w:rFonts w:hint="eastAsia" w:ascii="宋体" w:hAnsi="宋体" w:cs="宋体"/>
          <w:b/>
          <w:color w:val="auto"/>
          <w:highlight w:val="none"/>
        </w:rPr>
        <w:t>（北京时间）前将经加密的电子版文件上传至政采云平台https://www.zcygov.cn/对应位置（逾期未上传的或不符合规定的投标文件将被拒绝接收）</w:t>
      </w:r>
      <w:r>
        <w:rPr>
          <w:rFonts w:hint="eastAsia" w:ascii="宋体" w:hAnsi="宋体" w:cs="宋体"/>
          <w:color w:val="auto"/>
          <w:highlight w:val="none"/>
        </w:rPr>
        <w:t>。</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18.2超过磋商文件规定的投标截止时间上传的响应文件将不予接受。</w:t>
      </w:r>
    </w:p>
    <w:p>
      <w:pPr>
        <w:pStyle w:val="30"/>
        <w:shd w:val="clear"/>
        <w:spacing w:line="360" w:lineRule="auto"/>
        <w:jc w:val="both"/>
        <w:rPr>
          <w:rFonts w:ascii="宋体" w:hAnsi="宋体" w:cs="宋体"/>
          <w:b/>
          <w:bCs/>
          <w:color w:val="auto"/>
          <w:highlight w:val="none"/>
        </w:rPr>
      </w:pPr>
      <w:r>
        <w:rPr>
          <w:rFonts w:hint="eastAsia" w:ascii="宋体" w:hAnsi="宋体" w:cs="宋体"/>
          <w:b/>
          <w:bCs/>
          <w:color w:val="auto"/>
          <w:highlight w:val="none"/>
        </w:rPr>
        <w:t>19.响应文件的修改和撤销</w:t>
      </w:r>
    </w:p>
    <w:p>
      <w:pPr>
        <w:pStyle w:val="32"/>
        <w:shd w:val="clear"/>
        <w:spacing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19.1投标供应商对其响应文件进行的修改或撤销应以书面形式并在磋商文件规定的投标截止时间前送达招标代理机构。</w:t>
      </w:r>
    </w:p>
    <w:p>
      <w:pPr>
        <w:pStyle w:val="32"/>
        <w:shd w:val="clear"/>
        <w:spacing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19.2投标供应商对响应文件的修改或撤销应按第18和19条规定进行准备、密封、标注和递交。</w:t>
      </w:r>
    </w:p>
    <w:p>
      <w:pPr>
        <w:pStyle w:val="32"/>
        <w:shd w:val="clear"/>
        <w:spacing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19.3投标截止时间后不得修改响应文件。</w:t>
      </w:r>
    </w:p>
    <w:p>
      <w:pPr>
        <w:pStyle w:val="32"/>
        <w:shd w:val="clear"/>
        <w:spacing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19.4投标供应商不得在投标截止时间起至响应文件有效期满前撤销响应文件，否则其投标保证金将不予退还。</w:t>
      </w:r>
    </w:p>
    <w:p>
      <w:pPr>
        <w:shd w:val="clear"/>
        <w:spacing w:line="360" w:lineRule="auto"/>
        <w:ind w:firstLine="480" w:firstLineChars="200"/>
        <w:rPr>
          <w:rFonts w:ascii="Calibri" w:hAnsi="Calibri"/>
          <w:b/>
          <w:bCs/>
          <w:color w:val="auto"/>
          <w:sz w:val="24"/>
          <w:szCs w:val="24"/>
          <w:highlight w:val="none"/>
        </w:rPr>
      </w:pPr>
      <w:r>
        <w:rPr>
          <w:rFonts w:hint="eastAsia" w:ascii="宋体" w:hAnsi="宋体" w:cs="宋体"/>
          <w:color w:val="auto"/>
          <w:sz w:val="24"/>
          <w:szCs w:val="24"/>
          <w:highlight w:val="none"/>
        </w:rPr>
        <w:t>19.5</w:t>
      </w:r>
      <w:r>
        <w:rPr>
          <w:rFonts w:hint="eastAsia" w:ascii="Calibri" w:hAnsi="Calibri"/>
          <w:b/>
          <w:bCs/>
          <w:color w:val="auto"/>
          <w:sz w:val="24"/>
          <w:szCs w:val="24"/>
          <w:highlight w:val="none"/>
        </w:rPr>
        <w:t>投标报价</w:t>
      </w:r>
    </w:p>
    <w:p>
      <w:pPr>
        <w:shd w:val="clear"/>
        <w:spacing w:line="360" w:lineRule="auto"/>
        <w:ind w:firstLine="480" w:firstLineChars="200"/>
        <w:rPr>
          <w:rFonts w:ascii="Calibri" w:hAnsi="Calibri"/>
          <w:color w:val="auto"/>
          <w:sz w:val="24"/>
          <w:szCs w:val="24"/>
          <w:highlight w:val="none"/>
        </w:rPr>
      </w:pPr>
      <w:r>
        <w:rPr>
          <w:rFonts w:hint="eastAsia" w:ascii="Calibri" w:hAnsi="Calibri"/>
          <w:color w:val="auto"/>
          <w:sz w:val="24"/>
          <w:szCs w:val="24"/>
          <w:highlight w:val="none"/>
        </w:rPr>
        <w:t>19.5.1 投标报价应包括国家规定的增值税税金，除投标人须知前附表另有规定外，增值税税金按一般计税方法计算。投标人应按第五章“响应文件格式”的要求在投标函中进行报价并填写分项报价表。</w:t>
      </w:r>
    </w:p>
    <w:p>
      <w:pPr>
        <w:shd w:val="clear"/>
        <w:spacing w:line="360" w:lineRule="auto"/>
        <w:ind w:firstLine="480" w:firstLineChars="200"/>
        <w:rPr>
          <w:rFonts w:ascii="Calibri" w:hAnsi="Calibri"/>
          <w:color w:val="auto"/>
          <w:sz w:val="24"/>
          <w:szCs w:val="24"/>
          <w:highlight w:val="none"/>
        </w:rPr>
      </w:pPr>
      <w:r>
        <w:rPr>
          <w:rFonts w:hint="eastAsia" w:ascii="Calibri" w:hAnsi="Calibri"/>
          <w:color w:val="auto"/>
          <w:sz w:val="24"/>
          <w:szCs w:val="24"/>
          <w:highlight w:val="none"/>
        </w:rPr>
        <w:t>19.5.2 投标人应充分了解该项目的总体情况以及影响投标报价的其他要素。</w:t>
      </w:r>
    </w:p>
    <w:p>
      <w:pPr>
        <w:shd w:val="clear"/>
        <w:spacing w:line="360" w:lineRule="auto"/>
        <w:ind w:firstLine="480" w:firstLineChars="200"/>
        <w:rPr>
          <w:rFonts w:ascii="Calibri" w:hAnsi="Calibri"/>
          <w:color w:val="auto"/>
          <w:sz w:val="24"/>
          <w:szCs w:val="24"/>
          <w:highlight w:val="none"/>
        </w:rPr>
      </w:pPr>
      <w:r>
        <w:rPr>
          <w:rFonts w:hint="eastAsia" w:ascii="Calibri" w:hAnsi="Calibri"/>
          <w:color w:val="auto"/>
          <w:sz w:val="24"/>
          <w:szCs w:val="24"/>
          <w:highlight w:val="none"/>
        </w:rPr>
        <w:t>19.5.3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shd w:val="clear"/>
        <w:spacing w:line="360" w:lineRule="auto"/>
        <w:ind w:firstLine="480" w:firstLineChars="200"/>
        <w:rPr>
          <w:rFonts w:ascii="Calibri" w:hAnsi="Calibri"/>
          <w:color w:val="auto"/>
          <w:sz w:val="24"/>
          <w:szCs w:val="24"/>
          <w:highlight w:val="none"/>
        </w:rPr>
      </w:pPr>
      <w:r>
        <w:rPr>
          <w:rFonts w:hint="eastAsia" w:ascii="Calibri" w:hAnsi="Calibri"/>
          <w:color w:val="auto"/>
          <w:sz w:val="24"/>
          <w:szCs w:val="24"/>
          <w:highlight w:val="none"/>
        </w:rPr>
        <w:t>19.5.4 招标人设有最高投标限价的，投标人的投标报价不得超过最高投标限价，最高投标限价在投标人须知前附表中载明。</w:t>
      </w:r>
    </w:p>
    <w:p>
      <w:pPr>
        <w:shd w:val="clear"/>
        <w:spacing w:line="360" w:lineRule="auto"/>
        <w:ind w:firstLine="480" w:firstLineChars="200"/>
        <w:rPr>
          <w:rFonts w:ascii="Calibri" w:hAnsi="Calibri"/>
          <w:color w:val="auto"/>
          <w:sz w:val="24"/>
          <w:szCs w:val="24"/>
          <w:highlight w:val="none"/>
        </w:rPr>
      </w:pPr>
      <w:r>
        <w:rPr>
          <w:rFonts w:hint="eastAsia" w:ascii="Calibri" w:hAnsi="Calibri"/>
          <w:color w:val="auto"/>
          <w:sz w:val="24"/>
          <w:szCs w:val="24"/>
          <w:highlight w:val="none"/>
        </w:rPr>
        <w:t>19.5.5 投标报价的其他要求见投标人须知前附表。</w:t>
      </w:r>
      <w:bookmarkStart w:id="40" w:name="_Toc29485"/>
      <w:bookmarkStart w:id="41" w:name="_Toc11715"/>
    </w:p>
    <w:p>
      <w:pPr>
        <w:pStyle w:val="30"/>
        <w:shd w:val="clear"/>
        <w:spacing w:line="360" w:lineRule="auto"/>
        <w:jc w:val="center"/>
        <w:outlineLvl w:val="1"/>
        <w:rPr>
          <w:rFonts w:ascii="宋体" w:hAnsi="宋体" w:cs="宋体"/>
          <w:b/>
          <w:color w:val="auto"/>
          <w:sz w:val="32"/>
          <w:highlight w:val="none"/>
        </w:rPr>
      </w:pPr>
      <w:bookmarkStart w:id="42" w:name="_Toc24707"/>
      <w:bookmarkStart w:id="43" w:name="_Toc4347"/>
      <w:r>
        <w:rPr>
          <w:rFonts w:hint="eastAsia" w:ascii="宋体" w:hAnsi="宋体" w:cs="宋体"/>
          <w:b/>
          <w:color w:val="auto"/>
          <w:sz w:val="40"/>
          <w:highlight w:val="none"/>
        </w:rPr>
        <w:t>五、开标</w:t>
      </w:r>
      <w:bookmarkEnd w:id="40"/>
      <w:bookmarkEnd w:id="41"/>
      <w:bookmarkEnd w:id="42"/>
      <w:bookmarkEnd w:id="43"/>
    </w:p>
    <w:p>
      <w:pPr>
        <w:pStyle w:val="30"/>
        <w:shd w:val="clear"/>
        <w:spacing w:line="360" w:lineRule="auto"/>
        <w:ind w:firstLine="482" w:firstLineChars="200"/>
        <w:jc w:val="both"/>
        <w:outlineLvl w:val="1"/>
        <w:rPr>
          <w:rFonts w:ascii="宋体" w:hAnsi="宋体" w:cs="宋体"/>
          <w:color w:val="auto"/>
          <w:highlight w:val="none"/>
        </w:rPr>
      </w:pPr>
      <w:r>
        <w:rPr>
          <w:rFonts w:hint="eastAsia" w:ascii="宋体" w:hAnsi="宋体" w:cs="宋体"/>
          <w:b/>
          <w:bCs/>
          <w:color w:val="auto"/>
          <w:highlight w:val="none"/>
        </w:rPr>
        <w:t>20.</w:t>
      </w:r>
      <w:bookmarkStart w:id="44" w:name="_Toc13260"/>
      <w:bookmarkStart w:id="45" w:name="_Toc9603"/>
      <w:bookmarkStart w:id="46" w:name="_Toc11706"/>
      <w:bookmarkStart w:id="47" w:name="_Toc19020"/>
      <w:bookmarkStart w:id="48" w:name="_Toc17802"/>
      <w:bookmarkStart w:id="49" w:name="_Toc12540"/>
      <w:bookmarkStart w:id="50" w:name="_Toc18941"/>
      <w:r>
        <w:rPr>
          <w:rFonts w:hint="eastAsia" w:ascii="宋体" w:hAnsi="宋体" w:cs="宋体"/>
          <w:color w:val="auto"/>
          <w:highlight w:val="none"/>
        </w:rPr>
        <w:t>20.1 采购人在本供应商须知前附表第13项规定的时间和地点组织磋商会议。</w:t>
      </w:r>
    </w:p>
    <w:p>
      <w:pPr>
        <w:pStyle w:val="30"/>
        <w:shd w:val="clear"/>
        <w:spacing w:line="360" w:lineRule="auto"/>
        <w:ind w:firstLine="480" w:firstLineChars="200"/>
        <w:jc w:val="both"/>
        <w:outlineLvl w:val="1"/>
        <w:rPr>
          <w:rFonts w:ascii="宋体" w:hAnsi="宋体" w:cs="宋体"/>
          <w:color w:val="auto"/>
          <w:highlight w:val="none"/>
        </w:rPr>
      </w:pPr>
      <w:r>
        <w:rPr>
          <w:rFonts w:hint="eastAsia" w:ascii="宋体" w:hAnsi="宋体" w:cs="宋体"/>
          <w:color w:val="auto"/>
          <w:highlight w:val="none"/>
        </w:rPr>
        <w:t>20.2 本次采用网上评标系统，供应商在线参加磋商（无需到开标现场）。磋商前供应商完成设备测试，保证摄像头及麦克风正常使用。自磋商时间起至评审结束，供应商须登录新疆政府采购网政采云平台并保持网络畅通，随时答复磋商小组的疑问。若供应商未在规定时间内答复的，由此产生的后果将由供应商自行承担。</w:t>
      </w:r>
    </w:p>
    <w:p>
      <w:pPr>
        <w:pStyle w:val="30"/>
        <w:shd w:val="clear"/>
        <w:spacing w:line="360" w:lineRule="auto"/>
        <w:ind w:firstLine="480" w:firstLineChars="200"/>
        <w:jc w:val="both"/>
        <w:outlineLvl w:val="1"/>
        <w:rPr>
          <w:rFonts w:ascii="宋体" w:hAnsi="宋体" w:cs="宋体"/>
          <w:color w:val="auto"/>
          <w:highlight w:val="none"/>
        </w:rPr>
      </w:pPr>
      <w:r>
        <w:rPr>
          <w:rFonts w:hint="eastAsia" w:ascii="宋体" w:hAnsi="宋体" w:cs="宋体"/>
          <w:color w:val="auto"/>
          <w:highlight w:val="none"/>
        </w:rPr>
        <w:t>20.3 供应商登录政采云平台，在磋商时间后30 分钟内用“项目采购-开标评标”功能进行解密电子版响应文件。若供应商在规定时间内未按时解密的，视为无效响应。解密与加密电子版响应文件须使用同一个CA。</w:t>
      </w:r>
    </w:p>
    <w:p>
      <w:pPr>
        <w:pStyle w:val="30"/>
        <w:shd w:val="clear"/>
        <w:spacing w:line="360" w:lineRule="auto"/>
        <w:ind w:firstLine="480" w:firstLineChars="200"/>
        <w:jc w:val="both"/>
        <w:outlineLvl w:val="1"/>
        <w:rPr>
          <w:rFonts w:ascii="宋体" w:hAnsi="宋体" w:cs="宋体"/>
          <w:color w:val="auto"/>
          <w:highlight w:val="none"/>
        </w:rPr>
      </w:pPr>
      <w:r>
        <w:rPr>
          <w:rFonts w:hint="eastAsia" w:ascii="宋体" w:hAnsi="宋体" w:cs="宋体"/>
          <w:color w:val="auto"/>
          <w:highlight w:val="none"/>
        </w:rPr>
        <w:t>20.4 磋商会议由采购代理机构组织并主持。</w:t>
      </w:r>
    </w:p>
    <w:p>
      <w:pPr>
        <w:pStyle w:val="30"/>
        <w:shd w:val="clear"/>
        <w:spacing w:line="360" w:lineRule="auto"/>
        <w:ind w:firstLine="480" w:firstLineChars="200"/>
        <w:jc w:val="both"/>
        <w:outlineLvl w:val="1"/>
        <w:rPr>
          <w:rFonts w:ascii="宋体" w:hAnsi="宋体" w:cs="宋体"/>
          <w:color w:val="auto"/>
          <w:highlight w:val="none"/>
        </w:rPr>
      </w:pPr>
      <w:r>
        <w:rPr>
          <w:rFonts w:hint="eastAsia" w:ascii="宋体" w:hAnsi="宋体" w:cs="宋体"/>
          <w:color w:val="auto"/>
          <w:highlight w:val="none"/>
        </w:rPr>
        <w:t>20.5 在磋商过程中，工作人员如发现响应文件组成部分不齐全，由磋商小组认定其有效性。磋商小组认定的无效响应文件将不进入磋商、评审阶段。</w:t>
      </w:r>
    </w:p>
    <w:p>
      <w:pPr>
        <w:pStyle w:val="30"/>
        <w:shd w:val="clear"/>
        <w:spacing w:line="360" w:lineRule="auto"/>
        <w:ind w:firstLine="480" w:firstLineChars="200"/>
        <w:jc w:val="both"/>
        <w:outlineLvl w:val="1"/>
        <w:rPr>
          <w:rFonts w:ascii="宋体" w:hAnsi="宋体" w:cs="宋体"/>
          <w:color w:val="auto"/>
          <w:highlight w:val="none"/>
        </w:rPr>
      </w:pPr>
      <w:r>
        <w:rPr>
          <w:rFonts w:hint="eastAsia" w:ascii="宋体" w:hAnsi="宋体" w:cs="宋体"/>
          <w:color w:val="auto"/>
          <w:highlight w:val="none"/>
        </w:rPr>
        <w:t>20.6开标异议</w:t>
      </w:r>
      <w:bookmarkEnd w:id="44"/>
      <w:bookmarkEnd w:id="45"/>
      <w:bookmarkEnd w:id="46"/>
      <w:bookmarkEnd w:id="47"/>
      <w:bookmarkEnd w:id="48"/>
    </w:p>
    <w:p>
      <w:pPr>
        <w:pStyle w:val="30"/>
        <w:shd w:val="clear"/>
        <w:spacing w:line="360" w:lineRule="auto"/>
        <w:ind w:firstLine="480" w:firstLineChars="200"/>
        <w:jc w:val="both"/>
        <w:outlineLvl w:val="1"/>
        <w:rPr>
          <w:rFonts w:ascii="宋体" w:hAnsi="宋体" w:cs="宋体"/>
          <w:color w:val="auto"/>
          <w:highlight w:val="none"/>
        </w:rPr>
      </w:pPr>
      <w:bookmarkStart w:id="51" w:name="_Toc27660"/>
      <w:bookmarkStart w:id="52" w:name="_Toc17655"/>
      <w:bookmarkStart w:id="53" w:name="_Toc28296"/>
      <w:bookmarkStart w:id="54" w:name="_Toc20137"/>
      <w:bookmarkStart w:id="55" w:name="_Toc27587"/>
      <w:r>
        <w:rPr>
          <w:rFonts w:hint="eastAsia" w:ascii="宋体" w:hAnsi="宋体" w:cs="宋体"/>
          <w:color w:val="auto"/>
          <w:highlight w:val="none"/>
        </w:rPr>
        <w:t>投标人对开标有异议的，应当在开标现场提出，招标人当场作出答复，并制作记录。</w:t>
      </w:r>
      <w:bookmarkEnd w:id="51"/>
      <w:bookmarkEnd w:id="52"/>
      <w:bookmarkEnd w:id="53"/>
      <w:bookmarkEnd w:id="54"/>
      <w:bookmarkEnd w:id="55"/>
    </w:p>
    <w:p>
      <w:pPr>
        <w:pStyle w:val="30"/>
        <w:shd w:val="clear"/>
        <w:spacing w:line="360" w:lineRule="auto"/>
        <w:jc w:val="center"/>
        <w:outlineLvl w:val="1"/>
        <w:rPr>
          <w:rFonts w:ascii="宋体" w:hAnsi="宋体" w:cs="宋体"/>
          <w:b/>
          <w:color w:val="auto"/>
          <w:sz w:val="40"/>
          <w:highlight w:val="none"/>
        </w:rPr>
      </w:pPr>
      <w:bookmarkStart w:id="56" w:name="_Toc8044"/>
      <w:bookmarkStart w:id="57" w:name="_Toc28964"/>
      <w:r>
        <w:rPr>
          <w:rFonts w:hint="eastAsia" w:ascii="宋体" w:hAnsi="宋体" w:cs="宋体"/>
          <w:b/>
          <w:color w:val="auto"/>
          <w:sz w:val="40"/>
          <w:highlight w:val="none"/>
        </w:rPr>
        <w:t>六、评标、定标</w:t>
      </w:r>
      <w:bookmarkEnd w:id="49"/>
      <w:bookmarkEnd w:id="50"/>
      <w:bookmarkEnd w:id="56"/>
      <w:bookmarkEnd w:id="57"/>
    </w:p>
    <w:p>
      <w:pPr>
        <w:pStyle w:val="30"/>
        <w:shd w:val="clear"/>
        <w:spacing w:line="360" w:lineRule="auto"/>
        <w:jc w:val="both"/>
        <w:rPr>
          <w:rFonts w:ascii="宋体" w:hAnsi="宋体" w:cs="宋体"/>
          <w:b/>
          <w:bCs/>
          <w:color w:val="auto"/>
          <w:highlight w:val="none"/>
        </w:rPr>
      </w:pPr>
      <w:bookmarkStart w:id="58" w:name="OLE_LINK1"/>
      <w:r>
        <w:rPr>
          <w:rFonts w:hint="eastAsia" w:ascii="宋体" w:hAnsi="宋体" w:cs="宋体"/>
          <w:b/>
          <w:bCs/>
          <w:color w:val="auto"/>
          <w:highlight w:val="none"/>
        </w:rPr>
        <w:t>21评标</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21.1 评标委员会</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21.1.1评标委员会由采购人代表和有关技术、经济等方面的专家组成，成员人数应当为三人或三人以上单数。</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21.1.2招标采购单位就磋商文件征询过意见的专家，不得再作为评标专家参加评标。采购人不得以专家身份参与本部门或者本单位采购项目的评标。采购代理机构工作人员不得参加由本机构代理的政府采购项目的评标。</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21.1.3评标人员应认真执行《中华人民共和国政府采购法》及相关法规规定，同时维护采购人和投标供应商的合法权益</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21.1.4评标的依据为磋商文件和响应文件</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21.1.5评标中各评委若发生意见分歧，通过书面表决形式，以少数服从多数为原则决定。</w:t>
      </w:r>
    </w:p>
    <w:p>
      <w:pPr>
        <w:pStyle w:val="30"/>
        <w:shd w:val="clear"/>
        <w:spacing w:line="360" w:lineRule="auto"/>
        <w:ind w:firstLine="567"/>
        <w:jc w:val="both"/>
        <w:rPr>
          <w:rFonts w:ascii="宋体" w:hAnsi="宋体" w:cs="宋体"/>
          <w:color w:val="auto"/>
          <w:highlight w:val="none"/>
        </w:rPr>
      </w:pPr>
      <w:r>
        <w:rPr>
          <w:rFonts w:hint="eastAsia" w:ascii="宋体" w:hAnsi="宋体" w:cs="宋体"/>
          <w:color w:val="auto"/>
          <w:highlight w:val="none"/>
        </w:rPr>
        <w:t>21.2评标纪律</w:t>
      </w:r>
    </w:p>
    <w:p>
      <w:pPr>
        <w:pStyle w:val="30"/>
        <w:shd w:val="clear"/>
        <w:spacing w:line="360" w:lineRule="auto"/>
        <w:ind w:firstLine="567"/>
        <w:jc w:val="both"/>
        <w:rPr>
          <w:rFonts w:ascii="宋体" w:hAnsi="宋体" w:cs="宋体"/>
          <w:color w:val="auto"/>
          <w:highlight w:val="none"/>
        </w:rPr>
      </w:pPr>
      <w:r>
        <w:rPr>
          <w:rFonts w:hint="eastAsia" w:ascii="宋体" w:hAnsi="宋体" w:cs="宋体"/>
          <w:color w:val="auto"/>
          <w:highlight w:val="none"/>
        </w:rPr>
        <w:t>（一）不徇私情，不得明招暗定，杜绝不正之风。</w:t>
      </w:r>
    </w:p>
    <w:p>
      <w:pPr>
        <w:pStyle w:val="30"/>
        <w:shd w:val="clear"/>
        <w:spacing w:line="360" w:lineRule="auto"/>
        <w:ind w:firstLine="567"/>
        <w:jc w:val="both"/>
        <w:rPr>
          <w:rFonts w:ascii="宋体" w:hAnsi="宋体" w:cs="宋体"/>
          <w:color w:val="auto"/>
          <w:highlight w:val="none"/>
        </w:rPr>
      </w:pPr>
      <w:r>
        <w:rPr>
          <w:rFonts w:hint="eastAsia" w:ascii="宋体" w:hAnsi="宋体" w:cs="宋体"/>
          <w:color w:val="auto"/>
          <w:highlight w:val="none"/>
        </w:rPr>
        <w:t>（二）评标人员不得私自泄露评标内容。</w:t>
      </w:r>
    </w:p>
    <w:p>
      <w:pPr>
        <w:shd w:val="clear"/>
        <w:spacing w:line="360" w:lineRule="auto"/>
        <w:ind w:firstLine="538"/>
        <w:rPr>
          <w:rFonts w:ascii="宋体" w:hAnsi="宋体" w:cs="宋体"/>
          <w:color w:val="auto"/>
          <w:sz w:val="24"/>
          <w:szCs w:val="24"/>
          <w:highlight w:val="none"/>
        </w:rPr>
      </w:pPr>
      <w:r>
        <w:rPr>
          <w:rFonts w:hint="eastAsia" w:ascii="宋体" w:hAnsi="宋体" w:cs="宋体"/>
          <w:color w:val="auto"/>
          <w:sz w:val="24"/>
          <w:szCs w:val="24"/>
          <w:highlight w:val="none"/>
        </w:rPr>
        <w:t>（三）评标过程应严格遵守保密制度。开标后,直到授予投标供应商合同止，凡是属于审查、澄清、评价和比较的有关资料以及授标建议等均不得向投标供应商或其他无关的人员透露。</w:t>
      </w:r>
    </w:p>
    <w:p>
      <w:pPr>
        <w:shd w:val="clear"/>
        <w:spacing w:line="360" w:lineRule="auto"/>
        <w:ind w:firstLine="538"/>
        <w:rPr>
          <w:rFonts w:ascii="宋体" w:hAnsi="宋体" w:cs="宋体"/>
          <w:color w:val="auto"/>
          <w:sz w:val="24"/>
          <w:szCs w:val="24"/>
          <w:highlight w:val="none"/>
        </w:rPr>
      </w:pPr>
      <w:r>
        <w:rPr>
          <w:rFonts w:hint="eastAsia" w:ascii="宋体" w:hAnsi="宋体" w:cs="宋体"/>
          <w:color w:val="auto"/>
          <w:sz w:val="24"/>
          <w:szCs w:val="24"/>
          <w:highlight w:val="none"/>
        </w:rPr>
        <w:t>21.3评标委员会成员应当履行的义务</w:t>
      </w:r>
    </w:p>
    <w:p>
      <w:pPr>
        <w:shd w:val="clear"/>
        <w:spacing w:line="360" w:lineRule="auto"/>
        <w:ind w:firstLine="538"/>
        <w:rPr>
          <w:rFonts w:ascii="宋体" w:hAnsi="宋体" w:cs="宋体"/>
          <w:color w:val="auto"/>
          <w:sz w:val="24"/>
          <w:szCs w:val="24"/>
          <w:highlight w:val="none"/>
        </w:rPr>
      </w:pPr>
      <w:r>
        <w:rPr>
          <w:rFonts w:hint="eastAsia" w:ascii="宋体" w:hAnsi="宋体" w:cs="宋体"/>
          <w:color w:val="auto"/>
          <w:sz w:val="24"/>
          <w:szCs w:val="24"/>
          <w:highlight w:val="none"/>
        </w:rPr>
        <w:t>（一）遵纪守法，客观、公正、廉洁地履行职责；</w:t>
      </w:r>
    </w:p>
    <w:p>
      <w:pPr>
        <w:shd w:val="clear"/>
        <w:spacing w:line="360" w:lineRule="auto"/>
        <w:ind w:firstLine="538"/>
        <w:rPr>
          <w:rFonts w:ascii="宋体" w:hAnsi="宋体" w:cs="宋体"/>
          <w:color w:val="auto"/>
          <w:sz w:val="24"/>
          <w:szCs w:val="24"/>
          <w:highlight w:val="none"/>
        </w:rPr>
      </w:pPr>
      <w:r>
        <w:rPr>
          <w:rFonts w:hint="eastAsia" w:ascii="宋体" w:hAnsi="宋体" w:cs="宋体"/>
          <w:color w:val="auto"/>
          <w:sz w:val="24"/>
          <w:szCs w:val="24"/>
          <w:highlight w:val="none"/>
        </w:rPr>
        <w:t>（二）按照磋商文件规定的评标方法和评标标准进行评标，对评审意见承担个人责任；</w:t>
      </w:r>
    </w:p>
    <w:p>
      <w:pPr>
        <w:shd w:val="clear"/>
        <w:spacing w:line="360" w:lineRule="auto"/>
        <w:ind w:firstLine="538"/>
        <w:rPr>
          <w:rFonts w:ascii="宋体" w:hAnsi="宋体" w:cs="宋体"/>
          <w:color w:val="auto"/>
          <w:sz w:val="24"/>
          <w:szCs w:val="24"/>
          <w:highlight w:val="none"/>
        </w:rPr>
      </w:pPr>
      <w:r>
        <w:rPr>
          <w:rFonts w:hint="eastAsia" w:ascii="宋体" w:hAnsi="宋体" w:cs="宋体"/>
          <w:color w:val="auto"/>
          <w:sz w:val="24"/>
          <w:szCs w:val="24"/>
          <w:highlight w:val="none"/>
        </w:rPr>
        <w:t>（三）对评标过程和结果，以及供应商的商业秘密保密；</w:t>
      </w:r>
    </w:p>
    <w:p>
      <w:pPr>
        <w:shd w:val="clear"/>
        <w:spacing w:line="360" w:lineRule="auto"/>
        <w:ind w:firstLine="538"/>
        <w:rPr>
          <w:rFonts w:ascii="宋体" w:hAnsi="宋体" w:cs="宋体"/>
          <w:color w:val="auto"/>
          <w:sz w:val="24"/>
          <w:szCs w:val="24"/>
          <w:highlight w:val="none"/>
        </w:rPr>
      </w:pPr>
      <w:r>
        <w:rPr>
          <w:rFonts w:hint="eastAsia" w:ascii="宋体" w:hAnsi="宋体" w:cs="宋体"/>
          <w:color w:val="auto"/>
          <w:sz w:val="24"/>
          <w:szCs w:val="24"/>
          <w:highlight w:val="none"/>
        </w:rPr>
        <w:t>（四）参与评标报告的起草；</w:t>
      </w:r>
    </w:p>
    <w:p>
      <w:pPr>
        <w:shd w:val="clear"/>
        <w:spacing w:line="360" w:lineRule="auto"/>
        <w:ind w:firstLine="538"/>
        <w:rPr>
          <w:rFonts w:ascii="宋体" w:hAnsi="宋体" w:cs="宋体"/>
          <w:color w:val="auto"/>
          <w:sz w:val="24"/>
          <w:szCs w:val="24"/>
          <w:highlight w:val="none"/>
        </w:rPr>
      </w:pPr>
      <w:r>
        <w:rPr>
          <w:rFonts w:hint="eastAsia" w:ascii="宋体" w:hAnsi="宋体" w:cs="宋体"/>
          <w:color w:val="auto"/>
          <w:sz w:val="24"/>
          <w:szCs w:val="24"/>
          <w:highlight w:val="none"/>
        </w:rPr>
        <w:t>（五）配合财政部门的投诉处理工作；</w:t>
      </w:r>
    </w:p>
    <w:p>
      <w:pPr>
        <w:shd w:val="clear"/>
        <w:spacing w:line="360" w:lineRule="auto"/>
        <w:ind w:firstLine="538"/>
        <w:rPr>
          <w:rFonts w:ascii="宋体" w:hAnsi="宋体" w:cs="宋体"/>
          <w:color w:val="auto"/>
          <w:sz w:val="24"/>
          <w:szCs w:val="24"/>
          <w:highlight w:val="none"/>
        </w:rPr>
      </w:pPr>
      <w:r>
        <w:rPr>
          <w:rFonts w:hint="eastAsia" w:ascii="宋体" w:hAnsi="宋体" w:cs="宋体"/>
          <w:color w:val="auto"/>
          <w:sz w:val="24"/>
          <w:szCs w:val="24"/>
          <w:highlight w:val="none"/>
        </w:rPr>
        <w:t>（六）配合招标采购单位答复投标供应商提出的质疑。</w:t>
      </w:r>
    </w:p>
    <w:p>
      <w:pPr>
        <w:shd w:val="clea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22评标原则</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22.1 评标活动遵循公平、公正、科学和择优的原则。</w:t>
      </w:r>
    </w:p>
    <w:p>
      <w:pPr>
        <w:pStyle w:val="30"/>
        <w:shd w:val="clear"/>
        <w:spacing w:line="360" w:lineRule="auto"/>
        <w:jc w:val="both"/>
        <w:rPr>
          <w:rFonts w:ascii="宋体" w:hAnsi="宋体" w:cs="宋体"/>
          <w:color w:val="auto"/>
          <w:highlight w:val="none"/>
        </w:rPr>
      </w:pPr>
      <w:r>
        <w:rPr>
          <w:rFonts w:hint="eastAsia" w:ascii="宋体" w:hAnsi="宋体" w:cs="宋体"/>
          <w:b/>
          <w:bCs/>
          <w:color w:val="auto"/>
          <w:highlight w:val="none"/>
        </w:rPr>
        <w:t>23评标方法</w:t>
      </w:r>
    </w:p>
    <w:p>
      <w:pPr>
        <w:pStyle w:val="32"/>
        <w:shd w:val="clear"/>
        <w:spacing w:line="360" w:lineRule="auto"/>
        <w:ind w:firstLine="567"/>
        <w:jc w:val="both"/>
        <w:rPr>
          <w:rFonts w:ascii="宋体" w:hAnsi="宋体" w:cs="宋体"/>
          <w:color w:val="auto"/>
          <w:sz w:val="24"/>
          <w:highlight w:val="none"/>
        </w:rPr>
      </w:pPr>
      <w:r>
        <w:rPr>
          <w:rFonts w:hint="eastAsia" w:ascii="宋体" w:hAnsi="宋体" w:cs="宋体"/>
          <w:color w:val="auto"/>
          <w:sz w:val="24"/>
          <w:highlight w:val="none"/>
        </w:rPr>
        <w:t>23.1 开标后评标委员会将审查响应文件是否完整、要求的保证金是否已提供、文件是否恰当签署、是否有计算错误,若投标供应商拒绝接受修正，其投标将可能被拒绝。</w:t>
      </w:r>
    </w:p>
    <w:p>
      <w:pPr>
        <w:pStyle w:val="32"/>
        <w:shd w:val="clear"/>
        <w:spacing w:line="360" w:lineRule="auto"/>
        <w:ind w:firstLine="567"/>
        <w:jc w:val="both"/>
        <w:rPr>
          <w:rFonts w:ascii="宋体" w:hAnsi="宋体" w:cs="宋体"/>
          <w:color w:val="auto"/>
          <w:sz w:val="24"/>
          <w:highlight w:val="none"/>
        </w:rPr>
      </w:pPr>
      <w:r>
        <w:rPr>
          <w:rFonts w:hint="eastAsia" w:ascii="宋体" w:hAnsi="宋体" w:cs="宋体"/>
          <w:color w:val="auto"/>
          <w:sz w:val="24"/>
          <w:highlight w:val="none"/>
        </w:rPr>
        <w:t xml:space="preserve">23.2 </w:t>
      </w:r>
      <w:r>
        <w:rPr>
          <w:rFonts w:hint="eastAsia" w:ascii="宋体" w:hAnsi="宋体" w:cs="宋体"/>
          <w:color w:val="auto"/>
          <w:spacing w:val="-2"/>
          <w:sz w:val="24"/>
          <w:highlight w:val="none"/>
        </w:rPr>
        <w:t>在对响应文件进行详细评估之前，评标委员会将审查每一份响应文件是否对磋商文件的要求做出了实质性的响应。实质性响应的投标应该是与磋商文件的全部条款、条件和规格相符，而没有重大偏离。重大偏离系指影响到合同所有条款的供货范围、</w:t>
      </w:r>
      <w:r>
        <w:rPr>
          <w:rFonts w:hint="eastAsia" w:ascii="宋体" w:hAnsi="宋体" w:cs="宋体"/>
          <w:color w:val="auto"/>
          <w:sz w:val="24"/>
          <w:highlight w:val="none"/>
        </w:rPr>
        <w:t>名称、种类、规格、数量、运送时间、送达地点、</w:t>
      </w:r>
      <w:r>
        <w:rPr>
          <w:rFonts w:hint="eastAsia" w:ascii="宋体" w:hAnsi="宋体" w:cs="宋体"/>
          <w:color w:val="auto"/>
          <w:spacing w:val="-2"/>
          <w:sz w:val="24"/>
          <w:highlight w:val="none"/>
        </w:rPr>
        <w:t>和规格或在实质上与磋商文件不一致，而且限制了买方的权力和投标供应商的义务。而纠正或承认这些偏离将会对该投标供应商和其它投标供应商合理的竞争地位产生不公正的影响</w:t>
      </w:r>
      <w:r>
        <w:rPr>
          <w:rFonts w:hint="eastAsia" w:ascii="宋体" w:hAnsi="宋体" w:cs="宋体"/>
          <w:color w:val="auto"/>
          <w:sz w:val="24"/>
          <w:highlight w:val="none"/>
        </w:rPr>
        <w:t>。</w:t>
      </w:r>
    </w:p>
    <w:p>
      <w:pPr>
        <w:pStyle w:val="32"/>
        <w:shd w:val="clear"/>
        <w:spacing w:line="360" w:lineRule="auto"/>
        <w:ind w:firstLine="567"/>
        <w:jc w:val="both"/>
        <w:rPr>
          <w:rFonts w:ascii="宋体" w:hAnsi="宋体" w:cs="宋体"/>
          <w:color w:val="auto"/>
          <w:sz w:val="24"/>
          <w:highlight w:val="none"/>
        </w:rPr>
      </w:pPr>
      <w:r>
        <w:rPr>
          <w:rFonts w:hint="eastAsia" w:ascii="宋体" w:hAnsi="宋体" w:cs="宋体"/>
          <w:color w:val="auto"/>
          <w:sz w:val="24"/>
          <w:highlight w:val="none"/>
        </w:rPr>
        <w:t>23.3 评标委员会判断响应文件的响应性仅基于响应文件本身而不寻求外部证据。</w:t>
      </w:r>
    </w:p>
    <w:p>
      <w:pPr>
        <w:pStyle w:val="32"/>
        <w:shd w:val="clear"/>
        <w:spacing w:line="360" w:lineRule="auto"/>
        <w:ind w:firstLine="567"/>
        <w:jc w:val="both"/>
        <w:rPr>
          <w:rFonts w:ascii="宋体" w:hAnsi="宋体" w:cs="宋体"/>
          <w:color w:val="auto"/>
          <w:sz w:val="24"/>
          <w:highlight w:val="none"/>
        </w:rPr>
      </w:pPr>
      <w:r>
        <w:rPr>
          <w:rFonts w:hint="eastAsia" w:ascii="宋体" w:hAnsi="宋体" w:cs="宋体"/>
          <w:color w:val="auto"/>
          <w:sz w:val="24"/>
          <w:highlight w:val="none"/>
        </w:rPr>
        <w:t>23.4 对已被评标委员会确定为非响应性的投标，投标供应商不能通过修正或撤销不符之处而使其投标成为响应性投标。</w:t>
      </w:r>
    </w:p>
    <w:p>
      <w:pPr>
        <w:pStyle w:val="30"/>
        <w:shd w:val="clear"/>
        <w:spacing w:line="360" w:lineRule="auto"/>
        <w:ind w:firstLine="567"/>
        <w:jc w:val="both"/>
        <w:rPr>
          <w:rFonts w:ascii="宋体" w:hAnsi="宋体" w:cs="宋体"/>
          <w:color w:val="auto"/>
          <w:highlight w:val="none"/>
        </w:rPr>
      </w:pPr>
      <w:r>
        <w:rPr>
          <w:rFonts w:hint="eastAsia" w:ascii="宋体" w:hAnsi="宋体" w:cs="宋体"/>
          <w:color w:val="auto"/>
          <w:highlight w:val="none"/>
        </w:rPr>
        <w:t>23.5 评标委员会允许投标中有微小的不正规、不一致或不规则，而该微小之处不构成重大偏离。</w:t>
      </w:r>
    </w:p>
    <w:p>
      <w:pPr>
        <w:pStyle w:val="30"/>
        <w:shd w:val="clear"/>
        <w:spacing w:line="360" w:lineRule="auto"/>
        <w:ind w:firstLine="567"/>
        <w:jc w:val="both"/>
        <w:rPr>
          <w:rFonts w:ascii="宋体" w:hAnsi="宋体" w:cs="宋体"/>
          <w:b/>
          <w:color w:val="auto"/>
          <w:highlight w:val="none"/>
        </w:rPr>
      </w:pPr>
      <w:r>
        <w:rPr>
          <w:rFonts w:hint="eastAsia" w:ascii="宋体" w:hAnsi="宋体" w:cs="宋体"/>
          <w:b/>
          <w:color w:val="auto"/>
          <w:highlight w:val="none"/>
        </w:rPr>
        <w:t>23.6 本项目将采用：综合评分法</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综合评分法。评标委员会将采用综合评分法对响应文件所载明的供应商的投标报价、企业资质、配送</w:t>
      </w:r>
      <w:r>
        <w:rPr>
          <w:rFonts w:hint="eastAsia" w:ascii="宋体" w:hAnsi="宋体" w:cs="宋体"/>
          <w:color w:val="auto"/>
          <w:sz w:val="24"/>
          <w:szCs w:val="24"/>
          <w:highlight w:val="none"/>
        </w:rPr>
        <w:t>规格、数量、运送时间、</w:t>
      </w:r>
      <w:r>
        <w:rPr>
          <w:rFonts w:hint="eastAsia" w:ascii="宋体" w:hAnsi="宋体" w:cs="宋体"/>
          <w:color w:val="auto"/>
          <w:kern w:val="0"/>
          <w:sz w:val="24"/>
          <w:szCs w:val="24"/>
          <w:highlight w:val="none"/>
        </w:rPr>
        <w:t>质量保证、付款方式、交货期、信誉服务、企业业绩等内容进行打分，选取1名中标人。按总分从高到低的原则，确定中标候选人的先后次序，得分相同的投标人，由评委投票确定其排序的先后。选取第一中标候选人为中标人，最低报价不作为中标的唯一依据。采用百分制原则：满分为100分、商务技术标占70%、经济标占30%。投标单位最终得分=技术标得分+经济标得分，具体评分标准如下：</w:t>
      </w:r>
    </w:p>
    <w:p>
      <w:pPr>
        <w:pStyle w:val="22"/>
        <w:shd w:val="clear"/>
        <w:ind w:firstLine="480"/>
        <w:rPr>
          <w:rFonts w:cs="宋体"/>
          <w:color w:val="auto"/>
          <w:kern w:val="0"/>
          <w:szCs w:val="24"/>
          <w:highlight w:val="none"/>
        </w:rPr>
      </w:pPr>
    </w:p>
    <w:p>
      <w:pPr>
        <w:shd w:val="clear"/>
        <w:rPr>
          <w:rFonts w:ascii="宋体" w:hAnsi="宋体" w:cs="宋体"/>
          <w:color w:val="auto"/>
          <w:kern w:val="0"/>
          <w:sz w:val="24"/>
          <w:szCs w:val="24"/>
          <w:highlight w:val="none"/>
        </w:rPr>
      </w:pP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23.6.1评审标准</w:t>
      </w:r>
    </w:p>
    <w:p>
      <w:pPr>
        <w:shd w:val="clear"/>
        <w:spacing w:line="460" w:lineRule="exact"/>
        <w:ind w:firstLine="480" w:firstLineChars="200"/>
        <w:rPr>
          <w:color w:val="auto"/>
          <w:highlight w:val="none"/>
        </w:rPr>
      </w:pPr>
      <w:bookmarkStart w:id="59" w:name="_Toc35393791"/>
      <w:bookmarkStart w:id="60" w:name="_Toc28359003"/>
      <w:bookmarkStart w:id="61" w:name="_Toc28359080"/>
      <w:bookmarkStart w:id="62" w:name="_Toc35393622"/>
      <w:r>
        <w:rPr>
          <w:rFonts w:hint="eastAsia" w:ascii="宋体" w:hAnsi="宋体" w:cs="宋体"/>
          <w:color w:val="auto"/>
          <w:kern w:val="0"/>
          <w:sz w:val="24"/>
          <w:szCs w:val="24"/>
          <w:highlight w:val="none"/>
        </w:rPr>
        <w:t>①、申请人的资格审查：</w:t>
      </w:r>
      <w:bookmarkEnd w:id="59"/>
      <w:bookmarkEnd w:id="60"/>
      <w:bookmarkEnd w:id="61"/>
      <w:bookmarkEnd w:id="62"/>
    </w:p>
    <w:tbl>
      <w:tblPr>
        <w:tblStyle w:val="23"/>
        <w:tblW w:w="97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88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 w:hRule="atLeast"/>
          <w:jc w:val="center"/>
        </w:trPr>
        <w:tc>
          <w:tcPr>
            <w:tcW w:w="901" w:type="dxa"/>
            <w:vAlign w:val="center"/>
          </w:tcPr>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8802" w:type="dxa"/>
            <w:vAlign w:val="center"/>
          </w:tcPr>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901" w:type="dxa"/>
            <w:vMerge w:val="restart"/>
            <w:vAlign w:val="center"/>
          </w:tcPr>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资</w:t>
            </w:r>
          </w:p>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格</w:t>
            </w:r>
          </w:p>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w:t>
            </w:r>
          </w:p>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审</w:t>
            </w:r>
          </w:p>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查</w:t>
            </w:r>
          </w:p>
        </w:tc>
        <w:tc>
          <w:tcPr>
            <w:tcW w:w="8802" w:type="dxa"/>
            <w:vAlign w:val="center"/>
          </w:tcPr>
          <w:p>
            <w:pPr>
              <w:shd w:val="clear"/>
              <w:spacing w:line="360" w:lineRule="auto"/>
              <w:rPr>
                <w:rFonts w:ascii="宋体" w:hAnsi="宋体" w:cs="宋体"/>
                <w:color w:val="auto"/>
                <w:sz w:val="24"/>
                <w:szCs w:val="24"/>
                <w:highlight w:val="none"/>
              </w:rPr>
            </w:pPr>
            <w:r>
              <w:rPr>
                <w:rFonts w:hint="eastAsia" w:ascii="宋体" w:hAnsi="宋体" w:cs="宋体"/>
                <w:color w:val="auto"/>
                <w:kern w:val="0"/>
                <w:sz w:val="24"/>
                <w:szCs w:val="24"/>
                <w:highlight w:val="none"/>
              </w:rPr>
              <w:t>具有有效的营业执照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901" w:type="dxa"/>
            <w:vMerge w:val="continue"/>
            <w:vAlign w:val="center"/>
          </w:tcPr>
          <w:p>
            <w:pPr>
              <w:shd w:val="clear"/>
              <w:spacing w:line="360" w:lineRule="auto"/>
              <w:jc w:val="center"/>
              <w:rPr>
                <w:rFonts w:ascii="宋体" w:hAnsi="宋体" w:cs="宋体"/>
                <w:color w:val="auto"/>
                <w:sz w:val="24"/>
                <w:szCs w:val="24"/>
                <w:highlight w:val="none"/>
              </w:rPr>
            </w:pPr>
          </w:p>
        </w:tc>
        <w:tc>
          <w:tcPr>
            <w:tcW w:w="8802" w:type="dxa"/>
            <w:vAlign w:val="center"/>
          </w:tcPr>
          <w:p>
            <w:pPr>
              <w:shd w:val="clear"/>
              <w:spacing w:line="360" w:lineRule="auto"/>
              <w:rPr>
                <w:rFonts w:ascii="宋体" w:hAnsi="宋体" w:cs="宋体"/>
                <w:color w:val="auto"/>
                <w:sz w:val="24"/>
                <w:szCs w:val="24"/>
                <w:highlight w:val="none"/>
              </w:rPr>
            </w:pPr>
            <w:r>
              <w:rPr>
                <w:rFonts w:hint="eastAsia" w:ascii="宋体" w:hAnsi="宋体" w:cs="宋体"/>
                <w:color w:val="auto"/>
                <w:kern w:val="0"/>
                <w:sz w:val="24"/>
                <w:szCs w:val="24"/>
                <w:highlight w:val="none"/>
              </w:rPr>
              <w:t>须具有</w:t>
            </w:r>
            <w:r>
              <w:rPr>
                <w:rFonts w:hint="eastAsia" w:ascii="宋体" w:hAnsi="宋体" w:cs="宋体"/>
                <w:color w:val="auto"/>
                <w:kern w:val="0"/>
                <w:sz w:val="24"/>
                <w:szCs w:val="24"/>
                <w:highlight w:val="none"/>
                <w:lang w:eastAsia="zh-CN"/>
              </w:rPr>
              <w:t>在</w:t>
            </w:r>
            <w:r>
              <w:rPr>
                <w:rFonts w:hint="eastAsia" w:ascii="宋体" w:cs="宋体"/>
                <w:color w:val="auto"/>
                <w:sz w:val="24"/>
                <w:highlight w:val="none"/>
              </w:rPr>
              <w:t>消防部门注册备案</w:t>
            </w:r>
            <w:r>
              <w:rPr>
                <w:rFonts w:hint="eastAsia" w:ascii="宋体" w:cs="宋体"/>
                <w:color w:val="auto"/>
                <w:sz w:val="24"/>
                <w:highlight w:val="none"/>
                <w:lang w:val="en-US" w:eastAsia="zh-CN"/>
              </w:rPr>
              <w:t>相关证明材料</w:t>
            </w:r>
            <w:r>
              <w:rPr>
                <w:rFonts w:hint="eastAsia" w:ascii="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6" w:hRule="atLeast"/>
          <w:jc w:val="center"/>
        </w:trPr>
        <w:tc>
          <w:tcPr>
            <w:tcW w:w="901" w:type="dxa"/>
            <w:vMerge w:val="continue"/>
            <w:vAlign w:val="center"/>
          </w:tcPr>
          <w:p>
            <w:pPr>
              <w:shd w:val="clear"/>
              <w:spacing w:line="360" w:lineRule="auto"/>
              <w:jc w:val="center"/>
              <w:rPr>
                <w:rFonts w:ascii="宋体" w:hAnsi="宋体" w:cs="宋体"/>
                <w:color w:val="auto"/>
                <w:sz w:val="24"/>
                <w:szCs w:val="24"/>
                <w:highlight w:val="none"/>
              </w:rPr>
            </w:pPr>
          </w:p>
        </w:tc>
        <w:tc>
          <w:tcPr>
            <w:tcW w:w="8802" w:type="dxa"/>
            <w:vAlign w:val="center"/>
          </w:tcPr>
          <w:p>
            <w:pPr>
              <w:shd w:val="clear"/>
              <w:spacing w:line="360" w:lineRule="auto"/>
              <w:rPr>
                <w:rFonts w:ascii="宋体" w:hAnsi="宋体" w:cs="宋体"/>
                <w:color w:val="auto"/>
                <w:sz w:val="24"/>
                <w:szCs w:val="24"/>
                <w:highlight w:val="none"/>
                <w:lang w:val="zh-CN"/>
              </w:rPr>
            </w:pPr>
            <w:r>
              <w:rPr>
                <w:rFonts w:hint="eastAsia" w:ascii="宋体" w:hAnsi="宋体" w:cs="宋体"/>
                <w:color w:val="auto"/>
                <w:kern w:val="0"/>
                <w:sz w:val="24"/>
                <w:szCs w:val="24"/>
                <w:highlight w:val="none"/>
              </w:rPr>
              <w:t>须具备近一年财务审计报告或银行提供的资信证明（新公司从成立之日起算）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4" w:hRule="atLeast"/>
          <w:jc w:val="center"/>
        </w:trPr>
        <w:tc>
          <w:tcPr>
            <w:tcW w:w="901" w:type="dxa"/>
            <w:vMerge w:val="continue"/>
            <w:vAlign w:val="center"/>
          </w:tcPr>
          <w:p>
            <w:pPr>
              <w:shd w:val="clear"/>
              <w:spacing w:line="360" w:lineRule="auto"/>
              <w:jc w:val="center"/>
              <w:rPr>
                <w:rFonts w:ascii="宋体" w:hAnsi="宋体" w:cs="宋体"/>
                <w:color w:val="auto"/>
                <w:sz w:val="24"/>
                <w:szCs w:val="24"/>
                <w:highlight w:val="none"/>
              </w:rPr>
            </w:pPr>
          </w:p>
        </w:tc>
        <w:tc>
          <w:tcPr>
            <w:tcW w:w="8802" w:type="dxa"/>
            <w:vAlign w:val="center"/>
          </w:tcPr>
          <w:p>
            <w:pPr>
              <w:shd w:val="clea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须具有近一年任意月纳税证明（新公司从成立之日起算）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vAlign w:val="center"/>
          </w:tcPr>
          <w:p>
            <w:pPr>
              <w:shd w:val="clear"/>
              <w:spacing w:line="360" w:lineRule="auto"/>
              <w:jc w:val="center"/>
              <w:rPr>
                <w:rFonts w:ascii="宋体" w:hAnsi="宋体" w:cs="宋体"/>
                <w:color w:val="auto"/>
                <w:sz w:val="24"/>
                <w:szCs w:val="24"/>
                <w:highlight w:val="none"/>
              </w:rPr>
            </w:pPr>
          </w:p>
        </w:tc>
        <w:tc>
          <w:tcPr>
            <w:tcW w:w="8802" w:type="dxa"/>
            <w:vAlign w:val="center"/>
          </w:tcPr>
          <w:p>
            <w:pPr>
              <w:shd w:val="clea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近一年任意月法人或授权委托人人员明细的社保证明（新公司从成立之日起算）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vAlign w:val="center"/>
          </w:tcPr>
          <w:p>
            <w:pPr>
              <w:shd w:val="clear"/>
              <w:spacing w:line="360" w:lineRule="auto"/>
              <w:jc w:val="center"/>
              <w:rPr>
                <w:rFonts w:ascii="宋体" w:hAnsi="宋体" w:cs="宋体"/>
                <w:color w:val="auto"/>
                <w:sz w:val="24"/>
                <w:szCs w:val="24"/>
                <w:highlight w:val="none"/>
              </w:rPr>
            </w:pPr>
          </w:p>
        </w:tc>
        <w:tc>
          <w:tcPr>
            <w:tcW w:w="8802" w:type="dxa"/>
            <w:vAlign w:val="center"/>
          </w:tcPr>
          <w:p>
            <w:pPr>
              <w:shd w:val="clea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须具有履行合同所必须的设备和专业技术能力的承诺函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9" w:hRule="atLeast"/>
          <w:jc w:val="center"/>
        </w:trPr>
        <w:tc>
          <w:tcPr>
            <w:tcW w:w="901" w:type="dxa"/>
            <w:vMerge w:val="continue"/>
            <w:vAlign w:val="center"/>
          </w:tcPr>
          <w:p>
            <w:pPr>
              <w:shd w:val="clear"/>
              <w:spacing w:line="360" w:lineRule="auto"/>
              <w:jc w:val="center"/>
              <w:rPr>
                <w:rFonts w:ascii="宋体" w:hAnsi="宋体" w:cs="宋体"/>
                <w:color w:val="auto"/>
                <w:sz w:val="24"/>
                <w:szCs w:val="24"/>
                <w:highlight w:val="none"/>
              </w:rPr>
            </w:pPr>
          </w:p>
        </w:tc>
        <w:tc>
          <w:tcPr>
            <w:tcW w:w="8802" w:type="dxa"/>
            <w:vAlign w:val="center"/>
          </w:tcPr>
          <w:p>
            <w:pPr>
              <w:shd w:val="clea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参加政府采购活动前3年内在经营活动中没有重大违法记录的书面声明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901" w:type="dxa"/>
            <w:vMerge w:val="continue"/>
            <w:vAlign w:val="center"/>
          </w:tcPr>
          <w:p>
            <w:pPr>
              <w:shd w:val="clear"/>
              <w:spacing w:line="360" w:lineRule="auto"/>
              <w:jc w:val="center"/>
              <w:rPr>
                <w:rFonts w:ascii="宋体" w:hAnsi="宋体" w:cs="宋体"/>
                <w:color w:val="auto"/>
                <w:sz w:val="24"/>
                <w:szCs w:val="24"/>
                <w:highlight w:val="none"/>
              </w:rPr>
            </w:pPr>
          </w:p>
        </w:tc>
        <w:tc>
          <w:tcPr>
            <w:tcW w:w="8802" w:type="dxa"/>
            <w:vAlign w:val="center"/>
          </w:tcPr>
          <w:p>
            <w:pPr>
              <w:pStyle w:val="30"/>
              <w:shd w:val="clear"/>
              <w:spacing w:line="360" w:lineRule="auto"/>
              <w:jc w:val="both"/>
              <w:rPr>
                <w:rFonts w:ascii="宋体" w:hAnsi="宋体" w:cs="宋体"/>
                <w:color w:val="auto"/>
                <w:highlight w:val="none"/>
              </w:rPr>
            </w:pPr>
            <w:r>
              <w:rPr>
                <w:rFonts w:hint="eastAsia" w:ascii="宋体" w:hAnsi="宋体" w:cs="宋体"/>
                <w:color w:val="auto"/>
                <w:highlight w:val="none"/>
              </w:rPr>
              <w:t>缴纳投标保证金凭证。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90" w:hRule="atLeast"/>
          <w:jc w:val="center"/>
        </w:trPr>
        <w:tc>
          <w:tcPr>
            <w:tcW w:w="901" w:type="dxa"/>
            <w:vMerge w:val="continue"/>
            <w:vAlign w:val="center"/>
          </w:tcPr>
          <w:p>
            <w:pPr>
              <w:shd w:val="clear"/>
              <w:spacing w:line="360" w:lineRule="auto"/>
              <w:jc w:val="center"/>
              <w:rPr>
                <w:rFonts w:ascii="宋体" w:hAnsi="宋体" w:cs="宋体"/>
                <w:color w:val="auto"/>
                <w:sz w:val="24"/>
                <w:szCs w:val="24"/>
                <w:highlight w:val="none"/>
              </w:rPr>
            </w:pPr>
          </w:p>
        </w:tc>
        <w:tc>
          <w:tcPr>
            <w:tcW w:w="8802" w:type="dxa"/>
            <w:vAlign w:val="center"/>
          </w:tcPr>
          <w:p>
            <w:pPr>
              <w:shd w:val="clear"/>
              <w:spacing w:line="360" w:lineRule="auto"/>
              <w:rPr>
                <w:rFonts w:ascii="宋体" w:hAnsi="宋体" w:cs="宋体"/>
                <w:color w:val="auto"/>
                <w:kern w:val="0"/>
                <w:sz w:val="24"/>
                <w:szCs w:val="24"/>
                <w:highlight w:val="none"/>
              </w:rPr>
            </w:pPr>
            <w:r>
              <w:rPr>
                <w:rFonts w:hint="eastAsia" w:ascii="宋体" w:hAnsi="宋体" w:cs="宋体"/>
                <w:color w:val="auto"/>
                <w:sz w:val="24"/>
                <w:highlight w:val="none"/>
              </w:rPr>
              <w:t>凡拟参加本次招标项目的供应商，如在“信用中国”网站（www.creditchina.gov.cn）和中国政府采购网（www.ccgp.gov.cn）被列入失信被执行人、税收违法黑名单、政府采购严重违法失信行为记录名单的（尚在处罚期内的），将拒绝其参加本次采购活动</w:t>
            </w:r>
            <w:r>
              <w:rPr>
                <w:rFonts w:hint="eastAsia"/>
                <w:color w:val="auto"/>
                <w:sz w:val="24"/>
                <w:szCs w:val="24"/>
                <w:highlight w:val="none"/>
              </w:rPr>
              <w:t>（网页打印件须自招标文件发布之日起至首次提交投标文件截止时间内从上述网站中打印）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9" w:hRule="atLeast"/>
          <w:jc w:val="center"/>
        </w:trPr>
        <w:tc>
          <w:tcPr>
            <w:tcW w:w="901" w:type="dxa"/>
            <w:vMerge w:val="continue"/>
            <w:vAlign w:val="center"/>
          </w:tcPr>
          <w:p>
            <w:pPr>
              <w:shd w:val="clear"/>
              <w:spacing w:line="360" w:lineRule="auto"/>
              <w:jc w:val="center"/>
              <w:rPr>
                <w:rFonts w:ascii="宋体" w:hAnsi="宋体" w:cs="宋体"/>
                <w:color w:val="auto"/>
                <w:sz w:val="24"/>
                <w:szCs w:val="24"/>
                <w:highlight w:val="none"/>
              </w:rPr>
            </w:pPr>
          </w:p>
        </w:tc>
        <w:tc>
          <w:tcPr>
            <w:tcW w:w="8802" w:type="dxa"/>
            <w:vAlign w:val="center"/>
          </w:tcPr>
          <w:p>
            <w:pPr>
              <w:shd w:val="clear"/>
              <w:spacing w:line="360" w:lineRule="auto"/>
              <w:rPr>
                <w:rFonts w:ascii="宋体" w:hAnsi="宋体" w:cs="宋体"/>
                <w:color w:val="auto"/>
                <w:kern w:val="0"/>
                <w:sz w:val="24"/>
                <w:szCs w:val="24"/>
                <w:highlight w:val="none"/>
              </w:rPr>
            </w:pPr>
            <w:r>
              <w:rPr>
                <w:rFonts w:hint="eastAsia"/>
                <w:color w:val="auto"/>
                <w:sz w:val="24"/>
                <w:szCs w:val="24"/>
                <w:highlight w:val="none"/>
              </w:rPr>
              <w:t>投标单位须为中小企业，提供</w:t>
            </w:r>
            <w:r>
              <w:rPr>
                <w:color w:val="auto"/>
                <w:sz w:val="24"/>
                <w:szCs w:val="24"/>
                <w:highlight w:val="none"/>
              </w:rPr>
              <w:t>《</w:t>
            </w:r>
            <w:r>
              <w:rPr>
                <w:rFonts w:hint="eastAsia"/>
                <w:color w:val="auto"/>
                <w:sz w:val="24"/>
                <w:szCs w:val="24"/>
                <w:highlight w:val="none"/>
              </w:rPr>
              <w:t>中小企业声明函</w:t>
            </w:r>
            <w:r>
              <w:rPr>
                <w:color w:val="auto"/>
                <w:sz w:val="24"/>
                <w:szCs w:val="24"/>
                <w:highlight w:val="none"/>
              </w:rPr>
              <w:t>》</w:t>
            </w:r>
            <w:r>
              <w:rPr>
                <w:rFonts w:hint="eastAsia"/>
                <w:color w:val="auto"/>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restart"/>
            <w:vAlign w:val="center"/>
          </w:tcPr>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符</w:t>
            </w:r>
          </w:p>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合</w:t>
            </w:r>
          </w:p>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w:t>
            </w:r>
          </w:p>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审</w:t>
            </w:r>
          </w:p>
          <w:p>
            <w:pPr>
              <w:shd w:val="clea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查</w:t>
            </w:r>
          </w:p>
        </w:tc>
        <w:tc>
          <w:tcPr>
            <w:tcW w:w="8802" w:type="dxa"/>
            <w:vAlign w:val="center"/>
          </w:tcPr>
          <w:p>
            <w:pPr>
              <w:widowControl/>
              <w:shd w:val="clear"/>
              <w:jc w:val="left"/>
              <w:textAlignment w:val="center"/>
              <w:rPr>
                <w:rFonts w:ascii="宋体" w:hAnsi="宋体" w:cs="宋体"/>
                <w:color w:val="auto"/>
                <w:sz w:val="24"/>
                <w:szCs w:val="24"/>
                <w:highlight w:val="none"/>
                <w:lang w:val="zh-CN"/>
              </w:rPr>
            </w:pPr>
            <w:r>
              <w:rPr>
                <w:rFonts w:hint="eastAsia" w:ascii="宋体" w:hAnsi="宋体" w:cs="宋体"/>
                <w:color w:val="auto"/>
                <w:sz w:val="24"/>
                <w:highlight w:val="none"/>
              </w:rPr>
              <w:t>投标人名称是否与营业执照一致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vAlign w:val="center"/>
          </w:tcPr>
          <w:p>
            <w:pPr>
              <w:shd w:val="clear"/>
              <w:spacing w:line="360" w:lineRule="auto"/>
              <w:jc w:val="center"/>
              <w:rPr>
                <w:rFonts w:ascii="宋体" w:hAnsi="宋体" w:cs="宋体"/>
                <w:color w:val="auto"/>
                <w:sz w:val="24"/>
                <w:szCs w:val="24"/>
                <w:highlight w:val="none"/>
              </w:rPr>
            </w:pPr>
          </w:p>
        </w:tc>
        <w:tc>
          <w:tcPr>
            <w:tcW w:w="8802" w:type="dxa"/>
            <w:vAlign w:val="center"/>
          </w:tcPr>
          <w:p>
            <w:pPr>
              <w:widowControl/>
              <w:shd w:val="clear"/>
              <w:jc w:val="left"/>
              <w:textAlignment w:val="center"/>
              <w:rPr>
                <w:rFonts w:ascii="宋体" w:hAnsi="宋体" w:cs="宋体"/>
                <w:color w:val="auto"/>
                <w:sz w:val="24"/>
                <w:szCs w:val="24"/>
                <w:highlight w:val="none"/>
                <w:lang w:val="zh-CN"/>
              </w:rPr>
            </w:pPr>
            <w:r>
              <w:rPr>
                <w:rFonts w:hint="eastAsia" w:ascii="宋体" w:hAnsi="宋体" w:cs="宋体"/>
                <w:color w:val="auto"/>
                <w:sz w:val="24"/>
                <w:highlight w:val="none"/>
              </w:rPr>
              <w:t>符合招标文件要求，投标有效期</w:t>
            </w:r>
            <w:r>
              <w:rPr>
                <w:rFonts w:hint="eastAsia" w:ascii="宋体" w:hAnsi="宋体" w:cs="宋体"/>
                <w:b/>
                <w:bCs/>
                <w:color w:val="auto"/>
                <w:sz w:val="24"/>
                <w:highlight w:val="none"/>
              </w:rPr>
              <w:t>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vAlign w:val="center"/>
          </w:tcPr>
          <w:p>
            <w:pPr>
              <w:shd w:val="clear"/>
              <w:spacing w:line="360" w:lineRule="auto"/>
              <w:jc w:val="center"/>
              <w:rPr>
                <w:rFonts w:ascii="宋体" w:hAnsi="宋体" w:cs="宋体"/>
                <w:color w:val="auto"/>
                <w:sz w:val="24"/>
                <w:szCs w:val="24"/>
                <w:highlight w:val="none"/>
              </w:rPr>
            </w:pPr>
          </w:p>
        </w:tc>
        <w:tc>
          <w:tcPr>
            <w:tcW w:w="8802" w:type="dxa"/>
            <w:vAlign w:val="center"/>
          </w:tcPr>
          <w:p>
            <w:pPr>
              <w:widowControl/>
              <w:shd w:val="clear"/>
              <w:jc w:val="left"/>
              <w:textAlignment w:val="center"/>
              <w:rPr>
                <w:rFonts w:ascii="宋体" w:hAnsi="宋体" w:cs="宋体"/>
                <w:color w:val="auto"/>
                <w:sz w:val="24"/>
                <w:szCs w:val="24"/>
                <w:highlight w:val="none"/>
                <w:lang w:val="zh-CN"/>
              </w:rPr>
            </w:pPr>
            <w:r>
              <w:rPr>
                <w:rFonts w:hint="eastAsia" w:ascii="宋体" w:hAnsi="宋体" w:cs="宋体"/>
                <w:color w:val="auto"/>
                <w:sz w:val="24"/>
                <w:highlight w:val="none"/>
              </w:rPr>
              <w:t>投标文件是否按照招标文件要求编写、加密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vAlign w:val="center"/>
          </w:tcPr>
          <w:p>
            <w:pPr>
              <w:shd w:val="clear"/>
              <w:spacing w:line="360" w:lineRule="auto"/>
              <w:jc w:val="center"/>
              <w:rPr>
                <w:rFonts w:ascii="宋体" w:hAnsi="宋体" w:cs="宋体"/>
                <w:color w:val="auto"/>
                <w:sz w:val="24"/>
                <w:szCs w:val="24"/>
                <w:highlight w:val="none"/>
              </w:rPr>
            </w:pPr>
          </w:p>
        </w:tc>
        <w:tc>
          <w:tcPr>
            <w:tcW w:w="8802" w:type="dxa"/>
            <w:vAlign w:val="center"/>
          </w:tcPr>
          <w:p>
            <w:pPr>
              <w:widowControl/>
              <w:shd w:val="clear"/>
              <w:jc w:val="left"/>
              <w:textAlignment w:val="center"/>
              <w:rPr>
                <w:rFonts w:ascii="宋体" w:hAnsi="宋体" w:cs="宋体"/>
                <w:color w:val="auto"/>
                <w:sz w:val="24"/>
                <w:highlight w:val="none"/>
              </w:rPr>
            </w:pPr>
            <w:r>
              <w:rPr>
                <w:rFonts w:hint="eastAsia" w:ascii="宋体" w:hAnsi="宋体" w:cs="宋体"/>
                <w:color w:val="auto"/>
                <w:sz w:val="24"/>
                <w:highlight w:val="none"/>
              </w:rPr>
              <w:t>投标文件是否附有招标人不能接受的条件；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vAlign w:val="center"/>
          </w:tcPr>
          <w:p>
            <w:pPr>
              <w:shd w:val="clear"/>
              <w:spacing w:line="360" w:lineRule="auto"/>
              <w:jc w:val="center"/>
              <w:rPr>
                <w:rFonts w:ascii="宋体" w:hAnsi="宋体" w:cs="宋体"/>
                <w:color w:val="auto"/>
                <w:sz w:val="24"/>
                <w:szCs w:val="24"/>
                <w:highlight w:val="none"/>
              </w:rPr>
            </w:pPr>
          </w:p>
        </w:tc>
        <w:tc>
          <w:tcPr>
            <w:tcW w:w="8802" w:type="dxa"/>
            <w:vAlign w:val="center"/>
          </w:tcPr>
          <w:p>
            <w:pPr>
              <w:widowControl/>
              <w:shd w:val="clear"/>
              <w:jc w:val="left"/>
              <w:textAlignment w:val="center"/>
              <w:rPr>
                <w:rFonts w:ascii="宋体" w:hAnsi="宋体" w:cs="宋体"/>
                <w:color w:val="auto"/>
                <w:sz w:val="24"/>
                <w:highlight w:val="none"/>
              </w:rPr>
            </w:pPr>
            <w:r>
              <w:rPr>
                <w:rFonts w:hint="eastAsia" w:ascii="宋体" w:hAnsi="宋体" w:cs="宋体"/>
                <w:color w:val="auto"/>
                <w:sz w:val="24"/>
                <w:highlight w:val="none"/>
              </w:rPr>
              <w:t>投标人是否有违反招标投标纪律的。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vAlign w:val="center"/>
          </w:tcPr>
          <w:p>
            <w:pPr>
              <w:shd w:val="clear"/>
              <w:spacing w:line="360" w:lineRule="auto"/>
              <w:jc w:val="center"/>
              <w:rPr>
                <w:rFonts w:ascii="宋体" w:hAnsi="宋体" w:cs="宋体"/>
                <w:color w:val="auto"/>
                <w:sz w:val="24"/>
                <w:szCs w:val="24"/>
                <w:highlight w:val="none"/>
              </w:rPr>
            </w:pPr>
          </w:p>
        </w:tc>
        <w:tc>
          <w:tcPr>
            <w:tcW w:w="8802" w:type="dxa"/>
            <w:vAlign w:val="center"/>
          </w:tcPr>
          <w:p>
            <w:pPr>
              <w:widowControl/>
              <w:shd w:val="clear"/>
              <w:jc w:val="left"/>
              <w:textAlignment w:val="center"/>
              <w:rPr>
                <w:rFonts w:ascii="宋体" w:hAnsi="宋体" w:cs="宋体"/>
                <w:color w:val="auto"/>
                <w:sz w:val="24"/>
                <w:highlight w:val="none"/>
              </w:rPr>
            </w:pPr>
            <w:r>
              <w:rPr>
                <w:rFonts w:hint="eastAsia" w:ascii="宋体" w:hAnsi="宋体" w:cs="宋体"/>
                <w:color w:val="auto"/>
                <w:kern w:val="0"/>
                <w:sz w:val="24"/>
                <w:highlight w:val="none"/>
              </w:rPr>
              <w:t>未有明显不符合技术规格和技术标准（技术规格、合同条款有偏离情况的）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vAlign w:val="center"/>
          </w:tcPr>
          <w:p>
            <w:pPr>
              <w:shd w:val="clear"/>
              <w:spacing w:line="360" w:lineRule="auto"/>
              <w:jc w:val="center"/>
              <w:rPr>
                <w:rFonts w:ascii="宋体" w:hAnsi="宋体" w:cs="宋体"/>
                <w:color w:val="auto"/>
                <w:sz w:val="24"/>
                <w:szCs w:val="24"/>
                <w:highlight w:val="none"/>
              </w:rPr>
            </w:pPr>
          </w:p>
        </w:tc>
        <w:tc>
          <w:tcPr>
            <w:tcW w:w="8802" w:type="dxa"/>
            <w:vAlign w:val="center"/>
          </w:tcPr>
          <w:p>
            <w:pPr>
              <w:widowControl/>
              <w:shd w:val="clear"/>
              <w:jc w:val="left"/>
              <w:textAlignment w:val="center"/>
              <w:rPr>
                <w:rFonts w:ascii="宋体" w:hAnsi="宋体" w:cs="宋体"/>
                <w:color w:val="auto"/>
                <w:kern w:val="0"/>
                <w:sz w:val="24"/>
                <w:highlight w:val="none"/>
              </w:rPr>
            </w:pPr>
            <w:r>
              <w:rPr>
                <w:rFonts w:hint="eastAsia" w:ascii="宋体" w:hAnsi="宋体" w:cs="宋体"/>
                <w:color w:val="auto"/>
                <w:kern w:val="0"/>
                <w:sz w:val="24"/>
                <w:highlight w:val="none"/>
              </w:rPr>
              <w:t>是否符合竞争性磋商文件中规定的其他实质性要求；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8" w:hRule="atLeast"/>
          <w:jc w:val="center"/>
        </w:trPr>
        <w:tc>
          <w:tcPr>
            <w:tcW w:w="901" w:type="dxa"/>
            <w:vMerge w:val="continue"/>
            <w:vAlign w:val="center"/>
          </w:tcPr>
          <w:p>
            <w:pPr>
              <w:shd w:val="clear"/>
              <w:spacing w:line="360" w:lineRule="auto"/>
              <w:jc w:val="center"/>
              <w:rPr>
                <w:rFonts w:ascii="宋体" w:hAnsi="宋体" w:cs="宋体"/>
                <w:color w:val="auto"/>
                <w:sz w:val="24"/>
                <w:szCs w:val="24"/>
                <w:highlight w:val="none"/>
              </w:rPr>
            </w:pPr>
          </w:p>
        </w:tc>
        <w:tc>
          <w:tcPr>
            <w:tcW w:w="8802" w:type="dxa"/>
            <w:vAlign w:val="center"/>
          </w:tcPr>
          <w:p>
            <w:pPr>
              <w:widowControl/>
              <w:shd w:val="clear"/>
              <w:jc w:val="left"/>
              <w:textAlignment w:val="center"/>
              <w:rPr>
                <w:rFonts w:ascii="宋体" w:hAnsi="宋体" w:cs="宋体"/>
                <w:color w:val="auto"/>
                <w:kern w:val="0"/>
                <w:sz w:val="24"/>
                <w:highlight w:val="none"/>
              </w:rPr>
            </w:pPr>
            <w:r>
              <w:rPr>
                <w:rFonts w:hint="eastAsia" w:ascii="宋体" w:hAnsi="宋体" w:cs="宋体"/>
                <w:color w:val="auto"/>
                <w:kern w:val="0"/>
                <w:sz w:val="24"/>
                <w:highlight w:val="none"/>
              </w:rPr>
              <w:t>商务条款未有偏离情况的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901" w:type="dxa"/>
            <w:vMerge w:val="continue"/>
            <w:vAlign w:val="center"/>
          </w:tcPr>
          <w:p>
            <w:pPr>
              <w:shd w:val="clear"/>
              <w:spacing w:line="360" w:lineRule="auto"/>
              <w:jc w:val="center"/>
              <w:rPr>
                <w:rFonts w:ascii="宋体" w:hAnsi="宋体" w:cs="宋体"/>
                <w:color w:val="auto"/>
                <w:sz w:val="24"/>
                <w:szCs w:val="24"/>
                <w:highlight w:val="none"/>
              </w:rPr>
            </w:pPr>
          </w:p>
        </w:tc>
        <w:tc>
          <w:tcPr>
            <w:tcW w:w="8802" w:type="dxa"/>
            <w:vAlign w:val="center"/>
          </w:tcPr>
          <w:p>
            <w:pPr>
              <w:widowControl/>
              <w:shd w:val="clear"/>
              <w:jc w:val="left"/>
              <w:textAlignment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投标报价是否超过单项控制价及总价</w:t>
            </w:r>
          </w:p>
        </w:tc>
      </w:tr>
    </w:tbl>
    <w:p>
      <w:pPr>
        <w:pStyle w:val="2"/>
        <w:shd w:val="clear"/>
        <w:rPr>
          <w:rFonts w:ascii="宋体" w:hAnsi="宋体" w:cs="宋体"/>
          <w:color w:val="auto"/>
          <w:kern w:val="0"/>
          <w:sz w:val="24"/>
          <w:szCs w:val="24"/>
          <w:highlight w:val="none"/>
        </w:rPr>
      </w:pPr>
    </w:p>
    <w:p>
      <w:pPr>
        <w:pStyle w:val="2"/>
        <w:shd w:val="clear"/>
        <w:rPr>
          <w:rFonts w:ascii="宋体" w:hAnsi="宋体" w:cs="宋体"/>
          <w:color w:val="auto"/>
          <w:kern w:val="0"/>
          <w:sz w:val="24"/>
          <w:szCs w:val="24"/>
          <w:highlight w:val="none"/>
        </w:rPr>
      </w:pPr>
    </w:p>
    <w:p>
      <w:pPr>
        <w:pStyle w:val="2"/>
        <w:shd w:val="clear"/>
        <w:rPr>
          <w:rFonts w:ascii="宋体" w:hAnsi="宋体" w:cs="宋体"/>
          <w:color w:val="auto"/>
          <w:kern w:val="0"/>
          <w:sz w:val="24"/>
          <w:szCs w:val="24"/>
          <w:highlight w:val="none"/>
        </w:rPr>
      </w:pPr>
    </w:p>
    <w:p>
      <w:pPr>
        <w:shd w:val="clea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24、评分标准</w:t>
      </w:r>
    </w:p>
    <w:tbl>
      <w:tblPr>
        <w:tblStyle w:val="24"/>
        <w:tblW w:w="10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8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962" w:type="dxa"/>
            <w:vMerge w:val="restart"/>
            <w:vAlign w:val="center"/>
          </w:tcPr>
          <w:p>
            <w:pPr>
              <w:shd w:val="clear"/>
              <w:spacing w:line="360" w:lineRule="auto"/>
              <w:rPr>
                <w:rFonts w:ascii="宋体" w:hAnsi="宋体"/>
                <w:color w:val="auto"/>
                <w:szCs w:val="28"/>
                <w:highlight w:val="none"/>
              </w:rPr>
            </w:pPr>
            <w:r>
              <w:rPr>
                <w:rFonts w:hint="eastAsia" w:ascii="宋体" w:hAnsi="宋体" w:cs="宋体"/>
                <w:color w:val="auto"/>
                <w:sz w:val="24"/>
                <w:szCs w:val="24"/>
                <w:highlight w:val="none"/>
                <w:lang w:val="zh-CN"/>
              </w:rPr>
              <w:t>商务部分（</w:t>
            </w:r>
            <w:r>
              <w:rPr>
                <w:rFonts w:hint="eastAsia" w:ascii="宋体" w:hAnsi="宋体" w:cs="宋体"/>
                <w:color w:val="auto"/>
                <w:sz w:val="24"/>
                <w:szCs w:val="24"/>
                <w:highlight w:val="none"/>
              </w:rPr>
              <w:t>20</w:t>
            </w:r>
            <w:r>
              <w:rPr>
                <w:rFonts w:hint="eastAsia" w:ascii="宋体" w:hAnsi="宋体" w:cs="宋体"/>
                <w:color w:val="auto"/>
                <w:sz w:val="24"/>
                <w:szCs w:val="24"/>
                <w:highlight w:val="none"/>
                <w:lang w:val="zh-CN"/>
              </w:rPr>
              <w:t>分）</w:t>
            </w:r>
          </w:p>
        </w:tc>
        <w:tc>
          <w:tcPr>
            <w:tcW w:w="8075" w:type="dxa"/>
          </w:tcPr>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近三年(2020年1月1日至投标截止日之前)完成同类项目业绩(须提供中标通知书、合同)每完成一项得1分,最多得5分；满分5分。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62" w:type="dxa"/>
            <w:vMerge w:val="continue"/>
            <w:vAlign w:val="center"/>
          </w:tcPr>
          <w:p>
            <w:pPr>
              <w:shd w:val="clear"/>
              <w:spacing w:line="360" w:lineRule="auto"/>
              <w:rPr>
                <w:rFonts w:ascii="宋体" w:hAnsi="宋体"/>
                <w:color w:val="auto"/>
                <w:szCs w:val="28"/>
                <w:highlight w:val="none"/>
              </w:rPr>
            </w:pPr>
          </w:p>
        </w:tc>
        <w:tc>
          <w:tcPr>
            <w:tcW w:w="8075" w:type="dxa"/>
          </w:tcPr>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项目负责人近三年(2020年1月1日至投标截止日之前)完成同类项目业绩(须提供中标通知书、合同)每完成一项得1分,最多得4分；满分4分。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962" w:type="dxa"/>
            <w:vMerge w:val="continue"/>
            <w:vAlign w:val="center"/>
          </w:tcPr>
          <w:p>
            <w:pPr>
              <w:shd w:val="clear"/>
              <w:spacing w:line="360" w:lineRule="auto"/>
              <w:rPr>
                <w:rFonts w:ascii="宋体" w:hAnsi="宋体"/>
                <w:color w:val="auto"/>
                <w:szCs w:val="28"/>
                <w:highlight w:val="none"/>
              </w:rPr>
            </w:pPr>
          </w:p>
        </w:tc>
        <w:tc>
          <w:tcPr>
            <w:tcW w:w="8075" w:type="dxa"/>
          </w:tcPr>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有明确的组织形式，项目班子人员结构合理,专业齐全,职责任务明确得5分。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2" w:type="dxa"/>
            <w:vMerge w:val="continue"/>
            <w:vAlign w:val="center"/>
          </w:tcPr>
          <w:p>
            <w:pPr>
              <w:shd w:val="clear"/>
              <w:spacing w:line="360" w:lineRule="auto"/>
              <w:rPr>
                <w:rFonts w:ascii="宋体" w:hAnsi="宋体"/>
                <w:color w:val="auto"/>
                <w:szCs w:val="28"/>
                <w:highlight w:val="none"/>
              </w:rPr>
            </w:pPr>
          </w:p>
        </w:tc>
        <w:tc>
          <w:tcPr>
            <w:tcW w:w="8075" w:type="dxa"/>
          </w:tcPr>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除项目负责人以外，其他项目班组人员具有消防专业中级消防工程师及以上职称证的，每提供一个得1分，最多得4分（须提供消防设施操作员证，身份证，不提供不得分）。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962" w:type="dxa"/>
            <w:vMerge w:val="continue"/>
            <w:vAlign w:val="center"/>
          </w:tcPr>
          <w:p>
            <w:pPr>
              <w:shd w:val="clear"/>
              <w:spacing w:line="360" w:lineRule="auto"/>
              <w:rPr>
                <w:rFonts w:ascii="宋体" w:hAnsi="宋体"/>
                <w:color w:val="auto"/>
                <w:szCs w:val="28"/>
                <w:highlight w:val="none"/>
              </w:rPr>
            </w:pPr>
          </w:p>
        </w:tc>
        <w:tc>
          <w:tcPr>
            <w:tcW w:w="8075" w:type="dxa"/>
          </w:tcPr>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投标单位未在社会消防技术服务系统(https://shhxf.119.gov.cn)中列入黑名单的加2分,(需提供截图，不提供不得分)。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962" w:type="dxa"/>
            <w:vMerge w:val="restart"/>
            <w:vAlign w:val="center"/>
          </w:tcPr>
          <w:p>
            <w:pPr>
              <w:shd w:val="clear"/>
              <w:spacing w:line="360" w:lineRule="auto"/>
              <w:rPr>
                <w:rFonts w:ascii="宋体" w:hAnsi="宋体"/>
                <w:color w:val="auto"/>
                <w:szCs w:val="28"/>
                <w:highlight w:val="none"/>
              </w:rPr>
            </w:pPr>
            <w:r>
              <w:rPr>
                <w:rFonts w:hint="eastAsia" w:ascii="宋体" w:hAnsi="宋体" w:cs="宋体"/>
                <w:color w:val="auto"/>
                <w:sz w:val="24"/>
                <w:szCs w:val="24"/>
                <w:highlight w:val="none"/>
                <w:lang w:val="zh-CN"/>
              </w:rPr>
              <w:t>技术部分（</w:t>
            </w:r>
            <w:r>
              <w:rPr>
                <w:rFonts w:hint="eastAsia" w:ascii="宋体" w:hAnsi="宋体" w:cs="宋体"/>
                <w:color w:val="auto"/>
                <w:sz w:val="24"/>
                <w:szCs w:val="24"/>
                <w:highlight w:val="none"/>
              </w:rPr>
              <w:t>50</w:t>
            </w:r>
            <w:r>
              <w:rPr>
                <w:rFonts w:hint="eastAsia" w:ascii="宋体" w:hAnsi="宋体" w:cs="宋体"/>
                <w:color w:val="auto"/>
                <w:sz w:val="24"/>
                <w:szCs w:val="24"/>
                <w:highlight w:val="none"/>
                <w:lang w:val="zh-CN"/>
              </w:rPr>
              <w:t>分）</w:t>
            </w:r>
          </w:p>
        </w:tc>
        <w:tc>
          <w:tcPr>
            <w:tcW w:w="8075" w:type="dxa"/>
          </w:tcPr>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质量保障措施合理性并满足标书要求（</w:t>
            </w:r>
            <w:r>
              <w:rPr>
                <w:rFonts w:hint="eastAsia" w:ascii="宋体" w:hAnsi="宋体" w:cs="宋体"/>
                <w:color w:val="auto"/>
                <w:sz w:val="24"/>
                <w:szCs w:val="24"/>
                <w:highlight w:val="none"/>
                <w:lang w:val="zh-CN"/>
              </w:rPr>
              <w:t>横向对比优得：</w:t>
            </w:r>
            <w:r>
              <w:rPr>
                <w:rFonts w:hint="eastAsia" w:ascii="宋体" w:hAnsi="宋体" w:cs="宋体"/>
                <w:color w:val="auto"/>
                <w:sz w:val="24"/>
                <w:szCs w:val="24"/>
                <w:highlight w:val="none"/>
              </w:rPr>
              <w:t>10分，良好得6分，一般得：3分）。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962" w:type="dxa"/>
            <w:vMerge w:val="continue"/>
            <w:vAlign w:val="center"/>
          </w:tcPr>
          <w:p>
            <w:pPr>
              <w:shd w:val="clear"/>
              <w:spacing w:line="360" w:lineRule="auto"/>
              <w:rPr>
                <w:rFonts w:ascii="宋体" w:hAnsi="宋体"/>
                <w:color w:val="auto"/>
                <w:szCs w:val="28"/>
                <w:highlight w:val="none"/>
              </w:rPr>
            </w:pPr>
          </w:p>
        </w:tc>
        <w:tc>
          <w:tcPr>
            <w:tcW w:w="8075" w:type="dxa"/>
          </w:tcPr>
          <w:p>
            <w:pPr>
              <w:shd w:val="clear"/>
              <w:spacing w:line="360" w:lineRule="auto"/>
              <w:rPr>
                <w:rFonts w:ascii="宋体" w:hAnsi="宋体" w:cs="宋体"/>
                <w:color w:val="auto"/>
                <w:sz w:val="24"/>
                <w:szCs w:val="24"/>
                <w:highlight w:val="none"/>
                <w:lang w:val="zh-CN"/>
              </w:rPr>
            </w:pPr>
            <w:r>
              <w:rPr>
                <w:rFonts w:hint="eastAsia" w:ascii="宋体" w:hAnsi="宋体" w:cs="宋体"/>
                <w:color w:val="auto"/>
                <w:sz w:val="24"/>
                <w:szCs w:val="24"/>
                <w:highlight w:val="none"/>
              </w:rPr>
              <w:t>工期措施得力,制订了计划表，满足标书要求（</w:t>
            </w:r>
            <w:r>
              <w:rPr>
                <w:rFonts w:hint="eastAsia" w:ascii="宋体" w:hAnsi="宋体" w:cs="宋体"/>
                <w:color w:val="auto"/>
                <w:sz w:val="24"/>
                <w:szCs w:val="24"/>
                <w:highlight w:val="none"/>
                <w:lang w:val="zh-CN"/>
              </w:rPr>
              <w:t>横向对比优得：</w:t>
            </w:r>
            <w:r>
              <w:rPr>
                <w:rFonts w:hint="eastAsia" w:ascii="宋体" w:hAnsi="宋体" w:cs="宋体"/>
                <w:color w:val="auto"/>
                <w:sz w:val="24"/>
                <w:szCs w:val="24"/>
                <w:highlight w:val="none"/>
              </w:rPr>
              <w:t>10分，良好得6分，一般得：3分）。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62" w:type="dxa"/>
            <w:vMerge w:val="continue"/>
            <w:vAlign w:val="center"/>
          </w:tcPr>
          <w:p>
            <w:pPr>
              <w:shd w:val="clear"/>
              <w:spacing w:line="360" w:lineRule="auto"/>
              <w:rPr>
                <w:rFonts w:ascii="宋体" w:hAnsi="宋体"/>
                <w:color w:val="auto"/>
                <w:szCs w:val="28"/>
                <w:highlight w:val="none"/>
              </w:rPr>
            </w:pPr>
          </w:p>
        </w:tc>
        <w:tc>
          <w:tcPr>
            <w:tcW w:w="8075" w:type="dxa"/>
          </w:tcPr>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安全措施全面、可行,满足标书要求（</w:t>
            </w:r>
            <w:r>
              <w:rPr>
                <w:rFonts w:hint="eastAsia" w:ascii="宋体" w:hAnsi="宋体" w:cs="宋体"/>
                <w:color w:val="auto"/>
                <w:sz w:val="24"/>
                <w:szCs w:val="24"/>
                <w:highlight w:val="none"/>
                <w:lang w:val="zh-CN"/>
              </w:rPr>
              <w:t>横向对比优得：</w:t>
            </w:r>
            <w:r>
              <w:rPr>
                <w:rFonts w:hint="eastAsia" w:ascii="宋体" w:hAnsi="宋体" w:cs="宋体"/>
                <w:color w:val="auto"/>
                <w:sz w:val="24"/>
                <w:szCs w:val="24"/>
                <w:highlight w:val="none"/>
              </w:rPr>
              <w:t>10分，良好得6分，一般得：3分）。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1962" w:type="dxa"/>
            <w:vMerge w:val="continue"/>
            <w:vAlign w:val="center"/>
          </w:tcPr>
          <w:p>
            <w:pPr>
              <w:shd w:val="clear"/>
              <w:spacing w:line="360" w:lineRule="auto"/>
              <w:rPr>
                <w:rFonts w:ascii="宋体" w:hAnsi="宋体"/>
                <w:color w:val="auto"/>
                <w:szCs w:val="28"/>
                <w:highlight w:val="none"/>
              </w:rPr>
            </w:pPr>
          </w:p>
        </w:tc>
        <w:tc>
          <w:tcPr>
            <w:tcW w:w="8075" w:type="dxa"/>
          </w:tcPr>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应急预案方案，针对此项目预制定提供合理有效的方案，全面、可行。满足标书要求（</w:t>
            </w:r>
            <w:r>
              <w:rPr>
                <w:rFonts w:hint="eastAsia" w:ascii="宋体" w:hAnsi="宋体" w:cs="宋体"/>
                <w:color w:val="auto"/>
                <w:sz w:val="24"/>
                <w:szCs w:val="24"/>
                <w:highlight w:val="none"/>
                <w:lang w:val="zh-CN"/>
              </w:rPr>
              <w:t>横向对比优得：</w:t>
            </w:r>
            <w:r>
              <w:rPr>
                <w:rFonts w:hint="eastAsia" w:ascii="宋体" w:hAnsi="宋体" w:cs="宋体"/>
                <w:color w:val="auto"/>
                <w:sz w:val="24"/>
                <w:szCs w:val="24"/>
                <w:highlight w:val="none"/>
              </w:rPr>
              <w:t>10分，良好得6分，一般得：3分）；</w:t>
            </w:r>
          </w:p>
          <w:p>
            <w:pPr>
              <w:shd w:val="clea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有应急预案方案，但不全面，不能充分辨识和评估潜在重大危险，安排不明确具体（</w:t>
            </w:r>
            <w:r>
              <w:rPr>
                <w:rFonts w:hint="eastAsia" w:ascii="宋体" w:hAnsi="宋体" w:cs="宋体"/>
                <w:color w:val="auto"/>
                <w:sz w:val="24"/>
                <w:szCs w:val="24"/>
                <w:highlight w:val="none"/>
                <w:lang w:val="zh-CN"/>
              </w:rPr>
              <w:t>横向对比优得：</w:t>
            </w:r>
            <w:r>
              <w:rPr>
                <w:rFonts w:hint="eastAsia" w:ascii="宋体" w:hAnsi="宋体" w:cs="宋体"/>
                <w:color w:val="auto"/>
                <w:sz w:val="24"/>
                <w:szCs w:val="24"/>
                <w:highlight w:val="none"/>
              </w:rPr>
              <w:t>8分，良好得5分，一般得：3分）。</w:t>
            </w:r>
          </w:p>
          <w:p>
            <w:pPr>
              <w:pStyle w:val="2"/>
              <w:shd w:val="clear"/>
              <w:rPr>
                <w:rFonts w:hint="default" w:eastAsia="宋体"/>
                <w:color w:val="auto"/>
                <w:highlight w:val="none"/>
                <w:lang w:val="en-US" w:eastAsia="zh-CN"/>
              </w:rPr>
            </w:pPr>
            <w:r>
              <w:rPr>
                <w:rFonts w:hint="eastAsia"/>
                <w:color w:val="auto"/>
                <w:highlight w:val="none"/>
                <w:lang w:val="en-US" w:eastAsia="zh-CN"/>
              </w:rPr>
              <w:t>无应急预案，不得分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62" w:type="dxa"/>
            <w:vMerge w:val="continue"/>
            <w:vAlign w:val="center"/>
          </w:tcPr>
          <w:p>
            <w:pPr>
              <w:shd w:val="clear"/>
              <w:spacing w:line="360" w:lineRule="auto"/>
              <w:rPr>
                <w:rFonts w:ascii="宋体" w:hAnsi="宋体"/>
                <w:color w:val="auto"/>
                <w:szCs w:val="28"/>
                <w:highlight w:val="none"/>
              </w:rPr>
            </w:pPr>
          </w:p>
        </w:tc>
        <w:tc>
          <w:tcPr>
            <w:tcW w:w="8075" w:type="dxa"/>
          </w:tcPr>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对招标项目的理解和设计思路，从以下三点进行阐述</w:t>
            </w:r>
          </w:p>
          <w:p>
            <w:pPr>
              <w:numPr>
                <w:ilvl w:val="0"/>
                <w:numId w:val="7"/>
              </w:numPr>
              <w:shd w:val="clear"/>
              <w:spacing w:line="360" w:lineRule="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能够根据项目情况制订合理工作方案；</w:t>
            </w:r>
          </w:p>
          <w:p>
            <w:pPr>
              <w:numPr>
                <w:ilvl w:val="0"/>
                <w:numId w:val="7"/>
              </w:numPr>
              <w:shd w:val="clear"/>
              <w:spacing w:line="360" w:lineRule="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对项目理解深入，方案有针对性思路切合本项目特点；</w:t>
            </w:r>
          </w:p>
          <w:p>
            <w:pPr>
              <w:numPr>
                <w:ilvl w:val="0"/>
                <w:numId w:val="7"/>
              </w:num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zh-CN"/>
              </w:rPr>
              <w:t>能充分考虑项目情况。</w:t>
            </w:r>
          </w:p>
          <w:p>
            <w:pPr>
              <w:pStyle w:val="19"/>
              <w:shd w:val="clear"/>
              <w:rPr>
                <w:color w:val="auto"/>
                <w:highlight w:val="none"/>
              </w:rPr>
            </w:pPr>
            <w:r>
              <w:rPr>
                <w:rFonts w:hint="eastAsia" w:ascii="宋体" w:hAnsi="宋体" w:cs="宋体"/>
                <w:color w:val="auto"/>
                <w:sz w:val="24"/>
                <w:szCs w:val="24"/>
                <w:highlight w:val="none"/>
                <w:lang w:val="zh-CN"/>
              </w:rPr>
              <w:t>（从三个方向横向对比优得：</w:t>
            </w:r>
            <w:r>
              <w:rPr>
                <w:rFonts w:hint="eastAsia" w:ascii="宋体" w:hAnsi="宋体" w:cs="宋体"/>
                <w:color w:val="auto"/>
                <w:sz w:val="24"/>
                <w:szCs w:val="24"/>
                <w:highlight w:val="none"/>
              </w:rPr>
              <w:t>10分，良好得6分，一般得：3分</w:t>
            </w:r>
            <w:r>
              <w:rPr>
                <w:rFonts w:hint="eastAsia" w:ascii="宋体" w:hAnsi="宋体" w:cs="宋体"/>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62" w:type="dxa"/>
            <w:vAlign w:val="center"/>
          </w:tcPr>
          <w:p>
            <w:pPr>
              <w:shd w:val="clear"/>
              <w:spacing w:line="360" w:lineRule="auto"/>
              <w:rPr>
                <w:rFonts w:ascii="宋体" w:hAnsi="宋体"/>
                <w:color w:val="auto"/>
                <w:szCs w:val="28"/>
                <w:highlight w:val="none"/>
              </w:rPr>
            </w:pPr>
            <w:r>
              <w:rPr>
                <w:rFonts w:hint="eastAsia" w:ascii="宋体" w:hAnsi="宋体" w:cs="宋体"/>
                <w:color w:val="auto"/>
                <w:sz w:val="24"/>
                <w:szCs w:val="24"/>
                <w:highlight w:val="none"/>
              </w:rPr>
              <w:t>投标报价（30分）</w:t>
            </w:r>
          </w:p>
        </w:tc>
        <w:tc>
          <w:tcPr>
            <w:tcW w:w="8075" w:type="dxa"/>
          </w:tcPr>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1.有效投标价：指响应文件形式、资格、响应性评审且不存在废标情形的投标报价。</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2.评标基准价的确定：满足磋商文件要求通过初步评审的且投标报价最低的作为评标基准价。</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3.投标报价得分＝（评标基准价/投标报价）×30</w:t>
            </w:r>
          </w:p>
        </w:tc>
      </w:tr>
    </w:tbl>
    <w:p>
      <w:pPr>
        <w:pStyle w:val="12"/>
        <w:shd w:val="clear"/>
        <w:snapToGrid w:val="0"/>
        <w:spacing w:line="360" w:lineRule="auto"/>
        <w:ind w:firstLine="480" w:firstLineChars="200"/>
        <w:rPr>
          <w:rFonts w:cs="宋体"/>
          <w:color w:val="auto"/>
          <w:sz w:val="24"/>
          <w:szCs w:val="24"/>
          <w:highlight w:val="none"/>
        </w:rPr>
      </w:pPr>
    </w:p>
    <w:p>
      <w:pPr>
        <w:pStyle w:val="12"/>
        <w:shd w:val="clear"/>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对于商务部分（投标报价）的评分，按以下方法进行：价格分统一采用低价优先法计算，即满足磋商文件要求且投标价格最低的投标报价为评标基准价，其价格分为满分。其他投标人的价格分统一按照上述公式计算。</w:t>
      </w:r>
    </w:p>
    <w:p>
      <w:pPr>
        <w:pStyle w:val="12"/>
        <w:shd w:val="clear"/>
        <w:snapToGrid w:val="0"/>
        <w:spacing w:line="360" w:lineRule="auto"/>
        <w:ind w:left="228" w:firstLine="480" w:firstLineChars="200"/>
        <w:rPr>
          <w:rFonts w:cs="宋体"/>
          <w:color w:val="auto"/>
          <w:sz w:val="24"/>
          <w:szCs w:val="24"/>
          <w:highlight w:val="none"/>
        </w:rPr>
      </w:pPr>
      <w:r>
        <w:rPr>
          <w:rFonts w:hint="eastAsia" w:cs="宋体"/>
          <w:color w:val="auto"/>
          <w:sz w:val="24"/>
          <w:szCs w:val="24"/>
          <w:highlight w:val="none"/>
        </w:rPr>
        <w:t>按照评标委员会成员评分结果汇总数的算术平均分计算，计算公式为：投标得分=评标委员会所有成员评分合计数/标委员会组成人员数</w:t>
      </w:r>
    </w:p>
    <w:p>
      <w:pPr>
        <w:pStyle w:val="12"/>
        <w:shd w:val="clear"/>
        <w:snapToGrid w:val="0"/>
        <w:spacing w:line="360" w:lineRule="auto"/>
        <w:rPr>
          <w:rFonts w:cs="宋体"/>
          <w:b/>
          <w:bCs/>
          <w:color w:val="auto"/>
          <w:sz w:val="24"/>
          <w:szCs w:val="24"/>
          <w:highlight w:val="none"/>
        </w:rPr>
      </w:pPr>
      <w:r>
        <w:rPr>
          <w:rFonts w:hint="eastAsia" w:cs="宋体"/>
          <w:b/>
          <w:bCs/>
          <w:color w:val="auto"/>
          <w:sz w:val="24"/>
          <w:szCs w:val="24"/>
          <w:highlight w:val="none"/>
        </w:rPr>
        <w:t>25.评标办法。本项目评标办法是综合评分法。</w:t>
      </w:r>
    </w:p>
    <w:p>
      <w:pPr>
        <w:pStyle w:val="30"/>
        <w:shd w:val="clear"/>
        <w:spacing w:line="360" w:lineRule="auto"/>
        <w:jc w:val="both"/>
        <w:rPr>
          <w:rFonts w:ascii="宋体" w:hAnsi="宋体" w:cs="宋体"/>
          <w:color w:val="auto"/>
          <w:kern w:val="2"/>
          <w:highlight w:val="none"/>
        </w:rPr>
      </w:pPr>
      <w:r>
        <w:rPr>
          <w:rFonts w:hint="eastAsia" w:ascii="宋体" w:hAnsi="宋体" w:cs="宋体"/>
          <w:b/>
          <w:bCs/>
          <w:color w:val="auto"/>
          <w:kern w:val="2"/>
          <w:highlight w:val="none"/>
        </w:rPr>
        <w:t>26.评标程序</w:t>
      </w:r>
      <w:r>
        <w:rPr>
          <w:rFonts w:hint="eastAsia" w:ascii="宋体" w:hAnsi="宋体" w:cs="宋体"/>
          <w:color w:val="auto"/>
          <w:kern w:val="2"/>
          <w:highlight w:val="none"/>
        </w:rPr>
        <w:t xml:space="preserve"> </w:t>
      </w:r>
    </w:p>
    <w:p>
      <w:pPr>
        <w:shd w:val="clear"/>
        <w:spacing w:line="360" w:lineRule="auto"/>
        <w:ind w:firstLine="560"/>
        <w:rPr>
          <w:rFonts w:ascii="宋体" w:hAnsi="宋体" w:cs="宋体"/>
          <w:color w:val="auto"/>
          <w:sz w:val="24"/>
          <w:szCs w:val="24"/>
          <w:highlight w:val="none"/>
        </w:rPr>
      </w:pPr>
      <w:r>
        <w:rPr>
          <w:rFonts w:hint="eastAsia" w:ascii="宋体" w:hAnsi="宋体" w:cs="宋体"/>
          <w:color w:val="auto"/>
          <w:sz w:val="24"/>
          <w:szCs w:val="24"/>
          <w:highlight w:val="none"/>
        </w:rPr>
        <w:t>26.1响应文件初审：投标人的资格检查。</w:t>
      </w:r>
    </w:p>
    <w:p>
      <w:pPr>
        <w:shd w:val="clear"/>
        <w:spacing w:line="360" w:lineRule="auto"/>
        <w:ind w:firstLine="560"/>
        <w:rPr>
          <w:rFonts w:ascii="宋体" w:hAnsi="宋体" w:cs="宋体"/>
          <w:color w:val="auto"/>
          <w:sz w:val="24"/>
          <w:szCs w:val="24"/>
          <w:highlight w:val="none"/>
        </w:rPr>
      </w:pPr>
      <w:r>
        <w:rPr>
          <w:rFonts w:hint="eastAsia" w:ascii="宋体" w:hAnsi="宋体" w:cs="宋体"/>
          <w:color w:val="auto"/>
          <w:sz w:val="24"/>
          <w:szCs w:val="24"/>
          <w:highlight w:val="none"/>
        </w:rPr>
        <w:t>26.2资格性检查。依据法律法规和磋商文件的规定，对响应文件中的资格证明、投标保证金等进行审查，以确定投标供应商是否具备投标资格。</w:t>
      </w:r>
    </w:p>
    <w:p>
      <w:pPr>
        <w:shd w:val="clear"/>
        <w:spacing w:line="360" w:lineRule="auto"/>
        <w:ind w:firstLine="560"/>
        <w:rPr>
          <w:rFonts w:ascii="宋体" w:hAnsi="宋体" w:cs="宋体"/>
          <w:color w:val="auto"/>
          <w:sz w:val="24"/>
          <w:szCs w:val="24"/>
          <w:highlight w:val="none"/>
        </w:rPr>
      </w:pPr>
      <w:r>
        <w:rPr>
          <w:rFonts w:hint="eastAsia" w:ascii="宋体" w:hAnsi="宋体" w:cs="宋体"/>
          <w:color w:val="auto"/>
          <w:sz w:val="24"/>
          <w:szCs w:val="24"/>
          <w:highlight w:val="none"/>
        </w:rPr>
        <w:t>26.3澄清有关问题。对响应文件中含义不明确、同类问题表述不一致或者有明显文字和计算错误的内容，评标委员会可以书面形式（应当由评标委员会专家签字）要求投标供应商作出必要的澄清、说明或者纠正。投标供应商的澄清、说明或者补正应当采用书面形式，由其授权的代表签字，并不得超出响应文件的范围或者改变响应文件的实质性内容 。</w:t>
      </w:r>
    </w:p>
    <w:p>
      <w:pPr>
        <w:shd w:val="clear"/>
        <w:spacing w:line="360" w:lineRule="auto"/>
        <w:ind w:firstLine="560"/>
        <w:rPr>
          <w:rFonts w:ascii="宋体" w:hAnsi="宋体" w:cs="宋体"/>
          <w:color w:val="auto"/>
          <w:sz w:val="24"/>
          <w:szCs w:val="24"/>
          <w:highlight w:val="none"/>
        </w:rPr>
      </w:pPr>
      <w:r>
        <w:rPr>
          <w:rFonts w:hint="eastAsia" w:ascii="宋体" w:hAnsi="宋体" w:cs="宋体"/>
          <w:color w:val="auto"/>
          <w:sz w:val="24"/>
          <w:szCs w:val="24"/>
          <w:highlight w:val="none"/>
        </w:rPr>
        <w:t>26.4与评价。按磋商文件中规定的评标方法和标准，对资格性检查和符合性检查合格的响应文件进行商务和技术评估，综合比较与评价。</w:t>
      </w:r>
    </w:p>
    <w:p>
      <w:pPr>
        <w:shd w:val="clear"/>
        <w:spacing w:line="360" w:lineRule="auto"/>
        <w:ind w:firstLine="560"/>
        <w:rPr>
          <w:rFonts w:ascii="宋体" w:hAnsi="宋体" w:cs="宋体"/>
          <w:color w:val="auto"/>
          <w:sz w:val="24"/>
          <w:szCs w:val="24"/>
          <w:highlight w:val="none"/>
        </w:rPr>
      </w:pPr>
      <w:r>
        <w:rPr>
          <w:rFonts w:hint="eastAsia" w:ascii="宋体" w:hAnsi="宋体" w:cs="宋体"/>
          <w:color w:val="auto"/>
          <w:sz w:val="24"/>
          <w:szCs w:val="24"/>
          <w:highlight w:val="none"/>
        </w:rPr>
        <w:t>26.5推荐中标候选供应商名单。中标候选供应商数量应当根据采购需要确定，但必须按顺序排列中标候选供应商。</w:t>
      </w:r>
    </w:p>
    <w:p>
      <w:pPr>
        <w:shd w:val="clear"/>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color w:val="auto"/>
          <w:sz w:val="24"/>
          <w:szCs w:val="24"/>
          <w:highlight w:val="none"/>
        </w:rPr>
        <w:t>26.6响应文件</w:t>
      </w:r>
      <w:r>
        <w:rPr>
          <w:rFonts w:hint="eastAsia" w:ascii="宋体" w:hAnsi="宋体" w:cs="宋体"/>
          <w:b/>
          <w:bCs/>
          <w:color w:val="auto"/>
          <w:sz w:val="24"/>
          <w:szCs w:val="24"/>
          <w:highlight w:val="none"/>
        </w:rPr>
        <w:t>属下列情况之一的，应</w:t>
      </w:r>
      <w:r>
        <w:rPr>
          <w:rFonts w:hint="eastAsia" w:ascii="宋体" w:hAnsi="宋体" w:cs="宋体"/>
          <w:b/>
          <w:bCs/>
          <w:color w:val="auto"/>
          <w:kern w:val="0"/>
          <w:sz w:val="24"/>
          <w:szCs w:val="24"/>
          <w:highlight w:val="none"/>
        </w:rPr>
        <w:t>当在资格性检查时按照无效投标处理：</w:t>
      </w:r>
    </w:p>
    <w:p>
      <w:pPr>
        <w:shd w:val="clea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（一）应交未交投标保证金的；</w:t>
      </w:r>
    </w:p>
    <w:p>
      <w:pPr>
        <w:shd w:val="clea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（二）未按照磋商文件规定要求密封、签署、盖章的；</w:t>
      </w:r>
    </w:p>
    <w:p>
      <w:pPr>
        <w:shd w:val="clea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（三）不具备磋商文件中规定资格要求的；</w:t>
      </w:r>
    </w:p>
    <w:p>
      <w:pPr>
        <w:shd w:val="clea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（四）不符合法律、法规和磋商文件中规定的其他实质性要求的。</w:t>
      </w:r>
    </w:p>
    <w:p>
      <w:pPr>
        <w:shd w:val="clear"/>
        <w:spacing w:line="360" w:lineRule="auto"/>
        <w:ind w:firstLine="570"/>
        <w:rPr>
          <w:rFonts w:ascii="宋体" w:hAnsi="宋体" w:cs="宋体"/>
          <w:color w:val="auto"/>
          <w:kern w:val="0"/>
          <w:sz w:val="24"/>
          <w:szCs w:val="24"/>
          <w:highlight w:val="none"/>
        </w:rPr>
      </w:pPr>
      <w:r>
        <w:rPr>
          <w:rFonts w:hint="eastAsia" w:ascii="宋体" w:hAnsi="宋体" w:cs="宋体"/>
          <w:color w:val="auto"/>
          <w:sz w:val="24"/>
          <w:szCs w:val="24"/>
          <w:highlight w:val="none"/>
        </w:rPr>
        <w:t>26.7</w:t>
      </w:r>
      <w:r>
        <w:rPr>
          <w:rFonts w:hint="eastAsia" w:ascii="宋体" w:hAnsi="宋体" w:cs="宋体"/>
          <w:b/>
          <w:bCs/>
          <w:color w:val="auto"/>
          <w:kern w:val="0"/>
          <w:sz w:val="24"/>
          <w:szCs w:val="24"/>
          <w:highlight w:val="none"/>
        </w:rPr>
        <w:t>招标采购中，出现下列规定情形之一的，招标采购单位应当予以废标，并将废标理由通知所有投标供应商。</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（一）符合专业条件的供应商或者对磋商文件作实质响应的供应商不足三家的；</w:t>
      </w:r>
    </w:p>
    <w:p>
      <w:pPr>
        <w:shd w:val="clea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（二）出现影响采购公正的违法、违规行为的；</w:t>
      </w:r>
    </w:p>
    <w:p>
      <w:pPr>
        <w:shd w:val="clea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（三）投标供应商的报价均超过了采购预算，采购人不能支付的；</w:t>
      </w:r>
    </w:p>
    <w:p>
      <w:pPr>
        <w:shd w:val="clea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（四）因重大变故，采购任务取消的。</w:t>
      </w:r>
    </w:p>
    <w:p>
      <w:pPr>
        <w:shd w:val="clea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26.8废标后，除采购任务取消情形外，招标采购单位应当重新组织招标。需要采取其他采购方式的，应当在采购活动开始前获得设区的市、自治州以上人民政府财政部门的批准。</w:t>
      </w:r>
    </w:p>
    <w:p>
      <w:pPr>
        <w:shd w:val="clear"/>
        <w:spacing w:line="360" w:lineRule="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27.定标</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27.1用综合评分法的，按评审后得分由高到低顺序排列。得分相同的，按投标报价由低到高顺序排列。得分且投标报价相同的，按技术指标优劣顺序排列。</w:t>
      </w:r>
      <w:r>
        <w:rPr>
          <w:rFonts w:hint="eastAsia" w:ascii="宋体" w:hAnsi="宋体" w:cs="宋体"/>
          <w:b/>
          <w:color w:val="auto"/>
          <w:kern w:val="0"/>
          <w:sz w:val="24"/>
          <w:szCs w:val="24"/>
          <w:highlight w:val="none"/>
        </w:rPr>
        <w:t>（最低报价不作为中标的唯一依据）</w:t>
      </w:r>
    </w:p>
    <w:p>
      <w:pPr>
        <w:shd w:val="clear"/>
        <w:spacing w:line="360" w:lineRule="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28.中标供应商的确认</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28.1 评标委员会以书面形式推荐三名中标候选人。采购人应当接受评标委员会推荐的中标候选人，不得在评标委员会推荐的中标候选人之外确定中标供应商。评标委员会无义务向投标供应商进行任何有关评标的解释工作。</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28.2 使用国有资金投资或者国家融资的项目，采购人应当确定排名第</w:t>
      </w:r>
      <w:r>
        <w:rPr>
          <w:rFonts w:hint="eastAsia" w:ascii="宋体" w:hAnsi="宋体" w:cs="宋体"/>
          <w:color w:val="auto"/>
          <w:sz w:val="24"/>
          <w:szCs w:val="24"/>
          <w:highlight w:val="none"/>
        </w:rPr>
        <w:t>一的中标候选人为中标供应商。排名第一的中标候选人放弃中标、因不可抗力提出不能履行合同，或者磋商文件规定应当提交履约保证金而在规定的期限内未能提交的，采购人可以确定排名第二的中标候选人为中标供应商。</w:t>
      </w:r>
    </w:p>
    <w:p>
      <w:pPr>
        <w:pStyle w:val="30"/>
        <w:shd w:val="clear"/>
        <w:spacing w:line="360" w:lineRule="auto"/>
        <w:ind w:firstLine="567"/>
        <w:jc w:val="both"/>
        <w:rPr>
          <w:rFonts w:ascii="宋体" w:hAnsi="宋体" w:cs="宋体"/>
          <w:color w:val="auto"/>
          <w:highlight w:val="none"/>
        </w:rPr>
      </w:pPr>
      <w:r>
        <w:rPr>
          <w:rFonts w:hint="eastAsia" w:ascii="宋体" w:hAnsi="宋体" w:cs="宋体"/>
          <w:color w:val="auto"/>
          <w:highlight w:val="none"/>
        </w:rPr>
        <w:t>排名第二的中标候选人因前款规定的同样原因不能签订合同的，采购人可以确定排名第三的中标候选人为中标供应商。</w:t>
      </w:r>
    </w:p>
    <w:p>
      <w:pPr>
        <w:pStyle w:val="30"/>
        <w:shd w:val="clear"/>
        <w:spacing w:line="360" w:lineRule="auto"/>
        <w:ind w:firstLine="567"/>
        <w:jc w:val="both"/>
        <w:rPr>
          <w:rFonts w:ascii="宋体" w:hAnsi="宋体" w:cs="宋体"/>
          <w:color w:val="auto"/>
          <w:highlight w:val="none"/>
        </w:rPr>
      </w:pPr>
      <w:r>
        <w:rPr>
          <w:rFonts w:hint="eastAsia" w:ascii="宋体" w:hAnsi="宋体" w:cs="宋体"/>
          <w:color w:val="auto"/>
          <w:highlight w:val="none"/>
        </w:rPr>
        <w:t>28.3 评标委员会提出书面评标报告后，采购人一般应当在十五日内确定中标供应商，但最迟在投标有效期结束三十个工作日前确定。</w:t>
      </w:r>
    </w:p>
    <w:p>
      <w:pPr>
        <w:pStyle w:val="30"/>
        <w:shd w:val="clear"/>
        <w:spacing w:line="360" w:lineRule="auto"/>
        <w:ind w:firstLine="567"/>
        <w:jc w:val="both"/>
        <w:rPr>
          <w:rFonts w:ascii="宋体" w:hAnsi="宋体" w:cs="宋体"/>
          <w:color w:val="auto"/>
          <w:highlight w:val="none"/>
        </w:rPr>
      </w:pPr>
      <w:r>
        <w:rPr>
          <w:rFonts w:hint="eastAsia" w:ascii="宋体" w:hAnsi="宋体" w:cs="宋体"/>
          <w:color w:val="auto"/>
          <w:highlight w:val="none"/>
        </w:rPr>
        <w:t>28.4在确定中标供应商前，招标采购单位不得与投标供应商就投标价格、投标方案等实质性内容进行商谈。</w:t>
      </w:r>
    </w:p>
    <w:p>
      <w:pPr>
        <w:shd w:val="clea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29.中标通知</w:t>
      </w:r>
    </w:p>
    <w:p>
      <w:pPr>
        <w:pStyle w:val="30"/>
        <w:shd w:val="clear"/>
        <w:spacing w:line="360" w:lineRule="auto"/>
        <w:ind w:firstLine="567"/>
        <w:jc w:val="both"/>
        <w:rPr>
          <w:rFonts w:ascii="宋体" w:hAnsi="宋体" w:cs="宋体"/>
          <w:color w:val="auto"/>
          <w:highlight w:val="none"/>
        </w:rPr>
      </w:pPr>
      <w:r>
        <w:rPr>
          <w:rFonts w:hint="eastAsia" w:ascii="宋体" w:hAnsi="宋体" w:cs="宋体"/>
          <w:color w:val="auto"/>
          <w:highlight w:val="none"/>
        </w:rPr>
        <w:t>29.1中标供应商确定后，中标结果应当在财政部门指定的政府采购信息发布媒体上公告。</w:t>
      </w:r>
    </w:p>
    <w:p>
      <w:pPr>
        <w:pStyle w:val="30"/>
        <w:shd w:val="clear"/>
        <w:spacing w:line="360" w:lineRule="auto"/>
        <w:ind w:firstLine="567"/>
        <w:jc w:val="both"/>
        <w:rPr>
          <w:rFonts w:ascii="宋体" w:hAnsi="宋体" w:cs="宋体"/>
          <w:color w:val="auto"/>
          <w:highlight w:val="none"/>
        </w:rPr>
      </w:pPr>
      <w:r>
        <w:rPr>
          <w:rFonts w:hint="eastAsia" w:ascii="宋体" w:hAnsi="宋体" w:cs="宋体"/>
          <w:color w:val="auto"/>
          <w:highlight w:val="none"/>
        </w:rPr>
        <w:t>29.2在发布公告的同时，招标代理机构应当向中标供应商发出中标通知书，中标通知书对采购人和中标供应商具有同等法律效力。</w:t>
      </w:r>
      <w:bookmarkEnd w:id="58"/>
    </w:p>
    <w:p>
      <w:pPr>
        <w:pStyle w:val="30"/>
        <w:shd w:val="clear"/>
        <w:spacing w:line="360" w:lineRule="auto"/>
        <w:ind w:firstLine="567"/>
        <w:jc w:val="both"/>
        <w:rPr>
          <w:rFonts w:ascii="宋体" w:hAnsi="宋体" w:cs="宋体"/>
          <w:color w:val="auto"/>
          <w:highlight w:val="none"/>
        </w:rPr>
      </w:pPr>
    </w:p>
    <w:p>
      <w:pPr>
        <w:pStyle w:val="30"/>
        <w:shd w:val="clear"/>
        <w:spacing w:line="360" w:lineRule="auto"/>
        <w:ind w:firstLine="567"/>
        <w:jc w:val="both"/>
        <w:rPr>
          <w:rFonts w:ascii="宋体" w:hAnsi="宋体" w:cs="宋体"/>
          <w:color w:val="auto"/>
          <w:highlight w:val="none"/>
        </w:rPr>
      </w:pPr>
    </w:p>
    <w:p>
      <w:pPr>
        <w:pStyle w:val="30"/>
        <w:shd w:val="clear"/>
        <w:spacing w:line="360" w:lineRule="auto"/>
        <w:jc w:val="center"/>
        <w:outlineLvl w:val="1"/>
        <w:rPr>
          <w:rFonts w:ascii="宋体" w:hAnsi="宋体" w:cs="宋体"/>
          <w:b/>
          <w:color w:val="auto"/>
          <w:sz w:val="40"/>
          <w:highlight w:val="none"/>
        </w:rPr>
      </w:pPr>
      <w:bookmarkStart w:id="63" w:name="_Toc20620"/>
      <w:bookmarkStart w:id="64" w:name="_Toc31246"/>
      <w:bookmarkStart w:id="65" w:name="_Toc12598"/>
      <w:bookmarkStart w:id="66" w:name="_Toc12492"/>
      <w:r>
        <w:rPr>
          <w:rFonts w:hint="eastAsia" w:ascii="宋体" w:hAnsi="宋体" w:cs="宋体"/>
          <w:b/>
          <w:color w:val="auto"/>
          <w:sz w:val="40"/>
          <w:highlight w:val="none"/>
        </w:rPr>
        <w:t>七、授予合同</w:t>
      </w:r>
      <w:bookmarkEnd w:id="63"/>
      <w:bookmarkEnd w:id="64"/>
      <w:bookmarkEnd w:id="65"/>
      <w:bookmarkEnd w:id="66"/>
    </w:p>
    <w:p>
      <w:pPr>
        <w:pStyle w:val="30"/>
        <w:shd w:val="clear"/>
        <w:spacing w:line="360" w:lineRule="auto"/>
        <w:jc w:val="both"/>
        <w:rPr>
          <w:rFonts w:ascii="宋体" w:hAnsi="宋体" w:cs="宋体"/>
          <w:b/>
          <w:bCs/>
          <w:color w:val="auto"/>
          <w:highlight w:val="none"/>
        </w:rPr>
      </w:pPr>
      <w:r>
        <w:rPr>
          <w:rFonts w:hint="eastAsia" w:ascii="宋体" w:hAnsi="宋体" w:cs="宋体"/>
          <w:b/>
          <w:bCs/>
          <w:color w:val="auto"/>
          <w:highlight w:val="none"/>
        </w:rPr>
        <w:t>30.签订商务合同</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30.1中标供应商应当在收到《中标通知书》后的7日内与采购人签订合同。</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中标通知书对采购人和中标供应商均具有法律效力。中标通知书发出后，采购人改变中标结果的，或者中标供应商放弃中标项目的，应当依法承担法律责任。</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30.2中标合同不得转让。合同分包需在响应文件中予以说明，并需经买方同意。否则，买方有权取消中标供应商的中标资格。</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30.3如中标供应商拒签合同, 采购人可从评委推荐出的中标候选人中按推荐顺序重新选定中标供应商，并组织中标供应商和买方签订商务合同，也可以重新开展政府采购活动。</w:t>
      </w:r>
    </w:p>
    <w:p>
      <w:pPr>
        <w:pStyle w:val="30"/>
        <w:shd w:val="clear"/>
        <w:spacing w:line="360" w:lineRule="auto"/>
        <w:jc w:val="both"/>
        <w:rPr>
          <w:rFonts w:ascii="宋体" w:hAnsi="宋体" w:cs="宋体"/>
          <w:color w:val="auto"/>
          <w:highlight w:val="none"/>
        </w:rPr>
      </w:pPr>
      <w:r>
        <w:rPr>
          <w:rFonts w:hint="eastAsia" w:ascii="宋体" w:hAnsi="宋体" w:cs="宋体"/>
          <w:b/>
          <w:bCs/>
          <w:color w:val="auto"/>
          <w:highlight w:val="none"/>
        </w:rPr>
        <w:t>31.商务合同的组成</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31.1  下列文件均为商务合同不可分割的组成部分：</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31.1.1  磋商文件；</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31.1.2  中标供应商的响应文件；</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31.1.3  中标通知书；</w:t>
      </w:r>
    </w:p>
    <w:p>
      <w:pPr>
        <w:pStyle w:val="30"/>
        <w:shd w:val="clea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31.1.4  投标供应商澄清、说明或补正文件。</w:t>
      </w:r>
    </w:p>
    <w:p>
      <w:pPr>
        <w:pStyle w:val="30"/>
        <w:shd w:val="clear"/>
        <w:spacing w:line="360" w:lineRule="auto"/>
        <w:ind w:firstLine="480" w:firstLineChars="200"/>
        <w:rPr>
          <w:rFonts w:hint="eastAsia" w:ascii="宋体" w:hAnsi="宋体" w:cs="宋体"/>
          <w:color w:val="auto"/>
          <w:highlight w:val="none"/>
        </w:rPr>
      </w:pPr>
    </w:p>
    <w:p>
      <w:pPr>
        <w:pStyle w:val="30"/>
        <w:shd w:val="clear"/>
        <w:spacing w:line="360" w:lineRule="auto"/>
        <w:ind w:firstLine="480" w:firstLineChars="200"/>
        <w:rPr>
          <w:rFonts w:hint="eastAsia" w:ascii="宋体" w:hAnsi="宋体" w:cs="宋体"/>
          <w:color w:val="auto"/>
          <w:highlight w:val="none"/>
        </w:rPr>
      </w:pPr>
    </w:p>
    <w:p>
      <w:pPr>
        <w:pStyle w:val="30"/>
        <w:shd w:val="clear"/>
        <w:spacing w:line="360" w:lineRule="auto"/>
        <w:ind w:firstLine="480" w:firstLineChars="200"/>
        <w:rPr>
          <w:rFonts w:hint="eastAsia" w:ascii="宋体" w:hAnsi="宋体" w:cs="宋体"/>
          <w:color w:val="auto"/>
          <w:highlight w:val="none"/>
        </w:rPr>
      </w:pPr>
    </w:p>
    <w:p>
      <w:pPr>
        <w:pStyle w:val="30"/>
        <w:shd w:val="clear"/>
        <w:spacing w:line="360" w:lineRule="auto"/>
        <w:ind w:firstLine="480" w:firstLineChars="200"/>
        <w:rPr>
          <w:rFonts w:hint="eastAsia" w:ascii="宋体" w:hAnsi="宋体" w:cs="宋体"/>
          <w:color w:val="auto"/>
          <w:highlight w:val="none"/>
        </w:rPr>
      </w:pPr>
    </w:p>
    <w:p>
      <w:pPr>
        <w:pStyle w:val="30"/>
        <w:shd w:val="clear"/>
        <w:spacing w:line="360" w:lineRule="auto"/>
        <w:ind w:firstLine="480" w:firstLineChars="200"/>
        <w:rPr>
          <w:rFonts w:hint="eastAsia" w:ascii="宋体" w:hAnsi="宋体" w:cs="宋体"/>
          <w:color w:val="auto"/>
          <w:highlight w:val="none"/>
        </w:rPr>
      </w:pPr>
    </w:p>
    <w:p>
      <w:pPr>
        <w:pStyle w:val="30"/>
        <w:shd w:val="clear"/>
        <w:spacing w:line="360" w:lineRule="auto"/>
        <w:ind w:firstLine="480" w:firstLineChars="200"/>
        <w:rPr>
          <w:rFonts w:hint="eastAsia" w:ascii="宋体" w:hAnsi="宋体" w:cs="宋体"/>
          <w:color w:val="auto"/>
          <w:highlight w:val="none"/>
        </w:rPr>
      </w:pPr>
    </w:p>
    <w:p>
      <w:pPr>
        <w:pStyle w:val="30"/>
        <w:shd w:val="clear"/>
        <w:spacing w:line="360" w:lineRule="auto"/>
        <w:ind w:firstLine="480" w:firstLineChars="200"/>
        <w:rPr>
          <w:rFonts w:hint="eastAsia" w:ascii="宋体" w:hAnsi="宋体" w:cs="宋体"/>
          <w:color w:val="auto"/>
          <w:highlight w:val="none"/>
        </w:rPr>
      </w:pPr>
    </w:p>
    <w:p>
      <w:pPr>
        <w:shd w:val="clear"/>
        <w:spacing w:before="55" w:line="221" w:lineRule="auto"/>
        <w:rPr>
          <w:rFonts w:ascii="宋体" w:hAnsi="宋体" w:eastAsia="宋体" w:cs="宋体"/>
          <w:color w:val="auto"/>
          <w:spacing w:val="-2"/>
          <w:sz w:val="28"/>
          <w:szCs w:val="28"/>
          <w:highlight w:val="none"/>
          <w14:textOutline w14:w="5105" w14:cap="sq" w14:cmpd="sng" w14:algn="ctr">
            <w14:solidFill>
              <w14:srgbClr w14:val="000000"/>
            </w14:solidFill>
            <w14:prstDash w14:val="solid"/>
            <w14:bevel/>
          </w14:textOutline>
        </w:rPr>
      </w:pPr>
    </w:p>
    <w:p>
      <w:pPr>
        <w:shd w:val="clear"/>
        <w:spacing w:before="55" w:line="221" w:lineRule="auto"/>
        <w:ind w:firstLine="6900" w:firstLineChars="2500"/>
        <w:rPr>
          <w:rFonts w:ascii="宋体" w:hAnsi="宋体" w:eastAsia="宋体" w:cs="宋体"/>
          <w:color w:val="auto"/>
          <w:spacing w:val="-1"/>
          <w:sz w:val="28"/>
          <w:szCs w:val="28"/>
          <w:highlight w:val="none"/>
          <w14:textOutline w14:w="5105" w14:cap="sq" w14:cmpd="sng" w14:algn="ctr">
            <w14:solidFill>
              <w14:srgbClr w14:val="000000"/>
            </w14:solidFill>
            <w14:prstDash w14:val="solid"/>
            <w14:bevel/>
          </w14:textOutline>
        </w:rPr>
      </w:pPr>
      <w:r>
        <w:rPr>
          <w:rFonts w:ascii="宋体" w:hAnsi="宋体" w:eastAsia="宋体" w:cs="宋体"/>
          <w:color w:val="auto"/>
          <w:spacing w:val="-2"/>
          <w:sz w:val="28"/>
          <w:szCs w:val="28"/>
          <w:highlight w:val="none"/>
          <w14:textOutline w14:w="5105" w14:cap="sq" w14:cmpd="sng" w14:algn="ctr">
            <w14:solidFill>
              <w14:srgbClr w14:val="000000"/>
            </w14:solidFill>
            <w14:prstDash w14:val="solid"/>
            <w14:bevel/>
          </w14:textOutline>
        </w:rPr>
        <w:t>合同编号</w:t>
      </w:r>
      <w:r>
        <w:rPr>
          <w:rFonts w:ascii="宋体" w:hAnsi="宋体" w:eastAsia="宋体" w:cs="宋体"/>
          <w:color w:val="auto"/>
          <w:spacing w:val="-1"/>
          <w:sz w:val="28"/>
          <w:szCs w:val="28"/>
          <w:highlight w:val="none"/>
          <w14:textOutline w14:w="5105" w14:cap="sq" w14:cmpd="sng" w14:algn="ctr">
            <w14:solidFill>
              <w14:srgbClr w14:val="000000"/>
            </w14:solidFill>
            <w14:prstDash w14:val="solid"/>
            <w14:bevel/>
          </w14:textOutline>
        </w:rPr>
        <w:t>：</w:t>
      </w:r>
    </w:p>
    <w:p>
      <w:pPr>
        <w:pStyle w:val="19"/>
        <w:shd w:val="clear"/>
        <w:rPr>
          <w:color w:val="auto"/>
          <w:highlight w:val="none"/>
        </w:rPr>
      </w:pPr>
    </w:p>
    <w:p>
      <w:pPr>
        <w:shd w:val="clear"/>
        <w:spacing w:line="250" w:lineRule="auto"/>
        <w:rPr>
          <w:color w:val="auto"/>
          <w:highlight w:val="none"/>
        </w:rPr>
      </w:pPr>
    </w:p>
    <w:p>
      <w:pPr>
        <w:shd w:val="clear"/>
        <w:spacing w:line="250" w:lineRule="auto"/>
        <w:rPr>
          <w:color w:val="auto"/>
          <w:highlight w:val="none"/>
        </w:rPr>
      </w:pPr>
    </w:p>
    <w:p>
      <w:pPr>
        <w:shd w:val="clear"/>
        <w:spacing w:line="250" w:lineRule="auto"/>
        <w:rPr>
          <w:color w:val="auto"/>
          <w:highlight w:val="none"/>
        </w:rPr>
      </w:pPr>
    </w:p>
    <w:p>
      <w:pPr>
        <w:shd w:val="clear"/>
        <w:spacing w:line="250" w:lineRule="auto"/>
        <w:rPr>
          <w:color w:val="auto"/>
          <w:highlight w:val="none"/>
        </w:rPr>
      </w:pPr>
    </w:p>
    <w:p>
      <w:pPr>
        <w:shd w:val="clear"/>
        <w:spacing w:line="250" w:lineRule="auto"/>
        <w:rPr>
          <w:color w:val="auto"/>
          <w:highlight w:val="none"/>
        </w:rPr>
      </w:pPr>
    </w:p>
    <w:p>
      <w:pPr>
        <w:shd w:val="clear"/>
        <w:spacing w:line="250" w:lineRule="auto"/>
        <w:rPr>
          <w:color w:val="auto"/>
          <w:highlight w:val="none"/>
        </w:rPr>
      </w:pPr>
    </w:p>
    <w:p>
      <w:pPr>
        <w:shd w:val="clear"/>
        <w:spacing w:line="251" w:lineRule="auto"/>
        <w:rPr>
          <w:color w:val="auto"/>
          <w:highlight w:val="none"/>
        </w:rPr>
      </w:pPr>
    </w:p>
    <w:p>
      <w:pPr>
        <w:shd w:val="clear"/>
        <w:spacing w:line="251" w:lineRule="auto"/>
        <w:rPr>
          <w:color w:val="auto"/>
          <w:highlight w:val="none"/>
        </w:rPr>
      </w:pPr>
    </w:p>
    <w:p>
      <w:pPr>
        <w:shd w:val="clear"/>
        <w:spacing w:before="192" w:line="224" w:lineRule="auto"/>
        <w:ind w:left="642"/>
        <w:jc w:val="center"/>
        <w:rPr>
          <w:rFonts w:ascii="黑体" w:hAnsi="黑体" w:eastAsia="黑体" w:cs="黑体"/>
          <w:color w:val="auto"/>
          <w:sz w:val="48"/>
          <w:szCs w:val="48"/>
          <w:highlight w:val="none"/>
        </w:rPr>
      </w:pPr>
      <w:r>
        <w:rPr>
          <w:rFonts w:ascii="黑体" w:hAnsi="黑体" w:eastAsia="黑体" w:cs="黑体"/>
          <w:color w:val="auto"/>
          <w:spacing w:val="14"/>
          <w:sz w:val="48"/>
          <w:szCs w:val="48"/>
          <w:highlight w:val="none"/>
        </w:rPr>
        <w:t>新</w:t>
      </w:r>
      <w:r>
        <w:rPr>
          <w:rFonts w:ascii="黑体" w:hAnsi="黑体" w:eastAsia="黑体" w:cs="黑体"/>
          <w:color w:val="auto"/>
          <w:spacing w:val="8"/>
          <w:sz w:val="48"/>
          <w:szCs w:val="48"/>
          <w:highlight w:val="none"/>
        </w:rPr>
        <w:t>疆建筑消防设施维护保养合同</w:t>
      </w:r>
    </w:p>
    <w:p>
      <w:pPr>
        <w:shd w:val="clear"/>
        <w:spacing w:line="262" w:lineRule="auto"/>
        <w:rPr>
          <w:color w:val="auto"/>
          <w:highlight w:val="none"/>
        </w:rPr>
      </w:pPr>
    </w:p>
    <w:p>
      <w:pPr>
        <w:shd w:val="clear"/>
        <w:spacing w:line="263" w:lineRule="auto"/>
        <w:rPr>
          <w:color w:val="auto"/>
          <w:highlight w:val="none"/>
        </w:rPr>
      </w:pPr>
    </w:p>
    <w:p>
      <w:pPr>
        <w:shd w:val="clear"/>
        <w:spacing w:line="263" w:lineRule="auto"/>
        <w:rPr>
          <w:color w:val="auto"/>
          <w:highlight w:val="none"/>
        </w:rPr>
      </w:pPr>
    </w:p>
    <w:p>
      <w:pPr>
        <w:shd w:val="clear"/>
        <w:spacing w:line="263" w:lineRule="auto"/>
        <w:rPr>
          <w:color w:val="auto"/>
          <w:highlight w:val="none"/>
        </w:rPr>
      </w:pPr>
    </w:p>
    <w:p>
      <w:pPr>
        <w:shd w:val="clear"/>
        <w:spacing w:line="263" w:lineRule="auto"/>
        <w:rPr>
          <w:color w:val="auto"/>
          <w:highlight w:val="none"/>
        </w:rPr>
      </w:pPr>
    </w:p>
    <w:p>
      <w:pPr>
        <w:shd w:val="clear"/>
        <w:spacing w:line="263" w:lineRule="auto"/>
        <w:rPr>
          <w:color w:val="auto"/>
          <w:highlight w:val="none"/>
        </w:rPr>
      </w:pPr>
    </w:p>
    <w:p>
      <w:pPr>
        <w:shd w:val="clear"/>
        <w:spacing w:line="263" w:lineRule="auto"/>
        <w:rPr>
          <w:color w:val="auto"/>
          <w:highlight w:val="none"/>
        </w:rPr>
      </w:pPr>
    </w:p>
    <w:p>
      <w:pPr>
        <w:shd w:val="clear"/>
        <w:spacing w:line="263" w:lineRule="auto"/>
        <w:rPr>
          <w:color w:val="auto"/>
          <w:highlight w:val="none"/>
        </w:rPr>
      </w:pPr>
    </w:p>
    <w:p>
      <w:pPr>
        <w:shd w:val="clear"/>
        <w:spacing w:line="263" w:lineRule="auto"/>
        <w:rPr>
          <w:color w:val="auto"/>
          <w:highlight w:val="none"/>
        </w:rPr>
      </w:pPr>
    </w:p>
    <w:p>
      <w:pPr>
        <w:shd w:val="clear"/>
        <w:spacing w:before="101" w:line="225" w:lineRule="auto"/>
        <w:ind w:left="737"/>
        <w:outlineLvl w:val="0"/>
        <w:rPr>
          <w:rFonts w:ascii="宋体" w:hAnsi="宋体" w:eastAsia="宋体" w:cs="宋体"/>
          <w:color w:val="auto"/>
          <w:sz w:val="31"/>
          <w:szCs w:val="31"/>
          <w:highlight w:val="none"/>
        </w:rPr>
      </w:pPr>
      <w:r>
        <w:rPr>
          <w:rFonts w:ascii="宋体" w:hAnsi="宋体" w:eastAsia="宋体" w:cs="宋体"/>
          <w:color w:val="auto"/>
          <w:spacing w:val="20"/>
          <w:sz w:val="31"/>
          <w:szCs w:val="31"/>
          <w:highlight w:val="none"/>
          <w14:textOutline w14:w="5791" w14:cap="sq" w14:cmpd="sng" w14:algn="ctr">
            <w14:solidFill>
              <w14:srgbClr w14:val="000000"/>
            </w14:solidFill>
            <w14:prstDash w14:val="solid"/>
            <w14:bevel/>
          </w14:textOutline>
        </w:rPr>
        <w:t>项</w:t>
      </w:r>
      <w:r>
        <w:rPr>
          <w:rFonts w:ascii="宋体" w:hAnsi="宋体" w:eastAsia="宋体" w:cs="宋体"/>
          <w:color w:val="auto"/>
          <w:spacing w:val="12"/>
          <w:sz w:val="31"/>
          <w:szCs w:val="31"/>
          <w:highlight w:val="none"/>
          <w14:textOutline w14:w="5791" w14:cap="sq" w14:cmpd="sng" w14:algn="ctr">
            <w14:solidFill>
              <w14:srgbClr w14:val="000000"/>
            </w14:solidFill>
            <w14:prstDash w14:val="solid"/>
            <w14:bevel/>
          </w14:textOutline>
        </w:rPr>
        <w:t>目</w:t>
      </w:r>
      <w:r>
        <w:rPr>
          <w:rFonts w:ascii="宋体" w:hAnsi="宋体" w:eastAsia="宋体" w:cs="宋体"/>
          <w:color w:val="auto"/>
          <w:spacing w:val="10"/>
          <w:sz w:val="31"/>
          <w:szCs w:val="31"/>
          <w:highlight w:val="none"/>
          <w14:textOutline w14:w="5791" w14:cap="sq" w14:cmpd="sng" w14:algn="ctr">
            <w14:solidFill>
              <w14:srgbClr w14:val="000000"/>
            </w14:solidFill>
            <w14:prstDash w14:val="solid"/>
            <w14:bevel/>
          </w14:textOutline>
        </w:rPr>
        <w:t>名称：</w:t>
      </w:r>
      <w:r>
        <w:rPr>
          <w:rFonts w:ascii="宋体" w:hAnsi="宋体" w:eastAsia="宋体" w:cs="宋体"/>
          <w:color w:val="auto"/>
          <w:spacing w:val="10"/>
          <w:sz w:val="31"/>
          <w:szCs w:val="31"/>
          <w:highlight w:val="none"/>
          <w:u w:val="single"/>
          <w14:textOutline w14:w="5791" w14:cap="sq" w14:cmpd="sng" w14:algn="ctr">
            <w14:solidFill>
              <w14:srgbClr w14:val="000000"/>
            </w14:solidFill>
            <w14:prstDash w14:val="solid"/>
            <w14:bevel/>
          </w14:textOutline>
        </w:rPr>
        <w:t>新疆医科大学附属肿瘤医院消防设施维护保养</w:t>
      </w: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spacing w:line="29" w:lineRule="exact"/>
        <w:rPr>
          <w:color w:val="auto"/>
          <w:highlight w:val="none"/>
        </w:rPr>
      </w:pPr>
    </w:p>
    <w:p>
      <w:pPr>
        <w:shd w:val="clear"/>
        <w:rPr>
          <w:color w:val="auto"/>
          <w:highlight w:val="none"/>
        </w:rPr>
        <w:sectPr>
          <w:footerReference r:id="rId8" w:type="default"/>
          <w:type w:val="continuous"/>
          <w:pgSz w:w="11910" w:h="16840"/>
          <w:pgMar w:top="1431" w:right="1695" w:bottom="1967" w:left="1192" w:header="0" w:footer="1805" w:gutter="0"/>
          <w:cols w:equalWidth="0" w:num="1">
            <w:col w:w="9022"/>
          </w:cols>
        </w:sectPr>
      </w:pPr>
    </w:p>
    <w:p>
      <w:pPr>
        <w:shd w:val="clear"/>
        <w:spacing w:before="103" w:line="228" w:lineRule="auto"/>
        <w:ind w:left="2911"/>
        <w:outlineLvl w:val="0"/>
        <w:rPr>
          <w:rFonts w:ascii="仿宋" w:hAnsi="仿宋" w:eastAsia="仿宋" w:cs="仿宋"/>
          <w:color w:val="auto"/>
          <w:sz w:val="35"/>
          <w:szCs w:val="35"/>
          <w:highlight w:val="none"/>
        </w:rPr>
      </w:pPr>
      <w:r>
        <w:rPr>
          <w:rFonts w:ascii="仿宋" w:hAnsi="仿宋" w:eastAsia="仿宋" w:cs="仿宋"/>
          <w:color w:val="auto"/>
          <w:spacing w:val="6"/>
          <w:sz w:val="35"/>
          <w:szCs w:val="35"/>
          <w:highlight w:val="none"/>
          <w14:textOutline w14:w="6540" w14:cap="sq" w14:cmpd="sng" w14:algn="ctr">
            <w14:solidFill>
              <w14:srgbClr w14:val="000000"/>
            </w14:solidFill>
            <w14:prstDash w14:val="solid"/>
            <w14:bevel/>
          </w14:textOutline>
        </w:rPr>
        <w:t>使</w:t>
      </w:r>
      <w:r>
        <w:rPr>
          <w:rFonts w:ascii="仿宋" w:hAnsi="仿宋" w:eastAsia="仿宋" w:cs="仿宋"/>
          <w:color w:val="auto"/>
          <w:spacing w:val="4"/>
          <w:sz w:val="35"/>
          <w:szCs w:val="35"/>
          <w:highlight w:val="none"/>
        </w:rPr>
        <w:t xml:space="preserve"> </w:t>
      </w:r>
      <w:r>
        <w:rPr>
          <w:rFonts w:ascii="仿宋" w:hAnsi="仿宋" w:eastAsia="仿宋" w:cs="仿宋"/>
          <w:color w:val="auto"/>
          <w:spacing w:val="3"/>
          <w:sz w:val="35"/>
          <w:szCs w:val="35"/>
          <w:highlight w:val="none"/>
          <w14:textOutline w14:w="6540" w14:cap="sq" w14:cmpd="sng" w14:algn="ctr">
            <w14:solidFill>
              <w14:srgbClr w14:val="000000"/>
            </w14:solidFill>
            <w14:prstDash w14:val="solid"/>
            <w14:bevel/>
          </w14:textOutline>
        </w:rPr>
        <w:t>用</w:t>
      </w:r>
      <w:r>
        <w:rPr>
          <w:rFonts w:ascii="仿宋" w:hAnsi="仿宋" w:eastAsia="仿宋" w:cs="仿宋"/>
          <w:color w:val="auto"/>
          <w:spacing w:val="3"/>
          <w:sz w:val="35"/>
          <w:szCs w:val="35"/>
          <w:highlight w:val="none"/>
        </w:rPr>
        <w:t xml:space="preserve"> </w:t>
      </w:r>
      <w:r>
        <w:rPr>
          <w:rFonts w:ascii="仿宋" w:hAnsi="仿宋" w:eastAsia="仿宋" w:cs="仿宋"/>
          <w:color w:val="auto"/>
          <w:spacing w:val="3"/>
          <w:sz w:val="35"/>
          <w:szCs w:val="35"/>
          <w:highlight w:val="none"/>
          <w14:textOutline w14:w="6540" w14:cap="sq" w14:cmpd="sng" w14:algn="ctr">
            <w14:solidFill>
              <w14:srgbClr w14:val="000000"/>
            </w14:solidFill>
            <w14:prstDash w14:val="solid"/>
            <w14:bevel/>
          </w14:textOutline>
        </w:rPr>
        <w:t>说</w:t>
      </w:r>
      <w:r>
        <w:rPr>
          <w:rFonts w:ascii="仿宋" w:hAnsi="仿宋" w:eastAsia="仿宋" w:cs="仿宋"/>
          <w:color w:val="auto"/>
          <w:spacing w:val="3"/>
          <w:sz w:val="35"/>
          <w:szCs w:val="35"/>
          <w:highlight w:val="none"/>
        </w:rPr>
        <w:t xml:space="preserve"> </w:t>
      </w:r>
      <w:r>
        <w:rPr>
          <w:rFonts w:ascii="仿宋" w:hAnsi="仿宋" w:eastAsia="仿宋" w:cs="仿宋"/>
          <w:color w:val="auto"/>
          <w:spacing w:val="3"/>
          <w:sz w:val="35"/>
          <w:szCs w:val="35"/>
          <w:highlight w:val="none"/>
          <w14:textOutline w14:w="6540" w14:cap="sq" w14:cmpd="sng" w14:algn="ctr">
            <w14:solidFill>
              <w14:srgbClr w14:val="000000"/>
            </w14:solidFill>
            <w14:prstDash w14:val="solid"/>
            <w14:bevel/>
          </w14:textOutline>
        </w:rPr>
        <w:t>明</w:t>
      </w:r>
    </w:p>
    <w:p>
      <w:pPr>
        <w:shd w:val="clear"/>
        <w:spacing w:before="93" w:line="313" w:lineRule="auto"/>
        <w:ind w:left="32" w:right="256" w:firstLine="570"/>
        <w:rPr>
          <w:rFonts w:ascii="仿宋" w:hAnsi="仿宋" w:eastAsia="仿宋" w:cs="仿宋"/>
          <w:color w:val="auto"/>
          <w:sz w:val="28"/>
          <w:szCs w:val="28"/>
          <w:highlight w:val="none"/>
        </w:rPr>
      </w:pPr>
      <w:r>
        <w:rPr>
          <w:rFonts w:ascii="仿宋" w:hAnsi="仿宋" w:eastAsia="仿宋" w:cs="仿宋"/>
          <w:color w:val="auto"/>
          <w:spacing w:val="-6"/>
          <w:sz w:val="28"/>
          <w:szCs w:val="28"/>
          <w:highlight w:val="none"/>
        </w:rPr>
        <w:t>一、本合同文本</w:t>
      </w:r>
      <w:r>
        <w:rPr>
          <w:rFonts w:ascii="仿宋" w:hAnsi="仿宋" w:eastAsia="仿宋" w:cs="仿宋"/>
          <w:color w:val="auto"/>
          <w:spacing w:val="-5"/>
          <w:sz w:val="28"/>
          <w:szCs w:val="28"/>
          <w:highlight w:val="none"/>
        </w:rPr>
        <w:t>是</w:t>
      </w:r>
      <w:r>
        <w:rPr>
          <w:rFonts w:ascii="仿宋" w:hAnsi="仿宋" w:eastAsia="仿宋" w:cs="仿宋"/>
          <w:color w:val="auto"/>
          <w:spacing w:val="-3"/>
          <w:sz w:val="28"/>
          <w:szCs w:val="28"/>
          <w:highlight w:val="none"/>
        </w:rPr>
        <w:t>根据《中华人民共和国民法典》、《中华人民</w:t>
      </w:r>
      <w:r>
        <w:rPr>
          <w:rFonts w:ascii="仿宋" w:hAnsi="仿宋" w:eastAsia="仿宋" w:cs="仿宋"/>
          <w:color w:val="auto"/>
          <w:sz w:val="28"/>
          <w:szCs w:val="28"/>
          <w:highlight w:val="none"/>
        </w:rPr>
        <w:t xml:space="preserve"> </w:t>
      </w:r>
      <w:r>
        <w:rPr>
          <w:rFonts w:ascii="仿宋" w:hAnsi="仿宋" w:eastAsia="仿宋" w:cs="仿宋"/>
          <w:color w:val="auto"/>
          <w:spacing w:val="-16"/>
          <w:sz w:val="28"/>
          <w:szCs w:val="28"/>
          <w:highlight w:val="none"/>
        </w:rPr>
        <w:t>共</w:t>
      </w:r>
      <w:r>
        <w:rPr>
          <w:rFonts w:ascii="仿宋" w:hAnsi="仿宋" w:eastAsia="仿宋" w:cs="仿宋"/>
          <w:color w:val="auto"/>
          <w:spacing w:val="-12"/>
          <w:sz w:val="28"/>
          <w:szCs w:val="28"/>
          <w:highlight w:val="none"/>
        </w:rPr>
        <w:t>和国消防法》等有关法律法规制定的示范文本，供双方当事人约定采</w:t>
      </w:r>
      <w:r>
        <w:rPr>
          <w:rFonts w:ascii="仿宋" w:hAnsi="仿宋" w:eastAsia="仿宋" w:cs="仿宋"/>
          <w:color w:val="auto"/>
          <w:spacing w:val="-9"/>
          <w:sz w:val="28"/>
          <w:szCs w:val="28"/>
          <w:highlight w:val="none"/>
        </w:rPr>
        <w:t>用</w:t>
      </w:r>
      <w:r>
        <w:rPr>
          <w:rFonts w:ascii="仿宋" w:hAnsi="仿宋" w:eastAsia="仿宋" w:cs="仿宋"/>
          <w:color w:val="auto"/>
          <w:spacing w:val="-8"/>
          <w:sz w:val="28"/>
          <w:szCs w:val="28"/>
          <w:highlight w:val="none"/>
        </w:rPr>
        <w:t>，合同签订前请仔细阅读。</w:t>
      </w:r>
    </w:p>
    <w:p>
      <w:pPr>
        <w:shd w:val="clear"/>
        <w:spacing w:before="3" w:line="313" w:lineRule="auto"/>
        <w:ind w:left="31" w:right="256" w:firstLine="576"/>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二、消防工程维护保养专业性强，涉及公共安全，因此为更好</w:t>
      </w:r>
      <w:r>
        <w:rPr>
          <w:rFonts w:ascii="仿宋" w:hAnsi="仿宋" w:eastAsia="仿宋" w:cs="仿宋"/>
          <w:color w:val="auto"/>
          <w:spacing w:val="-3"/>
          <w:sz w:val="28"/>
          <w:szCs w:val="28"/>
          <w:highlight w:val="none"/>
        </w:rPr>
        <w:t>地</w:t>
      </w:r>
      <w:r>
        <w:rPr>
          <w:rFonts w:ascii="仿宋" w:hAnsi="仿宋" w:eastAsia="仿宋" w:cs="仿宋"/>
          <w:color w:val="auto"/>
          <w:sz w:val="28"/>
          <w:szCs w:val="28"/>
          <w:highlight w:val="none"/>
        </w:rPr>
        <w:t xml:space="preserve"> </w:t>
      </w:r>
      <w:r>
        <w:rPr>
          <w:rFonts w:ascii="仿宋" w:hAnsi="仿宋" w:eastAsia="仿宋" w:cs="仿宋"/>
          <w:color w:val="auto"/>
          <w:spacing w:val="-17"/>
          <w:sz w:val="28"/>
          <w:szCs w:val="28"/>
          <w:highlight w:val="none"/>
        </w:rPr>
        <w:t>维</w:t>
      </w:r>
      <w:r>
        <w:rPr>
          <w:rFonts w:ascii="仿宋" w:hAnsi="仿宋" w:eastAsia="仿宋" w:cs="仿宋"/>
          <w:color w:val="auto"/>
          <w:spacing w:val="-12"/>
          <w:sz w:val="28"/>
          <w:szCs w:val="28"/>
          <w:highlight w:val="none"/>
        </w:rPr>
        <w:t>护双方当事人的权益，双方签订合同时应尽到审慎义务，力求合同条</w:t>
      </w:r>
      <w:r>
        <w:rPr>
          <w:rFonts w:ascii="仿宋" w:hAnsi="仿宋" w:eastAsia="仿宋" w:cs="仿宋"/>
          <w:color w:val="auto"/>
          <w:sz w:val="28"/>
          <w:szCs w:val="28"/>
          <w:highlight w:val="none"/>
        </w:rPr>
        <w:t xml:space="preserve"> </w:t>
      </w:r>
      <w:r>
        <w:rPr>
          <w:rFonts w:ascii="仿宋" w:hAnsi="仿宋" w:eastAsia="仿宋" w:cs="仿宋"/>
          <w:color w:val="auto"/>
          <w:spacing w:val="-10"/>
          <w:sz w:val="28"/>
          <w:szCs w:val="28"/>
          <w:highlight w:val="none"/>
        </w:rPr>
        <w:t>款</w:t>
      </w:r>
      <w:r>
        <w:rPr>
          <w:rFonts w:ascii="仿宋" w:hAnsi="仿宋" w:eastAsia="仿宋" w:cs="仿宋"/>
          <w:color w:val="auto"/>
          <w:spacing w:val="-8"/>
          <w:sz w:val="28"/>
          <w:szCs w:val="28"/>
          <w:highlight w:val="none"/>
        </w:rPr>
        <w:t>约定具体、严密。</w:t>
      </w:r>
    </w:p>
    <w:p>
      <w:pPr>
        <w:shd w:val="clear"/>
        <w:spacing w:line="311" w:lineRule="auto"/>
        <w:ind w:left="31" w:firstLine="575"/>
        <w:rPr>
          <w:rFonts w:ascii="仿宋" w:hAnsi="仿宋" w:eastAsia="仿宋" w:cs="仿宋"/>
          <w:color w:val="auto"/>
          <w:sz w:val="28"/>
          <w:szCs w:val="28"/>
          <w:highlight w:val="none"/>
        </w:rPr>
      </w:pPr>
      <w:r>
        <w:rPr>
          <w:rFonts w:ascii="仿宋" w:hAnsi="仿宋" w:eastAsia="仿宋" w:cs="仿宋"/>
          <w:color w:val="auto"/>
          <w:spacing w:val="-8"/>
          <w:sz w:val="28"/>
          <w:szCs w:val="28"/>
          <w:highlight w:val="none"/>
        </w:rPr>
        <w:t>三、承包人 (乙方) 应具有相应的消防工程维保资质 (或消防工</w:t>
      </w:r>
      <w:r>
        <w:rPr>
          <w:rFonts w:ascii="仿宋" w:hAnsi="仿宋" w:eastAsia="仿宋" w:cs="仿宋"/>
          <w:color w:val="auto"/>
          <w:spacing w:val="-3"/>
          <w:sz w:val="28"/>
          <w:szCs w:val="28"/>
          <w:highlight w:val="none"/>
        </w:rPr>
        <w:t>程</w:t>
      </w:r>
      <w:r>
        <w:rPr>
          <w:rFonts w:ascii="仿宋" w:hAnsi="仿宋" w:eastAsia="仿宋" w:cs="仿宋"/>
          <w:color w:val="auto"/>
          <w:sz w:val="28"/>
          <w:szCs w:val="28"/>
          <w:highlight w:val="none"/>
        </w:rPr>
        <w:t xml:space="preserve"> </w:t>
      </w:r>
      <w:r>
        <w:rPr>
          <w:rFonts w:ascii="仿宋" w:hAnsi="仿宋" w:eastAsia="仿宋" w:cs="仿宋"/>
          <w:color w:val="auto"/>
          <w:spacing w:val="-22"/>
          <w:sz w:val="28"/>
          <w:szCs w:val="28"/>
          <w:highlight w:val="none"/>
        </w:rPr>
        <w:t>施</w:t>
      </w:r>
      <w:r>
        <w:rPr>
          <w:rFonts w:ascii="仿宋" w:hAnsi="仿宋" w:eastAsia="仿宋" w:cs="仿宋"/>
          <w:color w:val="auto"/>
          <w:spacing w:val="-13"/>
          <w:sz w:val="28"/>
          <w:szCs w:val="28"/>
          <w:highlight w:val="none"/>
        </w:rPr>
        <w:t>工</w:t>
      </w:r>
      <w:r>
        <w:rPr>
          <w:rFonts w:ascii="仿宋" w:hAnsi="仿宋" w:eastAsia="仿宋" w:cs="仿宋"/>
          <w:color w:val="auto"/>
          <w:spacing w:val="-11"/>
          <w:sz w:val="28"/>
          <w:szCs w:val="28"/>
          <w:highlight w:val="none"/>
        </w:rPr>
        <w:t>资质) ，发包人 (甲方) 签订合同前应验看承包人的《企业法人营业</w:t>
      </w:r>
      <w:r>
        <w:rPr>
          <w:rFonts w:ascii="仿宋" w:hAnsi="仿宋" w:eastAsia="仿宋" w:cs="仿宋"/>
          <w:color w:val="auto"/>
          <w:sz w:val="28"/>
          <w:szCs w:val="28"/>
          <w:highlight w:val="none"/>
        </w:rPr>
        <w:t xml:space="preserve"> </w:t>
      </w:r>
      <w:r>
        <w:rPr>
          <w:rFonts w:ascii="仿宋" w:hAnsi="仿宋" w:eastAsia="仿宋" w:cs="仿宋"/>
          <w:color w:val="auto"/>
          <w:spacing w:val="-24"/>
          <w:sz w:val="28"/>
          <w:szCs w:val="28"/>
          <w:highlight w:val="none"/>
        </w:rPr>
        <w:t>执</w:t>
      </w:r>
      <w:r>
        <w:rPr>
          <w:rFonts w:ascii="仿宋" w:hAnsi="仿宋" w:eastAsia="仿宋" w:cs="仿宋"/>
          <w:color w:val="auto"/>
          <w:spacing w:val="-17"/>
          <w:sz w:val="28"/>
          <w:szCs w:val="28"/>
          <w:highlight w:val="none"/>
        </w:rPr>
        <w:t>照</w:t>
      </w:r>
      <w:r>
        <w:rPr>
          <w:rFonts w:ascii="仿宋" w:hAnsi="仿宋" w:eastAsia="仿宋" w:cs="仿宋"/>
          <w:color w:val="auto"/>
          <w:spacing w:val="-12"/>
          <w:sz w:val="28"/>
          <w:szCs w:val="28"/>
          <w:highlight w:val="none"/>
        </w:rPr>
        <w:t>》和企业资质证书原件，确保资质等级与拟承揽的维保工程规模相一</w:t>
      </w:r>
      <w:r>
        <w:rPr>
          <w:rFonts w:ascii="仿宋" w:hAnsi="仿宋" w:eastAsia="仿宋" w:cs="仿宋"/>
          <w:color w:val="auto"/>
          <w:sz w:val="28"/>
          <w:szCs w:val="28"/>
          <w:highlight w:val="none"/>
        </w:rPr>
        <w:t xml:space="preserve"> </w:t>
      </w:r>
      <w:r>
        <w:rPr>
          <w:rFonts w:ascii="仿宋" w:hAnsi="仿宋" w:eastAsia="仿宋" w:cs="仿宋"/>
          <w:color w:val="auto"/>
          <w:spacing w:val="-22"/>
          <w:sz w:val="28"/>
          <w:szCs w:val="28"/>
          <w:highlight w:val="none"/>
        </w:rPr>
        <w:t>致。</w:t>
      </w:r>
      <w:r>
        <w:rPr>
          <w:rFonts w:ascii="仿宋" w:hAnsi="仿宋" w:eastAsia="仿宋" w:cs="仿宋"/>
          <w:color w:val="auto"/>
          <w:spacing w:val="-15"/>
          <w:sz w:val="28"/>
          <w:szCs w:val="28"/>
          <w:highlight w:val="none"/>
        </w:rPr>
        <w:t>具</w:t>
      </w:r>
      <w:r>
        <w:rPr>
          <w:rFonts w:ascii="仿宋" w:hAnsi="仿宋" w:eastAsia="仿宋" w:cs="仿宋"/>
          <w:color w:val="auto"/>
          <w:spacing w:val="-11"/>
          <w:sz w:val="28"/>
          <w:szCs w:val="28"/>
          <w:highlight w:val="none"/>
        </w:rPr>
        <w:t>有相应的消防工程施工资质 (或消防工程维保资质) 的单位可以登</w:t>
      </w:r>
      <w:r>
        <w:rPr>
          <w:rFonts w:ascii="仿宋" w:hAnsi="仿宋" w:eastAsia="仿宋" w:cs="仿宋"/>
          <w:color w:val="auto"/>
          <w:sz w:val="28"/>
          <w:szCs w:val="28"/>
          <w:highlight w:val="none"/>
        </w:rPr>
        <w:t xml:space="preserve"> </w:t>
      </w:r>
      <w:r>
        <w:rPr>
          <w:rFonts w:ascii="仿宋" w:hAnsi="仿宋" w:eastAsia="仿宋" w:cs="仿宋"/>
          <w:color w:val="auto"/>
          <w:spacing w:val="-9"/>
          <w:sz w:val="28"/>
          <w:szCs w:val="28"/>
          <w:highlight w:val="none"/>
        </w:rPr>
        <w:t>陆</w:t>
      </w:r>
      <w:r>
        <w:rPr>
          <w:rFonts w:ascii="仿宋" w:hAnsi="仿宋" w:eastAsia="仿宋" w:cs="仿宋"/>
          <w:color w:val="auto"/>
          <w:spacing w:val="-8"/>
          <w:sz w:val="28"/>
          <w:szCs w:val="28"/>
          <w:highlight w:val="none"/>
        </w:rPr>
        <w:t>新疆消防产业信息网查询。</w:t>
      </w:r>
    </w:p>
    <w:p>
      <w:pPr>
        <w:shd w:val="clear"/>
        <w:spacing w:before="4" w:line="313" w:lineRule="auto"/>
        <w:ind w:left="32" w:right="256" w:firstLine="599"/>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四、本合同签订后应当在新疆消防产业信息网备案，维保记录</w:t>
      </w:r>
      <w:r>
        <w:rPr>
          <w:rFonts w:ascii="仿宋" w:hAnsi="仿宋" w:eastAsia="仿宋" w:cs="仿宋"/>
          <w:color w:val="auto"/>
          <w:sz w:val="28"/>
          <w:szCs w:val="28"/>
          <w:highlight w:val="none"/>
        </w:rPr>
        <w:t xml:space="preserve">及 </w:t>
      </w:r>
      <w:r>
        <w:rPr>
          <w:rFonts w:ascii="仿宋" w:hAnsi="仿宋" w:eastAsia="仿宋" w:cs="仿宋"/>
          <w:color w:val="auto"/>
          <w:spacing w:val="-6"/>
          <w:sz w:val="28"/>
          <w:szCs w:val="28"/>
          <w:highlight w:val="none"/>
        </w:rPr>
        <w:t>报告</w:t>
      </w:r>
      <w:r>
        <w:rPr>
          <w:rFonts w:ascii="仿宋" w:hAnsi="仿宋" w:eastAsia="仿宋" w:cs="仿宋"/>
          <w:color w:val="auto"/>
          <w:spacing w:val="-3"/>
          <w:sz w:val="28"/>
          <w:szCs w:val="28"/>
          <w:highlight w:val="none"/>
        </w:rPr>
        <w:t>必须及时通过新疆消防产业信息网《消防施工维保单位信息管理</w:t>
      </w:r>
      <w:r>
        <w:rPr>
          <w:rFonts w:ascii="仿宋" w:hAnsi="仿宋" w:eastAsia="仿宋" w:cs="仿宋"/>
          <w:color w:val="auto"/>
          <w:sz w:val="28"/>
          <w:szCs w:val="28"/>
          <w:highlight w:val="none"/>
        </w:rPr>
        <w:t xml:space="preserve"> </w:t>
      </w:r>
      <w:r>
        <w:rPr>
          <w:rFonts w:ascii="仿宋" w:hAnsi="仿宋" w:eastAsia="仿宋" w:cs="仿宋"/>
          <w:color w:val="auto"/>
          <w:spacing w:val="-11"/>
          <w:sz w:val="28"/>
          <w:szCs w:val="28"/>
          <w:highlight w:val="none"/>
        </w:rPr>
        <w:t>系</w:t>
      </w:r>
      <w:r>
        <w:rPr>
          <w:rFonts w:ascii="仿宋" w:hAnsi="仿宋" w:eastAsia="仿宋" w:cs="仿宋"/>
          <w:color w:val="auto"/>
          <w:spacing w:val="-8"/>
          <w:sz w:val="28"/>
          <w:szCs w:val="28"/>
          <w:highlight w:val="none"/>
        </w:rPr>
        <w:t>统》上传。</w:t>
      </w:r>
    </w:p>
    <w:p>
      <w:pPr>
        <w:shd w:val="clear"/>
        <w:spacing w:before="3" w:line="318" w:lineRule="auto"/>
        <w:ind w:left="33" w:right="256" w:firstLine="569"/>
        <w:rPr>
          <w:rFonts w:ascii="仿宋" w:hAnsi="仿宋" w:eastAsia="仿宋" w:cs="仿宋"/>
          <w:color w:val="auto"/>
          <w:sz w:val="28"/>
          <w:szCs w:val="28"/>
          <w:highlight w:val="none"/>
        </w:rPr>
      </w:pPr>
      <w:r>
        <w:rPr>
          <w:rFonts w:ascii="仿宋" w:hAnsi="仿宋" w:eastAsia="仿宋" w:cs="仿宋"/>
          <w:color w:val="auto"/>
          <w:spacing w:val="-6"/>
          <w:sz w:val="28"/>
          <w:szCs w:val="28"/>
          <w:highlight w:val="none"/>
        </w:rPr>
        <w:t>五、本合同文本</w:t>
      </w:r>
      <w:r>
        <w:rPr>
          <w:rFonts w:ascii="仿宋" w:hAnsi="仿宋" w:eastAsia="仿宋" w:cs="仿宋"/>
          <w:color w:val="auto"/>
          <w:spacing w:val="-5"/>
          <w:sz w:val="28"/>
          <w:szCs w:val="28"/>
          <w:highlight w:val="none"/>
        </w:rPr>
        <w:t>自</w:t>
      </w:r>
      <w:r>
        <w:rPr>
          <w:rFonts w:ascii="仿宋" w:hAnsi="仿宋" w:eastAsia="仿宋" w:cs="仿宋"/>
          <w:color w:val="auto"/>
          <w:spacing w:val="-3"/>
          <w:sz w:val="28"/>
          <w:szCs w:val="28"/>
          <w:highlight w:val="none"/>
        </w:rPr>
        <w:t>本通知下发之日起使用。今后凡未制定新的版</w:t>
      </w:r>
      <w:r>
        <w:rPr>
          <w:rFonts w:ascii="仿宋" w:hAnsi="仿宋" w:eastAsia="仿宋" w:cs="仿宋"/>
          <w:color w:val="auto"/>
          <w:sz w:val="28"/>
          <w:szCs w:val="28"/>
          <w:highlight w:val="none"/>
        </w:rPr>
        <w:t xml:space="preserve"> </w:t>
      </w:r>
      <w:r>
        <w:rPr>
          <w:rFonts w:ascii="仿宋" w:hAnsi="仿宋" w:eastAsia="仿宋" w:cs="仿宋"/>
          <w:color w:val="auto"/>
          <w:spacing w:val="-11"/>
          <w:sz w:val="28"/>
          <w:szCs w:val="28"/>
          <w:highlight w:val="none"/>
        </w:rPr>
        <w:t>本</w:t>
      </w:r>
      <w:r>
        <w:rPr>
          <w:rFonts w:ascii="仿宋" w:hAnsi="仿宋" w:eastAsia="仿宋" w:cs="仿宋"/>
          <w:color w:val="auto"/>
          <w:spacing w:val="-8"/>
          <w:sz w:val="28"/>
          <w:szCs w:val="28"/>
          <w:highlight w:val="none"/>
        </w:rPr>
        <w:t>前，本版本延续使用。</w:t>
      </w:r>
    </w:p>
    <w:p>
      <w:pPr>
        <w:shd w:val="clear"/>
        <w:rPr>
          <w:color w:val="auto"/>
          <w:highlight w:val="none"/>
        </w:rPr>
        <w:sectPr>
          <w:footerReference r:id="rId9" w:type="default"/>
          <w:pgSz w:w="11910" w:h="16840"/>
          <w:pgMar w:top="1431" w:right="1529" w:bottom="1373" w:left="1786" w:header="0" w:footer="1210" w:gutter="0"/>
          <w:cols w:space="720" w:num="1"/>
        </w:sectPr>
      </w:pPr>
    </w:p>
    <w:p>
      <w:pPr>
        <w:shd w:val="clear"/>
        <w:spacing w:before="49" w:line="232" w:lineRule="auto"/>
        <w:ind w:right="144" w:firstLine="7020" w:firstLineChars="3000"/>
        <w:jc w:val="both"/>
        <w:rPr>
          <w:rFonts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lang w:eastAsia="zh-CN"/>
          <w14:textOutline w14:w="4356" w14:cap="sq" w14:cmpd="sng" w14:algn="ctr">
            <w14:solidFill>
              <w14:srgbClr w14:val="000000"/>
            </w14:solidFill>
            <w14:prstDash w14:val="solid"/>
            <w14:bevel/>
          </w14:textOutline>
        </w:rPr>
        <w:t>合同</w:t>
      </w:r>
      <w:r>
        <w:rPr>
          <w:rFonts w:ascii="仿宋" w:hAnsi="仿宋" w:eastAsia="仿宋" w:cs="仿宋"/>
          <w:color w:val="auto"/>
          <w:spacing w:val="2"/>
          <w:sz w:val="23"/>
          <w:szCs w:val="23"/>
          <w:highlight w:val="none"/>
          <w14:textOutline w14:w="4356" w14:cap="sq" w14:cmpd="sng" w14:algn="ctr">
            <w14:solidFill>
              <w14:srgbClr w14:val="000000"/>
            </w14:solidFill>
            <w14:prstDash w14:val="solid"/>
            <w14:bevel/>
          </w14:textOutline>
        </w:rPr>
        <w:t>编号：</w:t>
      </w:r>
    </w:p>
    <w:p>
      <w:pPr>
        <w:shd w:val="clear"/>
        <w:spacing w:line="272" w:lineRule="auto"/>
        <w:rPr>
          <w:color w:val="auto"/>
          <w:highlight w:val="none"/>
        </w:rPr>
      </w:pPr>
    </w:p>
    <w:p>
      <w:pPr>
        <w:shd w:val="clear"/>
        <w:spacing w:line="273" w:lineRule="auto"/>
        <w:rPr>
          <w:color w:val="auto"/>
          <w:highlight w:val="none"/>
        </w:rPr>
      </w:pPr>
    </w:p>
    <w:p>
      <w:pPr>
        <w:shd w:val="clear"/>
        <w:spacing w:line="273" w:lineRule="auto"/>
        <w:rPr>
          <w:color w:val="auto"/>
          <w:highlight w:val="none"/>
        </w:rPr>
      </w:pPr>
    </w:p>
    <w:p>
      <w:pPr>
        <w:shd w:val="clear"/>
        <w:spacing w:before="91" w:line="223" w:lineRule="auto"/>
        <w:ind w:left="211"/>
        <w:rPr>
          <w:rFonts w:ascii="仿宋" w:hAnsi="仿宋" w:eastAsia="仿宋" w:cs="仿宋"/>
          <w:color w:val="auto"/>
          <w:sz w:val="28"/>
          <w:szCs w:val="28"/>
          <w:highlight w:val="none"/>
        </w:rPr>
      </w:pPr>
      <w:r>
        <w:rPr>
          <w:rFonts w:ascii="仿宋" w:hAnsi="仿宋" w:eastAsia="仿宋" w:cs="仿宋"/>
          <w:color w:val="auto"/>
          <w:spacing w:val="-19"/>
          <w:sz w:val="28"/>
          <w:szCs w:val="28"/>
          <w:highlight w:val="none"/>
        </w:rPr>
        <w:t xml:space="preserve">甲方 (发包人) ：   </w:t>
      </w:r>
      <w:r>
        <w:rPr>
          <w:rFonts w:ascii="仿宋" w:hAnsi="仿宋" w:eastAsia="仿宋" w:cs="仿宋"/>
          <w:color w:val="auto"/>
          <w:spacing w:val="-19"/>
          <w:sz w:val="28"/>
          <w:szCs w:val="28"/>
          <w:highlight w:val="none"/>
          <w:u w:val="single"/>
        </w:rPr>
        <w:t xml:space="preserve"> </w:t>
      </w:r>
      <w:r>
        <w:rPr>
          <w:rFonts w:ascii="仿宋" w:hAnsi="仿宋" w:eastAsia="仿宋" w:cs="仿宋"/>
          <w:color w:val="auto"/>
          <w:spacing w:val="-19"/>
          <w:sz w:val="28"/>
          <w:szCs w:val="28"/>
          <w:highlight w:val="none"/>
          <w:u w:val="single"/>
          <w14:textOutline w14:w="5105" w14:cap="sq" w14:cmpd="sng" w14:algn="ctr">
            <w14:solidFill>
              <w14:srgbClr w14:val="000000"/>
            </w14:solidFill>
            <w14:prstDash w14:val="solid"/>
            <w14:bevel/>
          </w14:textOutline>
        </w:rPr>
        <w:t>新疆医科大学附属肿瘤医</w:t>
      </w:r>
      <w:r>
        <w:rPr>
          <w:rFonts w:ascii="仿宋" w:hAnsi="仿宋" w:eastAsia="仿宋" w:cs="仿宋"/>
          <w:color w:val="auto"/>
          <w:spacing w:val="-15"/>
          <w:sz w:val="28"/>
          <w:szCs w:val="28"/>
          <w:highlight w:val="none"/>
          <w:u w:val="single"/>
          <w14:textOutline w14:w="5105" w14:cap="sq" w14:cmpd="sng" w14:algn="ctr">
            <w14:solidFill>
              <w14:srgbClr w14:val="000000"/>
            </w14:solidFill>
            <w14:prstDash w14:val="solid"/>
            <w14:bevel/>
          </w14:textOutline>
        </w:rPr>
        <w:t>院</w:t>
      </w:r>
      <w:r>
        <w:rPr>
          <w:rFonts w:ascii="仿宋" w:hAnsi="仿宋" w:eastAsia="仿宋" w:cs="仿宋"/>
          <w:color w:val="auto"/>
          <w:sz w:val="28"/>
          <w:szCs w:val="28"/>
          <w:highlight w:val="none"/>
          <w:u w:val="single"/>
        </w:rPr>
        <w:t xml:space="preserve"> </w:t>
      </w:r>
    </w:p>
    <w:p>
      <w:pPr>
        <w:shd w:val="clear"/>
        <w:spacing w:line="265" w:lineRule="auto"/>
        <w:rPr>
          <w:color w:val="auto"/>
          <w:highlight w:val="none"/>
        </w:rPr>
      </w:pPr>
    </w:p>
    <w:p>
      <w:pPr>
        <w:shd w:val="clear"/>
        <w:spacing w:before="91" w:line="222" w:lineRule="auto"/>
        <w:ind w:left="194"/>
        <w:rPr>
          <w:rFonts w:hint="default" w:eastAsia="仿宋"/>
          <w:color w:val="auto"/>
          <w:highlight w:val="none"/>
          <w:u w:val="single"/>
          <w:lang w:val="en-US" w:eastAsia="zh-CN"/>
        </w:rPr>
      </w:pPr>
      <w:r>
        <w:rPr>
          <w:rFonts w:ascii="仿宋" w:hAnsi="仿宋" w:eastAsia="仿宋" w:cs="仿宋"/>
          <w:color w:val="auto"/>
          <w:spacing w:val="-30"/>
          <w:sz w:val="28"/>
          <w:szCs w:val="28"/>
          <w:highlight w:val="none"/>
        </w:rPr>
        <w:t>乙</w:t>
      </w:r>
      <w:r>
        <w:rPr>
          <w:rFonts w:ascii="仿宋" w:hAnsi="仿宋" w:eastAsia="仿宋" w:cs="仿宋"/>
          <w:color w:val="auto"/>
          <w:spacing w:val="-17"/>
          <w:sz w:val="28"/>
          <w:szCs w:val="28"/>
          <w:highlight w:val="none"/>
        </w:rPr>
        <w:t xml:space="preserve">方 (承包人) ：  </w:t>
      </w:r>
      <w:r>
        <w:rPr>
          <w:rFonts w:hint="eastAsia" w:ascii="仿宋" w:hAnsi="仿宋" w:eastAsia="仿宋" w:cs="仿宋"/>
          <w:color w:val="auto"/>
          <w:spacing w:val="-17"/>
          <w:sz w:val="28"/>
          <w:szCs w:val="28"/>
          <w:highlight w:val="none"/>
          <w:u w:val="single"/>
          <w:lang w:val="en-US" w:eastAsia="zh-CN"/>
        </w:rPr>
        <w:t xml:space="preserve">                           </w:t>
      </w:r>
    </w:p>
    <w:p>
      <w:pPr>
        <w:shd w:val="clear"/>
        <w:spacing w:before="91" w:line="222" w:lineRule="auto"/>
        <w:ind w:firstLine="508" w:firstLineChars="200"/>
        <w:rPr>
          <w:rFonts w:ascii="仿宋" w:hAnsi="仿宋" w:eastAsia="仿宋" w:cs="仿宋"/>
          <w:color w:val="auto"/>
          <w:sz w:val="28"/>
          <w:szCs w:val="28"/>
          <w:highlight w:val="none"/>
        </w:rPr>
      </w:pPr>
      <w:r>
        <w:rPr>
          <w:rFonts w:ascii="仿宋" w:hAnsi="仿宋" w:eastAsia="仿宋" w:cs="仿宋"/>
          <w:color w:val="auto"/>
          <w:spacing w:val="-13"/>
          <w:sz w:val="28"/>
          <w:szCs w:val="28"/>
          <w:highlight w:val="none"/>
        </w:rPr>
        <w:t>根据《中华人民共和国消防法》  、《新疆维吾尔自治区消防条例</w:t>
      </w:r>
      <w:r>
        <w:rPr>
          <w:rFonts w:ascii="仿宋" w:hAnsi="仿宋" w:eastAsia="仿宋" w:cs="仿宋"/>
          <w:color w:val="auto"/>
          <w:spacing w:val="-11"/>
          <w:sz w:val="28"/>
          <w:szCs w:val="28"/>
          <w:highlight w:val="none"/>
        </w:rPr>
        <w:t>》</w:t>
      </w:r>
      <w:r>
        <w:rPr>
          <w:rFonts w:ascii="仿宋" w:hAnsi="仿宋" w:eastAsia="仿宋" w:cs="仿宋"/>
          <w:color w:val="auto"/>
          <w:spacing w:val="-10"/>
          <w:sz w:val="28"/>
          <w:szCs w:val="28"/>
          <w:highlight w:val="none"/>
        </w:rPr>
        <w:t>、《建筑消防设施的维护管理》  (G</w:t>
      </w:r>
      <w:r>
        <w:rPr>
          <w:rFonts w:ascii="仿宋" w:hAnsi="仿宋" w:eastAsia="仿宋" w:cs="仿宋"/>
          <w:color w:val="auto"/>
          <w:spacing w:val="-9"/>
          <w:sz w:val="28"/>
          <w:szCs w:val="28"/>
          <w:highlight w:val="none"/>
        </w:rPr>
        <w:t>B</w:t>
      </w:r>
      <w:r>
        <w:rPr>
          <w:rFonts w:ascii="仿宋" w:hAnsi="仿宋" w:eastAsia="仿宋" w:cs="仿宋"/>
          <w:color w:val="auto"/>
          <w:spacing w:val="-10"/>
          <w:sz w:val="28"/>
          <w:szCs w:val="28"/>
          <w:highlight w:val="none"/>
        </w:rPr>
        <w:t xml:space="preserve"> 25201-2010) 等法律法规和技术</w:t>
      </w:r>
      <w:r>
        <w:rPr>
          <w:rFonts w:ascii="仿宋" w:hAnsi="仿宋" w:eastAsia="仿宋" w:cs="仿宋"/>
          <w:color w:val="auto"/>
          <w:sz w:val="28"/>
          <w:szCs w:val="28"/>
          <w:highlight w:val="none"/>
        </w:rPr>
        <w:t xml:space="preserve"> </w:t>
      </w:r>
      <w:r>
        <w:rPr>
          <w:rFonts w:ascii="仿宋" w:hAnsi="仿宋" w:eastAsia="仿宋" w:cs="仿宋"/>
          <w:color w:val="auto"/>
          <w:spacing w:val="-17"/>
          <w:sz w:val="28"/>
          <w:szCs w:val="28"/>
          <w:highlight w:val="none"/>
        </w:rPr>
        <w:t>标</w:t>
      </w:r>
      <w:r>
        <w:rPr>
          <w:rFonts w:ascii="仿宋" w:hAnsi="仿宋" w:eastAsia="仿宋" w:cs="仿宋"/>
          <w:color w:val="auto"/>
          <w:spacing w:val="-12"/>
          <w:sz w:val="28"/>
          <w:szCs w:val="28"/>
          <w:highlight w:val="none"/>
        </w:rPr>
        <w:t>准的规定，经双方协商确定，就甲方所委托范围及期限内的建筑消防</w:t>
      </w:r>
      <w:r>
        <w:rPr>
          <w:rFonts w:ascii="仿宋" w:hAnsi="仿宋" w:eastAsia="仿宋" w:cs="仿宋"/>
          <w:color w:val="auto"/>
          <w:sz w:val="28"/>
          <w:szCs w:val="28"/>
          <w:highlight w:val="none"/>
        </w:rPr>
        <w:t xml:space="preserve"> </w:t>
      </w:r>
      <w:r>
        <w:rPr>
          <w:rFonts w:ascii="仿宋" w:hAnsi="仿宋" w:eastAsia="仿宋" w:cs="仿宋"/>
          <w:color w:val="auto"/>
          <w:spacing w:val="-10"/>
          <w:sz w:val="28"/>
          <w:szCs w:val="28"/>
          <w:highlight w:val="none"/>
        </w:rPr>
        <w:t>设</w:t>
      </w:r>
      <w:r>
        <w:rPr>
          <w:rFonts w:ascii="仿宋" w:hAnsi="仿宋" w:eastAsia="仿宋" w:cs="仿宋"/>
          <w:color w:val="auto"/>
          <w:spacing w:val="-8"/>
          <w:sz w:val="28"/>
          <w:szCs w:val="28"/>
          <w:highlight w:val="none"/>
        </w:rPr>
        <w:t>施维护保养工作相关具体事宜，签订本合同。</w:t>
      </w:r>
    </w:p>
    <w:p>
      <w:pPr>
        <w:shd w:val="clear"/>
        <w:spacing w:line="336" w:lineRule="auto"/>
        <w:ind w:right="122" w:firstLine="512" w:firstLineChars="200"/>
        <w:rPr>
          <w:rFonts w:ascii="仿宋" w:hAnsi="仿宋" w:eastAsia="仿宋" w:cs="仿宋"/>
          <w:color w:val="auto"/>
          <w:sz w:val="28"/>
          <w:szCs w:val="28"/>
          <w:highlight w:val="none"/>
        </w:rPr>
      </w:pPr>
      <w:r>
        <w:rPr>
          <w:rFonts w:ascii="仿宋" w:hAnsi="仿宋" w:eastAsia="仿宋" w:cs="仿宋"/>
          <w:color w:val="auto"/>
          <w:spacing w:val="-12"/>
          <w:sz w:val="28"/>
          <w:szCs w:val="28"/>
          <w:highlight w:val="none"/>
        </w:rPr>
        <w:t>《建筑</w:t>
      </w:r>
      <w:r>
        <w:rPr>
          <w:rFonts w:ascii="仿宋" w:hAnsi="仿宋" w:eastAsia="仿宋" w:cs="仿宋"/>
          <w:color w:val="auto"/>
          <w:spacing w:val="-11"/>
          <w:sz w:val="28"/>
          <w:szCs w:val="28"/>
          <w:highlight w:val="none"/>
        </w:rPr>
        <w:t>消</w:t>
      </w:r>
      <w:r>
        <w:rPr>
          <w:rFonts w:ascii="仿宋" w:hAnsi="仿宋" w:eastAsia="仿宋" w:cs="仿宋"/>
          <w:color w:val="auto"/>
          <w:spacing w:val="-6"/>
          <w:sz w:val="28"/>
          <w:szCs w:val="28"/>
          <w:highlight w:val="none"/>
        </w:rPr>
        <w:t>防设施检测技术规程》  (GA503－2004) 、《建筑消防设</w:t>
      </w:r>
      <w:r>
        <w:rPr>
          <w:rFonts w:ascii="仿宋" w:hAnsi="仿宋" w:eastAsia="仿宋" w:cs="仿宋"/>
          <w:color w:val="auto"/>
          <w:sz w:val="28"/>
          <w:szCs w:val="28"/>
          <w:highlight w:val="none"/>
        </w:rPr>
        <w:t xml:space="preserve"> </w:t>
      </w:r>
      <w:r>
        <w:rPr>
          <w:rFonts w:ascii="仿宋" w:hAnsi="仿宋" w:eastAsia="仿宋" w:cs="仿宋"/>
          <w:color w:val="auto"/>
          <w:spacing w:val="-16"/>
          <w:sz w:val="28"/>
          <w:szCs w:val="28"/>
          <w:highlight w:val="none"/>
        </w:rPr>
        <w:t>施</w:t>
      </w:r>
      <w:r>
        <w:rPr>
          <w:rFonts w:ascii="仿宋" w:hAnsi="仿宋" w:eastAsia="仿宋" w:cs="仿宋"/>
          <w:color w:val="auto"/>
          <w:spacing w:val="-9"/>
          <w:sz w:val="28"/>
          <w:szCs w:val="28"/>
          <w:highlight w:val="none"/>
        </w:rPr>
        <w:t>质量检测评定规程》 (DB65/T3253-2011) 等相关规定，经甲乙双方协</w:t>
      </w:r>
      <w:r>
        <w:rPr>
          <w:rFonts w:ascii="仿宋" w:hAnsi="仿宋" w:eastAsia="仿宋" w:cs="仿宋"/>
          <w:color w:val="auto"/>
          <w:sz w:val="28"/>
          <w:szCs w:val="28"/>
          <w:highlight w:val="none"/>
        </w:rPr>
        <w:t xml:space="preserve"> </w:t>
      </w:r>
      <w:r>
        <w:rPr>
          <w:rFonts w:ascii="仿宋" w:hAnsi="仿宋" w:eastAsia="仿宋" w:cs="仿宋"/>
          <w:color w:val="auto"/>
          <w:spacing w:val="-10"/>
          <w:sz w:val="28"/>
          <w:szCs w:val="28"/>
          <w:highlight w:val="none"/>
        </w:rPr>
        <w:t>商</w:t>
      </w:r>
      <w:r>
        <w:rPr>
          <w:rFonts w:ascii="仿宋" w:hAnsi="仿宋" w:eastAsia="仿宋" w:cs="仿宋"/>
          <w:color w:val="auto"/>
          <w:spacing w:val="-8"/>
          <w:sz w:val="28"/>
          <w:szCs w:val="28"/>
          <w:highlight w:val="none"/>
        </w:rPr>
        <w:t>确定，就甲方建筑消防设施检测项目相关具体事宜，签订本合同。</w:t>
      </w:r>
    </w:p>
    <w:p>
      <w:pPr>
        <w:shd w:val="clear"/>
        <w:spacing w:line="221" w:lineRule="auto"/>
        <w:rPr>
          <w:rFonts w:ascii="仿宋" w:hAnsi="仿宋" w:eastAsia="仿宋" w:cs="仿宋"/>
          <w:color w:val="auto"/>
          <w:sz w:val="28"/>
          <w:szCs w:val="28"/>
          <w:highlight w:val="none"/>
        </w:rPr>
      </w:pPr>
      <w:r>
        <w:rPr>
          <w:rFonts w:ascii="仿宋" w:hAnsi="仿宋" w:eastAsia="仿宋" w:cs="仿宋"/>
          <w:color w:val="auto"/>
          <w:spacing w:val="-14"/>
          <w:sz w:val="28"/>
          <w:szCs w:val="28"/>
          <w:highlight w:val="none"/>
        </w:rPr>
        <w:t>维护保</w:t>
      </w:r>
      <w:r>
        <w:rPr>
          <w:rFonts w:ascii="仿宋" w:hAnsi="仿宋" w:eastAsia="仿宋" w:cs="仿宋"/>
          <w:color w:val="auto"/>
          <w:spacing w:val="-11"/>
          <w:sz w:val="28"/>
          <w:szCs w:val="28"/>
          <w:highlight w:val="none"/>
        </w:rPr>
        <w:t>养</w:t>
      </w:r>
      <w:r>
        <w:rPr>
          <w:rFonts w:ascii="仿宋" w:hAnsi="仿宋" w:eastAsia="仿宋" w:cs="仿宋"/>
          <w:color w:val="auto"/>
          <w:spacing w:val="-7"/>
          <w:sz w:val="28"/>
          <w:szCs w:val="28"/>
          <w:highlight w:val="none"/>
        </w:rPr>
        <w:t>建筑工程名称：</w:t>
      </w:r>
      <w:r>
        <w:rPr>
          <w:rFonts w:ascii="仿宋" w:hAnsi="仿宋" w:eastAsia="仿宋" w:cs="仿宋"/>
          <w:color w:val="auto"/>
          <w:spacing w:val="-7"/>
          <w:sz w:val="28"/>
          <w:szCs w:val="28"/>
          <w:highlight w:val="none"/>
          <w:u w:val="single"/>
          <w14:textOutline w14:w="5105" w14:cap="sq" w14:cmpd="sng" w14:algn="ctr">
            <w14:solidFill>
              <w14:srgbClr w14:val="000000"/>
            </w14:solidFill>
            <w14:prstDash w14:val="solid"/>
            <w14:bevel/>
          </w14:textOutline>
        </w:rPr>
        <w:t>新疆医科大学附属肿瘤医院消防设施维护保养</w:t>
      </w:r>
      <w:r>
        <w:rPr>
          <w:rFonts w:ascii="仿宋" w:hAnsi="仿宋" w:eastAsia="仿宋" w:cs="仿宋"/>
          <w:color w:val="auto"/>
          <w:sz w:val="28"/>
          <w:szCs w:val="28"/>
          <w:highlight w:val="none"/>
          <w:u w:val="single"/>
        </w:rPr>
        <w:t xml:space="preserve"> </w:t>
      </w:r>
    </w:p>
    <w:p>
      <w:pPr>
        <w:shd w:val="clear"/>
        <w:spacing w:before="247" w:line="222" w:lineRule="auto"/>
        <w:rPr>
          <w:rFonts w:ascii="仿宋" w:hAnsi="仿宋" w:eastAsia="仿宋" w:cs="仿宋"/>
          <w:color w:val="auto"/>
          <w:sz w:val="28"/>
          <w:szCs w:val="28"/>
          <w:highlight w:val="none"/>
        </w:rPr>
      </w:pPr>
      <w:r>
        <w:rPr>
          <w:rFonts w:ascii="仿宋" w:hAnsi="仿宋" w:eastAsia="仿宋" w:cs="仿宋"/>
          <w:color w:val="auto"/>
          <w:spacing w:val="-12"/>
          <w:sz w:val="28"/>
          <w:szCs w:val="28"/>
          <w:highlight w:val="none"/>
        </w:rPr>
        <w:t>维护保养建筑工程地址：</w:t>
      </w:r>
      <w:r>
        <w:rPr>
          <w:rFonts w:ascii="仿宋" w:hAnsi="仿宋" w:eastAsia="仿宋" w:cs="仿宋"/>
          <w:color w:val="auto"/>
          <w:spacing w:val="-12"/>
          <w:sz w:val="28"/>
          <w:szCs w:val="28"/>
          <w:highlight w:val="none"/>
          <w:u w:val="single"/>
          <w14:textOutline w14:w="5105" w14:cap="sq" w14:cmpd="sng" w14:algn="ctr">
            <w14:solidFill>
              <w14:srgbClr w14:val="000000"/>
            </w14:solidFill>
            <w14:prstDash w14:val="solid"/>
            <w14:bevel/>
          </w14:textOutline>
        </w:rPr>
        <w:t>乌鲁木齐市新市区苏州东街</w:t>
      </w:r>
      <w:r>
        <w:rPr>
          <w:rFonts w:ascii="仿宋" w:hAnsi="仿宋" w:eastAsia="仿宋" w:cs="仿宋"/>
          <w:color w:val="auto"/>
          <w:spacing w:val="-12"/>
          <w:sz w:val="28"/>
          <w:szCs w:val="28"/>
          <w:highlight w:val="none"/>
          <w:u w:val="single"/>
        </w:rPr>
        <w:t xml:space="preserve"> </w:t>
      </w:r>
      <w:r>
        <w:rPr>
          <w:rFonts w:ascii="仿宋" w:hAnsi="仿宋" w:eastAsia="仿宋" w:cs="仿宋"/>
          <w:color w:val="auto"/>
          <w:spacing w:val="-12"/>
          <w:sz w:val="28"/>
          <w:szCs w:val="28"/>
          <w:highlight w:val="none"/>
          <w:u w:val="single"/>
          <w14:textOutline w14:w="5105" w14:cap="sq" w14:cmpd="sng" w14:algn="ctr">
            <w14:solidFill>
              <w14:srgbClr w14:val="000000"/>
            </w14:solidFill>
            <w14:prstDash w14:val="solid"/>
            <w14:bevel/>
          </w14:textOutline>
        </w:rPr>
        <w:t>789</w:t>
      </w:r>
      <w:r>
        <w:rPr>
          <w:rFonts w:ascii="仿宋" w:hAnsi="仿宋" w:eastAsia="仿宋" w:cs="仿宋"/>
          <w:color w:val="auto"/>
          <w:spacing w:val="-12"/>
          <w:sz w:val="28"/>
          <w:szCs w:val="28"/>
          <w:highlight w:val="none"/>
          <w:u w:val="single"/>
        </w:rPr>
        <w:t xml:space="preserve"> </w:t>
      </w:r>
      <w:r>
        <w:rPr>
          <w:rFonts w:ascii="仿宋" w:hAnsi="仿宋" w:eastAsia="仿宋" w:cs="仿宋"/>
          <w:color w:val="auto"/>
          <w:spacing w:val="-12"/>
          <w:sz w:val="28"/>
          <w:szCs w:val="28"/>
          <w:highlight w:val="none"/>
          <w:u w:val="single"/>
          <w14:textOutline w14:w="5105" w14:cap="sq" w14:cmpd="sng" w14:algn="ctr">
            <w14:solidFill>
              <w14:srgbClr w14:val="000000"/>
            </w14:solidFill>
            <w14:prstDash w14:val="solid"/>
            <w14:bevel/>
          </w14:textOutline>
        </w:rPr>
        <w:t>号</w:t>
      </w:r>
      <w:r>
        <w:rPr>
          <w:rFonts w:ascii="仿宋" w:hAnsi="仿宋" w:eastAsia="仿宋" w:cs="仿宋"/>
          <w:color w:val="auto"/>
          <w:sz w:val="28"/>
          <w:szCs w:val="28"/>
          <w:highlight w:val="none"/>
          <w:u w:val="single"/>
        </w:rPr>
        <w:t xml:space="preserve"> </w:t>
      </w:r>
    </w:p>
    <w:p>
      <w:pPr>
        <w:shd w:val="clear"/>
        <w:spacing w:before="177" w:line="222" w:lineRule="auto"/>
        <w:ind w:left="126"/>
        <w:rPr>
          <w:rFonts w:ascii="仿宋" w:hAnsi="仿宋" w:eastAsia="仿宋" w:cs="仿宋"/>
          <w:color w:val="auto"/>
          <w:sz w:val="28"/>
          <w:szCs w:val="28"/>
          <w:highlight w:val="none"/>
        </w:rPr>
      </w:pPr>
      <w:r>
        <w:rPr>
          <w:rFonts w:ascii="仿宋" w:hAnsi="仿宋" w:eastAsia="仿宋" w:cs="仿宋"/>
          <w:color w:val="auto"/>
          <w:spacing w:val="-12"/>
          <w:sz w:val="28"/>
          <w:szCs w:val="28"/>
          <w:highlight w:val="none"/>
          <w14:textOutline w14:w="5105" w14:cap="sq" w14:cmpd="sng" w14:algn="ctr">
            <w14:solidFill>
              <w14:srgbClr w14:val="000000"/>
            </w14:solidFill>
            <w14:prstDash w14:val="solid"/>
            <w14:bevel/>
          </w14:textOutline>
        </w:rPr>
        <w:t>第</w:t>
      </w:r>
      <w:r>
        <w:rPr>
          <w:rFonts w:ascii="仿宋" w:hAnsi="仿宋" w:eastAsia="仿宋" w:cs="仿宋"/>
          <w:color w:val="auto"/>
          <w:spacing w:val="-8"/>
          <w:sz w:val="28"/>
          <w:szCs w:val="28"/>
          <w:highlight w:val="none"/>
          <w14:textOutline w14:w="5105" w14:cap="sq" w14:cmpd="sng" w14:algn="ctr">
            <w14:solidFill>
              <w14:srgbClr w14:val="000000"/>
            </w14:solidFill>
            <w14:prstDash w14:val="solid"/>
            <w14:bevel/>
          </w14:textOutline>
        </w:rPr>
        <w:t>一条</w:t>
      </w:r>
      <w:r>
        <w:rPr>
          <w:rFonts w:ascii="仿宋" w:hAnsi="仿宋" w:eastAsia="仿宋" w:cs="仿宋"/>
          <w:color w:val="auto"/>
          <w:spacing w:val="-8"/>
          <w:sz w:val="28"/>
          <w:szCs w:val="28"/>
          <w:highlight w:val="none"/>
        </w:rPr>
        <w:t xml:space="preserve"> </w:t>
      </w:r>
      <w:r>
        <w:rPr>
          <w:rFonts w:ascii="仿宋" w:hAnsi="仿宋" w:eastAsia="仿宋" w:cs="仿宋"/>
          <w:color w:val="auto"/>
          <w:spacing w:val="-8"/>
          <w:sz w:val="28"/>
          <w:szCs w:val="28"/>
          <w:highlight w:val="none"/>
          <w14:textOutline w14:w="5105" w14:cap="sq" w14:cmpd="sng" w14:algn="ctr">
            <w14:solidFill>
              <w14:srgbClr w14:val="000000"/>
            </w14:solidFill>
            <w14:prstDash w14:val="solid"/>
            <w14:bevel/>
          </w14:textOutline>
        </w:rPr>
        <w:t>维护保养消防工程范围</w:t>
      </w:r>
    </w:p>
    <w:p>
      <w:pPr>
        <w:shd w:val="clear"/>
        <w:spacing w:before="55" w:line="180" w:lineRule="auto"/>
        <w:ind w:firstLine="521"/>
        <w:rPr>
          <w:rFonts w:ascii="仿宋" w:hAnsi="仿宋" w:eastAsia="仿宋" w:cs="仿宋"/>
          <w:color w:val="auto"/>
          <w:sz w:val="28"/>
          <w:szCs w:val="28"/>
          <w:highlight w:val="none"/>
        </w:rPr>
      </w:pPr>
      <w:r>
        <w:rPr>
          <w:rFonts w:ascii="仿宋" w:hAnsi="仿宋" w:eastAsia="仿宋" w:cs="仿宋"/>
          <w:color w:val="auto"/>
          <w:spacing w:val="-9"/>
          <w:sz w:val="28"/>
          <w:szCs w:val="28"/>
          <w:highlight w:val="none"/>
        </w:rPr>
        <w:t>本合同指定的建筑消防设施系统包括以下（</w:t>
      </w:r>
      <w:r>
        <w:rPr>
          <w:rFonts w:ascii="仿宋" w:hAnsi="仿宋" w:eastAsia="仿宋" w:cs="仿宋"/>
          <w:color w:val="auto"/>
          <w:spacing w:val="9"/>
          <w:sz w:val="28"/>
          <w:szCs w:val="28"/>
          <w:highlight w:val="none"/>
          <w:u w:val="single"/>
        </w:rPr>
        <w:t xml:space="preserve">    </w:t>
      </w:r>
      <w:r>
        <w:rPr>
          <w:rFonts w:ascii="黑体" w:hAnsi="黑体" w:eastAsia="黑体" w:cs="黑体"/>
          <w:color w:val="auto"/>
          <w:spacing w:val="-9"/>
          <w:position w:val="-4"/>
          <w:sz w:val="34"/>
          <w:szCs w:val="34"/>
          <w:highlight w:val="none"/>
          <w:u w:val="single"/>
        </w:rPr>
        <w:t>15</w:t>
      </w:r>
      <w:r>
        <w:rPr>
          <w:rFonts w:ascii="黑体" w:hAnsi="黑体" w:eastAsia="黑体" w:cs="黑体"/>
          <w:color w:val="auto"/>
          <w:spacing w:val="7"/>
          <w:position w:val="-4"/>
          <w:sz w:val="34"/>
          <w:szCs w:val="34"/>
          <w:highlight w:val="none"/>
          <w:u w:val="single"/>
        </w:rPr>
        <w:t xml:space="preserve">  </w:t>
      </w:r>
      <w:r>
        <w:rPr>
          <w:rFonts w:ascii="仿宋" w:hAnsi="仿宋" w:eastAsia="仿宋" w:cs="仿宋"/>
          <w:color w:val="auto"/>
          <w:spacing w:val="-9"/>
          <w:sz w:val="28"/>
          <w:szCs w:val="28"/>
          <w:highlight w:val="none"/>
          <w:u w:val="single"/>
        </w:rPr>
        <w:t>）</w:t>
      </w:r>
      <w:r>
        <w:rPr>
          <w:rFonts w:ascii="仿宋" w:hAnsi="仿宋" w:eastAsia="仿宋" w:cs="仿宋"/>
          <w:color w:val="auto"/>
          <w:spacing w:val="-9"/>
          <w:sz w:val="28"/>
          <w:szCs w:val="28"/>
          <w:highlight w:val="none"/>
        </w:rPr>
        <w:t>项内容：</w:t>
      </w:r>
    </w:p>
    <w:p>
      <w:pPr>
        <w:shd w:val="clear"/>
        <w:spacing w:line="138" w:lineRule="exact"/>
        <w:rPr>
          <w:color w:val="auto"/>
          <w:highlight w:val="none"/>
        </w:rPr>
      </w:pPr>
    </w:p>
    <w:p>
      <w:pPr>
        <w:shd w:val="clear"/>
        <w:rPr>
          <w:color w:val="auto"/>
          <w:highlight w:val="none"/>
        </w:rPr>
        <w:sectPr>
          <w:headerReference r:id="rId10" w:type="default"/>
          <w:footerReference r:id="rId11" w:type="default"/>
          <w:pgSz w:w="11906" w:h="16838"/>
          <w:pgMar w:top="2273" w:right="1411" w:bottom="635" w:left="1417" w:header="1168" w:footer="495" w:gutter="0"/>
          <w:cols w:equalWidth="0" w:num="1">
            <w:col w:w="9077"/>
          </w:cols>
        </w:sectPr>
      </w:pPr>
    </w:p>
    <w:p>
      <w:pPr>
        <w:shd w:val="clear"/>
        <w:spacing w:before="1" w:line="204" w:lineRule="auto"/>
        <w:ind w:firstLine="533"/>
        <w:rPr>
          <w:rFonts w:ascii="仿宋" w:hAnsi="仿宋" w:eastAsia="仿宋" w:cs="仿宋"/>
          <w:color w:val="auto"/>
          <w:sz w:val="28"/>
          <w:szCs w:val="28"/>
          <w:highlight w:val="none"/>
        </w:rPr>
      </w:pPr>
      <w:r>
        <w:rPr>
          <w:color w:val="auto"/>
          <w:highlight w:val="none"/>
        </w:rPr>
        <w:drawing>
          <wp:inline distT="0" distB="0" distL="0" distR="0">
            <wp:extent cx="141605" cy="142240"/>
            <wp:effectExtent l="0" t="0" r="10795" b="10160"/>
            <wp:docPr id="6" name="IM 1"/>
            <wp:cNvGraphicFramePr/>
            <a:graphic xmlns:a="http://schemas.openxmlformats.org/drawingml/2006/main">
              <a:graphicData uri="http://schemas.openxmlformats.org/drawingml/2006/picture">
                <pic:pic xmlns:pic="http://schemas.openxmlformats.org/drawingml/2006/picture">
                  <pic:nvPicPr>
                    <pic:cNvPr id="6" name="IM 1"/>
                    <pic:cNvPicPr/>
                  </pic:nvPicPr>
                  <pic:blipFill>
                    <a:blip r:embed="rId20"/>
                    <a:stretch>
                      <a:fillRect/>
                    </a:stretch>
                  </pic:blipFill>
                  <pic:spPr>
                    <a:xfrm>
                      <a:off x="0" y="0"/>
                      <a:ext cx="142239" cy="142240"/>
                    </a:xfrm>
                    <a:prstGeom prst="rect">
                      <a:avLst/>
                    </a:prstGeom>
                  </pic:spPr>
                </pic:pic>
              </a:graphicData>
            </a:graphic>
          </wp:inline>
        </w:drawing>
      </w:r>
      <w:r>
        <w:rPr>
          <w:rFonts w:ascii="仿宋" w:hAnsi="仿宋" w:eastAsia="仿宋" w:cs="仿宋"/>
          <w:color w:val="auto"/>
          <w:sz w:val="28"/>
          <w:szCs w:val="28"/>
          <w:highlight w:val="none"/>
        </w:rPr>
        <w:t>消防供电配电</w:t>
      </w:r>
    </w:p>
    <w:p>
      <w:pPr>
        <w:shd w:val="clear"/>
        <w:spacing w:before="129" w:line="185" w:lineRule="auto"/>
        <w:ind w:firstLine="533"/>
        <w:rPr>
          <w:rFonts w:ascii="仿宋" w:hAnsi="仿宋" w:eastAsia="仿宋" w:cs="仿宋"/>
          <w:color w:val="auto"/>
          <w:sz w:val="28"/>
          <w:szCs w:val="28"/>
          <w:highlight w:val="none"/>
        </w:rPr>
      </w:pPr>
      <w:r>
        <w:rPr>
          <w:color w:val="auto"/>
          <w:highlight w:val="none"/>
        </w:rPr>
        <w:drawing>
          <wp:inline distT="0" distB="0" distL="0" distR="0">
            <wp:extent cx="141605" cy="142240"/>
            <wp:effectExtent l="0" t="0" r="10795" b="10160"/>
            <wp:docPr id="7" name="IM 2"/>
            <wp:cNvGraphicFramePr/>
            <a:graphic xmlns:a="http://schemas.openxmlformats.org/drawingml/2006/main">
              <a:graphicData uri="http://schemas.openxmlformats.org/drawingml/2006/picture">
                <pic:pic xmlns:pic="http://schemas.openxmlformats.org/drawingml/2006/picture">
                  <pic:nvPicPr>
                    <pic:cNvPr id="7" name="IM 2"/>
                    <pic:cNvPicPr/>
                  </pic:nvPicPr>
                  <pic:blipFill>
                    <a:blip r:embed="rId20"/>
                    <a:stretch>
                      <a:fillRect/>
                    </a:stretch>
                  </pic:blipFill>
                  <pic:spPr>
                    <a:xfrm>
                      <a:off x="0" y="0"/>
                      <a:ext cx="142239" cy="142240"/>
                    </a:xfrm>
                    <a:prstGeom prst="rect">
                      <a:avLst/>
                    </a:prstGeom>
                  </pic:spPr>
                </pic:pic>
              </a:graphicData>
            </a:graphic>
          </wp:inline>
        </w:drawing>
      </w:r>
      <w:r>
        <w:rPr>
          <w:rFonts w:ascii="仿宋" w:hAnsi="仿宋" w:eastAsia="仿宋" w:cs="仿宋"/>
          <w:color w:val="auto"/>
          <w:sz w:val="28"/>
          <w:szCs w:val="28"/>
          <w:highlight w:val="none"/>
        </w:rPr>
        <w:t>电气火灾监控系统</w:t>
      </w:r>
    </w:p>
    <w:p>
      <w:pPr>
        <w:shd w:val="clear"/>
        <w:spacing w:before="159" w:line="185" w:lineRule="auto"/>
        <w:ind w:firstLine="533"/>
        <w:rPr>
          <w:rFonts w:ascii="仿宋" w:hAnsi="仿宋" w:eastAsia="仿宋" w:cs="仿宋"/>
          <w:color w:val="auto"/>
          <w:sz w:val="28"/>
          <w:szCs w:val="28"/>
          <w:highlight w:val="none"/>
        </w:rPr>
      </w:pPr>
      <w:r>
        <w:rPr>
          <w:color w:val="auto"/>
          <w:highlight w:val="none"/>
        </w:rPr>
        <w:drawing>
          <wp:inline distT="0" distB="0" distL="0" distR="0">
            <wp:extent cx="141605" cy="142240"/>
            <wp:effectExtent l="0" t="0" r="10795" b="10160"/>
            <wp:docPr id="8" name="IM 3"/>
            <wp:cNvGraphicFramePr/>
            <a:graphic xmlns:a="http://schemas.openxmlformats.org/drawingml/2006/main">
              <a:graphicData uri="http://schemas.openxmlformats.org/drawingml/2006/picture">
                <pic:pic xmlns:pic="http://schemas.openxmlformats.org/drawingml/2006/picture">
                  <pic:nvPicPr>
                    <pic:cNvPr id="8" name="IM 3"/>
                    <pic:cNvPicPr/>
                  </pic:nvPicPr>
                  <pic:blipFill>
                    <a:blip r:embed="rId21"/>
                    <a:stretch>
                      <a:fillRect/>
                    </a:stretch>
                  </pic:blipFill>
                  <pic:spPr>
                    <a:xfrm>
                      <a:off x="0" y="0"/>
                      <a:ext cx="142239" cy="142240"/>
                    </a:xfrm>
                    <a:prstGeom prst="rect">
                      <a:avLst/>
                    </a:prstGeom>
                  </pic:spPr>
                </pic:pic>
              </a:graphicData>
            </a:graphic>
          </wp:inline>
        </w:drawing>
      </w:r>
      <w:r>
        <w:rPr>
          <w:rFonts w:ascii="仿宋" w:hAnsi="仿宋" w:eastAsia="仿宋" w:cs="仿宋"/>
          <w:color w:val="auto"/>
          <w:spacing w:val="-1"/>
          <w:sz w:val="28"/>
          <w:szCs w:val="28"/>
          <w:highlight w:val="none"/>
        </w:rPr>
        <w:t>消火栓（自动寻的灭火装置）灭火系统</w:t>
      </w:r>
    </w:p>
    <w:p>
      <w:pPr>
        <w:shd w:val="clear"/>
        <w:spacing w:before="160" w:line="185" w:lineRule="auto"/>
        <w:ind w:firstLine="533"/>
        <w:rPr>
          <w:rFonts w:ascii="仿宋" w:hAnsi="仿宋" w:eastAsia="仿宋" w:cs="仿宋"/>
          <w:color w:val="auto"/>
          <w:sz w:val="28"/>
          <w:szCs w:val="28"/>
          <w:highlight w:val="none"/>
        </w:rPr>
      </w:pPr>
      <w:r>
        <w:rPr>
          <w:color w:val="auto"/>
          <w:highlight w:val="none"/>
        </w:rPr>
        <w:drawing>
          <wp:inline distT="0" distB="0" distL="0" distR="0">
            <wp:extent cx="141605" cy="142240"/>
            <wp:effectExtent l="0" t="0" r="10795" b="10160"/>
            <wp:docPr id="9" name="IM 4"/>
            <wp:cNvGraphicFramePr/>
            <a:graphic xmlns:a="http://schemas.openxmlformats.org/drawingml/2006/main">
              <a:graphicData uri="http://schemas.openxmlformats.org/drawingml/2006/picture">
                <pic:pic xmlns:pic="http://schemas.openxmlformats.org/drawingml/2006/picture">
                  <pic:nvPicPr>
                    <pic:cNvPr id="9" name="IM 4"/>
                    <pic:cNvPicPr/>
                  </pic:nvPicPr>
                  <pic:blipFill>
                    <a:blip r:embed="rId22"/>
                    <a:stretch>
                      <a:fillRect/>
                    </a:stretch>
                  </pic:blipFill>
                  <pic:spPr>
                    <a:xfrm>
                      <a:off x="0" y="0"/>
                      <a:ext cx="142239" cy="142240"/>
                    </a:xfrm>
                    <a:prstGeom prst="rect">
                      <a:avLst/>
                    </a:prstGeom>
                  </pic:spPr>
                </pic:pic>
              </a:graphicData>
            </a:graphic>
          </wp:inline>
        </w:drawing>
      </w:r>
      <w:r>
        <w:rPr>
          <w:rFonts w:ascii="仿宋" w:hAnsi="仿宋" w:eastAsia="仿宋" w:cs="仿宋"/>
          <w:color w:val="auto"/>
          <w:sz w:val="28"/>
          <w:szCs w:val="28"/>
          <w:highlight w:val="none"/>
        </w:rPr>
        <w:t>泡沫灭火系统</w:t>
      </w:r>
    </w:p>
    <w:p>
      <w:pPr>
        <w:shd w:val="clear"/>
        <w:spacing w:before="159" w:line="185" w:lineRule="auto"/>
        <w:ind w:firstLine="533"/>
        <w:rPr>
          <w:rFonts w:ascii="仿宋" w:hAnsi="仿宋" w:eastAsia="仿宋" w:cs="仿宋"/>
          <w:color w:val="auto"/>
          <w:sz w:val="28"/>
          <w:szCs w:val="28"/>
          <w:highlight w:val="none"/>
        </w:rPr>
      </w:pPr>
      <w:r>
        <w:rPr>
          <w:color w:val="auto"/>
          <w:highlight w:val="none"/>
        </w:rPr>
        <w:drawing>
          <wp:inline distT="0" distB="0" distL="0" distR="0">
            <wp:extent cx="141605" cy="142240"/>
            <wp:effectExtent l="0" t="0" r="10795" b="10160"/>
            <wp:docPr id="10" name="IM 5"/>
            <wp:cNvGraphicFramePr/>
            <a:graphic xmlns:a="http://schemas.openxmlformats.org/drawingml/2006/main">
              <a:graphicData uri="http://schemas.openxmlformats.org/drawingml/2006/picture">
                <pic:pic xmlns:pic="http://schemas.openxmlformats.org/drawingml/2006/picture">
                  <pic:nvPicPr>
                    <pic:cNvPr id="10" name="IM 5"/>
                    <pic:cNvPicPr/>
                  </pic:nvPicPr>
                  <pic:blipFill>
                    <a:blip r:embed="rId20"/>
                    <a:stretch>
                      <a:fillRect/>
                    </a:stretch>
                  </pic:blipFill>
                  <pic:spPr>
                    <a:xfrm>
                      <a:off x="0" y="0"/>
                      <a:ext cx="142239" cy="142240"/>
                    </a:xfrm>
                    <a:prstGeom prst="rect">
                      <a:avLst/>
                    </a:prstGeom>
                  </pic:spPr>
                </pic:pic>
              </a:graphicData>
            </a:graphic>
          </wp:inline>
        </w:drawing>
      </w:r>
      <w:r>
        <w:rPr>
          <w:rFonts w:ascii="仿宋" w:hAnsi="仿宋" w:eastAsia="仿宋" w:cs="仿宋"/>
          <w:color w:val="auto"/>
          <w:sz w:val="28"/>
          <w:szCs w:val="28"/>
          <w:highlight w:val="none"/>
        </w:rPr>
        <w:t>机械加压送风系统</w:t>
      </w:r>
    </w:p>
    <w:p>
      <w:pPr>
        <w:shd w:val="clear"/>
        <w:spacing w:before="160" w:line="185" w:lineRule="auto"/>
        <w:ind w:firstLine="533"/>
        <w:rPr>
          <w:rFonts w:ascii="仿宋" w:hAnsi="仿宋" w:eastAsia="仿宋" w:cs="仿宋"/>
          <w:color w:val="auto"/>
          <w:sz w:val="28"/>
          <w:szCs w:val="28"/>
          <w:highlight w:val="none"/>
        </w:rPr>
      </w:pPr>
      <w:r>
        <w:rPr>
          <w:color w:val="auto"/>
          <w:highlight w:val="none"/>
        </w:rPr>
        <w:drawing>
          <wp:inline distT="0" distB="0" distL="0" distR="0">
            <wp:extent cx="141605" cy="142240"/>
            <wp:effectExtent l="0" t="0" r="10795" b="10160"/>
            <wp:docPr id="11" name="IM 6"/>
            <wp:cNvGraphicFramePr/>
            <a:graphic xmlns:a="http://schemas.openxmlformats.org/drawingml/2006/main">
              <a:graphicData uri="http://schemas.openxmlformats.org/drawingml/2006/picture">
                <pic:pic xmlns:pic="http://schemas.openxmlformats.org/drawingml/2006/picture">
                  <pic:nvPicPr>
                    <pic:cNvPr id="11" name="IM 6"/>
                    <pic:cNvPicPr/>
                  </pic:nvPicPr>
                  <pic:blipFill>
                    <a:blip r:embed="rId21"/>
                    <a:stretch>
                      <a:fillRect/>
                    </a:stretch>
                  </pic:blipFill>
                  <pic:spPr>
                    <a:xfrm>
                      <a:off x="0" y="0"/>
                      <a:ext cx="142239" cy="142240"/>
                    </a:xfrm>
                    <a:prstGeom prst="rect">
                      <a:avLst/>
                    </a:prstGeom>
                  </pic:spPr>
                </pic:pic>
              </a:graphicData>
            </a:graphic>
          </wp:inline>
        </w:drawing>
      </w:r>
      <w:r>
        <w:rPr>
          <w:rFonts w:ascii="仿宋" w:hAnsi="仿宋" w:eastAsia="仿宋" w:cs="仿宋"/>
          <w:color w:val="auto"/>
          <w:spacing w:val="-1"/>
          <w:sz w:val="28"/>
          <w:szCs w:val="28"/>
          <w:highlight w:val="none"/>
        </w:rPr>
        <w:t>应急照明和疏散指示系统</w:t>
      </w:r>
    </w:p>
    <w:p>
      <w:pPr>
        <w:shd w:val="clear"/>
        <w:spacing w:before="159" w:line="185" w:lineRule="auto"/>
        <w:ind w:firstLine="533"/>
        <w:rPr>
          <w:rFonts w:ascii="仿宋" w:hAnsi="仿宋" w:eastAsia="仿宋" w:cs="仿宋"/>
          <w:color w:val="auto"/>
          <w:sz w:val="28"/>
          <w:szCs w:val="28"/>
          <w:highlight w:val="none"/>
        </w:rPr>
      </w:pPr>
      <w:r>
        <w:rPr>
          <w:color w:val="auto"/>
          <w:highlight w:val="none"/>
        </w:rPr>
        <w:drawing>
          <wp:inline distT="0" distB="0" distL="0" distR="0">
            <wp:extent cx="141605" cy="142240"/>
            <wp:effectExtent l="0" t="0" r="10795" b="10160"/>
            <wp:docPr id="12" name="IM 7"/>
            <wp:cNvGraphicFramePr/>
            <a:graphic xmlns:a="http://schemas.openxmlformats.org/drawingml/2006/main">
              <a:graphicData uri="http://schemas.openxmlformats.org/drawingml/2006/picture">
                <pic:pic xmlns:pic="http://schemas.openxmlformats.org/drawingml/2006/picture">
                  <pic:nvPicPr>
                    <pic:cNvPr id="12" name="IM 7"/>
                    <pic:cNvPicPr/>
                  </pic:nvPicPr>
                  <pic:blipFill>
                    <a:blip r:embed="rId20"/>
                    <a:stretch>
                      <a:fillRect/>
                    </a:stretch>
                  </pic:blipFill>
                  <pic:spPr>
                    <a:xfrm>
                      <a:off x="0" y="0"/>
                      <a:ext cx="142239" cy="142240"/>
                    </a:xfrm>
                    <a:prstGeom prst="rect">
                      <a:avLst/>
                    </a:prstGeom>
                  </pic:spPr>
                </pic:pic>
              </a:graphicData>
            </a:graphic>
          </wp:inline>
        </w:drawing>
      </w:r>
      <w:r>
        <w:rPr>
          <w:rFonts w:ascii="仿宋" w:hAnsi="仿宋" w:eastAsia="仿宋" w:cs="仿宋"/>
          <w:color w:val="auto"/>
          <w:sz w:val="28"/>
          <w:szCs w:val="28"/>
          <w:highlight w:val="none"/>
        </w:rPr>
        <w:t>消防专用电话</w:t>
      </w:r>
    </w:p>
    <w:p>
      <w:pPr>
        <w:shd w:val="clear"/>
        <w:spacing w:before="159" w:line="185" w:lineRule="auto"/>
        <w:ind w:firstLine="533"/>
        <w:rPr>
          <w:rFonts w:ascii="仿宋" w:hAnsi="仿宋" w:eastAsia="仿宋" w:cs="仿宋"/>
          <w:color w:val="auto"/>
          <w:sz w:val="28"/>
          <w:szCs w:val="28"/>
          <w:highlight w:val="none"/>
        </w:rPr>
      </w:pPr>
      <w:r>
        <w:rPr>
          <w:color w:val="auto"/>
          <w:highlight w:val="none"/>
        </w:rPr>
        <w:drawing>
          <wp:inline distT="0" distB="0" distL="0" distR="0">
            <wp:extent cx="141605" cy="141605"/>
            <wp:effectExtent l="0" t="0" r="10795" b="10795"/>
            <wp:docPr id="13" name="IM 8"/>
            <wp:cNvGraphicFramePr/>
            <a:graphic xmlns:a="http://schemas.openxmlformats.org/drawingml/2006/main">
              <a:graphicData uri="http://schemas.openxmlformats.org/drawingml/2006/picture">
                <pic:pic xmlns:pic="http://schemas.openxmlformats.org/drawingml/2006/picture">
                  <pic:nvPicPr>
                    <pic:cNvPr id="13" name="IM 8"/>
                    <pic:cNvPicPr/>
                  </pic:nvPicPr>
                  <pic:blipFill>
                    <a:blip r:embed="rId20"/>
                    <a:stretch>
                      <a:fillRect/>
                    </a:stretch>
                  </pic:blipFill>
                  <pic:spPr>
                    <a:xfrm>
                      <a:off x="0" y="0"/>
                      <a:ext cx="142239" cy="142239"/>
                    </a:xfrm>
                    <a:prstGeom prst="rect">
                      <a:avLst/>
                    </a:prstGeom>
                  </pic:spPr>
                </pic:pic>
              </a:graphicData>
            </a:graphic>
          </wp:inline>
        </w:drawing>
      </w:r>
      <w:r>
        <w:rPr>
          <w:rFonts w:ascii="仿宋" w:hAnsi="仿宋" w:eastAsia="仿宋" w:cs="仿宋"/>
          <w:color w:val="auto"/>
          <w:sz w:val="28"/>
          <w:szCs w:val="28"/>
          <w:highlight w:val="none"/>
        </w:rPr>
        <w:t>消防电梯</w:t>
      </w:r>
    </w:p>
    <w:p>
      <w:pPr>
        <w:shd w:val="clear"/>
        <w:spacing w:before="160" w:line="185" w:lineRule="auto"/>
        <w:ind w:firstLine="533"/>
        <w:rPr>
          <w:rFonts w:ascii="仿宋" w:hAnsi="仿宋" w:eastAsia="仿宋" w:cs="仿宋"/>
          <w:color w:val="auto"/>
          <w:sz w:val="28"/>
          <w:szCs w:val="28"/>
          <w:highlight w:val="none"/>
        </w:rPr>
      </w:pPr>
      <w:r>
        <w:rPr>
          <w:color w:val="auto"/>
          <w:highlight w:val="none"/>
        </w:rPr>
        <w:drawing>
          <wp:inline distT="0" distB="0" distL="0" distR="0">
            <wp:extent cx="141605" cy="141605"/>
            <wp:effectExtent l="0" t="0" r="10795" b="10795"/>
            <wp:docPr id="14" name="IM 9"/>
            <wp:cNvGraphicFramePr/>
            <a:graphic xmlns:a="http://schemas.openxmlformats.org/drawingml/2006/main">
              <a:graphicData uri="http://schemas.openxmlformats.org/drawingml/2006/picture">
                <pic:pic xmlns:pic="http://schemas.openxmlformats.org/drawingml/2006/picture">
                  <pic:nvPicPr>
                    <pic:cNvPr id="14" name="IM 9"/>
                    <pic:cNvPicPr/>
                  </pic:nvPicPr>
                  <pic:blipFill>
                    <a:blip r:embed="rId23"/>
                    <a:stretch>
                      <a:fillRect/>
                    </a:stretch>
                  </pic:blipFill>
                  <pic:spPr>
                    <a:xfrm>
                      <a:off x="0" y="0"/>
                      <a:ext cx="142239" cy="142239"/>
                    </a:xfrm>
                    <a:prstGeom prst="rect">
                      <a:avLst/>
                    </a:prstGeom>
                  </pic:spPr>
                </pic:pic>
              </a:graphicData>
            </a:graphic>
          </wp:inline>
        </w:drawing>
      </w:r>
      <w:r>
        <w:rPr>
          <w:rFonts w:ascii="仿宋" w:hAnsi="仿宋" w:eastAsia="仿宋" w:cs="仿宋"/>
          <w:color w:val="auto"/>
          <w:sz w:val="28"/>
          <w:szCs w:val="28"/>
          <w:highlight w:val="none"/>
        </w:rPr>
        <w:t>干粉灭火系统</w:t>
      </w:r>
    </w:p>
    <w:p>
      <w:pPr>
        <w:shd w:val="clear"/>
        <w:spacing w:before="159" w:line="185" w:lineRule="auto"/>
        <w:ind w:firstLine="533"/>
        <w:rPr>
          <w:rFonts w:ascii="仿宋" w:hAnsi="仿宋" w:eastAsia="仿宋" w:cs="仿宋"/>
          <w:color w:val="auto"/>
          <w:sz w:val="28"/>
          <w:szCs w:val="28"/>
          <w:highlight w:val="none"/>
        </w:rPr>
      </w:pPr>
      <w:r>
        <w:rPr>
          <w:color w:val="auto"/>
          <w:highlight w:val="none"/>
        </w:rPr>
        <w:drawing>
          <wp:inline distT="0" distB="0" distL="0" distR="0">
            <wp:extent cx="141605" cy="141605"/>
            <wp:effectExtent l="0" t="0" r="10795" b="10795"/>
            <wp:docPr id="15" name="IM 10"/>
            <wp:cNvGraphicFramePr/>
            <a:graphic xmlns:a="http://schemas.openxmlformats.org/drawingml/2006/main">
              <a:graphicData uri="http://schemas.openxmlformats.org/drawingml/2006/picture">
                <pic:pic xmlns:pic="http://schemas.openxmlformats.org/drawingml/2006/picture">
                  <pic:nvPicPr>
                    <pic:cNvPr id="15" name="IM 10"/>
                    <pic:cNvPicPr/>
                  </pic:nvPicPr>
                  <pic:blipFill>
                    <a:blip r:embed="rId22"/>
                    <a:stretch>
                      <a:fillRect/>
                    </a:stretch>
                  </pic:blipFill>
                  <pic:spPr>
                    <a:xfrm>
                      <a:off x="0" y="0"/>
                      <a:ext cx="142239" cy="142239"/>
                    </a:xfrm>
                    <a:prstGeom prst="rect">
                      <a:avLst/>
                    </a:prstGeom>
                  </pic:spPr>
                </pic:pic>
              </a:graphicData>
            </a:graphic>
          </wp:inline>
        </w:drawing>
      </w:r>
      <w:r>
        <w:rPr>
          <w:rFonts w:ascii="仿宋" w:hAnsi="仿宋" w:eastAsia="仿宋" w:cs="仿宋"/>
          <w:color w:val="auto"/>
          <w:sz w:val="28"/>
          <w:szCs w:val="28"/>
          <w:highlight w:val="none"/>
        </w:rPr>
        <w:t>水喷雾灭火系统</w:t>
      </w:r>
    </w:p>
    <w:p>
      <w:pPr>
        <w:shd w:val="clear"/>
        <w:spacing w:before="160" w:line="185" w:lineRule="auto"/>
        <w:ind w:firstLine="533"/>
        <w:rPr>
          <w:rFonts w:ascii="仿宋" w:hAnsi="仿宋" w:eastAsia="仿宋" w:cs="仿宋"/>
          <w:color w:val="auto"/>
          <w:sz w:val="28"/>
          <w:szCs w:val="28"/>
          <w:highlight w:val="none"/>
        </w:rPr>
      </w:pPr>
      <w:r>
        <w:rPr>
          <w:color w:val="auto"/>
          <w:highlight w:val="none"/>
        </w:rPr>
        <w:drawing>
          <wp:inline distT="0" distB="0" distL="0" distR="0">
            <wp:extent cx="141605" cy="141605"/>
            <wp:effectExtent l="0" t="0" r="10795" b="10795"/>
            <wp:docPr id="16" name="IM 11"/>
            <wp:cNvGraphicFramePr/>
            <a:graphic xmlns:a="http://schemas.openxmlformats.org/drawingml/2006/main">
              <a:graphicData uri="http://schemas.openxmlformats.org/drawingml/2006/picture">
                <pic:pic xmlns:pic="http://schemas.openxmlformats.org/drawingml/2006/picture">
                  <pic:nvPicPr>
                    <pic:cNvPr id="16" name="IM 11"/>
                    <pic:cNvPicPr/>
                  </pic:nvPicPr>
                  <pic:blipFill>
                    <a:blip r:embed="rId22"/>
                    <a:stretch>
                      <a:fillRect/>
                    </a:stretch>
                  </pic:blipFill>
                  <pic:spPr>
                    <a:xfrm>
                      <a:off x="0" y="0"/>
                      <a:ext cx="142239" cy="142239"/>
                    </a:xfrm>
                    <a:prstGeom prst="rect">
                      <a:avLst/>
                    </a:prstGeom>
                  </pic:spPr>
                </pic:pic>
              </a:graphicData>
            </a:graphic>
          </wp:inline>
        </w:drawing>
      </w:r>
      <w:r>
        <w:rPr>
          <w:rFonts w:ascii="仿宋" w:hAnsi="仿宋" w:eastAsia="仿宋" w:cs="仿宋"/>
          <w:color w:val="auto"/>
          <w:sz w:val="28"/>
          <w:szCs w:val="28"/>
          <w:highlight w:val="none"/>
        </w:rPr>
        <w:t>其他消防设施</w:t>
      </w:r>
    </w:p>
    <w:p>
      <w:pPr>
        <w:shd w:val="clear"/>
        <w:spacing w:line="240" w:lineRule="auto"/>
        <w:rPr>
          <w:rFonts w:ascii="宋体"/>
          <w:color w:val="auto"/>
          <w:sz w:val="2"/>
          <w:highlight w:val="none"/>
        </w:rPr>
      </w:pPr>
      <w:r>
        <w:rPr>
          <w:rFonts w:ascii="宋体" w:hAnsi="宋体" w:eastAsia="宋体" w:cs="宋体"/>
          <w:color w:val="auto"/>
          <w:sz w:val="2"/>
          <w:szCs w:val="2"/>
          <w:highlight w:val="none"/>
        </w:rPr>
        <w:br w:type="column"/>
      </w:r>
    </w:p>
    <w:p>
      <w:pPr>
        <w:shd w:val="clear"/>
        <w:spacing w:line="204" w:lineRule="auto"/>
        <w:ind w:firstLine="60"/>
        <w:rPr>
          <w:rFonts w:ascii="仿宋" w:hAnsi="仿宋" w:eastAsia="仿宋" w:cs="仿宋"/>
          <w:color w:val="auto"/>
          <w:sz w:val="28"/>
          <w:szCs w:val="28"/>
          <w:highlight w:val="none"/>
        </w:rPr>
      </w:pPr>
      <w:r>
        <w:rPr>
          <w:color w:val="auto"/>
          <w:highlight w:val="none"/>
        </w:rPr>
        <w:drawing>
          <wp:inline distT="0" distB="0" distL="0" distR="0">
            <wp:extent cx="142240" cy="141605"/>
            <wp:effectExtent l="0" t="0" r="10160" b="10795"/>
            <wp:docPr id="17" name="IM 12"/>
            <wp:cNvGraphicFramePr/>
            <a:graphic xmlns:a="http://schemas.openxmlformats.org/drawingml/2006/main">
              <a:graphicData uri="http://schemas.openxmlformats.org/drawingml/2006/picture">
                <pic:pic xmlns:pic="http://schemas.openxmlformats.org/drawingml/2006/picture">
                  <pic:nvPicPr>
                    <pic:cNvPr id="17" name="IM 12"/>
                    <pic:cNvPicPr/>
                  </pic:nvPicPr>
                  <pic:blipFill>
                    <a:blip r:embed="rId24"/>
                    <a:stretch>
                      <a:fillRect/>
                    </a:stretch>
                  </pic:blipFill>
                  <pic:spPr>
                    <a:xfrm>
                      <a:off x="0" y="0"/>
                      <a:ext cx="142240" cy="141843"/>
                    </a:xfrm>
                    <a:prstGeom prst="rect">
                      <a:avLst/>
                    </a:prstGeom>
                  </pic:spPr>
                </pic:pic>
              </a:graphicData>
            </a:graphic>
          </wp:inline>
        </w:drawing>
      </w:r>
      <w:r>
        <w:rPr>
          <w:rFonts w:ascii="仿宋" w:hAnsi="仿宋" w:eastAsia="仿宋" w:cs="仿宋"/>
          <w:color w:val="auto"/>
          <w:spacing w:val="-1"/>
          <w:sz w:val="28"/>
          <w:szCs w:val="28"/>
          <w:highlight w:val="none"/>
        </w:rPr>
        <w:t>火灾报警系统</w:t>
      </w:r>
    </w:p>
    <w:p>
      <w:pPr>
        <w:shd w:val="clear"/>
        <w:spacing w:before="129" w:line="185" w:lineRule="auto"/>
        <w:ind w:firstLine="60"/>
        <w:rPr>
          <w:rFonts w:ascii="仿宋" w:hAnsi="仿宋" w:eastAsia="仿宋" w:cs="仿宋"/>
          <w:color w:val="auto"/>
          <w:sz w:val="28"/>
          <w:szCs w:val="28"/>
          <w:highlight w:val="none"/>
        </w:rPr>
      </w:pPr>
      <w:r>
        <w:rPr>
          <w:color w:val="auto"/>
          <w:highlight w:val="none"/>
        </w:rPr>
        <w:drawing>
          <wp:inline distT="0" distB="0" distL="0" distR="0">
            <wp:extent cx="142240" cy="142240"/>
            <wp:effectExtent l="0" t="0" r="10160" b="10160"/>
            <wp:docPr id="18" name="IM 13"/>
            <wp:cNvGraphicFramePr/>
            <a:graphic xmlns:a="http://schemas.openxmlformats.org/drawingml/2006/main">
              <a:graphicData uri="http://schemas.openxmlformats.org/drawingml/2006/picture">
                <pic:pic xmlns:pic="http://schemas.openxmlformats.org/drawingml/2006/picture">
                  <pic:nvPicPr>
                    <pic:cNvPr id="18" name="IM 13"/>
                    <pic:cNvPicPr/>
                  </pic:nvPicPr>
                  <pic:blipFill>
                    <a:blip r:embed="rId20"/>
                    <a:stretch>
                      <a:fillRect/>
                    </a:stretch>
                  </pic:blipFill>
                  <pic:spPr>
                    <a:xfrm>
                      <a:off x="0" y="0"/>
                      <a:ext cx="142240" cy="142240"/>
                    </a:xfrm>
                    <a:prstGeom prst="rect">
                      <a:avLst/>
                    </a:prstGeom>
                  </pic:spPr>
                </pic:pic>
              </a:graphicData>
            </a:graphic>
          </wp:inline>
        </w:drawing>
      </w:r>
      <w:r>
        <w:rPr>
          <w:rFonts w:ascii="仿宋" w:hAnsi="仿宋" w:eastAsia="仿宋" w:cs="仿宋"/>
          <w:color w:val="auto"/>
          <w:spacing w:val="-1"/>
          <w:sz w:val="28"/>
          <w:szCs w:val="28"/>
          <w:highlight w:val="none"/>
        </w:rPr>
        <w:t>消防供水设施</w:t>
      </w:r>
    </w:p>
    <w:p>
      <w:pPr>
        <w:shd w:val="clear"/>
        <w:spacing w:before="160" w:line="185" w:lineRule="auto"/>
        <w:ind w:firstLine="60"/>
        <w:rPr>
          <w:rFonts w:ascii="仿宋" w:hAnsi="仿宋" w:eastAsia="仿宋" w:cs="仿宋"/>
          <w:color w:val="auto"/>
          <w:sz w:val="28"/>
          <w:szCs w:val="28"/>
          <w:highlight w:val="none"/>
        </w:rPr>
      </w:pPr>
      <w:r>
        <w:rPr>
          <w:color w:val="auto"/>
          <w:highlight w:val="none"/>
        </w:rPr>
        <w:drawing>
          <wp:inline distT="0" distB="0" distL="0" distR="0">
            <wp:extent cx="142240" cy="142240"/>
            <wp:effectExtent l="0" t="0" r="10160" b="10160"/>
            <wp:docPr id="19" name="IM 14"/>
            <wp:cNvGraphicFramePr/>
            <a:graphic xmlns:a="http://schemas.openxmlformats.org/drawingml/2006/main">
              <a:graphicData uri="http://schemas.openxmlformats.org/drawingml/2006/picture">
                <pic:pic xmlns:pic="http://schemas.openxmlformats.org/drawingml/2006/picture">
                  <pic:nvPicPr>
                    <pic:cNvPr id="19" name="IM 14"/>
                    <pic:cNvPicPr/>
                  </pic:nvPicPr>
                  <pic:blipFill>
                    <a:blip r:embed="rId21"/>
                    <a:stretch>
                      <a:fillRect/>
                    </a:stretch>
                  </pic:blipFill>
                  <pic:spPr>
                    <a:xfrm>
                      <a:off x="0" y="0"/>
                      <a:ext cx="142240" cy="142240"/>
                    </a:xfrm>
                    <a:prstGeom prst="rect">
                      <a:avLst/>
                    </a:prstGeom>
                  </pic:spPr>
                </pic:pic>
              </a:graphicData>
            </a:graphic>
          </wp:inline>
        </w:drawing>
      </w:r>
      <w:r>
        <w:rPr>
          <w:rFonts w:ascii="仿宋" w:hAnsi="仿宋" w:eastAsia="仿宋" w:cs="仿宋"/>
          <w:color w:val="auto"/>
          <w:spacing w:val="-1"/>
          <w:sz w:val="28"/>
          <w:szCs w:val="28"/>
          <w:highlight w:val="none"/>
        </w:rPr>
        <w:t>自动喷水灭火系统</w:t>
      </w:r>
    </w:p>
    <w:p>
      <w:pPr>
        <w:shd w:val="clear"/>
        <w:spacing w:before="159" w:line="185" w:lineRule="auto"/>
        <w:ind w:firstLine="60"/>
        <w:rPr>
          <w:rFonts w:ascii="仿宋" w:hAnsi="仿宋" w:eastAsia="仿宋" w:cs="仿宋"/>
          <w:color w:val="auto"/>
          <w:sz w:val="28"/>
          <w:szCs w:val="28"/>
          <w:highlight w:val="none"/>
        </w:rPr>
      </w:pPr>
      <w:r>
        <w:rPr>
          <w:color w:val="auto"/>
          <w:highlight w:val="none"/>
        </w:rPr>
        <w:drawing>
          <wp:inline distT="0" distB="0" distL="0" distR="0">
            <wp:extent cx="142240" cy="142240"/>
            <wp:effectExtent l="0" t="0" r="10160" b="10160"/>
            <wp:docPr id="20" name="IM 15"/>
            <wp:cNvGraphicFramePr/>
            <a:graphic xmlns:a="http://schemas.openxmlformats.org/drawingml/2006/main">
              <a:graphicData uri="http://schemas.openxmlformats.org/drawingml/2006/picture">
                <pic:pic xmlns:pic="http://schemas.openxmlformats.org/drawingml/2006/picture">
                  <pic:nvPicPr>
                    <pic:cNvPr id="20" name="IM 15"/>
                    <pic:cNvPicPr/>
                  </pic:nvPicPr>
                  <pic:blipFill>
                    <a:blip r:embed="rId20"/>
                    <a:stretch>
                      <a:fillRect/>
                    </a:stretch>
                  </pic:blipFill>
                  <pic:spPr>
                    <a:xfrm>
                      <a:off x="0" y="0"/>
                      <a:ext cx="142240" cy="142240"/>
                    </a:xfrm>
                    <a:prstGeom prst="rect">
                      <a:avLst/>
                    </a:prstGeom>
                  </pic:spPr>
                </pic:pic>
              </a:graphicData>
            </a:graphic>
          </wp:inline>
        </w:drawing>
      </w:r>
      <w:r>
        <w:rPr>
          <w:rFonts w:ascii="仿宋" w:hAnsi="仿宋" w:eastAsia="仿宋" w:cs="仿宋"/>
          <w:color w:val="auto"/>
          <w:spacing w:val="-1"/>
          <w:sz w:val="28"/>
          <w:szCs w:val="28"/>
          <w:highlight w:val="none"/>
        </w:rPr>
        <w:t>气体灭火系统</w:t>
      </w:r>
    </w:p>
    <w:p>
      <w:pPr>
        <w:shd w:val="clear"/>
        <w:spacing w:before="159" w:line="185" w:lineRule="auto"/>
        <w:ind w:firstLine="60"/>
        <w:rPr>
          <w:rFonts w:ascii="仿宋" w:hAnsi="仿宋" w:eastAsia="仿宋" w:cs="仿宋"/>
          <w:color w:val="auto"/>
          <w:sz w:val="28"/>
          <w:szCs w:val="28"/>
          <w:highlight w:val="none"/>
        </w:rPr>
      </w:pPr>
      <w:r>
        <w:rPr>
          <w:color w:val="auto"/>
          <w:highlight w:val="none"/>
        </w:rPr>
        <w:drawing>
          <wp:inline distT="0" distB="0" distL="0" distR="0">
            <wp:extent cx="142240" cy="142240"/>
            <wp:effectExtent l="0" t="0" r="10160" b="10160"/>
            <wp:docPr id="21" name="IM 16"/>
            <wp:cNvGraphicFramePr/>
            <a:graphic xmlns:a="http://schemas.openxmlformats.org/drawingml/2006/main">
              <a:graphicData uri="http://schemas.openxmlformats.org/drawingml/2006/picture">
                <pic:pic xmlns:pic="http://schemas.openxmlformats.org/drawingml/2006/picture">
                  <pic:nvPicPr>
                    <pic:cNvPr id="21" name="IM 16"/>
                    <pic:cNvPicPr/>
                  </pic:nvPicPr>
                  <pic:blipFill>
                    <a:blip r:embed="rId20"/>
                    <a:stretch>
                      <a:fillRect/>
                    </a:stretch>
                  </pic:blipFill>
                  <pic:spPr>
                    <a:xfrm>
                      <a:off x="0" y="0"/>
                      <a:ext cx="142240" cy="142240"/>
                    </a:xfrm>
                    <a:prstGeom prst="rect">
                      <a:avLst/>
                    </a:prstGeom>
                  </pic:spPr>
                </pic:pic>
              </a:graphicData>
            </a:graphic>
          </wp:inline>
        </w:drawing>
      </w:r>
      <w:r>
        <w:rPr>
          <w:rFonts w:ascii="仿宋" w:hAnsi="仿宋" w:eastAsia="仿宋" w:cs="仿宋"/>
          <w:color w:val="auto"/>
          <w:spacing w:val="-1"/>
          <w:sz w:val="28"/>
          <w:szCs w:val="28"/>
          <w:highlight w:val="none"/>
        </w:rPr>
        <w:t>机械排烟系统</w:t>
      </w:r>
    </w:p>
    <w:p>
      <w:pPr>
        <w:shd w:val="clear"/>
        <w:spacing w:before="160" w:line="185" w:lineRule="auto"/>
        <w:ind w:firstLine="60"/>
        <w:rPr>
          <w:rFonts w:ascii="仿宋" w:hAnsi="仿宋" w:eastAsia="仿宋" w:cs="仿宋"/>
          <w:color w:val="auto"/>
          <w:sz w:val="28"/>
          <w:szCs w:val="28"/>
          <w:highlight w:val="none"/>
        </w:rPr>
      </w:pPr>
      <w:r>
        <w:rPr>
          <w:color w:val="auto"/>
          <w:highlight w:val="none"/>
        </w:rPr>
        <w:drawing>
          <wp:inline distT="0" distB="0" distL="0" distR="0">
            <wp:extent cx="142240" cy="142240"/>
            <wp:effectExtent l="0" t="0" r="10160" b="10160"/>
            <wp:docPr id="22" name="IM 17"/>
            <wp:cNvGraphicFramePr/>
            <a:graphic xmlns:a="http://schemas.openxmlformats.org/drawingml/2006/main">
              <a:graphicData uri="http://schemas.openxmlformats.org/drawingml/2006/picture">
                <pic:pic xmlns:pic="http://schemas.openxmlformats.org/drawingml/2006/picture">
                  <pic:nvPicPr>
                    <pic:cNvPr id="22" name="IM 17"/>
                    <pic:cNvPicPr/>
                  </pic:nvPicPr>
                  <pic:blipFill>
                    <a:blip r:embed="rId21"/>
                    <a:stretch>
                      <a:fillRect/>
                    </a:stretch>
                  </pic:blipFill>
                  <pic:spPr>
                    <a:xfrm>
                      <a:off x="0" y="0"/>
                      <a:ext cx="142240" cy="142240"/>
                    </a:xfrm>
                    <a:prstGeom prst="rect">
                      <a:avLst/>
                    </a:prstGeom>
                  </pic:spPr>
                </pic:pic>
              </a:graphicData>
            </a:graphic>
          </wp:inline>
        </w:drawing>
      </w:r>
      <w:r>
        <w:rPr>
          <w:rFonts w:ascii="仿宋" w:hAnsi="仿宋" w:eastAsia="仿宋" w:cs="仿宋"/>
          <w:color w:val="auto"/>
          <w:spacing w:val="-1"/>
          <w:sz w:val="28"/>
          <w:szCs w:val="28"/>
          <w:highlight w:val="none"/>
        </w:rPr>
        <w:t>应急广播系统</w:t>
      </w:r>
    </w:p>
    <w:p>
      <w:pPr>
        <w:shd w:val="clear"/>
        <w:spacing w:before="159" w:line="185" w:lineRule="auto"/>
        <w:ind w:firstLine="60"/>
        <w:rPr>
          <w:rFonts w:ascii="仿宋" w:hAnsi="仿宋" w:eastAsia="仿宋" w:cs="仿宋"/>
          <w:color w:val="auto"/>
          <w:sz w:val="28"/>
          <w:szCs w:val="28"/>
          <w:highlight w:val="none"/>
        </w:rPr>
      </w:pPr>
      <w:r>
        <w:rPr>
          <w:color w:val="auto"/>
          <w:highlight w:val="none"/>
        </w:rPr>
        <w:drawing>
          <wp:inline distT="0" distB="0" distL="0" distR="0">
            <wp:extent cx="142240" cy="142240"/>
            <wp:effectExtent l="0" t="0" r="10160" b="10160"/>
            <wp:docPr id="23" name="IM 18"/>
            <wp:cNvGraphicFramePr/>
            <a:graphic xmlns:a="http://schemas.openxmlformats.org/drawingml/2006/main">
              <a:graphicData uri="http://schemas.openxmlformats.org/drawingml/2006/picture">
                <pic:pic xmlns:pic="http://schemas.openxmlformats.org/drawingml/2006/picture">
                  <pic:nvPicPr>
                    <pic:cNvPr id="23" name="IM 18"/>
                    <pic:cNvPicPr/>
                  </pic:nvPicPr>
                  <pic:blipFill>
                    <a:blip r:embed="rId20"/>
                    <a:stretch>
                      <a:fillRect/>
                    </a:stretch>
                  </pic:blipFill>
                  <pic:spPr>
                    <a:xfrm>
                      <a:off x="0" y="0"/>
                      <a:ext cx="142240" cy="142240"/>
                    </a:xfrm>
                    <a:prstGeom prst="rect">
                      <a:avLst/>
                    </a:prstGeom>
                  </pic:spPr>
                </pic:pic>
              </a:graphicData>
            </a:graphic>
          </wp:inline>
        </w:drawing>
      </w:r>
      <w:r>
        <w:rPr>
          <w:rFonts w:ascii="仿宋" w:hAnsi="仿宋" w:eastAsia="仿宋" w:cs="仿宋"/>
          <w:color w:val="auto"/>
          <w:spacing w:val="-1"/>
          <w:sz w:val="28"/>
          <w:szCs w:val="28"/>
          <w:highlight w:val="none"/>
        </w:rPr>
        <w:t>防火分隔</w:t>
      </w:r>
    </w:p>
    <w:p>
      <w:pPr>
        <w:shd w:val="clear"/>
        <w:spacing w:before="160" w:line="185" w:lineRule="auto"/>
        <w:ind w:firstLine="60"/>
        <w:rPr>
          <w:rFonts w:ascii="仿宋" w:hAnsi="仿宋" w:eastAsia="仿宋" w:cs="仿宋"/>
          <w:color w:val="auto"/>
          <w:sz w:val="28"/>
          <w:szCs w:val="28"/>
          <w:highlight w:val="none"/>
        </w:rPr>
      </w:pPr>
      <w:r>
        <w:rPr>
          <w:color w:val="auto"/>
          <w:highlight w:val="none"/>
        </w:rPr>
        <w:drawing>
          <wp:inline distT="0" distB="0" distL="0" distR="0">
            <wp:extent cx="142240" cy="141605"/>
            <wp:effectExtent l="0" t="0" r="10160" b="10795"/>
            <wp:docPr id="24" name="IM 19"/>
            <wp:cNvGraphicFramePr/>
            <a:graphic xmlns:a="http://schemas.openxmlformats.org/drawingml/2006/main">
              <a:graphicData uri="http://schemas.openxmlformats.org/drawingml/2006/picture">
                <pic:pic xmlns:pic="http://schemas.openxmlformats.org/drawingml/2006/picture">
                  <pic:nvPicPr>
                    <pic:cNvPr id="24" name="IM 19"/>
                    <pic:cNvPicPr/>
                  </pic:nvPicPr>
                  <pic:blipFill>
                    <a:blip r:embed="rId22"/>
                    <a:stretch>
                      <a:fillRect/>
                    </a:stretch>
                  </pic:blipFill>
                  <pic:spPr>
                    <a:xfrm>
                      <a:off x="0" y="0"/>
                      <a:ext cx="142240" cy="142239"/>
                    </a:xfrm>
                    <a:prstGeom prst="rect">
                      <a:avLst/>
                    </a:prstGeom>
                  </pic:spPr>
                </pic:pic>
              </a:graphicData>
            </a:graphic>
          </wp:inline>
        </w:drawing>
      </w:r>
      <w:r>
        <w:rPr>
          <w:rFonts w:ascii="仿宋" w:hAnsi="仿宋" w:eastAsia="仿宋" w:cs="仿宋"/>
          <w:color w:val="auto"/>
          <w:spacing w:val="-1"/>
          <w:sz w:val="28"/>
          <w:szCs w:val="28"/>
          <w:highlight w:val="none"/>
        </w:rPr>
        <w:t>细水雾灭火系统</w:t>
      </w:r>
    </w:p>
    <w:p>
      <w:pPr>
        <w:shd w:val="clear"/>
        <w:spacing w:before="159" w:line="185" w:lineRule="auto"/>
        <w:ind w:firstLine="60"/>
        <w:rPr>
          <w:rFonts w:ascii="仿宋" w:hAnsi="仿宋" w:eastAsia="仿宋" w:cs="仿宋"/>
          <w:color w:val="auto"/>
          <w:sz w:val="28"/>
          <w:szCs w:val="28"/>
          <w:highlight w:val="none"/>
        </w:rPr>
      </w:pPr>
      <w:r>
        <w:rPr>
          <w:color w:val="auto"/>
          <w:highlight w:val="none"/>
        </w:rPr>
        <w:drawing>
          <wp:inline distT="0" distB="0" distL="0" distR="0">
            <wp:extent cx="142240" cy="141605"/>
            <wp:effectExtent l="0" t="0" r="10160" b="10795"/>
            <wp:docPr id="25" name="IM 20"/>
            <wp:cNvGraphicFramePr/>
            <a:graphic xmlns:a="http://schemas.openxmlformats.org/drawingml/2006/main">
              <a:graphicData uri="http://schemas.openxmlformats.org/drawingml/2006/picture">
                <pic:pic xmlns:pic="http://schemas.openxmlformats.org/drawingml/2006/picture">
                  <pic:nvPicPr>
                    <pic:cNvPr id="25" name="IM 20"/>
                    <pic:cNvPicPr/>
                  </pic:nvPicPr>
                  <pic:blipFill>
                    <a:blip r:embed="rId21"/>
                    <a:stretch>
                      <a:fillRect/>
                    </a:stretch>
                  </pic:blipFill>
                  <pic:spPr>
                    <a:xfrm>
                      <a:off x="0" y="0"/>
                      <a:ext cx="142240" cy="142239"/>
                    </a:xfrm>
                    <a:prstGeom prst="rect">
                      <a:avLst/>
                    </a:prstGeom>
                  </pic:spPr>
                </pic:pic>
              </a:graphicData>
            </a:graphic>
          </wp:inline>
        </w:drawing>
      </w:r>
      <w:r>
        <w:rPr>
          <w:rFonts w:ascii="仿宋" w:hAnsi="仿宋" w:eastAsia="仿宋" w:cs="仿宋"/>
          <w:color w:val="auto"/>
          <w:spacing w:val="-1"/>
          <w:sz w:val="28"/>
          <w:szCs w:val="28"/>
          <w:highlight w:val="none"/>
        </w:rPr>
        <w:t>灭火器</w:t>
      </w:r>
    </w:p>
    <w:p>
      <w:pPr>
        <w:shd w:val="clear"/>
        <w:spacing w:before="159" w:line="185" w:lineRule="auto"/>
        <w:ind w:firstLine="60"/>
        <w:rPr>
          <w:rFonts w:ascii="仿宋" w:hAnsi="仿宋" w:eastAsia="仿宋" w:cs="仿宋"/>
          <w:color w:val="auto"/>
          <w:sz w:val="28"/>
          <w:szCs w:val="28"/>
          <w:highlight w:val="none"/>
        </w:rPr>
      </w:pPr>
      <w:r>
        <w:rPr>
          <w:color w:val="auto"/>
          <w:highlight w:val="none"/>
        </w:rPr>
        <w:drawing>
          <wp:inline distT="0" distB="0" distL="0" distR="0">
            <wp:extent cx="142240" cy="141605"/>
            <wp:effectExtent l="0" t="0" r="10160" b="10795"/>
            <wp:docPr id="26" name="IM 21"/>
            <wp:cNvGraphicFramePr/>
            <a:graphic xmlns:a="http://schemas.openxmlformats.org/drawingml/2006/main">
              <a:graphicData uri="http://schemas.openxmlformats.org/drawingml/2006/picture">
                <pic:pic xmlns:pic="http://schemas.openxmlformats.org/drawingml/2006/picture">
                  <pic:nvPicPr>
                    <pic:cNvPr id="26" name="IM 21"/>
                    <pic:cNvPicPr/>
                  </pic:nvPicPr>
                  <pic:blipFill>
                    <a:blip r:embed="rId22"/>
                    <a:stretch>
                      <a:fillRect/>
                    </a:stretch>
                  </pic:blipFill>
                  <pic:spPr>
                    <a:xfrm>
                      <a:off x="0" y="0"/>
                      <a:ext cx="142240" cy="142239"/>
                    </a:xfrm>
                    <a:prstGeom prst="rect">
                      <a:avLst/>
                    </a:prstGeom>
                  </pic:spPr>
                </pic:pic>
              </a:graphicData>
            </a:graphic>
          </wp:inline>
        </w:drawing>
      </w:r>
      <w:r>
        <w:rPr>
          <w:rFonts w:ascii="仿宋" w:hAnsi="仿宋" w:eastAsia="仿宋" w:cs="仿宋"/>
          <w:color w:val="auto"/>
          <w:spacing w:val="-1"/>
          <w:sz w:val="28"/>
          <w:szCs w:val="28"/>
          <w:highlight w:val="none"/>
        </w:rPr>
        <w:t>探火管灭火装置</w:t>
      </w:r>
    </w:p>
    <w:p>
      <w:pPr>
        <w:shd w:val="clear"/>
        <w:rPr>
          <w:color w:val="auto"/>
          <w:highlight w:val="none"/>
        </w:rPr>
        <w:sectPr>
          <w:type w:val="continuous"/>
          <w:pgSz w:w="11906" w:h="16838"/>
          <w:pgMar w:top="2273" w:right="1411" w:bottom="635" w:left="1417" w:header="1168" w:footer="495" w:gutter="0"/>
          <w:cols w:equalWidth="0" w:num="2">
            <w:col w:w="5578" w:space="100"/>
            <w:col w:w="3399"/>
          </w:cols>
        </w:sectPr>
      </w:pPr>
    </w:p>
    <w:p>
      <w:pPr>
        <w:shd w:val="clear"/>
        <w:spacing w:before="127" w:line="222" w:lineRule="auto"/>
        <w:ind w:left="12"/>
        <w:outlineLvl w:val="1"/>
        <w:rPr>
          <w:rFonts w:ascii="仿宋" w:hAnsi="仿宋" w:eastAsia="仿宋" w:cs="仿宋"/>
          <w:color w:val="auto"/>
          <w:spacing w:val="-12"/>
          <w:sz w:val="28"/>
          <w:szCs w:val="28"/>
          <w:highlight w:val="none"/>
          <w14:textOutline w14:w="5105" w14:cap="sq" w14:cmpd="sng" w14:algn="ctr">
            <w14:solidFill>
              <w14:srgbClr w14:val="000000"/>
            </w14:solidFill>
            <w14:prstDash w14:val="solid"/>
            <w14:bevel/>
          </w14:textOutline>
        </w:rPr>
      </w:pPr>
    </w:p>
    <w:p>
      <w:pPr>
        <w:keepNext w:val="0"/>
        <w:keepLines w:val="0"/>
        <w:widowControl/>
        <w:suppressLineNumbers w:val="0"/>
        <w:shd w:val="clear"/>
        <w:ind w:firstLine="560" w:firstLineChars="200"/>
        <w:jc w:val="left"/>
        <w:rPr>
          <w:color w:val="auto"/>
          <w:highlight w:val="none"/>
        </w:rPr>
      </w:pPr>
      <w:r>
        <w:rPr>
          <w:rFonts w:ascii="仿宋" w:hAnsi="仿宋" w:eastAsia="仿宋" w:cs="仿宋"/>
          <w:color w:val="auto"/>
          <w:kern w:val="0"/>
          <w:sz w:val="28"/>
          <w:szCs w:val="28"/>
          <w:highlight w:val="none"/>
          <w:lang w:val="en-US" w:eastAsia="zh-CN" w:bidi="ar"/>
        </w:rPr>
        <w:t xml:space="preserve">第二条维护保养消防工程内容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乙方根据《建筑消防设施的维护管理》 (GB25201－2010) 及甲方建筑消防设施的实际情况，向甲方提供《维护方案》并经甲方审核书面确认。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本着“质量第一、用户至上”的服务宗旨，严格按照甲、乙双方确定的《维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护方案》进行消防系统的维修服务，具体为：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一、委托消防工程范围内各系统的定期测试和检修。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二、委托消防工程范围内各系统故障以及隐患的处理、排除。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三、委托消防工程范围内各系统故障以及易损件的维护、修理、更换。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四、《维护方案》中确定的其他维护保养服务。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第三条 维护保养消防工程时间周期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每月按《维护方案》对消防系统各设备至少进行一次检测维护，每季度按《维护方案》中季检要求对消防系统进行全面检测维护。每年度按《维护方案》中年检要求对系统进行全面的年度检测维护。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注：1、月、季、年检要求详见维护方案。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2、季、年检的检测时间甲、乙双方具体商定。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3、在进行季、年检的当周不再进行周检。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第四条 维护保养消防工程的合同期限、金额及付款方式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一、消防工程维修服务的期限为2年，自 2024年 01 月 01 日起至2025 年 12 月 31 日止。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二、本合同维保建筑面积为 平方米，维保单价为  元/</w:t>
      </w:r>
      <w:r>
        <w:rPr>
          <w:rFonts w:hint="eastAsia" w:ascii="仿宋" w:hAnsi="仿宋" w:eastAsia="仿宋" w:cs="仿宋"/>
          <w:color w:val="auto"/>
          <w:kern w:val="0"/>
          <w:sz w:val="28"/>
          <w:szCs w:val="28"/>
          <w:highlight w:val="none"/>
          <w:vertAlign w:val="baseline"/>
          <w:lang w:val="en-US" w:eastAsia="zh-CN" w:bidi="ar"/>
        </w:rPr>
        <w:t>平方米</w:t>
      </w:r>
      <w:r>
        <w:rPr>
          <w:rFonts w:hint="eastAsia" w:ascii="仿宋" w:hAnsi="仿宋" w:eastAsia="仿宋" w:cs="仿宋"/>
          <w:color w:val="auto"/>
          <w:kern w:val="0"/>
          <w:sz w:val="28"/>
          <w:szCs w:val="28"/>
          <w:highlight w:val="none"/>
          <w:lang w:val="en-US" w:eastAsia="zh-CN" w:bidi="ar"/>
        </w:rPr>
        <w:t>。消防设施维护保养费用为每年  元整。两年共计   元整 (人民币大写：   ) (含税) 。本合同为固定总价合同，上述价格在本合同维保期内固定不变，已包含乙方为履行本合同所产的一切相关费用，包括但不限于维护保养、检测、培训、人工、物耗等一切相关费用，乙方明确，甲方除支付合同约定的上述款项外，无需再行支付其他任何费用及款项。</w:t>
      </w:r>
    </w:p>
    <w:p>
      <w:pPr>
        <w:keepNext w:val="0"/>
        <w:keepLines w:val="0"/>
        <w:widowControl/>
        <w:suppressLineNumbers w:val="0"/>
        <w:shd w:val="clear"/>
        <w:ind w:firstLine="560" w:firstLineChars="200"/>
        <w:jc w:val="left"/>
        <w:rPr>
          <w:color w:val="auto"/>
          <w:highlight w:val="none"/>
        </w:rPr>
      </w:pPr>
      <w:r>
        <w:rPr>
          <w:rFonts w:ascii="仿宋" w:hAnsi="仿宋" w:eastAsia="仿宋" w:cs="仿宋"/>
          <w:color w:val="auto"/>
          <w:kern w:val="0"/>
          <w:sz w:val="28"/>
          <w:szCs w:val="28"/>
          <w:highlight w:val="none"/>
          <w:lang w:val="en-US" w:eastAsia="zh-CN" w:bidi="ar"/>
        </w:rPr>
        <w:t xml:space="preserve">三、支付方式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1、甲方在本合同签订之日起 / 日内(即 / 年 / 月 / 日前) 向乙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方支付本年度维护费用的 / %，即人民币 0 元。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2、乙方完成合同约定的本年度维护服务工作一半后 (即服务满半年) ，且经甲方对乙方1-6月提供的维保工作验收通过后，甲方向乙方支付合同总额维保费用的25 %，即人民币    元。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3、本年度维护服务期满后 ，乙方完成本合同约定的全部维护服务，依据消防检测公司出具的检测合格报告和甲方对乙方提供的年度维保工作整体书面验收合格通过，且确认合同期内乙方无任何违约情形后，甲方向乙方支付合同总额维保费用的25 % 费用即人民币   元 ，经对第一年维保工作进行整体评估合格后后，开始第二个维保服务周期，付款进度同第一年保持一致。</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4、乙方应在甲方付款前提供真实合法有效且符合甲方财务做账需求</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的正规等额增值税发票，经过甲方财务部门审批后付款，否则甲方有权拒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付款项且不承担违约责任。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5、甲方向乙方账户付款，即为完成本合同项下对乙方相应的付款义务。乙方对账户信息的准确性和可用性承担全部责任。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第五条 甲方的权利和义务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一、甲方必须按本合同约定的付款方式按时拨付合同款给乙方，不得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借故拖欠各种应付款项，如发生无故拖欠现象，视为甲方违约，将按本合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同约定承担违约责任。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二、甲方消防控制室实行 24 小时值班制度，且均应通过消防行业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特有工种职业技能鉴定，持有初级技能以上等级的职业资格证书；值班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人员必须严格落实日常巡视、检查、记录等制度，一旦发现故障不能自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行排除时，应及时通知乙方。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三、甲方应为给乙方提供检测维修现场使用必要的机具、设备等，为乙方的工作提供便利。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四、甲方应向乙方提供有关消防系统的有关竣工图、设备逻辑关系表、端子图、消防系统各设备详细资料以及消防控制设备的操作说明书等乙方需要的相关资料。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五、甲方交给乙方维护的消防系统各种设备和设施应无故障和损坏，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并由乙方认可；若系统存在明显的故障和设备损坏，甲方应负责解决。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六、合同期间内，在维修保养过程中如发现消防设备或部件存在质量问题，影响系统正常工作需另购置时，设备由甲方负责购买，乙方负责对设备或部件进行更换，更换费用包含在合同价中。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七、合同期间非乙方原因造成的消防设备丢失或损坏产生的更换和维修费用由甲方承担。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八、乙方送达甲方的检测记录或工作报告，甲方在收到后七日内应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给予书面答复。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九、乙方不按合同规定履行维修保养职责、出具虚假维修保养报告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的， 甲方有权解除维修保养合同。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十、有权核查现场维护保养人员执业资格。 </w:t>
      </w:r>
    </w:p>
    <w:p>
      <w:pPr>
        <w:keepNext w:val="0"/>
        <w:keepLines w:val="0"/>
        <w:widowControl/>
        <w:suppressLineNumbers w:val="0"/>
        <w:shd w:val="clear"/>
        <w:jc w:val="left"/>
        <w:rPr>
          <w:color w:val="auto"/>
          <w:highlight w:val="none"/>
        </w:rPr>
      </w:pPr>
      <w:r>
        <w:rPr>
          <w:rFonts w:hint="eastAsia" w:ascii="仿宋" w:hAnsi="仿宋" w:eastAsia="仿宋" w:cs="仿宋"/>
          <w:b/>
          <w:bCs/>
          <w:color w:val="auto"/>
          <w:kern w:val="0"/>
          <w:sz w:val="28"/>
          <w:szCs w:val="28"/>
          <w:highlight w:val="none"/>
          <w:lang w:val="en-US" w:eastAsia="zh-CN" w:bidi="ar"/>
        </w:rPr>
        <w:t xml:space="preserve">第六条 乙方的权利和义务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一、认真履行建筑消防设施维护保养工作的职责，其主要工作内容：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（一）按照国家相关消防规范规定和《维修方案》的具体内容，对委托维护保养的消防设施进行定期的技术性能测试检查和消防系统功能性操作试验检查及修缮；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（二）委托维护保养的消防设施在出现故障或不正常现象时,及时负责进行维修，恢复消防系统的正常状态，并向甲方提供故障原因的调分析报告；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（三）建筑物进行改建或重新装修时，导致感烟探测器等消防设施拆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卸、改变位置（敷设管线），或需要增加消防设施时，负责协助甲方制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定消防设施整改方案，并进行实施；并在完工后对所属区域消防设施的恢复开通状况 及功能进行检查测试；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二、根据维护保养对象的具体情况，拟定具体的工作方案，明确项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目负责人。执业人员应当认真如实填写维护保养记录。乙方月检和季检、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年检工作完后，应填写巡检单、维修单，并出具季、年检报告，出具真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实、规范的维护保养记录，由甲、乙双方负责人签字分别存档备案。及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时向甲方出具维护保养记录或问题反馈意见书。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三、在消防维护服务中，乙方不得改动原消防系统的电气、电子线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路和零部件，需改动应通知甲方，在甲方认可书面同意后改动。并向甲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方提供更换后的技术资料。乙方擅自改动消防设施给甲方造成损失的，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应承担赔偿责任。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四、消防设施维护保养合同有效期间，消防设施发生故障，在接到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甲方通知确认后，2 小时以内派人到达现场进行处理，并据实填写维修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单，由甲、乙双方授权人签字后生效，分别交甲、乙双方存档备查。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五、乙方收到甲方提供的其所需要的相关材料时应向甲方出具收条，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乙方应妥善保管甲方提供的上述材料，合同期满后应全部无损的返还甲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方，如有损害造成甲方损失的，乙方应付损害赔偿责任。合同到期后，</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乙方应对所有维护系统、设备进行全面测试，并出具合格的消防设施检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测维保报告交付甲方确认。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六、乙方建立日常走访培训制度，应甲方要求义务培训甲方操作人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员，提高甲方消防系统操作人员的业务技能，达到熟练掌握消防设施系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统日常操作、检查、维护、故障排除等要求。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七、维修期间确需暂时停用消防系统的，必须报经甲方消防安全责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任人批准；故障排除后要进行相应功能试验并报经甲方消防安全管理人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检查确认。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八、本合同期限内发生火灾，因乙方维护保养不到位造成消防设施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未能及时、有效动作，造成甲方财产损失的应由乙方承担相应法律责任。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因乙方原因致使甲方消防设施不能正常运转导致相应消防行政处罚，乙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方承担相应法律责任。同时，乙方应承担由此产生的一切经济赔偿责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任。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九、因设备质量、安装工艺、工程质量、设计缺陷等原因造成乙方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不能正常对甲方设施维护保养，乙方在提出整改意见或方案后，甲方未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及时 回应或解决，由此导致的各类问题，乙方不承担法律责任。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十、合同到期后，乙方应对所有维护系统、设备进行全面测试，并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出具合格的消防设施检测维保报告交付甲方书面确认。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十一、乙方在进行维护维修过程中应遵守消防安全管理的有关规定，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如因乙方原因造成事故的（包括造成乙方人员人身伤亡、财产损害或甲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方及任何第三人人身伤亡、财产损害等安全事故），乙方应承担全部的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法律责任，甲方对此不承担任何责任。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十二、具备消防设施维护保养的相应从业资格，依照法律法规、技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术标准和执业准则，开展消防设施维护保养技术服务活动，对维护保养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质量负责。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十三、乙方如发现设备明显故障和潜在故障，应及时通知甲方，若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需维修和更换设备、材料及时告知甲方。其维修更换材料由甲方购买，安装费用包含在合同价中。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十四、不得转包、分包消防设施维护保养技术服务项目。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十五、在维保期内，如设备发生故障时，乙方接到甲方的通知后及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时到现场，对设备进行维修，并对整个系统进行综合检查达到正常运行。 </w:t>
      </w:r>
    </w:p>
    <w:p>
      <w:pPr>
        <w:keepNext w:val="0"/>
        <w:keepLines w:val="0"/>
        <w:widowControl/>
        <w:suppressLineNumbers w:val="0"/>
        <w:shd w:val="clear"/>
        <w:ind w:firstLine="562" w:firstLineChars="200"/>
        <w:jc w:val="left"/>
        <w:rPr>
          <w:color w:val="auto"/>
          <w:highlight w:val="none"/>
        </w:rPr>
      </w:pPr>
      <w:r>
        <w:rPr>
          <w:rFonts w:hint="eastAsia" w:ascii="仿宋" w:hAnsi="仿宋" w:eastAsia="仿宋" w:cs="仿宋"/>
          <w:b/>
          <w:bCs/>
          <w:color w:val="auto"/>
          <w:kern w:val="0"/>
          <w:sz w:val="28"/>
          <w:szCs w:val="28"/>
          <w:highlight w:val="none"/>
          <w:lang w:val="en-US" w:eastAsia="zh-CN" w:bidi="ar"/>
        </w:rPr>
        <w:t xml:space="preserve">第七条 违约责任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（一）乙方应当按照合同约定和《维护方案》的规定，及时、全面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履行维护保养义务，否则甲方有权拒付维护服务费用，造成甲方损失的，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乙方还应负损害赔偿责任。乙方无故拒绝提供维保服务或在半年服务期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内未能提供本合同及《维护方案》确定的维护保养义务50%的，甲方有 </w:t>
      </w:r>
    </w:p>
    <w:p>
      <w:pPr>
        <w:keepNext w:val="0"/>
        <w:keepLines w:val="0"/>
        <w:widowControl/>
        <w:suppressLineNumbers w:val="0"/>
        <w:shd w:val="clear"/>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（二）消防设施维护保养合同有效期间，消防设施发生故障，在接 </w:t>
      </w:r>
    </w:p>
    <w:p>
      <w:pPr>
        <w:keepNext w:val="0"/>
        <w:keepLines w:val="0"/>
        <w:widowControl/>
        <w:suppressLineNumbers w:val="0"/>
        <w:shd w:val="clear"/>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到甲方通知确认后，两小时以内派人到达现场进行处理，紧急情况或特 </w:t>
      </w:r>
    </w:p>
    <w:p>
      <w:pPr>
        <w:keepNext w:val="0"/>
        <w:keepLines w:val="0"/>
        <w:widowControl/>
        <w:suppressLineNumbers w:val="0"/>
        <w:shd w:val="clear"/>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别重大隐患需在一小时以内派人到达现场进行处理。如乙方不能按时到 </w:t>
      </w:r>
    </w:p>
    <w:p>
      <w:pPr>
        <w:keepNext w:val="0"/>
        <w:keepLines w:val="0"/>
        <w:widowControl/>
        <w:suppressLineNumbers w:val="0"/>
        <w:shd w:val="clear"/>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达现场，每发生一次，乙方需承担：500元至1000元的违约金，具体数 </w:t>
      </w:r>
    </w:p>
    <w:p>
      <w:pPr>
        <w:keepNext w:val="0"/>
        <w:keepLines w:val="0"/>
        <w:widowControl/>
        <w:suppressLineNumbers w:val="0"/>
        <w:shd w:val="clear"/>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额由甲方视情节严重程度决定；上述情形发生三次以上，甲方有权单方 </w:t>
      </w:r>
    </w:p>
    <w:p>
      <w:pPr>
        <w:keepNext w:val="0"/>
        <w:keepLines w:val="0"/>
        <w:widowControl/>
        <w:suppressLineNumbers w:val="0"/>
        <w:shd w:val="clear"/>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面终止本合同。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权单方面解除本合同，乙方应向甲方支付合同总价款20%的违约金。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（三）对乙方不按规定履行义务，在维护保养中弄虚作假或严重不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负责任的，或转包、分包消防设施维护保养技术服务项目的，甲方有权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解除维保合同，乙方应向甲方支付合同总价款20%的违约金。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（四）乙方未能依照技术标准和执业准则，导致消防设施出现质量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问题或损坏的，乙方应照价赔偿。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（五）合同履行过程中，如甲方因乙方维保不及时等原因被消防主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管部门处罚的，乙方应承担全部赔偿及行政责任。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（六）甲乙双方不得无故提前终止合同履行，否则违约方应向守约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方支付违约金，同时守约方还有权要求违约方继续实际履行本合同。 </w:t>
      </w:r>
    </w:p>
    <w:p>
      <w:pPr>
        <w:keepNext w:val="0"/>
        <w:keepLines w:val="0"/>
        <w:widowControl/>
        <w:suppressLineNumbers w:val="0"/>
        <w:shd w:val="clear"/>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（七）乙方应保证，经其维护保养过的消防设施，能正常有效运转。 </w:t>
      </w:r>
    </w:p>
    <w:p>
      <w:pPr>
        <w:keepNext w:val="0"/>
        <w:keepLines w:val="0"/>
        <w:widowControl/>
        <w:suppressLineNumbers w:val="0"/>
        <w:shd w:val="clear"/>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若在本合同期限内发生火灾，因乙方维护保养不到位造成消防设施不能 </w:t>
      </w:r>
    </w:p>
    <w:p>
      <w:pPr>
        <w:keepNext w:val="0"/>
        <w:keepLines w:val="0"/>
        <w:widowControl/>
        <w:suppressLineNumbers w:val="0"/>
        <w:shd w:val="clear"/>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正常运转，未能及时、有效动作，造成甲方财产损失的，或导致相应消 </w:t>
      </w:r>
    </w:p>
    <w:p>
      <w:pPr>
        <w:keepNext w:val="0"/>
        <w:keepLines w:val="0"/>
        <w:widowControl/>
        <w:suppressLineNumbers w:val="0"/>
        <w:shd w:val="clear"/>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防行政处罚的，应由乙方向甲方承担本合同总额30%的违约金，并承担 </w:t>
      </w:r>
    </w:p>
    <w:p>
      <w:pPr>
        <w:keepNext w:val="0"/>
        <w:keepLines w:val="0"/>
        <w:widowControl/>
        <w:suppressLineNumbers w:val="0"/>
        <w:shd w:val="clear"/>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相应的法律责任；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（七）乙方支付上述违约金不足以弥补甲方损失的，以甲方的实际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损失为准。 </w:t>
      </w:r>
    </w:p>
    <w:p>
      <w:pPr>
        <w:keepNext w:val="0"/>
        <w:keepLines w:val="0"/>
        <w:widowControl/>
        <w:suppressLineNumbers w:val="0"/>
        <w:shd w:val="clear"/>
        <w:jc w:val="left"/>
        <w:rPr>
          <w:color w:val="auto"/>
          <w:highlight w:val="none"/>
        </w:rPr>
      </w:pPr>
      <w:r>
        <w:rPr>
          <w:rFonts w:hint="eastAsia" w:ascii="仿宋" w:hAnsi="仿宋" w:eastAsia="仿宋" w:cs="仿宋"/>
          <w:b/>
          <w:bCs/>
          <w:color w:val="auto"/>
          <w:kern w:val="0"/>
          <w:sz w:val="28"/>
          <w:szCs w:val="28"/>
          <w:highlight w:val="none"/>
          <w:lang w:val="en-US" w:eastAsia="zh-CN" w:bidi="ar"/>
        </w:rPr>
        <w:t xml:space="preserve">第八条 增补内容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 </w:t>
      </w:r>
    </w:p>
    <w:p>
      <w:pPr>
        <w:keepNext w:val="0"/>
        <w:keepLines w:val="0"/>
        <w:widowControl/>
        <w:suppressLineNumbers w:val="0"/>
        <w:shd w:val="clear"/>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（略）</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与本合同有关的招标文件、投标文件、答疑附件、合同附件、新疆医科大学附属肿瘤医院建筑消防设施维护保养项目服务方案等是本合同不可分割的组成部分，与本合同具有同等法律效力。 </w:t>
      </w:r>
    </w:p>
    <w:p>
      <w:pPr>
        <w:keepNext w:val="0"/>
        <w:keepLines w:val="0"/>
        <w:widowControl/>
        <w:suppressLineNumbers w:val="0"/>
        <w:shd w:val="clear"/>
        <w:jc w:val="left"/>
        <w:rPr>
          <w:color w:val="auto"/>
          <w:highlight w:val="none"/>
        </w:rPr>
      </w:pPr>
      <w:r>
        <w:rPr>
          <w:rFonts w:hint="eastAsia" w:ascii="仿宋" w:hAnsi="仿宋" w:eastAsia="仿宋" w:cs="仿宋"/>
          <w:b/>
          <w:bCs/>
          <w:color w:val="auto"/>
          <w:kern w:val="0"/>
          <w:sz w:val="28"/>
          <w:szCs w:val="28"/>
          <w:highlight w:val="none"/>
          <w:lang w:val="en-US" w:eastAsia="zh-CN" w:bidi="ar"/>
        </w:rPr>
        <w:t xml:space="preserve">第九条 合同的生效与解除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一、本合同正本一式捌份，甲方执陆份，乙方执贰份，具有同等法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律效力。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二、本合同未尽事宜双方协商解决，并以书面形式签订补充协议，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补充协议作为本合同的附件，与本合同具有同等效力。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三、本合同自甲乙双方法定代表人或授权代表签字（盖章）并加盖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公章后生效，合同到期及合同义务履行完毕自行终止。 </w:t>
      </w:r>
    </w:p>
    <w:p>
      <w:pPr>
        <w:keepNext w:val="0"/>
        <w:keepLines w:val="0"/>
        <w:widowControl/>
        <w:suppressLineNumbers w:val="0"/>
        <w:shd w:val="clear"/>
        <w:jc w:val="left"/>
        <w:rPr>
          <w:color w:val="auto"/>
          <w:highlight w:val="none"/>
        </w:rPr>
      </w:pPr>
      <w:r>
        <w:rPr>
          <w:rFonts w:hint="eastAsia" w:ascii="仿宋" w:hAnsi="仿宋" w:eastAsia="仿宋" w:cs="仿宋"/>
          <w:b/>
          <w:bCs/>
          <w:color w:val="auto"/>
          <w:kern w:val="0"/>
          <w:sz w:val="28"/>
          <w:szCs w:val="28"/>
          <w:highlight w:val="none"/>
          <w:lang w:val="en-US" w:eastAsia="zh-CN" w:bidi="ar"/>
        </w:rPr>
        <w:t xml:space="preserve">第十条 争议解决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甲乙双方在履行合同过程中发生的争执，可以协商解决，或向工商部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门、消费者协会申请协调解决；或按下列</w:t>
      </w:r>
      <w:r>
        <w:rPr>
          <w:rFonts w:hint="eastAsia" w:ascii="仿宋" w:hAnsi="仿宋" w:eastAsia="仿宋" w:cs="仿宋"/>
          <w:b/>
          <w:bCs/>
          <w:color w:val="auto"/>
          <w:kern w:val="0"/>
          <w:sz w:val="28"/>
          <w:szCs w:val="28"/>
          <w:highlight w:val="none"/>
          <w:lang w:val="en-US" w:eastAsia="zh-CN" w:bidi="ar"/>
        </w:rPr>
        <w:t>第 2 种</w:t>
      </w:r>
      <w:r>
        <w:rPr>
          <w:rFonts w:hint="eastAsia" w:ascii="仿宋" w:hAnsi="仿宋" w:eastAsia="仿宋" w:cs="仿宋"/>
          <w:color w:val="auto"/>
          <w:kern w:val="0"/>
          <w:sz w:val="28"/>
          <w:szCs w:val="28"/>
          <w:highlight w:val="none"/>
          <w:lang w:val="en-US" w:eastAsia="zh-CN" w:bidi="ar"/>
        </w:rPr>
        <w:t xml:space="preserve">方式解决：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一、向/ 仲裁委员会仲裁；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二、向甲方所在地人民法院提起诉讼。 </w:t>
      </w:r>
    </w:p>
    <w:p>
      <w:pPr>
        <w:keepNext w:val="0"/>
        <w:keepLines w:val="0"/>
        <w:widowControl/>
        <w:suppressLineNumbers w:val="0"/>
        <w:shd w:val="clear"/>
        <w:ind w:firstLine="562" w:firstLineChars="200"/>
        <w:jc w:val="left"/>
        <w:rPr>
          <w:color w:val="auto"/>
          <w:highlight w:val="none"/>
        </w:rPr>
      </w:pPr>
      <w:r>
        <w:rPr>
          <w:rFonts w:hint="eastAsia" w:ascii="仿宋" w:hAnsi="仿宋" w:eastAsia="仿宋" w:cs="仿宋"/>
          <w:b/>
          <w:bCs/>
          <w:color w:val="auto"/>
          <w:kern w:val="0"/>
          <w:sz w:val="28"/>
          <w:szCs w:val="28"/>
          <w:highlight w:val="none"/>
          <w:lang w:val="en-US" w:eastAsia="zh-CN" w:bidi="ar"/>
        </w:rPr>
        <w:t xml:space="preserve">第十一条 合同附件 </w:t>
      </w:r>
    </w:p>
    <w:p>
      <w:pPr>
        <w:keepNext w:val="0"/>
        <w:keepLines w:val="0"/>
        <w:widowControl/>
        <w:suppressLineNumbers w:val="0"/>
        <w:shd w:val="clear"/>
        <w:ind w:firstLine="560" w:firstLineChars="200"/>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本合同的附件包括：《建筑消防设施维护保养项目服务方案》，与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本合同具有同等法律效力。 </w:t>
      </w:r>
    </w:p>
    <w:p>
      <w:pPr>
        <w:keepNext w:val="0"/>
        <w:keepLines w:val="0"/>
        <w:widowControl/>
        <w:suppressLineNumbers w:val="0"/>
        <w:shd w:val="clear"/>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（以下无正文，为合同签署页） </w:t>
      </w:r>
    </w:p>
    <w:p>
      <w:pPr>
        <w:pStyle w:val="19"/>
        <w:shd w:val="clear"/>
        <w:rPr>
          <w:rFonts w:hint="eastAsia" w:ascii="仿宋" w:hAnsi="仿宋" w:eastAsia="仿宋" w:cs="仿宋"/>
          <w:color w:val="auto"/>
          <w:kern w:val="0"/>
          <w:sz w:val="28"/>
          <w:szCs w:val="28"/>
          <w:highlight w:val="none"/>
          <w:lang w:val="en-US" w:eastAsia="zh-CN" w:bidi="ar"/>
        </w:rPr>
      </w:pPr>
    </w:p>
    <w:p>
      <w:pPr>
        <w:pStyle w:val="19"/>
        <w:shd w:val="clear"/>
        <w:rPr>
          <w:rFonts w:hint="eastAsia" w:ascii="仿宋" w:hAnsi="仿宋" w:eastAsia="仿宋" w:cs="仿宋"/>
          <w:color w:val="auto"/>
          <w:kern w:val="0"/>
          <w:sz w:val="28"/>
          <w:szCs w:val="28"/>
          <w:highlight w:val="none"/>
          <w:lang w:val="en-US" w:eastAsia="zh-CN" w:bidi="ar"/>
        </w:rPr>
      </w:pPr>
    </w:p>
    <w:p>
      <w:pPr>
        <w:pStyle w:val="19"/>
        <w:shd w:val="clear"/>
        <w:rPr>
          <w:rFonts w:hint="eastAsia" w:ascii="仿宋" w:hAnsi="仿宋" w:eastAsia="仿宋" w:cs="仿宋"/>
          <w:color w:val="auto"/>
          <w:kern w:val="0"/>
          <w:sz w:val="28"/>
          <w:szCs w:val="28"/>
          <w:highlight w:val="none"/>
          <w:lang w:val="en-US" w:eastAsia="zh-CN" w:bidi="ar"/>
        </w:rPr>
      </w:pPr>
    </w:p>
    <w:p>
      <w:pPr>
        <w:pStyle w:val="19"/>
        <w:shd w:val="clear"/>
        <w:rPr>
          <w:rFonts w:hint="eastAsia" w:ascii="仿宋" w:hAnsi="仿宋" w:eastAsia="仿宋" w:cs="仿宋"/>
          <w:color w:val="auto"/>
          <w:kern w:val="0"/>
          <w:sz w:val="28"/>
          <w:szCs w:val="28"/>
          <w:highlight w:val="none"/>
          <w:lang w:val="en-US" w:eastAsia="zh-CN" w:bidi="ar"/>
        </w:rPr>
      </w:pPr>
    </w:p>
    <w:p>
      <w:pPr>
        <w:pStyle w:val="19"/>
        <w:shd w:val="clear"/>
        <w:rPr>
          <w:rFonts w:hint="eastAsia" w:ascii="仿宋" w:hAnsi="仿宋" w:eastAsia="仿宋" w:cs="仿宋"/>
          <w:color w:val="auto"/>
          <w:kern w:val="0"/>
          <w:sz w:val="28"/>
          <w:szCs w:val="28"/>
          <w:highlight w:val="none"/>
          <w:lang w:val="en-US" w:eastAsia="zh-CN" w:bidi="ar"/>
        </w:rPr>
      </w:pPr>
    </w:p>
    <w:p>
      <w:pPr>
        <w:pStyle w:val="19"/>
        <w:shd w:val="clear"/>
        <w:rPr>
          <w:rFonts w:hint="eastAsia" w:ascii="仿宋" w:hAnsi="仿宋" w:eastAsia="仿宋" w:cs="仿宋"/>
          <w:color w:val="auto"/>
          <w:kern w:val="0"/>
          <w:sz w:val="28"/>
          <w:szCs w:val="28"/>
          <w:highlight w:val="none"/>
          <w:lang w:val="en-US" w:eastAsia="zh-CN" w:bidi="ar"/>
        </w:rPr>
      </w:pPr>
    </w:p>
    <w:p>
      <w:pPr>
        <w:pStyle w:val="19"/>
        <w:shd w:val="clear"/>
        <w:rPr>
          <w:rFonts w:hint="eastAsia" w:ascii="仿宋" w:hAnsi="仿宋" w:eastAsia="仿宋" w:cs="仿宋"/>
          <w:color w:val="auto"/>
          <w:kern w:val="0"/>
          <w:sz w:val="28"/>
          <w:szCs w:val="28"/>
          <w:highlight w:val="none"/>
          <w:lang w:val="en-US" w:eastAsia="zh-CN" w:bidi="ar"/>
        </w:rPr>
      </w:pPr>
    </w:p>
    <w:p>
      <w:pPr>
        <w:pStyle w:val="19"/>
        <w:shd w:val="clear"/>
        <w:rPr>
          <w:rFonts w:hint="eastAsia" w:ascii="仿宋" w:hAnsi="仿宋" w:eastAsia="仿宋" w:cs="仿宋"/>
          <w:color w:val="auto"/>
          <w:kern w:val="0"/>
          <w:sz w:val="28"/>
          <w:szCs w:val="28"/>
          <w:highlight w:val="none"/>
          <w:lang w:val="en-US" w:eastAsia="zh-CN" w:bidi="ar"/>
        </w:rPr>
      </w:pP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甲方:（加盖印章）                  乙方：（加盖印章） </w:t>
      </w:r>
    </w:p>
    <w:p>
      <w:pPr>
        <w:keepNext w:val="0"/>
        <w:keepLines w:val="0"/>
        <w:widowControl/>
        <w:suppressLineNumbers w:val="0"/>
        <w:shd w:val="clear"/>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新疆医科大学附属肿瘤医院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司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法定代表人：                      法定代表人：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授权代表人：                      授权代表人：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 xml:space="preserve">电话： 电话： </w:t>
      </w:r>
    </w:p>
    <w:p>
      <w:pPr>
        <w:keepNext w:val="0"/>
        <w:keepLines w:val="0"/>
        <w:widowControl/>
        <w:suppressLineNumbers w:val="0"/>
        <w:shd w:val="clear"/>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地址：乌市苏州东街789号         地址：</w:t>
      </w:r>
    </w:p>
    <w:p>
      <w:pPr>
        <w:pStyle w:val="19"/>
        <w:shd w:val="clear"/>
        <w:rPr>
          <w:color w:val="auto"/>
          <w:highlight w:val="none"/>
        </w:rPr>
      </w:pPr>
    </w:p>
    <w:p>
      <w:pPr>
        <w:keepNext w:val="0"/>
        <w:keepLines w:val="0"/>
        <w:widowControl/>
        <w:suppressLineNumbers w:val="0"/>
        <w:shd w:val="clear"/>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开户行：</w:t>
      </w:r>
      <w:r>
        <w:rPr>
          <w:rFonts w:hint="eastAsia" w:ascii="仿宋" w:hAnsi="仿宋" w:eastAsia="仿宋" w:cs="仿宋"/>
          <w:color w:val="auto"/>
          <w:kern w:val="0"/>
          <w:sz w:val="20"/>
          <w:szCs w:val="20"/>
          <w:highlight w:val="none"/>
          <w:lang w:val="en-US" w:eastAsia="zh-CN" w:bidi="ar"/>
        </w:rPr>
        <w:t xml:space="preserve">中国农业银行股份有限公司          </w:t>
      </w:r>
      <w:r>
        <w:rPr>
          <w:rFonts w:hint="eastAsia" w:ascii="仿宋" w:hAnsi="仿宋" w:eastAsia="仿宋" w:cs="仿宋"/>
          <w:color w:val="auto"/>
          <w:kern w:val="0"/>
          <w:sz w:val="28"/>
          <w:szCs w:val="28"/>
          <w:highlight w:val="none"/>
          <w:lang w:val="en-US" w:eastAsia="zh-CN" w:bidi="ar"/>
        </w:rPr>
        <w:t>开户行：</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0"/>
          <w:szCs w:val="20"/>
          <w:highlight w:val="none"/>
          <w:lang w:val="en-US" w:eastAsia="zh-CN" w:bidi="ar"/>
        </w:rPr>
        <w:t xml:space="preserve">乌鲁木齐苏州路（兵团）支行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0"/>
          <w:szCs w:val="20"/>
          <w:highlight w:val="none"/>
          <w:lang w:val="en-US" w:eastAsia="zh-CN" w:bidi="ar"/>
        </w:rPr>
        <w:t xml:space="preserve">克拉玛依西路友行 </w:t>
      </w:r>
    </w:p>
    <w:p>
      <w:pPr>
        <w:keepNext w:val="0"/>
        <w:keepLines w:val="0"/>
        <w:widowControl/>
        <w:suppressLineNumbers w:val="0"/>
        <w:shd w:val="clear"/>
        <w:jc w:val="left"/>
        <w:rPr>
          <w:color w:val="auto"/>
          <w:highlight w:val="none"/>
        </w:rPr>
      </w:pPr>
      <w:r>
        <w:rPr>
          <w:rFonts w:hint="eastAsia" w:ascii="仿宋" w:hAnsi="仿宋" w:eastAsia="仿宋" w:cs="仿宋"/>
          <w:color w:val="auto"/>
          <w:kern w:val="0"/>
          <w:sz w:val="28"/>
          <w:szCs w:val="28"/>
          <w:highlight w:val="none"/>
          <w:lang w:val="en-US" w:eastAsia="zh-CN" w:bidi="ar"/>
        </w:rPr>
        <w:t>帐号：</w:t>
      </w:r>
      <w:r>
        <w:rPr>
          <w:rFonts w:hint="eastAsia" w:ascii="仿宋" w:hAnsi="仿宋" w:eastAsia="仿宋" w:cs="仿宋"/>
          <w:color w:val="auto"/>
          <w:kern w:val="0"/>
          <w:sz w:val="20"/>
          <w:szCs w:val="20"/>
          <w:highlight w:val="none"/>
          <w:lang w:val="en-US" w:eastAsia="zh-CN" w:bidi="ar"/>
        </w:rPr>
        <w:t>30-705601040004288</w:t>
      </w:r>
      <w:r>
        <w:rPr>
          <w:rFonts w:hint="eastAsia" w:ascii="仿宋" w:hAnsi="仿宋" w:eastAsia="仿宋" w:cs="仿宋"/>
          <w:color w:val="auto"/>
          <w:kern w:val="0"/>
          <w:sz w:val="28"/>
          <w:szCs w:val="28"/>
          <w:highlight w:val="none"/>
          <w:lang w:val="en-US" w:eastAsia="zh-CN" w:bidi="ar"/>
        </w:rPr>
        <w:t xml:space="preserve"> 账号</w:t>
      </w:r>
    </w:p>
    <w:p>
      <w:pPr>
        <w:shd w:val="clear"/>
        <w:spacing w:before="1" w:line="204" w:lineRule="auto"/>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签约时间:</w:t>
      </w:r>
      <w:r>
        <w:rPr>
          <w:rFonts w:hint="eastAsia" w:ascii="仿宋" w:hAnsi="仿宋" w:eastAsia="仿宋" w:cs="仿宋"/>
          <w:color w:val="auto"/>
          <w:spacing w:val="-4"/>
          <w:sz w:val="28"/>
          <w:szCs w:val="28"/>
          <w:highlight w:val="none"/>
        </w:rPr>
        <w:t xml:space="preserve">               </w:t>
      </w:r>
      <w:r>
        <w:rPr>
          <w:rFonts w:hint="eastAsia" w:ascii="仿宋" w:hAnsi="仿宋" w:eastAsia="仿宋" w:cs="仿宋"/>
          <w:color w:val="auto"/>
          <w:spacing w:val="-4"/>
          <w:sz w:val="28"/>
          <w:szCs w:val="28"/>
          <w:highlight w:val="none"/>
          <w:lang w:val="en-US" w:eastAsia="zh-CN"/>
        </w:rPr>
        <w:t xml:space="preserve">             </w:t>
      </w:r>
      <w:r>
        <w:rPr>
          <w:rFonts w:ascii="仿宋" w:hAnsi="仿宋" w:eastAsia="仿宋" w:cs="仿宋"/>
          <w:color w:val="auto"/>
          <w:spacing w:val="-4"/>
          <w:sz w:val="28"/>
          <w:szCs w:val="28"/>
          <w:highlight w:val="none"/>
        </w:rPr>
        <w:t>签约时间:</w:t>
      </w:r>
    </w:p>
    <w:p>
      <w:pPr>
        <w:shd w:val="clear"/>
        <w:spacing w:before="127" w:line="222" w:lineRule="auto"/>
        <w:ind w:left="12"/>
        <w:outlineLvl w:val="1"/>
        <w:rPr>
          <w:rFonts w:ascii="仿宋" w:hAnsi="仿宋" w:eastAsia="仿宋" w:cs="仿宋"/>
          <w:color w:val="auto"/>
          <w:spacing w:val="-12"/>
          <w:sz w:val="28"/>
          <w:szCs w:val="28"/>
          <w:highlight w:val="none"/>
          <w14:textOutline w14:w="5105" w14:cap="sq" w14:cmpd="sng" w14:algn="ctr">
            <w14:solidFill>
              <w14:srgbClr w14:val="000000"/>
            </w14:solidFill>
            <w14:prstDash w14:val="solid"/>
            <w14:bevel/>
          </w14:textOutline>
        </w:rPr>
      </w:pPr>
    </w:p>
    <w:p>
      <w:pPr>
        <w:shd w:val="clear"/>
        <w:spacing w:line="250" w:lineRule="auto"/>
        <w:rPr>
          <w:color w:val="auto"/>
          <w:highlight w:val="none"/>
        </w:rPr>
      </w:pPr>
    </w:p>
    <w:p>
      <w:pPr>
        <w:shd w:val="clear"/>
        <w:spacing w:line="250" w:lineRule="auto"/>
        <w:rPr>
          <w:color w:val="auto"/>
          <w:highlight w:val="none"/>
        </w:rPr>
      </w:pPr>
    </w:p>
    <w:p>
      <w:pPr>
        <w:shd w:val="clear"/>
        <w:spacing w:line="251" w:lineRule="auto"/>
        <w:rPr>
          <w:color w:val="auto"/>
          <w:highlight w:val="none"/>
        </w:rPr>
      </w:pPr>
    </w:p>
    <w:p>
      <w:pPr>
        <w:shd w:val="clear"/>
        <w:spacing w:line="251" w:lineRule="auto"/>
        <w:rPr>
          <w:color w:val="auto"/>
          <w:highlight w:val="none"/>
        </w:rPr>
      </w:pPr>
    </w:p>
    <w:p>
      <w:pPr>
        <w:shd w:val="clear"/>
        <w:spacing w:line="251" w:lineRule="auto"/>
        <w:rPr>
          <w:color w:val="auto"/>
          <w:highlight w:val="none"/>
        </w:rPr>
      </w:pPr>
    </w:p>
    <w:p>
      <w:pPr>
        <w:shd w:val="clear"/>
        <w:spacing w:line="251" w:lineRule="auto"/>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shd w:val="clear"/>
        <w:spacing w:before="192" w:line="224" w:lineRule="auto"/>
        <w:ind w:left="1204"/>
        <w:rPr>
          <w:rFonts w:ascii="黑体" w:hAnsi="黑体" w:eastAsia="黑体" w:cs="黑体"/>
          <w:color w:val="auto"/>
          <w:sz w:val="59"/>
          <w:szCs w:val="59"/>
          <w:highlight w:val="none"/>
        </w:rPr>
      </w:pPr>
      <w:r>
        <w:rPr>
          <w:rFonts w:ascii="黑体" w:hAnsi="黑体" w:eastAsia="黑体" w:cs="黑体"/>
          <w:color w:val="auto"/>
          <w:spacing w:val="10"/>
          <w:sz w:val="59"/>
          <w:szCs w:val="59"/>
          <w:highlight w:val="none"/>
        </w:rPr>
        <w:t>新</w:t>
      </w:r>
      <w:r>
        <w:rPr>
          <w:rFonts w:ascii="黑体" w:hAnsi="黑体" w:eastAsia="黑体" w:cs="黑体"/>
          <w:color w:val="auto"/>
          <w:spacing w:val="8"/>
          <w:sz w:val="59"/>
          <w:szCs w:val="59"/>
          <w:highlight w:val="none"/>
        </w:rPr>
        <w:t>疆建筑消防设施检测合同</w:t>
      </w:r>
    </w:p>
    <w:p>
      <w:pPr>
        <w:shd w:val="clear"/>
        <w:rPr>
          <w:color w:val="auto"/>
          <w:highlight w:val="none"/>
        </w:rPr>
      </w:pPr>
    </w:p>
    <w:p>
      <w:pPr>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pStyle w:val="19"/>
        <w:shd w:val="clear"/>
        <w:rPr>
          <w:color w:val="auto"/>
          <w:highlight w:val="none"/>
        </w:rPr>
      </w:pPr>
    </w:p>
    <w:p>
      <w:pPr>
        <w:shd w:val="clear"/>
        <w:spacing w:line="17" w:lineRule="exact"/>
        <w:rPr>
          <w:color w:val="auto"/>
          <w:highlight w:val="none"/>
        </w:rPr>
      </w:pPr>
    </w:p>
    <w:tbl>
      <w:tblPr>
        <w:tblStyle w:val="39"/>
        <w:tblW w:w="2925" w:type="dxa"/>
        <w:tblInd w:w="3187"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92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14" w:hRule="atLeast"/>
        </w:trPr>
        <w:tc>
          <w:tcPr>
            <w:tcW w:w="2925" w:type="dxa"/>
          </w:tcPr>
          <w:p>
            <w:pPr>
              <w:shd w:val="clear"/>
              <w:spacing w:before="51" w:line="221" w:lineRule="auto"/>
              <w:rPr>
                <w:rFonts w:ascii="幼圆" w:hAnsi="幼圆" w:eastAsia="幼圆" w:cs="幼圆"/>
                <w:color w:val="auto"/>
                <w:sz w:val="47"/>
                <w:szCs w:val="47"/>
                <w:highlight w:val="none"/>
              </w:rPr>
            </w:pPr>
            <w:r>
              <w:rPr>
                <w:rFonts w:hint="eastAsia" w:ascii="幼圆" w:hAnsi="幼圆" w:eastAsia="幼圆" w:cs="幼圆"/>
                <w:color w:val="auto"/>
                <w:spacing w:val="6"/>
                <w:sz w:val="30"/>
                <w:szCs w:val="30"/>
                <w:highlight w:val="none"/>
                <w:lang w:val="en-US" w:eastAsia="zh-CN"/>
              </w:rPr>
              <w:t>2024、2025</w:t>
            </w:r>
            <w:r>
              <w:rPr>
                <w:rFonts w:ascii="幼圆" w:hAnsi="幼圆" w:eastAsia="幼圆" w:cs="幼圆"/>
                <w:color w:val="auto"/>
                <w:spacing w:val="6"/>
                <w:sz w:val="30"/>
                <w:szCs w:val="30"/>
                <w:highlight w:val="none"/>
              </w:rPr>
              <w:t>年</w:t>
            </w:r>
            <w:r>
              <w:rPr>
                <w:rFonts w:ascii="幼圆" w:hAnsi="幼圆" w:eastAsia="幼圆" w:cs="幼圆"/>
                <w:color w:val="auto"/>
                <w:spacing w:val="5"/>
                <w:sz w:val="30"/>
                <w:szCs w:val="30"/>
                <w:highlight w:val="none"/>
              </w:rPr>
              <w:t>度检测</w:t>
            </w:r>
          </w:p>
        </w:tc>
      </w:tr>
    </w:tbl>
    <w:p>
      <w:pPr>
        <w:shd w:val="clear"/>
        <w:spacing w:line="253" w:lineRule="auto"/>
        <w:rPr>
          <w:color w:val="auto"/>
          <w:highlight w:val="none"/>
        </w:rPr>
      </w:pPr>
    </w:p>
    <w:p>
      <w:pPr>
        <w:shd w:val="clear"/>
        <w:spacing w:line="253" w:lineRule="auto"/>
        <w:rPr>
          <w:color w:val="auto"/>
          <w:highlight w:val="none"/>
        </w:rPr>
      </w:pPr>
    </w:p>
    <w:p>
      <w:pPr>
        <w:shd w:val="clear"/>
        <w:spacing w:line="253" w:lineRule="auto"/>
        <w:rPr>
          <w:color w:val="auto"/>
          <w:highlight w:val="none"/>
        </w:rPr>
      </w:pPr>
    </w:p>
    <w:p>
      <w:pPr>
        <w:shd w:val="clear"/>
        <w:spacing w:line="253" w:lineRule="auto"/>
        <w:rPr>
          <w:color w:val="auto"/>
          <w:highlight w:val="none"/>
        </w:rPr>
      </w:pPr>
    </w:p>
    <w:p>
      <w:pPr>
        <w:shd w:val="clear"/>
        <w:spacing w:line="253" w:lineRule="auto"/>
        <w:rPr>
          <w:color w:val="auto"/>
          <w:highlight w:val="none"/>
        </w:rPr>
      </w:pPr>
    </w:p>
    <w:p>
      <w:pPr>
        <w:shd w:val="clear"/>
        <w:spacing w:line="253" w:lineRule="auto"/>
        <w:rPr>
          <w:color w:val="auto"/>
          <w:highlight w:val="none"/>
        </w:rPr>
      </w:pPr>
    </w:p>
    <w:p>
      <w:pPr>
        <w:shd w:val="clear"/>
        <w:spacing w:line="253" w:lineRule="auto"/>
        <w:rPr>
          <w:color w:val="auto"/>
          <w:highlight w:val="none"/>
        </w:rPr>
      </w:pPr>
    </w:p>
    <w:p>
      <w:pPr>
        <w:shd w:val="clear"/>
        <w:spacing w:line="253" w:lineRule="auto"/>
        <w:rPr>
          <w:color w:val="auto"/>
          <w:highlight w:val="none"/>
        </w:rPr>
      </w:pPr>
    </w:p>
    <w:p>
      <w:pPr>
        <w:shd w:val="clear"/>
        <w:spacing w:line="254" w:lineRule="auto"/>
        <w:rPr>
          <w:color w:val="auto"/>
          <w:highlight w:val="none"/>
        </w:rPr>
      </w:pPr>
    </w:p>
    <w:p>
      <w:pPr>
        <w:shd w:val="clear"/>
        <w:spacing w:line="254" w:lineRule="auto"/>
        <w:rPr>
          <w:color w:val="auto"/>
          <w:highlight w:val="none"/>
        </w:rPr>
      </w:pPr>
    </w:p>
    <w:p>
      <w:pPr>
        <w:shd w:val="clear"/>
        <w:spacing w:before="115" w:line="225" w:lineRule="auto"/>
        <w:ind w:left="650"/>
        <w:rPr>
          <w:rFonts w:ascii="宋体" w:hAnsi="宋体" w:eastAsia="宋体" w:cs="宋体"/>
          <w:color w:val="auto"/>
          <w:sz w:val="32"/>
          <w:szCs w:val="32"/>
          <w:highlight w:val="none"/>
        </w:rPr>
      </w:pPr>
      <w:r>
        <w:rPr>
          <w:rFonts w:ascii="宋体" w:hAnsi="宋体" w:eastAsia="宋体" w:cs="宋体"/>
          <w:color w:val="auto"/>
          <w:spacing w:val="18"/>
          <w:sz w:val="32"/>
          <w:szCs w:val="32"/>
          <w:highlight w:val="none"/>
          <w14:textOutline w14:w="6540" w14:cap="sq" w14:cmpd="sng" w14:algn="ctr">
            <w14:solidFill>
              <w14:srgbClr w14:val="000000"/>
            </w14:solidFill>
            <w14:prstDash w14:val="solid"/>
            <w14:bevel/>
          </w14:textOutline>
        </w:rPr>
        <w:t>项</w:t>
      </w:r>
      <w:r>
        <w:rPr>
          <w:rFonts w:ascii="宋体" w:hAnsi="宋体" w:eastAsia="宋体" w:cs="宋体"/>
          <w:color w:val="auto"/>
          <w:spacing w:val="10"/>
          <w:sz w:val="32"/>
          <w:szCs w:val="32"/>
          <w:highlight w:val="none"/>
          <w14:textOutline w14:w="6540" w14:cap="sq" w14:cmpd="sng" w14:algn="ctr">
            <w14:solidFill>
              <w14:srgbClr w14:val="000000"/>
            </w14:solidFill>
            <w14:prstDash w14:val="solid"/>
            <w14:bevel/>
          </w14:textOutline>
        </w:rPr>
        <w:t>目名称：</w:t>
      </w:r>
      <w:r>
        <w:rPr>
          <w:rFonts w:ascii="宋体" w:hAnsi="宋体" w:eastAsia="宋体" w:cs="宋体"/>
          <w:color w:val="auto"/>
          <w:spacing w:val="10"/>
          <w:sz w:val="32"/>
          <w:szCs w:val="32"/>
          <w:highlight w:val="none"/>
          <w:u w:val="single"/>
          <w14:textOutline w14:w="6540" w14:cap="sq" w14:cmpd="sng" w14:algn="ctr">
            <w14:solidFill>
              <w14:srgbClr w14:val="000000"/>
            </w14:solidFill>
            <w14:prstDash w14:val="solid"/>
            <w14:bevel/>
          </w14:textOutline>
        </w:rPr>
        <w:t>新疆医科大学附属肿瘤医院消防设施检测</w:t>
      </w: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rPr>
          <w:color w:val="auto"/>
          <w:highlight w:val="none"/>
        </w:rPr>
      </w:pPr>
    </w:p>
    <w:p>
      <w:pPr>
        <w:shd w:val="clear"/>
        <w:spacing w:line="43" w:lineRule="exact"/>
        <w:rPr>
          <w:color w:val="auto"/>
          <w:highlight w:val="none"/>
        </w:rPr>
      </w:pPr>
    </w:p>
    <w:p>
      <w:pPr>
        <w:shd w:val="clear"/>
        <w:rPr>
          <w:color w:val="auto"/>
          <w:highlight w:val="none"/>
        </w:rPr>
        <w:sectPr>
          <w:type w:val="continuous"/>
          <w:pgSz w:w="11910" w:h="16840"/>
          <w:pgMar w:top="1431" w:right="1777" w:bottom="1967" w:left="1192" w:header="0" w:footer="1805" w:gutter="0"/>
          <w:cols w:equalWidth="0" w:num="1">
            <w:col w:w="8940"/>
          </w:cols>
        </w:sectPr>
      </w:pPr>
    </w:p>
    <w:p>
      <w:pPr>
        <w:shd w:val="clear"/>
        <w:spacing w:before="104" w:line="225" w:lineRule="auto"/>
        <w:ind w:left="3052"/>
        <w:outlineLvl w:val="0"/>
        <w:rPr>
          <w:rFonts w:ascii="宋体" w:hAnsi="宋体" w:eastAsia="宋体" w:cs="宋体"/>
          <w:color w:val="auto"/>
          <w:sz w:val="35"/>
          <w:szCs w:val="35"/>
          <w:highlight w:val="none"/>
        </w:rPr>
      </w:pPr>
      <w:r>
        <w:rPr>
          <w:rFonts w:ascii="宋体" w:hAnsi="宋体" w:eastAsia="宋体" w:cs="宋体"/>
          <w:color w:val="auto"/>
          <w:spacing w:val="16"/>
          <w:sz w:val="35"/>
          <w:szCs w:val="35"/>
          <w:highlight w:val="none"/>
          <w14:textOutline w14:w="6540" w14:cap="sq" w14:cmpd="sng" w14:algn="ctr">
            <w14:solidFill>
              <w14:srgbClr w14:val="000000"/>
            </w14:solidFill>
            <w14:prstDash w14:val="solid"/>
            <w14:bevel/>
          </w14:textOutline>
        </w:rPr>
        <w:t>使</w:t>
      </w:r>
      <w:r>
        <w:rPr>
          <w:rFonts w:ascii="宋体" w:hAnsi="宋体" w:eastAsia="宋体" w:cs="宋体"/>
          <w:color w:val="auto"/>
          <w:spacing w:val="11"/>
          <w:sz w:val="35"/>
          <w:szCs w:val="35"/>
          <w:highlight w:val="none"/>
        </w:rPr>
        <w:t xml:space="preserve"> </w:t>
      </w:r>
      <w:r>
        <w:rPr>
          <w:rFonts w:ascii="宋体" w:hAnsi="宋体" w:eastAsia="宋体" w:cs="宋体"/>
          <w:color w:val="auto"/>
          <w:spacing w:val="11"/>
          <w:sz w:val="35"/>
          <w:szCs w:val="35"/>
          <w:highlight w:val="none"/>
          <w14:textOutline w14:w="6540" w14:cap="sq" w14:cmpd="sng" w14:algn="ctr">
            <w14:solidFill>
              <w14:srgbClr w14:val="000000"/>
            </w14:solidFill>
            <w14:prstDash w14:val="solid"/>
            <w14:bevel/>
          </w14:textOutline>
        </w:rPr>
        <w:t>用</w:t>
      </w:r>
      <w:r>
        <w:rPr>
          <w:rFonts w:ascii="宋体" w:hAnsi="宋体" w:eastAsia="宋体" w:cs="宋体"/>
          <w:color w:val="auto"/>
          <w:spacing w:val="11"/>
          <w:sz w:val="35"/>
          <w:szCs w:val="35"/>
          <w:highlight w:val="none"/>
        </w:rPr>
        <w:t xml:space="preserve"> </w:t>
      </w:r>
      <w:r>
        <w:rPr>
          <w:rFonts w:ascii="宋体" w:hAnsi="宋体" w:eastAsia="宋体" w:cs="宋体"/>
          <w:color w:val="auto"/>
          <w:spacing w:val="11"/>
          <w:sz w:val="35"/>
          <w:szCs w:val="35"/>
          <w:highlight w:val="none"/>
          <w14:textOutline w14:w="6540" w14:cap="sq" w14:cmpd="sng" w14:algn="ctr">
            <w14:solidFill>
              <w14:srgbClr w14:val="000000"/>
            </w14:solidFill>
            <w14:prstDash w14:val="solid"/>
            <w14:bevel/>
          </w14:textOutline>
        </w:rPr>
        <w:t>说</w:t>
      </w:r>
      <w:r>
        <w:rPr>
          <w:rFonts w:ascii="宋体" w:hAnsi="宋体" w:eastAsia="宋体" w:cs="宋体"/>
          <w:color w:val="auto"/>
          <w:spacing w:val="11"/>
          <w:sz w:val="35"/>
          <w:szCs w:val="35"/>
          <w:highlight w:val="none"/>
        </w:rPr>
        <w:t xml:space="preserve"> </w:t>
      </w:r>
      <w:r>
        <w:rPr>
          <w:rFonts w:ascii="宋体" w:hAnsi="宋体" w:eastAsia="宋体" w:cs="宋体"/>
          <w:color w:val="auto"/>
          <w:spacing w:val="11"/>
          <w:sz w:val="35"/>
          <w:szCs w:val="35"/>
          <w:highlight w:val="none"/>
          <w14:textOutline w14:w="6540" w14:cap="sq" w14:cmpd="sng" w14:algn="ctr">
            <w14:solidFill>
              <w14:srgbClr w14:val="000000"/>
            </w14:solidFill>
            <w14:prstDash w14:val="solid"/>
            <w14:bevel/>
          </w14:textOutline>
        </w:rPr>
        <w:t>明</w:t>
      </w:r>
    </w:p>
    <w:p>
      <w:pPr>
        <w:shd w:val="clear"/>
        <w:spacing w:line="277" w:lineRule="auto"/>
        <w:rPr>
          <w:color w:val="auto"/>
          <w:highlight w:val="none"/>
        </w:rPr>
      </w:pPr>
    </w:p>
    <w:p>
      <w:pPr>
        <w:shd w:val="clear"/>
        <w:spacing w:line="278" w:lineRule="auto"/>
        <w:rPr>
          <w:color w:val="auto"/>
          <w:highlight w:val="none"/>
        </w:rPr>
      </w:pPr>
    </w:p>
    <w:p>
      <w:pPr>
        <w:shd w:val="clear"/>
        <w:spacing w:before="91" w:line="313" w:lineRule="auto"/>
        <w:ind w:left="39" w:right="197" w:firstLine="562"/>
        <w:rPr>
          <w:rFonts w:ascii="仿宋" w:hAnsi="仿宋" w:eastAsia="仿宋" w:cs="仿宋"/>
          <w:color w:val="auto"/>
          <w:sz w:val="28"/>
          <w:szCs w:val="28"/>
          <w:highlight w:val="none"/>
        </w:rPr>
      </w:pPr>
      <w:r>
        <w:rPr>
          <w:rFonts w:ascii="仿宋" w:hAnsi="仿宋" w:eastAsia="仿宋" w:cs="仿宋"/>
          <w:color w:val="auto"/>
          <w:spacing w:val="-22"/>
          <w:sz w:val="28"/>
          <w:szCs w:val="28"/>
          <w:highlight w:val="none"/>
        </w:rPr>
        <w:t>一、本合同文本是根据《中华人民共和国民法典》、《中华人民共</w:t>
      </w:r>
      <w:r>
        <w:rPr>
          <w:rFonts w:ascii="仿宋" w:hAnsi="仿宋" w:eastAsia="仿宋" w:cs="仿宋"/>
          <w:color w:val="auto"/>
          <w:spacing w:val="-18"/>
          <w:sz w:val="28"/>
          <w:szCs w:val="28"/>
          <w:highlight w:val="none"/>
        </w:rPr>
        <w:t>和</w:t>
      </w:r>
      <w:r>
        <w:rPr>
          <w:rFonts w:ascii="仿宋" w:hAnsi="仿宋" w:eastAsia="仿宋" w:cs="仿宋"/>
          <w:color w:val="auto"/>
          <w:sz w:val="28"/>
          <w:szCs w:val="28"/>
          <w:highlight w:val="none"/>
        </w:rPr>
        <w:t xml:space="preserve"> </w:t>
      </w:r>
      <w:r>
        <w:rPr>
          <w:rFonts w:ascii="仿宋" w:hAnsi="仿宋" w:eastAsia="仿宋" w:cs="仿宋"/>
          <w:color w:val="auto"/>
          <w:spacing w:val="-17"/>
          <w:sz w:val="28"/>
          <w:szCs w:val="28"/>
          <w:highlight w:val="none"/>
        </w:rPr>
        <w:t>国</w:t>
      </w:r>
      <w:r>
        <w:rPr>
          <w:rFonts w:ascii="仿宋" w:hAnsi="仿宋" w:eastAsia="仿宋" w:cs="仿宋"/>
          <w:color w:val="auto"/>
          <w:spacing w:val="-10"/>
          <w:sz w:val="28"/>
          <w:szCs w:val="28"/>
          <w:highlight w:val="none"/>
        </w:rPr>
        <w:t>消防法》等有关法律法规制定的示范文本，供双方当事人约定采用，</w:t>
      </w:r>
      <w:r>
        <w:rPr>
          <w:rFonts w:ascii="仿宋" w:hAnsi="仿宋" w:eastAsia="仿宋" w:cs="仿宋"/>
          <w:color w:val="auto"/>
          <w:sz w:val="28"/>
          <w:szCs w:val="28"/>
          <w:highlight w:val="none"/>
        </w:rPr>
        <w:t xml:space="preserve"> </w:t>
      </w:r>
      <w:r>
        <w:rPr>
          <w:rFonts w:ascii="仿宋" w:hAnsi="仿宋" w:eastAsia="仿宋" w:cs="仿宋"/>
          <w:color w:val="auto"/>
          <w:spacing w:val="-4"/>
          <w:sz w:val="28"/>
          <w:szCs w:val="28"/>
          <w:highlight w:val="none"/>
        </w:rPr>
        <w:t>合同</w:t>
      </w:r>
      <w:r>
        <w:rPr>
          <w:rFonts w:ascii="仿宋" w:hAnsi="仿宋" w:eastAsia="仿宋" w:cs="仿宋"/>
          <w:color w:val="auto"/>
          <w:spacing w:val="-2"/>
          <w:sz w:val="28"/>
          <w:szCs w:val="28"/>
          <w:highlight w:val="none"/>
        </w:rPr>
        <w:t>签订前请仔细阅读。</w:t>
      </w:r>
    </w:p>
    <w:p>
      <w:pPr>
        <w:shd w:val="clear"/>
        <w:spacing w:before="3" w:line="313" w:lineRule="auto"/>
        <w:ind w:left="31" w:right="263" w:firstLine="576"/>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二、消防工程维护保养专业性强，涉及公共安全，因此为更好</w:t>
      </w:r>
      <w:r>
        <w:rPr>
          <w:rFonts w:ascii="仿宋" w:hAnsi="仿宋" w:eastAsia="仿宋" w:cs="仿宋"/>
          <w:color w:val="auto"/>
          <w:spacing w:val="-3"/>
          <w:sz w:val="28"/>
          <w:szCs w:val="28"/>
          <w:highlight w:val="none"/>
        </w:rPr>
        <w:t>地</w:t>
      </w:r>
      <w:r>
        <w:rPr>
          <w:rFonts w:ascii="仿宋" w:hAnsi="仿宋" w:eastAsia="仿宋" w:cs="仿宋"/>
          <w:color w:val="auto"/>
          <w:spacing w:val="-24"/>
          <w:sz w:val="28"/>
          <w:szCs w:val="28"/>
          <w:highlight w:val="none"/>
        </w:rPr>
        <w:t>维</w:t>
      </w:r>
      <w:r>
        <w:rPr>
          <w:rFonts w:ascii="仿宋" w:hAnsi="仿宋" w:eastAsia="仿宋" w:cs="仿宋"/>
          <w:color w:val="auto"/>
          <w:spacing w:val="-12"/>
          <w:sz w:val="28"/>
          <w:szCs w:val="28"/>
          <w:highlight w:val="none"/>
        </w:rPr>
        <w:t>护双方当事人的权益，双方签订合同时应尽到审慎义务，力求合同条</w:t>
      </w:r>
      <w:r>
        <w:rPr>
          <w:rFonts w:ascii="仿宋" w:hAnsi="仿宋" w:eastAsia="仿宋" w:cs="仿宋"/>
          <w:color w:val="auto"/>
          <w:spacing w:val="-2"/>
          <w:sz w:val="28"/>
          <w:szCs w:val="28"/>
          <w:highlight w:val="none"/>
        </w:rPr>
        <w:t>款约定具体、严</w:t>
      </w:r>
      <w:r>
        <w:rPr>
          <w:rFonts w:ascii="仿宋" w:hAnsi="仿宋" w:eastAsia="仿宋" w:cs="仿宋"/>
          <w:color w:val="auto"/>
          <w:spacing w:val="-1"/>
          <w:sz w:val="28"/>
          <w:szCs w:val="28"/>
          <w:highlight w:val="none"/>
        </w:rPr>
        <w:t>密。</w:t>
      </w:r>
    </w:p>
    <w:p>
      <w:pPr>
        <w:shd w:val="clear"/>
        <w:spacing w:before="3" w:line="311" w:lineRule="auto"/>
        <w:ind w:left="30" w:firstLine="575"/>
        <w:rPr>
          <w:rFonts w:ascii="仿宋" w:hAnsi="仿宋" w:eastAsia="仿宋" w:cs="仿宋"/>
          <w:color w:val="auto"/>
          <w:sz w:val="28"/>
          <w:szCs w:val="28"/>
          <w:highlight w:val="none"/>
        </w:rPr>
      </w:pPr>
      <w:r>
        <w:rPr>
          <w:rFonts w:ascii="仿宋" w:hAnsi="仿宋" w:eastAsia="仿宋" w:cs="仿宋"/>
          <w:color w:val="auto"/>
          <w:spacing w:val="-8"/>
          <w:sz w:val="28"/>
          <w:szCs w:val="28"/>
          <w:highlight w:val="none"/>
        </w:rPr>
        <w:t>三、承包人 (乙方) 应具有相应的消防工程维保资质 (或消防工</w:t>
      </w:r>
      <w:r>
        <w:rPr>
          <w:rFonts w:ascii="仿宋" w:hAnsi="仿宋" w:eastAsia="仿宋" w:cs="仿宋"/>
          <w:color w:val="auto"/>
          <w:spacing w:val="-6"/>
          <w:sz w:val="28"/>
          <w:szCs w:val="28"/>
          <w:highlight w:val="none"/>
        </w:rPr>
        <w:t>程</w:t>
      </w:r>
      <w:r>
        <w:rPr>
          <w:rFonts w:ascii="仿宋" w:hAnsi="仿宋" w:eastAsia="仿宋" w:cs="仿宋"/>
          <w:color w:val="auto"/>
          <w:spacing w:val="-22"/>
          <w:sz w:val="28"/>
          <w:szCs w:val="28"/>
          <w:highlight w:val="none"/>
        </w:rPr>
        <w:t>施</w:t>
      </w:r>
      <w:r>
        <w:rPr>
          <w:rFonts w:ascii="仿宋" w:hAnsi="仿宋" w:eastAsia="仿宋" w:cs="仿宋"/>
          <w:color w:val="auto"/>
          <w:spacing w:val="-13"/>
          <w:sz w:val="28"/>
          <w:szCs w:val="28"/>
          <w:highlight w:val="none"/>
        </w:rPr>
        <w:t>工</w:t>
      </w:r>
      <w:r>
        <w:rPr>
          <w:rFonts w:ascii="仿宋" w:hAnsi="仿宋" w:eastAsia="仿宋" w:cs="仿宋"/>
          <w:color w:val="auto"/>
          <w:spacing w:val="-11"/>
          <w:sz w:val="28"/>
          <w:szCs w:val="28"/>
          <w:highlight w:val="none"/>
        </w:rPr>
        <w:t>资质) ，发包人 (甲方) 签订合同前应验看承包人的《企业法人营业</w:t>
      </w:r>
      <w:r>
        <w:rPr>
          <w:rFonts w:ascii="仿宋" w:hAnsi="仿宋" w:eastAsia="仿宋" w:cs="仿宋"/>
          <w:color w:val="auto"/>
          <w:spacing w:val="-19"/>
          <w:sz w:val="28"/>
          <w:szCs w:val="28"/>
          <w:highlight w:val="none"/>
        </w:rPr>
        <w:t>执</w:t>
      </w:r>
      <w:r>
        <w:rPr>
          <w:rFonts w:ascii="仿宋" w:hAnsi="仿宋" w:eastAsia="仿宋" w:cs="仿宋"/>
          <w:color w:val="auto"/>
          <w:spacing w:val="-12"/>
          <w:sz w:val="28"/>
          <w:szCs w:val="28"/>
          <w:highlight w:val="none"/>
        </w:rPr>
        <w:t>照》和企业资质证书原件，确保资质等级与拟承揽的维保工程规模相一</w:t>
      </w:r>
      <w:r>
        <w:rPr>
          <w:rFonts w:ascii="仿宋" w:hAnsi="仿宋" w:eastAsia="仿宋" w:cs="仿宋"/>
          <w:color w:val="auto"/>
          <w:spacing w:val="-16"/>
          <w:sz w:val="28"/>
          <w:szCs w:val="28"/>
          <w:highlight w:val="none"/>
        </w:rPr>
        <w:t>致。具有相应的消防工程施工资质 (或消防工程维保资质) 的单位可以登</w:t>
      </w:r>
      <w:r>
        <w:rPr>
          <w:rFonts w:ascii="仿宋" w:hAnsi="仿宋" w:eastAsia="仿宋" w:cs="仿宋"/>
          <w:color w:val="auto"/>
          <w:spacing w:val="-2"/>
          <w:sz w:val="28"/>
          <w:szCs w:val="28"/>
          <w:highlight w:val="none"/>
        </w:rPr>
        <w:t>陆新疆消防</w:t>
      </w:r>
      <w:r>
        <w:rPr>
          <w:rFonts w:ascii="仿宋" w:hAnsi="仿宋" w:eastAsia="仿宋" w:cs="仿宋"/>
          <w:color w:val="auto"/>
          <w:spacing w:val="-1"/>
          <w:sz w:val="28"/>
          <w:szCs w:val="28"/>
          <w:highlight w:val="none"/>
        </w:rPr>
        <w:t>产业信息网查询。</w:t>
      </w:r>
    </w:p>
    <w:p>
      <w:pPr>
        <w:shd w:val="clear"/>
        <w:spacing w:before="1" w:line="313" w:lineRule="auto"/>
        <w:ind w:left="32" w:right="263" w:firstLine="599"/>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四、本合同签订后应当在新疆消防产业信息网备案，维保记录</w:t>
      </w:r>
      <w:r>
        <w:rPr>
          <w:rFonts w:ascii="仿宋" w:hAnsi="仿宋" w:eastAsia="仿宋" w:cs="仿宋"/>
          <w:color w:val="auto"/>
          <w:sz w:val="28"/>
          <w:szCs w:val="28"/>
          <w:highlight w:val="none"/>
        </w:rPr>
        <w:t xml:space="preserve">及 </w:t>
      </w:r>
      <w:r>
        <w:rPr>
          <w:rFonts w:ascii="仿宋" w:hAnsi="仿宋" w:eastAsia="仿宋" w:cs="仿宋"/>
          <w:color w:val="auto"/>
          <w:spacing w:val="-6"/>
          <w:sz w:val="28"/>
          <w:szCs w:val="28"/>
          <w:highlight w:val="none"/>
        </w:rPr>
        <w:t>报告</w:t>
      </w:r>
      <w:r>
        <w:rPr>
          <w:rFonts w:ascii="仿宋" w:hAnsi="仿宋" w:eastAsia="仿宋" w:cs="仿宋"/>
          <w:color w:val="auto"/>
          <w:spacing w:val="-3"/>
          <w:sz w:val="28"/>
          <w:szCs w:val="28"/>
          <w:highlight w:val="none"/>
        </w:rPr>
        <w:t>必须及时通过新疆消防产业信息网《消防施工维保单位信息管理</w:t>
      </w:r>
      <w:r>
        <w:rPr>
          <w:rFonts w:ascii="仿宋" w:hAnsi="仿宋" w:eastAsia="仿宋" w:cs="仿宋"/>
          <w:color w:val="auto"/>
          <w:sz w:val="28"/>
          <w:szCs w:val="28"/>
          <w:highlight w:val="none"/>
        </w:rPr>
        <w:t xml:space="preserve"> </w:t>
      </w:r>
      <w:r>
        <w:rPr>
          <w:rFonts w:ascii="仿宋" w:hAnsi="仿宋" w:eastAsia="仿宋" w:cs="仿宋"/>
          <w:color w:val="auto"/>
          <w:spacing w:val="-4"/>
          <w:sz w:val="28"/>
          <w:szCs w:val="28"/>
          <w:highlight w:val="none"/>
        </w:rPr>
        <w:t>系统</w:t>
      </w:r>
      <w:r>
        <w:rPr>
          <w:rFonts w:ascii="仿宋" w:hAnsi="仿宋" w:eastAsia="仿宋" w:cs="仿宋"/>
          <w:color w:val="auto"/>
          <w:spacing w:val="-3"/>
          <w:sz w:val="28"/>
          <w:szCs w:val="28"/>
          <w:highlight w:val="none"/>
        </w:rPr>
        <w:t>》</w:t>
      </w:r>
      <w:r>
        <w:rPr>
          <w:rFonts w:ascii="仿宋" w:hAnsi="仿宋" w:eastAsia="仿宋" w:cs="仿宋"/>
          <w:color w:val="auto"/>
          <w:spacing w:val="-2"/>
          <w:sz w:val="28"/>
          <w:szCs w:val="28"/>
          <w:highlight w:val="none"/>
        </w:rPr>
        <w:t>上传。</w:t>
      </w:r>
    </w:p>
    <w:p>
      <w:pPr>
        <w:shd w:val="clear"/>
        <w:spacing w:before="3" w:line="318" w:lineRule="auto"/>
        <w:ind w:left="33" w:right="263" w:firstLine="569"/>
        <w:rPr>
          <w:rFonts w:ascii="仿宋" w:hAnsi="仿宋" w:eastAsia="仿宋" w:cs="仿宋"/>
          <w:color w:val="auto"/>
          <w:sz w:val="28"/>
          <w:szCs w:val="28"/>
          <w:highlight w:val="none"/>
        </w:rPr>
      </w:pPr>
      <w:r>
        <w:rPr>
          <w:rFonts w:ascii="仿宋" w:hAnsi="仿宋" w:eastAsia="仿宋" w:cs="仿宋"/>
          <w:color w:val="auto"/>
          <w:spacing w:val="-6"/>
          <w:sz w:val="28"/>
          <w:szCs w:val="28"/>
          <w:highlight w:val="none"/>
        </w:rPr>
        <w:t>五、本合同文本</w:t>
      </w:r>
      <w:r>
        <w:rPr>
          <w:rFonts w:ascii="仿宋" w:hAnsi="仿宋" w:eastAsia="仿宋" w:cs="仿宋"/>
          <w:color w:val="auto"/>
          <w:spacing w:val="-5"/>
          <w:sz w:val="28"/>
          <w:szCs w:val="28"/>
          <w:highlight w:val="none"/>
        </w:rPr>
        <w:t>自</w:t>
      </w:r>
      <w:r>
        <w:rPr>
          <w:rFonts w:ascii="仿宋" w:hAnsi="仿宋" w:eastAsia="仿宋" w:cs="仿宋"/>
          <w:color w:val="auto"/>
          <w:spacing w:val="-3"/>
          <w:sz w:val="28"/>
          <w:szCs w:val="28"/>
          <w:highlight w:val="none"/>
        </w:rPr>
        <w:t>本通知下发之日起使用。今后凡未制定新的版</w:t>
      </w:r>
      <w:r>
        <w:rPr>
          <w:rFonts w:ascii="仿宋" w:hAnsi="仿宋" w:eastAsia="仿宋" w:cs="仿宋"/>
          <w:color w:val="auto"/>
          <w:sz w:val="28"/>
          <w:szCs w:val="28"/>
          <w:highlight w:val="none"/>
        </w:rPr>
        <w:t xml:space="preserve"> </w:t>
      </w:r>
      <w:r>
        <w:rPr>
          <w:rFonts w:ascii="仿宋" w:hAnsi="仿宋" w:eastAsia="仿宋" w:cs="仿宋"/>
          <w:color w:val="auto"/>
          <w:spacing w:val="-2"/>
          <w:sz w:val="28"/>
          <w:szCs w:val="28"/>
          <w:highlight w:val="none"/>
        </w:rPr>
        <w:t>本前，本版本延续</w:t>
      </w:r>
      <w:r>
        <w:rPr>
          <w:rFonts w:ascii="仿宋" w:hAnsi="仿宋" w:eastAsia="仿宋" w:cs="仿宋"/>
          <w:color w:val="auto"/>
          <w:spacing w:val="-1"/>
          <w:sz w:val="28"/>
          <w:szCs w:val="28"/>
          <w:highlight w:val="none"/>
        </w:rPr>
        <w:t>使用。</w:t>
      </w:r>
    </w:p>
    <w:p>
      <w:pPr>
        <w:shd w:val="clear"/>
        <w:rPr>
          <w:color w:val="auto"/>
          <w:highlight w:val="none"/>
        </w:rPr>
        <w:sectPr>
          <w:footerReference r:id="rId12" w:type="default"/>
          <w:pgSz w:w="11910" w:h="16840"/>
          <w:pgMar w:top="1431" w:right="1523" w:bottom="1373" w:left="1786" w:header="0" w:footer="1210" w:gutter="0"/>
          <w:cols w:space="720" w:num="1"/>
        </w:sectPr>
      </w:pPr>
    </w:p>
    <w:p>
      <w:pPr>
        <w:shd w:val="clear"/>
        <w:spacing w:before="58" w:line="224" w:lineRule="auto"/>
        <w:ind w:right="220" w:firstLine="6394" w:firstLineChars="2300"/>
        <w:jc w:val="both"/>
        <w:rPr>
          <w:rFonts w:ascii="楷体" w:hAnsi="楷体" w:eastAsia="楷体" w:cs="楷体"/>
          <w:color w:val="auto"/>
          <w:sz w:val="28"/>
          <w:szCs w:val="28"/>
          <w:highlight w:val="none"/>
        </w:rPr>
      </w:pPr>
      <w:r>
        <w:rPr>
          <w:rFonts w:ascii="楷体" w:hAnsi="楷体" w:eastAsia="楷体" w:cs="楷体"/>
          <w:color w:val="auto"/>
          <w:spacing w:val="-1"/>
          <w:sz w:val="28"/>
          <w:szCs w:val="28"/>
          <w:highlight w:val="none"/>
        </w:rPr>
        <w:t>合同编号</w:t>
      </w:r>
      <w:r>
        <w:rPr>
          <w:rFonts w:ascii="楷体" w:hAnsi="楷体" w:eastAsia="楷体" w:cs="楷体"/>
          <w:color w:val="auto"/>
          <w:sz w:val="28"/>
          <w:szCs w:val="28"/>
          <w:highlight w:val="none"/>
        </w:rPr>
        <w:t>：</w:t>
      </w:r>
    </w:p>
    <w:p>
      <w:pPr>
        <w:shd w:val="clear"/>
        <w:spacing w:line="321" w:lineRule="auto"/>
        <w:rPr>
          <w:color w:val="auto"/>
          <w:highlight w:val="none"/>
        </w:rPr>
      </w:pPr>
    </w:p>
    <w:p>
      <w:pPr>
        <w:shd w:val="clear"/>
        <w:spacing w:line="322" w:lineRule="auto"/>
        <w:rPr>
          <w:color w:val="auto"/>
          <w:highlight w:val="none"/>
        </w:rPr>
      </w:pPr>
    </w:p>
    <w:p>
      <w:pPr>
        <w:shd w:val="clear"/>
        <w:spacing w:before="91" w:line="351" w:lineRule="auto"/>
        <w:ind w:left="23"/>
        <w:rPr>
          <w:rFonts w:ascii="仿宋" w:hAnsi="仿宋" w:eastAsia="仿宋" w:cs="仿宋"/>
          <w:color w:val="auto"/>
          <w:sz w:val="28"/>
          <w:szCs w:val="28"/>
          <w:highlight w:val="none"/>
        </w:rPr>
      </w:pPr>
      <w:r>
        <w:rPr>
          <w:rFonts w:ascii="仿宋" w:hAnsi="仿宋" w:eastAsia="仿宋" w:cs="仿宋"/>
          <w:color w:val="auto"/>
          <w:spacing w:val="-8"/>
          <w:sz w:val="28"/>
          <w:szCs w:val="28"/>
          <w:highlight w:val="none"/>
        </w:rPr>
        <w:t>甲方</w:t>
      </w:r>
      <w:r>
        <w:rPr>
          <w:rFonts w:ascii="仿宋" w:hAnsi="仿宋" w:eastAsia="仿宋" w:cs="仿宋"/>
          <w:color w:val="auto"/>
          <w:spacing w:val="-6"/>
          <w:sz w:val="28"/>
          <w:szCs w:val="28"/>
          <w:highlight w:val="none"/>
        </w:rPr>
        <w:t xml:space="preserve"> </w:t>
      </w:r>
      <w:r>
        <w:rPr>
          <w:rFonts w:ascii="仿宋" w:hAnsi="仿宋" w:eastAsia="仿宋" w:cs="仿宋"/>
          <w:color w:val="auto"/>
          <w:spacing w:val="-4"/>
          <w:sz w:val="28"/>
          <w:szCs w:val="28"/>
          <w:highlight w:val="none"/>
        </w:rPr>
        <w:t>(受检单位) ：</w:t>
      </w:r>
      <w:r>
        <w:rPr>
          <w:rFonts w:ascii="仿宋" w:hAnsi="仿宋" w:eastAsia="仿宋" w:cs="仿宋"/>
          <w:color w:val="auto"/>
          <w:spacing w:val="-4"/>
          <w:sz w:val="28"/>
          <w:szCs w:val="28"/>
          <w:highlight w:val="none"/>
          <w:u w:val="single"/>
          <w14:textOutline w14:w="5105" w14:cap="sq" w14:cmpd="sng" w14:algn="ctr">
            <w14:solidFill>
              <w14:srgbClr w14:val="000000"/>
            </w14:solidFill>
            <w14:prstDash w14:val="solid"/>
            <w14:bevel/>
          </w14:textOutline>
        </w:rPr>
        <w:t>新疆医科大学附属肿瘤医院</w:t>
      </w:r>
    </w:p>
    <w:p>
      <w:pPr>
        <w:shd w:val="clear"/>
        <w:spacing w:before="1" w:line="220" w:lineRule="auto"/>
        <w:ind w:left="6"/>
        <w:rPr>
          <w:rFonts w:ascii="仿宋" w:hAnsi="仿宋" w:eastAsia="仿宋" w:cs="仿宋"/>
          <w:color w:val="auto"/>
          <w:sz w:val="28"/>
          <w:szCs w:val="28"/>
          <w:highlight w:val="none"/>
        </w:rPr>
      </w:pPr>
      <w:r>
        <w:rPr>
          <w:rFonts w:ascii="仿宋" w:hAnsi="仿宋" w:eastAsia="仿宋" w:cs="仿宋"/>
          <w:color w:val="auto"/>
          <w:spacing w:val="-6"/>
          <w:sz w:val="28"/>
          <w:szCs w:val="28"/>
          <w:highlight w:val="none"/>
        </w:rPr>
        <w:t>乙方 (</w:t>
      </w:r>
      <w:r>
        <w:rPr>
          <w:rFonts w:ascii="仿宋" w:hAnsi="仿宋" w:eastAsia="仿宋" w:cs="仿宋"/>
          <w:color w:val="auto"/>
          <w:spacing w:val="-4"/>
          <w:sz w:val="28"/>
          <w:szCs w:val="28"/>
          <w:highlight w:val="none"/>
        </w:rPr>
        <w:t>检</w:t>
      </w:r>
      <w:r>
        <w:rPr>
          <w:rFonts w:ascii="仿宋" w:hAnsi="仿宋" w:eastAsia="仿宋" w:cs="仿宋"/>
          <w:color w:val="auto"/>
          <w:spacing w:val="-3"/>
          <w:sz w:val="28"/>
          <w:szCs w:val="28"/>
          <w:highlight w:val="none"/>
        </w:rPr>
        <w:t>测公司) ：</w:t>
      </w:r>
      <w:r>
        <w:rPr>
          <w:rFonts w:hint="eastAsia" w:ascii="仿宋" w:hAnsi="仿宋" w:eastAsia="仿宋" w:cs="仿宋"/>
          <w:color w:val="auto"/>
          <w:spacing w:val="-3"/>
          <w:sz w:val="28"/>
          <w:szCs w:val="28"/>
          <w:highlight w:val="none"/>
          <w:u w:val="single"/>
          <w:lang w:val="en-US" w:eastAsia="zh-CN"/>
        </w:rPr>
        <w:t xml:space="preserve">                        </w:t>
      </w:r>
      <w:r>
        <w:rPr>
          <w:rFonts w:ascii="仿宋" w:hAnsi="仿宋" w:eastAsia="仿宋" w:cs="仿宋"/>
          <w:color w:val="auto"/>
          <w:sz w:val="28"/>
          <w:szCs w:val="28"/>
          <w:highlight w:val="none"/>
          <w:u w:val="single"/>
        </w:rPr>
        <w:t xml:space="preserve"> </w:t>
      </w:r>
    </w:p>
    <w:p>
      <w:pPr>
        <w:shd w:val="clear"/>
        <w:spacing w:line="307" w:lineRule="auto"/>
        <w:rPr>
          <w:color w:val="auto"/>
          <w:highlight w:val="none"/>
        </w:rPr>
      </w:pPr>
    </w:p>
    <w:p>
      <w:pPr>
        <w:shd w:val="clear"/>
        <w:spacing w:line="307" w:lineRule="auto"/>
        <w:rPr>
          <w:color w:val="auto"/>
          <w:highlight w:val="none"/>
        </w:rPr>
      </w:pPr>
    </w:p>
    <w:p>
      <w:pPr>
        <w:shd w:val="clear"/>
        <w:spacing w:before="91" w:line="312" w:lineRule="auto"/>
        <w:ind w:left="106" w:right="98" w:firstLine="568"/>
        <w:rPr>
          <w:rFonts w:ascii="仿宋" w:hAnsi="仿宋" w:eastAsia="仿宋" w:cs="仿宋"/>
          <w:color w:val="auto"/>
          <w:sz w:val="28"/>
          <w:szCs w:val="28"/>
          <w:highlight w:val="none"/>
        </w:rPr>
      </w:pPr>
      <w:r>
        <w:rPr>
          <w:rFonts w:ascii="仿宋" w:hAnsi="仿宋" w:eastAsia="仿宋" w:cs="仿宋"/>
          <w:color w:val="auto"/>
          <w:spacing w:val="-22"/>
          <w:sz w:val="28"/>
          <w:szCs w:val="28"/>
          <w:highlight w:val="none"/>
        </w:rPr>
        <w:t>根</w:t>
      </w:r>
      <w:r>
        <w:rPr>
          <w:rFonts w:ascii="仿宋" w:hAnsi="仿宋" w:eastAsia="仿宋" w:cs="仿宋"/>
          <w:color w:val="auto"/>
          <w:spacing w:val="-17"/>
          <w:sz w:val="28"/>
          <w:szCs w:val="28"/>
          <w:highlight w:val="none"/>
        </w:rPr>
        <w:t>据《中华人民共和国民法典》、《中华人民共和国消防法》、《新</w:t>
      </w:r>
      <w:r>
        <w:rPr>
          <w:rFonts w:ascii="仿宋" w:hAnsi="仿宋" w:eastAsia="仿宋" w:cs="仿宋"/>
          <w:color w:val="auto"/>
          <w:sz w:val="28"/>
          <w:szCs w:val="28"/>
          <w:highlight w:val="none"/>
        </w:rPr>
        <w:t xml:space="preserve"> </w:t>
      </w:r>
      <w:r>
        <w:rPr>
          <w:rFonts w:ascii="仿宋" w:hAnsi="仿宋" w:eastAsia="仿宋" w:cs="仿宋"/>
          <w:color w:val="auto"/>
          <w:spacing w:val="-12"/>
          <w:sz w:val="28"/>
          <w:szCs w:val="28"/>
          <w:highlight w:val="none"/>
        </w:rPr>
        <w:t>疆维吾</w:t>
      </w:r>
      <w:r>
        <w:rPr>
          <w:rFonts w:ascii="仿宋" w:hAnsi="仿宋" w:eastAsia="仿宋" w:cs="仿宋"/>
          <w:color w:val="auto"/>
          <w:spacing w:val="-8"/>
          <w:sz w:val="28"/>
          <w:szCs w:val="28"/>
          <w:highlight w:val="none"/>
        </w:rPr>
        <w:t>尔</w:t>
      </w:r>
      <w:r>
        <w:rPr>
          <w:rFonts w:ascii="仿宋" w:hAnsi="仿宋" w:eastAsia="仿宋" w:cs="仿宋"/>
          <w:color w:val="auto"/>
          <w:spacing w:val="-6"/>
          <w:sz w:val="28"/>
          <w:szCs w:val="28"/>
          <w:highlight w:val="none"/>
        </w:rPr>
        <w:t>自治区消防条例》、《建筑消防设施检测技术规程》  (GA503</w:t>
      </w:r>
      <w:r>
        <w:rPr>
          <w:rFonts w:ascii="仿宋" w:hAnsi="仿宋" w:eastAsia="仿宋" w:cs="仿宋"/>
          <w:color w:val="auto"/>
          <w:sz w:val="28"/>
          <w:szCs w:val="28"/>
          <w:highlight w:val="none"/>
        </w:rPr>
        <w:t xml:space="preserve"> </w:t>
      </w:r>
      <w:r>
        <w:rPr>
          <w:rFonts w:ascii="仿宋" w:hAnsi="仿宋" w:eastAsia="仿宋" w:cs="仿宋"/>
          <w:color w:val="auto"/>
          <w:spacing w:val="-10"/>
          <w:sz w:val="28"/>
          <w:szCs w:val="28"/>
          <w:highlight w:val="none"/>
        </w:rPr>
        <w:t>－2004</w:t>
      </w:r>
      <w:r>
        <w:rPr>
          <w:rFonts w:ascii="仿宋" w:hAnsi="仿宋" w:eastAsia="仿宋" w:cs="仿宋"/>
          <w:color w:val="auto"/>
          <w:spacing w:val="-7"/>
          <w:sz w:val="28"/>
          <w:szCs w:val="28"/>
          <w:highlight w:val="none"/>
        </w:rPr>
        <w:t>)</w:t>
      </w:r>
      <w:r>
        <w:rPr>
          <w:rFonts w:ascii="仿宋" w:hAnsi="仿宋" w:eastAsia="仿宋" w:cs="仿宋"/>
          <w:color w:val="auto"/>
          <w:spacing w:val="-5"/>
          <w:sz w:val="28"/>
          <w:szCs w:val="28"/>
          <w:highlight w:val="none"/>
        </w:rPr>
        <w:t xml:space="preserve"> 、《建筑消防设施质量检测评定规程》  (DB65/T3253-2011)</w:t>
      </w:r>
      <w:r>
        <w:rPr>
          <w:rFonts w:ascii="仿宋" w:hAnsi="仿宋" w:eastAsia="仿宋" w:cs="仿宋"/>
          <w:color w:val="auto"/>
          <w:sz w:val="28"/>
          <w:szCs w:val="28"/>
          <w:highlight w:val="none"/>
        </w:rPr>
        <w:t xml:space="preserve"> </w:t>
      </w:r>
      <w:r>
        <w:rPr>
          <w:rFonts w:ascii="仿宋" w:hAnsi="仿宋" w:eastAsia="仿宋" w:cs="仿宋"/>
          <w:color w:val="auto"/>
          <w:spacing w:val="-14"/>
          <w:sz w:val="28"/>
          <w:szCs w:val="28"/>
          <w:highlight w:val="none"/>
        </w:rPr>
        <w:t>等</w:t>
      </w:r>
      <w:r>
        <w:rPr>
          <w:rFonts w:ascii="仿宋" w:hAnsi="仿宋" w:eastAsia="仿宋" w:cs="仿宋"/>
          <w:color w:val="auto"/>
          <w:spacing w:val="-12"/>
          <w:sz w:val="28"/>
          <w:szCs w:val="28"/>
          <w:highlight w:val="none"/>
        </w:rPr>
        <w:t>有</w:t>
      </w:r>
      <w:r>
        <w:rPr>
          <w:rFonts w:ascii="仿宋" w:hAnsi="仿宋" w:eastAsia="仿宋" w:cs="仿宋"/>
          <w:color w:val="auto"/>
          <w:spacing w:val="-7"/>
          <w:sz w:val="28"/>
          <w:szCs w:val="28"/>
          <w:highlight w:val="none"/>
        </w:rPr>
        <w:t>关法律法规和技术标准的规定，经甲乙双方协商确定，就甲方建筑</w:t>
      </w:r>
      <w:r>
        <w:rPr>
          <w:rFonts w:ascii="仿宋" w:hAnsi="仿宋" w:eastAsia="仿宋" w:cs="仿宋"/>
          <w:color w:val="auto"/>
          <w:sz w:val="28"/>
          <w:szCs w:val="28"/>
          <w:highlight w:val="none"/>
        </w:rPr>
        <w:t xml:space="preserve"> </w:t>
      </w:r>
      <w:r>
        <w:rPr>
          <w:rFonts w:ascii="仿宋" w:hAnsi="仿宋" w:eastAsia="仿宋" w:cs="仿宋"/>
          <w:color w:val="auto"/>
          <w:spacing w:val="-5"/>
          <w:sz w:val="28"/>
          <w:szCs w:val="28"/>
          <w:highlight w:val="none"/>
        </w:rPr>
        <w:t>消防设施检测项目相关具体事宜，签订本合同</w:t>
      </w:r>
      <w:r>
        <w:rPr>
          <w:rFonts w:ascii="仿宋" w:hAnsi="仿宋" w:eastAsia="仿宋" w:cs="仿宋"/>
          <w:color w:val="auto"/>
          <w:spacing w:val="-3"/>
          <w:sz w:val="28"/>
          <w:szCs w:val="28"/>
          <w:highlight w:val="none"/>
        </w:rPr>
        <w:t>。</w:t>
      </w:r>
    </w:p>
    <w:p>
      <w:pPr>
        <w:shd w:val="clear"/>
        <w:spacing w:line="367" w:lineRule="auto"/>
        <w:rPr>
          <w:color w:val="auto"/>
          <w:highlight w:val="none"/>
        </w:rPr>
      </w:pPr>
    </w:p>
    <w:p>
      <w:pPr>
        <w:shd w:val="clear"/>
        <w:spacing w:before="91" w:line="545" w:lineRule="exact"/>
        <w:rPr>
          <w:rFonts w:hint="eastAsia" w:ascii="仿宋" w:hAnsi="仿宋" w:eastAsia="仿宋" w:cs="仿宋"/>
          <w:color w:val="auto"/>
          <w:sz w:val="28"/>
          <w:szCs w:val="28"/>
          <w:highlight w:val="none"/>
          <w:lang w:eastAsia="zh-CN"/>
        </w:rPr>
      </w:pPr>
      <w:r>
        <w:rPr>
          <w:rFonts w:ascii="仿宋" w:hAnsi="仿宋" w:eastAsia="仿宋" w:cs="仿宋"/>
          <w:color w:val="auto"/>
          <w:spacing w:val="-10"/>
          <w:position w:val="19"/>
          <w:sz w:val="28"/>
          <w:szCs w:val="28"/>
          <w:highlight w:val="none"/>
        </w:rPr>
        <w:t>受检</w:t>
      </w:r>
      <w:r>
        <w:rPr>
          <w:rFonts w:ascii="仿宋" w:hAnsi="仿宋" w:eastAsia="仿宋" w:cs="仿宋"/>
          <w:color w:val="auto"/>
          <w:spacing w:val="-5"/>
          <w:position w:val="19"/>
          <w:sz w:val="28"/>
          <w:szCs w:val="28"/>
          <w:highlight w:val="none"/>
        </w:rPr>
        <w:t>项目名称：新疆医科大学附属肿瘤医院消防设施检测</w:t>
      </w:r>
      <w:r>
        <w:rPr>
          <w:rFonts w:hint="eastAsia" w:ascii="仿宋" w:hAnsi="仿宋" w:eastAsia="仿宋" w:cs="仿宋"/>
          <w:color w:val="auto"/>
          <w:spacing w:val="-5"/>
          <w:position w:val="19"/>
          <w:sz w:val="28"/>
          <w:szCs w:val="28"/>
          <w:highlight w:val="none"/>
          <w:lang w:eastAsia="zh-CN"/>
        </w:rPr>
        <w:t>项目</w:t>
      </w:r>
    </w:p>
    <w:p>
      <w:pPr>
        <w:shd w:val="clear"/>
        <w:spacing w:before="1" w:line="220" w:lineRule="auto"/>
        <w:rPr>
          <w:rFonts w:ascii="仿宋" w:hAnsi="仿宋" w:eastAsia="仿宋" w:cs="仿宋"/>
          <w:color w:val="auto"/>
          <w:sz w:val="28"/>
          <w:szCs w:val="28"/>
          <w:highlight w:val="none"/>
        </w:rPr>
      </w:pPr>
      <w:r>
        <w:rPr>
          <w:rFonts w:ascii="仿宋" w:hAnsi="仿宋" w:eastAsia="仿宋" w:cs="仿宋"/>
          <w:color w:val="auto"/>
          <w:spacing w:val="-18"/>
          <w:sz w:val="28"/>
          <w:szCs w:val="28"/>
          <w:highlight w:val="none"/>
        </w:rPr>
        <w:t>受</w:t>
      </w:r>
      <w:r>
        <w:rPr>
          <w:rFonts w:ascii="仿宋" w:hAnsi="仿宋" w:eastAsia="仿宋" w:cs="仿宋"/>
          <w:color w:val="auto"/>
          <w:spacing w:val="-11"/>
          <w:sz w:val="28"/>
          <w:szCs w:val="28"/>
          <w:highlight w:val="none"/>
        </w:rPr>
        <w:t>检</w:t>
      </w:r>
      <w:r>
        <w:rPr>
          <w:rFonts w:ascii="仿宋" w:hAnsi="仿宋" w:eastAsia="仿宋" w:cs="仿宋"/>
          <w:color w:val="auto"/>
          <w:spacing w:val="-9"/>
          <w:sz w:val="28"/>
          <w:szCs w:val="28"/>
          <w:highlight w:val="none"/>
        </w:rPr>
        <w:t>项目地址：乌鲁木齐市新市区苏州东街 789 号</w:t>
      </w:r>
    </w:p>
    <w:p>
      <w:pPr>
        <w:shd w:val="clear"/>
        <w:spacing w:line="261" w:lineRule="auto"/>
        <w:rPr>
          <w:color w:val="auto"/>
          <w:highlight w:val="none"/>
        </w:rPr>
      </w:pPr>
    </w:p>
    <w:p>
      <w:pPr>
        <w:shd w:val="clear"/>
        <w:spacing w:line="262" w:lineRule="auto"/>
        <w:rPr>
          <w:color w:val="auto"/>
          <w:highlight w:val="none"/>
        </w:rPr>
      </w:pPr>
    </w:p>
    <w:p>
      <w:pPr>
        <w:shd w:val="clear"/>
        <w:spacing w:before="92" w:line="220" w:lineRule="auto"/>
        <w:ind w:left="553"/>
        <w:rPr>
          <w:rFonts w:ascii="仿宋" w:hAnsi="仿宋" w:eastAsia="仿宋" w:cs="仿宋"/>
          <w:color w:val="auto"/>
          <w:sz w:val="28"/>
          <w:szCs w:val="28"/>
          <w:highlight w:val="none"/>
        </w:rPr>
      </w:pPr>
      <w:r>
        <w:rPr>
          <w:rFonts w:ascii="仿宋" w:hAnsi="仿宋" w:eastAsia="仿宋" w:cs="仿宋"/>
          <w:color w:val="auto"/>
          <w:spacing w:val="-22"/>
          <w:sz w:val="28"/>
          <w:szCs w:val="28"/>
          <w:highlight w:val="none"/>
          <w14:textOutline w14:w="5105" w14:cap="sq" w14:cmpd="sng" w14:algn="ctr">
            <w14:solidFill>
              <w14:srgbClr w14:val="000000"/>
            </w14:solidFill>
            <w14:prstDash w14:val="solid"/>
            <w14:bevel/>
          </w14:textOutline>
        </w:rPr>
        <w:t>第</w:t>
      </w:r>
      <w:r>
        <w:rPr>
          <w:rFonts w:ascii="仿宋" w:hAnsi="仿宋" w:eastAsia="仿宋" w:cs="仿宋"/>
          <w:color w:val="auto"/>
          <w:spacing w:val="-11"/>
          <w:sz w:val="28"/>
          <w:szCs w:val="28"/>
          <w:highlight w:val="none"/>
          <w14:textOutline w14:w="5105" w14:cap="sq" w14:cmpd="sng" w14:algn="ctr">
            <w14:solidFill>
              <w14:srgbClr w14:val="000000"/>
            </w14:solidFill>
            <w14:prstDash w14:val="solid"/>
            <w14:bevel/>
          </w14:textOutline>
        </w:rPr>
        <w:t>一条</w:t>
      </w:r>
      <w:r>
        <w:rPr>
          <w:rFonts w:ascii="仿宋" w:hAnsi="仿宋" w:eastAsia="仿宋" w:cs="仿宋"/>
          <w:color w:val="auto"/>
          <w:spacing w:val="-11"/>
          <w:sz w:val="28"/>
          <w:szCs w:val="28"/>
          <w:highlight w:val="none"/>
        </w:rPr>
        <w:t xml:space="preserve">  </w:t>
      </w:r>
      <w:r>
        <w:rPr>
          <w:rFonts w:ascii="仿宋" w:hAnsi="仿宋" w:eastAsia="仿宋" w:cs="仿宋"/>
          <w:color w:val="auto"/>
          <w:spacing w:val="-11"/>
          <w:sz w:val="28"/>
          <w:szCs w:val="28"/>
          <w:highlight w:val="none"/>
          <w14:textOutline w14:w="5105" w14:cap="sq" w14:cmpd="sng" w14:algn="ctr">
            <w14:solidFill>
              <w14:srgbClr w14:val="000000"/>
            </w14:solidFill>
            <w14:prstDash w14:val="solid"/>
            <w14:bevel/>
          </w14:textOutline>
        </w:rPr>
        <w:t>检测内容</w:t>
      </w:r>
      <w:r>
        <w:rPr>
          <w:rFonts w:ascii="仿宋" w:hAnsi="仿宋" w:eastAsia="仿宋" w:cs="仿宋"/>
          <w:color w:val="auto"/>
          <w:spacing w:val="-11"/>
          <w:sz w:val="28"/>
          <w:szCs w:val="28"/>
          <w:highlight w:val="none"/>
        </w:rPr>
        <w:t xml:space="preserve"> </w:t>
      </w:r>
      <w:r>
        <w:rPr>
          <w:rFonts w:ascii="仿宋" w:hAnsi="仿宋" w:eastAsia="仿宋" w:cs="仿宋"/>
          <w:color w:val="auto"/>
          <w:spacing w:val="-11"/>
          <w:sz w:val="28"/>
          <w:szCs w:val="28"/>
          <w:highlight w:val="none"/>
          <w14:textOutline w14:w="5105" w14:cap="sq" w14:cmpd="sng" w14:algn="ctr">
            <w14:solidFill>
              <w14:srgbClr w14:val="000000"/>
            </w14:solidFill>
            <w14:prstDash w14:val="solid"/>
            <w14:bevel/>
          </w14:textOutline>
        </w:rPr>
        <w:t>(检测内容在方框内打“</w:t>
      </w:r>
      <w:r>
        <w:rPr>
          <w:rFonts w:ascii="仿宋" w:hAnsi="仿宋" w:eastAsia="仿宋" w:cs="仿宋"/>
          <w:color w:val="auto"/>
          <w:spacing w:val="-11"/>
          <w:sz w:val="28"/>
          <w:szCs w:val="28"/>
          <w:highlight w:val="none"/>
        </w:rPr>
        <w:t xml:space="preserve"> </w:t>
      </w:r>
      <w:r>
        <w:rPr>
          <w:rFonts w:ascii="仿宋" w:hAnsi="仿宋" w:eastAsia="仿宋" w:cs="仿宋"/>
          <w:color w:val="auto"/>
          <w:spacing w:val="-11"/>
          <w:sz w:val="28"/>
          <w:szCs w:val="28"/>
          <w:highlight w:val="none"/>
          <w14:textOutline w14:w="5105" w14:cap="sq" w14:cmpd="sng" w14:algn="ctr">
            <w14:solidFill>
              <w14:srgbClr w14:val="000000"/>
            </w14:solidFill>
            <w14:prstDash w14:val="solid"/>
            <w14:bevel/>
          </w14:textOutline>
        </w:rPr>
        <w:t>√</w:t>
      </w:r>
      <w:r>
        <w:rPr>
          <w:rFonts w:ascii="仿宋" w:hAnsi="仿宋" w:eastAsia="仿宋" w:cs="仿宋"/>
          <w:color w:val="auto"/>
          <w:spacing w:val="-11"/>
          <w:sz w:val="28"/>
          <w:szCs w:val="28"/>
          <w:highlight w:val="none"/>
        </w:rPr>
        <w:t xml:space="preserve"> </w:t>
      </w:r>
      <w:r>
        <w:rPr>
          <w:rFonts w:ascii="仿宋" w:hAnsi="仿宋" w:eastAsia="仿宋" w:cs="仿宋"/>
          <w:color w:val="auto"/>
          <w:spacing w:val="-11"/>
          <w:sz w:val="28"/>
          <w:szCs w:val="28"/>
          <w:highlight w:val="none"/>
          <w14:textOutline w14:w="5105" w14:cap="sq" w14:cmpd="sng" w14:algn="ctr">
            <w14:solidFill>
              <w14:srgbClr w14:val="000000"/>
            </w14:solidFill>
            <w14:prstDash w14:val="solid"/>
            <w14:bevel/>
          </w14:textOutline>
        </w:rPr>
        <w:t>”)</w:t>
      </w:r>
    </w:p>
    <w:p>
      <w:pPr>
        <w:shd w:val="clear"/>
        <w:spacing w:line="76" w:lineRule="exact"/>
        <w:rPr>
          <w:color w:val="auto"/>
          <w:highlight w:val="none"/>
        </w:rPr>
      </w:pPr>
    </w:p>
    <w:p>
      <w:pPr>
        <w:shd w:val="clear"/>
        <w:rPr>
          <w:color w:val="auto"/>
          <w:highlight w:val="none"/>
        </w:rPr>
        <w:sectPr>
          <w:footerReference r:id="rId13" w:type="default"/>
          <w:pgSz w:w="11910" w:h="16840"/>
          <w:pgMar w:top="1383" w:right="1540" w:bottom="1373" w:left="1711" w:header="0" w:footer="1210" w:gutter="0"/>
          <w:cols w:equalWidth="0" w:num="1">
            <w:col w:w="8659"/>
          </w:cols>
        </w:sectPr>
      </w:pPr>
    </w:p>
    <w:p>
      <w:pPr>
        <w:shd w:val="clear"/>
        <w:spacing w:before="58" w:line="222" w:lineRule="auto"/>
        <w:ind w:left="663"/>
        <w:rPr>
          <w:rFonts w:ascii="仿宋" w:hAnsi="仿宋" w:eastAsia="仿宋" w:cs="仿宋"/>
          <w:color w:val="auto"/>
          <w:sz w:val="28"/>
          <w:szCs w:val="28"/>
          <w:highlight w:val="none"/>
        </w:rPr>
      </w:pPr>
      <w:r>
        <w:rPr>
          <w:rFonts w:ascii="仿宋" w:hAnsi="仿宋" w:eastAsia="仿宋" w:cs="仿宋"/>
          <w:color w:val="auto"/>
          <w:spacing w:val="-7"/>
          <w:sz w:val="28"/>
          <w:szCs w:val="28"/>
          <w:highlight w:val="none"/>
        </w:rPr>
        <w:t>▉</w:t>
      </w:r>
      <w:r>
        <w:rPr>
          <w:rFonts w:ascii="仿宋" w:hAnsi="仿宋" w:eastAsia="仿宋" w:cs="仿宋"/>
          <w:color w:val="auto"/>
          <w:spacing w:val="-4"/>
          <w:sz w:val="28"/>
          <w:szCs w:val="28"/>
          <w:highlight w:val="none"/>
        </w:rPr>
        <w:t>消防水源</w:t>
      </w:r>
    </w:p>
    <w:p>
      <w:pPr>
        <w:shd w:val="clear"/>
        <w:spacing w:before="131" w:line="468" w:lineRule="exact"/>
        <w:ind w:left="663"/>
        <w:rPr>
          <w:rFonts w:ascii="仿宋" w:hAnsi="仿宋" w:eastAsia="仿宋" w:cs="仿宋"/>
          <w:color w:val="auto"/>
          <w:sz w:val="28"/>
          <w:szCs w:val="28"/>
          <w:highlight w:val="none"/>
        </w:rPr>
      </w:pPr>
      <w:r>
        <w:rPr>
          <w:rFonts w:ascii="仿宋" w:hAnsi="仿宋" w:eastAsia="仿宋" w:cs="仿宋"/>
          <w:color w:val="auto"/>
          <w:spacing w:val="-8"/>
          <w:position w:val="13"/>
          <w:sz w:val="28"/>
          <w:szCs w:val="28"/>
          <w:highlight w:val="none"/>
        </w:rPr>
        <w:t>▉</w:t>
      </w:r>
      <w:r>
        <w:rPr>
          <w:rFonts w:ascii="仿宋" w:hAnsi="仿宋" w:eastAsia="仿宋" w:cs="仿宋"/>
          <w:color w:val="auto"/>
          <w:spacing w:val="-6"/>
          <w:position w:val="13"/>
          <w:sz w:val="28"/>
          <w:szCs w:val="28"/>
          <w:highlight w:val="none"/>
        </w:rPr>
        <w:t>室</w:t>
      </w:r>
      <w:r>
        <w:rPr>
          <w:rFonts w:ascii="仿宋" w:hAnsi="仿宋" w:eastAsia="仿宋" w:cs="仿宋"/>
          <w:color w:val="auto"/>
          <w:spacing w:val="-4"/>
          <w:position w:val="13"/>
          <w:sz w:val="28"/>
          <w:szCs w:val="28"/>
          <w:highlight w:val="none"/>
        </w:rPr>
        <w:t>内消火栓系统</w:t>
      </w:r>
    </w:p>
    <w:p>
      <w:pPr>
        <w:shd w:val="clear"/>
        <w:spacing w:before="2" w:line="222" w:lineRule="auto"/>
        <w:ind w:left="663"/>
        <w:rPr>
          <w:rFonts w:ascii="仿宋" w:hAnsi="仿宋" w:eastAsia="仿宋" w:cs="仿宋"/>
          <w:color w:val="auto"/>
          <w:sz w:val="28"/>
          <w:szCs w:val="28"/>
          <w:highlight w:val="none"/>
        </w:rPr>
      </w:pPr>
      <w:r>
        <w:rPr>
          <w:rFonts w:ascii="仿宋" w:hAnsi="仿宋" w:eastAsia="仿宋" w:cs="仿宋"/>
          <w:color w:val="auto"/>
          <w:spacing w:val="-8"/>
          <w:sz w:val="28"/>
          <w:szCs w:val="28"/>
          <w:highlight w:val="none"/>
        </w:rPr>
        <w:t>▉</w:t>
      </w:r>
      <w:r>
        <w:rPr>
          <w:rFonts w:ascii="仿宋" w:hAnsi="仿宋" w:eastAsia="仿宋" w:cs="仿宋"/>
          <w:color w:val="auto"/>
          <w:spacing w:val="-6"/>
          <w:sz w:val="28"/>
          <w:szCs w:val="28"/>
          <w:highlight w:val="none"/>
        </w:rPr>
        <w:t>火</w:t>
      </w:r>
      <w:r>
        <w:rPr>
          <w:rFonts w:ascii="仿宋" w:hAnsi="仿宋" w:eastAsia="仿宋" w:cs="仿宋"/>
          <w:color w:val="auto"/>
          <w:spacing w:val="-4"/>
          <w:sz w:val="28"/>
          <w:szCs w:val="28"/>
          <w:highlight w:val="none"/>
        </w:rPr>
        <w:t>灾自动报警系统</w:t>
      </w:r>
    </w:p>
    <w:p>
      <w:pPr>
        <w:shd w:val="clear"/>
        <w:spacing w:before="130" w:line="223" w:lineRule="auto"/>
        <w:ind w:left="663"/>
        <w:rPr>
          <w:rFonts w:ascii="仿宋" w:hAnsi="仿宋" w:eastAsia="仿宋" w:cs="仿宋"/>
          <w:color w:val="auto"/>
          <w:sz w:val="28"/>
          <w:szCs w:val="28"/>
          <w:highlight w:val="none"/>
        </w:rPr>
      </w:pPr>
      <w:r>
        <w:rPr>
          <w:rFonts w:ascii="仿宋" w:hAnsi="仿宋" w:eastAsia="仿宋" w:cs="仿宋"/>
          <w:color w:val="auto"/>
          <w:spacing w:val="-8"/>
          <w:sz w:val="28"/>
          <w:szCs w:val="28"/>
          <w:highlight w:val="none"/>
        </w:rPr>
        <w:t>▉</w:t>
      </w:r>
      <w:r>
        <w:rPr>
          <w:rFonts w:ascii="仿宋" w:hAnsi="仿宋" w:eastAsia="仿宋" w:cs="仿宋"/>
          <w:color w:val="auto"/>
          <w:spacing w:val="-6"/>
          <w:sz w:val="28"/>
          <w:szCs w:val="28"/>
          <w:highlight w:val="none"/>
        </w:rPr>
        <w:t>气</w:t>
      </w:r>
      <w:r>
        <w:rPr>
          <w:rFonts w:ascii="仿宋" w:hAnsi="仿宋" w:eastAsia="仿宋" w:cs="仿宋"/>
          <w:color w:val="auto"/>
          <w:spacing w:val="-4"/>
          <w:sz w:val="28"/>
          <w:szCs w:val="28"/>
          <w:highlight w:val="none"/>
        </w:rPr>
        <w:t>体灭火系统</w:t>
      </w:r>
    </w:p>
    <w:p>
      <w:pPr>
        <w:shd w:val="clear"/>
        <w:spacing w:before="132" w:line="468" w:lineRule="exact"/>
        <w:ind w:left="694"/>
        <w:rPr>
          <w:rFonts w:ascii="仿宋" w:hAnsi="仿宋" w:eastAsia="仿宋" w:cs="仿宋"/>
          <w:color w:val="auto"/>
          <w:sz w:val="28"/>
          <w:szCs w:val="28"/>
          <w:highlight w:val="none"/>
        </w:rPr>
      </w:pPr>
      <w:r>
        <w:rPr>
          <w:rFonts w:ascii="仿宋" w:hAnsi="仿宋" w:eastAsia="仿宋" w:cs="仿宋"/>
          <w:color w:val="auto"/>
          <w:spacing w:val="-8"/>
          <w:sz w:val="28"/>
          <w:szCs w:val="28"/>
          <w:highlight w:val="none"/>
        </w:rPr>
        <w:t>▉</w:t>
      </w:r>
      <w:r>
        <w:rPr>
          <w:rFonts w:ascii="仿宋" w:hAnsi="仿宋" w:eastAsia="仿宋" w:cs="仿宋"/>
          <w:color w:val="auto"/>
          <w:spacing w:val="-7"/>
          <w:position w:val="13"/>
          <w:sz w:val="28"/>
          <w:szCs w:val="28"/>
          <w:highlight w:val="none"/>
        </w:rPr>
        <w:t>固定消防炮灭火系统</w:t>
      </w:r>
    </w:p>
    <w:p>
      <w:pPr>
        <w:shd w:val="clear"/>
        <w:spacing w:before="1" w:line="223" w:lineRule="auto"/>
        <w:ind w:left="694"/>
        <w:rPr>
          <w:rFonts w:ascii="仿宋" w:hAnsi="仿宋" w:eastAsia="仿宋" w:cs="仿宋"/>
          <w:color w:val="auto"/>
          <w:sz w:val="28"/>
          <w:szCs w:val="28"/>
          <w:highlight w:val="none"/>
        </w:rPr>
      </w:pPr>
      <w:r>
        <w:rPr>
          <w:rFonts w:ascii="仿宋" w:hAnsi="仿宋" w:eastAsia="仿宋" w:cs="仿宋"/>
          <w:color w:val="auto"/>
          <w:spacing w:val="-12"/>
          <w:sz w:val="28"/>
          <w:szCs w:val="28"/>
          <w:highlight w:val="none"/>
        </w:rPr>
        <w:t>□</w:t>
      </w:r>
      <w:r>
        <w:rPr>
          <w:rFonts w:ascii="仿宋" w:hAnsi="仿宋" w:eastAsia="仿宋" w:cs="仿宋"/>
          <w:color w:val="auto"/>
          <w:spacing w:val="-8"/>
          <w:sz w:val="28"/>
          <w:szCs w:val="28"/>
          <w:highlight w:val="none"/>
        </w:rPr>
        <w:t>细水雾灭火系统</w:t>
      </w:r>
    </w:p>
    <w:p>
      <w:pPr>
        <w:shd w:val="clear"/>
        <w:spacing w:before="128" w:line="224" w:lineRule="auto"/>
        <w:ind w:left="694"/>
        <w:rPr>
          <w:rFonts w:ascii="仿宋" w:hAnsi="仿宋" w:eastAsia="仿宋" w:cs="仿宋"/>
          <w:color w:val="auto"/>
          <w:sz w:val="28"/>
          <w:szCs w:val="28"/>
          <w:highlight w:val="none"/>
        </w:rPr>
      </w:pPr>
      <w:r>
        <w:rPr>
          <w:rFonts w:ascii="仿宋" w:hAnsi="仿宋" w:eastAsia="仿宋" w:cs="仿宋"/>
          <w:color w:val="auto"/>
          <w:spacing w:val="-12"/>
          <w:sz w:val="28"/>
          <w:szCs w:val="28"/>
          <w:highlight w:val="none"/>
        </w:rPr>
        <w:t>□</w:t>
      </w:r>
      <w:r>
        <w:rPr>
          <w:rFonts w:ascii="仿宋" w:hAnsi="仿宋" w:eastAsia="仿宋" w:cs="仿宋"/>
          <w:color w:val="auto"/>
          <w:spacing w:val="-8"/>
          <w:sz w:val="28"/>
          <w:szCs w:val="28"/>
          <w:highlight w:val="none"/>
        </w:rPr>
        <w:t>水喷雾灭火系统</w:t>
      </w:r>
    </w:p>
    <w:p>
      <w:pPr>
        <w:shd w:val="clear"/>
        <w:spacing w:before="128" w:line="224" w:lineRule="auto"/>
        <w:ind w:left="663"/>
        <w:rPr>
          <w:rFonts w:ascii="仿宋" w:hAnsi="仿宋" w:eastAsia="仿宋" w:cs="仿宋"/>
          <w:color w:val="auto"/>
          <w:sz w:val="28"/>
          <w:szCs w:val="28"/>
          <w:highlight w:val="none"/>
        </w:rPr>
      </w:pPr>
      <w:r>
        <w:rPr>
          <w:rFonts w:ascii="仿宋" w:hAnsi="仿宋" w:eastAsia="仿宋" w:cs="仿宋"/>
          <w:color w:val="auto"/>
          <w:spacing w:val="-8"/>
          <w:sz w:val="28"/>
          <w:szCs w:val="28"/>
          <w:highlight w:val="none"/>
        </w:rPr>
        <w:t>▉</w:t>
      </w:r>
      <w:r>
        <w:rPr>
          <w:rFonts w:ascii="仿宋" w:hAnsi="仿宋" w:eastAsia="仿宋" w:cs="仿宋"/>
          <w:color w:val="auto"/>
          <w:spacing w:val="-6"/>
          <w:sz w:val="28"/>
          <w:szCs w:val="28"/>
          <w:highlight w:val="none"/>
        </w:rPr>
        <w:t>防</w:t>
      </w:r>
      <w:r>
        <w:rPr>
          <w:rFonts w:ascii="仿宋" w:hAnsi="仿宋" w:eastAsia="仿宋" w:cs="仿宋"/>
          <w:color w:val="auto"/>
          <w:spacing w:val="-4"/>
          <w:sz w:val="28"/>
          <w:szCs w:val="28"/>
          <w:highlight w:val="none"/>
        </w:rPr>
        <w:t>火分隔系统</w:t>
      </w:r>
    </w:p>
    <w:p>
      <w:pPr>
        <w:shd w:val="clear"/>
        <w:spacing w:before="129" w:line="470" w:lineRule="exact"/>
        <w:ind w:left="663"/>
        <w:rPr>
          <w:rFonts w:ascii="仿宋" w:hAnsi="仿宋" w:eastAsia="仿宋" w:cs="仿宋"/>
          <w:color w:val="auto"/>
          <w:sz w:val="28"/>
          <w:szCs w:val="28"/>
          <w:highlight w:val="none"/>
        </w:rPr>
      </w:pPr>
      <w:r>
        <w:rPr>
          <w:rFonts w:ascii="仿宋" w:hAnsi="仿宋" w:eastAsia="仿宋" w:cs="仿宋"/>
          <w:color w:val="auto"/>
          <w:spacing w:val="-8"/>
          <w:position w:val="13"/>
          <w:sz w:val="28"/>
          <w:szCs w:val="28"/>
          <w:highlight w:val="none"/>
        </w:rPr>
        <w:t>▉</w:t>
      </w:r>
      <w:r>
        <w:rPr>
          <w:rFonts w:ascii="仿宋" w:hAnsi="仿宋" w:eastAsia="仿宋" w:cs="仿宋"/>
          <w:color w:val="auto"/>
          <w:spacing w:val="-6"/>
          <w:position w:val="13"/>
          <w:sz w:val="28"/>
          <w:szCs w:val="28"/>
          <w:highlight w:val="none"/>
        </w:rPr>
        <w:t>消</w:t>
      </w:r>
      <w:r>
        <w:rPr>
          <w:rFonts w:ascii="仿宋" w:hAnsi="仿宋" w:eastAsia="仿宋" w:cs="仿宋"/>
          <w:color w:val="auto"/>
          <w:spacing w:val="-4"/>
          <w:position w:val="13"/>
          <w:sz w:val="28"/>
          <w:szCs w:val="28"/>
          <w:highlight w:val="none"/>
        </w:rPr>
        <w:t>防应急照明</w:t>
      </w:r>
    </w:p>
    <w:p>
      <w:pPr>
        <w:shd w:val="clear"/>
        <w:spacing w:before="1" w:line="222" w:lineRule="auto"/>
        <w:ind w:left="651"/>
        <w:rPr>
          <w:rFonts w:ascii="仿宋" w:hAnsi="仿宋" w:eastAsia="仿宋" w:cs="仿宋"/>
          <w:color w:val="auto"/>
          <w:sz w:val="28"/>
          <w:szCs w:val="28"/>
          <w:highlight w:val="none"/>
        </w:rPr>
      </w:pPr>
      <w:r>
        <w:rPr>
          <w:rFonts w:ascii="仿宋" w:hAnsi="仿宋" w:eastAsia="仿宋" w:cs="仿宋"/>
          <w:color w:val="auto"/>
          <w:spacing w:val="-6"/>
          <w:sz w:val="28"/>
          <w:szCs w:val="28"/>
          <w:highlight w:val="none"/>
        </w:rPr>
        <w:t>▉</w:t>
      </w:r>
      <w:r>
        <w:rPr>
          <w:rFonts w:ascii="仿宋" w:hAnsi="仿宋" w:eastAsia="仿宋" w:cs="仿宋"/>
          <w:color w:val="auto"/>
          <w:spacing w:val="-5"/>
          <w:sz w:val="28"/>
          <w:szCs w:val="28"/>
          <w:highlight w:val="none"/>
        </w:rPr>
        <w:t>消防电梯</w:t>
      </w:r>
    </w:p>
    <w:p>
      <w:pPr>
        <w:shd w:val="clear"/>
        <w:spacing w:before="24" w:line="190" w:lineRule="auto"/>
        <w:ind w:left="682"/>
        <w:rPr>
          <w:rFonts w:ascii="仿宋" w:hAnsi="仿宋" w:eastAsia="仿宋" w:cs="仿宋"/>
          <w:color w:val="auto"/>
          <w:sz w:val="28"/>
          <w:szCs w:val="28"/>
          <w:highlight w:val="none"/>
        </w:rPr>
      </w:pPr>
      <w:r>
        <w:rPr>
          <w:rFonts w:ascii="仿宋" w:hAnsi="仿宋" w:eastAsia="仿宋" w:cs="仿宋"/>
          <w:color w:val="auto"/>
          <w:spacing w:val="-16"/>
          <w:sz w:val="28"/>
          <w:szCs w:val="28"/>
          <w:highlight w:val="none"/>
        </w:rPr>
        <w:t>□其他</w:t>
      </w:r>
    </w:p>
    <w:p>
      <w:pPr>
        <w:shd w:val="clear"/>
        <w:spacing w:line="14" w:lineRule="auto"/>
        <w:rPr>
          <w:color w:val="auto"/>
          <w:sz w:val="2"/>
          <w:highlight w:val="none"/>
        </w:rPr>
      </w:pPr>
      <w:r>
        <w:rPr>
          <w:color w:val="auto"/>
          <w:sz w:val="2"/>
          <w:szCs w:val="2"/>
          <w:highlight w:val="none"/>
        </w:rPr>
        <w:br w:type="column"/>
      </w:r>
    </w:p>
    <w:p>
      <w:pPr>
        <w:shd w:val="clear"/>
        <w:spacing w:before="57" w:line="468" w:lineRule="exact"/>
        <w:rPr>
          <w:rFonts w:ascii="仿宋" w:hAnsi="仿宋" w:eastAsia="仿宋" w:cs="仿宋"/>
          <w:color w:val="auto"/>
          <w:sz w:val="28"/>
          <w:szCs w:val="28"/>
          <w:highlight w:val="none"/>
        </w:rPr>
      </w:pPr>
      <w:r>
        <w:rPr>
          <w:rFonts w:ascii="仿宋" w:hAnsi="仿宋" w:eastAsia="仿宋" w:cs="仿宋"/>
          <w:color w:val="auto"/>
          <w:spacing w:val="-8"/>
          <w:position w:val="13"/>
          <w:sz w:val="28"/>
          <w:szCs w:val="28"/>
          <w:highlight w:val="none"/>
        </w:rPr>
        <w:t>▉</w:t>
      </w:r>
      <w:r>
        <w:rPr>
          <w:rFonts w:ascii="仿宋" w:hAnsi="仿宋" w:eastAsia="仿宋" w:cs="仿宋"/>
          <w:color w:val="auto"/>
          <w:spacing w:val="-6"/>
          <w:position w:val="13"/>
          <w:sz w:val="28"/>
          <w:szCs w:val="28"/>
          <w:highlight w:val="none"/>
        </w:rPr>
        <w:t>消</w:t>
      </w:r>
      <w:r>
        <w:rPr>
          <w:rFonts w:ascii="仿宋" w:hAnsi="仿宋" w:eastAsia="仿宋" w:cs="仿宋"/>
          <w:color w:val="auto"/>
          <w:spacing w:val="-4"/>
          <w:position w:val="13"/>
          <w:sz w:val="28"/>
          <w:szCs w:val="28"/>
          <w:highlight w:val="none"/>
        </w:rPr>
        <w:t>防给水系统</w:t>
      </w:r>
    </w:p>
    <w:p>
      <w:pPr>
        <w:shd w:val="clear"/>
        <w:spacing w:line="222" w:lineRule="auto"/>
        <w:ind w:left="19"/>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▉室外消火栓系统</w:t>
      </w:r>
    </w:p>
    <w:p>
      <w:pPr>
        <w:shd w:val="clear"/>
        <w:spacing w:before="131" w:line="468" w:lineRule="exact"/>
        <w:rPr>
          <w:rFonts w:ascii="仿宋" w:hAnsi="仿宋" w:eastAsia="仿宋" w:cs="仿宋"/>
          <w:color w:val="auto"/>
          <w:sz w:val="28"/>
          <w:szCs w:val="28"/>
          <w:highlight w:val="none"/>
        </w:rPr>
      </w:pPr>
      <w:r>
        <w:rPr>
          <w:rFonts w:ascii="仿宋" w:hAnsi="仿宋" w:eastAsia="仿宋" w:cs="仿宋"/>
          <w:color w:val="auto"/>
          <w:spacing w:val="-20"/>
          <w:position w:val="13"/>
          <w:sz w:val="28"/>
          <w:szCs w:val="28"/>
          <w:highlight w:val="none"/>
        </w:rPr>
        <w:t>▉</w:t>
      </w:r>
      <w:r>
        <w:rPr>
          <w:rFonts w:ascii="仿宋" w:hAnsi="仿宋" w:eastAsia="仿宋" w:cs="仿宋"/>
          <w:color w:val="auto"/>
          <w:spacing w:val="-18"/>
          <w:position w:val="13"/>
          <w:sz w:val="28"/>
          <w:szCs w:val="28"/>
          <w:highlight w:val="none"/>
        </w:rPr>
        <w:t xml:space="preserve"> 自动喷水灭火系统</w:t>
      </w:r>
    </w:p>
    <w:p>
      <w:pPr>
        <w:shd w:val="clear"/>
        <w:spacing w:line="222" w:lineRule="auto"/>
        <w:ind w:left="97"/>
        <w:rPr>
          <w:rFonts w:ascii="仿宋" w:hAnsi="仿宋" w:eastAsia="仿宋" w:cs="仿宋"/>
          <w:color w:val="auto"/>
          <w:sz w:val="28"/>
          <w:szCs w:val="28"/>
          <w:highlight w:val="none"/>
        </w:rPr>
      </w:pPr>
      <w:r>
        <w:rPr>
          <w:rFonts w:ascii="仿宋" w:hAnsi="仿宋" w:eastAsia="仿宋" w:cs="仿宋"/>
          <w:color w:val="auto"/>
          <w:spacing w:val="-12"/>
          <w:sz w:val="28"/>
          <w:szCs w:val="28"/>
          <w:highlight w:val="none"/>
        </w:rPr>
        <w:t>□</w:t>
      </w:r>
      <w:r>
        <w:rPr>
          <w:rFonts w:ascii="仿宋" w:hAnsi="仿宋" w:eastAsia="仿宋" w:cs="仿宋"/>
          <w:color w:val="auto"/>
          <w:spacing w:val="-9"/>
          <w:sz w:val="28"/>
          <w:szCs w:val="28"/>
          <w:highlight w:val="none"/>
        </w:rPr>
        <w:t>泡沫灭火系统</w:t>
      </w:r>
    </w:p>
    <w:p>
      <w:pPr>
        <w:shd w:val="clear"/>
        <w:spacing w:before="133" w:line="224" w:lineRule="auto"/>
        <w:ind w:left="97"/>
        <w:rPr>
          <w:rFonts w:ascii="仿宋" w:hAnsi="仿宋" w:eastAsia="仿宋" w:cs="仿宋"/>
          <w:color w:val="auto"/>
          <w:sz w:val="28"/>
          <w:szCs w:val="28"/>
          <w:highlight w:val="none"/>
        </w:rPr>
      </w:pPr>
      <w:r>
        <w:rPr>
          <w:rFonts w:ascii="仿宋" w:hAnsi="仿宋" w:eastAsia="仿宋" w:cs="仿宋"/>
          <w:color w:val="auto"/>
          <w:spacing w:val="-12"/>
          <w:sz w:val="28"/>
          <w:szCs w:val="28"/>
          <w:highlight w:val="none"/>
        </w:rPr>
        <w:t>□</w:t>
      </w:r>
      <w:r>
        <w:rPr>
          <w:rFonts w:ascii="仿宋" w:hAnsi="仿宋" w:eastAsia="仿宋" w:cs="仿宋"/>
          <w:color w:val="auto"/>
          <w:spacing w:val="-9"/>
          <w:sz w:val="28"/>
          <w:szCs w:val="28"/>
          <w:highlight w:val="none"/>
        </w:rPr>
        <w:t>干粉灭火系统</w:t>
      </w:r>
    </w:p>
    <w:p>
      <w:pPr>
        <w:shd w:val="clear"/>
        <w:spacing w:before="128" w:line="224" w:lineRule="auto"/>
        <w:ind w:left="97"/>
        <w:rPr>
          <w:rFonts w:ascii="仿宋" w:hAnsi="仿宋" w:eastAsia="仿宋" w:cs="仿宋"/>
          <w:color w:val="auto"/>
          <w:sz w:val="28"/>
          <w:szCs w:val="28"/>
          <w:highlight w:val="none"/>
        </w:rPr>
      </w:pPr>
      <w:r>
        <w:rPr>
          <w:rFonts w:ascii="仿宋" w:hAnsi="仿宋" w:eastAsia="仿宋" w:cs="仿宋"/>
          <w:color w:val="auto"/>
          <w:spacing w:val="-12"/>
          <w:sz w:val="28"/>
          <w:szCs w:val="28"/>
          <w:highlight w:val="none"/>
        </w:rPr>
        <w:t>□</w:t>
      </w:r>
      <w:r>
        <w:rPr>
          <w:rFonts w:ascii="仿宋" w:hAnsi="仿宋" w:eastAsia="仿宋" w:cs="仿宋"/>
          <w:color w:val="auto"/>
          <w:spacing w:val="-9"/>
          <w:sz w:val="28"/>
          <w:szCs w:val="28"/>
          <w:highlight w:val="none"/>
        </w:rPr>
        <w:t>厨房灭火装置</w:t>
      </w:r>
    </w:p>
    <w:p>
      <w:pPr>
        <w:shd w:val="clear"/>
        <w:spacing w:before="129" w:line="223" w:lineRule="auto"/>
        <w:ind w:left="67"/>
        <w:rPr>
          <w:rFonts w:ascii="仿宋" w:hAnsi="仿宋" w:eastAsia="仿宋" w:cs="仿宋"/>
          <w:color w:val="auto"/>
          <w:sz w:val="28"/>
          <w:szCs w:val="28"/>
          <w:highlight w:val="none"/>
        </w:rPr>
      </w:pPr>
      <w:r>
        <w:rPr>
          <w:rFonts w:ascii="仿宋" w:hAnsi="仿宋" w:eastAsia="仿宋" w:cs="仿宋"/>
          <w:color w:val="auto"/>
          <w:spacing w:val="-8"/>
          <w:sz w:val="28"/>
          <w:szCs w:val="28"/>
          <w:highlight w:val="none"/>
        </w:rPr>
        <w:t>▉</w:t>
      </w:r>
      <w:r>
        <w:rPr>
          <w:rFonts w:ascii="仿宋" w:hAnsi="仿宋" w:eastAsia="仿宋" w:cs="仿宋"/>
          <w:color w:val="auto"/>
          <w:spacing w:val="-6"/>
          <w:sz w:val="28"/>
          <w:szCs w:val="28"/>
          <w:highlight w:val="none"/>
        </w:rPr>
        <w:t>防</w:t>
      </w:r>
      <w:r>
        <w:rPr>
          <w:rFonts w:ascii="仿宋" w:hAnsi="仿宋" w:eastAsia="仿宋" w:cs="仿宋"/>
          <w:color w:val="auto"/>
          <w:spacing w:val="-4"/>
          <w:sz w:val="28"/>
          <w:szCs w:val="28"/>
          <w:highlight w:val="none"/>
        </w:rPr>
        <w:t>烟排烟系统</w:t>
      </w:r>
    </w:p>
    <w:p>
      <w:pPr>
        <w:shd w:val="clear"/>
        <w:spacing w:before="130" w:line="223" w:lineRule="auto"/>
        <w:ind w:left="69"/>
        <w:rPr>
          <w:rFonts w:ascii="仿宋" w:hAnsi="仿宋" w:eastAsia="仿宋" w:cs="仿宋"/>
          <w:color w:val="auto"/>
          <w:sz w:val="28"/>
          <w:szCs w:val="28"/>
          <w:highlight w:val="none"/>
        </w:rPr>
      </w:pPr>
      <w:r>
        <w:rPr>
          <w:rFonts w:ascii="仿宋" w:hAnsi="仿宋" w:eastAsia="仿宋" w:cs="仿宋"/>
          <w:color w:val="auto"/>
          <w:spacing w:val="-8"/>
          <w:sz w:val="28"/>
          <w:szCs w:val="28"/>
          <w:highlight w:val="none"/>
        </w:rPr>
        <w:t>▉</w:t>
      </w:r>
      <w:r>
        <w:rPr>
          <w:rFonts w:ascii="仿宋" w:hAnsi="仿宋" w:eastAsia="仿宋" w:cs="仿宋"/>
          <w:color w:val="auto"/>
          <w:spacing w:val="-6"/>
          <w:sz w:val="28"/>
          <w:szCs w:val="28"/>
          <w:highlight w:val="none"/>
        </w:rPr>
        <w:t>疏</w:t>
      </w:r>
      <w:r>
        <w:rPr>
          <w:rFonts w:ascii="仿宋" w:hAnsi="仿宋" w:eastAsia="仿宋" w:cs="仿宋"/>
          <w:color w:val="auto"/>
          <w:spacing w:val="-4"/>
          <w:sz w:val="28"/>
          <w:szCs w:val="28"/>
          <w:highlight w:val="none"/>
        </w:rPr>
        <w:t>散指示标志</w:t>
      </w:r>
    </w:p>
    <w:p>
      <w:pPr>
        <w:shd w:val="clear"/>
        <w:spacing w:before="129" w:line="224" w:lineRule="auto"/>
        <w:ind w:left="97"/>
        <w:rPr>
          <w:rFonts w:ascii="仿宋" w:hAnsi="仿宋" w:eastAsia="仿宋" w:cs="仿宋"/>
          <w:color w:val="auto"/>
          <w:sz w:val="28"/>
          <w:szCs w:val="28"/>
          <w:highlight w:val="none"/>
        </w:rPr>
      </w:pPr>
      <w:r>
        <w:rPr>
          <w:rFonts w:ascii="仿宋" w:hAnsi="仿宋" w:eastAsia="仿宋" w:cs="仿宋"/>
          <w:color w:val="auto"/>
          <w:spacing w:val="-9"/>
          <w:sz w:val="28"/>
          <w:szCs w:val="28"/>
          <w:highlight w:val="none"/>
        </w:rPr>
        <w:t>▉灭火器材</w:t>
      </w:r>
    </w:p>
    <w:p>
      <w:pPr>
        <w:shd w:val="clear"/>
        <w:spacing w:before="132" w:line="222" w:lineRule="auto"/>
        <w:ind w:left="69"/>
        <w:rPr>
          <w:rFonts w:ascii="仿宋" w:hAnsi="仿宋" w:eastAsia="仿宋" w:cs="仿宋"/>
          <w:color w:val="auto"/>
          <w:sz w:val="28"/>
          <w:szCs w:val="28"/>
          <w:highlight w:val="none"/>
        </w:rPr>
      </w:pPr>
      <w:r>
        <w:rPr>
          <w:rFonts w:ascii="仿宋" w:hAnsi="仿宋" w:eastAsia="仿宋" w:cs="仿宋"/>
          <w:color w:val="auto"/>
          <w:spacing w:val="-8"/>
          <w:sz w:val="28"/>
          <w:szCs w:val="28"/>
          <w:highlight w:val="none"/>
        </w:rPr>
        <w:t>▉</w:t>
      </w:r>
      <w:r>
        <w:rPr>
          <w:rFonts w:ascii="仿宋" w:hAnsi="仿宋" w:eastAsia="仿宋" w:cs="仿宋"/>
          <w:color w:val="auto"/>
          <w:spacing w:val="-6"/>
          <w:sz w:val="28"/>
          <w:szCs w:val="28"/>
          <w:highlight w:val="none"/>
        </w:rPr>
        <w:t>消</w:t>
      </w:r>
      <w:r>
        <w:rPr>
          <w:rFonts w:ascii="仿宋" w:hAnsi="仿宋" w:eastAsia="仿宋" w:cs="仿宋"/>
          <w:color w:val="auto"/>
          <w:spacing w:val="-4"/>
          <w:sz w:val="28"/>
          <w:szCs w:val="28"/>
          <w:highlight w:val="none"/>
        </w:rPr>
        <w:t>防供配电设施</w:t>
      </w:r>
    </w:p>
    <w:p>
      <w:pPr>
        <w:shd w:val="clear"/>
        <w:rPr>
          <w:color w:val="auto"/>
          <w:highlight w:val="none"/>
        </w:rPr>
        <w:sectPr>
          <w:type w:val="continuous"/>
          <w:pgSz w:w="11910" w:h="16840"/>
          <w:pgMar w:top="1383" w:right="1540" w:bottom="1373" w:left="1711" w:header="0" w:footer="1210" w:gutter="0"/>
          <w:cols w:equalWidth="0" w:num="2">
            <w:col w:w="4277" w:space="100"/>
            <w:col w:w="4283"/>
          </w:cols>
        </w:sectPr>
      </w:pPr>
    </w:p>
    <w:p>
      <w:pPr>
        <w:shd w:val="clear"/>
        <w:spacing w:before="182" w:line="309" w:lineRule="auto"/>
        <w:ind w:left="106" w:firstLine="574"/>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乙方对上述消防设备设施的系统功能、运行状态、安装施工质量</w:t>
      </w:r>
      <w:r>
        <w:rPr>
          <w:rFonts w:ascii="仿宋" w:hAnsi="仿宋" w:eastAsia="仿宋" w:cs="仿宋"/>
          <w:color w:val="auto"/>
          <w:spacing w:val="-3"/>
          <w:sz w:val="28"/>
          <w:szCs w:val="28"/>
          <w:highlight w:val="none"/>
        </w:rPr>
        <w:t>、</w:t>
      </w:r>
      <w:r>
        <w:rPr>
          <w:rFonts w:ascii="仿宋" w:hAnsi="仿宋" w:eastAsia="仿宋" w:cs="仿宋"/>
          <w:color w:val="auto"/>
          <w:sz w:val="28"/>
          <w:szCs w:val="28"/>
          <w:highlight w:val="none"/>
        </w:rPr>
        <w:t xml:space="preserve"> </w:t>
      </w:r>
      <w:r>
        <w:rPr>
          <w:rFonts w:ascii="仿宋" w:hAnsi="仿宋" w:eastAsia="仿宋" w:cs="仿宋"/>
          <w:color w:val="auto"/>
          <w:spacing w:val="-4"/>
          <w:sz w:val="28"/>
          <w:szCs w:val="28"/>
          <w:highlight w:val="none"/>
        </w:rPr>
        <w:t>设备质量数量(包括消防产品是否具有符合法定市场准入规则的证明 文</w:t>
      </w:r>
    </w:p>
    <w:p>
      <w:pPr>
        <w:shd w:val="clear"/>
        <w:spacing w:before="1" w:line="189" w:lineRule="auto"/>
        <w:ind w:left="107"/>
        <w:rPr>
          <w:rFonts w:ascii="仿宋" w:hAnsi="仿宋" w:eastAsia="仿宋" w:cs="仿宋"/>
          <w:color w:val="auto"/>
          <w:sz w:val="28"/>
          <w:szCs w:val="28"/>
          <w:highlight w:val="none"/>
        </w:rPr>
      </w:pPr>
      <w:r>
        <w:rPr>
          <w:rFonts w:ascii="仿宋" w:hAnsi="仿宋" w:eastAsia="仿宋" w:cs="仿宋"/>
          <w:color w:val="auto"/>
          <w:spacing w:val="-13"/>
          <w:sz w:val="28"/>
          <w:szCs w:val="28"/>
          <w:highlight w:val="none"/>
        </w:rPr>
        <w:t>件</w:t>
      </w:r>
      <w:r>
        <w:rPr>
          <w:rFonts w:ascii="仿宋" w:hAnsi="仿宋" w:eastAsia="仿宋" w:cs="仿宋"/>
          <w:color w:val="auto"/>
          <w:spacing w:val="-8"/>
          <w:sz w:val="28"/>
          <w:szCs w:val="28"/>
          <w:highlight w:val="none"/>
        </w:rPr>
        <w:t>) 等是否符合国家消防标准规范进行全面检测，并对甲方消防控 制室</w:t>
      </w:r>
    </w:p>
    <w:p>
      <w:pPr>
        <w:shd w:val="clear"/>
        <w:rPr>
          <w:color w:val="auto"/>
          <w:highlight w:val="none"/>
        </w:rPr>
        <w:sectPr>
          <w:type w:val="continuous"/>
          <w:pgSz w:w="11910" w:h="16840"/>
          <w:pgMar w:top="1383" w:right="1540" w:bottom="1373" w:left="1711" w:header="0" w:footer="1210" w:gutter="0"/>
          <w:cols w:equalWidth="0" w:num="1">
            <w:col w:w="8659"/>
          </w:cols>
        </w:sectPr>
      </w:pPr>
    </w:p>
    <w:p>
      <w:pPr>
        <w:shd w:val="clear"/>
        <w:spacing w:before="56" w:line="312" w:lineRule="auto"/>
        <w:ind w:left="119" w:right="114"/>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职守人员持证上岗和操控消防设施能力进行测评，乙方根据相关消防</w:t>
      </w:r>
      <w:r>
        <w:rPr>
          <w:rFonts w:ascii="仿宋" w:hAnsi="仿宋" w:eastAsia="仿宋" w:cs="仿宋"/>
          <w:color w:val="auto"/>
          <w:spacing w:val="-2"/>
          <w:sz w:val="28"/>
          <w:szCs w:val="28"/>
          <w:highlight w:val="none"/>
        </w:rPr>
        <w:t>检</w:t>
      </w:r>
      <w:r>
        <w:rPr>
          <w:rFonts w:ascii="仿宋" w:hAnsi="仿宋" w:eastAsia="仿宋" w:cs="仿宋"/>
          <w:color w:val="auto"/>
          <w:sz w:val="28"/>
          <w:szCs w:val="28"/>
          <w:highlight w:val="none"/>
        </w:rPr>
        <w:t xml:space="preserve"> </w:t>
      </w:r>
      <w:r>
        <w:rPr>
          <w:rFonts w:ascii="仿宋" w:hAnsi="仿宋" w:eastAsia="仿宋" w:cs="仿宋"/>
          <w:color w:val="auto"/>
          <w:spacing w:val="-8"/>
          <w:sz w:val="28"/>
          <w:szCs w:val="28"/>
          <w:highlight w:val="none"/>
        </w:rPr>
        <w:t>测规程，本着</w:t>
      </w:r>
      <w:r>
        <w:rPr>
          <w:rFonts w:ascii="仿宋" w:hAnsi="仿宋" w:eastAsia="仿宋" w:cs="仿宋"/>
          <w:color w:val="auto"/>
          <w:spacing w:val="-4"/>
          <w:sz w:val="28"/>
          <w:szCs w:val="28"/>
          <w:highlight w:val="none"/>
        </w:rPr>
        <w:t>客观、公正、科学的原则进行检测，检测完毕应当如实出</w:t>
      </w:r>
      <w:r>
        <w:rPr>
          <w:rFonts w:ascii="仿宋" w:hAnsi="仿宋" w:eastAsia="仿宋" w:cs="仿宋"/>
          <w:color w:val="auto"/>
          <w:sz w:val="28"/>
          <w:szCs w:val="28"/>
          <w:highlight w:val="none"/>
        </w:rPr>
        <w:t xml:space="preserve"> </w:t>
      </w:r>
      <w:r>
        <w:rPr>
          <w:rFonts w:ascii="仿宋" w:hAnsi="仿宋" w:eastAsia="仿宋" w:cs="仿宋"/>
          <w:color w:val="auto"/>
          <w:spacing w:val="-5"/>
          <w:sz w:val="28"/>
          <w:szCs w:val="28"/>
          <w:highlight w:val="none"/>
        </w:rPr>
        <w:t>具检测报告，作为甲方改进消防系统的依据。</w:t>
      </w:r>
    </w:p>
    <w:p>
      <w:pPr>
        <w:shd w:val="clear"/>
        <w:spacing w:before="1" w:line="220" w:lineRule="auto"/>
        <w:ind w:left="566"/>
        <w:outlineLvl w:val="1"/>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14:textOutline w14:w="5105" w14:cap="sq" w14:cmpd="sng" w14:algn="ctr">
            <w14:solidFill>
              <w14:srgbClr w14:val="000000"/>
            </w14:solidFill>
            <w14:prstDash w14:val="solid"/>
            <w14:bevel/>
          </w14:textOutline>
        </w:rPr>
        <w:t>第二</w:t>
      </w:r>
      <w:r>
        <w:rPr>
          <w:rFonts w:ascii="仿宋" w:hAnsi="仿宋" w:eastAsia="仿宋" w:cs="仿宋"/>
          <w:color w:val="auto"/>
          <w:spacing w:val="-2"/>
          <w:sz w:val="28"/>
          <w:szCs w:val="28"/>
          <w:highlight w:val="none"/>
          <w14:textOutline w14:w="5105" w14:cap="sq" w14:cmpd="sng" w14:algn="ctr">
            <w14:solidFill>
              <w14:srgbClr w14:val="000000"/>
            </w14:solidFill>
            <w14:prstDash w14:val="solid"/>
            <w14:bevel/>
          </w14:textOutline>
        </w:rPr>
        <w:t>条</w:t>
      </w:r>
      <w:r>
        <w:rPr>
          <w:rFonts w:ascii="仿宋" w:hAnsi="仿宋" w:eastAsia="仿宋" w:cs="仿宋"/>
          <w:color w:val="auto"/>
          <w:spacing w:val="-2"/>
          <w:sz w:val="28"/>
          <w:szCs w:val="28"/>
          <w:highlight w:val="none"/>
        </w:rPr>
        <w:t xml:space="preserve">   </w:t>
      </w:r>
      <w:r>
        <w:rPr>
          <w:rFonts w:ascii="仿宋" w:hAnsi="仿宋" w:eastAsia="仿宋" w:cs="仿宋"/>
          <w:color w:val="auto"/>
          <w:spacing w:val="-2"/>
          <w:sz w:val="28"/>
          <w:szCs w:val="28"/>
          <w:highlight w:val="none"/>
          <w14:textOutline w14:w="5105" w14:cap="sq" w14:cmpd="sng" w14:algn="ctr">
            <w14:solidFill>
              <w14:srgbClr w14:val="000000"/>
            </w14:solidFill>
            <w14:prstDash w14:val="solid"/>
            <w14:bevel/>
          </w14:textOutline>
        </w:rPr>
        <w:t>消防设施检测服务合同的工期、金额及付款方式</w:t>
      </w:r>
    </w:p>
    <w:p>
      <w:pPr>
        <w:shd w:val="clear"/>
        <w:spacing w:before="143" w:line="309" w:lineRule="auto"/>
        <w:ind w:left="19" w:right="95" w:firstLine="539"/>
        <w:rPr>
          <w:rFonts w:ascii="仿宋" w:hAnsi="仿宋" w:eastAsia="仿宋" w:cs="仿宋"/>
          <w:color w:val="auto"/>
          <w:sz w:val="28"/>
          <w:szCs w:val="28"/>
          <w:highlight w:val="none"/>
        </w:rPr>
      </w:pPr>
      <w:r>
        <w:rPr>
          <w:rFonts w:ascii="仿宋" w:hAnsi="仿宋" w:eastAsia="仿宋" w:cs="仿宋"/>
          <w:color w:val="auto"/>
          <w:spacing w:val="-13"/>
          <w:sz w:val="28"/>
          <w:szCs w:val="28"/>
          <w:highlight w:val="none"/>
        </w:rPr>
        <w:t>一、检测工期：乙方接到甲方书面进场通知后</w:t>
      </w:r>
      <w:r>
        <w:rPr>
          <w:rFonts w:ascii="仿宋" w:hAnsi="仿宋" w:eastAsia="仿宋" w:cs="仿宋"/>
          <w:color w:val="auto"/>
          <w:spacing w:val="-13"/>
          <w:sz w:val="28"/>
          <w:szCs w:val="28"/>
          <w:highlight w:val="none"/>
          <w:u w:val="single"/>
        </w:rPr>
        <w:t xml:space="preserve"> </w:t>
      </w:r>
      <w:r>
        <w:rPr>
          <w:rFonts w:hint="eastAsia" w:ascii="仿宋" w:hAnsi="仿宋" w:eastAsia="仿宋" w:cs="仿宋"/>
          <w:color w:val="auto"/>
          <w:spacing w:val="-13"/>
          <w:sz w:val="28"/>
          <w:szCs w:val="28"/>
          <w:highlight w:val="none"/>
          <w:u w:val="single"/>
          <w:lang w:val="en-US" w:eastAsia="zh-CN"/>
        </w:rPr>
        <w:t xml:space="preserve"> </w:t>
      </w:r>
      <w:r>
        <w:rPr>
          <w:rFonts w:ascii="仿宋" w:hAnsi="仿宋" w:eastAsia="仿宋" w:cs="仿宋"/>
          <w:color w:val="auto"/>
          <w:spacing w:val="-13"/>
          <w:sz w:val="28"/>
          <w:szCs w:val="28"/>
          <w:highlight w:val="none"/>
          <w:u w:val="single"/>
        </w:rPr>
        <w:t xml:space="preserve"> </w:t>
      </w:r>
      <w:r>
        <w:rPr>
          <w:rFonts w:ascii="仿宋" w:hAnsi="仿宋" w:eastAsia="仿宋" w:cs="仿宋"/>
          <w:color w:val="auto"/>
          <w:spacing w:val="-13"/>
          <w:sz w:val="28"/>
          <w:szCs w:val="28"/>
          <w:highlight w:val="none"/>
        </w:rPr>
        <w:t xml:space="preserve"> 日内进场检测。 </w:t>
      </w:r>
      <w:r>
        <w:rPr>
          <w:rFonts w:ascii="仿宋" w:hAnsi="仿宋" w:eastAsia="仿宋" w:cs="仿宋"/>
          <w:color w:val="auto"/>
          <w:spacing w:val="-12"/>
          <w:sz w:val="28"/>
          <w:szCs w:val="28"/>
          <w:highlight w:val="none"/>
        </w:rPr>
        <w:t>自</w:t>
      </w:r>
      <w:r>
        <w:rPr>
          <w:rFonts w:ascii="仿宋" w:hAnsi="仿宋" w:eastAsia="仿宋" w:cs="仿宋"/>
          <w:color w:val="auto"/>
          <w:sz w:val="28"/>
          <w:szCs w:val="28"/>
          <w:highlight w:val="none"/>
        </w:rPr>
        <w:t xml:space="preserve"> </w:t>
      </w:r>
      <w:r>
        <w:rPr>
          <w:rFonts w:ascii="仿宋" w:hAnsi="仿宋" w:eastAsia="仿宋" w:cs="仿宋"/>
          <w:color w:val="auto"/>
          <w:spacing w:val="-26"/>
          <w:sz w:val="28"/>
          <w:szCs w:val="28"/>
          <w:highlight w:val="none"/>
        </w:rPr>
        <w:t>乙</w:t>
      </w:r>
      <w:r>
        <w:rPr>
          <w:rFonts w:ascii="仿宋" w:hAnsi="仿宋" w:eastAsia="仿宋" w:cs="仿宋"/>
          <w:color w:val="auto"/>
          <w:spacing w:val="-20"/>
          <w:sz w:val="28"/>
          <w:szCs w:val="28"/>
          <w:highlight w:val="none"/>
        </w:rPr>
        <w:t>方</w:t>
      </w:r>
      <w:r>
        <w:rPr>
          <w:rFonts w:ascii="仿宋" w:hAnsi="仿宋" w:eastAsia="仿宋" w:cs="仿宋"/>
          <w:color w:val="auto"/>
          <w:spacing w:val="-13"/>
          <w:sz w:val="28"/>
          <w:szCs w:val="28"/>
          <w:highlight w:val="none"/>
        </w:rPr>
        <w:t>进场之日起计算，本合同检测工期为</w:t>
      </w:r>
      <w:r>
        <w:rPr>
          <w:rFonts w:ascii="仿宋" w:hAnsi="仿宋" w:eastAsia="仿宋" w:cs="仿宋"/>
          <w:color w:val="auto"/>
          <w:spacing w:val="-13"/>
          <w:sz w:val="28"/>
          <w:szCs w:val="28"/>
          <w:highlight w:val="none"/>
          <w:u w:val="single"/>
        </w:rPr>
        <w:t xml:space="preserve">  </w:t>
      </w:r>
      <w:r>
        <w:rPr>
          <w:rFonts w:ascii="仿宋" w:hAnsi="仿宋" w:eastAsia="仿宋" w:cs="仿宋"/>
          <w:color w:val="auto"/>
          <w:spacing w:val="-13"/>
          <w:sz w:val="28"/>
          <w:szCs w:val="28"/>
          <w:highlight w:val="none"/>
        </w:rPr>
        <w:t xml:space="preserve"> 日。</w:t>
      </w:r>
    </w:p>
    <w:p>
      <w:pPr>
        <w:shd w:val="clear"/>
        <w:spacing w:line="387" w:lineRule="exact"/>
        <w:ind w:left="575"/>
        <w:rPr>
          <w:rFonts w:ascii="仿宋" w:hAnsi="仿宋" w:eastAsia="仿宋" w:cs="仿宋"/>
          <w:color w:val="auto"/>
          <w:sz w:val="28"/>
          <w:szCs w:val="28"/>
          <w:highlight w:val="none"/>
        </w:rPr>
      </w:pPr>
      <w:r>
        <w:rPr>
          <w:rFonts w:ascii="仿宋" w:hAnsi="仿宋" w:eastAsia="仿宋" w:cs="仿宋"/>
          <w:color w:val="auto"/>
          <w:spacing w:val="-8"/>
          <w:position w:val="2"/>
          <w:sz w:val="28"/>
          <w:szCs w:val="28"/>
          <w:highlight w:val="none"/>
        </w:rPr>
        <w:t>二、合同总价</w:t>
      </w:r>
    </w:p>
    <w:p>
      <w:pPr>
        <w:shd w:val="clear"/>
        <w:spacing w:before="85" w:line="223" w:lineRule="auto"/>
        <w:ind w:left="566"/>
        <w:rPr>
          <w:rFonts w:ascii="仿宋" w:hAnsi="仿宋" w:eastAsia="仿宋" w:cs="仿宋"/>
          <w:color w:val="auto"/>
          <w:sz w:val="28"/>
          <w:szCs w:val="28"/>
          <w:highlight w:val="none"/>
        </w:rPr>
      </w:pPr>
      <w:r>
        <w:rPr>
          <w:rFonts w:ascii="仿宋" w:hAnsi="仿宋" w:eastAsia="仿宋" w:cs="仿宋"/>
          <w:color w:val="auto"/>
          <w:spacing w:val="-8"/>
          <w:sz w:val="28"/>
          <w:szCs w:val="28"/>
          <w:highlight w:val="none"/>
        </w:rPr>
        <w:t>1、甲方</w:t>
      </w:r>
      <w:r>
        <w:rPr>
          <w:rFonts w:hint="eastAsia" w:ascii="仿宋" w:hAnsi="仿宋" w:eastAsia="仿宋" w:cs="仿宋"/>
          <w:color w:val="auto"/>
          <w:spacing w:val="-8"/>
          <w:sz w:val="28"/>
          <w:szCs w:val="28"/>
          <w:highlight w:val="none"/>
        </w:rPr>
        <w:t>检测</w:t>
      </w:r>
      <w:r>
        <w:rPr>
          <w:rFonts w:ascii="仿宋" w:hAnsi="仿宋" w:eastAsia="仿宋" w:cs="仿宋"/>
          <w:color w:val="auto"/>
          <w:spacing w:val="-8"/>
          <w:sz w:val="28"/>
          <w:szCs w:val="28"/>
          <w:highlight w:val="none"/>
        </w:rPr>
        <w:t>项目建</w:t>
      </w:r>
      <w:r>
        <w:rPr>
          <w:rFonts w:ascii="仿宋" w:hAnsi="仿宋" w:eastAsia="仿宋" w:cs="仿宋"/>
          <w:color w:val="auto"/>
          <w:spacing w:val="-4"/>
          <w:sz w:val="28"/>
          <w:szCs w:val="28"/>
          <w:highlight w:val="none"/>
        </w:rPr>
        <w:t>筑面积:</w:t>
      </w:r>
      <w:r>
        <w:rPr>
          <w:rFonts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u w:val="single"/>
          <w:lang w:val="en-US" w:eastAsia="zh-CN"/>
        </w:rPr>
        <w:t xml:space="preserve">     </w:t>
      </w:r>
      <w:r>
        <w:rPr>
          <w:rFonts w:ascii="仿宋" w:hAnsi="仿宋" w:eastAsia="仿宋" w:cs="仿宋"/>
          <w:color w:val="auto"/>
          <w:spacing w:val="-4"/>
          <w:sz w:val="28"/>
          <w:szCs w:val="28"/>
          <w:highlight w:val="none"/>
          <w:u w:val="single"/>
        </w:rPr>
        <w:t>m</w:t>
      </w:r>
      <w:r>
        <w:rPr>
          <w:rFonts w:ascii="仿宋" w:hAnsi="仿宋" w:eastAsia="仿宋" w:cs="仿宋"/>
          <w:color w:val="auto"/>
          <w:spacing w:val="-4"/>
          <w:position w:val="14"/>
          <w:sz w:val="13"/>
          <w:szCs w:val="13"/>
          <w:highlight w:val="none"/>
          <w:u w:val="single"/>
        </w:rPr>
        <w:t xml:space="preserve">2 </w:t>
      </w:r>
      <w:r>
        <w:rPr>
          <w:rFonts w:ascii="仿宋" w:hAnsi="仿宋" w:eastAsia="仿宋" w:cs="仿宋"/>
          <w:color w:val="auto"/>
          <w:spacing w:val="-4"/>
          <w:sz w:val="28"/>
          <w:szCs w:val="28"/>
          <w:highlight w:val="none"/>
        </w:rPr>
        <w:t>，检测费用单价:</w:t>
      </w:r>
      <w:r>
        <w:rPr>
          <w:rFonts w:hint="eastAsia" w:ascii="仿宋" w:hAnsi="仿宋" w:eastAsia="仿宋" w:cs="仿宋"/>
          <w:color w:val="auto"/>
          <w:spacing w:val="-4"/>
          <w:sz w:val="28"/>
          <w:szCs w:val="28"/>
          <w:highlight w:val="none"/>
          <w:lang w:val="en-US" w:eastAsia="zh-CN"/>
        </w:rPr>
        <w:t xml:space="preserve">   </w:t>
      </w:r>
      <w:r>
        <w:rPr>
          <w:rFonts w:ascii="仿宋" w:hAnsi="仿宋" w:eastAsia="仿宋" w:cs="仿宋"/>
          <w:color w:val="auto"/>
          <w:spacing w:val="-4"/>
          <w:sz w:val="28"/>
          <w:szCs w:val="28"/>
          <w:highlight w:val="none"/>
          <w:u w:val="single"/>
        </w:rPr>
        <w:t xml:space="preserve"> 元/m</w:t>
      </w:r>
      <w:r>
        <w:rPr>
          <w:rFonts w:ascii="仿宋" w:hAnsi="仿宋" w:eastAsia="仿宋" w:cs="仿宋"/>
          <w:color w:val="auto"/>
          <w:spacing w:val="-4"/>
          <w:position w:val="14"/>
          <w:sz w:val="13"/>
          <w:szCs w:val="13"/>
          <w:highlight w:val="none"/>
          <w:u w:val="single"/>
        </w:rPr>
        <w:t>2</w:t>
      </w:r>
      <w:r>
        <w:rPr>
          <w:rFonts w:ascii="仿宋" w:hAnsi="仿宋" w:eastAsia="仿宋" w:cs="仿宋"/>
          <w:color w:val="auto"/>
          <w:spacing w:val="-4"/>
          <w:sz w:val="28"/>
          <w:szCs w:val="28"/>
          <w:highlight w:val="none"/>
          <w:u w:val="single"/>
        </w:rPr>
        <w:t>；</w:t>
      </w:r>
    </w:p>
    <w:p>
      <w:pPr>
        <w:shd w:val="clear"/>
        <w:spacing w:before="133" w:line="309" w:lineRule="auto"/>
        <w:ind w:firstLine="549"/>
        <w:rPr>
          <w:rFonts w:ascii="仿宋" w:hAnsi="仿宋" w:eastAsia="仿宋" w:cs="仿宋"/>
          <w:color w:val="auto"/>
          <w:sz w:val="28"/>
          <w:szCs w:val="28"/>
          <w:highlight w:val="none"/>
        </w:rPr>
      </w:pPr>
      <w:r>
        <w:rPr>
          <w:rFonts w:ascii="仿宋" w:hAnsi="仿宋" w:eastAsia="仿宋" w:cs="仿宋"/>
          <w:color w:val="auto"/>
          <w:spacing w:val="-6"/>
          <w:sz w:val="28"/>
          <w:szCs w:val="28"/>
          <w:highlight w:val="none"/>
        </w:rPr>
        <w:t>2、合同总额 (</w:t>
      </w:r>
      <w:r>
        <w:rPr>
          <w:rFonts w:ascii="仿宋" w:hAnsi="仿宋" w:eastAsia="仿宋" w:cs="仿宋"/>
          <w:color w:val="auto"/>
          <w:spacing w:val="-3"/>
          <w:sz w:val="28"/>
          <w:szCs w:val="28"/>
          <w:highlight w:val="none"/>
        </w:rPr>
        <w:t>检测费用总价) ：人民</w:t>
      </w:r>
      <w:r>
        <w:rPr>
          <w:rFonts w:ascii="仿宋" w:hAnsi="仿宋" w:eastAsia="仿宋" w:cs="仿宋"/>
          <w:color w:val="auto"/>
          <w:spacing w:val="-9"/>
          <w:sz w:val="28"/>
          <w:szCs w:val="28"/>
          <w:highlight w:val="none"/>
        </w:rPr>
        <w:t>币</w:t>
      </w:r>
      <w:r>
        <w:rPr>
          <w:rFonts w:hint="eastAsia" w:ascii="仿宋" w:hAnsi="仿宋" w:eastAsia="仿宋" w:cs="仿宋"/>
          <w:color w:val="auto"/>
          <w:spacing w:val="-9"/>
          <w:sz w:val="28"/>
          <w:szCs w:val="28"/>
          <w:highlight w:val="none"/>
          <w:lang w:val="en-US" w:eastAsia="zh-CN"/>
        </w:rPr>
        <w:t xml:space="preserve">  </w:t>
      </w:r>
      <w:r>
        <w:rPr>
          <w:rFonts w:ascii="仿宋" w:hAnsi="仿宋" w:eastAsia="仿宋" w:cs="仿宋"/>
          <w:color w:val="auto"/>
          <w:spacing w:val="-9"/>
          <w:sz w:val="28"/>
          <w:szCs w:val="28"/>
          <w:highlight w:val="none"/>
          <w:u w:val="single"/>
        </w:rPr>
        <w:t>元</w:t>
      </w:r>
      <w:r>
        <w:rPr>
          <w:rFonts w:ascii="仿宋" w:hAnsi="仿宋" w:eastAsia="仿宋" w:cs="仿宋"/>
          <w:color w:val="auto"/>
          <w:spacing w:val="-3"/>
          <w:sz w:val="28"/>
          <w:szCs w:val="28"/>
          <w:highlight w:val="none"/>
        </w:rPr>
        <w:t>，大写:</w:t>
      </w:r>
      <w:r>
        <w:rPr>
          <w:rFonts w:hint="eastAsia" w:ascii="仿宋" w:hAnsi="仿宋" w:eastAsia="仿宋" w:cs="仿宋"/>
          <w:color w:val="auto"/>
          <w:spacing w:val="-3"/>
          <w:sz w:val="28"/>
          <w:szCs w:val="28"/>
          <w:highlight w:val="none"/>
          <w:u w:val="single"/>
          <w:lang w:val="en-US" w:eastAsia="zh-CN"/>
        </w:rPr>
        <w:t xml:space="preserve">     </w:t>
      </w:r>
      <w:r>
        <w:rPr>
          <w:rFonts w:ascii="仿宋" w:hAnsi="仿宋" w:eastAsia="仿宋" w:cs="仿宋"/>
          <w:color w:val="auto"/>
          <w:spacing w:val="-10"/>
          <w:sz w:val="28"/>
          <w:szCs w:val="28"/>
          <w:highlight w:val="none"/>
          <w:u w:val="single"/>
        </w:rPr>
        <w:t>。</w:t>
      </w:r>
      <w:r>
        <w:rPr>
          <w:rFonts w:ascii="仿宋" w:hAnsi="仿宋" w:eastAsia="仿宋" w:cs="仿宋"/>
          <w:color w:val="auto"/>
          <w:spacing w:val="-10"/>
          <w:sz w:val="28"/>
          <w:szCs w:val="28"/>
          <w:highlight w:val="none"/>
        </w:rPr>
        <w:t>上述合同总额包括但不限于乙方投入的人工、设备、管理、办公、</w:t>
      </w:r>
      <w:r>
        <w:rPr>
          <w:rFonts w:ascii="仿宋" w:hAnsi="仿宋" w:eastAsia="仿宋" w:cs="仿宋"/>
          <w:color w:val="auto"/>
          <w:sz w:val="28"/>
          <w:szCs w:val="28"/>
          <w:highlight w:val="none"/>
        </w:rPr>
        <w:t xml:space="preserve"> </w:t>
      </w:r>
      <w:r>
        <w:rPr>
          <w:rFonts w:ascii="仿宋" w:hAnsi="仿宋" w:eastAsia="仿宋" w:cs="仿宋"/>
          <w:color w:val="auto"/>
          <w:spacing w:val="-12"/>
          <w:sz w:val="28"/>
          <w:szCs w:val="28"/>
          <w:highlight w:val="none"/>
        </w:rPr>
        <w:t>物</w:t>
      </w:r>
      <w:r>
        <w:rPr>
          <w:rFonts w:ascii="仿宋" w:hAnsi="仿宋" w:eastAsia="仿宋" w:cs="仿宋"/>
          <w:color w:val="auto"/>
          <w:spacing w:val="-9"/>
          <w:sz w:val="28"/>
          <w:szCs w:val="28"/>
          <w:highlight w:val="none"/>
        </w:rPr>
        <w:t>耗、交通、利润、保险、税费、各种风险及其他为完成本次项目有关的</w:t>
      </w:r>
      <w:r>
        <w:rPr>
          <w:rFonts w:ascii="仿宋" w:hAnsi="仿宋" w:eastAsia="仿宋" w:cs="仿宋"/>
          <w:color w:val="auto"/>
          <w:sz w:val="28"/>
          <w:szCs w:val="28"/>
          <w:highlight w:val="none"/>
        </w:rPr>
        <w:t xml:space="preserve"> </w:t>
      </w:r>
      <w:r>
        <w:rPr>
          <w:rFonts w:ascii="仿宋" w:hAnsi="仿宋" w:eastAsia="仿宋" w:cs="仿宋"/>
          <w:color w:val="auto"/>
          <w:spacing w:val="-12"/>
          <w:sz w:val="28"/>
          <w:szCs w:val="28"/>
          <w:highlight w:val="none"/>
        </w:rPr>
        <w:t>所</w:t>
      </w:r>
      <w:r>
        <w:rPr>
          <w:rFonts w:ascii="仿宋" w:hAnsi="仿宋" w:eastAsia="仿宋" w:cs="仿宋"/>
          <w:color w:val="auto"/>
          <w:spacing w:val="-9"/>
          <w:sz w:val="28"/>
          <w:szCs w:val="28"/>
          <w:highlight w:val="none"/>
        </w:rPr>
        <w:t>有费用，甲方除支付上述合同约定的费用外，无需再行支付其他任何费</w:t>
      </w:r>
      <w:r>
        <w:rPr>
          <w:rFonts w:ascii="仿宋" w:hAnsi="仿宋" w:eastAsia="仿宋" w:cs="仿宋"/>
          <w:color w:val="auto"/>
          <w:spacing w:val="-7"/>
          <w:sz w:val="28"/>
          <w:szCs w:val="28"/>
          <w:highlight w:val="none"/>
        </w:rPr>
        <w:t>用及款项。</w:t>
      </w:r>
    </w:p>
    <w:p>
      <w:pPr>
        <w:shd w:val="clear"/>
        <w:spacing w:before="1" w:line="242" w:lineRule="auto"/>
        <w:ind w:left="562"/>
        <w:rPr>
          <w:rFonts w:ascii="仿宋" w:hAnsi="仿宋" w:eastAsia="仿宋" w:cs="仿宋"/>
          <w:color w:val="auto"/>
          <w:sz w:val="28"/>
          <w:szCs w:val="28"/>
          <w:highlight w:val="none"/>
        </w:rPr>
      </w:pPr>
      <w:r>
        <w:rPr>
          <w:rFonts w:ascii="仿宋" w:hAnsi="仿宋" w:eastAsia="仿宋" w:cs="仿宋"/>
          <w:color w:val="auto"/>
          <w:spacing w:val="-12"/>
          <w:sz w:val="28"/>
          <w:szCs w:val="28"/>
          <w:highlight w:val="none"/>
        </w:rPr>
        <w:t>三</w:t>
      </w:r>
      <w:r>
        <w:rPr>
          <w:rFonts w:ascii="仿宋" w:hAnsi="仿宋" w:eastAsia="仿宋" w:cs="仿宋"/>
          <w:color w:val="auto"/>
          <w:spacing w:val="-7"/>
          <w:sz w:val="28"/>
          <w:szCs w:val="28"/>
          <w:highlight w:val="none"/>
        </w:rPr>
        <w:t>、付款方式</w:t>
      </w:r>
    </w:p>
    <w:p>
      <w:pPr>
        <w:shd w:val="clear"/>
        <w:spacing w:before="101" w:line="309" w:lineRule="auto"/>
        <w:ind w:left="35" w:right="95" w:firstLine="530"/>
        <w:rPr>
          <w:rFonts w:hint="eastAsia" w:ascii="仿宋" w:hAnsi="仿宋" w:eastAsia="仿宋" w:cs="仿宋"/>
          <w:color w:val="auto"/>
          <w:sz w:val="28"/>
          <w:szCs w:val="28"/>
          <w:highlight w:val="none"/>
          <w:lang w:eastAsia="zh-CN"/>
        </w:rPr>
      </w:pPr>
      <w:r>
        <w:rPr>
          <w:rFonts w:ascii="仿宋" w:hAnsi="仿宋" w:eastAsia="仿宋" w:cs="仿宋"/>
          <w:color w:val="auto"/>
          <w:spacing w:val="-9"/>
          <w:sz w:val="28"/>
          <w:szCs w:val="28"/>
          <w:highlight w:val="none"/>
        </w:rPr>
        <w:t>1、</w:t>
      </w:r>
      <w:r>
        <w:rPr>
          <w:rFonts w:ascii="仿宋" w:hAnsi="仿宋" w:eastAsia="仿宋" w:cs="仿宋"/>
          <w:color w:val="auto"/>
          <w:spacing w:val="-8"/>
          <w:sz w:val="28"/>
          <w:szCs w:val="28"/>
          <w:highlight w:val="none"/>
        </w:rPr>
        <w:t>乙</w:t>
      </w:r>
      <w:r>
        <w:rPr>
          <w:rFonts w:ascii="仿宋" w:hAnsi="仿宋" w:eastAsia="仿宋" w:cs="仿宋"/>
          <w:color w:val="auto"/>
          <w:spacing w:val="-6"/>
          <w:sz w:val="28"/>
          <w:szCs w:val="28"/>
          <w:highlight w:val="none"/>
        </w:rPr>
        <w:t>方</w:t>
      </w:r>
      <w:r>
        <w:rPr>
          <w:rFonts w:ascii="仿宋" w:hAnsi="仿宋" w:eastAsia="仿宋" w:cs="仿宋"/>
          <w:color w:val="auto"/>
          <w:spacing w:val="-4"/>
          <w:sz w:val="28"/>
          <w:szCs w:val="28"/>
          <w:highlight w:val="none"/>
        </w:rPr>
        <w:t>完成本合同约定的</w:t>
      </w:r>
      <w:r>
        <w:rPr>
          <w:rFonts w:hint="eastAsia" w:ascii="仿宋" w:hAnsi="仿宋" w:eastAsia="仿宋" w:cs="仿宋"/>
          <w:color w:val="auto"/>
          <w:spacing w:val="-4"/>
          <w:sz w:val="28"/>
          <w:szCs w:val="28"/>
          <w:highlight w:val="none"/>
          <w:lang w:eastAsia="zh-CN"/>
        </w:rPr>
        <w:t>第一年度的</w:t>
      </w:r>
      <w:r>
        <w:rPr>
          <w:rFonts w:ascii="仿宋" w:hAnsi="仿宋" w:eastAsia="仿宋" w:cs="仿宋"/>
          <w:color w:val="auto"/>
          <w:spacing w:val="-4"/>
          <w:sz w:val="28"/>
          <w:szCs w:val="28"/>
          <w:highlight w:val="none"/>
        </w:rPr>
        <w:t>检测工作，向甲方提交正式《检测</w:t>
      </w:r>
      <w:r>
        <w:rPr>
          <w:rFonts w:ascii="仿宋" w:hAnsi="仿宋" w:eastAsia="仿宋" w:cs="仿宋"/>
          <w:color w:val="auto"/>
          <w:spacing w:val="-5"/>
          <w:sz w:val="28"/>
          <w:szCs w:val="28"/>
          <w:highlight w:val="none"/>
        </w:rPr>
        <w:t>报告》并经甲方书面验收合格后，甲方向乙支付合同总额</w:t>
      </w:r>
      <w:r>
        <w:rPr>
          <w:rFonts w:ascii="仿宋" w:hAnsi="仿宋" w:eastAsia="仿宋" w:cs="仿宋"/>
          <w:color w:val="auto"/>
          <w:spacing w:val="-3"/>
          <w:sz w:val="28"/>
          <w:szCs w:val="28"/>
          <w:highlight w:val="none"/>
        </w:rPr>
        <w:t>的</w:t>
      </w:r>
      <w:r>
        <w:rPr>
          <w:rFonts w:ascii="仿宋" w:hAnsi="仿宋" w:eastAsia="仿宋" w:cs="仿宋"/>
          <w:color w:val="auto"/>
          <w:sz w:val="28"/>
          <w:szCs w:val="28"/>
          <w:highlight w:val="none"/>
        </w:rPr>
        <w:t xml:space="preserve"> </w:t>
      </w:r>
      <w:r>
        <w:rPr>
          <w:rFonts w:hint="eastAsia" w:ascii="仿宋" w:hAnsi="仿宋" w:eastAsia="仿宋" w:cs="仿宋"/>
          <w:color w:val="auto"/>
          <w:spacing w:val="-10"/>
          <w:sz w:val="28"/>
          <w:szCs w:val="28"/>
          <w:highlight w:val="none"/>
          <w:u w:val="single"/>
          <w:lang w:val="en-US" w:eastAsia="zh-CN"/>
        </w:rPr>
        <w:t>50</w:t>
      </w:r>
      <w:r>
        <w:rPr>
          <w:rFonts w:ascii="仿宋" w:hAnsi="仿宋" w:eastAsia="仿宋" w:cs="仿宋"/>
          <w:color w:val="auto"/>
          <w:spacing w:val="-5"/>
          <w:sz w:val="28"/>
          <w:szCs w:val="28"/>
          <w:highlight w:val="none"/>
          <w:u w:val="single"/>
        </w:rPr>
        <w:t>%</w:t>
      </w:r>
      <w:r>
        <w:rPr>
          <w:rFonts w:ascii="仿宋" w:hAnsi="仿宋" w:eastAsia="仿宋" w:cs="仿宋"/>
          <w:color w:val="auto"/>
          <w:spacing w:val="-5"/>
          <w:sz w:val="28"/>
          <w:szCs w:val="28"/>
          <w:highlight w:val="none"/>
        </w:rPr>
        <w:t>，即人民币</w:t>
      </w:r>
      <w:r>
        <w:rPr>
          <w:rFonts w:hint="eastAsia" w:ascii="仿宋" w:hAnsi="仿宋" w:eastAsia="仿宋" w:cs="仿宋"/>
          <w:color w:val="auto"/>
          <w:spacing w:val="-5"/>
          <w:sz w:val="28"/>
          <w:szCs w:val="28"/>
          <w:highlight w:val="none"/>
          <w:u w:val="single"/>
          <w:lang w:val="en-US" w:eastAsia="zh-CN"/>
        </w:rPr>
        <w:t xml:space="preserve">        </w:t>
      </w:r>
      <w:r>
        <w:rPr>
          <w:rFonts w:ascii="仿宋" w:hAnsi="仿宋" w:eastAsia="仿宋" w:cs="仿宋"/>
          <w:color w:val="auto"/>
          <w:spacing w:val="-9"/>
          <w:sz w:val="28"/>
          <w:szCs w:val="28"/>
          <w:highlight w:val="none"/>
          <w:u w:val="single"/>
        </w:rPr>
        <w:t>元</w:t>
      </w:r>
      <w:r>
        <w:rPr>
          <w:rFonts w:ascii="仿宋" w:hAnsi="仿宋" w:eastAsia="仿宋" w:cs="仿宋"/>
          <w:color w:val="auto"/>
          <w:spacing w:val="-5"/>
          <w:sz w:val="28"/>
          <w:szCs w:val="28"/>
          <w:highlight w:val="none"/>
        </w:rPr>
        <w:t xml:space="preserve">，大写: </w:t>
      </w:r>
      <w:r>
        <w:rPr>
          <w:rFonts w:hint="eastAsia" w:ascii="仿宋" w:hAnsi="仿宋" w:eastAsia="仿宋" w:cs="仿宋"/>
          <w:color w:val="auto"/>
          <w:spacing w:val="-5"/>
          <w:sz w:val="28"/>
          <w:szCs w:val="28"/>
          <w:highlight w:val="none"/>
          <w:u w:val="single"/>
          <w:lang w:val="en-US" w:eastAsia="zh-CN"/>
        </w:rPr>
        <w:t xml:space="preserve">          </w:t>
      </w:r>
      <w:r>
        <w:rPr>
          <w:rFonts w:ascii="仿宋" w:hAnsi="仿宋" w:eastAsia="仿宋" w:cs="仿宋"/>
          <w:color w:val="auto"/>
          <w:spacing w:val="-5"/>
          <w:sz w:val="28"/>
          <w:szCs w:val="28"/>
          <w:highlight w:val="none"/>
        </w:rPr>
        <w:t>。</w:t>
      </w:r>
      <w:r>
        <w:rPr>
          <w:rFonts w:hint="eastAsia" w:ascii="仿宋" w:hAnsi="仿宋" w:eastAsia="仿宋" w:cs="仿宋"/>
          <w:color w:val="auto"/>
          <w:spacing w:val="-5"/>
          <w:sz w:val="28"/>
          <w:szCs w:val="28"/>
          <w:highlight w:val="none"/>
          <w:lang w:eastAsia="zh-CN"/>
        </w:rPr>
        <w:t>第二年度检测完成，各项工作符合甲方要求，提交正式的</w:t>
      </w:r>
      <w:r>
        <w:rPr>
          <w:rFonts w:ascii="仿宋" w:hAnsi="仿宋" w:eastAsia="仿宋" w:cs="仿宋"/>
          <w:color w:val="auto"/>
          <w:spacing w:val="-4"/>
          <w:sz w:val="28"/>
          <w:szCs w:val="28"/>
          <w:highlight w:val="none"/>
        </w:rPr>
        <w:t>《检测</w:t>
      </w:r>
      <w:r>
        <w:rPr>
          <w:rFonts w:ascii="仿宋" w:hAnsi="仿宋" w:eastAsia="仿宋" w:cs="仿宋"/>
          <w:color w:val="auto"/>
          <w:spacing w:val="-5"/>
          <w:sz w:val="28"/>
          <w:szCs w:val="28"/>
          <w:highlight w:val="none"/>
        </w:rPr>
        <w:t>报告》</w:t>
      </w:r>
      <w:r>
        <w:rPr>
          <w:rFonts w:hint="eastAsia" w:ascii="仿宋" w:hAnsi="仿宋" w:eastAsia="仿宋" w:cs="仿宋"/>
          <w:color w:val="auto"/>
          <w:spacing w:val="-5"/>
          <w:sz w:val="28"/>
          <w:szCs w:val="28"/>
          <w:highlight w:val="none"/>
          <w:lang w:eastAsia="zh-CN"/>
        </w:rPr>
        <w:t>，</w:t>
      </w:r>
      <w:r>
        <w:rPr>
          <w:rFonts w:ascii="仿宋" w:hAnsi="仿宋" w:eastAsia="仿宋" w:cs="仿宋"/>
          <w:color w:val="auto"/>
          <w:spacing w:val="-5"/>
          <w:sz w:val="28"/>
          <w:szCs w:val="28"/>
          <w:highlight w:val="none"/>
        </w:rPr>
        <w:t>甲方向乙支付合同总额</w:t>
      </w:r>
      <w:r>
        <w:rPr>
          <w:rFonts w:ascii="仿宋" w:hAnsi="仿宋" w:eastAsia="仿宋" w:cs="仿宋"/>
          <w:color w:val="auto"/>
          <w:spacing w:val="-3"/>
          <w:sz w:val="28"/>
          <w:szCs w:val="28"/>
          <w:highlight w:val="none"/>
        </w:rPr>
        <w:t>的</w:t>
      </w:r>
      <w:r>
        <w:rPr>
          <w:rFonts w:ascii="仿宋" w:hAnsi="仿宋" w:eastAsia="仿宋" w:cs="仿宋"/>
          <w:color w:val="auto"/>
          <w:sz w:val="28"/>
          <w:szCs w:val="28"/>
          <w:highlight w:val="none"/>
        </w:rPr>
        <w:t xml:space="preserve"> </w:t>
      </w:r>
      <w:r>
        <w:rPr>
          <w:rFonts w:hint="eastAsia" w:ascii="仿宋" w:hAnsi="仿宋" w:eastAsia="仿宋" w:cs="仿宋"/>
          <w:color w:val="auto"/>
          <w:spacing w:val="-10"/>
          <w:sz w:val="28"/>
          <w:szCs w:val="28"/>
          <w:highlight w:val="none"/>
          <w:u w:val="single"/>
          <w:lang w:val="en-US" w:eastAsia="zh-CN"/>
        </w:rPr>
        <w:t>50</w:t>
      </w:r>
      <w:r>
        <w:rPr>
          <w:rFonts w:ascii="仿宋" w:hAnsi="仿宋" w:eastAsia="仿宋" w:cs="仿宋"/>
          <w:color w:val="auto"/>
          <w:spacing w:val="-5"/>
          <w:sz w:val="28"/>
          <w:szCs w:val="28"/>
          <w:highlight w:val="none"/>
          <w:u w:val="single"/>
        </w:rPr>
        <w:t>%</w:t>
      </w:r>
      <w:r>
        <w:rPr>
          <w:rFonts w:ascii="仿宋" w:hAnsi="仿宋" w:eastAsia="仿宋" w:cs="仿宋"/>
          <w:color w:val="auto"/>
          <w:spacing w:val="-5"/>
          <w:sz w:val="28"/>
          <w:szCs w:val="28"/>
          <w:highlight w:val="none"/>
        </w:rPr>
        <w:t>，即人民币</w:t>
      </w:r>
      <w:r>
        <w:rPr>
          <w:rFonts w:hint="eastAsia" w:ascii="仿宋" w:hAnsi="仿宋" w:eastAsia="仿宋" w:cs="仿宋"/>
          <w:color w:val="auto"/>
          <w:spacing w:val="-5"/>
          <w:sz w:val="28"/>
          <w:szCs w:val="28"/>
          <w:highlight w:val="none"/>
          <w:u w:val="single"/>
          <w:lang w:val="en-US" w:eastAsia="zh-CN"/>
        </w:rPr>
        <w:t xml:space="preserve">        </w:t>
      </w:r>
      <w:r>
        <w:rPr>
          <w:rFonts w:ascii="仿宋" w:hAnsi="仿宋" w:eastAsia="仿宋" w:cs="仿宋"/>
          <w:color w:val="auto"/>
          <w:spacing w:val="-9"/>
          <w:sz w:val="28"/>
          <w:szCs w:val="28"/>
          <w:highlight w:val="none"/>
          <w:u w:val="single"/>
        </w:rPr>
        <w:t>元</w:t>
      </w:r>
      <w:r>
        <w:rPr>
          <w:rFonts w:ascii="仿宋" w:hAnsi="仿宋" w:eastAsia="仿宋" w:cs="仿宋"/>
          <w:color w:val="auto"/>
          <w:spacing w:val="-5"/>
          <w:sz w:val="28"/>
          <w:szCs w:val="28"/>
          <w:highlight w:val="none"/>
        </w:rPr>
        <w:t xml:space="preserve">，大写: </w:t>
      </w:r>
      <w:r>
        <w:rPr>
          <w:rFonts w:hint="eastAsia" w:ascii="仿宋" w:hAnsi="仿宋" w:eastAsia="仿宋" w:cs="仿宋"/>
          <w:color w:val="auto"/>
          <w:spacing w:val="-5"/>
          <w:sz w:val="28"/>
          <w:szCs w:val="28"/>
          <w:highlight w:val="none"/>
          <w:u w:val="single"/>
          <w:lang w:val="en-US" w:eastAsia="zh-CN"/>
        </w:rPr>
        <w:t xml:space="preserve">          。</w:t>
      </w:r>
    </w:p>
    <w:p>
      <w:pPr>
        <w:shd w:val="clear"/>
        <w:spacing w:before="2" w:line="320" w:lineRule="auto"/>
        <w:ind w:left="16" w:right="97" w:firstLine="535"/>
        <w:rPr>
          <w:rFonts w:ascii="仿宋" w:hAnsi="仿宋" w:eastAsia="仿宋" w:cs="仿宋"/>
          <w:color w:val="auto"/>
          <w:sz w:val="28"/>
          <w:szCs w:val="28"/>
          <w:highlight w:val="none"/>
        </w:rPr>
      </w:pPr>
      <w:r>
        <w:rPr>
          <w:rFonts w:ascii="仿宋" w:hAnsi="仿宋" w:eastAsia="仿宋" w:cs="仿宋"/>
          <w:color w:val="auto"/>
          <w:spacing w:val="-8"/>
          <w:sz w:val="28"/>
          <w:szCs w:val="28"/>
          <w:highlight w:val="none"/>
        </w:rPr>
        <w:t>2、甲方付</w:t>
      </w:r>
      <w:r>
        <w:rPr>
          <w:rFonts w:ascii="仿宋" w:hAnsi="仿宋" w:eastAsia="仿宋" w:cs="仿宋"/>
          <w:color w:val="auto"/>
          <w:spacing w:val="-7"/>
          <w:sz w:val="28"/>
          <w:szCs w:val="28"/>
          <w:highlight w:val="none"/>
        </w:rPr>
        <w:t>款</w:t>
      </w:r>
      <w:r>
        <w:rPr>
          <w:rFonts w:ascii="仿宋" w:hAnsi="仿宋" w:eastAsia="仿宋" w:cs="仿宋"/>
          <w:color w:val="auto"/>
          <w:spacing w:val="-4"/>
          <w:sz w:val="28"/>
          <w:szCs w:val="28"/>
          <w:highlight w:val="none"/>
        </w:rPr>
        <w:t>前，乙方应出具真实合法有效且符合甲方财务做账要求</w:t>
      </w:r>
      <w:r>
        <w:rPr>
          <w:rFonts w:ascii="仿宋" w:hAnsi="仿宋" w:eastAsia="仿宋" w:cs="仿宋"/>
          <w:color w:val="auto"/>
          <w:sz w:val="28"/>
          <w:szCs w:val="28"/>
          <w:highlight w:val="none"/>
        </w:rPr>
        <w:t xml:space="preserve"> </w:t>
      </w:r>
      <w:r>
        <w:rPr>
          <w:rFonts w:ascii="仿宋" w:hAnsi="仿宋" w:eastAsia="仿宋" w:cs="仿宋"/>
          <w:color w:val="auto"/>
          <w:spacing w:val="-10"/>
          <w:sz w:val="28"/>
          <w:szCs w:val="28"/>
          <w:highlight w:val="none"/>
        </w:rPr>
        <w:t>的等</w:t>
      </w:r>
      <w:r>
        <w:rPr>
          <w:rFonts w:ascii="仿宋" w:hAnsi="仿宋" w:eastAsia="仿宋" w:cs="仿宋"/>
          <w:color w:val="auto"/>
          <w:spacing w:val="-6"/>
          <w:sz w:val="28"/>
          <w:szCs w:val="28"/>
          <w:highlight w:val="none"/>
        </w:rPr>
        <w:t>额</w:t>
      </w:r>
      <w:r>
        <w:rPr>
          <w:rFonts w:ascii="仿宋" w:hAnsi="仿宋" w:eastAsia="仿宋" w:cs="仿宋"/>
          <w:color w:val="auto"/>
          <w:spacing w:val="-5"/>
          <w:sz w:val="28"/>
          <w:szCs w:val="28"/>
          <w:highlight w:val="none"/>
        </w:rPr>
        <w:t>增值税专用发票，否则甲方有权不予付款且不承担违约责任。</w:t>
      </w:r>
    </w:p>
    <w:p>
      <w:pPr>
        <w:shd w:val="clear"/>
        <w:spacing w:before="101" w:line="347" w:lineRule="auto"/>
        <w:ind w:right="95" w:firstLine="549"/>
        <w:rPr>
          <w:rFonts w:ascii="仿宋" w:hAnsi="仿宋" w:eastAsia="仿宋" w:cs="仿宋"/>
          <w:color w:val="auto"/>
          <w:sz w:val="28"/>
          <w:szCs w:val="28"/>
          <w:highlight w:val="none"/>
        </w:rPr>
      </w:pPr>
      <w:r>
        <w:rPr>
          <w:rFonts w:ascii="仿宋" w:hAnsi="仿宋" w:eastAsia="仿宋" w:cs="仿宋"/>
          <w:color w:val="auto"/>
          <w:spacing w:val="-8"/>
          <w:sz w:val="28"/>
          <w:szCs w:val="28"/>
          <w:highlight w:val="none"/>
        </w:rPr>
        <w:t>3、甲方向</w:t>
      </w:r>
      <w:r>
        <w:rPr>
          <w:rFonts w:ascii="仿宋" w:hAnsi="仿宋" w:eastAsia="仿宋" w:cs="仿宋"/>
          <w:color w:val="auto"/>
          <w:spacing w:val="-5"/>
          <w:sz w:val="28"/>
          <w:szCs w:val="28"/>
          <w:highlight w:val="none"/>
        </w:rPr>
        <w:t>乙</w:t>
      </w:r>
      <w:r>
        <w:rPr>
          <w:rFonts w:ascii="仿宋" w:hAnsi="仿宋" w:eastAsia="仿宋" w:cs="仿宋"/>
          <w:color w:val="auto"/>
          <w:spacing w:val="-4"/>
          <w:sz w:val="28"/>
          <w:szCs w:val="28"/>
          <w:highlight w:val="none"/>
        </w:rPr>
        <w:t>方账户付款，即为完成本合同项下对乙方相应的付款义</w:t>
      </w:r>
      <w:r>
        <w:rPr>
          <w:rFonts w:ascii="仿宋" w:hAnsi="仿宋" w:eastAsia="仿宋" w:cs="仿宋"/>
          <w:color w:val="auto"/>
          <w:sz w:val="28"/>
          <w:szCs w:val="28"/>
          <w:highlight w:val="none"/>
        </w:rPr>
        <w:t xml:space="preserve"> </w:t>
      </w:r>
      <w:r>
        <w:rPr>
          <w:rFonts w:ascii="仿宋" w:hAnsi="仿宋" w:eastAsia="仿宋" w:cs="仿宋"/>
          <w:color w:val="auto"/>
          <w:spacing w:val="-10"/>
          <w:sz w:val="28"/>
          <w:szCs w:val="28"/>
          <w:highlight w:val="none"/>
        </w:rPr>
        <w:t>务</w:t>
      </w:r>
      <w:r>
        <w:rPr>
          <w:rFonts w:ascii="仿宋" w:hAnsi="仿宋" w:eastAsia="仿宋" w:cs="仿宋"/>
          <w:color w:val="auto"/>
          <w:spacing w:val="-9"/>
          <w:sz w:val="28"/>
          <w:szCs w:val="28"/>
          <w:highlight w:val="none"/>
        </w:rPr>
        <w:t>。乙方对账户信息的准确性和可用性承担全部责任。若账户状态或信息</w:t>
      </w:r>
      <w:r>
        <w:rPr>
          <w:rFonts w:ascii="仿宋" w:hAnsi="仿宋" w:eastAsia="仿宋" w:cs="仿宋"/>
          <w:color w:val="auto"/>
          <w:sz w:val="28"/>
          <w:szCs w:val="28"/>
          <w:highlight w:val="none"/>
        </w:rPr>
        <w:t xml:space="preserve"> </w:t>
      </w:r>
      <w:r>
        <w:rPr>
          <w:rFonts w:ascii="仿宋" w:hAnsi="仿宋" w:eastAsia="仿宋" w:cs="仿宋"/>
          <w:color w:val="auto"/>
          <w:spacing w:val="-24"/>
          <w:sz w:val="28"/>
          <w:szCs w:val="28"/>
          <w:highlight w:val="none"/>
        </w:rPr>
        <w:t>发</w:t>
      </w:r>
      <w:r>
        <w:rPr>
          <w:rFonts w:ascii="仿宋" w:hAnsi="仿宋" w:eastAsia="仿宋" w:cs="仿宋"/>
          <w:color w:val="auto"/>
          <w:spacing w:val="-21"/>
          <w:sz w:val="28"/>
          <w:szCs w:val="28"/>
          <w:highlight w:val="none"/>
        </w:rPr>
        <w:t>生</w:t>
      </w:r>
      <w:r>
        <w:rPr>
          <w:rFonts w:ascii="仿宋" w:hAnsi="仿宋" w:eastAsia="仿宋" w:cs="仿宋"/>
          <w:color w:val="auto"/>
          <w:spacing w:val="-12"/>
          <w:sz w:val="28"/>
          <w:szCs w:val="28"/>
          <w:highlight w:val="none"/>
        </w:rPr>
        <w:t>任何变更，乙方应提前 7 个工作日使甲方获悉，否则甲方不对乙方迟</w:t>
      </w:r>
      <w:r>
        <w:rPr>
          <w:rFonts w:ascii="仿宋" w:hAnsi="仿宋" w:eastAsia="仿宋" w:cs="仿宋"/>
          <w:color w:val="auto"/>
          <w:sz w:val="28"/>
          <w:szCs w:val="28"/>
          <w:highlight w:val="none"/>
        </w:rPr>
        <w:t xml:space="preserve"> </w:t>
      </w:r>
      <w:r>
        <w:rPr>
          <w:rFonts w:ascii="仿宋" w:hAnsi="仿宋" w:eastAsia="仿宋" w:cs="仿宋"/>
          <w:color w:val="auto"/>
          <w:spacing w:val="-8"/>
          <w:sz w:val="28"/>
          <w:szCs w:val="28"/>
          <w:highlight w:val="none"/>
        </w:rPr>
        <w:t>延</w:t>
      </w:r>
      <w:r>
        <w:rPr>
          <w:rFonts w:ascii="仿宋" w:hAnsi="仿宋" w:eastAsia="仿宋" w:cs="仿宋"/>
          <w:color w:val="auto"/>
          <w:spacing w:val="-5"/>
          <w:sz w:val="28"/>
          <w:szCs w:val="28"/>
          <w:highlight w:val="none"/>
        </w:rPr>
        <w:t>收到或未能收到任何款项承担责任。</w:t>
      </w:r>
    </w:p>
    <w:p>
      <w:pPr>
        <w:shd w:val="clear"/>
        <w:spacing w:before="75" w:line="223" w:lineRule="auto"/>
        <w:ind w:left="686"/>
        <w:rPr>
          <w:rFonts w:ascii="仿宋" w:hAnsi="仿宋" w:eastAsia="仿宋" w:cs="仿宋"/>
          <w:color w:val="auto"/>
          <w:sz w:val="28"/>
          <w:szCs w:val="28"/>
          <w:highlight w:val="none"/>
        </w:rPr>
      </w:pPr>
      <w:r>
        <w:rPr>
          <w:rFonts w:ascii="仿宋" w:hAnsi="仿宋" w:eastAsia="仿宋" w:cs="仿宋"/>
          <w:color w:val="auto"/>
          <w:spacing w:val="-6"/>
          <w:sz w:val="28"/>
          <w:szCs w:val="28"/>
          <w:highlight w:val="none"/>
          <w14:textOutline w14:w="5105" w14:cap="sq" w14:cmpd="sng" w14:algn="ctr">
            <w14:solidFill>
              <w14:srgbClr w14:val="000000"/>
            </w14:solidFill>
            <w14:prstDash w14:val="solid"/>
            <w14:bevel/>
          </w14:textOutline>
        </w:rPr>
        <w:t>第</w:t>
      </w:r>
      <w:r>
        <w:rPr>
          <w:rFonts w:ascii="仿宋" w:hAnsi="仿宋" w:eastAsia="仿宋" w:cs="仿宋"/>
          <w:color w:val="auto"/>
          <w:spacing w:val="-3"/>
          <w:sz w:val="28"/>
          <w:szCs w:val="28"/>
          <w:highlight w:val="none"/>
          <w14:textOutline w14:w="5105" w14:cap="sq" w14:cmpd="sng" w14:algn="ctr">
            <w14:solidFill>
              <w14:srgbClr w14:val="000000"/>
            </w14:solidFill>
            <w14:prstDash w14:val="solid"/>
            <w14:bevel/>
          </w14:textOutline>
        </w:rPr>
        <w:t>三条</w:t>
      </w:r>
      <w:r>
        <w:rPr>
          <w:rFonts w:ascii="仿宋" w:hAnsi="仿宋" w:eastAsia="仿宋" w:cs="仿宋"/>
          <w:color w:val="auto"/>
          <w:spacing w:val="-3"/>
          <w:sz w:val="28"/>
          <w:szCs w:val="28"/>
          <w:highlight w:val="none"/>
        </w:rPr>
        <w:t xml:space="preserve">   </w:t>
      </w:r>
      <w:r>
        <w:rPr>
          <w:rFonts w:ascii="仿宋" w:hAnsi="仿宋" w:eastAsia="仿宋" w:cs="仿宋"/>
          <w:color w:val="auto"/>
          <w:spacing w:val="-3"/>
          <w:sz w:val="28"/>
          <w:szCs w:val="28"/>
          <w:highlight w:val="none"/>
          <w14:textOutline w14:w="5105" w14:cap="sq" w14:cmpd="sng" w14:algn="ctr">
            <w14:solidFill>
              <w14:srgbClr w14:val="000000"/>
            </w14:solidFill>
            <w14:prstDash w14:val="solid"/>
            <w14:bevel/>
          </w14:textOutline>
        </w:rPr>
        <w:t>甲方的权利和义务</w:t>
      </w:r>
    </w:p>
    <w:p>
      <w:pPr>
        <w:shd w:val="clear"/>
        <w:spacing w:before="131" w:line="309" w:lineRule="auto"/>
        <w:ind w:left="124" w:right="207" w:firstLine="566"/>
        <w:rPr>
          <w:rFonts w:ascii="仿宋" w:hAnsi="仿宋" w:eastAsia="仿宋" w:cs="仿宋"/>
          <w:color w:val="auto"/>
          <w:sz w:val="28"/>
          <w:szCs w:val="28"/>
          <w:highlight w:val="none"/>
        </w:rPr>
      </w:pPr>
      <w:r>
        <w:rPr>
          <w:rFonts w:ascii="仿宋" w:hAnsi="仿宋" w:eastAsia="仿宋" w:cs="仿宋"/>
          <w:color w:val="auto"/>
          <w:spacing w:val="-16"/>
          <w:sz w:val="28"/>
          <w:szCs w:val="28"/>
          <w:highlight w:val="none"/>
        </w:rPr>
        <w:t>一、</w:t>
      </w:r>
      <w:r>
        <w:rPr>
          <w:rFonts w:ascii="仿宋" w:hAnsi="仿宋" w:eastAsia="仿宋" w:cs="仿宋"/>
          <w:color w:val="auto"/>
          <w:spacing w:val="-13"/>
          <w:sz w:val="28"/>
          <w:szCs w:val="28"/>
          <w:highlight w:val="none"/>
        </w:rPr>
        <w:t>甲</w:t>
      </w:r>
      <w:r>
        <w:rPr>
          <w:rFonts w:ascii="仿宋" w:hAnsi="仿宋" w:eastAsia="仿宋" w:cs="仿宋"/>
          <w:color w:val="auto"/>
          <w:spacing w:val="-8"/>
          <w:sz w:val="28"/>
          <w:szCs w:val="28"/>
          <w:highlight w:val="none"/>
        </w:rPr>
        <w:t>方新建工程项目受检应提供建设工程消防验收意见书复印件</w:t>
      </w:r>
      <w:r>
        <w:rPr>
          <w:rFonts w:ascii="仿宋" w:hAnsi="仿宋" w:eastAsia="仿宋" w:cs="仿宋"/>
          <w:color w:val="auto"/>
          <w:sz w:val="28"/>
          <w:szCs w:val="28"/>
          <w:highlight w:val="none"/>
        </w:rPr>
        <w:t xml:space="preserve"> </w:t>
      </w:r>
      <w:r>
        <w:rPr>
          <w:rFonts w:ascii="仿宋" w:hAnsi="仿宋" w:eastAsia="仿宋" w:cs="仿宋"/>
          <w:color w:val="auto"/>
          <w:spacing w:val="-8"/>
          <w:sz w:val="28"/>
          <w:szCs w:val="28"/>
          <w:highlight w:val="none"/>
        </w:rPr>
        <w:t>一份、消防工程施工合同复印件一份、消防设计图纸及变更记录、隐</w:t>
      </w:r>
      <w:r>
        <w:rPr>
          <w:rFonts w:ascii="仿宋" w:hAnsi="仿宋" w:eastAsia="仿宋" w:cs="仿宋"/>
          <w:color w:val="auto"/>
          <w:spacing w:val="-6"/>
          <w:sz w:val="28"/>
          <w:szCs w:val="28"/>
          <w:highlight w:val="none"/>
        </w:rPr>
        <w:t>蔽</w:t>
      </w:r>
    </w:p>
    <w:p>
      <w:pPr>
        <w:shd w:val="clear"/>
        <w:spacing w:before="1" w:line="223" w:lineRule="auto"/>
        <w:ind w:left="126"/>
        <w:rPr>
          <w:rFonts w:ascii="仿宋" w:hAnsi="仿宋" w:eastAsia="仿宋" w:cs="仿宋"/>
          <w:color w:val="auto"/>
          <w:sz w:val="28"/>
          <w:szCs w:val="28"/>
          <w:highlight w:val="none"/>
        </w:rPr>
      </w:pPr>
      <w:r>
        <w:rPr>
          <w:rFonts w:ascii="仿宋" w:hAnsi="仿宋" w:eastAsia="仿宋" w:cs="仿宋"/>
          <w:color w:val="auto"/>
          <w:spacing w:val="-14"/>
          <w:sz w:val="28"/>
          <w:szCs w:val="28"/>
          <w:highlight w:val="none"/>
        </w:rPr>
        <w:t>工</w:t>
      </w:r>
      <w:r>
        <w:rPr>
          <w:rFonts w:ascii="仿宋" w:hAnsi="仿宋" w:eastAsia="仿宋" w:cs="仿宋"/>
          <w:color w:val="auto"/>
          <w:spacing w:val="-13"/>
          <w:sz w:val="28"/>
          <w:szCs w:val="28"/>
          <w:highlight w:val="none"/>
        </w:rPr>
        <w:t>程</w:t>
      </w:r>
      <w:r>
        <w:rPr>
          <w:rFonts w:ascii="仿宋" w:hAnsi="仿宋" w:eastAsia="仿宋" w:cs="仿宋"/>
          <w:color w:val="auto"/>
          <w:spacing w:val="-7"/>
          <w:sz w:val="28"/>
          <w:szCs w:val="28"/>
          <w:highlight w:val="none"/>
        </w:rPr>
        <w:t>施工、施工检查、调试 (试验、冲洗、试压) 记录、见证取样检测</w:t>
      </w:r>
    </w:p>
    <w:p>
      <w:pPr>
        <w:shd w:val="clear"/>
        <w:rPr>
          <w:color w:val="auto"/>
          <w:highlight w:val="none"/>
        </w:rPr>
        <w:sectPr>
          <w:footerReference r:id="rId14" w:type="default"/>
          <w:pgSz w:w="11910" w:h="16840"/>
          <w:pgMar w:top="1384" w:right="1445" w:bottom="1371" w:left="1698" w:header="0" w:footer="1210" w:gutter="0"/>
          <w:cols w:space="720" w:num="1"/>
        </w:sectPr>
      </w:pPr>
    </w:p>
    <w:p>
      <w:pPr>
        <w:shd w:val="clear"/>
        <w:spacing w:before="56" w:line="316" w:lineRule="auto"/>
        <w:ind w:left="120" w:right="112"/>
        <w:rPr>
          <w:rFonts w:ascii="仿宋" w:hAnsi="仿宋" w:eastAsia="仿宋" w:cs="仿宋"/>
          <w:color w:val="auto"/>
          <w:sz w:val="28"/>
          <w:szCs w:val="28"/>
          <w:highlight w:val="none"/>
        </w:rPr>
      </w:pPr>
      <w:r>
        <w:rPr>
          <w:rFonts w:ascii="仿宋" w:hAnsi="仿宋" w:eastAsia="仿宋" w:cs="仿宋"/>
          <w:color w:val="auto"/>
          <w:spacing w:val="-14"/>
          <w:sz w:val="28"/>
          <w:szCs w:val="28"/>
          <w:highlight w:val="none"/>
        </w:rPr>
        <w:t>报告、</w:t>
      </w:r>
      <w:r>
        <w:rPr>
          <w:rFonts w:ascii="仿宋" w:hAnsi="仿宋" w:eastAsia="仿宋" w:cs="仿宋"/>
          <w:color w:val="auto"/>
          <w:spacing w:val="-11"/>
          <w:sz w:val="28"/>
          <w:szCs w:val="28"/>
          <w:highlight w:val="none"/>
        </w:rPr>
        <w:t>消</w:t>
      </w:r>
      <w:r>
        <w:rPr>
          <w:rFonts w:ascii="仿宋" w:hAnsi="仿宋" w:eastAsia="仿宋" w:cs="仿宋"/>
          <w:color w:val="auto"/>
          <w:spacing w:val="-7"/>
          <w:sz w:val="28"/>
          <w:szCs w:val="28"/>
          <w:highlight w:val="none"/>
        </w:rPr>
        <w:t>防设施设备产品合格证等乙方需要的相关资料。检测过程甲方</w:t>
      </w:r>
      <w:r>
        <w:rPr>
          <w:rFonts w:ascii="仿宋" w:hAnsi="仿宋" w:eastAsia="仿宋" w:cs="仿宋"/>
          <w:color w:val="auto"/>
          <w:sz w:val="28"/>
          <w:szCs w:val="28"/>
          <w:highlight w:val="none"/>
        </w:rPr>
        <w:t xml:space="preserve"> </w:t>
      </w:r>
      <w:r>
        <w:rPr>
          <w:rFonts w:ascii="仿宋" w:hAnsi="仿宋" w:eastAsia="仿宋" w:cs="仿宋"/>
          <w:color w:val="auto"/>
          <w:spacing w:val="-5"/>
          <w:sz w:val="28"/>
          <w:szCs w:val="28"/>
          <w:highlight w:val="none"/>
        </w:rPr>
        <w:t>应安排专业人员协调施工方到位，配合检测人员全程实施检测工作</w:t>
      </w:r>
      <w:r>
        <w:rPr>
          <w:rFonts w:ascii="仿宋" w:hAnsi="仿宋" w:eastAsia="仿宋" w:cs="仿宋"/>
          <w:color w:val="auto"/>
          <w:sz w:val="28"/>
          <w:szCs w:val="28"/>
          <w:highlight w:val="none"/>
        </w:rPr>
        <w:t>。</w:t>
      </w:r>
    </w:p>
    <w:p>
      <w:pPr>
        <w:shd w:val="clear"/>
        <w:spacing w:before="3" w:line="313" w:lineRule="auto"/>
        <w:ind w:left="120" w:right="136" w:firstLine="576"/>
        <w:rPr>
          <w:rFonts w:ascii="仿宋" w:hAnsi="仿宋" w:eastAsia="仿宋" w:cs="仿宋"/>
          <w:color w:val="auto"/>
          <w:sz w:val="28"/>
          <w:szCs w:val="28"/>
          <w:highlight w:val="none"/>
        </w:rPr>
      </w:pPr>
      <w:r>
        <w:rPr>
          <w:rFonts w:ascii="仿宋" w:hAnsi="仿宋" w:eastAsia="仿宋" w:cs="仿宋"/>
          <w:color w:val="auto"/>
          <w:spacing w:val="-8"/>
          <w:sz w:val="28"/>
          <w:szCs w:val="28"/>
          <w:highlight w:val="none"/>
        </w:rPr>
        <w:t>二、 甲</w:t>
      </w:r>
      <w:r>
        <w:rPr>
          <w:rFonts w:ascii="仿宋" w:hAnsi="仿宋" w:eastAsia="仿宋" w:cs="仿宋"/>
          <w:color w:val="auto"/>
          <w:spacing w:val="-7"/>
          <w:sz w:val="28"/>
          <w:szCs w:val="28"/>
          <w:highlight w:val="none"/>
        </w:rPr>
        <w:t>方</w:t>
      </w:r>
      <w:r>
        <w:rPr>
          <w:rFonts w:ascii="仿宋" w:hAnsi="仿宋" w:eastAsia="仿宋" w:cs="仿宋"/>
          <w:color w:val="auto"/>
          <w:spacing w:val="-4"/>
          <w:sz w:val="28"/>
          <w:szCs w:val="28"/>
          <w:highlight w:val="none"/>
        </w:rPr>
        <w:t>受检项目如经过验收投入使用 (年度检测项目) ，则应</w:t>
      </w:r>
      <w:r>
        <w:rPr>
          <w:rFonts w:ascii="仿宋" w:hAnsi="仿宋" w:eastAsia="仿宋" w:cs="仿宋"/>
          <w:color w:val="auto"/>
          <w:spacing w:val="-16"/>
          <w:sz w:val="28"/>
          <w:szCs w:val="28"/>
          <w:highlight w:val="none"/>
        </w:rPr>
        <w:t>提供</w:t>
      </w:r>
      <w:r>
        <w:rPr>
          <w:rFonts w:ascii="仿宋" w:hAnsi="仿宋" w:eastAsia="仿宋" w:cs="仿宋"/>
          <w:color w:val="auto"/>
          <w:spacing w:val="-9"/>
          <w:sz w:val="28"/>
          <w:szCs w:val="28"/>
          <w:highlight w:val="none"/>
        </w:rPr>
        <w:t>验</w:t>
      </w:r>
      <w:r>
        <w:rPr>
          <w:rFonts w:ascii="仿宋" w:hAnsi="仿宋" w:eastAsia="仿宋" w:cs="仿宋"/>
          <w:color w:val="auto"/>
          <w:spacing w:val="-8"/>
          <w:sz w:val="28"/>
          <w:szCs w:val="28"/>
          <w:highlight w:val="none"/>
        </w:rPr>
        <w:t>收意见书复印件、设施运行记录、更换消防设施设备的产品合格</w:t>
      </w:r>
      <w:r>
        <w:rPr>
          <w:rFonts w:ascii="仿宋" w:hAnsi="仿宋" w:eastAsia="仿宋" w:cs="仿宋"/>
          <w:color w:val="auto"/>
          <w:spacing w:val="-5"/>
          <w:sz w:val="28"/>
          <w:szCs w:val="28"/>
          <w:highlight w:val="none"/>
        </w:rPr>
        <w:t>证等乙方需要的相关资料；检测过程应有甲方专业工作人员在场</w:t>
      </w:r>
      <w:r>
        <w:rPr>
          <w:rFonts w:ascii="仿宋" w:hAnsi="仿宋" w:eastAsia="仿宋" w:cs="仿宋"/>
          <w:color w:val="auto"/>
          <w:sz w:val="28"/>
          <w:szCs w:val="28"/>
          <w:highlight w:val="none"/>
        </w:rPr>
        <w:t>。</w:t>
      </w:r>
    </w:p>
    <w:p>
      <w:pPr>
        <w:shd w:val="clear"/>
        <w:spacing w:before="1" w:line="220" w:lineRule="auto"/>
        <w:ind w:left="694"/>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三、 甲乙双方按照合同确定的工期商定检测日期，如时间有所</w:t>
      </w:r>
      <w:r>
        <w:rPr>
          <w:rFonts w:ascii="仿宋" w:hAnsi="仿宋" w:eastAsia="仿宋" w:cs="仿宋"/>
          <w:color w:val="auto"/>
          <w:sz w:val="28"/>
          <w:szCs w:val="28"/>
          <w:highlight w:val="none"/>
        </w:rPr>
        <w:t>变</w:t>
      </w:r>
    </w:p>
    <w:p>
      <w:pPr>
        <w:shd w:val="clear"/>
        <w:spacing w:before="132" w:line="226" w:lineRule="auto"/>
        <w:ind w:left="124"/>
        <w:rPr>
          <w:rFonts w:ascii="仿宋" w:hAnsi="仿宋" w:eastAsia="仿宋" w:cs="仿宋"/>
          <w:color w:val="auto"/>
          <w:sz w:val="28"/>
          <w:szCs w:val="28"/>
          <w:highlight w:val="none"/>
        </w:rPr>
      </w:pPr>
      <w:r>
        <w:rPr>
          <w:rFonts w:ascii="仿宋" w:hAnsi="仿宋" w:eastAsia="仿宋" w:cs="仿宋"/>
          <w:color w:val="auto"/>
          <w:spacing w:val="-7"/>
          <w:sz w:val="28"/>
          <w:szCs w:val="28"/>
          <w:highlight w:val="none"/>
        </w:rPr>
        <w:t>更</w:t>
      </w:r>
      <w:r>
        <w:rPr>
          <w:rFonts w:ascii="仿宋" w:hAnsi="仿宋" w:eastAsia="仿宋" w:cs="仿宋"/>
          <w:color w:val="auto"/>
          <w:spacing w:val="-5"/>
          <w:sz w:val="28"/>
          <w:szCs w:val="28"/>
          <w:highlight w:val="none"/>
        </w:rPr>
        <w:t>，甲方应及时通知乙方以便协商解决具体检测事宜。</w:t>
      </w:r>
    </w:p>
    <w:p>
      <w:pPr>
        <w:shd w:val="clear"/>
        <w:spacing w:before="148" w:line="319" w:lineRule="auto"/>
        <w:ind w:left="120" w:right="136" w:firstLine="599"/>
        <w:rPr>
          <w:rFonts w:ascii="仿宋" w:hAnsi="仿宋" w:eastAsia="仿宋" w:cs="仿宋"/>
          <w:color w:val="auto"/>
          <w:sz w:val="28"/>
          <w:szCs w:val="28"/>
          <w:highlight w:val="none"/>
        </w:rPr>
      </w:pPr>
      <w:r>
        <w:rPr>
          <w:rFonts w:ascii="仿宋" w:hAnsi="仿宋" w:eastAsia="仿宋" w:cs="仿宋"/>
          <w:color w:val="auto"/>
          <w:spacing w:val="-10"/>
          <w:sz w:val="28"/>
          <w:szCs w:val="28"/>
          <w:highlight w:val="none"/>
        </w:rPr>
        <w:t>四、 甲</w:t>
      </w:r>
      <w:r>
        <w:rPr>
          <w:rFonts w:ascii="仿宋" w:hAnsi="仿宋" w:eastAsia="仿宋" w:cs="仿宋"/>
          <w:color w:val="auto"/>
          <w:spacing w:val="-5"/>
          <w:sz w:val="28"/>
          <w:szCs w:val="28"/>
          <w:highlight w:val="none"/>
        </w:rPr>
        <w:t>方有权核查乙方检测机构资质证书和现场检测人员执业资</w:t>
      </w:r>
      <w:r>
        <w:rPr>
          <w:rFonts w:ascii="仿宋" w:hAnsi="仿宋" w:eastAsia="仿宋" w:cs="仿宋"/>
          <w:color w:val="auto"/>
          <w:sz w:val="28"/>
          <w:szCs w:val="28"/>
          <w:highlight w:val="none"/>
        </w:rPr>
        <w:t xml:space="preserve"> </w:t>
      </w:r>
      <w:r>
        <w:rPr>
          <w:rFonts w:ascii="仿宋" w:hAnsi="仿宋" w:eastAsia="仿宋" w:cs="仿宋"/>
          <w:color w:val="auto"/>
          <w:spacing w:val="-9"/>
          <w:sz w:val="28"/>
          <w:szCs w:val="28"/>
          <w:highlight w:val="none"/>
        </w:rPr>
        <w:t>格</w:t>
      </w:r>
      <w:r>
        <w:rPr>
          <w:rFonts w:ascii="仿宋" w:hAnsi="仿宋" w:eastAsia="仿宋" w:cs="仿宋"/>
          <w:color w:val="auto"/>
          <w:spacing w:val="-7"/>
          <w:sz w:val="28"/>
          <w:szCs w:val="28"/>
          <w:highlight w:val="none"/>
        </w:rPr>
        <w:t>证书。</w:t>
      </w:r>
    </w:p>
    <w:p>
      <w:pPr>
        <w:shd w:val="clear"/>
        <w:spacing w:before="203" w:line="223" w:lineRule="auto"/>
        <w:ind w:left="687"/>
        <w:rPr>
          <w:rFonts w:ascii="仿宋" w:hAnsi="仿宋" w:eastAsia="仿宋" w:cs="仿宋"/>
          <w:color w:val="auto"/>
          <w:sz w:val="28"/>
          <w:szCs w:val="28"/>
          <w:highlight w:val="none"/>
        </w:rPr>
      </w:pPr>
      <w:r>
        <w:rPr>
          <w:rFonts w:ascii="仿宋" w:hAnsi="仿宋" w:eastAsia="仿宋" w:cs="仿宋"/>
          <w:color w:val="auto"/>
          <w:spacing w:val="-6"/>
          <w:sz w:val="28"/>
          <w:szCs w:val="28"/>
          <w:highlight w:val="none"/>
          <w14:textOutline w14:w="5105" w14:cap="sq" w14:cmpd="sng" w14:algn="ctr">
            <w14:solidFill>
              <w14:srgbClr w14:val="000000"/>
            </w14:solidFill>
            <w14:prstDash w14:val="solid"/>
            <w14:bevel/>
          </w14:textOutline>
        </w:rPr>
        <w:t>第</w:t>
      </w:r>
      <w:r>
        <w:rPr>
          <w:rFonts w:ascii="仿宋" w:hAnsi="仿宋" w:eastAsia="仿宋" w:cs="仿宋"/>
          <w:color w:val="auto"/>
          <w:spacing w:val="-5"/>
          <w:sz w:val="28"/>
          <w:szCs w:val="28"/>
          <w:highlight w:val="none"/>
          <w14:textOutline w14:w="5105" w14:cap="sq" w14:cmpd="sng" w14:algn="ctr">
            <w14:solidFill>
              <w14:srgbClr w14:val="000000"/>
            </w14:solidFill>
            <w14:prstDash w14:val="solid"/>
            <w14:bevel/>
          </w14:textOutline>
        </w:rPr>
        <w:t>四</w:t>
      </w:r>
      <w:r>
        <w:rPr>
          <w:rFonts w:ascii="仿宋" w:hAnsi="仿宋" w:eastAsia="仿宋" w:cs="仿宋"/>
          <w:color w:val="auto"/>
          <w:spacing w:val="-3"/>
          <w:sz w:val="28"/>
          <w:szCs w:val="28"/>
          <w:highlight w:val="none"/>
          <w14:textOutline w14:w="5105" w14:cap="sq" w14:cmpd="sng" w14:algn="ctr">
            <w14:solidFill>
              <w14:srgbClr w14:val="000000"/>
            </w14:solidFill>
            <w14:prstDash w14:val="solid"/>
            <w14:bevel/>
          </w14:textOutline>
        </w:rPr>
        <w:t>条</w:t>
      </w:r>
      <w:r>
        <w:rPr>
          <w:rFonts w:ascii="仿宋" w:hAnsi="仿宋" w:eastAsia="仿宋" w:cs="仿宋"/>
          <w:color w:val="auto"/>
          <w:spacing w:val="-3"/>
          <w:sz w:val="28"/>
          <w:szCs w:val="28"/>
          <w:highlight w:val="none"/>
        </w:rPr>
        <w:t xml:space="preserve">  </w:t>
      </w:r>
      <w:r>
        <w:rPr>
          <w:rFonts w:ascii="仿宋" w:hAnsi="仿宋" w:eastAsia="仿宋" w:cs="仿宋"/>
          <w:color w:val="auto"/>
          <w:spacing w:val="-3"/>
          <w:sz w:val="28"/>
          <w:szCs w:val="28"/>
          <w:highlight w:val="none"/>
          <w14:textOutline w14:w="5105" w14:cap="sq" w14:cmpd="sng" w14:algn="ctr">
            <w14:solidFill>
              <w14:srgbClr w14:val="000000"/>
            </w14:solidFill>
            <w14:prstDash w14:val="solid"/>
            <w14:bevel/>
          </w14:textOutline>
        </w:rPr>
        <w:t>乙方的权利和义务</w:t>
      </w:r>
    </w:p>
    <w:p>
      <w:pPr>
        <w:shd w:val="clear"/>
        <w:spacing w:before="48" w:line="465" w:lineRule="exact"/>
        <w:ind w:left="691"/>
        <w:rPr>
          <w:rFonts w:ascii="仿宋" w:hAnsi="仿宋" w:eastAsia="仿宋" w:cs="仿宋"/>
          <w:color w:val="auto"/>
          <w:sz w:val="28"/>
          <w:szCs w:val="28"/>
          <w:highlight w:val="none"/>
        </w:rPr>
      </w:pPr>
      <w:r>
        <w:rPr>
          <w:rFonts w:ascii="仿宋" w:hAnsi="仿宋" w:eastAsia="仿宋" w:cs="仿宋"/>
          <w:color w:val="auto"/>
          <w:spacing w:val="-5"/>
          <w:position w:val="3"/>
          <w:sz w:val="28"/>
          <w:szCs w:val="28"/>
          <w:highlight w:val="none"/>
        </w:rPr>
        <w:t>一、乙方按照商定的检测日期，如期对甲方设施实施检测</w:t>
      </w:r>
      <w:r>
        <w:rPr>
          <w:rFonts w:ascii="仿宋" w:hAnsi="仿宋" w:eastAsia="仿宋" w:cs="仿宋"/>
          <w:color w:val="auto"/>
          <w:spacing w:val="-4"/>
          <w:position w:val="3"/>
          <w:sz w:val="28"/>
          <w:szCs w:val="28"/>
          <w:highlight w:val="none"/>
        </w:rPr>
        <w:t>。</w:t>
      </w:r>
    </w:p>
    <w:p>
      <w:pPr>
        <w:shd w:val="clear"/>
        <w:spacing w:before="28" w:line="308" w:lineRule="auto"/>
        <w:ind w:left="120" w:right="280" w:firstLine="576"/>
        <w:rPr>
          <w:rFonts w:ascii="仿宋" w:hAnsi="仿宋" w:eastAsia="仿宋" w:cs="仿宋"/>
          <w:color w:val="auto"/>
          <w:sz w:val="28"/>
          <w:szCs w:val="28"/>
          <w:highlight w:val="none"/>
        </w:rPr>
      </w:pPr>
      <w:r>
        <w:rPr>
          <w:rFonts w:ascii="仿宋" w:hAnsi="仿宋" w:eastAsia="仿宋" w:cs="仿宋"/>
          <w:color w:val="auto"/>
          <w:spacing w:val="-10"/>
          <w:sz w:val="28"/>
          <w:szCs w:val="28"/>
          <w:highlight w:val="none"/>
        </w:rPr>
        <w:t>二</w:t>
      </w:r>
      <w:r>
        <w:rPr>
          <w:rFonts w:ascii="仿宋" w:hAnsi="仿宋" w:eastAsia="仿宋" w:cs="仿宋"/>
          <w:color w:val="auto"/>
          <w:spacing w:val="-5"/>
          <w:sz w:val="28"/>
          <w:szCs w:val="28"/>
          <w:highlight w:val="none"/>
        </w:rPr>
        <w:t>、乙方严格执行国家有关消防规范标准，实施科学检测。乙方</w:t>
      </w:r>
      <w:r>
        <w:rPr>
          <w:rFonts w:ascii="仿宋" w:hAnsi="仿宋" w:eastAsia="仿宋" w:cs="仿宋"/>
          <w:color w:val="auto"/>
          <w:sz w:val="28"/>
          <w:szCs w:val="28"/>
          <w:highlight w:val="none"/>
        </w:rPr>
        <w:t xml:space="preserve"> </w:t>
      </w:r>
      <w:r>
        <w:rPr>
          <w:rFonts w:ascii="仿宋" w:hAnsi="仿宋" w:eastAsia="仿宋" w:cs="仿宋"/>
          <w:color w:val="auto"/>
          <w:spacing w:val="-5"/>
          <w:sz w:val="28"/>
          <w:szCs w:val="28"/>
          <w:highlight w:val="none"/>
        </w:rPr>
        <w:t>实施检测的相关技术人员必须具备行业主管部门颁发的《培训合</w:t>
      </w:r>
      <w:r>
        <w:rPr>
          <w:rFonts w:ascii="仿宋" w:hAnsi="仿宋" w:eastAsia="仿宋" w:cs="仿宋"/>
          <w:color w:val="auto"/>
          <w:spacing w:val="-4"/>
          <w:sz w:val="28"/>
          <w:szCs w:val="28"/>
          <w:highlight w:val="none"/>
        </w:rPr>
        <w:t>格</w:t>
      </w:r>
      <w:r>
        <w:rPr>
          <w:rFonts w:ascii="仿宋" w:hAnsi="仿宋" w:eastAsia="仿宋" w:cs="仿宋"/>
          <w:color w:val="auto"/>
          <w:sz w:val="28"/>
          <w:szCs w:val="28"/>
          <w:highlight w:val="none"/>
        </w:rPr>
        <w:t xml:space="preserve">  </w:t>
      </w:r>
      <w:r>
        <w:rPr>
          <w:rFonts w:ascii="仿宋" w:hAnsi="仿宋" w:eastAsia="仿宋" w:cs="仿宋"/>
          <w:color w:val="auto"/>
          <w:spacing w:val="-8"/>
          <w:sz w:val="28"/>
          <w:szCs w:val="28"/>
          <w:highlight w:val="none"/>
        </w:rPr>
        <w:t>证》，检测</w:t>
      </w:r>
      <w:r>
        <w:rPr>
          <w:rFonts w:ascii="仿宋" w:hAnsi="仿宋" w:eastAsia="仿宋" w:cs="仿宋"/>
          <w:color w:val="auto"/>
          <w:spacing w:val="-5"/>
          <w:sz w:val="28"/>
          <w:szCs w:val="28"/>
          <w:highlight w:val="none"/>
        </w:rPr>
        <w:t>人</w:t>
      </w:r>
      <w:r>
        <w:rPr>
          <w:rFonts w:ascii="仿宋" w:hAnsi="仿宋" w:eastAsia="仿宋" w:cs="仿宋"/>
          <w:color w:val="auto"/>
          <w:spacing w:val="-4"/>
          <w:sz w:val="28"/>
          <w:szCs w:val="28"/>
          <w:highlight w:val="none"/>
        </w:rPr>
        <w:t>数必须达到规范标准要求；检测用的仪器、仪表等，应</w:t>
      </w:r>
      <w:r>
        <w:rPr>
          <w:rFonts w:ascii="仿宋" w:hAnsi="仿宋" w:eastAsia="仿宋" w:cs="仿宋"/>
          <w:color w:val="auto"/>
          <w:sz w:val="28"/>
          <w:szCs w:val="28"/>
          <w:highlight w:val="none"/>
        </w:rPr>
        <w:t xml:space="preserve"> </w:t>
      </w:r>
      <w:r>
        <w:rPr>
          <w:rFonts w:ascii="仿宋" w:hAnsi="仿宋" w:eastAsia="仿宋" w:cs="仿宋"/>
          <w:color w:val="auto"/>
          <w:spacing w:val="-8"/>
          <w:sz w:val="28"/>
          <w:szCs w:val="28"/>
          <w:highlight w:val="none"/>
        </w:rPr>
        <w:t>按</w:t>
      </w:r>
      <w:r>
        <w:rPr>
          <w:rFonts w:ascii="仿宋" w:hAnsi="仿宋" w:eastAsia="仿宋" w:cs="仿宋"/>
          <w:color w:val="auto"/>
          <w:spacing w:val="-5"/>
          <w:sz w:val="28"/>
          <w:szCs w:val="28"/>
          <w:highlight w:val="none"/>
        </w:rPr>
        <w:t>国家现行有关规定计量检测合格。</w:t>
      </w:r>
    </w:p>
    <w:p>
      <w:pPr>
        <w:shd w:val="clear"/>
        <w:spacing w:before="3" w:line="309" w:lineRule="auto"/>
        <w:ind w:left="5" w:firstLine="557"/>
        <w:rPr>
          <w:rFonts w:ascii="仿宋" w:hAnsi="仿宋" w:eastAsia="仿宋" w:cs="仿宋"/>
          <w:color w:val="auto"/>
          <w:sz w:val="28"/>
          <w:szCs w:val="28"/>
          <w:highlight w:val="none"/>
        </w:rPr>
      </w:pPr>
      <w:r>
        <w:rPr>
          <w:rFonts w:ascii="仿宋" w:hAnsi="仿宋" w:eastAsia="仿宋" w:cs="仿宋"/>
          <w:color w:val="auto"/>
          <w:spacing w:val="-18"/>
          <w:sz w:val="28"/>
          <w:szCs w:val="28"/>
          <w:highlight w:val="none"/>
        </w:rPr>
        <w:t>三、</w:t>
      </w:r>
      <w:r>
        <w:rPr>
          <w:rFonts w:ascii="仿宋" w:hAnsi="仿宋" w:eastAsia="仿宋" w:cs="仿宋"/>
          <w:color w:val="auto"/>
          <w:spacing w:val="-12"/>
          <w:sz w:val="28"/>
          <w:szCs w:val="28"/>
          <w:highlight w:val="none"/>
        </w:rPr>
        <w:t>乙</w:t>
      </w:r>
      <w:r>
        <w:rPr>
          <w:rFonts w:ascii="仿宋" w:hAnsi="仿宋" w:eastAsia="仿宋" w:cs="仿宋"/>
          <w:color w:val="auto"/>
          <w:spacing w:val="-9"/>
          <w:sz w:val="28"/>
          <w:szCs w:val="28"/>
          <w:highlight w:val="none"/>
        </w:rPr>
        <w:t>方在检测过程中发现甲方的消防设施存在不符合消防标准规范</w:t>
      </w:r>
      <w:r>
        <w:rPr>
          <w:rFonts w:ascii="仿宋" w:hAnsi="仿宋" w:eastAsia="仿宋" w:cs="仿宋"/>
          <w:color w:val="auto"/>
          <w:sz w:val="28"/>
          <w:szCs w:val="28"/>
          <w:highlight w:val="none"/>
        </w:rPr>
        <w:t xml:space="preserve"> </w:t>
      </w:r>
      <w:r>
        <w:rPr>
          <w:rFonts w:ascii="仿宋" w:hAnsi="仿宋" w:eastAsia="仿宋" w:cs="仿宋"/>
          <w:color w:val="auto"/>
          <w:spacing w:val="-17"/>
          <w:sz w:val="28"/>
          <w:szCs w:val="28"/>
          <w:highlight w:val="none"/>
        </w:rPr>
        <w:t>的</w:t>
      </w:r>
      <w:r>
        <w:rPr>
          <w:rFonts w:ascii="仿宋" w:hAnsi="仿宋" w:eastAsia="仿宋" w:cs="仿宋"/>
          <w:color w:val="auto"/>
          <w:spacing w:val="-9"/>
          <w:sz w:val="28"/>
          <w:szCs w:val="28"/>
          <w:highlight w:val="none"/>
        </w:rPr>
        <w:t>，乙方应及时向甲方提出书面的整改意见，甲方根据乙方的意见整改完</w:t>
      </w:r>
      <w:r>
        <w:rPr>
          <w:rFonts w:ascii="仿宋" w:hAnsi="仿宋" w:eastAsia="仿宋" w:cs="仿宋"/>
          <w:color w:val="auto"/>
          <w:sz w:val="28"/>
          <w:szCs w:val="28"/>
          <w:highlight w:val="none"/>
        </w:rPr>
        <w:t xml:space="preserve"> </w:t>
      </w:r>
      <w:r>
        <w:rPr>
          <w:rFonts w:ascii="仿宋" w:hAnsi="仿宋" w:eastAsia="仿宋" w:cs="仿宋"/>
          <w:color w:val="auto"/>
          <w:spacing w:val="-8"/>
          <w:sz w:val="28"/>
          <w:szCs w:val="28"/>
          <w:highlight w:val="none"/>
        </w:rPr>
        <w:t>毕</w:t>
      </w:r>
      <w:r>
        <w:rPr>
          <w:rFonts w:ascii="仿宋" w:hAnsi="仿宋" w:eastAsia="仿宋" w:cs="仿宋"/>
          <w:color w:val="auto"/>
          <w:spacing w:val="-5"/>
          <w:sz w:val="28"/>
          <w:szCs w:val="28"/>
          <w:highlight w:val="none"/>
        </w:rPr>
        <w:t>后，乙方应予以复检。复检费用双方协商确定。</w:t>
      </w:r>
    </w:p>
    <w:p>
      <w:pPr>
        <w:shd w:val="clear"/>
        <w:spacing w:line="309" w:lineRule="auto"/>
        <w:ind w:firstLine="587"/>
        <w:rPr>
          <w:rFonts w:ascii="仿宋" w:hAnsi="仿宋" w:eastAsia="仿宋" w:cs="仿宋"/>
          <w:color w:val="auto"/>
          <w:spacing w:val="-6"/>
          <w:sz w:val="28"/>
          <w:szCs w:val="28"/>
          <w:highlight w:val="none"/>
        </w:rPr>
      </w:pPr>
      <w:r>
        <w:rPr>
          <w:rFonts w:ascii="仿宋" w:hAnsi="仿宋" w:eastAsia="仿宋" w:cs="仿宋"/>
          <w:color w:val="auto"/>
          <w:spacing w:val="-20"/>
          <w:sz w:val="28"/>
          <w:szCs w:val="28"/>
          <w:highlight w:val="none"/>
        </w:rPr>
        <w:t>四</w:t>
      </w:r>
      <w:r>
        <w:rPr>
          <w:rFonts w:ascii="仿宋" w:hAnsi="仿宋" w:eastAsia="仿宋" w:cs="仿宋"/>
          <w:color w:val="auto"/>
          <w:spacing w:val="-16"/>
          <w:sz w:val="28"/>
          <w:szCs w:val="28"/>
          <w:highlight w:val="none"/>
        </w:rPr>
        <w:t>、</w:t>
      </w:r>
      <w:r>
        <w:rPr>
          <w:rFonts w:ascii="仿宋" w:hAnsi="仿宋" w:eastAsia="仿宋" w:cs="仿宋"/>
          <w:color w:val="auto"/>
          <w:spacing w:val="-10"/>
          <w:sz w:val="28"/>
          <w:szCs w:val="28"/>
          <w:highlight w:val="none"/>
        </w:rPr>
        <w:t>乙方负责对甲方所有控制室值守人员持证上岗情况及操控消防设</w:t>
      </w:r>
      <w:r>
        <w:rPr>
          <w:rFonts w:ascii="仿宋" w:hAnsi="仿宋" w:eastAsia="仿宋" w:cs="仿宋"/>
          <w:color w:val="auto"/>
          <w:sz w:val="28"/>
          <w:szCs w:val="28"/>
          <w:highlight w:val="none"/>
        </w:rPr>
        <w:t xml:space="preserve"> </w:t>
      </w:r>
      <w:r>
        <w:rPr>
          <w:rFonts w:ascii="仿宋" w:hAnsi="仿宋" w:eastAsia="仿宋" w:cs="仿宋"/>
          <w:color w:val="auto"/>
          <w:spacing w:val="-9"/>
          <w:sz w:val="28"/>
          <w:szCs w:val="28"/>
          <w:highlight w:val="none"/>
        </w:rPr>
        <w:t>施能力水平进行核对和评价，可以根据甲方的要求，对控制室职守人员进</w:t>
      </w:r>
      <w:r>
        <w:rPr>
          <w:rFonts w:ascii="仿宋" w:hAnsi="仿宋" w:eastAsia="仿宋" w:cs="仿宋"/>
          <w:color w:val="auto"/>
          <w:sz w:val="28"/>
          <w:szCs w:val="28"/>
          <w:highlight w:val="none"/>
        </w:rPr>
        <w:t xml:space="preserve"> </w:t>
      </w:r>
      <w:r>
        <w:rPr>
          <w:rFonts w:ascii="仿宋" w:hAnsi="仿宋" w:eastAsia="仿宋" w:cs="仿宋"/>
          <w:color w:val="auto"/>
          <w:spacing w:val="-11"/>
          <w:sz w:val="28"/>
          <w:szCs w:val="28"/>
          <w:highlight w:val="none"/>
        </w:rPr>
        <w:t>行</w:t>
      </w:r>
      <w:r>
        <w:rPr>
          <w:rFonts w:ascii="仿宋" w:hAnsi="仿宋" w:eastAsia="仿宋" w:cs="仿宋"/>
          <w:color w:val="auto"/>
          <w:spacing w:val="-6"/>
          <w:sz w:val="28"/>
          <w:szCs w:val="28"/>
          <w:highlight w:val="none"/>
        </w:rPr>
        <w:t>在岗培训。</w:t>
      </w:r>
    </w:p>
    <w:p>
      <w:pPr>
        <w:shd w:val="clear"/>
        <w:spacing w:before="3" w:line="309" w:lineRule="auto"/>
        <w:ind w:left="5" w:firstLine="557"/>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五、乙方保证在检测过程中不得降低检测标准和服务水准，开展检测工作有完整的检测记录。乙方对甲方提出的有关检测结果的疑问，应当及时进行检测、复核和答复。</w:t>
      </w:r>
    </w:p>
    <w:p>
      <w:pPr>
        <w:shd w:val="clear"/>
        <w:spacing w:before="3" w:line="309" w:lineRule="auto"/>
        <w:ind w:left="5" w:firstLine="557"/>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六、如因乙方原因造成甲方消防设施故障后，乙方负责进行包工包料免费维修及更换。</w:t>
      </w:r>
    </w:p>
    <w:p>
      <w:pPr>
        <w:shd w:val="clear"/>
        <w:spacing w:before="3" w:line="309" w:lineRule="auto"/>
        <w:ind w:left="5" w:firstLine="557"/>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七、乙方应对本合同履行期间自身的安全问题负责，检测时应采取必要的安全保护措施。如在本合同履行过程中，发生乙方人员任何的人身危险和损害，甲方不承担任何责任，由乙方自行承担。</w:t>
      </w:r>
    </w:p>
    <w:p>
      <w:pPr>
        <w:shd w:val="clear"/>
        <w:spacing w:before="3" w:line="309" w:lineRule="auto"/>
        <w:ind w:left="5" w:firstLine="557"/>
        <w:rPr>
          <w:rFonts w:hint="eastAsia"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八、检测报告须经检测人员、技术负责人签署，并加盖检测专用章后方可生效。见证检测的检测报告中应当注明见证人单位及姓名。</w:t>
      </w:r>
    </w:p>
    <w:p>
      <w:pPr>
        <w:shd w:val="clear"/>
        <w:spacing w:line="376" w:lineRule="exact"/>
        <w:ind w:left="571"/>
        <w:rPr>
          <w:rFonts w:ascii="仿宋" w:hAnsi="仿宋" w:eastAsia="仿宋" w:cs="仿宋"/>
          <w:color w:val="auto"/>
          <w:sz w:val="28"/>
          <w:szCs w:val="28"/>
          <w:highlight w:val="none"/>
        </w:rPr>
      </w:pPr>
      <w:r>
        <w:rPr>
          <w:rFonts w:ascii="仿宋" w:hAnsi="仿宋" w:eastAsia="仿宋" w:cs="仿宋"/>
          <w:color w:val="auto"/>
          <w:spacing w:val="-8"/>
          <w:sz w:val="28"/>
          <w:szCs w:val="28"/>
          <w:highlight w:val="none"/>
        </w:rPr>
        <w:t>五</w:t>
      </w:r>
      <w:r>
        <w:rPr>
          <w:rFonts w:ascii="仿宋" w:hAnsi="仿宋" w:eastAsia="仿宋" w:cs="仿宋"/>
          <w:color w:val="auto"/>
          <w:spacing w:val="-6"/>
          <w:sz w:val="28"/>
          <w:szCs w:val="28"/>
          <w:highlight w:val="none"/>
        </w:rPr>
        <w:t>、检测报告的提交</w:t>
      </w:r>
    </w:p>
    <w:p>
      <w:pPr>
        <w:shd w:val="clear"/>
        <w:spacing w:before="97" w:line="309" w:lineRule="auto"/>
        <w:ind w:left="3" w:firstLine="564"/>
        <w:rPr>
          <w:rFonts w:ascii="仿宋" w:hAnsi="仿宋" w:eastAsia="仿宋" w:cs="仿宋"/>
          <w:color w:val="auto"/>
          <w:sz w:val="28"/>
          <w:szCs w:val="28"/>
          <w:highlight w:val="none"/>
        </w:rPr>
      </w:pPr>
      <w:r>
        <w:rPr>
          <w:rFonts w:ascii="仿宋" w:hAnsi="仿宋" w:eastAsia="仿宋" w:cs="仿宋"/>
          <w:color w:val="auto"/>
          <w:spacing w:val="-10"/>
          <w:sz w:val="28"/>
          <w:szCs w:val="28"/>
          <w:highlight w:val="none"/>
        </w:rPr>
        <w:t>1</w:t>
      </w:r>
      <w:r>
        <w:rPr>
          <w:rFonts w:ascii="仿宋" w:hAnsi="仿宋" w:eastAsia="仿宋" w:cs="仿宋"/>
          <w:color w:val="auto"/>
          <w:spacing w:val="-5"/>
          <w:sz w:val="28"/>
          <w:szCs w:val="28"/>
          <w:highlight w:val="none"/>
        </w:rPr>
        <w:t>、乙方应在检测完毕后在五个工作日内出具《检测报告》，但甲方</w:t>
      </w:r>
      <w:r>
        <w:rPr>
          <w:rFonts w:ascii="仿宋" w:hAnsi="仿宋" w:eastAsia="仿宋" w:cs="仿宋"/>
          <w:color w:val="auto"/>
          <w:spacing w:val="-15"/>
          <w:sz w:val="28"/>
          <w:szCs w:val="28"/>
          <w:highlight w:val="none"/>
        </w:rPr>
        <w:t>未</w:t>
      </w:r>
      <w:r>
        <w:rPr>
          <w:rFonts w:ascii="仿宋" w:hAnsi="仿宋" w:eastAsia="仿宋" w:cs="仿宋"/>
          <w:color w:val="auto"/>
          <w:spacing w:val="-9"/>
          <w:sz w:val="28"/>
          <w:szCs w:val="28"/>
          <w:highlight w:val="none"/>
        </w:rPr>
        <w:t>能及时向乙方提供所需资料，或甲方未整改完毕乙方提出的书面整改意</w:t>
      </w:r>
      <w:r>
        <w:rPr>
          <w:rFonts w:ascii="仿宋" w:hAnsi="仿宋" w:eastAsia="仿宋" w:cs="仿宋"/>
          <w:color w:val="auto"/>
          <w:spacing w:val="-5"/>
          <w:sz w:val="28"/>
          <w:szCs w:val="28"/>
          <w:highlight w:val="none"/>
        </w:rPr>
        <w:t>见的除外。乙方出具的《检测报告》一式</w:t>
      </w:r>
      <w:r>
        <w:rPr>
          <w:rFonts w:ascii="仿宋" w:hAnsi="仿宋" w:eastAsia="仿宋" w:cs="仿宋"/>
          <w:color w:val="auto"/>
          <w:spacing w:val="-5"/>
          <w:sz w:val="28"/>
          <w:szCs w:val="28"/>
          <w:highlight w:val="none"/>
          <w:u w:val="single"/>
        </w:rPr>
        <w:t>叁</w:t>
      </w:r>
      <w:r>
        <w:rPr>
          <w:rFonts w:ascii="仿宋" w:hAnsi="仿宋" w:eastAsia="仿宋" w:cs="仿宋"/>
          <w:color w:val="auto"/>
          <w:spacing w:val="-5"/>
          <w:sz w:val="28"/>
          <w:szCs w:val="28"/>
          <w:highlight w:val="none"/>
        </w:rPr>
        <w:t>份，交甲方</w:t>
      </w:r>
      <w:r>
        <w:rPr>
          <w:rFonts w:ascii="仿宋" w:hAnsi="仿宋" w:eastAsia="仿宋" w:cs="仿宋"/>
          <w:color w:val="auto"/>
          <w:spacing w:val="-5"/>
          <w:sz w:val="28"/>
          <w:szCs w:val="28"/>
          <w:highlight w:val="none"/>
          <w:u w:val="single"/>
        </w:rPr>
        <w:t>贰</w:t>
      </w:r>
      <w:r>
        <w:rPr>
          <w:rFonts w:ascii="仿宋" w:hAnsi="仿宋" w:eastAsia="仿宋" w:cs="仿宋"/>
          <w:color w:val="auto"/>
          <w:spacing w:val="-5"/>
          <w:sz w:val="28"/>
          <w:szCs w:val="28"/>
          <w:highlight w:val="none"/>
        </w:rPr>
        <w:t>份</w:t>
      </w:r>
      <w:r>
        <w:rPr>
          <w:rFonts w:ascii="仿宋" w:hAnsi="仿宋" w:eastAsia="仿宋" w:cs="仿宋"/>
          <w:color w:val="auto"/>
          <w:sz w:val="28"/>
          <w:szCs w:val="28"/>
          <w:highlight w:val="none"/>
        </w:rPr>
        <w:t>。</w:t>
      </w:r>
    </w:p>
    <w:p>
      <w:pPr>
        <w:shd w:val="clear"/>
        <w:spacing w:line="369" w:lineRule="exact"/>
        <w:ind w:left="561"/>
        <w:rPr>
          <w:rFonts w:ascii="仿宋" w:hAnsi="仿宋" w:eastAsia="仿宋" w:cs="仿宋"/>
          <w:color w:val="auto"/>
          <w:sz w:val="28"/>
          <w:szCs w:val="28"/>
          <w:highlight w:val="none"/>
        </w:rPr>
      </w:pPr>
      <w:r>
        <w:rPr>
          <w:rFonts w:ascii="仿宋" w:hAnsi="仿宋" w:eastAsia="仿宋" w:cs="仿宋"/>
          <w:color w:val="auto"/>
          <w:spacing w:val="-8"/>
          <w:position w:val="2"/>
          <w:sz w:val="28"/>
          <w:szCs w:val="28"/>
          <w:highlight w:val="none"/>
        </w:rPr>
        <w:t>2、</w:t>
      </w:r>
      <w:r>
        <w:rPr>
          <w:rFonts w:ascii="仿宋" w:hAnsi="仿宋" w:eastAsia="仿宋" w:cs="仿宋"/>
          <w:color w:val="auto"/>
          <w:spacing w:val="-5"/>
          <w:position w:val="2"/>
          <w:sz w:val="28"/>
          <w:szCs w:val="28"/>
          <w:highlight w:val="none"/>
        </w:rPr>
        <w:t>乙</w:t>
      </w:r>
      <w:r>
        <w:rPr>
          <w:rFonts w:ascii="仿宋" w:hAnsi="仿宋" w:eastAsia="仿宋" w:cs="仿宋"/>
          <w:color w:val="auto"/>
          <w:spacing w:val="-4"/>
          <w:position w:val="2"/>
          <w:sz w:val="28"/>
          <w:szCs w:val="28"/>
          <w:highlight w:val="none"/>
        </w:rPr>
        <w:t>方应对检测报告的完整性、准确性、真实性负责。</w:t>
      </w:r>
    </w:p>
    <w:p>
      <w:pPr>
        <w:shd w:val="clear"/>
        <w:spacing w:before="104" w:line="311" w:lineRule="auto"/>
        <w:ind w:right="2" w:firstLine="564"/>
        <w:rPr>
          <w:rFonts w:ascii="仿宋" w:hAnsi="仿宋" w:eastAsia="仿宋" w:cs="仿宋"/>
          <w:color w:val="auto"/>
          <w:spacing w:val="-1"/>
          <w:sz w:val="28"/>
          <w:szCs w:val="28"/>
          <w:highlight w:val="none"/>
        </w:rPr>
      </w:pPr>
      <w:r>
        <w:rPr>
          <w:rFonts w:ascii="仿宋" w:hAnsi="仿宋" w:eastAsia="仿宋" w:cs="仿宋"/>
          <w:color w:val="auto"/>
          <w:spacing w:val="-10"/>
          <w:sz w:val="28"/>
          <w:szCs w:val="28"/>
          <w:highlight w:val="none"/>
        </w:rPr>
        <w:t>3</w:t>
      </w:r>
      <w:r>
        <w:rPr>
          <w:rFonts w:ascii="仿宋" w:hAnsi="仿宋" w:eastAsia="仿宋" w:cs="仿宋"/>
          <w:color w:val="auto"/>
          <w:spacing w:val="-5"/>
          <w:sz w:val="28"/>
          <w:szCs w:val="28"/>
          <w:highlight w:val="none"/>
        </w:rPr>
        <w:t>、甲方按照《建筑消防设施检测技术规程》标准验收。检测报告出</w:t>
      </w:r>
      <w:r>
        <w:rPr>
          <w:rFonts w:ascii="仿宋" w:hAnsi="仿宋" w:eastAsia="仿宋" w:cs="仿宋"/>
          <w:color w:val="auto"/>
          <w:sz w:val="28"/>
          <w:szCs w:val="28"/>
          <w:highlight w:val="none"/>
        </w:rPr>
        <w:t xml:space="preserve"> </w:t>
      </w:r>
      <w:r>
        <w:rPr>
          <w:rFonts w:ascii="仿宋" w:hAnsi="仿宋" w:eastAsia="仿宋" w:cs="仿宋"/>
          <w:color w:val="auto"/>
          <w:spacing w:val="-5"/>
          <w:sz w:val="28"/>
          <w:szCs w:val="28"/>
          <w:highlight w:val="none"/>
        </w:rPr>
        <w:t>现重大瑕疵的，乙方应当进行修正或者重新提交检测报告</w:t>
      </w:r>
      <w:r>
        <w:rPr>
          <w:rFonts w:ascii="仿宋" w:hAnsi="仿宋" w:eastAsia="仿宋" w:cs="仿宋"/>
          <w:color w:val="auto"/>
          <w:spacing w:val="-1"/>
          <w:sz w:val="28"/>
          <w:szCs w:val="28"/>
          <w:highlight w:val="none"/>
        </w:rPr>
        <w:t>。</w:t>
      </w:r>
    </w:p>
    <w:p>
      <w:pPr>
        <w:shd w:val="clear"/>
        <w:spacing w:before="97" w:line="309" w:lineRule="auto"/>
        <w:ind w:left="3" w:firstLine="564"/>
        <w:rPr>
          <w:rFonts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4、甲方按照《建筑消防设施检测技术规程》标准验收。检测报告出现重大瑕疵的，乙方应当进行修正或者重新提交检测报告。</w:t>
      </w:r>
    </w:p>
    <w:p>
      <w:pPr>
        <w:shd w:val="clear"/>
        <w:spacing w:before="97" w:line="309" w:lineRule="auto"/>
        <w:ind w:left="3" w:firstLine="564"/>
        <w:rPr>
          <w:rFonts w:hint="eastAsia" w:ascii="仿宋" w:hAnsi="仿宋" w:eastAsia="仿宋" w:cs="仿宋"/>
          <w:color w:val="auto"/>
          <w:spacing w:val="-5"/>
          <w:sz w:val="28"/>
          <w:szCs w:val="28"/>
          <w:highlight w:val="none"/>
        </w:rPr>
      </w:pPr>
      <w:r>
        <w:rPr>
          <w:rFonts w:ascii="仿宋" w:hAnsi="仿宋" w:eastAsia="仿宋" w:cs="仿宋"/>
          <w:color w:val="auto"/>
          <w:spacing w:val="-5"/>
          <w:sz w:val="28"/>
          <w:szCs w:val="28"/>
          <w:highlight w:val="none"/>
        </w:rPr>
        <w:t>5</w:t>
      </w:r>
      <w:r>
        <w:rPr>
          <w:rFonts w:hint="eastAsia" w:ascii="仿宋" w:hAnsi="仿宋" w:eastAsia="仿宋" w:cs="仿宋"/>
          <w:color w:val="auto"/>
          <w:spacing w:val="-5"/>
          <w:sz w:val="28"/>
          <w:szCs w:val="28"/>
          <w:highlight w:val="none"/>
        </w:rPr>
        <w:t>、乙方在出具检测报告中，不允许一个检测报告中出现多个建筑物，只能体现出单个建筑物消防设施检测的完好有效情况。</w:t>
      </w:r>
    </w:p>
    <w:p>
      <w:pPr>
        <w:pStyle w:val="19"/>
        <w:shd w:val="clear"/>
        <w:rPr>
          <w:rFonts w:hint="eastAsia"/>
          <w:color w:val="auto"/>
          <w:highlight w:val="none"/>
        </w:rPr>
      </w:pPr>
    </w:p>
    <w:p>
      <w:pPr>
        <w:shd w:val="clear"/>
        <w:spacing w:before="1" w:line="231" w:lineRule="auto"/>
        <w:ind w:firstLine="540" w:firstLineChars="200"/>
        <w:rPr>
          <w:rFonts w:ascii="仿宋" w:hAnsi="仿宋" w:eastAsia="仿宋" w:cs="仿宋"/>
          <w:color w:val="auto"/>
          <w:spacing w:val="-9"/>
          <w:sz w:val="28"/>
          <w:szCs w:val="28"/>
          <w:highlight w:val="none"/>
        </w:rPr>
      </w:pPr>
      <w:r>
        <w:rPr>
          <w:rFonts w:ascii="仿宋" w:hAnsi="仿宋" w:eastAsia="仿宋" w:cs="仿宋"/>
          <w:color w:val="auto"/>
          <w:spacing w:val="-5"/>
          <w:sz w:val="28"/>
          <w:szCs w:val="28"/>
          <w:highlight w:val="none"/>
        </w:rPr>
        <w:t>六、乙方保证在检测过程中不得降低检测标准和服务水准，开展</w:t>
      </w:r>
      <w:r>
        <w:rPr>
          <w:rFonts w:ascii="仿宋" w:hAnsi="仿宋" w:eastAsia="仿宋" w:cs="仿宋"/>
          <w:color w:val="auto"/>
          <w:spacing w:val="-1"/>
          <w:sz w:val="28"/>
          <w:szCs w:val="28"/>
          <w:highlight w:val="none"/>
        </w:rPr>
        <w:t>检</w:t>
      </w:r>
      <w:r>
        <w:rPr>
          <w:rFonts w:ascii="仿宋" w:hAnsi="仿宋" w:eastAsia="仿宋" w:cs="仿宋"/>
          <w:color w:val="auto"/>
          <w:spacing w:val="-9"/>
          <w:sz w:val="28"/>
          <w:szCs w:val="28"/>
          <w:highlight w:val="none"/>
        </w:rPr>
        <w:t>测工作有完整的检测记录。乙方对甲方提出的有关检测结果的疑问，应当</w:t>
      </w:r>
      <w:r>
        <w:rPr>
          <w:rFonts w:hint="eastAsia" w:ascii="仿宋" w:hAnsi="仿宋" w:eastAsia="仿宋" w:cs="仿宋"/>
          <w:color w:val="auto"/>
          <w:spacing w:val="-9"/>
          <w:sz w:val="28"/>
          <w:szCs w:val="28"/>
          <w:highlight w:val="none"/>
        </w:rPr>
        <w:t xml:space="preserve">及时进行检测、复核和答复。 </w:t>
      </w:r>
    </w:p>
    <w:p>
      <w:pPr>
        <w:shd w:val="clear"/>
        <w:spacing w:before="97" w:line="309" w:lineRule="auto"/>
        <w:ind w:firstLine="524" w:firstLineChars="200"/>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 xml:space="preserve">七、如因乙方原因造成甲方消防设施故障后，乙方负责进行包工包料免费维修及更换。 </w:t>
      </w:r>
    </w:p>
    <w:p>
      <w:pPr>
        <w:shd w:val="clear"/>
        <w:spacing w:before="97" w:line="309" w:lineRule="auto"/>
        <w:ind w:firstLine="524" w:firstLineChars="200"/>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 xml:space="preserve">八、乙方应对本合同履行期间自身的安全问题负责，检测时应采取必要的安全保护措施。如在本合同履行过程中，发生乙方人员或任何第三方人员任何的人身危险和损害，甲方不承担任何责任，由乙方自行承担。 </w:t>
      </w:r>
    </w:p>
    <w:p>
      <w:pPr>
        <w:shd w:val="clear"/>
        <w:spacing w:before="97" w:line="309" w:lineRule="auto"/>
        <w:ind w:left="3" w:firstLine="564"/>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 xml:space="preserve">九、通过建筑消防设施检测信息管理系统出具真实、规范的检测报告。检测报告须经检测人员、技术负责人签署，并加盖检测专用章后方可生效。见证检测的检测报告中应当注明见证人单位及姓名。 </w:t>
      </w:r>
    </w:p>
    <w:p>
      <w:pPr>
        <w:shd w:val="clear"/>
        <w:spacing w:before="97" w:line="309" w:lineRule="auto"/>
        <w:ind w:firstLine="524" w:firstLineChars="200"/>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 xml:space="preserve">十、根据甲方的具体情况，拟定具体的检测方案，明确项目负责人，至少指定 2 名以上执业人员负责实施。执业人员检测时应当认真如实填写检测记录。 </w:t>
      </w:r>
    </w:p>
    <w:p>
      <w:pPr>
        <w:shd w:val="clear"/>
        <w:spacing w:before="97" w:line="309" w:lineRule="auto"/>
        <w:ind w:left="3" w:firstLine="564"/>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 xml:space="preserve">十一、不得转包、分包消防设施检测技术服务项目。 </w:t>
      </w:r>
    </w:p>
    <w:p>
      <w:pPr>
        <w:shd w:val="clear"/>
        <w:spacing w:before="97" w:line="309" w:lineRule="auto"/>
        <w:ind w:left="3" w:firstLine="564"/>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 xml:space="preserve">第五条 违约责任 </w:t>
      </w:r>
    </w:p>
    <w:p>
      <w:pPr>
        <w:shd w:val="clear"/>
        <w:spacing w:before="97" w:line="309" w:lineRule="auto"/>
        <w:ind w:firstLine="524" w:firstLineChars="200"/>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 xml:space="preserve">1、甲方逾期支付检测费用的，按中国人民银行同期存款利率支付逾期付款违约金。 </w:t>
      </w:r>
    </w:p>
    <w:p>
      <w:pPr>
        <w:shd w:val="clear"/>
        <w:spacing w:before="97" w:line="309" w:lineRule="auto"/>
        <w:ind w:firstLine="524" w:firstLineChars="200"/>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 xml:space="preserve">2、乙方出具的检测报告应当科学、客观、公正且符合法律要求，否则应承担相应的法律责任，若乙方提供的检测报告不符合上述要求或检测 结论存有误判，造成甲方损失的应负损害赔偿责任，并向甲方支付合同总额 20%的违约金，上述违约金不足以弥补甲方损失的，以甲方实际损失为准。 </w:t>
      </w:r>
    </w:p>
    <w:p>
      <w:pPr>
        <w:shd w:val="clear"/>
        <w:spacing w:before="97" w:line="309" w:lineRule="auto"/>
        <w:ind w:firstLine="524" w:firstLineChars="200"/>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 xml:space="preserve">3、乙方未按照合同约定的工期进场检测的，每逾期一天应向甲方支付合同总价 1%的违约金，逾期超过十天（含十天）以上的，甲方有权解除合同并拒绝支付任何款项。 </w:t>
      </w:r>
    </w:p>
    <w:p>
      <w:pPr>
        <w:shd w:val="clear"/>
        <w:spacing w:before="97" w:line="309" w:lineRule="auto"/>
        <w:ind w:firstLine="524" w:firstLineChars="200"/>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 xml:space="preserve">4、乙方因非甲方原因而未能按期向甲方交付《检测报告》的,甲方有权拒付检测费用，乙方每逾期一天向甲方支付检测费用 1 %的违约金；逾期超过十天（含十天）以上的，甲方有权解除合同并追究乙方的违约责任，给甲方造成损失的，应赔偿甲方的实际损失。 </w:t>
      </w:r>
    </w:p>
    <w:p>
      <w:pPr>
        <w:shd w:val="clear"/>
        <w:spacing w:before="97" w:line="309" w:lineRule="auto"/>
        <w:ind w:firstLine="524" w:firstLineChars="200"/>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 xml:space="preserve">5、乙方不按合同约定履行义务，在检测中弄虚作假或严重不负责任的，或转包、分包消防设施检测技术服务项目的，甲方有权解除合同并追究乙方的违约责任，甲方解除合同的，乙方应支付合同总价款 20%的违约金。 </w:t>
      </w:r>
    </w:p>
    <w:p>
      <w:pPr>
        <w:shd w:val="clear"/>
        <w:spacing w:before="97" w:line="309" w:lineRule="auto"/>
        <w:ind w:firstLine="524" w:firstLineChars="200"/>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 xml:space="preserve">6、乙方未能依照技术标准和执业准则，导致检测质量问题的，应承 担相应的法律责任。 </w:t>
      </w:r>
    </w:p>
    <w:p>
      <w:pPr>
        <w:shd w:val="clear"/>
        <w:spacing w:before="97" w:line="309" w:lineRule="auto"/>
        <w:ind w:firstLine="524" w:firstLineChars="200"/>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 xml:space="preserve">第六条 增补内容（添加条款时填写） </w:t>
      </w:r>
    </w:p>
    <w:p>
      <w:pPr>
        <w:shd w:val="clear"/>
        <w:spacing w:before="97" w:line="309" w:lineRule="auto"/>
        <w:ind w:left="3" w:firstLine="564"/>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 xml:space="preserve">1、支付费用时乙方需向甲方开具等额增值税专用发票； </w:t>
      </w:r>
    </w:p>
    <w:p>
      <w:pPr>
        <w:shd w:val="clear"/>
        <w:spacing w:before="97" w:line="309" w:lineRule="auto"/>
        <w:ind w:firstLine="524" w:firstLineChars="200"/>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 xml:space="preserve">2、如果因乙方检测工作疏漏导致消防主管部门开具罚单，由乙方承担相应责任。 </w:t>
      </w:r>
    </w:p>
    <w:p>
      <w:pPr>
        <w:shd w:val="clear"/>
        <w:spacing w:before="97" w:line="309" w:lineRule="auto"/>
        <w:ind w:left="3" w:firstLine="564"/>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3、如因乙方原因造成甲方消防设施故障后，乙方负责进行包工包料费维修及更换。</w:t>
      </w:r>
    </w:p>
    <w:p>
      <w:pPr>
        <w:shd w:val="clear"/>
        <w:spacing w:before="97" w:line="309" w:lineRule="auto"/>
        <w:ind w:left="3" w:firstLine="564"/>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4、乙方必须具有国家相关部门颁发的消防设施检测资质并经过消防主管部门认可，负责检测的人员应当具有国家颁发的执业资格。检测人数必须达到规范标准要求，检测用的仪器、仪表等，应按国家现行有关规定计量检测合格。如因乙方原因造成甲方消防设施故障，乙方负责进行包工包料免费维修及更换。</w:t>
      </w:r>
    </w:p>
    <w:p>
      <w:pPr>
        <w:shd w:val="clear"/>
        <w:spacing w:before="97" w:line="309" w:lineRule="auto"/>
        <w:ind w:left="3" w:firstLine="564"/>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5、乙方对甲方的消防系统进行年度检测，检测程序及检测结果符合国家相关建筑消防设施检测标准。在检测过程中不得降低检测标准和服务水准，开展检测工作有完整的原始检测记录。</w:t>
      </w:r>
    </w:p>
    <w:p>
      <w:pPr>
        <w:shd w:val="clear"/>
        <w:spacing w:before="97" w:line="309" w:lineRule="auto"/>
        <w:ind w:left="3" w:firstLine="564"/>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6、按照甲方要求的检测时间对消防系统进行检测，做好初检、复检及提供符合要求的检测报告等相关工作。</w:t>
      </w:r>
    </w:p>
    <w:p>
      <w:pPr>
        <w:shd w:val="clear"/>
        <w:spacing w:before="97" w:line="309" w:lineRule="auto"/>
        <w:ind w:left="3" w:firstLine="564"/>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7、及时提交在检测工作中发现的问题并协助甲方进行整改。</w:t>
      </w:r>
    </w:p>
    <w:p>
      <w:pPr>
        <w:shd w:val="clear"/>
        <w:spacing w:before="97" w:line="309" w:lineRule="auto"/>
        <w:ind w:left="3" w:firstLine="564"/>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8、乙方对甲方消防设备设施的系统功能、运行状态，安装施工质量、设备质量数量等是否符合国家消防标准规范进行全面检测，根据相关消防检测规程，本着客观，公正、科学的原则进行检测，检测完毕应当如实出具检测报告，作为甲方改进消防系统的依据。</w:t>
      </w:r>
    </w:p>
    <w:p>
      <w:pPr>
        <w:shd w:val="clear"/>
        <w:spacing w:before="97" w:line="309" w:lineRule="auto"/>
        <w:ind w:left="3" w:firstLine="564"/>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9、乙方完成检测工作，向甲方正式提交有效的《检测报告》并经甲方验收合格，甲方按程序</w:t>
      </w:r>
      <w:r>
        <w:rPr>
          <w:rFonts w:hint="eastAsia" w:ascii="仿宋" w:hAnsi="仿宋" w:eastAsia="仿宋" w:cs="仿宋"/>
          <w:color w:val="auto"/>
          <w:spacing w:val="-9"/>
          <w:sz w:val="28"/>
          <w:szCs w:val="28"/>
          <w:highlight w:val="none"/>
          <w:lang w:eastAsia="zh-CN"/>
        </w:rPr>
        <w:t>进行</w:t>
      </w:r>
      <w:r>
        <w:rPr>
          <w:rFonts w:hint="eastAsia" w:ascii="仿宋" w:hAnsi="仿宋" w:eastAsia="仿宋" w:cs="仿宋"/>
          <w:color w:val="auto"/>
          <w:spacing w:val="-9"/>
          <w:sz w:val="28"/>
          <w:szCs w:val="28"/>
          <w:highlight w:val="none"/>
        </w:rPr>
        <w:t>付款。</w:t>
      </w:r>
    </w:p>
    <w:p>
      <w:pPr>
        <w:shd w:val="clear"/>
        <w:spacing w:before="97" w:line="309" w:lineRule="auto"/>
        <w:ind w:left="3" w:firstLine="564"/>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10、乙方人应对履行合同期间人员的自身安全问题负责，检测时应采取必要的安全保护措施。在合同履行过程中，发生乙方任何的人身危险和损害，甲方不承担任何责任，由乙方自行承担。</w:t>
      </w:r>
    </w:p>
    <w:p>
      <w:pPr>
        <w:shd w:val="clear"/>
        <w:spacing w:before="97" w:line="309" w:lineRule="auto"/>
        <w:ind w:left="3" w:firstLine="564"/>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11、检测范围：外科楼、综合楼、放疗楼、教学综合楼、食堂、高层住宅楼</w:t>
      </w:r>
      <w:r>
        <w:rPr>
          <w:rFonts w:hint="eastAsia" w:ascii="仿宋" w:hAnsi="仿宋" w:eastAsia="仿宋" w:cs="仿宋"/>
          <w:color w:val="auto"/>
          <w:spacing w:val="-9"/>
          <w:sz w:val="28"/>
          <w:szCs w:val="28"/>
          <w:highlight w:val="none"/>
          <w:lang w:eastAsia="zh-CN"/>
        </w:rPr>
        <w:t>、锅炉房</w:t>
      </w:r>
      <w:r>
        <w:rPr>
          <w:rFonts w:hint="eastAsia" w:ascii="仿宋" w:hAnsi="仿宋" w:eastAsia="仿宋" w:cs="仿宋"/>
          <w:color w:val="auto"/>
          <w:spacing w:val="-9"/>
          <w:sz w:val="28"/>
          <w:szCs w:val="28"/>
          <w:highlight w:val="none"/>
        </w:rPr>
        <w:t>、门诊综合楼</w:t>
      </w:r>
      <w:r>
        <w:rPr>
          <w:rFonts w:hint="eastAsia" w:ascii="仿宋" w:hAnsi="仿宋" w:eastAsia="仿宋" w:cs="仿宋"/>
          <w:color w:val="auto"/>
          <w:spacing w:val="-9"/>
          <w:sz w:val="28"/>
          <w:szCs w:val="28"/>
          <w:highlight w:val="none"/>
          <w:lang w:eastAsia="zh-CN"/>
        </w:rPr>
        <w:t>、核医学楼</w:t>
      </w:r>
      <w:r>
        <w:rPr>
          <w:rFonts w:hint="eastAsia" w:ascii="仿宋" w:hAnsi="仿宋" w:eastAsia="仿宋" w:cs="仿宋"/>
          <w:color w:val="auto"/>
          <w:spacing w:val="-9"/>
          <w:sz w:val="28"/>
          <w:szCs w:val="28"/>
          <w:highlight w:val="none"/>
        </w:rPr>
        <w:t>。</w:t>
      </w:r>
    </w:p>
    <w:p>
      <w:pPr>
        <w:pStyle w:val="19"/>
        <w:shd w:val="clear"/>
        <w:rPr>
          <w:color w:val="auto"/>
          <w:highlight w:val="none"/>
        </w:rPr>
      </w:pPr>
      <w:r>
        <w:rPr>
          <w:rFonts w:hint="eastAsia" w:ascii="仿宋" w:hAnsi="仿宋" w:eastAsia="仿宋" w:cs="仿宋"/>
          <w:color w:val="auto"/>
          <w:spacing w:val="-9"/>
          <w:sz w:val="28"/>
          <w:szCs w:val="28"/>
          <w:highlight w:val="none"/>
        </w:rPr>
        <w:t xml:space="preserve">    12、</w:t>
      </w:r>
      <w:r>
        <w:rPr>
          <w:rFonts w:hint="eastAsia" w:ascii="仿宋" w:hAnsi="仿宋" w:eastAsia="仿宋" w:cs="仿宋"/>
          <w:color w:val="auto"/>
          <w:sz w:val="28"/>
          <w:szCs w:val="28"/>
          <w:highlight w:val="none"/>
          <w:lang w:bidi="ar"/>
        </w:rPr>
        <w:t>与本合同有关的招标文件、投标文件、答疑附件、合同附件等是本合同不可分割的组成部分，与本合同具有同等法律效力。</w:t>
      </w:r>
    </w:p>
    <w:p>
      <w:pPr>
        <w:shd w:val="clear"/>
        <w:spacing w:before="97" w:line="309" w:lineRule="auto"/>
        <w:ind w:left="3" w:firstLine="564"/>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 xml:space="preserve">第七条合同的生效与解除 </w:t>
      </w:r>
    </w:p>
    <w:p>
      <w:pPr>
        <w:shd w:val="clear"/>
        <w:spacing w:before="97" w:line="309" w:lineRule="auto"/>
        <w:ind w:firstLine="524" w:firstLineChars="200"/>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 xml:space="preserve">1、本合同正本一式捌份，甲方执陆份，乙方执贰份，具有同等法律效力。 </w:t>
      </w:r>
    </w:p>
    <w:p>
      <w:pPr>
        <w:shd w:val="clear"/>
        <w:spacing w:before="97" w:line="309" w:lineRule="auto"/>
        <w:ind w:left="3" w:firstLine="564"/>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 xml:space="preserve">2、本合同未尽事宜双方协商解决，并以书面形式签订补充协议，补 充协议作为本合同的附件，与本合同具有同等效力。 </w:t>
      </w:r>
    </w:p>
    <w:p>
      <w:pPr>
        <w:shd w:val="clear"/>
        <w:spacing w:before="97" w:line="309" w:lineRule="auto"/>
        <w:ind w:left="3" w:firstLine="564"/>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 xml:space="preserve">3、本合同自甲乙双方法定代表人或授权代表签字（盖章）并加盖公章后生效，检测服务结束及合同义务履行完毕自行终止。 </w:t>
      </w:r>
    </w:p>
    <w:p>
      <w:pPr>
        <w:shd w:val="clear"/>
        <w:spacing w:before="97" w:line="309" w:lineRule="auto"/>
        <w:ind w:left="3" w:firstLine="564"/>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第八条 争议解决</w:t>
      </w:r>
    </w:p>
    <w:p>
      <w:pPr>
        <w:shd w:val="clear"/>
        <w:spacing w:before="97" w:line="309" w:lineRule="auto"/>
        <w:ind w:left="3" w:firstLine="564"/>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 xml:space="preserve">甲乙双方在履行合同过程中发生的争执，可以协商解决，或向工商部门、消费者协会申请协调解决；或按下列第 2 种方式解决： </w:t>
      </w:r>
    </w:p>
    <w:p>
      <w:pPr>
        <w:shd w:val="clear"/>
        <w:spacing w:before="97" w:line="309" w:lineRule="auto"/>
        <w:ind w:left="3" w:firstLine="564"/>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一、向</w:t>
      </w:r>
      <w:r>
        <w:rPr>
          <w:rFonts w:hint="eastAsia" w:ascii="仿宋" w:hAnsi="仿宋" w:eastAsia="仿宋" w:cs="仿宋"/>
          <w:color w:val="auto"/>
          <w:spacing w:val="-9"/>
          <w:sz w:val="28"/>
          <w:szCs w:val="28"/>
          <w:highlight w:val="none"/>
          <w:u w:val="single"/>
        </w:rPr>
        <w:t xml:space="preserve"> /</w:t>
      </w:r>
      <w:r>
        <w:rPr>
          <w:rFonts w:hint="eastAsia" w:ascii="仿宋" w:hAnsi="仿宋" w:eastAsia="仿宋" w:cs="仿宋"/>
          <w:color w:val="auto"/>
          <w:spacing w:val="-9"/>
          <w:sz w:val="28"/>
          <w:szCs w:val="28"/>
          <w:highlight w:val="none"/>
        </w:rPr>
        <w:t xml:space="preserve"> 仲裁委员会仲裁； </w:t>
      </w:r>
    </w:p>
    <w:p>
      <w:pPr>
        <w:shd w:val="clear"/>
        <w:spacing w:before="97" w:line="309" w:lineRule="auto"/>
        <w:ind w:left="3" w:firstLine="564"/>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 xml:space="preserve">二、向甲方所在地的人民法院提起诉讼。 </w:t>
      </w:r>
    </w:p>
    <w:p>
      <w:pPr>
        <w:shd w:val="clear"/>
        <w:spacing w:before="97" w:line="309" w:lineRule="auto"/>
        <w:ind w:left="3" w:firstLine="564"/>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 xml:space="preserve">第九条 合同附件 </w:t>
      </w:r>
    </w:p>
    <w:p>
      <w:pPr>
        <w:shd w:val="clear"/>
        <w:spacing w:before="97" w:line="309" w:lineRule="auto"/>
        <w:ind w:left="3" w:firstLine="564"/>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 xml:space="preserve">本合同的附件包括： 无 </w:t>
      </w:r>
    </w:p>
    <w:p>
      <w:pPr>
        <w:shd w:val="clear"/>
        <w:spacing w:before="97" w:line="309" w:lineRule="auto"/>
        <w:ind w:left="3" w:firstLine="564"/>
        <w:rPr>
          <w:rFonts w:ascii="仿宋" w:hAnsi="仿宋" w:eastAsia="仿宋" w:cs="仿宋"/>
          <w:color w:val="auto"/>
          <w:spacing w:val="-9"/>
          <w:sz w:val="28"/>
          <w:szCs w:val="28"/>
          <w:highlight w:val="none"/>
        </w:rPr>
      </w:pPr>
      <w:r>
        <w:rPr>
          <w:rFonts w:hint="eastAsia" w:ascii="仿宋" w:hAnsi="仿宋" w:eastAsia="仿宋" w:cs="仿宋"/>
          <w:color w:val="auto"/>
          <w:spacing w:val="-9"/>
          <w:sz w:val="28"/>
          <w:szCs w:val="28"/>
          <w:highlight w:val="none"/>
        </w:rPr>
        <w:t>（以下无正文，为合同签署页）</w:t>
      </w:r>
    </w:p>
    <w:p>
      <w:pPr>
        <w:shd w:val="clear"/>
        <w:spacing w:before="97" w:line="309" w:lineRule="auto"/>
        <w:ind w:left="3" w:firstLine="564"/>
        <w:rPr>
          <w:rFonts w:ascii="仿宋" w:hAnsi="仿宋" w:eastAsia="仿宋" w:cs="仿宋"/>
          <w:color w:val="auto"/>
          <w:spacing w:val="-9"/>
          <w:sz w:val="28"/>
          <w:szCs w:val="28"/>
          <w:highlight w:val="none"/>
        </w:rPr>
      </w:pPr>
    </w:p>
    <w:p>
      <w:pPr>
        <w:shd w:val="clear"/>
        <w:spacing w:before="56" w:line="560" w:lineRule="exact"/>
        <w:rPr>
          <w:rFonts w:ascii="仿宋" w:hAnsi="仿宋" w:eastAsia="仿宋" w:cs="仿宋"/>
          <w:color w:val="auto"/>
          <w:spacing w:val="-6"/>
          <w:position w:val="20"/>
          <w:sz w:val="28"/>
          <w:szCs w:val="28"/>
          <w:highlight w:val="none"/>
        </w:rPr>
      </w:pPr>
      <w:r>
        <w:rPr>
          <w:rFonts w:ascii="仿宋" w:hAnsi="仿宋" w:eastAsia="仿宋" w:cs="仿宋"/>
          <w:color w:val="auto"/>
          <w:spacing w:val="-6"/>
          <w:position w:val="20"/>
          <w:sz w:val="28"/>
          <w:szCs w:val="28"/>
          <w:highlight w:val="none"/>
        </w:rPr>
        <w:t>甲方:（加盖印章）</w:t>
      </w:r>
      <w:r>
        <w:rPr>
          <w:rFonts w:hint="eastAsia" w:ascii="仿宋" w:hAnsi="仿宋" w:eastAsia="仿宋" w:cs="仿宋"/>
          <w:color w:val="auto"/>
          <w:spacing w:val="-6"/>
          <w:position w:val="20"/>
          <w:sz w:val="28"/>
          <w:szCs w:val="28"/>
          <w:highlight w:val="none"/>
        </w:rPr>
        <w:t xml:space="preserve">                    乙方：</w:t>
      </w:r>
      <w:r>
        <w:rPr>
          <w:rFonts w:ascii="仿宋" w:hAnsi="仿宋" w:eastAsia="仿宋" w:cs="仿宋"/>
          <w:color w:val="auto"/>
          <w:spacing w:val="-6"/>
          <w:position w:val="20"/>
          <w:sz w:val="28"/>
          <w:szCs w:val="28"/>
          <w:highlight w:val="none"/>
        </w:rPr>
        <w:t>（加盖印章）</w:t>
      </w:r>
      <w:r>
        <w:rPr>
          <w:rFonts w:hint="eastAsia" w:ascii="仿宋" w:hAnsi="仿宋" w:eastAsia="仿宋" w:cs="仿宋"/>
          <w:color w:val="auto"/>
          <w:spacing w:val="-6"/>
          <w:position w:val="20"/>
          <w:sz w:val="28"/>
          <w:szCs w:val="28"/>
          <w:highlight w:val="none"/>
        </w:rPr>
        <w:t xml:space="preserve"> </w:t>
      </w:r>
    </w:p>
    <w:p>
      <w:pPr>
        <w:shd w:val="clear"/>
        <w:spacing w:before="56" w:line="560" w:lineRule="exact"/>
        <w:rPr>
          <w:rFonts w:ascii="仿宋" w:hAnsi="仿宋" w:eastAsia="仿宋" w:cs="仿宋"/>
          <w:color w:val="auto"/>
          <w:sz w:val="28"/>
          <w:szCs w:val="28"/>
          <w:highlight w:val="none"/>
        </w:rPr>
      </w:pPr>
      <w:r>
        <w:rPr>
          <w:rFonts w:hint="eastAsia" w:ascii="仿宋" w:hAnsi="仿宋" w:eastAsia="仿宋" w:cs="仿宋"/>
          <w:color w:val="auto"/>
          <w:spacing w:val="-6"/>
          <w:position w:val="20"/>
          <w:sz w:val="28"/>
          <w:szCs w:val="28"/>
          <w:highlight w:val="none"/>
        </w:rPr>
        <w:t xml:space="preserve">新疆医科大学附属肿瘤医院              </w:t>
      </w:r>
    </w:p>
    <w:p>
      <w:pPr>
        <w:shd w:val="clear"/>
        <w:spacing w:before="1" w:line="204" w:lineRule="auto"/>
        <w:rPr>
          <w:rFonts w:hint="eastAsia" w:ascii="仿宋" w:hAnsi="仿宋" w:eastAsia="仿宋" w:cs="仿宋"/>
          <w:color w:val="auto"/>
          <w:spacing w:val="-16"/>
          <w:sz w:val="28"/>
          <w:szCs w:val="28"/>
          <w:highlight w:val="none"/>
        </w:rPr>
      </w:pPr>
      <w:r>
        <w:rPr>
          <w:rFonts w:hint="eastAsia" w:ascii="仿宋" w:hAnsi="仿宋" w:eastAsia="仿宋" w:cs="仿宋"/>
          <w:color w:val="auto"/>
          <w:spacing w:val="-16"/>
          <w:sz w:val="28"/>
          <w:szCs w:val="28"/>
          <w:highlight w:val="none"/>
        </w:rPr>
        <w:t>法定</w:t>
      </w:r>
      <w:r>
        <w:rPr>
          <w:rFonts w:ascii="仿宋" w:hAnsi="仿宋" w:eastAsia="仿宋" w:cs="仿宋"/>
          <w:color w:val="auto"/>
          <w:spacing w:val="-16"/>
          <w:sz w:val="28"/>
          <w:szCs w:val="28"/>
          <w:highlight w:val="none"/>
        </w:rPr>
        <w:t>代表</w:t>
      </w:r>
      <w:r>
        <w:rPr>
          <w:rFonts w:hint="eastAsia" w:ascii="仿宋" w:hAnsi="仿宋" w:eastAsia="仿宋" w:cs="仿宋"/>
          <w:color w:val="auto"/>
          <w:spacing w:val="-16"/>
          <w:sz w:val="28"/>
          <w:szCs w:val="28"/>
          <w:highlight w:val="none"/>
        </w:rPr>
        <w:t xml:space="preserve">人或                            </w:t>
      </w:r>
      <w:r>
        <w:rPr>
          <w:rFonts w:hint="eastAsia" w:ascii="仿宋" w:hAnsi="仿宋" w:eastAsia="仿宋" w:cs="仿宋"/>
          <w:color w:val="auto"/>
          <w:spacing w:val="-16"/>
          <w:sz w:val="28"/>
          <w:szCs w:val="28"/>
          <w:highlight w:val="none"/>
          <w:lang w:val="en-US" w:eastAsia="zh-CN"/>
        </w:rPr>
        <w:t xml:space="preserve"> </w:t>
      </w:r>
      <w:r>
        <w:rPr>
          <w:rFonts w:hint="eastAsia" w:ascii="仿宋" w:hAnsi="仿宋" w:eastAsia="仿宋" w:cs="仿宋"/>
          <w:color w:val="auto"/>
          <w:spacing w:val="-16"/>
          <w:sz w:val="28"/>
          <w:szCs w:val="28"/>
          <w:highlight w:val="none"/>
        </w:rPr>
        <w:t>法定代表人或</w:t>
      </w:r>
    </w:p>
    <w:p>
      <w:pPr>
        <w:shd w:val="clear"/>
        <w:spacing w:before="250" w:line="560" w:lineRule="exact"/>
        <w:rPr>
          <w:rFonts w:hint="eastAsia" w:ascii="仿宋" w:hAnsi="仿宋" w:eastAsia="仿宋" w:cs="仿宋"/>
          <w:color w:val="auto"/>
          <w:spacing w:val="-16"/>
          <w:position w:val="20"/>
          <w:sz w:val="28"/>
          <w:szCs w:val="28"/>
          <w:highlight w:val="none"/>
        </w:rPr>
      </w:pPr>
      <w:r>
        <w:rPr>
          <w:rFonts w:hint="eastAsia" w:ascii="仿宋" w:hAnsi="仿宋" w:eastAsia="仿宋" w:cs="仿宋"/>
          <w:color w:val="auto"/>
          <w:spacing w:val="-16"/>
          <w:position w:val="20"/>
          <w:sz w:val="28"/>
          <w:szCs w:val="28"/>
          <w:highlight w:val="none"/>
        </w:rPr>
        <w:t xml:space="preserve">授权代表人：                            </w:t>
      </w:r>
      <w:r>
        <w:rPr>
          <w:rFonts w:hint="eastAsia" w:ascii="仿宋" w:hAnsi="仿宋" w:eastAsia="仿宋" w:cs="仿宋"/>
          <w:color w:val="auto"/>
          <w:spacing w:val="-16"/>
          <w:position w:val="20"/>
          <w:sz w:val="28"/>
          <w:szCs w:val="28"/>
          <w:highlight w:val="none"/>
          <w:lang w:val="en-US" w:eastAsia="zh-CN"/>
        </w:rPr>
        <w:t xml:space="preserve"> </w:t>
      </w:r>
      <w:r>
        <w:rPr>
          <w:rFonts w:hint="eastAsia" w:ascii="仿宋" w:hAnsi="仿宋" w:eastAsia="仿宋" w:cs="仿宋"/>
          <w:color w:val="auto"/>
          <w:spacing w:val="-16"/>
          <w:position w:val="20"/>
          <w:sz w:val="28"/>
          <w:szCs w:val="28"/>
          <w:highlight w:val="none"/>
        </w:rPr>
        <w:t>授权代表人</w:t>
      </w:r>
      <w:r>
        <w:rPr>
          <w:rFonts w:ascii="仿宋" w:hAnsi="仿宋" w:eastAsia="仿宋" w:cs="仿宋"/>
          <w:color w:val="auto"/>
          <w:spacing w:val="-16"/>
          <w:position w:val="20"/>
          <w:sz w:val="28"/>
          <w:szCs w:val="28"/>
          <w:highlight w:val="none"/>
        </w:rPr>
        <w:t>：</w:t>
      </w:r>
    </w:p>
    <w:p>
      <w:pPr>
        <w:shd w:val="clear"/>
        <w:spacing w:before="1" w:line="204" w:lineRule="auto"/>
        <w:rPr>
          <w:rFonts w:ascii="仿宋" w:hAnsi="仿宋" w:eastAsia="仿宋" w:cs="仿宋"/>
          <w:color w:val="auto"/>
          <w:spacing w:val="-27"/>
          <w:sz w:val="28"/>
          <w:szCs w:val="28"/>
          <w:highlight w:val="none"/>
        </w:rPr>
      </w:pPr>
      <w:r>
        <w:rPr>
          <w:rFonts w:hint="eastAsia" w:ascii="仿宋" w:hAnsi="仿宋" w:eastAsia="仿宋" w:cs="仿宋"/>
          <w:color w:val="auto"/>
          <w:spacing w:val="-17"/>
          <w:sz w:val="28"/>
          <w:szCs w:val="28"/>
          <w:highlight w:val="none"/>
        </w:rPr>
        <w:t>电话</w:t>
      </w:r>
      <w:r>
        <w:rPr>
          <w:rFonts w:ascii="仿宋" w:hAnsi="仿宋" w:eastAsia="仿宋" w:cs="仿宋"/>
          <w:color w:val="auto"/>
          <w:spacing w:val="-17"/>
          <w:sz w:val="28"/>
          <w:szCs w:val="28"/>
          <w:highlight w:val="none"/>
        </w:rPr>
        <w:t>：</w:t>
      </w:r>
      <w:r>
        <w:rPr>
          <w:rFonts w:hint="eastAsia" w:ascii="仿宋" w:hAnsi="仿宋" w:eastAsia="仿宋" w:cs="仿宋"/>
          <w:color w:val="auto"/>
          <w:spacing w:val="-17"/>
          <w:sz w:val="28"/>
          <w:szCs w:val="28"/>
          <w:highlight w:val="none"/>
        </w:rPr>
        <w:t xml:space="preserve">                                   </w:t>
      </w:r>
      <w:r>
        <w:rPr>
          <w:rFonts w:hint="eastAsia" w:ascii="仿宋" w:hAnsi="仿宋" w:eastAsia="仿宋" w:cs="仿宋"/>
          <w:color w:val="auto"/>
          <w:spacing w:val="-17"/>
          <w:sz w:val="28"/>
          <w:szCs w:val="28"/>
          <w:highlight w:val="none"/>
          <w:lang w:val="en-US" w:eastAsia="zh-CN"/>
        </w:rPr>
        <w:t xml:space="preserve">  </w:t>
      </w:r>
      <w:r>
        <w:rPr>
          <w:rFonts w:ascii="仿宋" w:hAnsi="仿宋" w:eastAsia="仿宋" w:cs="仿宋"/>
          <w:color w:val="auto"/>
          <w:spacing w:val="-27"/>
          <w:sz w:val="28"/>
          <w:szCs w:val="28"/>
          <w:highlight w:val="none"/>
        </w:rPr>
        <w:t>电话：</w:t>
      </w:r>
    </w:p>
    <w:p>
      <w:pPr>
        <w:pStyle w:val="19"/>
        <w:shd w:val="clear"/>
        <w:rPr>
          <w:color w:val="auto"/>
          <w:highlight w:val="none"/>
        </w:rPr>
      </w:pPr>
    </w:p>
    <w:p>
      <w:pPr>
        <w:shd w:val="clear"/>
        <w:rPr>
          <w:color w:val="auto"/>
          <w:highlight w:val="none"/>
        </w:rPr>
      </w:pPr>
      <w:r>
        <w:rPr>
          <w:rFonts w:ascii="仿宋" w:hAnsi="仿宋" w:eastAsia="仿宋" w:cs="仿宋"/>
          <w:color w:val="auto"/>
          <w:spacing w:val="-19"/>
          <w:sz w:val="28"/>
          <w:szCs w:val="28"/>
          <w:highlight w:val="none"/>
        </w:rPr>
        <w:t>地址：</w:t>
      </w:r>
      <w:r>
        <w:rPr>
          <w:rFonts w:hint="eastAsia" w:ascii="仿宋" w:hAnsi="仿宋" w:eastAsia="仿宋" w:cs="仿宋"/>
          <w:color w:val="auto"/>
          <w:spacing w:val="-19"/>
          <w:sz w:val="28"/>
          <w:szCs w:val="28"/>
          <w:highlight w:val="none"/>
        </w:rPr>
        <w:t>乌市苏州东街789号                  地址：</w:t>
      </w:r>
    </w:p>
    <w:p>
      <w:pPr>
        <w:pStyle w:val="19"/>
        <w:shd w:val="clear"/>
        <w:rPr>
          <w:rFonts w:hint="eastAsia"/>
          <w:color w:val="auto"/>
          <w:highlight w:val="none"/>
        </w:rPr>
      </w:pPr>
    </w:p>
    <w:p>
      <w:pPr>
        <w:shd w:val="clear"/>
        <w:ind w:left="6288" w:hanging="5856" w:hangingChars="2400"/>
        <w:rPr>
          <w:rFonts w:ascii="仿宋" w:hAnsi="仿宋" w:eastAsia="仿宋" w:cs="仿宋"/>
          <w:color w:val="auto"/>
          <w:sz w:val="20"/>
          <w:szCs w:val="20"/>
          <w:highlight w:val="none"/>
          <w:lang w:bidi="ar"/>
        </w:rPr>
      </w:pPr>
      <w:r>
        <w:rPr>
          <w:rFonts w:ascii="仿宋" w:hAnsi="仿宋" w:eastAsia="仿宋" w:cs="仿宋"/>
          <w:color w:val="auto"/>
          <w:spacing w:val="-18"/>
          <w:sz w:val="28"/>
          <w:szCs w:val="28"/>
          <w:highlight w:val="none"/>
        </w:rPr>
        <w:t>开户行：</w:t>
      </w:r>
      <w:r>
        <w:rPr>
          <w:rFonts w:ascii="仿宋" w:hAnsi="仿宋" w:eastAsia="仿宋" w:cs="仿宋"/>
          <w:color w:val="auto"/>
          <w:sz w:val="20"/>
          <w:szCs w:val="20"/>
          <w:highlight w:val="none"/>
          <w:lang w:bidi="ar"/>
        </w:rPr>
        <w:t>中国农业银行股份有限公司</w:t>
      </w:r>
      <w:r>
        <w:rPr>
          <w:rFonts w:hint="eastAsia" w:ascii="仿宋" w:hAnsi="仿宋" w:eastAsia="仿宋" w:cs="仿宋"/>
          <w:color w:val="auto"/>
          <w:sz w:val="20"/>
          <w:szCs w:val="20"/>
          <w:highlight w:val="none"/>
          <w:lang w:bidi="ar"/>
        </w:rPr>
        <w:t xml:space="preserve">         </w:t>
      </w:r>
      <w:r>
        <w:rPr>
          <w:rFonts w:hint="eastAsia" w:ascii="仿宋" w:hAnsi="仿宋" w:eastAsia="仿宋" w:cs="仿宋"/>
          <w:color w:val="auto"/>
          <w:sz w:val="20"/>
          <w:szCs w:val="20"/>
          <w:highlight w:val="none"/>
          <w:lang w:val="en-US" w:eastAsia="zh-CN" w:bidi="ar"/>
        </w:rPr>
        <w:t xml:space="preserve">   </w:t>
      </w:r>
      <w:r>
        <w:rPr>
          <w:rFonts w:hint="eastAsia" w:ascii="仿宋" w:hAnsi="仿宋" w:eastAsia="仿宋" w:cs="仿宋"/>
          <w:color w:val="auto"/>
          <w:spacing w:val="-18"/>
          <w:sz w:val="28"/>
          <w:szCs w:val="28"/>
          <w:highlight w:val="none"/>
        </w:rPr>
        <w:t>开户行：</w:t>
      </w:r>
    </w:p>
    <w:p>
      <w:pPr>
        <w:shd w:val="clear"/>
        <w:ind w:firstLine="600" w:firstLineChars="300"/>
        <w:rPr>
          <w:color w:val="auto"/>
          <w:highlight w:val="none"/>
        </w:rPr>
      </w:pPr>
      <w:r>
        <w:rPr>
          <w:rFonts w:hint="eastAsia" w:ascii="仿宋" w:hAnsi="仿宋" w:eastAsia="仿宋" w:cs="仿宋"/>
          <w:color w:val="auto"/>
          <w:sz w:val="20"/>
          <w:szCs w:val="20"/>
          <w:highlight w:val="none"/>
          <w:lang w:bidi="ar"/>
        </w:rPr>
        <w:t>乌鲁木齐苏州路（兵团）支行</w:t>
      </w:r>
    </w:p>
    <w:p>
      <w:pPr>
        <w:shd w:val="clear"/>
        <w:ind w:left="4869" w:leftChars="1176" w:hanging="2400" w:hangingChars="1200"/>
        <w:rPr>
          <w:color w:val="auto"/>
          <w:highlight w:val="none"/>
        </w:rPr>
      </w:pPr>
      <w:r>
        <w:rPr>
          <w:rFonts w:ascii="仿宋" w:hAnsi="仿宋" w:eastAsia="仿宋" w:cs="仿宋"/>
          <w:color w:val="auto"/>
          <w:sz w:val="20"/>
          <w:szCs w:val="20"/>
          <w:highlight w:val="none"/>
          <w:lang w:bidi="ar"/>
        </w:rPr>
        <w:t xml:space="preserve"> </w:t>
      </w:r>
      <w:r>
        <w:rPr>
          <w:rFonts w:hint="eastAsia" w:ascii="仿宋" w:hAnsi="仿宋" w:eastAsia="仿宋" w:cs="仿宋"/>
          <w:color w:val="auto"/>
          <w:sz w:val="20"/>
          <w:szCs w:val="20"/>
          <w:highlight w:val="none"/>
          <w:lang w:bidi="ar"/>
        </w:rPr>
        <w:t xml:space="preserve">          </w:t>
      </w:r>
      <w:r>
        <w:rPr>
          <w:rFonts w:hint="eastAsia" w:ascii="仿宋" w:hAnsi="仿宋" w:eastAsia="仿宋" w:cs="仿宋"/>
          <w:color w:val="auto"/>
          <w:spacing w:val="-18"/>
          <w:sz w:val="28"/>
          <w:szCs w:val="28"/>
          <w:highlight w:val="none"/>
        </w:rPr>
        <w:t xml:space="preserve">          </w:t>
      </w:r>
      <w:r>
        <w:rPr>
          <w:rFonts w:hint="eastAsia" w:ascii="仿宋" w:hAnsi="仿宋" w:eastAsia="仿宋" w:cs="仿宋"/>
          <w:color w:val="auto"/>
          <w:sz w:val="20"/>
          <w:szCs w:val="20"/>
          <w:highlight w:val="none"/>
          <w:lang w:bidi="ar"/>
        </w:rPr>
        <w:t xml:space="preserve">  </w:t>
      </w:r>
      <w:r>
        <w:rPr>
          <w:rFonts w:hint="eastAsia" w:ascii="仿宋" w:hAnsi="仿宋" w:eastAsia="仿宋" w:cs="仿宋"/>
          <w:color w:val="auto"/>
          <w:spacing w:val="-18"/>
          <w:sz w:val="28"/>
          <w:szCs w:val="28"/>
          <w:highlight w:val="none"/>
        </w:rPr>
        <w:t xml:space="preserve">                             </w:t>
      </w:r>
    </w:p>
    <w:p>
      <w:pPr>
        <w:shd w:val="clear"/>
        <w:spacing w:before="280" w:line="185" w:lineRule="auto"/>
        <w:rPr>
          <w:rFonts w:ascii="仿宋" w:hAnsi="仿宋" w:eastAsia="仿宋" w:cs="仿宋"/>
          <w:color w:val="auto"/>
          <w:sz w:val="28"/>
          <w:szCs w:val="28"/>
          <w:highlight w:val="none"/>
        </w:rPr>
      </w:pPr>
    </w:p>
    <w:p>
      <w:pPr>
        <w:shd w:val="clear"/>
        <w:rPr>
          <w:color w:val="auto"/>
          <w:highlight w:val="none"/>
        </w:rPr>
      </w:pPr>
      <w:r>
        <w:rPr>
          <w:rFonts w:ascii="仿宋" w:hAnsi="仿宋" w:eastAsia="仿宋" w:cs="仿宋"/>
          <w:color w:val="auto"/>
          <w:spacing w:val="-22"/>
          <w:sz w:val="28"/>
          <w:szCs w:val="28"/>
          <w:highlight w:val="none"/>
        </w:rPr>
        <w:t>帐号：</w:t>
      </w:r>
      <w:r>
        <w:rPr>
          <w:rFonts w:ascii="仿宋" w:hAnsi="仿宋" w:eastAsia="仿宋" w:cs="仿宋"/>
          <w:color w:val="auto"/>
          <w:sz w:val="20"/>
          <w:szCs w:val="20"/>
          <w:highlight w:val="none"/>
          <w:lang w:bidi="ar"/>
        </w:rPr>
        <w:t>30-705601040004288</w:t>
      </w:r>
      <w:r>
        <w:rPr>
          <w:rFonts w:hint="eastAsia" w:ascii="仿宋" w:hAnsi="仿宋" w:eastAsia="仿宋" w:cs="仿宋"/>
          <w:color w:val="auto"/>
          <w:spacing w:val="-22"/>
          <w:sz w:val="28"/>
          <w:szCs w:val="28"/>
          <w:highlight w:val="none"/>
        </w:rPr>
        <w:t xml:space="preserve">                 </w:t>
      </w:r>
      <w:r>
        <w:rPr>
          <w:rFonts w:hint="eastAsia" w:ascii="仿宋" w:hAnsi="仿宋" w:eastAsia="仿宋" w:cs="仿宋"/>
          <w:color w:val="auto"/>
          <w:spacing w:val="-22"/>
          <w:sz w:val="28"/>
          <w:szCs w:val="28"/>
          <w:highlight w:val="none"/>
          <w:lang w:val="en-US" w:eastAsia="zh-CN"/>
        </w:rPr>
        <w:t xml:space="preserve">     </w:t>
      </w:r>
      <w:r>
        <w:rPr>
          <w:rFonts w:hint="eastAsia" w:ascii="仿宋" w:hAnsi="仿宋" w:eastAsia="仿宋" w:cs="仿宋"/>
          <w:color w:val="auto"/>
          <w:spacing w:val="-22"/>
          <w:sz w:val="28"/>
          <w:szCs w:val="28"/>
          <w:highlight w:val="none"/>
        </w:rPr>
        <w:t>账号：</w:t>
      </w:r>
    </w:p>
    <w:p>
      <w:pPr>
        <w:shd w:val="clear"/>
        <w:spacing w:before="279" w:line="185" w:lineRule="auto"/>
        <w:rPr>
          <w:rFonts w:ascii="仿宋" w:hAnsi="仿宋" w:eastAsia="仿宋" w:cs="仿宋"/>
          <w:color w:val="auto"/>
          <w:sz w:val="28"/>
          <w:szCs w:val="28"/>
          <w:highlight w:val="none"/>
        </w:rPr>
      </w:pPr>
      <w:r>
        <w:rPr>
          <w:rFonts w:hint="eastAsia" w:ascii="仿宋" w:hAnsi="仿宋" w:eastAsia="仿宋" w:cs="仿宋"/>
          <w:color w:val="auto"/>
          <w:spacing w:val="-22"/>
          <w:sz w:val="28"/>
          <w:szCs w:val="28"/>
          <w:highlight w:val="none"/>
        </w:rPr>
        <w:t xml:space="preserve">                                  </w:t>
      </w:r>
    </w:p>
    <w:p>
      <w:pPr>
        <w:shd w:val="clear"/>
        <w:spacing w:before="1" w:line="204" w:lineRule="auto"/>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签约时间:</w:t>
      </w:r>
      <w:r>
        <w:rPr>
          <w:rFonts w:hint="eastAsia" w:ascii="仿宋" w:hAnsi="仿宋" w:eastAsia="仿宋" w:cs="仿宋"/>
          <w:color w:val="auto"/>
          <w:spacing w:val="-4"/>
          <w:sz w:val="28"/>
          <w:szCs w:val="28"/>
          <w:highlight w:val="none"/>
        </w:rPr>
        <w:t xml:space="preserve">               </w:t>
      </w:r>
      <w:r>
        <w:rPr>
          <w:rFonts w:hint="eastAsia" w:ascii="仿宋" w:hAnsi="仿宋" w:eastAsia="仿宋" w:cs="仿宋"/>
          <w:color w:val="auto"/>
          <w:spacing w:val="-4"/>
          <w:sz w:val="28"/>
          <w:szCs w:val="28"/>
          <w:highlight w:val="none"/>
          <w:lang w:val="en-US" w:eastAsia="zh-CN"/>
        </w:rPr>
        <w:t xml:space="preserve">             </w:t>
      </w:r>
      <w:r>
        <w:rPr>
          <w:rFonts w:ascii="仿宋" w:hAnsi="仿宋" w:eastAsia="仿宋" w:cs="仿宋"/>
          <w:color w:val="auto"/>
          <w:spacing w:val="-4"/>
          <w:sz w:val="28"/>
          <w:szCs w:val="28"/>
          <w:highlight w:val="none"/>
        </w:rPr>
        <w:t>签约时间:</w:t>
      </w:r>
    </w:p>
    <w:p>
      <w:pPr>
        <w:shd w:val="clear"/>
        <w:rPr>
          <w:color w:val="auto"/>
          <w:highlight w:val="none"/>
        </w:rPr>
      </w:pPr>
    </w:p>
    <w:p>
      <w:pPr>
        <w:shd w:val="clear"/>
        <w:spacing w:line="14" w:lineRule="auto"/>
        <w:rPr>
          <w:rFonts w:ascii="宋体"/>
          <w:color w:val="auto"/>
          <w:sz w:val="2"/>
          <w:highlight w:val="none"/>
        </w:rPr>
      </w:pPr>
    </w:p>
    <w:p>
      <w:pPr>
        <w:pStyle w:val="19"/>
        <w:shd w:val="clear"/>
        <w:rPr>
          <w:rFonts w:ascii="仿宋" w:hAnsi="仿宋" w:eastAsia="仿宋" w:cs="仿宋"/>
          <w:color w:val="auto"/>
          <w:spacing w:val="-9"/>
          <w:sz w:val="28"/>
          <w:szCs w:val="28"/>
          <w:highlight w:val="none"/>
        </w:rPr>
      </w:pPr>
    </w:p>
    <w:p>
      <w:pPr>
        <w:pStyle w:val="19"/>
        <w:shd w:val="clear"/>
        <w:rPr>
          <w:rFonts w:ascii="仿宋" w:hAnsi="仿宋" w:eastAsia="仿宋" w:cs="仿宋"/>
          <w:color w:val="auto"/>
          <w:spacing w:val="-9"/>
          <w:sz w:val="28"/>
          <w:szCs w:val="28"/>
          <w:highlight w:val="none"/>
        </w:rPr>
      </w:pPr>
    </w:p>
    <w:p>
      <w:pPr>
        <w:pStyle w:val="30"/>
        <w:shd w:val="clear"/>
        <w:spacing w:line="360" w:lineRule="auto"/>
        <w:ind w:firstLine="480" w:firstLineChars="200"/>
        <w:rPr>
          <w:rFonts w:ascii="宋体" w:hAnsi="宋体" w:cs="宋体"/>
          <w:color w:val="auto"/>
          <w:highlight w:val="none"/>
        </w:rPr>
      </w:pPr>
    </w:p>
    <w:p>
      <w:pPr>
        <w:pStyle w:val="30"/>
        <w:shd w:val="clear"/>
        <w:spacing w:line="360" w:lineRule="auto"/>
        <w:ind w:firstLine="480" w:firstLineChars="200"/>
        <w:rPr>
          <w:rFonts w:ascii="宋体" w:hAnsi="宋体" w:cs="宋体"/>
          <w:color w:val="auto"/>
          <w:highlight w:val="none"/>
        </w:rPr>
      </w:pPr>
    </w:p>
    <w:p>
      <w:pPr>
        <w:pStyle w:val="30"/>
        <w:shd w:val="clear"/>
        <w:spacing w:line="360" w:lineRule="auto"/>
        <w:ind w:firstLine="480" w:firstLineChars="200"/>
        <w:rPr>
          <w:rFonts w:ascii="宋体" w:hAnsi="宋体" w:cs="宋体"/>
          <w:color w:val="auto"/>
          <w:highlight w:val="none"/>
        </w:rPr>
      </w:pPr>
    </w:p>
    <w:p>
      <w:pPr>
        <w:pStyle w:val="30"/>
        <w:shd w:val="clear"/>
        <w:spacing w:line="360" w:lineRule="auto"/>
        <w:ind w:firstLine="480" w:firstLineChars="200"/>
        <w:rPr>
          <w:rFonts w:ascii="宋体" w:hAnsi="宋体" w:cs="宋体"/>
          <w:color w:val="auto"/>
          <w:highlight w:val="none"/>
        </w:rPr>
      </w:pPr>
    </w:p>
    <w:p>
      <w:pPr>
        <w:pStyle w:val="30"/>
        <w:shd w:val="clear"/>
        <w:spacing w:line="360" w:lineRule="auto"/>
        <w:ind w:firstLine="480" w:firstLineChars="200"/>
        <w:rPr>
          <w:rFonts w:ascii="宋体" w:hAnsi="宋体" w:cs="宋体"/>
          <w:color w:val="auto"/>
          <w:highlight w:val="none"/>
        </w:rPr>
      </w:pPr>
    </w:p>
    <w:p>
      <w:pPr>
        <w:pStyle w:val="30"/>
        <w:shd w:val="clear"/>
        <w:spacing w:line="360" w:lineRule="auto"/>
        <w:ind w:firstLine="480" w:firstLineChars="200"/>
        <w:rPr>
          <w:rFonts w:ascii="宋体" w:hAnsi="宋体" w:cs="宋体"/>
          <w:color w:val="auto"/>
          <w:highlight w:val="none"/>
        </w:rPr>
      </w:pPr>
    </w:p>
    <w:p>
      <w:pPr>
        <w:pStyle w:val="30"/>
        <w:shd w:val="clear"/>
        <w:spacing w:line="360" w:lineRule="auto"/>
        <w:jc w:val="center"/>
        <w:outlineLvl w:val="1"/>
        <w:rPr>
          <w:rFonts w:hint="eastAsia" w:ascii="宋体" w:hAnsi="宋体" w:cs="宋体"/>
          <w:b/>
          <w:color w:val="auto"/>
          <w:sz w:val="40"/>
          <w:highlight w:val="none"/>
        </w:rPr>
      </w:pPr>
      <w:bookmarkStart w:id="67" w:name="_Toc12435"/>
      <w:bookmarkStart w:id="68" w:name="_Toc15984"/>
      <w:bookmarkStart w:id="69" w:name="_Toc22708"/>
      <w:bookmarkStart w:id="70" w:name="_Toc5984"/>
    </w:p>
    <w:p>
      <w:pPr>
        <w:pStyle w:val="30"/>
        <w:shd w:val="clear"/>
        <w:spacing w:line="360" w:lineRule="auto"/>
        <w:jc w:val="center"/>
        <w:outlineLvl w:val="1"/>
        <w:rPr>
          <w:rFonts w:hint="eastAsia" w:ascii="宋体" w:hAnsi="宋体" w:cs="宋体"/>
          <w:b/>
          <w:color w:val="auto"/>
          <w:sz w:val="40"/>
          <w:highlight w:val="none"/>
        </w:rPr>
      </w:pPr>
    </w:p>
    <w:p>
      <w:pPr>
        <w:pStyle w:val="30"/>
        <w:shd w:val="clear"/>
        <w:spacing w:line="360" w:lineRule="auto"/>
        <w:jc w:val="center"/>
        <w:outlineLvl w:val="1"/>
        <w:rPr>
          <w:rFonts w:hint="eastAsia" w:ascii="宋体" w:hAnsi="宋体" w:cs="宋体"/>
          <w:b/>
          <w:color w:val="auto"/>
          <w:sz w:val="40"/>
          <w:highlight w:val="none"/>
        </w:rPr>
      </w:pPr>
    </w:p>
    <w:p>
      <w:pPr>
        <w:pStyle w:val="30"/>
        <w:shd w:val="clear"/>
        <w:spacing w:line="360" w:lineRule="auto"/>
        <w:jc w:val="center"/>
        <w:outlineLvl w:val="1"/>
        <w:rPr>
          <w:rFonts w:hint="eastAsia" w:ascii="宋体" w:hAnsi="宋体" w:cs="宋体"/>
          <w:b/>
          <w:color w:val="auto"/>
          <w:sz w:val="40"/>
          <w:highlight w:val="none"/>
        </w:rPr>
      </w:pPr>
    </w:p>
    <w:p>
      <w:pPr>
        <w:pStyle w:val="30"/>
        <w:shd w:val="clear"/>
        <w:spacing w:line="360" w:lineRule="auto"/>
        <w:jc w:val="center"/>
        <w:outlineLvl w:val="1"/>
        <w:rPr>
          <w:rFonts w:hint="eastAsia" w:ascii="宋体" w:hAnsi="宋体" w:cs="宋体"/>
          <w:b/>
          <w:color w:val="auto"/>
          <w:sz w:val="40"/>
          <w:highlight w:val="none"/>
        </w:rPr>
      </w:pPr>
    </w:p>
    <w:p>
      <w:pPr>
        <w:pStyle w:val="30"/>
        <w:shd w:val="clear"/>
        <w:spacing w:line="360" w:lineRule="auto"/>
        <w:jc w:val="center"/>
        <w:outlineLvl w:val="1"/>
        <w:rPr>
          <w:rFonts w:hint="eastAsia" w:ascii="宋体" w:hAnsi="宋体" w:cs="宋体"/>
          <w:b/>
          <w:color w:val="auto"/>
          <w:sz w:val="40"/>
          <w:highlight w:val="none"/>
        </w:rPr>
      </w:pPr>
    </w:p>
    <w:p>
      <w:pPr>
        <w:pStyle w:val="30"/>
        <w:shd w:val="clear"/>
        <w:spacing w:line="360" w:lineRule="auto"/>
        <w:jc w:val="center"/>
        <w:outlineLvl w:val="1"/>
        <w:rPr>
          <w:rFonts w:hint="eastAsia" w:ascii="宋体" w:hAnsi="宋体" w:cs="宋体"/>
          <w:b/>
          <w:color w:val="auto"/>
          <w:sz w:val="40"/>
          <w:highlight w:val="none"/>
        </w:rPr>
      </w:pPr>
    </w:p>
    <w:p>
      <w:pPr>
        <w:pStyle w:val="30"/>
        <w:shd w:val="clear"/>
        <w:spacing w:line="360" w:lineRule="auto"/>
        <w:jc w:val="center"/>
        <w:outlineLvl w:val="1"/>
        <w:rPr>
          <w:rFonts w:hint="eastAsia" w:ascii="宋体" w:hAnsi="宋体" w:cs="宋体"/>
          <w:b/>
          <w:color w:val="auto"/>
          <w:sz w:val="40"/>
          <w:highlight w:val="none"/>
        </w:rPr>
      </w:pPr>
    </w:p>
    <w:p>
      <w:pPr>
        <w:pStyle w:val="30"/>
        <w:shd w:val="clear"/>
        <w:spacing w:line="360" w:lineRule="auto"/>
        <w:jc w:val="center"/>
        <w:outlineLvl w:val="1"/>
        <w:rPr>
          <w:rFonts w:hint="eastAsia" w:ascii="宋体" w:hAnsi="宋体" w:cs="宋体"/>
          <w:b/>
          <w:color w:val="auto"/>
          <w:sz w:val="40"/>
          <w:highlight w:val="none"/>
        </w:rPr>
      </w:pPr>
    </w:p>
    <w:p>
      <w:pPr>
        <w:pStyle w:val="30"/>
        <w:shd w:val="clear"/>
        <w:spacing w:line="360" w:lineRule="auto"/>
        <w:jc w:val="center"/>
        <w:outlineLvl w:val="1"/>
        <w:rPr>
          <w:rFonts w:ascii="宋体" w:hAnsi="宋体" w:cs="宋体"/>
          <w:b/>
          <w:color w:val="auto"/>
          <w:sz w:val="40"/>
          <w:highlight w:val="none"/>
        </w:rPr>
      </w:pPr>
      <w:r>
        <w:rPr>
          <w:rFonts w:hint="eastAsia" w:ascii="宋体" w:hAnsi="宋体" w:cs="宋体"/>
          <w:b/>
          <w:color w:val="auto"/>
          <w:sz w:val="40"/>
          <w:highlight w:val="none"/>
        </w:rPr>
        <w:t>八、其他事项</w:t>
      </w:r>
      <w:bookmarkEnd w:id="67"/>
      <w:bookmarkEnd w:id="68"/>
      <w:bookmarkEnd w:id="69"/>
      <w:bookmarkEnd w:id="70"/>
    </w:p>
    <w:p>
      <w:pPr>
        <w:pStyle w:val="30"/>
        <w:shd w:val="clear"/>
        <w:spacing w:line="360" w:lineRule="auto"/>
        <w:jc w:val="both"/>
        <w:rPr>
          <w:rFonts w:ascii="宋体" w:hAnsi="宋体" w:cs="宋体"/>
          <w:b/>
          <w:bCs/>
          <w:color w:val="auto"/>
          <w:highlight w:val="none"/>
        </w:rPr>
      </w:pPr>
      <w:r>
        <w:rPr>
          <w:rFonts w:hint="eastAsia" w:ascii="宋体" w:hAnsi="宋体" w:cs="宋体"/>
          <w:b/>
          <w:bCs/>
          <w:color w:val="auto"/>
          <w:highlight w:val="none"/>
        </w:rPr>
        <w:t>32.中标服务费</w:t>
      </w:r>
    </w:p>
    <w:p>
      <w:pPr>
        <w:shd w:val="clear"/>
        <w:ind w:left="-149" w:leftChars="-71"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32.1</w:t>
      </w:r>
      <w:r>
        <w:rPr>
          <w:rFonts w:hint="eastAsia" w:ascii="宋体" w:hAnsi="宋体" w:cs="宋体"/>
          <w:color w:val="auto"/>
          <w:kern w:val="0"/>
          <w:sz w:val="24"/>
          <w:szCs w:val="24"/>
          <w:highlight w:val="none"/>
        </w:rPr>
        <w:t>按发改价格[2011]543号及计价格[2002]1980号文件计算的招标代理服务收费标准下浮50%</w:t>
      </w:r>
      <w:r>
        <w:rPr>
          <w:rFonts w:hint="eastAsia" w:ascii="宋体" w:hAnsi="宋体" w:cs="宋体"/>
          <w:color w:val="auto"/>
          <w:sz w:val="24"/>
          <w:szCs w:val="24"/>
          <w:highlight w:val="none"/>
        </w:rPr>
        <w:t>的收费标准一次性付清中标服务费。（招标代理服务费不得在投标报价表中单列）</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32.2中标服务费的计算基数：</w:t>
      </w:r>
      <w:r>
        <w:rPr>
          <w:rFonts w:hint="eastAsia" w:ascii="宋体" w:hAnsi="宋体" w:cs="宋体"/>
          <w:b/>
          <w:color w:val="auto"/>
          <w:highlight w:val="none"/>
          <w:u w:val="single"/>
        </w:rPr>
        <w:t>中标通知书载明的中标金额</w:t>
      </w:r>
      <w:r>
        <w:rPr>
          <w:rFonts w:hint="eastAsia" w:ascii="宋体" w:hAnsi="宋体" w:cs="宋体"/>
          <w:b/>
          <w:color w:val="auto"/>
          <w:highlight w:val="none"/>
        </w:rPr>
        <w:t>。</w:t>
      </w:r>
    </w:p>
    <w:p>
      <w:pPr>
        <w:pStyle w:val="30"/>
        <w:shd w:val="clear"/>
        <w:spacing w:line="360" w:lineRule="auto"/>
        <w:ind w:firstLine="480" w:firstLineChars="200"/>
        <w:jc w:val="both"/>
        <w:rPr>
          <w:rFonts w:ascii="宋体" w:hAnsi="宋体" w:cs="宋体"/>
          <w:color w:val="auto"/>
          <w:highlight w:val="none"/>
        </w:rPr>
      </w:pPr>
      <w:r>
        <w:rPr>
          <w:rFonts w:hint="eastAsia" w:ascii="宋体" w:hAnsi="宋体" w:cs="宋体"/>
          <w:color w:val="auto"/>
          <w:highlight w:val="none"/>
        </w:rPr>
        <w:t>32.3本磋商文件是根据《中华人民共和国政府采购法》、《中华人民共和国政府采购法实施条例》的规定编制，解释权属华诚博远工程咨询有限公司。</w:t>
      </w:r>
    </w:p>
    <w:p>
      <w:pPr>
        <w:pStyle w:val="30"/>
        <w:shd w:val="clear"/>
        <w:spacing w:line="360" w:lineRule="auto"/>
        <w:ind w:firstLine="480" w:firstLineChars="200"/>
        <w:jc w:val="both"/>
        <w:outlineLvl w:val="0"/>
        <w:rPr>
          <w:rFonts w:ascii="宋体" w:hAnsi="宋体" w:cs="宋体"/>
          <w:color w:val="auto"/>
          <w:highlight w:val="none"/>
        </w:rPr>
      </w:pPr>
      <w:bookmarkStart w:id="71" w:name="_Toc30929"/>
      <w:bookmarkStart w:id="72" w:name="_Toc29808"/>
      <w:bookmarkStart w:id="73" w:name="_Toc9271"/>
      <w:bookmarkStart w:id="74" w:name="_Toc1033"/>
      <w:bookmarkStart w:id="75" w:name="_Toc533086790"/>
      <w:r>
        <w:rPr>
          <w:rFonts w:hint="eastAsia" w:ascii="宋体" w:hAnsi="宋体" w:cs="宋体"/>
          <w:color w:val="auto"/>
          <w:highlight w:val="none"/>
        </w:rPr>
        <w:t>32.4参与本次招标的供应商应当有商务、技术人员对评标委员会提出的商务、技术问题进行答疑。</w:t>
      </w:r>
      <w:bookmarkEnd w:id="71"/>
      <w:bookmarkEnd w:id="72"/>
      <w:bookmarkEnd w:id="73"/>
      <w:bookmarkEnd w:id="74"/>
      <w:bookmarkEnd w:id="75"/>
    </w:p>
    <w:p>
      <w:pPr>
        <w:shd w:val="clear"/>
        <w:ind w:left="-149" w:leftChars="-71" w:firstLine="700" w:firstLineChars="250"/>
        <w:rPr>
          <w:rFonts w:ascii="宋体" w:hAnsi="宋体" w:cs="宋体"/>
          <w:b/>
          <w:color w:val="auto"/>
          <w:sz w:val="28"/>
          <w:szCs w:val="28"/>
          <w:highlight w:val="none"/>
        </w:rPr>
      </w:pPr>
      <w:bookmarkStart w:id="76" w:name="OLE_LINK6"/>
      <w:bookmarkStart w:id="77" w:name="OLE_LINK7"/>
    </w:p>
    <w:p>
      <w:pPr>
        <w:shd w:val="clear"/>
        <w:rPr>
          <w:color w:val="auto"/>
          <w:highlight w:val="none"/>
        </w:rPr>
      </w:pPr>
    </w:p>
    <w:bookmarkEnd w:id="76"/>
    <w:bookmarkEnd w:id="77"/>
    <w:p>
      <w:pPr>
        <w:pStyle w:val="30"/>
        <w:shd w:val="clear"/>
        <w:jc w:val="center"/>
        <w:rPr>
          <w:rFonts w:ascii="宋体" w:hAnsi="宋体" w:cs="宋体"/>
          <w:b/>
          <w:color w:val="auto"/>
          <w:sz w:val="40"/>
          <w:highlight w:val="none"/>
        </w:rPr>
      </w:pPr>
      <w:bookmarkStart w:id="78" w:name="_Toc776"/>
      <w:bookmarkStart w:id="79" w:name="_Toc449387774"/>
    </w:p>
    <w:p>
      <w:pPr>
        <w:pStyle w:val="30"/>
        <w:shd w:val="clear"/>
        <w:jc w:val="center"/>
        <w:rPr>
          <w:rFonts w:ascii="宋体" w:hAnsi="宋体" w:cs="宋体"/>
          <w:b/>
          <w:color w:val="auto"/>
          <w:sz w:val="40"/>
          <w:highlight w:val="none"/>
        </w:rPr>
      </w:pPr>
    </w:p>
    <w:p>
      <w:pPr>
        <w:pStyle w:val="30"/>
        <w:shd w:val="clear"/>
        <w:jc w:val="center"/>
        <w:rPr>
          <w:rFonts w:ascii="宋体" w:hAnsi="宋体" w:cs="宋体"/>
          <w:b/>
          <w:color w:val="auto"/>
          <w:sz w:val="40"/>
          <w:highlight w:val="none"/>
        </w:rPr>
      </w:pPr>
    </w:p>
    <w:p>
      <w:pPr>
        <w:pStyle w:val="30"/>
        <w:shd w:val="clear"/>
        <w:jc w:val="center"/>
        <w:rPr>
          <w:rFonts w:ascii="宋体" w:hAnsi="宋体" w:cs="宋体"/>
          <w:b/>
          <w:color w:val="auto"/>
          <w:sz w:val="40"/>
          <w:highlight w:val="none"/>
        </w:rPr>
      </w:pPr>
    </w:p>
    <w:p>
      <w:pPr>
        <w:pStyle w:val="30"/>
        <w:shd w:val="clear"/>
        <w:jc w:val="both"/>
        <w:rPr>
          <w:rFonts w:ascii="宋体" w:hAnsi="宋体" w:cs="宋体"/>
          <w:b/>
          <w:color w:val="auto"/>
          <w:sz w:val="40"/>
          <w:highlight w:val="none"/>
        </w:rPr>
      </w:pPr>
    </w:p>
    <w:p>
      <w:pPr>
        <w:pStyle w:val="30"/>
        <w:shd w:val="clear"/>
        <w:jc w:val="both"/>
        <w:rPr>
          <w:rFonts w:ascii="宋体" w:hAnsi="宋体" w:cs="宋体"/>
          <w:b/>
          <w:color w:val="auto"/>
          <w:sz w:val="40"/>
          <w:highlight w:val="none"/>
        </w:rPr>
      </w:pPr>
    </w:p>
    <w:p>
      <w:pPr>
        <w:pStyle w:val="30"/>
        <w:shd w:val="clear"/>
        <w:jc w:val="both"/>
        <w:rPr>
          <w:rFonts w:ascii="宋体" w:hAnsi="宋体" w:cs="宋体"/>
          <w:b/>
          <w:color w:val="auto"/>
          <w:sz w:val="40"/>
          <w:highlight w:val="none"/>
        </w:rPr>
      </w:pPr>
    </w:p>
    <w:p>
      <w:pPr>
        <w:pStyle w:val="30"/>
        <w:shd w:val="clear"/>
        <w:jc w:val="both"/>
        <w:rPr>
          <w:rFonts w:ascii="宋体" w:hAnsi="宋体" w:cs="宋体"/>
          <w:b/>
          <w:color w:val="auto"/>
          <w:sz w:val="40"/>
          <w:highlight w:val="none"/>
        </w:rPr>
      </w:pPr>
    </w:p>
    <w:p>
      <w:pPr>
        <w:pStyle w:val="30"/>
        <w:shd w:val="clear"/>
        <w:jc w:val="both"/>
        <w:rPr>
          <w:rFonts w:ascii="宋体" w:hAnsi="宋体" w:cs="宋体"/>
          <w:b/>
          <w:color w:val="auto"/>
          <w:sz w:val="40"/>
          <w:highlight w:val="none"/>
        </w:rPr>
      </w:pPr>
    </w:p>
    <w:p>
      <w:pPr>
        <w:pStyle w:val="30"/>
        <w:shd w:val="clear"/>
        <w:jc w:val="both"/>
        <w:rPr>
          <w:rFonts w:ascii="宋体" w:hAnsi="宋体" w:cs="宋体"/>
          <w:b/>
          <w:color w:val="auto"/>
          <w:sz w:val="40"/>
          <w:highlight w:val="none"/>
        </w:rPr>
      </w:pPr>
    </w:p>
    <w:p>
      <w:pPr>
        <w:pStyle w:val="30"/>
        <w:shd w:val="clear"/>
        <w:jc w:val="both"/>
        <w:rPr>
          <w:rFonts w:ascii="宋体" w:hAnsi="宋体" w:cs="宋体"/>
          <w:b/>
          <w:color w:val="auto"/>
          <w:sz w:val="40"/>
          <w:highlight w:val="none"/>
        </w:rPr>
      </w:pPr>
    </w:p>
    <w:p>
      <w:pPr>
        <w:pStyle w:val="30"/>
        <w:shd w:val="clear"/>
        <w:jc w:val="both"/>
        <w:rPr>
          <w:rFonts w:ascii="宋体" w:hAnsi="宋体" w:cs="宋体"/>
          <w:b/>
          <w:color w:val="auto"/>
          <w:sz w:val="40"/>
          <w:highlight w:val="none"/>
        </w:rPr>
      </w:pPr>
    </w:p>
    <w:p>
      <w:pPr>
        <w:pStyle w:val="30"/>
        <w:shd w:val="clear"/>
        <w:jc w:val="both"/>
        <w:rPr>
          <w:rFonts w:ascii="宋体" w:hAnsi="宋体" w:cs="宋体"/>
          <w:b/>
          <w:color w:val="auto"/>
          <w:sz w:val="40"/>
          <w:highlight w:val="none"/>
        </w:rPr>
      </w:pPr>
    </w:p>
    <w:p>
      <w:pPr>
        <w:pStyle w:val="30"/>
        <w:shd w:val="clear"/>
        <w:jc w:val="both"/>
        <w:rPr>
          <w:rFonts w:ascii="宋体" w:hAnsi="宋体" w:cs="宋体"/>
          <w:b/>
          <w:color w:val="auto"/>
          <w:sz w:val="40"/>
          <w:highlight w:val="none"/>
        </w:rPr>
      </w:pPr>
    </w:p>
    <w:p>
      <w:pPr>
        <w:pStyle w:val="30"/>
        <w:shd w:val="clear"/>
        <w:jc w:val="center"/>
        <w:outlineLvl w:val="0"/>
        <w:rPr>
          <w:b/>
          <w:color w:val="auto"/>
          <w:sz w:val="30"/>
          <w:szCs w:val="30"/>
          <w:highlight w:val="none"/>
        </w:rPr>
      </w:pPr>
      <w:bookmarkStart w:id="80" w:name="_Toc3372"/>
      <w:bookmarkStart w:id="81" w:name="_Toc26248"/>
      <w:r>
        <w:rPr>
          <w:rFonts w:hint="eastAsia" w:ascii="宋体" w:hAnsi="宋体" w:cs="宋体"/>
          <w:b/>
          <w:color w:val="auto"/>
          <w:sz w:val="40"/>
          <w:highlight w:val="none"/>
        </w:rPr>
        <w:t>第三章 技术方案</w:t>
      </w:r>
      <w:bookmarkEnd w:id="78"/>
      <w:bookmarkEnd w:id="79"/>
      <w:bookmarkEnd w:id="80"/>
      <w:bookmarkEnd w:id="81"/>
    </w:p>
    <w:p>
      <w:pPr>
        <w:shd w:val="clea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一、消防设施维护</w:t>
      </w:r>
      <w:r>
        <w:rPr>
          <w:rFonts w:hint="eastAsia" w:ascii="宋体" w:hAnsi="宋体" w:cs="宋体"/>
          <w:b/>
          <w:bCs/>
          <w:color w:val="auto"/>
          <w:sz w:val="32"/>
          <w:szCs w:val="32"/>
          <w:highlight w:val="none"/>
          <w:lang w:eastAsia="zh-CN"/>
        </w:rPr>
        <w:t>保养项目</w:t>
      </w:r>
      <w:r>
        <w:rPr>
          <w:rFonts w:hint="eastAsia" w:ascii="宋体" w:hAnsi="宋体" w:cs="宋体"/>
          <w:b/>
          <w:bCs/>
          <w:color w:val="auto"/>
          <w:sz w:val="32"/>
          <w:szCs w:val="32"/>
          <w:highlight w:val="none"/>
        </w:rPr>
        <w:t>技术要求</w:t>
      </w:r>
    </w:p>
    <w:p>
      <w:pPr>
        <w:shd w:val="clear"/>
        <w:spacing w:line="360" w:lineRule="auto"/>
        <w:rPr>
          <w:rFonts w:ascii="宋体" w:hAnsi="宋体" w:cs="宋体"/>
          <w:color w:val="auto"/>
          <w:sz w:val="24"/>
          <w:szCs w:val="24"/>
          <w:highlight w:val="none"/>
        </w:rPr>
      </w:pPr>
      <w:bookmarkStart w:id="82" w:name="_Toc16242937"/>
      <w:r>
        <w:rPr>
          <w:rFonts w:hint="eastAsia" w:ascii="宋体" w:hAnsi="宋体" w:cs="宋体"/>
          <w:color w:val="auto"/>
          <w:sz w:val="24"/>
          <w:szCs w:val="24"/>
          <w:highlight w:val="none"/>
        </w:rPr>
        <w:t>一、维保范围</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1、外科楼，建筑面积31153平米，地上16层，地下1层。</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维护范围：火灾自动报警系统、消防栓系统、喷淋系统、防排烟系统、无管网气体灭火系统和防火卷帘系统。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2、综合楼，建筑面积35741平米，地上17层，地下1层。</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维护范围：火灾自动报警系统、消防栓系统、喷淋系统、防排烟系统、无管网气体灭火系统和防火卷帘系统。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3、放疗楼，建筑面积35972平米，地上16层，地下2层。</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维护范围：火灾自动报警系统、消防栓系统、喷淋系统、防排烟系统、高压水炮系统、气体灭火系统（有管网、无管网均有）和防火卷帘系统。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4、教学综合楼（含发热门诊），建筑面积7554平米，地上6层，地下1层。</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维护范围：火灾自动报警系统、消防栓系统。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5、食堂，建筑面积3778平米，地上3层，地下1层。</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维护范围：火灾自动报警系统、消防栓系统、喷淋系统、防排烟系统和防火卷帘系统。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6、门诊综合楼，建筑面积42071平方米，地下两层，地上九层。</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维护范围：火灾自动报警系统、消防栓系统、喷淋系统、防排烟系统、集中供电式应急照明疏散指示安全出口系统、无管网气体灭火系统和防火卷帘系统。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7、锅炉房（洗衣房），建筑面积2248平方米。</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维护范围：火灾自动报警系统、消防栓系统、喷淋系统、防排烟系统。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8、高层住宅楼，建筑面积23250平米，地上18层，地下1层。</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维护范围：火灾自动报警系统、消防栓系统、防排烟系统、无管网气体灭火系统。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合计：181767平方米</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二、维保周期：两年，从2024年1月1日至2025年12月31日止。</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维保内容：</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中标人负责对以下产权归属招标人所有的消防设施设备保养，并且必须达到符合国家相关部门规定的维修、维护标准。</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1、自动报警系统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①、火灾报警控制器及火灾探测器；</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②、手动报警按钮、消火栓按钮；</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③、声光报警器、楼层报警显示器；</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④、各类报警联动模块及报警联动线路。</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2、自动喷水灭火系统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①、自动喷水灭火系统水泵；</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②、自动喷水灭火系统联动功能；</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③、信号阀、水流指示器；</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④、湿式报警阀组；</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⑤、喷淋头、管网及水泵接合器等配套设施。</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3、室内消火栓系统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①、消火栓系统水泵；</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②、消火栓系统联动功能；</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③、室内消火栓管网及水泵接合器等配套设施。</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4、消防广播系统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①、壁挂、吸顶式广播；</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②、CD、VCD、卡座、功放。</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5、消防通讯系统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①、消防电话主机；</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②、消防电话分机；</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③、各类消防插孔电话机模块。</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6、防火卷帘系统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①、防火卷帘电控箱；</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②、启停按钮、行程开关；</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③、防火卷帘帘板；</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④、防火卷帘传动机构。</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7、防排烟系统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①、加压送风口、排烟风口；</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②、机械执行机构、防火阀；</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③、机械正压送风机、机械排烟风机；</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8、气体灭火系统；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9、高压水炮系统；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10、室外消火栓、水泵接合器及其管网等配套设备；</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11、应急照明及疏散指示标志、应急照明集中电源；</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12、消防供配电系统；</w:t>
      </w:r>
    </w:p>
    <w:p>
      <w:pPr>
        <w:shd w:val="clear"/>
        <w:spacing w:line="360" w:lineRule="auto"/>
        <w:rPr>
          <w:rFonts w:hint="default" w:eastAsia="宋体"/>
          <w:color w:val="auto"/>
          <w:highlight w:val="none"/>
          <w:lang w:val="en-US" w:eastAsia="zh-CN"/>
        </w:rPr>
      </w:pPr>
      <w:r>
        <w:rPr>
          <w:rFonts w:hint="eastAsia" w:ascii="宋体" w:hAnsi="宋体" w:cs="宋体"/>
          <w:color w:val="auto"/>
          <w:sz w:val="24"/>
          <w:szCs w:val="24"/>
          <w:highlight w:val="none"/>
        </w:rPr>
        <w:t>13、防火门闭门器、集中控制防火门电子闭门器监控系统</w:t>
      </w:r>
      <w:r>
        <w:rPr>
          <w:rFonts w:hint="eastAsia" w:ascii="宋体" w:hAnsi="宋体" w:cs="宋体"/>
          <w:color w:val="auto"/>
          <w:sz w:val="24"/>
          <w:szCs w:val="24"/>
          <w:highlight w:val="none"/>
          <w:lang w:eastAsia="zh-CN"/>
        </w:rPr>
        <w:t>。</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三、付款方式</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1、在合同有效期内，先维保，后付款。按照合同条款维保合格后，招标人每六个月付款一次，</w:t>
      </w:r>
      <w:r>
        <w:rPr>
          <w:rFonts w:hint="eastAsia" w:ascii="宋体" w:hAnsi="宋体" w:cs="宋体"/>
          <w:color w:val="auto"/>
          <w:sz w:val="24"/>
          <w:szCs w:val="24"/>
          <w:highlight w:val="none"/>
          <w:lang w:eastAsia="zh-CN"/>
        </w:rPr>
        <w:t>两个维保年度</w:t>
      </w:r>
      <w:r>
        <w:rPr>
          <w:rFonts w:hint="eastAsia" w:ascii="宋体" w:hAnsi="宋体" w:cs="宋体"/>
          <w:color w:val="auto"/>
          <w:sz w:val="24"/>
          <w:szCs w:val="24"/>
          <w:highlight w:val="none"/>
        </w:rPr>
        <w:t>共计付款</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次。第一个维保年度结束前，招标人将根据当年的维保工作情况进行工作评价，经评估合格，则继续执行第二年度维保任务。如果因每月没有按照维保计划完成三次以上（包括三次），维保人员工作不到位，或因投标人原因使消防设施故障，没有得到及时解决，不能正常运行而因此受到上级部门处罚等情况，招标人有权终止合同，不继续执行第二年度的维保工作。</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2、维保满6个月，中标人完成合同约定维保内容，招标人验收合格，支付总价</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%的维保费用，维保满一年，在消防检测公司出具合格的消防设施检测报告后，招标人认可维保工作报告后，按程序支付第二次</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%的维保费用。第二个维保年度付款进度同第一</w:t>
      </w:r>
      <w:r>
        <w:rPr>
          <w:rFonts w:hint="eastAsia" w:ascii="宋体" w:hAnsi="宋体" w:cs="宋体"/>
          <w:color w:val="auto"/>
          <w:sz w:val="24"/>
          <w:szCs w:val="24"/>
          <w:highlight w:val="none"/>
          <w:lang w:eastAsia="zh-CN"/>
        </w:rPr>
        <w:t>个维保</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eastAsia="zh-CN"/>
        </w:rPr>
        <w:t>度</w:t>
      </w:r>
      <w:r>
        <w:rPr>
          <w:rFonts w:hint="eastAsia" w:ascii="宋体" w:hAnsi="宋体" w:cs="宋体"/>
          <w:color w:val="auto"/>
          <w:sz w:val="24"/>
          <w:szCs w:val="24"/>
          <w:highlight w:val="none"/>
        </w:rPr>
        <w:t>一致。</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四、维保质量保证</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1、维护保养质量等级要求为每年消防检测单位检测合格。</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2、执行《中华人民共和国消防法》相关条款。</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3、中标人根据《建筑消防设施的维护管理》（GB25201－2010）及招标人建筑消防设施的实际情况，向招标人提供《建筑消防设施维护保养项目服务方案》并经招标人审核后执行。</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4、质量与验收规范：执行国家有关施工验收规范、质量评定标准以及自治区有关工程质量规定。</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中标人承诺的维保质量等级为合同的约定条件。因中标人原因致使招标人消防设施运行不正常的，招标人有权要求中标人在合理期限内无偿修理或者返工、改建。经过修理或者返工、改建后，造成逾期交付的，中标人应当承担违约责任。</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6、执行公安部61号令。</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五、维保的责任和义务</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1、中标人应保证建筑消防设备达到正常运转，中标人必须有专人值守驻场（不低于一名维保人员），招标人为中标人维保人员提供宿舍，水电暖</w:t>
      </w:r>
      <w:r>
        <w:rPr>
          <w:rFonts w:hint="eastAsia" w:ascii="宋体" w:hAnsi="宋体" w:cs="宋体"/>
          <w:color w:val="auto"/>
          <w:sz w:val="24"/>
          <w:szCs w:val="24"/>
          <w:highlight w:val="none"/>
          <w:lang w:eastAsia="zh-CN"/>
        </w:rPr>
        <w:t>等费用</w:t>
      </w:r>
      <w:r>
        <w:rPr>
          <w:rFonts w:hint="eastAsia" w:ascii="宋体" w:hAnsi="宋体" w:cs="宋体"/>
          <w:color w:val="auto"/>
          <w:sz w:val="24"/>
          <w:szCs w:val="24"/>
          <w:highlight w:val="none"/>
        </w:rPr>
        <w:t>中标人自行承担，价格按照招标人相关规定执行，并保持宿舍整洁和安全稳定，随叫随到，发现隐患及时排除，并做好书面记录。维保人员必须固定，持证上岗。除因招标人认为该维保人员能力不能胜任维保工作，招标人提出更换或不可抗力外，中标人不得以其他理由更换驻场人员，否则，招标人将视为违约，扣减违约金。</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2、在遇到重大节日或上级消防主管部门检查，中标人应提前介入，使消防设备始终处在完好的运行状态。</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在维保期间，消防供配电系统、火灾自动报警系统、自动喷水灭火系统、室内消火栓系统、消防广播系统、消防通讯系统、防火卷帘系统、防排烟系统、气体灭火系统、高压水炮等系统的正常维修所产生的费用（更换消防材料的，单件在500元含500元以下的材料费用）由中标人支付。</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4、中标人应严格按照维保计划实施维保工作，每月对系统进行一次全面检查，出具报告并上传。</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5、每月按计划对灭火设备进行一次检测和调试。</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中标人应严格按照投标文件中消防设施维护保养方案；售后服务、质量保证承诺、质量责任承诺书、安全责任承诺书中的承诺进行维保服务，如果招标人有临时保养需求，中标人在能力范围内，应保质保量完成保养。</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7、由于相关法规要求或督导检查提出问题的原因，需对消防设备进行整改、增减或移位时，施工材料由招标人提供，中标人负责施工，费用包含在维保费用中不再另算。在维修保养过程中，如发现</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消防设备或部件存在质量问题，影响系统正常工作需要另购置时，设备由招标人负责购买，中标人负责对设备或部件进行更换，费用包含在维保费用中不再另算。无论何种原因，维保范围内消防管线、阀门及其附属设施发生破裂、冻裂、渗漏等情况，所需维修材料由招标人负责购买，中标人负责对设备或部件进行更换，费用包含在维保费用中不再另算。</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8、合同期限内发生火灾，是由于中标人维护保养不到位而造成消防设施未能及时、有效动作，造成招标人财产损失的应由中标人承担相应的法律责任和经济损失；因中标人维护保养不到位使招标人各类消防设施不能正常运转，导致受到上级消防行政部门处罚罚金，中标人承担相应法律责任和中标价30%的违约金，如违约金不足以支付罚金，违约金按照实际金额支付。如因中标人维保工作疏漏造成招标人装修、设备损坏的，中标人需向招标人承担2000元-10000元违约金，具体数额由招标人视情节严重程度决定，上述情形发生三次以上，招标人有权单方面终止合同。中标人上述违约金不足以弥补招标人损失的，以招标人实际损失为准。</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9、每一维保年度到期前，中标人应对所有维护系统、设备进行全面测试，并出具合格的消防设施检测维保报告交付招标人确认。</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中标人派驻的维保人员应具有电工资格证书，负责对维保区域的应急照明灯、安全出口指示灯、疏散指示灯等进行新增、维修和测试，如损坏无法维修需更新时，在维保年度消防灯具由招标人负责采购，中标人负责维修或安装，辅材和安装维修包含在投标费用中，不另计费。</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11、如维保期内报警主机内配件如主板、层显板发生故障或集成块损毁造成报警主机功能不完整或不能使用，在新的配件采购安装之前，投标人因积极寻找替代品安装进行过渡，不能放任故障长期存在。同时对故障配件交由专业人员进行检测，确定是维修还是更换新品。如确定需要更换新品，投标人使用的替代品为全新品，在同等条件下，招标人优先从投标人处采购。</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六、服务的内容及频次</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（一）检查内容</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1）火灾自动报警系统：火灾探测器、手动报警按钮报警功能；警报装置警报功能；报警控制器、火灾显示盘等报警、显示、打印等功能；消防联动控制器及控制模块的手动控制功能，显示功能，主、备电源切换功能，备用电源充、放电功能。其中火灾报警探测器和手动报警按钮的检查数量每个防火分区不少于1个。 </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2）消防供水设施：消防水池进水阀供水功能；消防水泵自动、手动启泵和主、备泵切换功能；稳压泵、增压泵及气压水罐的自动启泵和主、备泵切换功能；阀门启闭功能；消防水泵接合器外观、配件；消防水泵房内环境是否整洁，管道和设备有无漏水、锈蚀等现象。</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（3）消火栓（消防炮）灭火系统：室内、外消火栓以及系统最不利点消火栓静压检测；最不利点消火栓、消防炮出水压力；消火栓启泵按钮检查数量每个供水分区不少于1个。</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（4）自动喷水灭火系统：喷头外观及距周边障碍物或保护对象的距离；消防水泵接合器外观、配件；报警阀组放水，末端试水装置、试水阀放水，其中试水阀放水检查数量不少于总数量的10%，且不少于1个。</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（5）气体灭火系统：灭火剂和驱动气体储存容器内的压力、储量；检漏装置称重、检漏报警功能；紧急启动/停止按钮模拟试验；选择阀手动启闭试验。</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（6）防烟和排烟设施：电动送风阀启闭功能，送风机启、停功能；排烟阀启、闭功能，排烟机启、停功能。</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（7）消防应急广播系统：扬声器广播质量及音量，主、备扩音机切换功能，分区及选层广播功能。</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（8）消防专用电话：电话主机与电话分机、插孔电话之间通话质量,消防水泵房、配电室、风机房、消防电梯及其机房内消防插孔电话必须检查。</w:t>
      </w:r>
    </w:p>
    <w:p>
      <w:pPr>
        <w:shd w:val="clea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（9）防火分隔设施：防火卷帘自动启动和现场手动功能及信号反馈功能；检查数量每次不少于1个防火分区，每年应当对所有防火分区检查一遍。 </w:t>
      </w:r>
    </w:p>
    <w:p>
      <w:pPr>
        <w:shd w:val="clear"/>
        <w:spacing w:line="360" w:lineRule="auto"/>
        <w:ind w:firstLine="240" w:firstLineChars="1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应急照明及疏散指示标志</w:t>
      </w:r>
      <w:r>
        <w:rPr>
          <w:rFonts w:hint="eastAsia" w:ascii="宋体" w:hAnsi="宋体" w:cs="宋体"/>
          <w:color w:val="auto"/>
          <w:sz w:val="24"/>
          <w:szCs w:val="24"/>
          <w:highlight w:val="none"/>
          <w:lang w:eastAsia="zh-CN"/>
        </w:rPr>
        <w:t>、应急照明集中电源：</w:t>
      </w:r>
      <w:r>
        <w:rPr>
          <w:rFonts w:hint="eastAsia" w:ascii="宋体" w:hAnsi="宋体" w:cs="宋体"/>
          <w:color w:val="auto"/>
          <w:sz w:val="24"/>
          <w:szCs w:val="24"/>
          <w:highlight w:val="none"/>
        </w:rPr>
        <w:t>应急灯、出口指示灯、疏散指示灯外观完好，充放电正常；应急灯、出口指示灯、疏散指示灯蓄电量达到规范要求。应急灯、出口指示灯、疏散指示灯固定牢靠端正，电线及接头不得外露。</w:t>
      </w:r>
      <w:r>
        <w:rPr>
          <w:rFonts w:hint="eastAsia" w:ascii="宋体" w:hAnsi="宋体" w:cs="宋体"/>
          <w:color w:val="auto"/>
          <w:sz w:val="24"/>
          <w:szCs w:val="24"/>
          <w:highlight w:val="none"/>
          <w:lang w:eastAsia="zh-CN"/>
        </w:rPr>
        <w:t>按计划每月分层对楼层设备进行检查。应急照明集中电源定期进行维护。</w:t>
      </w:r>
    </w:p>
    <w:p>
      <w:pPr>
        <w:pStyle w:val="19"/>
        <w:shd w:val="clear"/>
        <w:rPr>
          <w:color w:val="auto"/>
          <w:highlight w:val="none"/>
        </w:rPr>
      </w:pPr>
    </w:p>
    <w:p>
      <w:pPr>
        <w:shd w:val="clear"/>
        <w:spacing w:line="360" w:lineRule="auto"/>
        <w:rPr>
          <w:rFonts w:ascii="宋体" w:hAnsi="宋体" w:cs="宋体"/>
          <w:color w:val="auto"/>
          <w:sz w:val="24"/>
          <w:szCs w:val="24"/>
          <w:highlight w:val="none"/>
        </w:rPr>
      </w:pPr>
      <w:bookmarkStart w:id="83" w:name="_Toc246762481"/>
      <w:bookmarkStart w:id="84" w:name="_Toc240977393"/>
      <w:bookmarkStart w:id="85" w:name="_Toc241668336"/>
      <w:bookmarkStart w:id="86" w:name="_Toc241670286"/>
      <w:bookmarkStart w:id="87" w:name="_Toc241669304"/>
      <w:r>
        <w:rPr>
          <w:rFonts w:hint="eastAsia" w:ascii="宋体" w:hAnsi="宋体" w:cs="宋体"/>
          <w:color w:val="auto"/>
          <w:sz w:val="24"/>
          <w:szCs w:val="24"/>
          <w:highlight w:val="none"/>
        </w:rPr>
        <w:t>（三）保养内容</w:t>
      </w:r>
      <w:bookmarkEnd w:id="83"/>
      <w:bookmarkEnd w:id="84"/>
      <w:bookmarkEnd w:id="85"/>
      <w:bookmarkEnd w:id="86"/>
      <w:bookmarkEnd w:id="87"/>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（1）对易污染、易腐蚀生锈的消防设备、管道、阀门应定期清洁、除锈、注润滑剂。</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（2）储存灭火剂和驱动气体的压力容器应按《气瓶检测规程》的有关要求定期进行试验、标识。</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（3）以蓄电池作为后备电源的消防设备，应按照产品说明书的要求定期对蓄电池进行维护。</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（4）其他类型的消防设备应按照产品说明书的要求定期进行维护保养。</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（5）对产品设备及时进行更换：易损件的更换周期不应超过其寿命；消防设备的更换周期不应超过产品寿命期；经检查测试，已不能再投入使用的火灾探测器等。</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七、合同违约及其它</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1、招标人按合同规定的付款要求履约，由于非不可抗力原因不能在本合同规定的时间内支付合同款项时，应事先告知中标人。</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2、中标人在合同有效期内，不按时履行维保义务，应向招标人支付违约金二万元。</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3、根据招标人要求进行消防设施检测若验收不合格，中标人负责重新整改及承担相关费用；若逾期未完工由中标人承担消防主管部门相关处罚费用。</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4、在维保过程中，中标人所有施工人员、设备安全由中标人负责。如在维保过程中由于中标人的责任造成双方人员伤亡或者设备损毁，由中标人承担所有责任及经济赔偿。</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5、维保满6个月（半年保结束后），如消防设施不能正常运行，招标人将不予支付当年维保费的50%款项；若年底未通过年检，招标人将不予支付当年维保费剩余50%款项。</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6、中标人在合作期间出具的发票必须为真实有效的税务发票，凡出现虚假发票，一律停止付款，终止合同，同时所造成的一切后果由中标人承担。</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7、招标文件、招标答疑、投标文件、成交通知书与本合同具有同等法律效力。</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8、中标人负责对招标人辖区内所有钢制防火门闭门器（包括电子闭门器)进行维修、安装更换（主材由招标人提供）。</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9、中标人在服务期间，应遵守招标人医院的疫情防控和院感防控政策，如因此收到上级和医院院感部门督导和通报，视情节轻重中标人将承担500元-10000元违约金。</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10、本合同依照《中华人民共和国政府采购法》和《中华人民共和国合同法》等相关法律法规制定 ，未尽事项皆受上述法律法规约束。双方发生争议时，应先协商解决，经协商在三十天内不能达成协议时，应向招标人当地人民法院诉讼。</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11、维保费用包含招标人智慧消防系统运行每年物联网使用费用和维修费用。</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12、维保费用包含招标人北院区2024年6月竣工（暂定）的核医学楼维保工作，建筑面积：1.36万平方米，地上4层，地下3 层。工程保修期因质量问题、技术问题需要更换消防设施配件时，招标人负责协调承建单位进行配合。</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13、中标人有责任发挥自身专业作用，在招标人需采购消防专用配件及材料时，协助招标人在市场寻找购买同类型质优价廉配件及厂家，以便于及时进行维修，不能以没有合适配件作为无法维修保养的理由。</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14、维保期内，在招标人有消防设施改造计划时，中标人有义务配合招标人及时出具改造方案，按招标人相应程序参与后续的改造工作，不能以是否最终承担该项工作作为前提，延迟或推托出具方案。如发生此种情况，招标人将视为违约，中标人将承担1000-10000元的违约金。</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15、维保期内，投标人维保范围内的各类设备设施、控制柜、控制主机等发生故障，如超出投标人自身的维修能力，需由专业公司进行检测和维修时，由投标人负责联系厂家人员来现场进行处理，除经检测需更换的大额配件由招标人进行采购外，其他任何费用包括但不限于开机费、上门费、检测费等均包含在投标价中，招标人不再另行支付。如因投标人维修不及时造成招标人消防设施不能正常运行，投标人保留另外聘请其他专业公司进行维修的权利，产生的费用将从维保费中扣除。</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16、如合同到期下个维保年度由其他公司承接维保工作，中标人有责任和义务同其进行有序的交接和技术交底，需将所维保的消防设施平稳合格的移交至承接的公司，参与的各方验收无异议后，签字确认，作为后期付款流程依据之一。 </w:t>
      </w:r>
      <w:bookmarkEnd w:id="82"/>
    </w:p>
    <w:p>
      <w:pPr>
        <w:shd w:val="clear"/>
        <w:spacing w:line="360" w:lineRule="auto"/>
        <w:jc w:val="center"/>
        <w:rPr>
          <w:rFonts w:ascii="宋体" w:hAnsi="宋体" w:cs="宋体"/>
          <w:b/>
          <w:bCs/>
          <w:color w:val="auto"/>
          <w:sz w:val="32"/>
          <w:szCs w:val="32"/>
          <w:highlight w:val="none"/>
        </w:rPr>
      </w:pPr>
    </w:p>
    <w:p>
      <w:pPr>
        <w:shd w:val="clear"/>
        <w:spacing w:line="360" w:lineRule="auto"/>
        <w:jc w:val="center"/>
        <w:rPr>
          <w:rFonts w:ascii="宋体" w:hAnsi="宋体" w:cs="宋体"/>
          <w:b/>
          <w:bCs/>
          <w:color w:val="auto"/>
          <w:sz w:val="32"/>
          <w:szCs w:val="32"/>
          <w:highlight w:val="none"/>
        </w:rPr>
      </w:pPr>
    </w:p>
    <w:p>
      <w:pPr>
        <w:pStyle w:val="19"/>
        <w:shd w:val="clear"/>
        <w:rPr>
          <w:color w:val="auto"/>
          <w:highlight w:val="none"/>
        </w:rPr>
      </w:pPr>
    </w:p>
    <w:p>
      <w:pPr>
        <w:shd w:val="clear"/>
        <w:spacing w:line="360" w:lineRule="auto"/>
        <w:jc w:val="center"/>
        <w:rPr>
          <w:rFonts w:ascii="宋体" w:hAnsi="宋体" w:cs="宋体"/>
          <w:color w:val="auto"/>
          <w:sz w:val="24"/>
          <w:szCs w:val="24"/>
          <w:highlight w:val="none"/>
        </w:rPr>
      </w:pPr>
      <w:r>
        <w:rPr>
          <w:rFonts w:hint="eastAsia" w:ascii="宋体" w:hAnsi="宋体" w:cs="宋体"/>
          <w:b/>
          <w:bCs/>
          <w:color w:val="auto"/>
          <w:sz w:val="32"/>
          <w:szCs w:val="32"/>
          <w:highlight w:val="none"/>
        </w:rPr>
        <w:t>二、消防设施检测</w:t>
      </w:r>
      <w:r>
        <w:rPr>
          <w:rFonts w:hint="eastAsia" w:ascii="宋体" w:hAnsi="宋体" w:cs="宋体"/>
          <w:b/>
          <w:bCs/>
          <w:color w:val="auto"/>
          <w:sz w:val="32"/>
          <w:szCs w:val="32"/>
          <w:highlight w:val="none"/>
          <w:lang w:eastAsia="zh-CN"/>
        </w:rPr>
        <w:t>项目</w:t>
      </w:r>
      <w:r>
        <w:rPr>
          <w:rFonts w:hint="eastAsia" w:ascii="宋体" w:hAnsi="宋体" w:cs="宋体"/>
          <w:b/>
          <w:bCs/>
          <w:color w:val="auto"/>
          <w:sz w:val="32"/>
          <w:szCs w:val="32"/>
          <w:highlight w:val="none"/>
        </w:rPr>
        <w:t>技术要求</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一、检测范围</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1、外科楼，建筑面积31153平米，地上16层，地下1层。</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设施内容：火灾自动报警系统、消防栓系统、喷淋系统、防排烟系统、无管网气体灭火系统和防火卷帘系统。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2、综合楼，建筑面积35741平米，地上17层，地下1层。</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设施内容：火灾自动报警系统、消防栓系统、喷淋系统、防排烟系统、无管网气体灭火系统和防火卷帘系统。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3、放疗楼，建筑面积35972平米，地上16层，地下2层。</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设施内容：火灾自动报警系统、消防栓系统、喷淋系统、防排烟系统、高压水炮系统、气体灭火系统（有管网、无管网均有）和防火卷帘系统。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4、教学综合楼（含发热门诊），建筑面积7554平米，地上6层，地下1层。</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设施内容：火灾自动报警系统、消防栓系统。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5、食堂，建筑面积3778平米，地上3层，地下1层。</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设施内容：火灾自动报警系统、消防栓系统、喷淋系统、防排烟系统和防火卷帘系统。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6、门诊综合楼，建筑面积42071平方米，地下两层，地上九层。</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设施内容：火灾自动报警系统、消防栓系统、喷淋系统、防排烟系统、集中供电式应急照明疏散指示安全出口系统、无管网气体灭火系统和防火卷帘系统。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7、锅炉房（洗衣房），建筑面积2248平方米。</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设施内容：火灾自动报警系统、消防栓系统、喷淋系统、防排烟系统。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8、设施内容，建筑面积23250平米，地上18层，地下1层。</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维护范围：火灾自动报警系统、消防栓系统、防排烟系统、无管网气体灭火系统。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合计：181767平方米</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二、检测年度：2024、2025两年。</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检测内容：</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中标人负责对以下产权归属招标人所有消防设施进行检测，必须达到符合国家相关规范标准。</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自动报警系统；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自动喷水灭火系统；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室内外消火栓系统；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消防广播系统；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消防通讯系统；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防火卷帘系统；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防排烟系统；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高压水炮系统；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气体灭火系统；</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应急照明及疏散指示标志；</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消防供配电设施。</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检测要求：</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中标</w:t>
      </w:r>
      <w:r>
        <w:rPr>
          <w:rFonts w:hint="eastAsia" w:ascii="宋体" w:hAnsi="宋体" w:cs="宋体"/>
          <w:color w:val="auto"/>
          <w:sz w:val="24"/>
          <w:szCs w:val="24"/>
          <w:highlight w:val="none"/>
        </w:rPr>
        <w:t>人必须具有国家相关部门颁发的消防设施检测资质并经过消防主管部门认可，负责检测的人员应当具有国家颁发的执业资格。检测人数必须达到规范标准要求，检测用的仪器、仪表等，应按国家现行有关规定计量检测合格。如因中标人原因造成招标人消防设施故障，中标人负责进行包工包料免费维修及更换。</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中标人对招标人的消防系统进行年度检测，检测程序及检测结果符合国家相关建筑消防设施检测标准。在检测过程中不得降低检测标准和服务水准，开展检测工作有完整的原始检测记录。</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按照招标人要求的检测时间对消防系统进行检测，做好初检、复检及提供符合要求的检测报告等相关工作。</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及时提交在检测工作中发现的问题并协助招标人进行整改。</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中标人对上述消防设备设施的系统功能、运行状态，安装施工质量、设备质量数量等是否符合国家消防标准规范进行全面检测，中标人根据相关消防检测规程，本着客观，公正、科学的原则进行检测，检测完毕应当如实出具检测报告，作为招标人改进消防系统的依据。</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中标人完成检测工作，向招标人正式提交有效的《检测报告》并经招标人验收合格，招标人按程序</w:t>
      </w:r>
      <w:r>
        <w:rPr>
          <w:rFonts w:hint="eastAsia" w:ascii="宋体" w:hAnsi="宋体" w:cs="宋体"/>
          <w:color w:val="auto"/>
          <w:sz w:val="24"/>
          <w:szCs w:val="24"/>
          <w:highlight w:val="none"/>
          <w:lang w:eastAsia="zh-CN"/>
        </w:rPr>
        <w:t>进行</w:t>
      </w:r>
      <w:r>
        <w:rPr>
          <w:rFonts w:hint="eastAsia" w:ascii="宋体" w:hAnsi="宋体" w:cs="宋体"/>
          <w:color w:val="auto"/>
          <w:sz w:val="24"/>
          <w:szCs w:val="24"/>
          <w:highlight w:val="none"/>
        </w:rPr>
        <w:t>付款。</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中标人应对履行合同期间人员的自身安全问题负责，检测时应采取必要的安全保护措施。在合同履行过程中，发生中标人任何的人身危险和损害，招标人不承担任何责任，由</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自行承担。</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依照《中华人民共和国政府采购法》和《中华人民共和国合同法》等相关法律法规制定，未尽事项皆受上述法律法规约束。双方发生争议时，应先协商解决，经协商不能达成协议时，向招标人当地法院提起诉讼。</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检测费用包含招标人北院区预计2024年6月竣工的核医学楼检测工作，建筑面积：1.36万平方米，地上4层，地下3 层。</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负责联系专业培训师，每季度对消防控制室全体工作人员按照中级以上知识水平，进行一次业务培训，主要培训最新的法律法规和相关的规范和规程，对工作人员正确操控消防控制报警主机和楼宇内的消防设施使用进行提高和培训。</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法律依据：</w:t>
      </w: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中华人民共和国消防法》、《新疆维吾尔自治区消防条例》、《建筑消防设施检测技术规程》（GA503-2004）、《建筑消防设施质量检测评定规程》（DB65/T3253-2011）、《建筑设计防火规范》（GB50016-2014）等相关规定。</w:t>
      </w:r>
    </w:p>
    <w:p>
      <w:pPr>
        <w:pStyle w:val="19"/>
        <w:shd w:val="clear"/>
        <w:rPr>
          <w:color w:val="auto"/>
          <w:highlight w:val="none"/>
        </w:rPr>
      </w:pPr>
    </w:p>
    <w:p>
      <w:pPr>
        <w:pStyle w:val="30"/>
        <w:shd w:val="clear"/>
        <w:spacing w:line="360" w:lineRule="auto"/>
        <w:ind w:firstLine="560" w:firstLineChars="200"/>
        <w:jc w:val="both"/>
        <w:rPr>
          <w:rFonts w:ascii="宋体" w:hAnsi="宋体" w:cs="宋体"/>
          <w:color w:val="auto"/>
          <w:sz w:val="28"/>
          <w:highlight w:val="none"/>
        </w:rPr>
      </w:pPr>
    </w:p>
    <w:p>
      <w:pPr>
        <w:pStyle w:val="30"/>
        <w:shd w:val="clear"/>
        <w:spacing w:line="360" w:lineRule="auto"/>
        <w:jc w:val="both"/>
        <w:rPr>
          <w:rFonts w:ascii="宋体" w:hAnsi="宋体" w:cs="宋体"/>
          <w:color w:val="auto"/>
          <w:sz w:val="28"/>
          <w:highlight w:val="none"/>
        </w:rPr>
      </w:pPr>
    </w:p>
    <w:p>
      <w:pPr>
        <w:pStyle w:val="30"/>
        <w:shd w:val="clear"/>
        <w:spacing w:line="360" w:lineRule="auto"/>
        <w:jc w:val="both"/>
        <w:rPr>
          <w:rFonts w:ascii="宋体" w:hAnsi="宋体" w:cs="宋体"/>
          <w:color w:val="auto"/>
          <w:sz w:val="28"/>
          <w:highlight w:val="none"/>
        </w:rPr>
      </w:pPr>
    </w:p>
    <w:p>
      <w:pPr>
        <w:pStyle w:val="30"/>
        <w:shd w:val="clear"/>
        <w:spacing w:line="360" w:lineRule="auto"/>
        <w:jc w:val="both"/>
        <w:rPr>
          <w:rFonts w:ascii="宋体" w:hAnsi="宋体" w:cs="宋体"/>
          <w:color w:val="auto"/>
          <w:sz w:val="28"/>
          <w:highlight w:val="none"/>
        </w:rPr>
      </w:pPr>
    </w:p>
    <w:p>
      <w:pPr>
        <w:pStyle w:val="30"/>
        <w:shd w:val="clear"/>
        <w:spacing w:line="360" w:lineRule="auto"/>
        <w:jc w:val="both"/>
        <w:rPr>
          <w:rFonts w:ascii="宋体" w:hAnsi="宋体" w:cs="宋体"/>
          <w:color w:val="auto"/>
          <w:sz w:val="28"/>
          <w:highlight w:val="none"/>
        </w:rPr>
      </w:pPr>
    </w:p>
    <w:p>
      <w:pPr>
        <w:pStyle w:val="30"/>
        <w:shd w:val="clear"/>
        <w:spacing w:line="360" w:lineRule="auto"/>
        <w:jc w:val="both"/>
        <w:rPr>
          <w:rFonts w:ascii="宋体" w:hAnsi="宋体" w:cs="宋体"/>
          <w:color w:val="auto"/>
          <w:sz w:val="28"/>
          <w:highlight w:val="none"/>
        </w:rPr>
      </w:pPr>
    </w:p>
    <w:p>
      <w:pPr>
        <w:pStyle w:val="30"/>
        <w:shd w:val="clear"/>
        <w:spacing w:line="360" w:lineRule="auto"/>
        <w:jc w:val="both"/>
        <w:rPr>
          <w:rFonts w:ascii="宋体" w:hAnsi="宋体" w:cs="宋体"/>
          <w:color w:val="auto"/>
          <w:sz w:val="28"/>
          <w:highlight w:val="none"/>
        </w:rPr>
      </w:pPr>
    </w:p>
    <w:p>
      <w:pPr>
        <w:pStyle w:val="30"/>
        <w:shd w:val="clear"/>
        <w:spacing w:line="360" w:lineRule="auto"/>
        <w:jc w:val="both"/>
        <w:rPr>
          <w:rFonts w:ascii="宋体" w:hAnsi="宋体" w:cs="宋体"/>
          <w:color w:val="auto"/>
          <w:sz w:val="28"/>
          <w:highlight w:val="none"/>
        </w:rPr>
      </w:pPr>
    </w:p>
    <w:p>
      <w:pPr>
        <w:pStyle w:val="30"/>
        <w:shd w:val="clear"/>
        <w:spacing w:line="360" w:lineRule="auto"/>
        <w:jc w:val="both"/>
        <w:rPr>
          <w:rFonts w:ascii="宋体" w:hAnsi="宋体" w:cs="宋体"/>
          <w:color w:val="auto"/>
          <w:sz w:val="28"/>
          <w:highlight w:val="none"/>
        </w:rPr>
      </w:pPr>
    </w:p>
    <w:p>
      <w:pPr>
        <w:pStyle w:val="30"/>
        <w:shd w:val="clear"/>
        <w:spacing w:line="360" w:lineRule="auto"/>
        <w:jc w:val="both"/>
        <w:rPr>
          <w:rFonts w:ascii="宋体" w:hAnsi="宋体" w:cs="宋体"/>
          <w:color w:val="auto"/>
          <w:sz w:val="28"/>
          <w:highlight w:val="none"/>
        </w:rPr>
      </w:pPr>
    </w:p>
    <w:p>
      <w:pPr>
        <w:pStyle w:val="30"/>
        <w:shd w:val="clear"/>
        <w:spacing w:line="360" w:lineRule="auto"/>
        <w:jc w:val="both"/>
        <w:rPr>
          <w:rFonts w:ascii="宋体" w:hAnsi="宋体" w:cs="宋体"/>
          <w:color w:val="auto"/>
          <w:sz w:val="28"/>
          <w:highlight w:val="none"/>
        </w:rPr>
      </w:pPr>
    </w:p>
    <w:p>
      <w:pPr>
        <w:pStyle w:val="30"/>
        <w:shd w:val="clear"/>
        <w:spacing w:line="360" w:lineRule="auto"/>
        <w:jc w:val="both"/>
        <w:rPr>
          <w:rFonts w:ascii="宋体" w:hAnsi="宋体" w:cs="宋体"/>
          <w:color w:val="auto"/>
          <w:sz w:val="28"/>
          <w:highlight w:val="none"/>
        </w:rPr>
      </w:pPr>
    </w:p>
    <w:p>
      <w:pPr>
        <w:pStyle w:val="30"/>
        <w:shd w:val="clear"/>
        <w:spacing w:line="360" w:lineRule="auto"/>
        <w:jc w:val="both"/>
        <w:rPr>
          <w:rFonts w:ascii="宋体" w:hAnsi="宋体" w:cs="宋体"/>
          <w:color w:val="auto"/>
          <w:sz w:val="28"/>
          <w:highlight w:val="none"/>
        </w:rPr>
      </w:pPr>
    </w:p>
    <w:p>
      <w:pPr>
        <w:pStyle w:val="30"/>
        <w:shd w:val="clear"/>
        <w:spacing w:line="360" w:lineRule="auto"/>
        <w:jc w:val="both"/>
        <w:rPr>
          <w:rFonts w:ascii="宋体" w:hAnsi="宋体" w:cs="宋体"/>
          <w:color w:val="auto"/>
          <w:sz w:val="28"/>
          <w:highlight w:val="none"/>
        </w:rPr>
      </w:pPr>
    </w:p>
    <w:p>
      <w:pPr>
        <w:pStyle w:val="30"/>
        <w:shd w:val="clear"/>
        <w:jc w:val="center"/>
        <w:outlineLvl w:val="0"/>
        <w:rPr>
          <w:rFonts w:ascii="宋体" w:hAnsi="宋体" w:cs="宋体"/>
          <w:b/>
          <w:color w:val="auto"/>
          <w:sz w:val="40"/>
          <w:highlight w:val="none"/>
        </w:rPr>
      </w:pPr>
      <w:bookmarkStart w:id="88" w:name="_Toc4949"/>
      <w:bookmarkStart w:id="89" w:name="_Toc5355"/>
      <w:r>
        <w:rPr>
          <w:rFonts w:hint="eastAsia" w:ascii="宋体" w:hAnsi="宋体" w:cs="宋体"/>
          <w:b/>
          <w:color w:val="auto"/>
          <w:sz w:val="40"/>
          <w:highlight w:val="none"/>
        </w:rPr>
        <w:t>第四章 合同条款</w:t>
      </w:r>
      <w:bookmarkEnd w:id="88"/>
    </w:p>
    <w:p>
      <w:pPr>
        <w:pStyle w:val="3"/>
        <w:shd w:val="clear"/>
        <w:tabs>
          <w:tab w:val="left" w:pos="360"/>
        </w:tabs>
        <w:spacing w:after="100" w:afterAutospacing="1" w:line="400" w:lineRule="atLeast"/>
        <w:rPr>
          <w:rFonts w:ascii="宋体" w:hAnsi="宋体"/>
          <w:color w:val="auto"/>
          <w:sz w:val="24"/>
          <w:highlight w:val="none"/>
        </w:rPr>
      </w:pPr>
      <w:bookmarkStart w:id="90" w:name="_Toc18970"/>
      <w:r>
        <w:rPr>
          <w:rFonts w:hint="eastAsia" w:ascii="等线 Light" w:hAnsi="等线 Light" w:eastAsia="宋体" w:cs="等线 Light"/>
          <w:color w:val="auto"/>
          <w:sz w:val="30"/>
          <w:szCs w:val="30"/>
          <w:highlight w:val="none"/>
        </w:rPr>
        <w:t>（仅供参考，具体以甲方签订合同为准）</w:t>
      </w:r>
      <w:bookmarkEnd w:id="90"/>
    </w:p>
    <w:p>
      <w:pPr>
        <w:shd w:val="clear"/>
        <w:tabs>
          <w:tab w:val="left" w:pos="540"/>
          <w:tab w:val="center" w:pos="4819"/>
        </w:tabs>
        <w:spacing w:afterLines="100" w:line="800" w:lineRule="exact"/>
        <w:rPr>
          <w:rFonts w:ascii="宋体" w:hAnsi="宋体" w:cs="宋体"/>
          <w:b/>
          <w:color w:val="auto"/>
          <w:sz w:val="44"/>
          <w:szCs w:val="44"/>
          <w:highlight w:val="none"/>
        </w:rPr>
      </w:pPr>
      <w:bookmarkStart w:id="91" w:name="_Toc14344"/>
    </w:p>
    <w:p>
      <w:pPr>
        <w:pStyle w:val="30"/>
        <w:shd w:val="clear"/>
        <w:jc w:val="center"/>
        <w:outlineLvl w:val="0"/>
        <w:rPr>
          <w:rFonts w:ascii="宋体" w:hAnsi="宋体" w:cs="宋体"/>
          <w:b/>
          <w:color w:val="auto"/>
          <w:sz w:val="40"/>
          <w:highlight w:val="none"/>
        </w:rPr>
      </w:pPr>
    </w:p>
    <w:p>
      <w:pPr>
        <w:pStyle w:val="30"/>
        <w:shd w:val="clear"/>
        <w:jc w:val="center"/>
        <w:outlineLvl w:val="0"/>
        <w:rPr>
          <w:rFonts w:ascii="宋体" w:hAnsi="宋体" w:cs="宋体"/>
          <w:b/>
          <w:color w:val="auto"/>
          <w:sz w:val="40"/>
          <w:highlight w:val="none"/>
        </w:rPr>
      </w:pPr>
    </w:p>
    <w:p>
      <w:pPr>
        <w:pStyle w:val="30"/>
        <w:shd w:val="clear"/>
        <w:jc w:val="center"/>
        <w:outlineLvl w:val="0"/>
        <w:rPr>
          <w:rFonts w:ascii="宋体" w:hAnsi="宋体" w:cs="宋体"/>
          <w:b/>
          <w:color w:val="auto"/>
          <w:sz w:val="40"/>
          <w:highlight w:val="none"/>
        </w:rPr>
      </w:pPr>
    </w:p>
    <w:p>
      <w:pPr>
        <w:pStyle w:val="30"/>
        <w:shd w:val="clear"/>
        <w:jc w:val="center"/>
        <w:outlineLvl w:val="0"/>
        <w:rPr>
          <w:rFonts w:ascii="宋体" w:hAnsi="宋体" w:cs="宋体"/>
          <w:b/>
          <w:color w:val="auto"/>
          <w:sz w:val="40"/>
          <w:highlight w:val="none"/>
        </w:rPr>
      </w:pPr>
    </w:p>
    <w:p>
      <w:pPr>
        <w:pStyle w:val="30"/>
        <w:shd w:val="clear"/>
        <w:jc w:val="center"/>
        <w:outlineLvl w:val="0"/>
        <w:rPr>
          <w:rFonts w:ascii="宋体" w:hAnsi="宋体" w:cs="宋体"/>
          <w:b/>
          <w:color w:val="auto"/>
          <w:sz w:val="40"/>
          <w:highlight w:val="none"/>
        </w:rPr>
      </w:pPr>
    </w:p>
    <w:p>
      <w:pPr>
        <w:pStyle w:val="30"/>
        <w:shd w:val="clear"/>
        <w:jc w:val="center"/>
        <w:outlineLvl w:val="0"/>
        <w:rPr>
          <w:rFonts w:ascii="宋体" w:hAnsi="宋体" w:cs="宋体"/>
          <w:b/>
          <w:color w:val="auto"/>
          <w:sz w:val="40"/>
          <w:highlight w:val="none"/>
        </w:rPr>
      </w:pPr>
    </w:p>
    <w:p>
      <w:pPr>
        <w:pStyle w:val="30"/>
        <w:shd w:val="clear"/>
        <w:jc w:val="center"/>
        <w:outlineLvl w:val="0"/>
        <w:rPr>
          <w:rFonts w:ascii="宋体" w:hAnsi="宋体" w:cs="宋体"/>
          <w:b/>
          <w:color w:val="auto"/>
          <w:sz w:val="40"/>
          <w:highlight w:val="none"/>
        </w:rPr>
      </w:pPr>
    </w:p>
    <w:p>
      <w:pPr>
        <w:pStyle w:val="30"/>
        <w:shd w:val="clear"/>
        <w:jc w:val="center"/>
        <w:outlineLvl w:val="0"/>
        <w:rPr>
          <w:rFonts w:ascii="宋体" w:hAnsi="宋体" w:cs="宋体"/>
          <w:b/>
          <w:color w:val="auto"/>
          <w:sz w:val="40"/>
          <w:highlight w:val="none"/>
        </w:rPr>
      </w:pPr>
    </w:p>
    <w:p>
      <w:pPr>
        <w:pStyle w:val="30"/>
        <w:shd w:val="clear"/>
        <w:jc w:val="center"/>
        <w:outlineLvl w:val="0"/>
        <w:rPr>
          <w:rFonts w:ascii="宋体" w:hAnsi="宋体" w:cs="宋体"/>
          <w:b/>
          <w:color w:val="auto"/>
          <w:sz w:val="40"/>
          <w:highlight w:val="none"/>
        </w:rPr>
      </w:pPr>
    </w:p>
    <w:p>
      <w:pPr>
        <w:pStyle w:val="30"/>
        <w:shd w:val="clear"/>
        <w:jc w:val="center"/>
        <w:outlineLvl w:val="0"/>
        <w:rPr>
          <w:rFonts w:ascii="宋体" w:hAnsi="宋体" w:cs="宋体"/>
          <w:b/>
          <w:color w:val="auto"/>
          <w:sz w:val="40"/>
          <w:highlight w:val="none"/>
        </w:rPr>
      </w:pPr>
    </w:p>
    <w:p>
      <w:pPr>
        <w:pStyle w:val="30"/>
        <w:shd w:val="clear"/>
        <w:jc w:val="center"/>
        <w:outlineLvl w:val="0"/>
        <w:rPr>
          <w:rFonts w:ascii="宋体" w:hAnsi="宋体" w:cs="宋体"/>
          <w:b/>
          <w:color w:val="auto"/>
          <w:sz w:val="40"/>
          <w:highlight w:val="none"/>
        </w:rPr>
      </w:pPr>
    </w:p>
    <w:p>
      <w:pPr>
        <w:pStyle w:val="30"/>
        <w:shd w:val="clear"/>
        <w:jc w:val="center"/>
        <w:outlineLvl w:val="0"/>
        <w:rPr>
          <w:rFonts w:ascii="宋体" w:hAnsi="宋体" w:cs="宋体"/>
          <w:b/>
          <w:color w:val="auto"/>
          <w:sz w:val="40"/>
          <w:highlight w:val="none"/>
        </w:rPr>
      </w:pPr>
    </w:p>
    <w:p>
      <w:pPr>
        <w:pStyle w:val="30"/>
        <w:shd w:val="clear"/>
        <w:jc w:val="center"/>
        <w:outlineLvl w:val="0"/>
        <w:rPr>
          <w:rFonts w:ascii="宋体" w:hAnsi="宋体" w:cs="宋体"/>
          <w:b/>
          <w:color w:val="auto"/>
          <w:sz w:val="40"/>
          <w:highlight w:val="none"/>
        </w:rPr>
      </w:pPr>
    </w:p>
    <w:p>
      <w:pPr>
        <w:pStyle w:val="30"/>
        <w:shd w:val="clear"/>
        <w:jc w:val="center"/>
        <w:outlineLvl w:val="0"/>
        <w:rPr>
          <w:rFonts w:ascii="宋体" w:hAnsi="宋体" w:cs="宋体"/>
          <w:b/>
          <w:color w:val="auto"/>
          <w:sz w:val="40"/>
          <w:highlight w:val="none"/>
        </w:rPr>
      </w:pPr>
    </w:p>
    <w:p>
      <w:pPr>
        <w:pStyle w:val="30"/>
        <w:shd w:val="clear"/>
        <w:jc w:val="both"/>
        <w:outlineLvl w:val="0"/>
        <w:rPr>
          <w:rFonts w:ascii="宋体" w:hAnsi="宋体" w:cs="宋体"/>
          <w:b/>
          <w:color w:val="auto"/>
          <w:sz w:val="40"/>
          <w:highlight w:val="none"/>
        </w:rPr>
      </w:pPr>
    </w:p>
    <w:p>
      <w:pPr>
        <w:pStyle w:val="30"/>
        <w:shd w:val="clear"/>
        <w:jc w:val="center"/>
        <w:outlineLvl w:val="0"/>
        <w:rPr>
          <w:rFonts w:ascii="宋体" w:hAnsi="宋体" w:cs="宋体"/>
          <w:b/>
          <w:color w:val="auto"/>
          <w:sz w:val="40"/>
          <w:highlight w:val="none"/>
        </w:rPr>
      </w:pPr>
    </w:p>
    <w:p>
      <w:pPr>
        <w:pStyle w:val="30"/>
        <w:shd w:val="clear"/>
        <w:jc w:val="center"/>
        <w:outlineLvl w:val="0"/>
        <w:rPr>
          <w:rFonts w:ascii="宋体" w:hAnsi="宋体" w:cs="宋体"/>
          <w:b/>
          <w:color w:val="auto"/>
          <w:sz w:val="40"/>
          <w:highlight w:val="none"/>
        </w:rPr>
      </w:pPr>
    </w:p>
    <w:p>
      <w:pPr>
        <w:pStyle w:val="30"/>
        <w:shd w:val="clear"/>
        <w:jc w:val="center"/>
        <w:outlineLvl w:val="0"/>
        <w:rPr>
          <w:rFonts w:ascii="宋体" w:hAnsi="宋体" w:cs="宋体"/>
          <w:b/>
          <w:color w:val="auto"/>
          <w:sz w:val="40"/>
          <w:highlight w:val="none"/>
        </w:rPr>
      </w:pPr>
      <w:r>
        <w:rPr>
          <w:rFonts w:hint="eastAsia" w:ascii="宋体" w:hAnsi="宋体" w:cs="宋体"/>
          <w:b/>
          <w:color w:val="auto"/>
          <w:sz w:val="40"/>
          <w:highlight w:val="none"/>
        </w:rPr>
        <w:t>第五章 响应文件格式</w:t>
      </w:r>
      <w:bookmarkEnd w:id="89"/>
      <w:bookmarkEnd w:id="91"/>
    </w:p>
    <w:p>
      <w:pPr>
        <w:pStyle w:val="30"/>
        <w:shd w:val="clear"/>
        <w:spacing w:line="360" w:lineRule="atLeast"/>
        <w:jc w:val="center"/>
        <w:rPr>
          <w:rFonts w:ascii="宋体" w:hAnsi="宋体" w:cs="宋体"/>
          <w:b/>
          <w:color w:val="auto"/>
          <w:sz w:val="72"/>
          <w:highlight w:val="none"/>
        </w:rPr>
      </w:pPr>
    </w:p>
    <w:p>
      <w:pPr>
        <w:pStyle w:val="30"/>
        <w:shd w:val="clear"/>
        <w:spacing w:line="360" w:lineRule="atLeast"/>
        <w:jc w:val="center"/>
        <w:rPr>
          <w:rFonts w:ascii="宋体" w:hAnsi="宋体" w:cs="宋体"/>
          <w:b/>
          <w:color w:val="auto"/>
          <w:sz w:val="72"/>
          <w:highlight w:val="none"/>
        </w:rPr>
      </w:pPr>
    </w:p>
    <w:p>
      <w:pPr>
        <w:pStyle w:val="30"/>
        <w:shd w:val="clear"/>
        <w:spacing w:line="360" w:lineRule="atLeast"/>
        <w:jc w:val="center"/>
        <w:outlineLvl w:val="0"/>
        <w:rPr>
          <w:rFonts w:ascii="宋体" w:hAnsi="宋体" w:cs="宋体"/>
          <w:color w:val="auto"/>
          <w:highlight w:val="none"/>
        </w:rPr>
      </w:pPr>
      <w:bookmarkStart w:id="92" w:name="_Toc1593"/>
      <w:bookmarkStart w:id="93" w:name="_Toc26065"/>
      <w:r>
        <w:rPr>
          <w:rFonts w:hint="eastAsia" w:ascii="宋体" w:hAnsi="宋体" w:cs="宋体"/>
          <w:b/>
          <w:color w:val="auto"/>
          <w:sz w:val="72"/>
          <w:highlight w:val="none"/>
        </w:rPr>
        <w:t>招标项目投标书</w:t>
      </w:r>
      <w:bookmarkEnd w:id="92"/>
      <w:bookmarkEnd w:id="93"/>
    </w:p>
    <w:p>
      <w:pPr>
        <w:shd w:val="clear"/>
        <w:spacing w:line="360" w:lineRule="auto"/>
        <w:ind w:left="877" w:leftChars="418"/>
        <w:rPr>
          <w:rFonts w:ascii="宋体" w:hAnsi="宋体" w:cs="宋体"/>
          <w:color w:val="auto"/>
          <w:kern w:val="0"/>
          <w:sz w:val="44"/>
          <w:szCs w:val="24"/>
          <w:highlight w:val="none"/>
        </w:rPr>
      </w:pPr>
    </w:p>
    <w:p>
      <w:pPr>
        <w:shd w:val="clear"/>
        <w:spacing w:line="360" w:lineRule="auto"/>
        <w:ind w:left="877" w:leftChars="418"/>
        <w:rPr>
          <w:rFonts w:ascii="宋体" w:hAnsi="宋体" w:cs="宋体"/>
          <w:color w:val="auto"/>
          <w:kern w:val="0"/>
          <w:sz w:val="44"/>
          <w:szCs w:val="24"/>
          <w:highlight w:val="none"/>
        </w:rPr>
      </w:pPr>
    </w:p>
    <w:p>
      <w:pPr>
        <w:shd w:val="clear"/>
        <w:spacing w:line="360" w:lineRule="auto"/>
        <w:rPr>
          <w:rFonts w:ascii="宋体" w:hAnsi="宋体" w:cs="宋体"/>
          <w:color w:val="auto"/>
          <w:kern w:val="0"/>
          <w:sz w:val="44"/>
          <w:szCs w:val="24"/>
          <w:highlight w:val="none"/>
        </w:rPr>
      </w:pPr>
    </w:p>
    <w:p>
      <w:pPr>
        <w:shd w:val="clear"/>
        <w:spacing w:line="360" w:lineRule="auto"/>
        <w:ind w:left="877" w:leftChars="418"/>
        <w:rPr>
          <w:rFonts w:ascii="宋体" w:hAnsi="宋体" w:cs="宋体"/>
          <w:color w:val="auto"/>
          <w:kern w:val="0"/>
          <w:sz w:val="44"/>
          <w:szCs w:val="24"/>
          <w:highlight w:val="none"/>
        </w:rPr>
      </w:pPr>
    </w:p>
    <w:p>
      <w:pPr>
        <w:shd w:val="clear"/>
        <w:spacing w:line="360" w:lineRule="auto"/>
        <w:ind w:firstLine="560" w:firstLineChars="200"/>
        <w:outlineLvl w:val="0"/>
        <w:rPr>
          <w:rFonts w:ascii="宋体" w:hAnsi="宋体" w:cs="宋体"/>
          <w:color w:val="auto"/>
          <w:kern w:val="0"/>
          <w:sz w:val="28"/>
          <w:szCs w:val="28"/>
          <w:highlight w:val="none"/>
        </w:rPr>
      </w:pPr>
      <w:bookmarkStart w:id="94" w:name="_Toc8142"/>
      <w:bookmarkStart w:id="95" w:name="_Toc26167"/>
      <w:r>
        <w:rPr>
          <w:rFonts w:hint="eastAsia" w:ascii="宋体" w:hAnsi="宋体" w:cs="宋体"/>
          <w:color w:val="auto"/>
          <w:kern w:val="0"/>
          <w:sz w:val="28"/>
          <w:szCs w:val="28"/>
          <w:highlight w:val="none"/>
        </w:rPr>
        <w:t>招标项目名称：</w:t>
      </w:r>
      <w:bookmarkEnd w:id="94"/>
      <w:bookmarkEnd w:id="95"/>
    </w:p>
    <w:p>
      <w:pPr>
        <w:shd w:val="clear"/>
        <w:spacing w:line="360" w:lineRule="auto"/>
        <w:ind w:left="1680" w:hanging="1680"/>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w:t>
      </w:r>
    </w:p>
    <w:p>
      <w:pPr>
        <w:pStyle w:val="30"/>
        <w:shd w:val="clear"/>
        <w:spacing w:line="360" w:lineRule="auto"/>
        <w:ind w:firstLine="560" w:firstLineChars="200"/>
        <w:jc w:val="both"/>
        <w:outlineLvl w:val="0"/>
        <w:rPr>
          <w:rFonts w:ascii="宋体" w:hAnsi="宋体" w:cs="宋体"/>
          <w:color w:val="auto"/>
          <w:sz w:val="28"/>
          <w:szCs w:val="28"/>
          <w:highlight w:val="none"/>
        </w:rPr>
      </w:pPr>
      <w:bookmarkStart w:id="96" w:name="_Toc10355"/>
      <w:bookmarkStart w:id="97" w:name="_Toc27455"/>
      <w:r>
        <w:rPr>
          <w:rFonts w:hint="eastAsia" w:ascii="宋体" w:hAnsi="宋体" w:cs="宋体"/>
          <w:color w:val="auto"/>
          <w:sz w:val="28"/>
          <w:szCs w:val="28"/>
          <w:highlight w:val="none"/>
        </w:rPr>
        <w:t>磋商文件编号：</w:t>
      </w:r>
      <w:bookmarkEnd w:id="96"/>
      <w:bookmarkEnd w:id="97"/>
      <w:r>
        <w:rPr>
          <w:rFonts w:hint="eastAsia" w:ascii="宋体" w:hAnsi="宋体" w:cs="宋体"/>
          <w:color w:val="auto"/>
          <w:sz w:val="28"/>
          <w:szCs w:val="28"/>
          <w:highlight w:val="none"/>
        </w:rPr>
        <w:t xml:space="preserve"> </w:t>
      </w:r>
    </w:p>
    <w:p>
      <w:pPr>
        <w:pStyle w:val="30"/>
        <w:shd w:val="clear"/>
        <w:spacing w:line="360" w:lineRule="atLeast"/>
        <w:ind w:firstLine="567"/>
        <w:jc w:val="both"/>
        <w:rPr>
          <w:rFonts w:ascii="宋体" w:hAnsi="宋体" w:cs="宋体"/>
          <w:color w:val="auto"/>
          <w:sz w:val="28"/>
          <w:szCs w:val="28"/>
          <w:highlight w:val="none"/>
        </w:rPr>
      </w:pPr>
    </w:p>
    <w:p>
      <w:pPr>
        <w:pStyle w:val="30"/>
        <w:shd w:val="clear"/>
        <w:spacing w:line="360" w:lineRule="atLeast"/>
        <w:ind w:firstLine="560" w:firstLineChars="200"/>
        <w:jc w:val="both"/>
        <w:outlineLvl w:val="0"/>
        <w:rPr>
          <w:rFonts w:ascii="宋体" w:hAnsi="宋体" w:cs="宋体"/>
          <w:color w:val="auto"/>
          <w:sz w:val="28"/>
          <w:szCs w:val="28"/>
          <w:highlight w:val="none"/>
        </w:rPr>
      </w:pPr>
      <w:bookmarkStart w:id="98" w:name="_Toc24143"/>
      <w:bookmarkStart w:id="99" w:name="_Toc13667"/>
      <w:r>
        <w:rPr>
          <w:rFonts w:hint="eastAsia" w:ascii="宋体" w:hAnsi="宋体" w:cs="宋体"/>
          <w:color w:val="auto"/>
          <w:sz w:val="28"/>
          <w:szCs w:val="28"/>
          <w:highlight w:val="none"/>
        </w:rPr>
        <w:t>投 标 单 位 ：</w:t>
      </w:r>
      <w:bookmarkEnd w:id="98"/>
      <w:bookmarkEnd w:id="99"/>
      <w:r>
        <w:rPr>
          <w:rFonts w:hint="eastAsia" w:ascii="宋体" w:hAnsi="宋体" w:cs="宋体"/>
          <w:color w:val="auto"/>
          <w:sz w:val="28"/>
          <w:szCs w:val="28"/>
          <w:highlight w:val="none"/>
        </w:rPr>
        <w:t xml:space="preserve"> </w:t>
      </w:r>
    </w:p>
    <w:p>
      <w:pPr>
        <w:pStyle w:val="30"/>
        <w:shd w:val="clear"/>
        <w:spacing w:line="360" w:lineRule="atLeast"/>
        <w:ind w:firstLine="567"/>
        <w:jc w:val="both"/>
        <w:rPr>
          <w:rFonts w:ascii="宋体" w:hAnsi="宋体" w:cs="宋体"/>
          <w:color w:val="auto"/>
          <w:sz w:val="28"/>
          <w:szCs w:val="28"/>
          <w:highlight w:val="none"/>
        </w:rPr>
      </w:pPr>
    </w:p>
    <w:p>
      <w:pPr>
        <w:pStyle w:val="30"/>
        <w:shd w:val="clear"/>
        <w:spacing w:line="360" w:lineRule="atLeast"/>
        <w:ind w:firstLine="560" w:firstLineChars="200"/>
        <w:jc w:val="both"/>
        <w:outlineLvl w:val="0"/>
        <w:rPr>
          <w:rFonts w:ascii="宋体" w:hAnsi="宋体" w:cs="宋体"/>
          <w:color w:val="auto"/>
          <w:sz w:val="28"/>
          <w:szCs w:val="28"/>
          <w:highlight w:val="none"/>
        </w:rPr>
      </w:pPr>
      <w:bookmarkStart w:id="100" w:name="_Toc27430"/>
      <w:bookmarkStart w:id="101" w:name="_Toc31193"/>
      <w:r>
        <w:rPr>
          <w:rFonts w:hint="eastAsia" w:ascii="宋体" w:hAnsi="宋体" w:cs="宋体"/>
          <w:color w:val="auto"/>
          <w:sz w:val="28"/>
          <w:szCs w:val="28"/>
          <w:highlight w:val="none"/>
        </w:rPr>
        <w:t>投标单位全权代表：</w:t>
      </w:r>
      <w:bookmarkEnd w:id="100"/>
      <w:bookmarkEnd w:id="101"/>
      <w:r>
        <w:rPr>
          <w:rFonts w:hint="eastAsia" w:ascii="宋体" w:hAnsi="宋体" w:cs="宋体"/>
          <w:color w:val="auto"/>
          <w:sz w:val="28"/>
          <w:szCs w:val="28"/>
          <w:highlight w:val="none"/>
        </w:rPr>
        <w:t xml:space="preserve"> </w:t>
      </w:r>
    </w:p>
    <w:p>
      <w:pPr>
        <w:pStyle w:val="30"/>
        <w:shd w:val="clear"/>
        <w:spacing w:line="360" w:lineRule="atLeast"/>
        <w:jc w:val="both"/>
        <w:rPr>
          <w:rFonts w:ascii="宋体" w:hAnsi="宋体" w:cs="宋体"/>
          <w:color w:val="auto"/>
          <w:sz w:val="28"/>
          <w:szCs w:val="28"/>
          <w:highlight w:val="none"/>
        </w:rPr>
      </w:pPr>
    </w:p>
    <w:p>
      <w:pPr>
        <w:pStyle w:val="30"/>
        <w:shd w:val="clear"/>
        <w:spacing w:line="360" w:lineRule="atLeast"/>
        <w:ind w:firstLine="4819"/>
        <w:jc w:val="both"/>
        <w:outlineLvl w:val="0"/>
        <w:rPr>
          <w:rFonts w:ascii="宋体" w:hAnsi="宋体" w:cs="宋体"/>
          <w:color w:val="auto"/>
          <w:sz w:val="28"/>
          <w:szCs w:val="28"/>
          <w:highlight w:val="none"/>
        </w:rPr>
      </w:pPr>
      <w:bookmarkStart w:id="102" w:name="_Toc8194"/>
      <w:bookmarkStart w:id="103" w:name="_Toc30744"/>
      <w:r>
        <w:rPr>
          <w:rFonts w:hint="eastAsia" w:ascii="宋体" w:hAnsi="宋体" w:cs="宋体"/>
          <w:color w:val="auto"/>
          <w:sz w:val="28"/>
          <w:szCs w:val="28"/>
          <w:highlight w:val="none"/>
        </w:rPr>
        <w:t>投标单位：（公章）</w:t>
      </w:r>
      <w:bookmarkEnd w:id="102"/>
      <w:bookmarkEnd w:id="103"/>
    </w:p>
    <w:p>
      <w:pPr>
        <w:pStyle w:val="30"/>
        <w:shd w:val="clear"/>
        <w:spacing w:line="360" w:lineRule="atLeast"/>
        <w:jc w:val="center"/>
        <w:outlineLvl w:val="0"/>
        <w:rPr>
          <w:rFonts w:ascii="宋体" w:hAnsi="宋体" w:cs="宋体"/>
          <w:color w:val="auto"/>
          <w:highlight w:val="none"/>
        </w:rPr>
      </w:pPr>
      <w:bookmarkStart w:id="104" w:name="_Toc533086813"/>
      <w:bookmarkStart w:id="105" w:name="_Toc12836"/>
      <w:bookmarkStart w:id="106" w:name="_Toc14201"/>
      <w:bookmarkStart w:id="107" w:name="_Toc26662"/>
      <w:bookmarkStart w:id="108" w:name="_Toc1782"/>
      <w:r>
        <w:rPr>
          <w:rFonts w:hint="eastAsia" w:ascii="宋体" w:hAnsi="宋体" w:cs="宋体"/>
          <w:b/>
          <w:color w:val="auto"/>
          <w:sz w:val="36"/>
          <w:highlight w:val="none"/>
        </w:rPr>
        <w:t>附件1：投标函</w:t>
      </w:r>
      <w:bookmarkEnd w:id="104"/>
      <w:bookmarkEnd w:id="105"/>
      <w:bookmarkEnd w:id="106"/>
      <w:bookmarkEnd w:id="107"/>
      <w:bookmarkEnd w:id="108"/>
    </w:p>
    <w:p>
      <w:pPr>
        <w:shd w:val="clear"/>
        <w:spacing w:line="360" w:lineRule="auto"/>
        <w:jc w:val="left"/>
        <w:rPr>
          <w:rFonts w:ascii="宋体" w:hAnsi="宋体" w:cs="宋体"/>
          <w:b/>
          <w:color w:val="auto"/>
          <w:sz w:val="24"/>
          <w:highlight w:val="none"/>
        </w:rPr>
      </w:pPr>
      <w:r>
        <w:rPr>
          <w:rFonts w:hint="eastAsia" w:ascii="宋体" w:hAnsi="宋体" w:cs="宋体"/>
          <w:color w:val="auto"/>
          <w:kern w:val="1"/>
          <w:sz w:val="24"/>
          <w:highlight w:val="none"/>
        </w:rPr>
        <w:t>华诚博远工程咨询有限公司：</w:t>
      </w:r>
    </w:p>
    <w:p>
      <w:pPr>
        <w:shd w:val="clear"/>
        <w:spacing w:line="360" w:lineRule="auto"/>
        <w:ind w:firstLine="480" w:firstLineChars="200"/>
        <w:jc w:val="left"/>
        <w:rPr>
          <w:rFonts w:ascii="宋体" w:hAnsi="宋体" w:cs="宋体"/>
          <w:b/>
          <w:color w:val="auto"/>
          <w:sz w:val="24"/>
          <w:highlight w:val="none"/>
        </w:rPr>
      </w:pPr>
      <w:r>
        <w:rPr>
          <w:rFonts w:ascii="宋体" w:hAnsi="宋体" w:cs="宋体"/>
          <w:color w:val="auto"/>
          <w:sz w:val="24"/>
          <w:highlight w:val="none"/>
        </w:rPr>
        <w:t>我方确认收到贵方提供的关于《</w:t>
      </w:r>
      <w:r>
        <w:rPr>
          <w:rFonts w:hint="eastAsia" w:ascii="宋体" w:hAnsi="宋体" w:cs="宋体"/>
          <w:color w:val="auto"/>
          <w:sz w:val="24"/>
          <w:highlight w:val="none"/>
          <w:shd w:val="clear" w:color="auto" w:fill="FFFFFF"/>
        </w:rPr>
        <w:t>新疆医科大学附属肿瘤医院消防设施维护及检测项目</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二次</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rPr>
        <w:t>》</w:t>
      </w:r>
      <w:r>
        <w:rPr>
          <w:rFonts w:ascii="宋体" w:hAnsi="宋体" w:cs="宋体"/>
          <w:color w:val="auto"/>
          <w:sz w:val="24"/>
          <w:highlight w:val="none"/>
        </w:rPr>
        <w:t>的全部内容，我方</w:t>
      </w:r>
      <w:r>
        <w:rPr>
          <w:rFonts w:ascii="宋体" w:hAnsi="宋体" w:cs="宋体"/>
          <w:color w:val="auto"/>
          <w:sz w:val="24"/>
          <w:highlight w:val="none"/>
          <w:u w:val="single"/>
        </w:rPr>
        <w:t>（投标人名称）</w:t>
      </w:r>
      <w:r>
        <w:rPr>
          <w:rFonts w:ascii="宋体" w:hAnsi="宋体" w:cs="宋体"/>
          <w:color w:val="auto"/>
          <w:sz w:val="24"/>
          <w:highlight w:val="none"/>
        </w:rPr>
        <w:t>作为投标者正式授权</w:t>
      </w:r>
      <w:r>
        <w:rPr>
          <w:rFonts w:ascii="宋体" w:hAnsi="宋体" w:cs="宋体"/>
          <w:color w:val="auto"/>
          <w:sz w:val="24"/>
          <w:highlight w:val="none"/>
          <w:u w:val="single"/>
        </w:rPr>
        <w:t xml:space="preserve"> （授权代表姓名）</w:t>
      </w:r>
      <w:r>
        <w:rPr>
          <w:rFonts w:ascii="宋体" w:hAnsi="宋体" w:cs="宋体"/>
          <w:color w:val="auto"/>
          <w:sz w:val="24"/>
          <w:highlight w:val="none"/>
        </w:rPr>
        <w:t>代表我方进行有关本次投标的一切事宜。</w:t>
      </w:r>
    </w:p>
    <w:p>
      <w:pPr>
        <w:shd w:val="clea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我方已完全明白</w:t>
      </w:r>
      <w:r>
        <w:rPr>
          <w:rFonts w:hint="eastAsia" w:ascii="宋体" w:hAnsi="宋体" w:cs="宋体"/>
          <w:color w:val="auto"/>
          <w:sz w:val="24"/>
          <w:highlight w:val="none"/>
        </w:rPr>
        <w:t>磋商文件</w:t>
      </w:r>
      <w:r>
        <w:rPr>
          <w:rFonts w:ascii="宋体" w:hAnsi="宋体" w:cs="宋体"/>
          <w:color w:val="auto"/>
          <w:sz w:val="24"/>
          <w:highlight w:val="none"/>
        </w:rPr>
        <w:t>的所有条款要求，并重申以下几点：</w:t>
      </w:r>
    </w:p>
    <w:p>
      <w:pPr>
        <w:shd w:val="clear"/>
        <w:spacing w:line="360" w:lineRule="auto"/>
        <w:ind w:firstLine="480" w:firstLineChars="200"/>
        <w:jc w:val="left"/>
        <w:rPr>
          <w:rFonts w:ascii="宋体" w:hAnsi="宋体" w:cs="宋体"/>
          <w:b/>
          <w:bCs/>
          <w:color w:val="auto"/>
          <w:sz w:val="24"/>
          <w:highlight w:val="none"/>
        </w:rPr>
      </w:pPr>
      <w:r>
        <w:rPr>
          <w:rFonts w:ascii="宋体" w:hAnsi="宋体" w:cs="宋体"/>
          <w:color w:val="auto"/>
          <w:sz w:val="24"/>
          <w:highlight w:val="none"/>
        </w:rPr>
        <w:t>1、我方决定参加贵方</w:t>
      </w:r>
      <w:r>
        <w:rPr>
          <w:rFonts w:hint="eastAsia" w:ascii="宋体" w:hAnsi="宋体" w:cs="宋体"/>
          <w:b/>
          <w:bCs/>
          <w:color w:val="auto"/>
          <w:sz w:val="24"/>
          <w:highlight w:val="none"/>
          <w:shd w:val="clear" w:color="auto" w:fill="FFFFFF"/>
        </w:rPr>
        <w:t>新疆医科大学附属肿瘤医院消防设施维护及检测项目</w:t>
      </w:r>
      <w:r>
        <w:rPr>
          <w:rFonts w:hint="eastAsia" w:ascii="宋体" w:hAnsi="宋体" w:cs="宋体"/>
          <w:b/>
          <w:bCs/>
          <w:color w:val="auto"/>
          <w:sz w:val="24"/>
          <w:highlight w:val="none"/>
          <w:shd w:val="clear" w:color="auto" w:fill="FFFFFF"/>
          <w:lang w:val="en-US" w:eastAsia="zh-CN"/>
        </w:rPr>
        <w:t>(二次）</w:t>
      </w:r>
      <w:r>
        <w:rPr>
          <w:rFonts w:ascii="宋体" w:hAnsi="宋体" w:cs="宋体"/>
          <w:b/>
          <w:bCs/>
          <w:color w:val="auto"/>
          <w:sz w:val="24"/>
          <w:highlight w:val="none"/>
        </w:rPr>
        <w:t>。</w:t>
      </w:r>
    </w:p>
    <w:p>
      <w:pPr>
        <w:shd w:val="clear"/>
        <w:spacing w:line="360" w:lineRule="auto"/>
        <w:ind w:firstLine="475"/>
        <w:rPr>
          <w:rFonts w:ascii="宋体" w:hAnsi="宋体" w:cs="宋体"/>
          <w:color w:val="auto"/>
          <w:sz w:val="24"/>
          <w:highlight w:val="none"/>
        </w:rPr>
      </w:pPr>
      <w:r>
        <w:rPr>
          <w:rFonts w:ascii="仿宋_GB2312" w:hAnsi="仿宋_GB2312" w:eastAsia="仿宋" w:cs="宋体"/>
          <w:color w:val="auto"/>
          <w:kern w:val="1"/>
          <w:sz w:val="24"/>
          <w:highlight w:val="none"/>
        </w:rPr>
        <w:t>2</w:t>
      </w:r>
      <w:r>
        <w:rPr>
          <w:rFonts w:ascii="宋体" w:hAnsi="宋体" w:cs="宋体"/>
          <w:color w:val="auto"/>
          <w:sz w:val="24"/>
          <w:highlight w:val="none"/>
        </w:rPr>
        <w:t>、全部货物供应和有关服务的投标价见投标报价表。</w:t>
      </w:r>
    </w:p>
    <w:p>
      <w:pPr>
        <w:shd w:val="clear"/>
        <w:spacing w:line="360" w:lineRule="auto"/>
        <w:ind w:firstLine="475"/>
        <w:rPr>
          <w:rFonts w:ascii="宋体" w:hAnsi="宋体" w:cs="宋体"/>
          <w:color w:val="auto"/>
          <w:sz w:val="24"/>
          <w:highlight w:val="none"/>
        </w:rPr>
      </w:pPr>
      <w:r>
        <w:rPr>
          <w:rFonts w:ascii="宋体" w:hAnsi="宋体" w:cs="宋体"/>
          <w:color w:val="auto"/>
          <w:sz w:val="24"/>
          <w:highlight w:val="none"/>
        </w:rPr>
        <w:t>3、本</w:t>
      </w:r>
      <w:r>
        <w:rPr>
          <w:rFonts w:hint="eastAsia" w:ascii="宋体" w:hAnsi="宋体" w:cs="宋体"/>
          <w:color w:val="auto"/>
          <w:sz w:val="24"/>
          <w:highlight w:val="none"/>
        </w:rPr>
        <w:t>响应文件</w:t>
      </w:r>
      <w:r>
        <w:rPr>
          <w:rFonts w:ascii="宋体" w:hAnsi="宋体" w:cs="宋体"/>
          <w:color w:val="auto"/>
          <w:sz w:val="24"/>
          <w:highlight w:val="none"/>
        </w:rPr>
        <w:t>的有效期为在投标截止日后</w:t>
      </w:r>
      <w:r>
        <w:rPr>
          <w:rFonts w:hint="eastAsia" w:ascii="宋体" w:hAnsi="宋体" w:cs="宋体"/>
          <w:color w:val="auto"/>
          <w:sz w:val="24"/>
          <w:highlight w:val="none"/>
        </w:rPr>
        <w:t>90</w:t>
      </w:r>
      <w:r>
        <w:rPr>
          <w:rFonts w:ascii="宋体" w:hAnsi="宋体" w:cs="宋体"/>
          <w:color w:val="auto"/>
          <w:sz w:val="24"/>
          <w:highlight w:val="none"/>
        </w:rPr>
        <w:t>天内有效，如中标，有效期将延至合同有效期终止日为止。</w:t>
      </w:r>
    </w:p>
    <w:p>
      <w:pPr>
        <w:shd w:val="clear"/>
        <w:spacing w:line="360" w:lineRule="auto"/>
        <w:ind w:firstLine="480"/>
        <w:rPr>
          <w:rFonts w:ascii="宋体" w:hAnsi="宋体" w:cs="宋体"/>
          <w:color w:val="auto"/>
          <w:sz w:val="24"/>
          <w:highlight w:val="none"/>
        </w:rPr>
      </w:pPr>
      <w:r>
        <w:rPr>
          <w:rFonts w:ascii="宋体" w:hAnsi="宋体" w:cs="宋体"/>
          <w:color w:val="auto"/>
          <w:sz w:val="24"/>
          <w:highlight w:val="none"/>
        </w:rPr>
        <w:t>4、我方已详细研究了</w:t>
      </w:r>
      <w:r>
        <w:rPr>
          <w:rFonts w:hint="eastAsia" w:ascii="宋体" w:hAnsi="宋体" w:cs="宋体"/>
          <w:color w:val="auto"/>
          <w:sz w:val="24"/>
          <w:highlight w:val="none"/>
        </w:rPr>
        <w:t>磋商文件</w:t>
      </w:r>
      <w:r>
        <w:rPr>
          <w:rFonts w:ascii="宋体" w:hAnsi="宋体" w:cs="宋体"/>
          <w:color w:val="auto"/>
          <w:sz w:val="24"/>
          <w:highlight w:val="none"/>
        </w:rPr>
        <w:t>（含修正文）的所有内容，包括所有已提供的参考资料以及相关附件并完全明白。无其它需要澄清的问题和要求。</w:t>
      </w:r>
    </w:p>
    <w:p>
      <w:pPr>
        <w:shd w:val="clear"/>
        <w:spacing w:line="360" w:lineRule="auto"/>
        <w:ind w:left="2" w:firstLine="478"/>
        <w:rPr>
          <w:rFonts w:ascii="宋体" w:hAnsi="宋体" w:cs="宋体"/>
          <w:color w:val="auto"/>
          <w:sz w:val="24"/>
          <w:highlight w:val="none"/>
        </w:rPr>
      </w:pPr>
      <w:r>
        <w:rPr>
          <w:rFonts w:ascii="宋体" w:hAnsi="宋体" w:cs="宋体"/>
          <w:color w:val="auto"/>
          <w:sz w:val="24"/>
          <w:highlight w:val="none"/>
        </w:rPr>
        <w:t>5、我方同意按照贵方可能提出的要求而提供与投标有关的任何其它数据或信息。</w:t>
      </w:r>
    </w:p>
    <w:p>
      <w:pPr>
        <w:shd w:val="clear"/>
        <w:spacing w:line="360" w:lineRule="auto"/>
        <w:ind w:firstLine="473"/>
        <w:rPr>
          <w:rFonts w:ascii="宋体" w:hAnsi="宋体" w:cs="宋体"/>
          <w:color w:val="auto"/>
          <w:sz w:val="24"/>
          <w:highlight w:val="none"/>
        </w:rPr>
      </w:pPr>
      <w:r>
        <w:rPr>
          <w:rFonts w:ascii="宋体" w:hAnsi="宋体" w:cs="宋体"/>
          <w:color w:val="auto"/>
          <w:sz w:val="24"/>
          <w:highlight w:val="none"/>
        </w:rPr>
        <w:t>6、我方如中标，将保证履行</w:t>
      </w:r>
      <w:r>
        <w:rPr>
          <w:rFonts w:hint="eastAsia" w:ascii="宋体" w:hAnsi="宋体" w:cs="宋体"/>
          <w:color w:val="auto"/>
          <w:sz w:val="24"/>
          <w:highlight w:val="none"/>
        </w:rPr>
        <w:t>磋商文件</w:t>
      </w:r>
      <w:r>
        <w:rPr>
          <w:rFonts w:ascii="宋体" w:hAnsi="宋体" w:cs="宋体"/>
          <w:color w:val="auto"/>
          <w:sz w:val="24"/>
          <w:highlight w:val="none"/>
        </w:rPr>
        <w:t>（含修改书）中的全部责任和义务，按质按量，按期完成合同书中的全部任务。</w:t>
      </w:r>
    </w:p>
    <w:p>
      <w:pPr>
        <w:shd w:val="clear"/>
        <w:spacing w:line="360" w:lineRule="auto"/>
        <w:ind w:left="1315" w:hanging="840"/>
        <w:rPr>
          <w:rFonts w:ascii="宋体" w:hAnsi="宋体" w:cs="宋体"/>
          <w:color w:val="auto"/>
          <w:sz w:val="24"/>
          <w:highlight w:val="none"/>
        </w:rPr>
      </w:pPr>
      <w:r>
        <w:rPr>
          <w:rFonts w:ascii="宋体" w:hAnsi="宋体" w:cs="宋体"/>
          <w:color w:val="auto"/>
          <w:sz w:val="24"/>
          <w:highlight w:val="none"/>
        </w:rPr>
        <w:t xml:space="preserve">7、所有与本次招标有关的函件由我方派人亲自领取或由贵方发投如下地址：                  </w:t>
      </w:r>
    </w:p>
    <w:p>
      <w:pPr>
        <w:shd w:val="clear"/>
        <w:spacing w:line="360" w:lineRule="auto"/>
        <w:ind w:left="1314" w:hanging="600"/>
        <w:rPr>
          <w:rFonts w:ascii="宋体" w:hAnsi="宋体" w:cs="宋体"/>
          <w:color w:val="auto"/>
          <w:sz w:val="24"/>
          <w:highlight w:val="none"/>
        </w:rPr>
      </w:pPr>
      <w:r>
        <w:rPr>
          <w:rFonts w:ascii="宋体" w:hAnsi="宋体" w:cs="宋体"/>
          <w:color w:val="auto"/>
          <w:sz w:val="24"/>
          <w:highlight w:val="none"/>
        </w:rPr>
        <w:t>地址：</w:t>
      </w:r>
    </w:p>
    <w:p>
      <w:pPr>
        <w:shd w:val="clear"/>
        <w:spacing w:line="360" w:lineRule="auto"/>
        <w:ind w:left="1314" w:hanging="600"/>
        <w:rPr>
          <w:rFonts w:ascii="宋体" w:hAnsi="宋体" w:cs="宋体"/>
          <w:color w:val="auto"/>
          <w:sz w:val="24"/>
          <w:highlight w:val="none"/>
        </w:rPr>
      </w:pPr>
      <w:r>
        <w:rPr>
          <w:rFonts w:ascii="宋体" w:hAnsi="宋体" w:cs="宋体"/>
          <w:color w:val="auto"/>
          <w:sz w:val="24"/>
          <w:highlight w:val="none"/>
        </w:rPr>
        <w:t>邮政编码：</w:t>
      </w:r>
    </w:p>
    <w:p>
      <w:pPr>
        <w:shd w:val="clear"/>
        <w:spacing w:line="360" w:lineRule="auto"/>
        <w:ind w:firstLine="720"/>
        <w:rPr>
          <w:rFonts w:ascii="宋体" w:hAnsi="宋体" w:cs="宋体"/>
          <w:color w:val="auto"/>
          <w:sz w:val="24"/>
          <w:highlight w:val="none"/>
        </w:rPr>
      </w:pPr>
      <w:r>
        <w:rPr>
          <w:rFonts w:ascii="宋体" w:hAnsi="宋体" w:cs="宋体"/>
          <w:color w:val="auto"/>
          <w:sz w:val="24"/>
          <w:highlight w:val="none"/>
        </w:rPr>
        <w:t>电话：                  传真：</w:t>
      </w:r>
    </w:p>
    <w:p>
      <w:pPr>
        <w:shd w:val="clear"/>
        <w:spacing w:line="360" w:lineRule="auto"/>
        <w:ind w:firstLine="720"/>
        <w:rPr>
          <w:rFonts w:ascii="宋体" w:hAnsi="宋体" w:cs="宋体"/>
          <w:color w:val="auto"/>
          <w:sz w:val="24"/>
          <w:highlight w:val="none"/>
        </w:rPr>
      </w:pPr>
      <w:r>
        <w:rPr>
          <w:rFonts w:ascii="宋体" w:hAnsi="宋体" w:cs="宋体"/>
          <w:color w:val="auto"/>
          <w:sz w:val="24"/>
          <w:highlight w:val="none"/>
        </w:rPr>
        <w:t>授权代表姓名：          职务：</w:t>
      </w:r>
    </w:p>
    <w:p>
      <w:pPr>
        <w:shd w:val="clear"/>
        <w:spacing w:line="420" w:lineRule="exact"/>
        <w:jc w:val="right"/>
        <w:rPr>
          <w:rFonts w:ascii="宋体" w:hAnsi="宋体" w:cs="宋体"/>
          <w:color w:val="auto"/>
          <w:sz w:val="24"/>
          <w:highlight w:val="none"/>
        </w:rPr>
      </w:pPr>
      <w:r>
        <w:rPr>
          <w:rFonts w:ascii="宋体" w:hAnsi="宋体" w:cs="宋体"/>
          <w:color w:val="auto"/>
          <w:sz w:val="24"/>
          <w:highlight w:val="none"/>
        </w:rPr>
        <w:t>投标人（公章）：</w:t>
      </w:r>
    </w:p>
    <w:p>
      <w:pPr>
        <w:shd w:val="clear"/>
        <w:spacing w:line="420" w:lineRule="exact"/>
        <w:ind w:left="1296" w:firstLine="2280"/>
        <w:jc w:val="right"/>
        <w:rPr>
          <w:rFonts w:ascii="宋体" w:hAnsi="宋体" w:cs="宋体"/>
          <w:color w:val="auto"/>
          <w:sz w:val="24"/>
          <w:highlight w:val="none"/>
        </w:rPr>
      </w:pPr>
    </w:p>
    <w:p>
      <w:pPr>
        <w:shd w:val="clear"/>
        <w:spacing w:line="420" w:lineRule="exact"/>
        <w:ind w:left="1296" w:firstLine="2280"/>
        <w:jc w:val="right"/>
        <w:rPr>
          <w:rFonts w:ascii="宋体" w:hAnsi="宋体" w:cs="宋体"/>
          <w:color w:val="auto"/>
          <w:sz w:val="24"/>
          <w:highlight w:val="none"/>
        </w:rPr>
      </w:pPr>
    </w:p>
    <w:p>
      <w:pPr>
        <w:shd w:val="clear"/>
        <w:spacing w:line="420" w:lineRule="exact"/>
        <w:jc w:val="right"/>
        <w:rPr>
          <w:rFonts w:ascii="宋体" w:hAnsi="宋体" w:cs="宋体"/>
          <w:color w:val="auto"/>
          <w:sz w:val="24"/>
          <w:highlight w:val="none"/>
        </w:rPr>
      </w:pPr>
      <w:r>
        <w:rPr>
          <w:rFonts w:ascii="宋体" w:hAnsi="宋体" w:cs="宋体"/>
          <w:color w:val="auto"/>
          <w:sz w:val="24"/>
          <w:highlight w:val="none"/>
        </w:rPr>
        <w:t>授权代表（签名或盖章）：</w:t>
      </w:r>
    </w:p>
    <w:p>
      <w:pPr>
        <w:shd w:val="clear"/>
        <w:spacing w:line="420" w:lineRule="exact"/>
        <w:ind w:left="1296"/>
        <w:jc w:val="right"/>
        <w:rPr>
          <w:rFonts w:ascii="宋体" w:hAnsi="宋体" w:cs="宋体"/>
          <w:color w:val="auto"/>
          <w:sz w:val="24"/>
          <w:highlight w:val="none"/>
        </w:rPr>
      </w:pPr>
    </w:p>
    <w:p>
      <w:pPr>
        <w:shd w:val="clear"/>
        <w:spacing w:line="420" w:lineRule="exact"/>
        <w:ind w:left="1296"/>
        <w:jc w:val="right"/>
        <w:rPr>
          <w:rFonts w:ascii="宋体" w:hAnsi="宋体" w:cs="宋体"/>
          <w:color w:val="auto"/>
          <w:sz w:val="24"/>
          <w:highlight w:val="none"/>
        </w:rPr>
      </w:pPr>
      <w:r>
        <w:rPr>
          <w:rFonts w:ascii="宋体" w:hAnsi="宋体" w:cs="宋体"/>
          <w:color w:val="auto"/>
          <w:sz w:val="24"/>
          <w:highlight w:val="none"/>
        </w:rPr>
        <w:t xml:space="preserve">            </w:t>
      </w:r>
    </w:p>
    <w:p>
      <w:pPr>
        <w:shd w:val="clear"/>
        <w:spacing w:line="420" w:lineRule="exact"/>
        <w:jc w:val="right"/>
        <w:rPr>
          <w:rFonts w:ascii="宋体" w:hAnsi="宋体" w:cs="宋体"/>
          <w:color w:val="auto"/>
          <w:sz w:val="24"/>
          <w:highlight w:val="none"/>
        </w:rPr>
      </w:pPr>
      <w:r>
        <w:rPr>
          <w:rFonts w:ascii="宋体" w:hAnsi="宋体" w:cs="宋体"/>
          <w:color w:val="auto"/>
          <w:sz w:val="24"/>
          <w:highlight w:val="none"/>
        </w:rPr>
        <w:t>日期：</w:t>
      </w:r>
    </w:p>
    <w:p>
      <w:pPr>
        <w:shd w:val="clear"/>
        <w:spacing w:line="420" w:lineRule="exact"/>
        <w:rPr>
          <w:rFonts w:ascii="仿宋_GB2312" w:hAnsi="仿宋_GB2312" w:eastAsia="仿宋" w:cs="宋体"/>
          <w:color w:val="auto"/>
          <w:kern w:val="1"/>
          <w:sz w:val="24"/>
          <w:highlight w:val="none"/>
        </w:rPr>
      </w:pPr>
    </w:p>
    <w:p>
      <w:pPr>
        <w:pStyle w:val="33"/>
        <w:shd w:val="clear"/>
        <w:jc w:val="both"/>
        <w:rPr>
          <w:rFonts w:ascii="宋体" w:hAnsi="宋体" w:cs="宋体"/>
          <w:b/>
          <w:bCs/>
          <w:color w:val="auto"/>
          <w:sz w:val="36"/>
          <w:highlight w:val="none"/>
        </w:rPr>
      </w:pPr>
      <w:bookmarkStart w:id="109" w:name="_Toc22469"/>
      <w:bookmarkStart w:id="110" w:name="_Toc28901"/>
    </w:p>
    <w:p>
      <w:pPr>
        <w:pStyle w:val="33"/>
        <w:shd w:val="clear"/>
        <w:jc w:val="center"/>
        <w:outlineLvl w:val="0"/>
        <w:rPr>
          <w:rFonts w:ascii="宋体" w:hAnsi="宋体" w:cs="宋体"/>
          <w:b/>
          <w:bCs/>
          <w:color w:val="auto"/>
          <w:sz w:val="36"/>
          <w:highlight w:val="none"/>
        </w:rPr>
      </w:pPr>
      <w:bookmarkStart w:id="111" w:name="_Toc14958"/>
      <w:bookmarkStart w:id="112" w:name="_Toc24213"/>
      <w:r>
        <w:rPr>
          <w:rFonts w:hint="eastAsia" w:ascii="宋体" w:hAnsi="宋体" w:cs="宋体"/>
          <w:b/>
          <w:bCs/>
          <w:color w:val="auto"/>
          <w:sz w:val="36"/>
          <w:highlight w:val="none"/>
        </w:rPr>
        <w:t>附件2：法定代表人身份证明书</w:t>
      </w:r>
      <w:bookmarkEnd w:id="109"/>
      <w:bookmarkEnd w:id="110"/>
      <w:bookmarkEnd w:id="111"/>
      <w:bookmarkEnd w:id="112"/>
    </w:p>
    <w:p>
      <w:pPr>
        <w:shd w:val="clear"/>
        <w:spacing w:line="360" w:lineRule="auto"/>
        <w:rPr>
          <w:rFonts w:ascii="宋体" w:hAnsi="宋体"/>
          <w:color w:val="auto"/>
          <w:sz w:val="28"/>
          <w:highlight w:val="none"/>
        </w:rPr>
      </w:pPr>
    </w:p>
    <w:p>
      <w:pPr>
        <w:shd w:val="clea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单位名称：</w:t>
      </w:r>
      <w:r>
        <w:rPr>
          <w:rFonts w:hint="eastAsia" w:ascii="宋体" w:hAnsi="宋体"/>
          <w:color w:val="auto"/>
          <w:sz w:val="24"/>
          <w:szCs w:val="24"/>
          <w:highlight w:val="none"/>
          <w:u w:val="single"/>
        </w:rPr>
        <w:t xml:space="preserve">                                        </w:t>
      </w:r>
    </w:p>
    <w:p>
      <w:pPr>
        <w:shd w:val="clea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地址：</w:t>
      </w:r>
      <w:r>
        <w:rPr>
          <w:rFonts w:hint="eastAsia" w:ascii="宋体" w:hAnsi="宋体"/>
          <w:color w:val="auto"/>
          <w:sz w:val="24"/>
          <w:szCs w:val="24"/>
          <w:highlight w:val="none"/>
          <w:u w:val="single"/>
        </w:rPr>
        <w:t xml:space="preserve">                                           </w:t>
      </w:r>
    </w:p>
    <w:p>
      <w:pPr>
        <w:shd w:val="clea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姓名：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性别：</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年龄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职务：</w:t>
      </w:r>
      <w:r>
        <w:rPr>
          <w:rFonts w:hint="eastAsia" w:ascii="宋体" w:hAnsi="宋体"/>
          <w:color w:val="auto"/>
          <w:sz w:val="24"/>
          <w:szCs w:val="24"/>
          <w:highlight w:val="none"/>
          <w:u w:val="single"/>
        </w:rPr>
        <w:t xml:space="preserve">        </w:t>
      </w:r>
    </w:p>
    <w:p>
      <w:pPr>
        <w:shd w:val="clear"/>
        <w:spacing w:line="360" w:lineRule="auto"/>
        <w:rPr>
          <w:rFonts w:ascii="宋体" w:hAnsi="宋体"/>
          <w:color w:val="auto"/>
          <w:sz w:val="28"/>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法定代表人。</w:t>
      </w:r>
    </w:p>
    <w:p>
      <w:pPr>
        <w:shd w:val="clear"/>
        <w:spacing w:line="360" w:lineRule="auto"/>
        <w:rPr>
          <w:rFonts w:ascii="宋体" w:hAnsi="宋体"/>
          <w:color w:val="auto"/>
          <w:sz w:val="28"/>
          <w:highlight w:val="none"/>
        </w:rPr>
      </w:pPr>
    </w:p>
    <w:p>
      <w:pPr>
        <w:shd w:val="clear"/>
        <w:spacing w:line="360" w:lineRule="auto"/>
        <w:rPr>
          <w:rFonts w:ascii="宋体" w:hAnsi="宋体"/>
          <w:color w:val="auto"/>
          <w:sz w:val="28"/>
          <w:highlight w:val="none"/>
        </w:rPr>
      </w:pPr>
      <w:r>
        <w:rPr>
          <w:rFonts w:ascii="宋体" w:hAnsi="宋体"/>
          <w:color w:val="auto"/>
          <w:sz w:val="28"/>
          <w:highlight w:val="none"/>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99060</wp:posOffset>
                </wp:positionV>
                <wp:extent cx="2674620" cy="1704975"/>
                <wp:effectExtent l="7620" t="7620" r="22860" b="20955"/>
                <wp:wrapNone/>
                <wp:docPr id="4" name="文本框 4"/>
                <wp:cNvGraphicFramePr/>
                <a:graphic xmlns:a="http://schemas.openxmlformats.org/drawingml/2006/main">
                  <a:graphicData uri="http://schemas.microsoft.com/office/word/2010/wordprocessingShape">
                    <wps:wsp>
                      <wps:cNvSpPr txBox="1"/>
                      <wps:spPr>
                        <a:xfrm>
                          <a:off x="0" y="0"/>
                          <a:ext cx="2674620"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upright="1"/>
                    </wps:wsp>
                  </a:graphicData>
                </a:graphic>
              </wp:anchor>
            </w:drawing>
          </mc:Choice>
          <mc:Fallback>
            <w:pict>
              <v:shape id="_x0000_s1026" o:spid="_x0000_s1026" o:spt="202" type="#_x0000_t202" style="position:absolute;left:0pt;margin-left:8.4pt;margin-top:7.8pt;height:134.25pt;width:210.6pt;z-index:251659264;mso-width-relative:page;mso-height-relative:page;" fillcolor="#FFFFFF" filled="t" stroked="t" coordsize="21600,21600" o:gfxdata="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vhUGvXAAAACQEAAA8AAAAAAAAA&#10;AQAgAAAAIgAAAGRycy9kb3ducmV2LnhtbFBLAQIUABQAAAAIAIdO4kCLARQbSwIAAM0EAAAOAAAA&#10;AAAAAAEAIAAAACYBAABkcnMvZTJvRG9jLnhtbFBLBQYAAAAABgAGAFkBAADjBQ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r>
        <w:rPr>
          <w:rFonts w:ascii="宋体" w:hAnsi="宋体"/>
          <w:color w:val="auto"/>
          <w:sz w:val="28"/>
          <w:highlight w:val="none"/>
        </w:rPr>
        <mc:AlternateContent>
          <mc:Choice Requires="wps">
            <w:drawing>
              <wp:anchor distT="0" distB="0" distL="114300" distR="114300" simplePos="0" relativeHeight="251660288" behindDoc="0" locked="0" layoutInCell="1" allowOverlap="1">
                <wp:simplePos x="0" y="0"/>
                <wp:positionH relativeFrom="column">
                  <wp:posOffset>3117215</wp:posOffset>
                </wp:positionH>
                <wp:positionV relativeFrom="paragraph">
                  <wp:posOffset>99060</wp:posOffset>
                </wp:positionV>
                <wp:extent cx="2619375" cy="1704975"/>
                <wp:effectExtent l="7620" t="7620" r="20955" b="20955"/>
                <wp:wrapNone/>
                <wp:docPr id="3" name="文本框 3"/>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法定代表人身份证“背”面</w:t>
                            </w:r>
                          </w:p>
                        </w:txbxContent>
                      </wps:txbx>
                      <wps:bodyPr upright="1"/>
                    </wps:wsp>
                  </a:graphicData>
                </a:graphic>
              </wp:anchor>
            </w:drawing>
          </mc:Choice>
          <mc:Fallback>
            <w:pict>
              <v:shape id="_x0000_s1026" o:spid="_x0000_s1026" o:spt="202" type="#_x0000_t202" style="position:absolute;left:0pt;margin-left:245.45pt;margin-top:7.8pt;height:134.25pt;width:206.25pt;z-index:251660288;mso-width-relative:page;mso-height-relative:page;" fillcolor="#FFFFFF" filled="t" stroked="t" coordsize="21600,21600" o:gfxdata="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Qxz7vYAAAACgEAAA8AAAAAAAAA&#10;AQAgAAAAIgAAAGRycy9kb3ducmV2LnhtbFBLAQIUABQAAAAIAIdO4kAO3a/FSgIAAM0EAAAOAAAA&#10;AAAAAAEAIAAAACcBAABkcnMvZTJvRG9jLnhtbFBLBQYAAAAABgAGAFkBAADjBQ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法定代表人身份证“背”面</w:t>
                      </w:r>
                    </w:p>
                  </w:txbxContent>
                </v:textbox>
              </v:shape>
            </w:pict>
          </mc:Fallback>
        </mc:AlternateContent>
      </w:r>
    </w:p>
    <w:p>
      <w:pPr>
        <w:shd w:val="clear"/>
        <w:spacing w:line="360" w:lineRule="auto"/>
        <w:rPr>
          <w:rFonts w:ascii="宋体" w:hAnsi="宋体"/>
          <w:color w:val="auto"/>
          <w:sz w:val="28"/>
          <w:highlight w:val="none"/>
        </w:rPr>
      </w:pPr>
    </w:p>
    <w:p>
      <w:pPr>
        <w:shd w:val="clear"/>
        <w:spacing w:line="360" w:lineRule="auto"/>
        <w:rPr>
          <w:rFonts w:ascii="宋体" w:hAnsi="宋体"/>
          <w:color w:val="auto"/>
          <w:sz w:val="28"/>
          <w:highlight w:val="none"/>
        </w:rPr>
      </w:pPr>
    </w:p>
    <w:p>
      <w:pPr>
        <w:shd w:val="clear"/>
        <w:spacing w:line="360" w:lineRule="auto"/>
        <w:rPr>
          <w:rFonts w:ascii="宋体" w:hAnsi="宋体"/>
          <w:color w:val="auto"/>
          <w:sz w:val="28"/>
          <w:highlight w:val="none"/>
        </w:rPr>
      </w:pPr>
    </w:p>
    <w:p>
      <w:pPr>
        <w:shd w:val="clear"/>
        <w:spacing w:line="360" w:lineRule="auto"/>
        <w:rPr>
          <w:rFonts w:ascii="宋体" w:hAnsi="宋体"/>
          <w:color w:val="auto"/>
          <w:sz w:val="28"/>
          <w:highlight w:val="none"/>
        </w:rPr>
      </w:pPr>
    </w:p>
    <w:p>
      <w:pPr>
        <w:shd w:val="clear"/>
        <w:spacing w:line="360" w:lineRule="auto"/>
        <w:rPr>
          <w:rFonts w:ascii="宋体" w:hAnsi="宋体"/>
          <w:color w:val="auto"/>
          <w:sz w:val="28"/>
          <w:highlight w:val="none"/>
        </w:rPr>
      </w:pPr>
    </w:p>
    <w:p>
      <w:pPr>
        <w:shd w:val="clear"/>
        <w:spacing w:line="360" w:lineRule="auto"/>
        <w:rPr>
          <w:rFonts w:ascii="宋体" w:hAnsi="宋体"/>
          <w:color w:val="auto"/>
          <w:sz w:val="28"/>
          <w:highlight w:val="none"/>
        </w:rPr>
      </w:pPr>
    </w:p>
    <w:p>
      <w:pPr>
        <w:shd w:val="clear"/>
        <w:spacing w:line="360" w:lineRule="auto"/>
        <w:rPr>
          <w:rFonts w:ascii="宋体" w:hAnsi="宋体"/>
          <w:color w:val="auto"/>
          <w:sz w:val="24"/>
          <w:szCs w:val="24"/>
          <w:highlight w:val="none"/>
        </w:rPr>
      </w:pPr>
    </w:p>
    <w:p>
      <w:pPr>
        <w:shd w:val="clear"/>
        <w:spacing w:line="360" w:lineRule="auto"/>
        <w:rPr>
          <w:rFonts w:ascii="宋体" w:hAnsi="宋体"/>
          <w:color w:val="auto"/>
          <w:sz w:val="24"/>
          <w:szCs w:val="24"/>
          <w:highlight w:val="none"/>
        </w:rPr>
      </w:pPr>
      <w:r>
        <w:rPr>
          <w:rFonts w:hint="eastAsia" w:ascii="宋体" w:hAnsi="宋体"/>
          <w:color w:val="auto"/>
          <w:sz w:val="24"/>
          <w:szCs w:val="24"/>
          <w:highlight w:val="none"/>
        </w:rPr>
        <w:t>投标单位名称：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（单位公章）</w:t>
      </w:r>
    </w:p>
    <w:p>
      <w:pPr>
        <w:shd w:val="clear"/>
        <w:spacing w:line="360" w:lineRule="auto"/>
        <w:rPr>
          <w:rFonts w:ascii="宋体" w:hAnsi="宋体"/>
          <w:color w:val="auto"/>
          <w:sz w:val="24"/>
          <w:szCs w:val="24"/>
          <w:highlight w:val="none"/>
        </w:rPr>
      </w:pPr>
    </w:p>
    <w:p>
      <w:pPr>
        <w:shd w:val="clear"/>
        <w:spacing w:line="360" w:lineRule="auto"/>
        <w:rPr>
          <w:rFonts w:ascii="宋体" w:hAnsi="宋体"/>
          <w:color w:val="auto"/>
          <w:sz w:val="24"/>
          <w:szCs w:val="24"/>
          <w:highlight w:val="none"/>
        </w:rPr>
      </w:pPr>
    </w:p>
    <w:p>
      <w:pPr>
        <w:shd w:val="clear"/>
        <w:spacing w:line="360" w:lineRule="auto"/>
        <w:rPr>
          <w:rFonts w:ascii="宋体" w:hAnsi="宋体"/>
          <w:color w:val="auto"/>
          <w:sz w:val="24"/>
          <w:szCs w:val="24"/>
          <w:highlight w:val="none"/>
        </w:rPr>
      </w:pPr>
    </w:p>
    <w:p>
      <w:pPr>
        <w:shd w:val="clear"/>
        <w:spacing w:line="360" w:lineRule="auto"/>
        <w:ind w:right="240"/>
        <w:jc w:val="right"/>
        <w:rPr>
          <w:rFonts w:ascii="宋体" w:hAnsi="宋体"/>
          <w:color w:val="auto"/>
          <w:sz w:val="24"/>
          <w:szCs w:val="24"/>
          <w:highlight w:val="none"/>
        </w:rPr>
      </w:pPr>
      <w:r>
        <w:rPr>
          <w:rFonts w:hint="eastAsia" w:ascii="宋体" w:hAnsi="宋体"/>
          <w:color w:val="auto"/>
          <w:sz w:val="24"/>
          <w:szCs w:val="24"/>
          <w:highlight w:val="none"/>
        </w:rPr>
        <w:t>日期：  年   月   日</w:t>
      </w:r>
    </w:p>
    <w:p>
      <w:pPr>
        <w:shd w:val="clear"/>
        <w:spacing w:line="360" w:lineRule="auto"/>
        <w:rPr>
          <w:rFonts w:ascii="宋体" w:hAnsi="宋体"/>
          <w:color w:val="auto"/>
          <w:sz w:val="28"/>
          <w:highlight w:val="none"/>
        </w:rPr>
      </w:pPr>
    </w:p>
    <w:p>
      <w:pPr>
        <w:shd w:val="clear"/>
        <w:spacing w:line="360" w:lineRule="auto"/>
        <w:rPr>
          <w:rFonts w:ascii="宋体" w:hAnsi="宋体"/>
          <w:color w:val="auto"/>
          <w:sz w:val="28"/>
          <w:highlight w:val="none"/>
        </w:rPr>
      </w:pPr>
    </w:p>
    <w:p>
      <w:pPr>
        <w:shd w:val="clear"/>
        <w:spacing w:line="360" w:lineRule="auto"/>
        <w:rPr>
          <w:rFonts w:ascii="宋体" w:hAnsi="宋体"/>
          <w:color w:val="auto"/>
          <w:sz w:val="28"/>
          <w:highlight w:val="none"/>
        </w:rPr>
      </w:pPr>
    </w:p>
    <w:p>
      <w:pPr>
        <w:shd w:val="clear"/>
        <w:spacing w:line="360" w:lineRule="auto"/>
        <w:rPr>
          <w:rFonts w:ascii="宋体" w:hAnsi="宋体"/>
          <w:color w:val="auto"/>
          <w:sz w:val="28"/>
          <w:highlight w:val="none"/>
        </w:rPr>
      </w:pPr>
    </w:p>
    <w:p>
      <w:pPr>
        <w:pStyle w:val="5"/>
        <w:numPr>
          <w:ilvl w:val="0"/>
          <w:numId w:val="0"/>
        </w:numPr>
        <w:shd w:val="clear"/>
        <w:jc w:val="center"/>
        <w:rPr>
          <w:rFonts w:ascii="宋体" w:hAnsi="宋体" w:cs="宋体"/>
          <w:bCs/>
          <w:color w:val="auto"/>
          <w:sz w:val="36"/>
          <w:szCs w:val="20"/>
          <w:highlight w:val="none"/>
        </w:rPr>
      </w:pPr>
      <w:bookmarkStart w:id="113" w:name="_Toc538"/>
      <w:bookmarkStart w:id="114" w:name="_Toc21414"/>
      <w:bookmarkStart w:id="115" w:name="_Toc7864"/>
      <w:bookmarkStart w:id="116" w:name="_Toc533086814"/>
      <w:bookmarkStart w:id="117" w:name="_Toc15421"/>
      <w:r>
        <w:rPr>
          <w:rFonts w:hint="eastAsia" w:ascii="宋体" w:hAnsi="宋体" w:cs="宋体"/>
          <w:bCs/>
          <w:color w:val="auto"/>
          <w:sz w:val="36"/>
          <w:szCs w:val="20"/>
          <w:highlight w:val="none"/>
        </w:rPr>
        <w:t>附件3：法定代表人授权委托书</w:t>
      </w:r>
      <w:bookmarkEnd w:id="113"/>
      <w:bookmarkEnd w:id="114"/>
      <w:bookmarkEnd w:id="115"/>
      <w:bookmarkEnd w:id="116"/>
      <w:bookmarkEnd w:id="117"/>
    </w:p>
    <w:p>
      <w:pPr>
        <w:pStyle w:val="30"/>
        <w:shd w:val="clear"/>
        <w:spacing w:line="360" w:lineRule="atLeast"/>
        <w:ind w:firstLine="567"/>
        <w:jc w:val="both"/>
        <w:rPr>
          <w:rFonts w:ascii="宋体" w:hAnsi="宋体" w:cs="宋体"/>
          <w:color w:val="auto"/>
          <w:sz w:val="28"/>
          <w:highlight w:val="none"/>
        </w:rPr>
      </w:pPr>
    </w:p>
    <w:p>
      <w:pPr>
        <w:pStyle w:val="30"/>
        <w:shd w:val="clear"/>
        <w:spacing w:line="360" w:lineRule="atLeast"/>
        <w:jc w:val="both"/>
        <w:rPr>
          <w:rFonts w:ascii="宋体" w:hAnsi="宋体" w:cs="宋体"/>
          <w:color w:val="auto"/>
          <w:highlight w:val="none"/>
        </w:rPr>
      </w:pPr>
      <w:r>
        <w:rPr>
          <w:rFonts w:hint="eastAsia" w:ascii="宋体" w:hAnsi="宋体" w:cs="宋体"/>
          <w:color w:val="auto"/>
          <w:highlight w:val="none"/>
        </w:rPr>
        <w:t>华诚博远工程咨询有限公司：</w:t>
      </w:r>
    </w:p>
    <w:p>
      <w:pPr>
        <w:pStyle w:val="30"/>
        <w:shd w:val="clear"/>
        <w:spacing w:line="360" w:lineRule="atLeast"/>
        <w:ind w:firstLine="567"/>
        <w:jc w:val="both"/>
        <w:rPr>
          <w:rFonts w:ascii="宋体" w:hAnsi="宋体" w:cs="宋体"/>
          <w:color w:val="auto"/>
          <w:highlight w:val="none"/>
        </w:rPr>
      </w:pPr>
    </w:p>
    <w:p>
      <w:pPr>
        <w:pStyle w:val="30"/>
        <w:shd w:val="clear"/>
        <w:spacing w:line="360" w:lineRule="atLeast"/>
        <w:ind w:firstLine="560"/>
        <w:jc w:val="both"/>
        <w:rPr>
          <w:rFonts w:ascii="宋体" w:hAnsi="宋体" w:cs="宋体"/>
          <w:b/>
          <w:color w:val="auto"/>
          <w:highlight w:val="none"/>
        </w:rPr>
      </w:pPr>
      <w:r>
        <w:rPr>
          <w:rFonts w:hint="eastAsia" w:ascii="宋体" w:hAnsi="宋体" w:cs="宋体"/>
          <w:color w:val="auto"/>
          <w:highlight w:val="none"/>
        </w:rPr>
        <w:t>现委托</w:t>
      </w:r>
      <w:r>
        <w:rPr>
          <w:rFonts w:hint="eastAsia" w:ascii="宋体" w:hAnsi="宋体" w:cs="宋体"/>
          <w:color w:val="auto"/>
          <w:highlight w:val="none"/>
          <w:u w:val="single"/>
        </w:rPr>
        <w:t xml:space="preserve">             </w:t>
      </w:r>
      <w:r>
        <w:rPr>
          <w:rFonts w:hint="eastAsia" w:ascii="宋体" w:hAnsi="宋体" w:cs="宋体"/>
          <w:color w:val="auto"/>
          <w:highlight w:val="none"/>
        </w:rPr>
        <w:t>参加贵公司组织的</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招标活动，全权代表我单位处理招标的有关事宜，代理人所签署的一切有关文件，我单位均予承认。</w:t>
      </w:r>
      <w:r>
        <w:rPr>
          <w:rFonts w:hint="eastAsia" w:ascii="宋体" w:hAnsi="宋体" w:cs="宋体"/>
          <w:b/>
          <w:color w:val="auto"/>
          <w:highlight w:val="none"/>
        </w:rPr>
        <w:t>（附代理人身份证复印件）</w:t>
      </w:r>
    </w:p>
    <w:p>
      <w:pPr>
        <w:pStyle w:val="30"/>
        <w:shd w:val="clear"/>
        <w:spacing w:line="360" w:lineRule="atLeast"/>
        <w:ind w:firstLine="567"/>
        <w:jc w:val="center"/>
        <w:rPr>
          <w:rFonts w:ascii="宋体" w:hAnsi="宋体" w:cs="宋体"/>
          <w:color w:val="auto"/>
          <w:highlight w:val="none"/>
        </w:rPr>
      </w:pPr>
    </w:p>
    <w:p>
      <w:pPr>
        <w:pStyle w:val="30"/>
        <w:shd w:val="clear"/>
        <w:spacing w:line="360" w:lineRule="atLeast"/>
        <w:ind w:firstLine="567"/>
        <w:jc w:val="both"/>
        <w:rPr>
          <w:rFonts w:ascii="宋体" w:hAnsi="宋体" w:cs="宋体"/>
          <w:color w:val="auto"/>
          <w:highlight w:val="none"/>
        </w:rPr>
      </w:pPr>
    </w:p>
    <w:p>
      <w:pPr>
        <w:pStyle w:val="30"/>
        <w:shd w:val="clear"/>
        <w:spacing w:line="360" w:lineRule="atLeast"/>
        <w:ind w:firstLine="280"/>
        <w:jc w:val="both"/>
        <w:rPr>
          <w:rFonts w:ascii="宋体" w:hAnsi="宋体" w:cs="宋体"/>
          <w:color w:val="auto"/>
          <w:highlight w:val="none"/>
        </w:rPr>
      </w:pPr>
      <w:r>
        <w:rPr>
          <w:rFonts w:hint="eastAsia" w:ascii="宋体" w:hAnsi="宋体" w:cs="宋体"/>
          <w:b/>
          <w:bCs/>
          <w:color w:val="auto"/>
          <w:highlight w:val="none"/>
        </w:rPr>
        <w:t>代理人情况</w:t>
      </w:r>
    </w:p>
    <w:p>
      <w:pPr>
        <w:pStyle w:val="30"/>
        <w:shd w:val="clear"/>
        <w:spacing w:line="360" w:lineRule="atLeast"/>
        <w:ind w:left="178" w:firstLine="2"/>
        <w:jc w:val="both"/>
        <w:rPr>
          <w:rFonts w:ascii="宋体" w:hAnsi="宋体" w:cs="宋体"/>
          <w:color w:val="auto"/>
          <w:highlight w:val="none"/>
        </w:rPr>
      </w:pPr>
      <w:r>
        <w:rPr>
          <w:rFonts w:hint="eastAsia" w:ascii="宋体" w:hAnsi="宋体" w:cs="宋体"/>
          <w:color w:val="auto"/>
          <w:highlight w:val="none"/>
        </w:rPr>
        <w:t>姓  名：                性  别：</w:t>
      </w:r>
    </w:p>
    <w:p>
      <w:pPr>
        <w:pStyle w:val="30"/>
        <w:shd w:val="clear"/>
        <w:spacing w:line="360" w:lineRule="atLeast"/>
        <w:ind w:left="178" w:firstLine="2"/>
        <w:jc w:val="both"/>
        <w:rPr>
          <w:rFonts w:ascii="宋体" w:hAnsi="宋体" w:cs="宋体"/>
          <w:color w:val="auto"/>
          <w:highlight w:val="none"/>
        </w:rPr>
      </w:pPr>
      <w:r>
        <w:rPr>
          <w:rFonts w:hint="eastAsia" w:ascii="宋体" w:hAnsi="宋体" w:cs="宋体"/>
          <w:color w:val="auto"/>
          <w:highlight w:val="none"/>
        </w:rPr>
        <w:t xml:space="preserve">年  龄：                职  务：    </w:t>
      </w:r>
    </w:p>
    <w:p>
      <w:pPr>
        <w:pStyle w:val="30"/>
        <w:shd w:val="clear"/>
        <w:spacing w:line="360" w:lineRule="atLeast"/>
        <w:ind w:left="178" w:firstLine="2"/>
        <w:jc w:val="both"/>
        <w:rPr>
          <w:rFonts w:ascii="宋体" w:hAnsi="宋体" w:cs="宋体"/>
          <w:color w:val="auto"/>
          <w:highlight w:val="none"/>
        </w:rPr>
      </w:pPr>
      <w:r>
        <w:rPr>
          <w:rFonts w:hint="eastAsia" w:ascii="宋体" w:hAnsi="宋体" w:cs="宋体"/>
          <w:color w:val="auto"/>
          <w:highlight w:val="none"/>
        </w:rPr>
        <w:t>身份证号码：</w:t>
      </w:r>
    </w:p>
    <w:p>
      <w:pPr>
        <w:pStyle w:val="30"/>
        <w:shd w:val="clear"/>
        <w:spacing w:line="360" w:lineRule="atLeast"/>
        <w:ind w:left="178" w:firstLine="2"/>
        <w:jc w:val="both"/>
        <w:rPr>
          <w:rFonts w:ascii="宋体" w:hAnsi="宋体" w:cs="宋体"/>
          <w:color w:val="auto"/>
          <w:highlight w:val="none"/>
        </w:rPr>
      </w:pPr>
      <w:r>
        <w:rPr>
          <w:rFonts w:hint="eastAsia" w:ascii="宋体" w:hAnsi="宋体" w:cs="宋体"/>
          <w:color w:val="auto"/>
          <w:highlight w:val="none"/>
        </w:rPr>
        <w:t>详细通讯地址：</w:t>
      </w:r>
    </w:p>
    <w:p>
      <w:pPr>
        <w:pStyle w:val="30"/>
        <w:shd w:val="clear"/>
        <w:spacing w:line="360" w:lineRule="atLeast"/>
        <w:ind w:left="391" w:hanging="213"/>
        <w:jc w:val="both"/>
        <w:rPr>
          <w:rFonts w:ascii="宋体" w:hAnsi="宋体" w:cs="宋体"/>
          <w:color w:val="auto"/>
          <w:highlight w:val="none"/>
        </w:rPr>
      </w:pPr>
      <w:r>
        <w:rPr>
          <w:rFonts w:hint="eastAsia" w:ascii="宋体" w:hAnsi="宋体" w:cs="宋体"/>
          <w:color w:val="auto"/>
          <w:highlight w:val="none"/>
        </w:rPr>
        <w:t xml:space="preserve">电话：       </w:t>
      </w:r>
    </w:p>
    <w:p>
      <w:pPr>
        <w:pStyle w:val="30"/>
        <w:shd w:val="clear"/>
        <w:spacing w:line="360" w:lineRule="atLeast"/>
        <w:ind w:left="391" w:hanging="213"/>
        <w:jc w:val="both"/>
        <w:rPr>
          <w:rFonts w:ascii="宋体" w:hAnsi="宋体" w:cs="宋体"/>
          <w:color w:val="auto"/>
          <w:highlight w:val="none"/>
        </w:rPr>
      </w:pPr>
      <w:r>
        <w:rPr>
          <w:rFonts w:hint="eastAsia" w:ascii="宋体" w:hAnsi="宋体" w:cs="宋体"/>
          <w:color w:val="auto"/>
          <w:highlight w:val="none"/>
        </w:rPr>
        <w:t xml:space="preserve">邮政编码：                                        </w:t>
      </w:r>
    </w:p>
    <w:p>
      <w:pPr>
        <w:pStyle w:val="30"/>
        <w:shd w:val="clear"/>
        <w:spacing w:line="360" w:lineRule="atLeast"/>
        <w:ind w:left="391" w:hanging="213"/>
        <w:jc w:val="both"/>
        <w:rPr>
          <w:rFonts w:ascii="宋体" w:hAnsi="宋体" w:cs="宋体"/>
          <w:color w:val="auto"/>
          <w:highlight w:val="none"/>
        </w:rPr>
      </w:pPr>
      <w:r>
        <w:rPr>
          <w:rFonts w:hint="eastAsia" w:ascii="宋体" w:hAnsi="宋体" w:cs="宋体"/>
          <w:color w:val="auto"/>
          <w:highlight w:val="none"/>
        </w:rPr>
        <w:t>传  真：</w:t>
      </w:r>
    </w:p>
    <w:p>
      <w:pPr>
        <w:pStyle w:val="30"/>
        <w:shd w:val="clear"/>
        <w:spacing w:line="360" w:lineRule="atLeast"/>
        <w:ind w:left="178" w:firstLine="2"/>
        <w:jc w:val="both"/>
        <w:rPr>
          <w:rFonts w:ascii="宋体" w:hAnsi="宋体" w:cs="宋体"/>
          <w:color w:val="auto"/>
          <w:highlight w:val="none"/>
        </w:rPr>
      </w:pPr>
      <w:r>
        <w:rPr>
          <w:rFonts w:hint="eastAsia" w:ascii="宋体" w:hAnsi="宋体" w:cs="宋体"/>
          <w:color w:val="auto"/>
          <w:highlight w:val="none"/>
        </w:rPr>
        <w:t>单位名称（公章）                      法定代表人（盖章或签字）</w:t>
      </w:r>
    </w:p>
    <w:p>
      <w:pPr>
        <w:pStyle w:val="30"/>
        <w:shd w:val="clear"/>
        <w:spacing w:line="360" w:lineRule="atLeast"/>
        <w:ind w:firstLine="567"/>
        <w:jc w:val="both"/>
        <w:rPr>
          <w:rFonts w:ascii="宋体" w:hAnsi="宋体" w:cs="宋体"/>
          <w:color w:val="auto"/>
          <w:highlight w:val="none"/>
        </w:rPr>
      </w:pPr>
    </w:p>
    <w:p>
      <w:pPr>
        <w:pStyle w:val="30"/>
        <w:shd w:val="clear"/>
        <w:spacing w:line="360" w:lineRule="atLeast"/>
        <w:ind w:firstLine="567"/>
        <w:jc w:val="both"/>
        <w:rPr>
          <w:rFonts w:ascii="宋体" w:hAnsi="宋体" w:cs="宋体"/>
          <w:color w:val="auto"/>
          <w:highlight w:val="none"/>
        </w:rPr>
      </w:pPr>
    </w:p>
    <w:p>
      <w:pPr>
        <w:shd w:val="clear"/>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kern w:val="0"/>
          <w:sz w:val="24"/>
          <w:szCs w:val="24"/>
          <w:highlight w:val="none"/>
        </w:rPr>
        <w:t xml:space="preserve"> 年   月   日  </w:t>
      </w:r>
    </w:p>
    <w:p>
      <w:pPr>
        <w:shd w:val="clear"/>
        <w:rPr>
          <w:rFonts w:ascii="宋体" w:hAnsi="宋体" w:cs="宋体"/>
          <w:color w:val="auto"/>
          <w:highlight w:val="none"/>
        </w:rPr>
      </w:pPr>
    </w:p>
    <w:p>
      <w:pPr>
        <w:shd w:val="clear"/>
        <w:rPr>
          <w:rFonts w:ascii="宋体" w:hAnsi="宋体" w:cs="宋体"/>
          <w:color w:val="auto"/>
          <w:highlight w:val="none"/>
        </w:rPr>
      </w:pPr>
    </w:p>
    <w:p>
      <w:pPr>
        <w:shd w:val="clear"/>
        <w:rPr>
          <w:rFonts w:ascii="宋体" w:hAnsi="宋体" w:cs="宋体"/>
          <w:color w:val="auto"/>
          <w:highlight w:val="none"/>
        </w:rPr>
        <w:sectPr>
          <w:headerReference r:id="rId15" w:type="default"/>
          <w:footerReference r:id="rId16" w:type="default"/>
          <w:pgSz w:w="11906" w:h="16838"/>
          <w:pgMar w:top="1418" w:right="1134" w:bottom="1418" w:left="1418" w:header="851" w:footer="851" w:gutter="0"/>
          <w:cols w:space="720" w:num="1"/>
          <w:docGrid w:type="linesAndChars" w:linePitch="312" w:charSpace="0"/>
        </w:sectPr>
      </w:pPr>
    </w:p>
    <w:p>
      <w:pPr>
        <w:pStyle w:val="33"/>
        <w:shd w:val="clear"/>
        <w:jc w:val="center"/>
        <w:outlineLvl w:val="0"/>
        <w:rPr>
          <w:rFonts w:ascii="宋体" w:hAnsi="宋体" w:cs="宋体"/>
          <w:b/>
          <w:bCs/>
          <w:color w:val="auto"/>
          <w:sz w:val="36"/>
          <w:highlight w:val="none"/>
        </w:rPr>
      </w:pPr>
      <w:bookmarkStart w:id="118" w:name="_Toc30651"/>
      <w:bookmarkStart w:id="119" w:name="_Toc20063"/>
      <w:bookmarkStart w:id="120" w:name="_Toc533086815"/>
      <w:bookmarkStart w:id="121" w:name="_Toc20864"/>
      <w:bookmarkStart w:id="122" w:name="_Toc8864"/>
      <w:r>
        <w:rPr>
          <w:rFonts w:hint="eastAsia" w:ascii="宋体" w:hAnsi="宋体" w:cs="宋体"/>
          <w:b/>
          <w:bCs/>
          <w:color w:val="auto"/>
          <w:sz w:val="36"/>
          <w:highlight w:val="none"/>
        </w:rPr>
        <w:t>附件4：开标一览表</w:t>
      </w:r>
      <w:bookmarkEnd w:id="118"/>
      <w:bookmarkEnd w:id="119"/>
      <w:bookmarkEnd w:id="120"/>
      <w:bookmarkEnd w:id="121"/>
      <w:bookmarkEnd w:id="122"/>
    </w:p>
    <w:p>
      <w:pPr>
        <w:pStyle w:val="33"/>
        <w:shd w:val="clear"/>
        <w:rPr>
          <w:rFonts w:ascii="宋体" w:hAnsi="宋体" w:cs="宋体"/>
          <w:b/>
          <w:bCs/>
          <w:color w:val="auto"/>
          <w:sz w:val="36"/>
          <w:highlight w:val="none"/>
        </w:rPr>
      </w:pPr>
    </w:p>
    <w:p>
      <w:pPr>
        <w:pStyle w:val="33"/>
        <w:shd w:val="clear"/>
        <w:rPr>
          <w:rFonts w:ascii="宋体" w:hAnsi="宋体" w:cs="宋体"/>
          <w:b/>
          <w:bCs/>
          <w:color w:val="auto"/>
          <w:sz w:val="36"/>
          <w:highlight w:val="none"/>
        </w:rPr>
      </w:pPr>
    </w:p>
    <w:p>
      <w:pPr>
        <w:shd w:val="clear"/>
        <w:spacing w:line="360" w:lineRule="auto"/>
        <w:ind w:left="1405" w:hanging="1405" w:hangingChars="500"/>
        <w:jc w:val="center"/>
        <w:rPr>
          <w:rFonts w:ascii="宋体" w:hAnsi="宋体" w:cs="宋体"/>
          <w:b/>
          <w:color w:val="auto"/>
          <w:sz w:val="28"/>
          <w:szCs w:val="21"/>
          <w:highlight w:val="none"/>
        </w:rPr>
      </w:pPr>
      <w:bookmarkStart w:id="123" w:name="_Toc449387770"/>
      <w:r>
        <w:rPr>
          <w:rFonts w:hint="eastAsia" w:ascii="宋体" w:hAnsi="宋体" w:cs="宋体"/>
          <w:b/>
          <w:color w:val="auto"/>
          <w:sz w:val="28"/>
          <w:szCs w:val="21"/>
          <w:highlight w:val="none"/>
        </w:rPr>
        <w:t>新疆医科大学附属肿瘤医院医院消防设施维护及检测项目报价表</w:t>
      </w:r>
    </w:p>
    <w:tbl>
      <w:tblPr>
        <w:tblStyle w:val="23"/>
        <w:tblW w:w="63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123"/>
        <w:gridCol w:w="1582"/>
        <w:gridCol w:w="1582"/>
        <w:gridCol w:w="3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464" w:type="pct"/>
            <w:vAlign w:val="center"/>
          </w:tcPr>
          <w:p>
            <w:pPr>
              <w:shd w:val="clear"/>
              <w:jc w:val="center"/>
              <w:rPr>
                <w:rFonts w:hAnsi="宋体"/>
                <w:b/>
                <w:bCs/>
                <w:color w:val="auto"/>
                <w:szCs w:val="21"/>
                <w:highlight w:val="none"/>
              </w:rPr>
            </w:pPr>
            <w:r>
              <w:rPr>
                <w:rFonts w:hint="eastAsia" w:hAnsi="宋体"/>
                <w:b/>
                <w:bCs/>
                <w:color w:val="auto"/>
                <w:szCs w:val="21"/>
                <w:highlight w:val="none"/>
              </w:rPr>
              <w:t>序号</w:t>
            </w:r>
          </w:p>
        </w:tc>
        <w:tc>
          <w:tcPr>
            <w:tcW w:w="1449" w:type="pct"/>
            <w:vAlign w:val="center"/>
          </w:tcPr>
          <w:p>
            <w:pPr>
              <w:shd w:val="clear"/>
              <w:jc w:val="center"/>
              <w:rPr>
                <w:rFonts w:hAnsi="宋体"/>
                <w:b/>
                <w:bCs/>
                <w:color w:val="auto"/>
                <w:szCs w:val="21"/>
                <w:highlight w:val="none"/>
              </w:rPr>
            </w:pPr>
            <w:r>
              <w:rPr>
                <w:rFonts w:hint="eastAsia" w:hAnsi="宋体"/>
                <w:b/>
                <w:bCs/>
                <w:color w:val="auto"/>
                <w:szCs w:val="21"/>
                <w:highlight w:val="none"/>
              </w:rPr>
              <w:t>项目名称</w:t>
            </w:r>
          </w:p>
        </w:tc>
        <w:tc>
          <w:tcPr>
            <w:tcW w:w="734" w:type="pct"/>
            <w:vAlign w:val="center"/>
          </w:tcPr>
          <w:p>
            <w:pPr>
              <w:shd w:val="clear"/>
              <w:jc w:val="center"/>
              <w:rPr>
                <w:b/>
                <w:bCs/>
                <w:color w:val="auto"/>
                <w:highlight w:val="none"/>
              </w:rPr>
            </w:pPr>
            <w:r>
              <w:rPr>
                <w:rFonts w:hint="eastAsia"/>
                <w:b/>
                <w:bCs/>
                <w:color w:val="auto"/>
                <w:highlight w:val="none"/>
              </w:rPr>
              <w:t>单项报价（元/㎡/年）</w:t>
            </w:r>
          </w:p>
          <w:p>
            <w:pPr>
              <w:shd w:val="clear"/>
              <w:jc w:val="center"/>
              <w:rPr>
                <w:b/>
                <w:bCs/>
                <w:color w:val="auto"/>
                <w:highlight w:val="none"/>
              </w:rPr>
            </w:pPr>
            <w:r>
              <w:rPr>
                <w:rFonts w:hint="eastAsia"/>
                <w:b/>
                <w:bCs/>
                <w:color w:val="auto"/>
                <w:highlight w:val="none"/>
              </w:rPr>
              <w:t>维保</w:t>
            </w:r>
          </w:p>
        </w:tc>
        <w:tc>
          <w:tcPr>
            <w:tcW w:w="734" w:type="pct"/>
            <w:vAlign w:val="center"/>
          </w:tcPr>
          <w:p>
            <w:pPr>
              <w:shd w:val="clear"/>
              <w:jc w:val="center"/>
              <w:rPr>
                <w:b/>
                <w:bCs/>
                <w:color w:val="auto"/>
                <w:highlight w:val="none"/>
              </w:rPr>
            </w:pPr>
            <w:r>
              <w:rPr>
                <w:rFonts w:hint="eastAsia"/>
                <w:b/>
                <w:bCs/>
                <w:color w:val="auto"/>
                <w:highlight w:val="none"/>
              </w:rPr>
              <w:t>单项报价（元/㎡/年）</w:t>
            </w:r>
          </w:p>
          <w:p>
            <w:pPr>
              <w:shd w:val="clear"/>
              <w:jc w:val="center"/>
              <w:rPr>
                <w:rFonts w:hAnsi="宋体"/>
                <w:b/>
                <w:bCs/>
                <w:color w:val="auto"/>
                <w:szCs w:val="21"/>
                <w:highlight w:val="none"/>
              </w:rPr>
            </w:pPr>
            <w:r>
              <w:rPr>
                <w:rFonts w:hint="eastAsia" w:hAnsi="宋体"/>
                <w:b/>
                <w:bCs/>
                <w:color w:val="auto"/>
                <w:szCs w:val="21"/>
                <w:highlight w:val="none"/>
              </w:rPr>
              <w:t>检测</w:t>
            </w:r>
          </w:p>
        </w:tc>
        <w:tc>
          <w:tcPr>
            <w:tcW w:w="1616" w:type="pct"/>
            <w:vAlign w:val="center"/>
          </w:tcPr>
          <w:p>
            <w:pPr>
              <w:shd w:val="clear"/>
              <w:jc w:val="center"/>
              <w:rPr>
                <w:rFonts w:hAnsi="宋体"/>
                <w:b/>
                <w:bCs/>
                <w:color w:val="auto"/>
                <w:szCs w:val="21"/>
                <w:highlight w:val="none"/>
              </w:rPr>
            </w:pPr>
            <w:r>
              <w:rPr>
                <w:rFonts w:hint="eastAsia" w:hAnsi="宋体"/>
                <w:b/>
                <w:bCs/>
                <w:color w:val="auto"/>
                <w:szCs w:val="21"/>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464" w:type="pct"/>
            <w:vAlign w:val="center"/>
          </w:tcPr>
          <w:p>
            <w:pPr>
              <w:pStyle w:val="20"/>
              <w:shd w:val="clear"/>
              <w:ind w:left="4760"/>
              <w:rPr>
                <w:rFonts w:hAnsi="宋体" w:eastAsia="宋体"/>
                <w:color w:val="auto"/>
                <w:highlight w:val="none"/>
              </w:rPr>
            </w:pPr>
          </w:p>
        </w:tc>
        <w:tc>
          <w:tcPr>
            <w:tcW w:w="1449" w:type="pct"/>
            <w:vAlign w:val="center"/>
          </w:tcPr>
          <w:p>
            <w:pPr>
              <w:shd w:val="clear"/>
              <w:rPr>
                <w:rFonts w:hAnsi="宋体"/>
                <w:color w:val="auto"/>
                <w:szCs w:val="21"/>
                <w:highlight w:val="none"/>
              </w:rPr>
            </w:pPr>
          </w:p>
        </w:tc>
        <w:tc>
          <w:tcPr>
            <w:tcW w:w="734" w:type="pct"/>
            <w:vAlign w:val="center"/>
          </w:tcPr>
          <w:p>
            <w:pPr>
              <w:shd w:val="clear"/>
              <w:rPr>
                <w:rFonts w:hAnsi="宋体"/>
                <w:color w:val="auto"/>
                <w:szCs w:val="21"/>
                <w:highlight w:val="none"/>
              </w:rPr>
            </w:pPr>
          </w:p>
        </w:tc>
        <w:tc>
          <w:tcPr>
            <w:tcW w:w="734" w:type="pct"/>
            <w:vAlign w:val="center"/>
          </w:tcPr>
          <w:p>
            <w:pPr>
              <w:shd w:val="clear"/>
              <w:rPr>
                <w:rFonts w:hAnsi="宋体"/>
                <w:color w:val="auto"/>
                <w:szCs w:val="21"/>
                <w:highlight w:val="none"/>
              </w:rPr>
            </w:pPr>
          </w:p>
        </w:tc>
        <w:tc>
          <w:tcPr>
            <w:tcW w:w="1616" w:type="pct"/>
            <w:vAlign w:val="center"/>
          </w:tcPr>
          <w:p>
            <w:pPr>
              <w:shd w:val="clea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5000" w:type="pct"/>
            <w:gridSpan w:val="5"/>
            <w:vAlign w:val="center"/>
          </w:tcPr>
          <w:p>
            <w:pPr>
              <w:shd w:val="clear"/>
              <w:jc w:val="center"/>
              <w:rPr>
                <w:rFonts w:hAnsi="宋体"/>
                <w:b/>
                <w:bCs/>
                <w:color w:val="auto"/>
                <w:szCs w:val="21"/>
                <w:highlight w:val="none"/>
              </w:rPr>
            </w:pPr>
            <w:r>
              <w:rPr>
                <w:rFonts w:hint="eastAsia" w:hAnsi="宋体"/>
                <w:b/>
                <w:bCs/>
                <w:color w:val="auto"/>
                <w:szCs w:val="21"/>
                <w:highlight w:val="none"/>
              </w:rPr>
              <w:t>最高限价：不得超过</w:t>
            </w:r>
            <w:r>
              <w:rPr>
                <w:rFonts w:hint="eastAsia"/>
                <w:b/>
                <w:color w:val="auto"/>
                <w:sz w:val="24"/>
                <w:szCs w:val="24"/>
                <w:highlight w:val="none"/>
                <w:u w:val="single"/>
              </w:rPr>
              <w:t>18.18</w:t>
            </w:r>
            <w:r>
              <w:rPr>
                <w:rFonts w:hint="eastAsia"/>
                <w:b/>
                <w:color w:val="auto"/>
                <w:sz w:val="24"/>
                <w:szCs w:val="24"/>
                <w:highlight w:val="none"/>
              </w:rPr>
              <w:t>万</w:t>
            </w:r>
            <w:r>
              <w:rPr>
                <w:rFonts w:hint="eastAsia" w:hAnsi="宋体"/>
                <w:b/>
                <w:bCs/>
                <w:color w:val="auto"/>
                <w:szCs w:val="21"/>
                <w:highlight w:val="none"/>
              </w:rPr>
              <w:t>元,(单项维保不超过0.8</w:t>
            </w:r>
            <w:r>
              <w:rPr>
                <w:rFonts w:hint="eastAsia"/>
                <w:b/>
                <w:bCs/>
                <w:color w:val="auto"/>
                <w:highlight w:val="none"/>
              </w:rPr>
              <w:t>元/㎡/年</w:t>
            </w:r>
            <w:r>
              <w:rPr>
                <w:rFonts w:hint="eastAsia" w:hAnsi="宋体"/>
                <w:b/>
                <w:bCs/>
                <w:color w:val="auto"/>
                <w:szCs w:val="21"/>
                <w:highlight w:val="none"/>
              </w:rPr>
              <w:t>，单项检测不超过0.2</w:t>
            </w:r>
            <w:r>
              <w:rPr>
                <w:rFonts w:hint="eastAsia"/>
                <w:b/>
                <w:bCs/>
                <w:color w:val="auto"/>
                <w:highlight w:val="none"/>
              </w:rPr>
              <w:t>元/㎡/年</w:t>
            </w:r>
            <w:r>
              <w:rPr>
                <w:rFonts w:hint="eastAsia" w:hAnsi="宋体"/>
                <w:b/>
                <w:bCs/>
                <w:color w:val="auto"/>
                <w:szCs w:val="21"/>
                <w:highlight w:val="none"/>
              </w:rPr>
              <w:t>)</w:t>
            </w:r>
          </w:p>
        </w:tc>
      </w:tr>
      <w:bookmarkEnd w:id="123"/>
    </w:tbl>
    <w:p>
      <w:pPr>
        <w:pStyle w:val="33"/>
        <w:shd w:val="clear"/>
        <w:rPr>
          <w:rFonts w:ascii="宋体" w:hAnsi="宋体" w:cs="宋体"/>
          <w:color w:val="auto"/>
          <w:szCs w:val="24"/>
          <w:highlight w:val="none"/>
        </w:rPr>
      </w:pPr>
    </w:p>
    <w:p>
      <w:pPr>
        <w:shd w:val="clear"/>
        <w:spacing w:line="400" w:lineRule="exact"/>
        <w:jc w:val="left"/>
        <w:rPr>
          <w:color w:val="auto"/>
          <w:highlight w:val="none"/>
        </w:rPr>
      </w:pPr>
      <w:r>
        <w:rPr>
          <w:rFonts w:hint="eastAsia" w:hAnsi="宋体" w:cs="Arial"/>
          <w:bCs/>
          <w:color w:val="auto"/>
          <w:sz w:val="24"/>
          <w:szCs w:val="24"/>
          <w:highlight w:val="none"/>
        </w:rPr>
        <w:t>注</w:t>
      </w:r>
      <w:r>
        <w:rPr>
          <w:rFonts w:hAnsi="宋体" w:cs="Arial"/>
          <w:bCs/>
          <w:color w:val="auto"/>
          <w:sz w:val="24"/>
          <w:szCs w:val="24"/>
          <w:highlight w:val="none"/>
        </w:rPr>
        <w:t>：</w:t>
      </w:r>
      <w:r>
        <w:rPr>
          <w:rFonts w:hint="eastAsia" w:hAnsi="宋体" w:cs="Arial"/>
          <w:bCs/>
          <w:color w:val="auto"/>
          <w:sz w:val="24"/>
          <w:szCs w:val="24"/>
          <w:highlight w:val="none"/>
        </w:rPr>
        <w:t>1、本项目报价应是磋商文件所确定的招标范围内的全部工作内容的价格体</w:t>
      </w:r>
      <w:r>
        <w:rPr>
          <w:rFonts w:hint="eastAsia" w:ascii="Calibri" w:hAnsi="宋体" w:cs="Arial"/>
          <w:bCs/>
          <w:color w:val="auto"/>
          <w:sz w:val="24"/>
          <w:szCs w:val="24"/>
          <w:highlight w:val="none"/>
        </w:rPr>
        <w:t>现，供应商应根据企业自身情况考虑材料损耗率，在投标报价时将材料损耗综合考虑在内，成交后不作调整。</w:t>
      </w:r>
    </w:p>
    <w:p>
      <w:pPr>
        <w:pStyle w:val="33"/>
        <w:numPr>
          <w:ilvl w:val="0"/>
          <w:numId w:val="8"/>
        </w:numPr>
        <w:shd w:val="clear"/>
        <w:rPr>
          <w:rFonts w:ascii="Calibri" w:hAnsi="宋体" w:cs="Arial"/>
          <w:bCs/>
          <w:color w:val="auto"/>
          <w:szCs w:val="24"/>
          <w:highlight w:val="none"/>
        </w:rPr>
      </w:pPr>
      <w:r>
        <w:rPr>
          <w:rFonts w:hint="eastAsia" w:ascii="Calibri" w:hAnsi="宋体" w:cs="Arial"/>
          <w:bCs/>
          <w:color w:val="auto"/>
          <w:szCs w:val="24"/>
          <w:highlight w:val="none"/>
        </w:rPr>
        <w:t>超过最高限价的报价无效。</w:t>
      </w:r>
    </w:p>
    <w:p>
      <w:pPr>
        <w:pStyle w:val="33"/>
        <w:shd w:val="clear"/>
        <w:rPr>
          <w:rFonts w:ascii="Calibri" w:hAnsi="宋体" w:cs="Arial"/>
          <w:bCs/>
          <w:color w:val="auto"/>
          <w:szCs w:val="24"/>
          <w:highlight w:val="none"/>
        </w:rPr>
      </w:pPr>
    </w:p>
    <w:p>
      <w:pPr>
        <w:pStyle w:val="33"/>
        <w:shd w:val="clear"/>
        <w:rPr>
          <w:rFonts w:ascii="Calibri" w:hAnsi="宋体" w:cs="Arial"/>
          <w:bCs/>
          <w:color w:val="auto"/>
          <w:szCs w:val="24"/>
          <w:highlight w:val="none"/>
        </w:rPr>
      </w:pPr>
    </w:p>
    <w:p>
      <w:pPr>
        <w:pStyle w:val="33"/>
        <w:shd w:val="clear"/>
        <w:rPr>
          <w:rFonts w:ascii="Calibri" w:hAnsi="宋体" w:cs="Arial"/>
          <w:bCs/>
          <w:color w:val="auto"/>
          <w:szCs w:val="24"/>
          <w:highlight w:val="none"/>
        </w:rPr>
      </w:pPr>
    </w:p>
    <w:p>
      <w:pPr>
        <w:pStyle w:val="33"/>
        <w:shd w:val="clear"/>
        <w:rPr>
          <w:rFonts w:ascii="Calibri" w:hAnsi="宋体" w:cs="Arial"/>
          <w:bCs/>
          <w:color w:val="auto"/>
          <w:szCs w:val="24"/>
          <w:highlight w:val="none"/>
        </w:rPr>
      </w:pPr>
    </w:p>
    <w:p>
      <w:pPr>
        <w:pStyle w:val="33"/>
        <w:shd w:val="clear"/>
        <w:rPr>
          <w:rFonts w:ascii="Calibri" w:hAnsi="宋体" w:cs="Arial"/>
          <w:bCs/>
          <w:color w:val="auto"/>
          <w:szCs w:val="24"/>
          <w:highlight w:val="none"/>
        </w:rPr>
      </w:pPr>
    </w:p>
    <w:p>
      <w:pPr>
        <w:pStyle w:val="33"/>
        <w:shd w:val="clear"/>
        <w:rPr>
          <w:rFonts w:ascii="Calibri" w:hAnsi="宋体" w:cs="Arial"/>
          <w:bCs/>
          <w:color w:val="auto"/>
          <w:szCs w:val="24"/>
          <w:highlight w:val="none"/>
        </w:rPr>
      </w:pPr>
    </w:p>
    <w:p>
      <w:pPr>
        <w:pStyle w:val="33"/>
        <w:shd w:val="clear"/>
        <w:rPr>
          <w:rFonts w:ascii="宋体" w:hAnsi="宋体" w:cs="宋体"/>
          <w:b/>
          <w:bCs/>
          <w:color w:val="auto"/>
          <w:sz w:val="30"/>
          <w:szCs w:val="30"/>
          <w:highlight w:val="none"/>
        </w:rPr>
      </w:pPr>
    </w:p>
    <w:p>
      <w:pPr>
        <w:shd w:val="clear"/>
        <w:spacing w:line="360" w:lineRule="auto"/>
        <w:ind w:firstLine="4080" w:firstLineChars="1700"/>
        <w:rPr>
          <w:rFonts w:ascii="宋体" w:hAnsi="宋体"/>
          <w:color w:val="auto"/>
          <w:sz w:val="24"/>
          <w:szCs w:val="24"/>
          <w:highlight w:val="none"/>
        </w:rPr>
      </w:pPr>
      <w:r>
        <w:rPr>
          <w:rFonts w:hint="eastAsia" w:ascii="宋体" w:hAnsi="宋体"/>
          <w:color w:val="auto"/>
          <w:sz w:val="24"/>
          <w:szCs w:val="24"/>
          <w:highlight w:val="none"/>
        </w:rPr>
        <w:t>投标单位公章：</w:t>
      </w:r>
    </w:p>
    <w:p>
      <w:pPr>
        <w:shd w:val="clear"/>
        <w:spacing w:line="360" w:lineRule="auto"/>
        <w:ind w:firstLine="4080" w:firstLineChars="1700"/>
        <w:rPr>
          <w:rFonts w:ascii="宋体" w:hAnsi="宋体"/>
          <w:color w:val="auto"/>
          <w:sz w:val="24"/>
          <w:szCs w:val="24"/>
          <w:highlight w:val="none"/>
        </w:rPr>
      </w:pPr>
    </w:p>
    <w:p>
      <w:pPr>
        <w:shd w:val="clear"/>
        <w:spacing w:line="360" w:lineRule="auto"/>
        <w:ind w:firstLine="4080" w:firstLineChars="1700"/>
        <w:rPr>
          <w:rFonts w:ascii="宋体" w:hAnsi="宋体"/>
          <w:color w:val="auto"/>
          <w:sz w:val="24"/>
          <w:szCs w:val="24"/>
          <w:highlight w:val="none"/>
        </w:rPr>
      </w:pPr>
      <w:r>
        <w:rPr>
          <w:rFonts w:hint="eastAsia" w:ascii="宋体" w:hAnsi="宋体"/>
          <w:color w:val="auto"/>
          <w:sz w:val="24"/>
          <w:szCs w:val="24"/>
          <w:highlight w:val="none"/>
        </w:rPr>
        <w:t>投标单位法人盖章：</w:t>
      </w:r>
    </w:p>
    <w:p>
      <w:pPr>
        <w:shd w:val="clear"/>
        <w:spacing w:line="360" w:lineRule="auto"/>
        <w:ind w:firstLine="480" w:firstLineChars="200"/>
        <w:rPr>
          <w:rFonts w:ascii="宋体" w:hAnsi="宋体"/>
          <w:color w:val="auto"/>
          <w:sz w:val="24"/>
          <w:szCs w:val="24"/>
          <w:highlight w:val="none"/>
        </w:rPr>
      </w:pPr>
    </w:p>
    <w:p>
      <w:pPr>
        <w:pStyle w:val="33"/>
        <w:shd w:val="clear"/>
        <w:jc w:val="center"/>
        <w:rPr>
          <w:rFonts w:ascii="宋体" w:hAnsi="宋体" w:cs="宋体"/>
          <w:b/>
          <w:bCs/>
          <w:color w:val="auto"/>
          <w:sz w:val="30"/>
          <w:szCs w:val="30"/>
          <w:highlight w:val="none"/>
        </w:rPr>
      </w:pPr>
      <w:r>
        <w:rPr>
          <w:rFonts w:hint="eastAsia" w:ascii="宋体" w:hAnsi="宋体"/>
          <w:color w:val="auto"/>
          <w:szCs w:val="24"/>
          <w:highlight w:val="none"/>
        </w:rPr>
        <w:t xml:space="preserve">            年   月   日</w:t>
      </w:r>
    </w:p>
    <w:p>
      <w:pPr>
        <w:pStyle w:val="33"/>
        <w:shd w:val="clear"/>
        <w:rPr>
          <w:rFonts w:ascii="宋体" w:hAnsi="宋体" w:cs="宋体"/>
          <w:b/>
          <w:bCs/>
          <w:color w:val="auto"/>
          <w:sz w:val="30"/>
          <w:szCs w:val="30"/>
          <w:highlight w:val="none"/>
        </w:rPr>
      </w:pPr>
    </w:p>
    <w:p>
      <w:pPr>
        <w:pStyle w:val="33"/>
        <w:shd w:val="clear"/>
        <w:jc w:val="center"/>
        <w:outlineLvl w:val="0"/>
        <w:rPr>
          <w:rFonts w:ascii="宋体" w:hAnsi="宋体" w:cs="宋体"/>
          <w:b/>
          <w:bCs/>
          <w:color w:val="auto"/>
          <w:sz w:val="36"/>
          <w:highlight w:val="none"/>
        </w:rPr>
      </w:pPr>
      <w:bookmarkStart w:id="124" w:name="_Toc12933"/>
      <w:bookmarkStart w:id="125" w:name="_Toc533086816"/>
      <w:bookmarkStart w:id="126" w:name="_Toc28138"/>
      <w:bookmarkStart w:id="127" w:name="_Toc10935"/>
      <w:bookmarkStart w:id="128" w:name="_Toc5878"/>
      <w:bookmarkStart w:id="129" w:name="_Toc11735"/>
    </w:p>
    <w:p>
      <w:pPr>
        <w:pStyle w:val="33"/>
        <w:shd w:val="clear"/>
        <w:jc w:val="center"/>
        <w:outlineLvl w:val="0"/>
        <w:rPr>
          <w:rFonts w:ascii="宋体" w:hAnsi="宋体" w:cs="宋体"/>
          <w:b/>
          <w:bCs/>
          <w:color w:val="auto"/>
          <w:sz w:val="36"/>
          <w:highlight w:val="none"/>
        </w:rPr>
      </w:pPr>
    </w:p>
    <w:p>
      <w:pPr>
        <w:pStyle w:val="33"/>
        <w:shd w:val="clear"/>
        <w:jc w:val="center"/>
        <w:outlineLvl w:val="0"/>
        <w:rPr>
          <w:rFonts w:ascii="宋体" w:hAnsi="宋体" w:cs="宋体"/>
          <w:b/>
          <w:bCs/>
          <w:color w:val="auto"/>
          <w:sz w:val="36"/>
          <w:highlight w:val="none"/>
        </w:rPr>
      </w:pPr>
    </w:p>
    <w:p>
      <w:pPr>
        <w:pStyle w:val="33"/>
        <w:shd w:val="clear"/>
        <w:jc w:val="both"/>
        <w:outlineLvl w:val="0"/>
        <w:rPr>
          <w:rFonts w:ascii="宋体" w:hAnsi="宋体" w:cs="宋体"/>
          <w:b/>
          <w:bCs/>
          <w:color w:val="auto"/>
          <w:sz w:val="36"/>
          <w:highlight w:val="none"/>
        </w:rPr>
      </w:pPr>
    </w:p>
    <w:p>
      <w:pPr>
        <w:pStyle w:val="33"/>
        <w:shd w:val="clear"/>
        <w:jc w:val="center"/>
        <w:outlineLvl w:val="0"/>
        <w:rPr>
          <w:rFonts w:hint="eastAsia" w:ascii="宋体" w:hAnsi="宋体" w:cs="宋体"/>
          <w:b/>
          <w:bCs/>
          <w:color w:val="auto"/>
          <w:sz w:val="36"/>
          <w:highlight w:val="none"/>
        </w:rPr>
      </w:pPr>
    </w:p>
    <w:p>
      <w:pPr>
        <w:pStyle w:val="33"/>
        <w:shd w:val="clear"/>
        <w:jc w:val="center"/>
        <w:outlineLvl w:val="0"/>
        <w:rPr>
          <w:rFonts w:hint="eastAsia" w:ascii="宋体" w:hAnsi="宋体" w:cs="宋体"/>
          <w:b/>
          <w:bCs/>
          <w:color w:val="auto"/>
          <w:sz w:val="36"/>
          <w:highlight w:val="none"/>
        </w:rPr>
      </w:pPr>
    </w:p>
    <w:p>
      <w:pPr>
        <w:pStyle w:val="33"/>
        <w:shd w:val="clear"/>
        <w:jc w:val="center"/>
        <w:outlineLvl w:val="0"/>
        <w:rPr>
          <w:rFonts w:ascii="宋体" w:hAnsi="宋体" w:cs="宋体"/>
          <w:b/>
          <w:bCs/>
          <w:color w:val="auto"/>
          <w:sz w:val="36"/>
          <w:highlight w:val="none"/>
        </w:rPr>
      </w:pPr>
      <w:r>
        <w:rPr>
          <w:rFonts w:hint="eastAsia" w:ascii="宋体" w:hAnsi="宋体" w:cs="宋体"/>
          <w:b/>
          <w:bCs/>
          <w:color w:val="auto"/>
          <w:sz w:val="36"/>
          <w:highlight w:val="none"/>
        </w:rPr>
        <w:t>附件5：商务技术条款偏离表</w:t>
      </w:r>
      <w:bookmarkEnd w:id="124"/>
      <w:bookmarkEnd w:id="125"/>
      <w:bookmarkEnd w:id="126"/>
      <w:bookmarkEnd w:id="127"/>
      <w:bookmarkEnd w:id="128"/>
      <w:bookmarkEnd w:id="129"/>
    </w:p>
    <w:p>
      <w:pPr>
        <w:shd w:val="clear"/>
        <w:spacing w:line="360" w:lineRule="auto"/>
        <w:ind w:left="420"/>
        <w:jc w:val="center"/>
        <w:rPr>
          <w:rFonts w:ascii="宋体" w:hAnsi="宋体"/>
          <w:b/>
          <w:color w:val="auto"/>
          <w:highlight w:val="none"/>
        </w:rPr>
      </w:pPr>
    </w:p>
    <w:p>
      <w:pPr>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投标单位名称：                       招标编号：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39"/>
        <w:gridCol w:w="1701"/>
        <w:gridCol w:w="1276"/>
        <w:gridCol w:w="1772"/>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46" w:type="dxa"/>
            <w:vAlign w:val="center"/>
          </w:tcPr>
          <w:p>
            <w:pPr>
              <w:shd w:val="clear"/>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239" w:type="dxa"/>
            <w:vAlign w:val="center"/>
          </w:tcPr>
          <w:p>
            <w:pPr>
              <w:shd w:val="clear"/>
              <w:jc w:val="center"/>
              <w:rPr>
                <w:rFonts w:ascii="宋体" w:hAnsi="宋体" w:cs="宋体"/>
                <w:color w:val="auto"/>
                <w:sz w:val="24"/>
                <w:szCs w:val="24"/>
                <w:highlight w:val="none"/>
              </w:rPr>
            </w:pPr>
            <w:r>
              <w:rPr>
                <w:rFonts w:hint="eastAsia" w:ascii="宋体" w:hAnsi="宋体" w:cs="宋体"/>
                <w:color w:val="auto"/>
                <w:sz w:val="24"/>
                <w:szCs w:val="24"/>
                <w:highlight w:val="none"/>
              </w:rPr>
              <w:t>采购文件规格功能要求条目号</w:t>
            </w:r>
          </w:p>
        </w:tc>
        <w:tc>
          <w:tcPr>
            <w:tcW w:w="1701" w:type="dxa"/>
            <w:vAlign w:val="center"/>
          </w:tcPr>
          <w:p>
            <w:pPr>
              <w:shd w:val="clear"/>
              <w:jc w:val="center"/>
              <w:rPr>
                <w:rFonts w:ascii="宋体" w:hAnsi="宋体" w:cs="宋体"/>
                <w:color w:val="auto"/>
                <w:sz w:val="24"/>
                <w:szCs w:val="24"/>
                <w:highlight w:val="none"/>
              </w:rPr>
            </w:pPr>
            <w:r>
              <w:rPr>
                <w:rFonts w:hint="eastAsia" w:ascii="宋体" w:hAnsi="宋体" w:cs="宋体"/>
                <w:color w:val="auto"/>
                <w:sz w:val="24"/>
                <w:szCs w:val="24"/>
                <w:highlight w:val="none"/>
              </w:rPr>
              <w:t>采购文件要求规格</w:t>
            </w:r>
          </w:p>
        </w:tc>
        <w:tc>
          <w:tcPr>
            <w:tcW w:w="1276" w:type="dxa"/>
            <w:vAlign w:val="center"/>
          </w:tcPr>
          <w:p>
            <w:pPr>
              <w:shd w:val="clear"/>
              <w:jc w:val="center"/>
              <w:rPr>
                <w:rFonts w:ascii="宋体" w:hAnsi="宋体" w:cs="宋体"/>
                <w:color w:val="auto"/>
                <w:sz w:val="24"/>
                <w:szCs w:val="24"/>
                <w:highlight w:val="none"/>
              </w:rPr>
            </w:pPr>
            <w:r>
              <w:rPr>
                <w:rFonts w:hint="eastAsia" w:ascii="宋体" w:hAnsi="宋体" w:cs="宋体"/>
                <w:color w:val="auto"/>
                <w:sz w:val="24"/>
                <w:szCs w:val="24"/>
                <w:highlight w:val="none"/>
              </w:rPr>
              <w:t>投标规格功能</w:t>
            </w:r>
          </w:p>
        </w:tc>
        <w:tc>
          <w:tcPr>
            <w:tcW w:w="1772" w:type="dxa"/>
            <w:vAlign w:val="center"/>
          </w:tcPr>
          <w:p>
            <w:pPr>
              <w:shd w:val="clear"/>
              <w:jc w:val="center"/>
              <w:rPr>
                <w:rFonts w:ascii="宋体" w:hAnsi="宋体" w:cs="宋体"/>
                <w:color w:val="auto"/>
                <w:sz w:val="24"/>
                <w:szCs w:val="24"/>
                <w:highlight w:val="none"/>
              </w:rPr>
            </w:pPr>
            <w:r>
              <w:rPr>
                <w:rFonts w:hint="eastAsia" w:ascii="宋体" w:hAnsi="宋体" w:cs="宋体"/>
                <w:color w:val="auto"/>
                <w:sz w:val="24"/>
                <w:szCs w:val="24"/>
                <w:highlight w:val="none"/>
              </w:rPr>
              <w:t>偏离</w:t>
            </w:r>
          </w:p>
        </w:tc>
        <w:tc>
          <w:tcPr>
            <w:tcW w:w="1585" w:type="dxa"/>
            <w:vAlign w:val="center"/>
          </w:tcPr>
          <w:p>
            <w:pPr>
              <w:shd w:val="clear"/>
              <w:jc w:val="center"/>
              <w:rPr>
                <w:rFonts w:ascii="宋体" w:hAnsi="宋体" w:cs="宋体"/>
                <w:color w:val="auto"/>
                <w:sz w:val="24"/>
                <w:szCs w:val="24"/>
                <w:highlight w:val="none"/>
              </w:rPr>
            </w:pPr>
            <w:r>
              <w:rPr>
                <w:rFonts w:hint="eastAsia" w:ascii="宋体" w:hAnsi="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vAlign w:val="center"/>
          </w:tcPr>
          <w:p>
            <w:pPr>
              <w:shd w:val="clea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239" w:type="dxa"/>
            <w:vAlign w:val="center"/>
          </w:tcPr>
          <w:p>
            <w:pPr>
              <w:shd w:val="clear"/>
              <w:jc w:val="center"/>
              <w:rPr>
                <w:rFonts w:ascii="宋体" w:hAnsi="宋体" w:cs="宋体"/>
                <w:color w:val="auto"/>
                <w:sz w:val="24"/>
                <w:szCs w:val="24"/>
                <w:highlight w:val="none"/>
              </w:rPr>
            </w:pPr>
          </w:p>
        </w:tc>
        <w:tc>
          <w:tcPr>
            <w:tcW w:w="1701" w:type="dxa"/>
            <w:vAlign w:val="center"/>
          </w:tcPr>
          <w:p>
            <w:pPr>
              <w:shd w:val="clear"/>
              <w:jc w:val="center"/>
              <w:rPr>
                <w:rFonts w:ascii="宋体" w:hAnsi="宋体" w:cs="宋体"/>
                <w:color w:val="auto"/>
                <w:sz w:val="24"/>
                <w:szCs w:val="24"/>
                <w:highlight w:val="none"/>
              </w:rPr>
            </w:pPr>
          </w:p>
        </w:tc>
        <w:tc>
          <w:tcPr>
            <w:tcW w:w="1276" w:type="dxa"/>
            <w:vAlign w:val="center"/>
          </w:tcPr>
          <w:p>
            <w:pPr>
              <w:shd w:val="clear"/>
              <w:jc w:val="center"/>
              <w:rPr>
                <w:rFonts w:ascii="宋体" w:hAnsi="宋体" w:cs="宋体"/>
                <w:color w:val="auto"/>
                <w:sz w:val="24"/>
                <w:szCs w:val="24"/>
                <w:highlight w:val="none"/>
              </w:rPr>
            </w:pPr>
          </w:p>
        </w:tc>
        <w:tc>
          <w:tcPr>
            <w:tcW w:w="1772" w:type="dxa"/>
            <w:vAlign w:val="center"/>
          </w:tcPr>
          <w:p>
            <w:pPr>
              <w:shd w:val="clear"/>
              <w:jc w:val="center"/>
              <w:rPr>
                <w:rFonts w:ascii="宋体" w:hAnsi="宋体" w:cs="宋体"/>
                <w:color w:val="auto"/>
                <w:sz w:val="24"/>
                <w:szCs w:val="24"/>
                <w:highlight w:val="none"/>
              </w:rPr>
            </w:pPr>
          </w:p>
        </w:tc>
        <w:tc>
          <w:tcPr>
            <w:tcW w:w="1585" w:type="dxa"/>
            <w:vAlign w:val="center"/>
          </w:tcPr>
          <w:p>
            <w:pPr>
              <w:shd w:val="clea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vAlign w:val="center"/>
          </w:tcPr>
          <w:p>
            <w:pPr>
              <w:shd w:val="clea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239" w:type="dxa"/>
            <w:vAlign w:val="center"/>
          </w:tcPr>
          <w:p>
            <w:pPr>
              <w:shd w:val="clear"/>
              <w:jc w:val="center"/>
              <w:rPr>
                <w:rFonts w:ascii="宋体" w:hAnsi="宋体" w:cs="宋体"/>
                <w:color w:val="auto"/>
                <w:sz w:val="24"/>
                <w:szCs w:val="24"/>
                <w:highlight w:val="none"/>
              </w:rPr>
            </w:pPr>
          </w:p>
        </w:tc>
        <w:tc>
          <w:tcPr>
            <w:tcW w:w="1701" w:type="dxa"/>
            <w:vAlign w:val="center"/>
          </w:tcPr>
          <w:p>
            <w:pPr>
              <w:shd w:val="clear"/>
              <w:jc w:val="center"/>
              <w:rPr>
                <w:rFonts w:ascii="宋体" w:hAnsi="宋体" w:cs="宋体"/>
                <w:color w:val="auto"/>
                <w:sz w:val="24"/>
                <w:szCs w:val="24"/>
                <w:highlight w:val="none"/>
              </w:rPr>
            </w:pPr>
          </w:p>
        </w:tc>
        <w:tc>
          <w:tcPr>
            <w:tcW w:w="1276" w:type="dxa"/>
            <w:vAlign w:val="center"/>
          </w:tcPr>
          <w:p>
            <w:pPr>
              <w:shd w:val="clear"/>
              <w:jc w:val="center"/>
              <w:rPr>
                <w:rFonts w:ascii="宋体" w:hAnsi="宋体" w:cs="宋体"/>
                <w:color w:val="auto"/>
                <w:sz w:val="24"/>
                <w:szCs w:val="24"/>
                <w:highlight w:val="none"/>
              </w:rPr>
            </w:pPr>
          </w:p>
        </w:tc>
        <w:tc>
          <w:tcPr>
            <w:tcW w:w="1772" w:type="dxa"/>
            <w:vAlign w:val="center"/>
          </w:tcPr>
          <w:p>
            <w:pPr>
              <w:shd w:val="clear"/>
              <w:jc w:val="center"/>
              <w:rPr>
                <w:rFonts w:ascii="宋体" w:hAnsi="宋体" w:cs="宋体"/>
                <w:color w:val="auto"/>
                <w:sz w:val="24"/>
                <w:szCs w:val="24"/>
                <w:highlight w:val="none"/>
              </w:rPr>
            </w:pPr>
          </w:p>
        </w:tc>
        <w:tc>
          <w:tcPr>
            <w:tcW w:w="1585" w:type="dxa"/>
            <w:vAlign w:val="center"/>
          </w:tcPr>
          <w:p>
            <w:pPr>
              <w:shd w:val="clea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vAlign w:val="center"/>
          </w:tcPr>
          <w:p>
            <w:pPr>
              <w:shd w:val="clea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239" w:type="dxa"/>
            <w:vAlign w:val="center"/>
          </w:tcPr>
          <w:p>
            <w:pPr>
              <w:shd w:val="clear"/>
              <w:jc w:val="center"/>
              <w:rPr>
                <w:rFonts w:ascii="宋体" w:hAnsi="宋体" w:cs="宋体"/>
                <w:color w:val="auto"/>
                <w:sz w:val="24"/>
                <w:szCs w:val="24"/>
                <w:highlight w:val="none"/>
              </w:rPr>
            </w:pPr>
          </w:p>
        </w:tc>
        <w:tc>
          <w:tcPr>
            <w:tcW w:w="1701" w:type="dxa"/>
            <w:vAlign w:val="center"/>
          </w:tcPr>
          <w:p>
            <w:pPr>
              <w:shd w:val="clear"/>
              <w:jc w:val="center"/>
              <w:rPr>
                <w:rFonts w:ascii="宋体" w:hAnsi="宋体" w:cs="宋体"/>
                <w:color w:val="auto"/>
                <w:sz w:val="24"/>
                <w:szCs w:val="24"/>
                <w:highlight w:val="none"/>
              </w:rPr>
            </w:pPr>
          </w:p>
        </w:tc>
        <w:tc>
          <w:tcPr>
            <w:tcW w:w="1276" w:type="dxa"/>
            <w:vAlign w:val="center"/>
          </w:tcPr>
          <w:p>
            <w:pPr>
              <w:shd w:val="clear"/>
              <w:jc w:val="center"/>
              <w:rPr>
                <w:rFonts w:ascii="宋体" w:hAnsi="宋体" w:cs="宋体"/>
                <w:color w:val="auto"/>
                <w:sz w:val="24"/>
                <w:szCs w:val="24"/>
                <w:highlight w:val="none"/>
              </w:rPr>
            </w:pPr>
          </w:p>
        </w:tc>
        <w:tc>
          <w:tcPr>
            <w:tcW w:w="1772" w:type="dxa"/>
            <w:vAlign w:val="center"/>
          </w:tcPr>
          <w:p>
            <w:pPr>
              <w:shd w:val="clear"/>
              <w:jc w:val="center"/>
              <w:rPr>
                <w:rFonts w:ascii="宋体" w:hAnsi="宋体" w:cs="宋体"/>
                <w:color w:val="auto"/>
                <w:sz w:val="24"/>
                <w:szCs w:val="24"/>
                <w:highlight w:val="none"/>
              </w:rPr>
            </w:pPr>
          </w:p>
        </w:tc>
        <w:tc>
          <w:tcPr>
            <w:tcW w:w="1585" w:type="dxa"/>
            <w:vAlign w:val="center"/>
          </w:tcPr>
          <w:p>
            <w:pPr>
              <w:shd w:val="clea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vAlign w:val="center"/>
          </w:tcPr>
          <w:p>
            <w:pPr>
              <w:shd w:val="clea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239" w:type="dxa"/>
            <w:vAlign w:val="center"/>
          </w:tcPr>
          <w:p>
            <w:pPr>
              <w:shd w:val="clear"/>
              <w:jc w:val="center"/>
              <w:rPr>
                <w:rFonts w:ascii="宋体" w:hAnsi="宋体" w:cs="宋体"/>
                <w:color w:val="auto"/>
                <w:sz w:val="24"/>
                <w:szCs w:val="24"/>
                <w:highlight w:val="none"/>
              </w:rPr>
            </w:pPr>
          </w:p>
        </w:tc>
        <w:tc>
          <w:tcPr>
            <w:tcW w:w="1701" w:type="dxa"/>
            <w:vAlign w:val="center"/>
          </w:tcPr>
          <w:p>
            <w:pPr>
              <w:shd w:val="clear"/>
              <w:jc w:val="center"/>
              <w:rPr>
                <w:rFonts w:ascii="宋体" w:hAnsi="宋体" w:cs="宋体"/>
                <w:color w:val="auto"/>
                <w:sz w:val="24"/>
                <w:szCs w:val="24"/>
                <w:highlight w:val="none"/>
              </w:rPr>
            </w:pPr>
          </w:p>
        </w:tc>
        <w:tc>
          <w:tcPr>
            <w:tcW w:w="1276" w:type="dxa"/>
            <w:vAlign w:val="center"/>
          </w:tcPr>
          <w:p>
            <w:pPr>
              <w:shd w:val="clear"/>
              <w:jc w:val="center"/>
              <w:rPr>
                <w:rFonts w:ascii="宋体" w:hAnsi="宋体" w:cs="宋体"/>
                <w:color w:val="auto"/>
                <w:sz w:val="24"/>
                <w:szCs w:val="24"/>
                <w:highlight w:val="none"/>
              </w:rPr>
            </w:pPr>
          </w:p>
        </w:tc>
        <w:tc>
          <w:tcPr>
            <w:tcW w:w="1772" w:type="dxa"/>
            <w:vAlign w:val="center"/>
          </w:tcPr>
          <w:p>
            <w:pPr>
              <w:shd w:val="clear"/>
              <w:jc w:val="center"/>
              <w:rPr>
                <w:rFonts w:ascii="宋体" w:hAnsi="宋体" w:cs="宋体"/>
                <w:color w:val="auto"/>
                <w:sz w:val="24"/>
                <w:szCs w:val="24"/>
                <w:highlight w:val="none"/>
              </w:rPr>
            </w:pPr>
          </w:p>
        </w:tc>
        <w:tc>
          <w:tcPr>
            <w:tcW w:w="1585" w:type="dxa"/>
            <w:vAlign w:val="center"/>
          </w:tcPr>
          <w:p>
            <w:pPr>
              <w:shd w:val="clea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vAlign w:val="center"/>
          </w:tcPr>
          <w:p>
            <w:pPr>
              <w:shd w:val="clea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2239" w:type="dxa"/>
            <w:vAlign w:val="center"/>
          </w:tcPr>
          <w:p>
            <w:pPr>
              <w:shd w:val="clear"/>
              <w:jc w:val="center"/>
              <w:rPr>
                <w:rFonts w:ascii="宋体" w:hAnsi="宋体" w:cs="宋体"/>
                <w:color w:val="auto"/>
                <w:sz w:val="24"/>
                <w:szCs w:val="24"/>
                <w:highlight w:val="none"/>
              </w:rPr>
            </w:pPr>
          </w:p>
        </w:tc>
        <w:tc>
          <w:tcPr>
            <w:tcW w:w="1701" w:type="dxa"/>
            <w:vAlign w:val="center"/>
          </w:tcPr>
          <w:p>
            <w:pPr>
              <w:shd w:val="clear"/>
              <w:jc w:val="center"/>
              <w:rPr>
                <w:rFonts w:ascii="宋体" w:hAnsi="宋体" w:cs="宋体"/>
                <w:color w:val="auto"/>
                <w:sz w:val="24"/>
                <w:szCs w:val="24"/>
                <w:highlight w:val="none"/>
              </w:rPr>
            </w:pPr>
          </w:p>
        </w:tc>
        <w:tc>
          <w:tcPr>
            <w:tcW w:w="1276" w:type="dxa"/>
            <w:vAlign w:val="center"/>
          </w:tcPr>
          <w:p>
            <w:pPr>
              <w:shd w:val="clear"/>
              <w:jc w:val="center"/>
              <w:rPr>
                <w:rFonts w:ascii="宋体" w:hAnsi="宋体" w:cs="宋体"/>
                <w:color w:val="auto"/>
                <w:sz w:val="24"/>
                <w:szCs w:val="24"/>
                <w:highlight w:val="none"/>
              </w:rPr>
            </w:pPr>
          </w:p>
        </w:tc>
        <w:tc>
          <w:tcPr>
            <w:tcW w:w="1772" w:type="dxa"/>
            <w:vAlign w:val="center"/>
          </w:tcPr>
          <w:p>
            <w:pPr>
              <w:shd w:val="clear"/>
              <w:jc w:val="center"/>
              <w:rPr>
                <w:rFonts w:ascii="宋体" w:hAnsi="宋体" w:cs="宋体"/>
                <w:color w:val="auto"/>
                <w:sz w:val="24"/>
                <w:szCs w:val="24"/>
                <w:highlight w:val="none"/>
              </w:rPr>
            </w:pPr>
          </w:p>
        </w:tc>
        <w:tc>
          <w:tcPr>
            <w:tcW w:w="1585" w:type="dxa"/>
            <w:vAlign w:val="center"/>
          </w:tcPr>
          <w:p>
            <w:pPr>
              <w:shd w:val="clea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vAlign w:val="center"/>
          </w:tcPr>
          <w:p>
            <w:pPr>
              <w:shd w:val="clear"/>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2239" w:type="dxa"/>
            <w:vAlign w:val="center"/>
          </w:tcPr>
          <w:p>
            <w:pPr>
              <w:shd w:val="clear"/>
              <w:jc w:val="center"/>
              <w:rPr>
                <w:rFonts w:ascii="宋体" w:hAnsi="宋体" w:cs="宋体"/>
                <w:color w:val="auto"/>
                <w:sz w:val="24"/>
                <w:szCs w:val="24"/>
                <w:highlight w:val="none"/>
              </w:rPr>
            </w:pPr>
          </w:p>
        </w:tc>
        <w:tc>
          <w:tcPr>
            <w:tcW w:w="1701" w:type="dxa"/>
            <w:vAlign w:val="center"/>
          </w:tcPr>
          <w:p>
            <w:pPr>
              <w:shd w:val="clear"/>
              <w:jc w:val="center"/>
              <w:rPr>
                <w:rFonts w:ascii="宋体" w:hAnsi="宋体" w:cs="宋体"/>
                <w:color w:val="auto"/>
                <w:sz w:val="24"/>
                <w:szCs w:val="24"/>
                <w:highlight w:val="none"/>
              </w:rPr>
            </w:pPr>
          </w:p>
        </w:tc>
        <w:tc>
          <w:tcPr>
            <w:tcW w:w="1276" w:type="dxa"/>
            <w:vAlign w:val="center"/>
          </w:tcPr>
          <w:p>
            <w:pPr>
              <w:shd w:val="clear"/>
              <w:jc w:val="center"/>
              <w:rPr>
                <w:rFonts w:ascii="宋体" w:hAnsi="宋体" w:cs="宋体"/>
                <w:color w:val="auto"/>
                <w:sz w:val="24"/>
                <w:szCs w:val="24"/>
                <w:highlight w:val="none"/>
              </w:rPr>
            </w:pPr>
          </w:p>
        </w:tc>
        <w:tc>
          <w:tcPr>
            <w:tcW w:w="1772" w:type="dxa"/>
            <w:vAlign w:val="center"/>
          </w:tcPr>
          <w:p>
            <w:pPr>
              <w:shd w:val="clear"/>
              <w:jc w:val="center"/>
              <w:rPr>
                <w:rFonts w:ascii="宋体" w:hAnsi="宋体" w:cs="宋体"/>
                <w:color w:val="auto"/>
                <w:sz w:val="24"/>
                <w:szCs w:val="24"/>
                <w:highlight w:val="none"/>
              </w:rPr>
            </w:pPr>
          </w:p>
        </w:tc>
        <w:tc>
          <w:tcPr>
            <w:tcW w:w="1585" w:type="dxa"/>
            <w:vAlign w:val="center"/>
          </w:tcPr>
          <w:p>
            <w:pPr>
              <w:shd w:val="clea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vAlign w:val="center"/>
          </w:tcPr>
          <w:p>
            <w:pPr>
              <w:shd w:val="clear"/>
              <w:jc w:val="center"/>
              <w:rPr>
                <w:rFonts w:ascii="宋体" w:hAnsi="宋体" w:cs="宋体"/>
                <w:color w:val="auto"/>
                <w:sz w:val="24"/>
                <w:szCs w:val="24"/>
                <w:highlight w:val="none"/>
              </w:rPr>
            </w:pPr>
          </w:p>
        </w:tc>
        <w:tc>
          <w:tcPr>
            <w:tcW w:w="2239" w:type="dxa"/>
            <w:vAlign w:val="center"/>
          </w:tcPr>
          <w:p>
            <w:pPr>
              <w:shd w:val="clear"/>
              <w:jc w:val="center"/>
              <w:rPr>
                <w:rFonts w:ascii="宋体" w:hAnsi="宋体" w:cs="宋体"/>
                <w:color w:val="auto"/>
                <w:sz w:val="24"/>
                <w:szCs w:val="24"/>
                <w:highlight w:val="none"/>
              </w:rPr>
            </w:pPr>
          </w:p>
        </w:tc>
        <w:tc>
          <w:tcPr>
            <w:tcW w:w="1701" w:type="dxa"/>
            <w:vAlign w:val="center"/>
          </w:tcPr>
          <w:p>
            <w:pPr>
              <w:shd w:val="clear"/>
              <w:jc w:val="center"/>
              <w:rPr>
                <w:rFonts w:ascii="宋体" w:hAnsi="宋体" w:cs="宋体"/>
                <w:color w:val="auto"/>
                <w:sz w:val="24"/>
                <w:szCs w:val="24"/>
                <w:highlight w:val="none"/>
              </w:rPr>
            </w:pPr>
          </w:p>
        </w:tc>
        <w:tc>
          <w:tcPr>
            <w:tcW w:w="1276" w:type="dxa"/>
            <w:vAlign w:val="center"/>
          </w:tcPr>
          <w:p>
            <w:pPr>
              <w:shd w:val="clear"/>
              <w:jc w:val="center"/>
              <w:rPr>
                <w:rFonts w:ascii="宋体" w:hAnsi="宋体" w:cs="宋体"/>
                <w:color w:val="auto"/>
                <w:sz w:val="24"/>
                <w:szCs w:val="24"/>
                <w:highlight w:val="none"/>
              </w:rPr>
            </w:pPr>
          </w:p>
        </w:tc>
        <w:tc>
          <w:tcPr>
            <w:tcW w:w="1772" w:type="dxa"/>
            <w:vAlign w:val="center"/>
          </w:tcPr>
          <w:p>
            <w:pPr>
              <w:shd w:val="clear"/>
              <w:jc w:val="center"/>
              <w:rPr>
                <w:rFonts w:ascii="宋体" w:hAnsi="宋体" w:cs="宋体"/>
                <w:color w:val="auto"/>
                <w:sz w:val="24"/>
                <w:szCs w:val="24"/>
                <w:highlight w:val="none"/>
              </w:rPr>
            </w:pPr>
          </w:p>
        </w:tc>
        <w:tc>
          <w:tcPr>
            <w:tcW w:w="1585" w:type="dxa"/>
            <w:vAlign w:val="center"/>
          </w:tcPr>
          <w:p>
            <w:pPr>
              <w:shd w:val="clear"/>
              <w:jc w:val="center"/>
              <w:rPr>
                <w:rFonts w:ascii="宋体" w:hAnsi="宋体" w:cs="宋体"/>
                <w:color w:val="auto"/>
                <w:sz w:val="24"/>
                <w:szCs w:val="24"/>
                <w:highlight w:val="none"/>
              </w:rPr>
            </w:pPr>
          </w:p>
        </w:tc>
      </w:tr>
    </w:tbl>
    <w:p>
      <w:pPr>
        <w:shd w:val="clear"/>
        <w:spacing w:line="360" w:lineRule="auto"/>
        <w:ind w:firstLine="560" w:firstLineChars="200"/>
        <w:rPr>
          <w:rFonts w:ascii="宋体" w:hAnsi="宋体"/>
          <w:color w:val="auto"/>
          <w:sz w:val="28"/>
          <w:szCs w:val="28"/>
          <w:highlight w:val="none"/>
        </w:rPr>
      </w:pPr>
    </w:p>
    <w:p>
      <w:pPr>
        <w:shd w:val="clear"/>
        <w:spacing w:line="360" w:lineRule="auto"/>
        <w:rPr>
          <w:rFonts w:ascii="宋体" w:hAnsi="宋体"/>
          <w:color w:val="auto"/>
          <w:sz w:val="24"/>
          <w:szCs w:val="24"/>
          <w:highlight w:val="none"/>
        </w:rPr>
      </w:pPr>
      <w:r>
        <w:rPr>
          <w:rFonts w:hint="eastAsia" w:ascii="宋体" w:hAnsi="宋体"/>
          <w:b/>
          <w:color w:val="auto"/>
          <w:sz w:val="24"/>
          <w:szCs w:val="24"/>
          <w:highlight w:val="none"/>
        </w:rPr>
        <w:t>注</w:t>
      </w:r>
      <w:r>
        <w:rPr>
          <w:rFonts w:hint="eastAsia" w:ascii="宋体" w:hAnsi="宋体"/>
          <w:color w:val="auto"/>
          <w:sz w:val="24"/>
          <w:szCs w:val="24"/>
          <w:highlight w:val="none"/>
        </w:rPr>
        <w:t>：1、应与采购文件要求逐条对应填写，如本表空白则视为商务技术条款响应磋商文件要求无偏差。</w:t>
      </w:r>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2、本表如填写不完，可以续页。</w:t>
      </w:r>
    </w:p>
    <w:p>
      <w:pPr>
        <w:shd w:val="clear"/>
        <w:spacing w:line="360" w:lineRule="auto"/>
        <w:rPr>
          <w:rFonts w:ascii="宋体" w:hAnsi="宋体"/>
          <w:color w:val="auto"/>
          <w:sz w:val="24"/>
          <w:szCs w:val="24"/>
          <w:highlight w:val="none"/>
        </w:rPr>
      </w:pPr>
    </w:p>
    <w:p>
      <w:pPr>
        <w:shd w:val="clear"/>
        <w:spacing w:line="360" w:lineRule="auto"/>
        <w:ind w:firstLine="3960" w:firstLineChars="1650"/>
        <w:rPr>
          <w:rFonts w:ascii="宋体" w:hAnsi="宋体"/>
          <w:color w:val="auto"/>
          <w:sz w:val="24"/>
          <w:szCs w:val="24"/>
          <w:highlight w:val="none"/>
        </w:rPr>
      </w:pPr>
    </w:p>
    <w:p>
      <w:pPr>
        <w:shd w:val="clear"/>
        <w:spacing w:line="360" w:lineRule="auto"/>
        <w:ind w:firstLine="3960" w:firstLineChars="1650"/>
        <w:rPr>
          <w:rFonts w:ascii="宋体" w:hAnsi="宋体"/>
          <w:color w:val="auto"/>
          <w:sz w:val="24"/>
          <w:szCs w:val="24"/>
          <w:highlight w:val="none"/>
        </w:rPr>
      </w:pPr>
    </w:p>
    <w:p>
      <w:pPr>
        <w:shd w:val="clear"/>
        <w:spacing w:line="360" w:lineRule="auto"/>
        <w:ind w:firstLine="4080" w:firstLineChars="1700"/>
        <w:rPr>
          <w:rFonts w:ascii="宋体" w:hAnsi="宋体"/>
          <w:color w:val="auto"/>
          <w:sz w:val="24"/>
          <w:szCs w:val="24"/>
          <w:highlight w:val="none"/>
        </w:rPr>
      </w:pPr>
      <w:r>
        <w:rPr>
          <w:rFonts w:hint="eastAsia" w:ascii="宋体" w:hAnsi="宋体"/>
          <w:color w:val="auto"/>
          <w:sz w:val="24"/>
          <w:szCs w:val="24"/>
          <w:highlight w:val="none"/>
        </w:rPr>
        <w:t>投标单位公章：</w:t>
      </w:r>
    </w:p>
    <w:p>
      <w:pPr>
        <w:shd w:val="clear"/>
        <w:spacing w:line="360" w:lineRule="auto"/>
        <w:ind w:firstLine="4080" w:firstLineChars="1700"/>
        <w:rPr>
          <w:rFonts w:ascii="宋体" w:hAnsi="宋体"/>
          <w:color w:val="auto"/>
          <w:sz w:val="24"/>
          <w:szCs w:val="24"/>
          <w:highlight w:val="none"/>
        </w:rPr>
      </w:pPr>
    </w:p>
    <w:p>
      <w:pPr>
        <w:shd w:val="clear"/>
        <w:spacing w:line="360" w:lineRule="auto"/>
        <w:ind w:firstLine="4080" w:firstLineChars="1700"/>
        <w:rPr>
          <w:rFonts w:ascii="宋体" w:hAnsi="宋体"/>
          <w:color w:val="auto"/>
          <w:sz w:val="24"/>
          <w:szCs w:val="24"/>
          <w:highlight w:val="none"/>
        </w:rPr>
      </w:pPr>
      <w:r>
        <w:rPr>
          <w:rFonts w:hint="eastAsia" w:ascii="宋体" w:hAnsi="宋体"/>
          <w:color w:val="auto"/>
          <w:sz w:val="24"/>
          <w:szCs w:val="24"/>
          <w:highlight w:val="none"/>
        </w:rPr>
        <w:t>投标单位法人盖章：</w:t>
      </w:r>
    </w:p>
    <w:p>
      <w:pPr>
        <w:shd w:val="clear"/>
        <w:spacing w:line="360" w:lineRule="auto"/>
        <w:ind w:firstLine="480" w:firstLineChars="200"/>
        <w:rPr>
          <w:rFonts w:ascii="宋体" w:hAnsi="宋体"/>
          <w:color w:val="auto"/>
          <w:sz w:val="24"/>
          <w:szCs w:val="24"/>
          <w:highlight w:val="none"/>
        </w:rPr>
      </w:pPr>
    </w:p>
    <w:p>
      <w:pPr>
        <w:shd w:val="clear"/>
        <w:spacing w:line="360" w:lineRule="auto"/>
        <w:ind w:firstLine="5160" w:firstLineChars="2150"/>
        <w:rPr>
          <w:rFonts w:ascii="宋体" w:hAnsi="宋体"/>
          <w:color w:val="auto"/>
          <w:sz w:val="24"/>
          <w:szCs w:val="24"/>
          <w:highlight w:val="none"/>
        </w:rPr>
      </w:pPr>
      <w:r>
        <w:rPr>
          <w:rFonts w:hint="eastAsia" w:ascii="宋体" w:hAnsi="宋体"/>
          <w:color w:val="auto"/>
          <w:sz w:val="24"/>
          <w:szCs w:val="24"/>
          <w:highlight w:val="none"/>
        </w:rPr>
        <w:t>年   月   日</w:t>
      </w:r>
    </w:p>
    <w:p>
      <w:pPr>
        <w:pStyle w:val="27"/>
        <w:shd w:val="clear"/>
        <w:jc w:val="both"/>
        <w:rPr>
          <w:color w:val="auto"/>
          <w:highlight w:val="none"/>
        </w:rPr>
      </w:pPr>
    </w:p>
    <w:p>
      <w:pPr>
        <w:pStyle w:val="33"/>
        <w:shd w:val="clear"/>
        <w:jc w:val="center"/>
        <w:outlineLvl w:val="0"/>
        <w:rPr>
          <w:rFonts w:ascii="宋体" w:hAnsi="宋体" w:cs="宋体"/>
          <w:b/>
          <w:bCs/>
          <w:color w:val="auto"/>
          <w:sz w:val="36"/>
          <w:highlight w:val="none"/>
        </w:rPr>
      </w:pPr>
      <w:bookmarkStart w:id="130" w:name="_Toc533086819"/>
      <w:bookmarkStart w:id="131" w:name="_Toc3867"/>
      <w:bookmarkStart w:id="132" w:name="_Toc9376"/>
      <w:bookmarkStart w:id="133" w:name="_Toc18358"/>
      <w:bookmarkStart w:id="134" w:name="_Toc16674"/>
      <w:bookmarkStart w:id="135" w:name="_Toc27235"/>
      <w:r>
        <w:rPr>
          <w:rFonts w:hint="eastAsia" w:ascii="宋体" w:hAnsi="宋体" w:cs="宋体"/>
          <w:b/>
          <w:bCs/>
          <w:color w:val="auto"/>
          <w:sz w:val="36"/>
          <w:highlight w:val="none"/>
        </w:rPr>
        <w:t>附件6：</w:t>
      </w:r>
      <w:bookmarkEnd w:id="130"/>
      <w:bookmarkEnd w:id="131"/>
      <w:r>
        <w:rPr>
          <w:rFonts w:hint="eastAsia" w:ascii="宋体" w:hAnsi="宋体" w:cs="宋体"/>
          <w:b/>
          <w:bCs/>
          <w:color w:val="auto"/>
          <w:sz w:val="36"/>
          <w:highlight w:val="none"/>
        </w:rPr>
        <w:t>资格、资质证明文件</w:t>
      </w:r>
      <w:bookmarkEnd w:id="132"/>
      <w:bookmarkEnd w:id="133"/>
      <w:bookmarkEnd w:id="134"/>
      <w:bookmarkEnd w:id="135"/>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40"/>
        <w:gridCol w:w="1327"/>
        <w:gridCol w:w="1347"/>
        <w:gridCol w:w="8"/>
        <w:gridCol w:w="1425"/>
        <w:gridCol w:w="172"/>
        <w:gridCol w:w="1089"/>
        <w:gridCol w:w="11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供应商名称</w:t>
            </w:r>
          </w:p>
        </w:tc>
        <w:tc>
          <w:tcPr>
            <w:tcW w:w="7577" w:type="dxa"/>
            <w:gridSpan w:val="8"/>
            <w:vAlign w:val="center"/>
          </w:tcPr>
          <w:p>
            <w:pPr>
              <w:shd w:val="clear"/>
              <w:autoSpaceDE w:val="0"/>
              <w:autoSpaceDN w:val="0"/>
              <w:adjustRightInd w:val="0"/>
              <w:spacing w:line="400" w:lineRule="exact"/>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注册地址</w:t>
            </w:r>
          </w:p>
        </w:tc>
        <w:tc>
          <w:tcPr>
            <w:tcW w:w="3722" w:type="dxa"/>
            <w:gridSpan w:val="4"/>
            <w:vAlign w:val="center"/>
          </w:tcPr>
          <w:p>
            <w:pPr>
              <w:shd w:val="clear"/>
              <w:autoSpaceDE w:val="0"/>
              <w:autoSpaceDN w:val="0"/>
              <w:adjustRightInd w:val="0"/>
              <w:spacing w:line="400" w:lineRule="exact"/>
              <w:jc w:val="center"/>
              <w:rPr>
                <w:rFonts w:hAnsi="宋体" w:cs="宋体"/>
                <w:color w:val="auto"/>
                <w:szCs w:val="21"/>
                <w:highlight w:val="none"/>
              </w:rPr>
            </w:pPr>
          </w:p>
        </w:tc>
        <w:tc>
          <w:tcPr>
            <w:tcW w:w="1425" w:type="dxa"/>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邮政编码</w:t>
            </w:r>
          </w:p>
        </w:tc>
        <w:tc>
          <w:tcPr>
            <w:tcW w:w="2430" w:type="dxa"/>
            <w:gridSpan w:val="3"/>
            <w:vAlign w:val="center"/>
          </w:tcPr>
          <w:p>
            <w:pPr>
              <w:shd w:val="clear"/>
              <w:autoSpaceDE w:val="0"/>
              <w:autoSpaceDN w:val="0"/>
              <w:adjustRightInd w:val="0"/>
              <w:spacing w:line="400" w:lineRule="exact"/>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Merge w:val="restart"/>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联系方式</w:t>
            </w:r>
          </w:p>
        </w:tc>
        <w:tc>
          <w:tcPr>
            <w:tcW w:w="1040" w:type="dxa"/>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联系人</w:t>
            </w:r>
          </w:p>
        </w:tc>
        <w:tc>
          <w:tcPr>
            <w:tcW w:w="2674" w:type="dxa"/>
            <w:gridSpan w:val="2"/>
            <w:vAlign w:val="center"/>
          </w:tcPr>
          <w:p>
            <w:pPr>
              <w:shd w:val="clear"/>
              <w:autoSpaceDE w:val="0"/>
              <w:autoSpaceDN w:val="0"/>
              <w:adjustRightInd w:val="0"/>
              <w:spacing w:line="400" w:lineRule="exact"/>
              <w:jc w:val="center"/>
              <w:rPr>
                <w:rFonts w:hAnsi="宋体" w:cs="宋体"/>
                <w:color w:val="auto"/>
                <w:szCs w:val="21"/>
                <w:highlight w:val="none"/>
              </w:rPr>
            </w:pPr>
          </w:p>
        </w:tc>
        <w:tc>
          <w:tcPr>
            <w:tcW w:w="1433" w:type="dxa"/>
            <w:gridSpan w:val="2"/>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电话</w:t>
            </w:r>
          </w:p>
        </w:tc>
        <w:tc>
          <w:tcPr>
            <w:tcW w:w="2430" w:type="dxa"/>
            <w:gridSpan w:val="3"/>
            <w:vAlign w:val="center"/>
          </w:tcPr>
          <w:p>
            <w:pPr>
              <w:shd w:val="clear"/>
              <w:autoSpaceDE w:val="0"/>
              <w:autoSpaceDN w:val="0"/>
              <w:adjustRightInd w:val="0"/>
              <w:spacing w:line="400" w:lineRule="exact"/>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639" w:type="dxa"/>
            <w:vMerge w:val="continue"/>
            <w:vAlign w:val="center"/>
          </w:tcPr>
          <w:p>
            <w:pPr>
              <w:shd w:val="clear"/>
              <w:autoSpaceDE w:val="0"/>
              <w:autoSpaceDN w:val="0"/>
              <w:adjustRightInd w:val="0"/>
              <w:spacing w:line="400" w:lineRule="exact"/>
              <w:jc w:val="center"/>
              <w:rPr>
                <w:rFonts w:hAnsi="宋体" w:cs="宋体"/>
                <w:color w:val="auto"/>
                <w:szCs w:val="21"/>
                <w:highlight w:val="none"/>
              </w:rPr>
            </w:pPr>
          </w:p>
        </w:tc>
        <w:tc>
          <w:tcPr>
            <w:tcW w:w="1040" w:type="dxa"/>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传真</w:t>
            </w:r>
          </w:p>
        </w:tc>
        <w:tc>
          <w:tcPr>
            <w:tcW w:w="2674" w:type="dxa"/>
            <w:gridSpan w:val="2"/>
            <w:vAlign w:val="center"/>
          </w:tcPr>
          <w:p>
            <w:pPr>
              <w:shd w:val="clear"/>
              <w:autoSpaceDE w:val="0"/>
              <w:autoSpaceDN w:val="0"/>
              <w:adjustRightInd w:val="0"/>
              <w:spacing w:line="400" w:lineRule="exact"/>
              <w:jc w:val="center"/>
              <w:rPr>
                <w:rFonts w:hAnsi="宋体" w:cs="宋体"/>
                <w:color w:val="auto"/>
                <w:szCs w:val="21"/>
                <w:highlight w:val="none"/>
              </w:rPr>
            </w:pPr>
          </w:p>
        </w:tc>
        <w:tc>
          <w:tcPr>
            <w:tcW w:w="1433" w:type="dxa"/>
            <w:gridSpan w:val="2"/>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网址</w:t>
            </w:r>
          </w:p>
        </w:tc>
        <w:tc>
          <w:tcPr>
            <w:tcW w:w="2430" w:type="dxa"/>
            <w:gridSpan w:val="3"/>
            <w:vAlign w:val="center"/>
          </w:tcPr>
          <w:p>
            <w:pPr>
              <w:shd w:val="clear"/>
              <w:autoSpaceDE w:val="0"/>
              <w:autoSpaceDN w:val="0"/>
              <w:adjustRightInd w:val="0"/>
              <w:spacing w:line="400" w:lineRule="exact"/>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组织结构</w:t>
            </w:r>
          </w:p>
        </w:tc>
        <w:tc>
          <w:tcPr>
            <w:tcW w:w="7577" w:type="dxa"/>
            <w:gridSpan w:val="8"/>
            <w:vAlign w:val="center"/>
          </w:tcPr>
          <w:p>
            <w:pPr>
              <w:shd w:val="clear"/>
              <w:autoSpaceDE w:val="0"/>
              <w:autoSpaceDN w:val="0"/>
              <w:adjustRightInd w:val="0"/>
              <w:spacing w:line="400" w:lineRule="exact"/>
              <w:jc w:val="center"/>
              <w:rPr>
                <w:rFonts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39" w:type="dxa"/>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法定代表人</w:t>
            </w:r>
          </w:p>
        </w:tc>
        <w:tc>
          <w:tcPr>
            <w:tcW w:w="1040" w:type="dxa"/>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姓名</w:t>
            </w:r>
          </w:p>
        </w:tc>
        <w:tc>
          <w:tcPr>
            <w:tcW w:w="1327" w:type="dxa"/>
            <w:vAlign w:val="center"/>
          </w:tcPr>
          <w:p>
            <w:pPr>
              <w:shd w:val="clear"/>
              <w:autoSpaceDE w:val="0"/>
              <w:autoSpaceDN w:val="0"/>
              <w:adjustRightInd w:val="0"/>
              <w:spacing w:line="400" w:lineRule="exact"/>
              <w:jc w:val="center"/>
              <w:rPr>
                <w:rFonts w:hAnsi="宋体" w:cs="宋体"/>
                <w:color w:val="auto"/>
                <w:szCs w:val="21"/>
                <w:highlight w:val="none"/>
              </w:rPr>
            </w:pPr>
          </w:p>
        </w:tc>
        <w:tc>
          <w:tcPr>
            <w:tcW w:w="1347" w:type="dxa"/>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技术职称</w:t>
            </w:r>
          </w:p>
        </w:tc>
        <w:tc>
          <w:tcPr>
            <w:tcW w:w="1433" w:type="dxa"/>
            <w:gridSpan w:val="2"/>
            <w:vAlign w:val="center"/>
          </w:tcPr>
          <w:p>
            <w:pPr>
              <w:shd w:val="clear"/>
              <w:autoSpaceDE w:val="0"/>
              <w:autoSpaceDN w:val="0"/>
              <w:adjustRightInd w:val="0"/>
              <w:spacing w:line="400" w:lineRule="exact"/>
              <w:jc w:val="center"/>
              <w:rPr>
                <w:rFonts w:hAnsi="宋体" w:cs="宋体"/>
                <w:color w:val="auto"/>
                <w:szCs w:val="21"/>
                <w:highlight w:val="none"/>
              </w:rPr>
            </w:pPr>
          </w:p>
        </w:tc>
        <w:tc>
          <w:tcPr>
            <w:tcW w:w="1261" w:type="dxa"/>
            <w:gridSpan w:val="2"/>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电话</w:t>
            </w:r>
          </w:p>
        </w:tc>
        <w:tc>
          <w:tcPr>
            <w:tcW w:w="1169" w:type="dxa"/>
            <w:vAlign w:val="center"/>
          </w:tcPr>
          <w:p>
            <w:pPr>
              <w:shd w:val="clear"/>
              <w:autoSpaceDE w:val="0"/>
              <w:autoSpaceDN w:val="0"/>
              <w:adjustRightInd w:val="0"/>
              <w:spacing w:line="400" w:lineRule="exact"/>
              <w:jc w:val="center"/>
              <w:rPr>
                <w:rFonts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39" w:type="dxa"/>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技术负责人</w:t>
            </w:r>
          </w:p>
        </w:tc>
        <w:tc>
          <w:tcPr>
            <w:tcW w:w="1040" w:type="dxa"/>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姓名</w:t>
            </w:r>
          </w:p>
        </w:tc>
        <w:tc>
          <w:tcPr>
            <w:tcW w:w="1327" w:type="dxa"/>
            <w:vAlign w:val="center"/>
          </w:tcPr>
          <w:p>
            <w:pPr>
              <w:shd w:val="clear"/>
              <w:autoSpaceDE w:val="0"/>
              <w:autoSpaceDN w:val="0"/>
              <w:adjustRightInd w:val="0"/>
              <w:spacing w:line="400" w:lineRule="exact"/>
              <w:jc w:val="center"/>
              <w:rPr>
                <w:rFonts w:hAnsi="宋体" w:cs="宋体"/>
                <w:color w:val="auto"/>
                <w:szCs w:val="21"/>
                <w:highlight w:val="none"/>
              </w:rPr>
            </w:pPr>
          </w:p>
        </w:tc>
        <w:tc>
          <w:tcPr>
            <w:tcW w:w="1347" w:type="dxa"/>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技术职称</w:t>
            </w:r>
          </w:p>
        </w:tc>
        <w:tc>
          <w:tcPr>
            <w:tcW w:w="1433" w:type="dxa"/>
            <w:gridSpan w:val="2"/>
            <w:vAlign w:val="center"/>
          </w:tcPr>
          <w:p>
            <w:pPr>
              <w:shd w:val="clear"/>
              <w:autoSpaceDE w:val="0"/>
              <w:autoSpaceDN w:val="0"/>
              <w:adjustRightInd w:val="0"/>
              <w:spacing w:line="400" w:lineRule="exact"/>
              <w:jc w:val="center"/>
              <w:rPr>
                <w:rFonts w:hAnsi="宋体" w:cs="宋体"/>
                <w:color w:val="auto"/>
                <w:szCs w:val="21"/>
                <w:highlight w:val="none"/>
              </w:rPr>
            </w:pPr>
          </w:p>
        </w:tc>
        <w:tc>
          <w:tcPr>
            <w:tcW w:w="1261" w:type="dxa"/>
            <w:gridSpan w:val="2"/>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电话</w:t>
            </w:r>
          </w:p>
        </w:tc>
        <w:tc>
          <w:tcPr>
            <w:tcW w:w="1169" w:type="dxa"/>
            <w:vAlign w:val="center"/>
          </w:tcPr>
          <w:p>
            <w:pPr>
              <w:shd w:val="clear"/>
              <w:autoSpaceDE w:val="0"/>
              <w:autoSpaceDN w:val="0"/>
              <w:adjustRightInd w:val="0"/>
              <w:spacing w:line="400" w:lineRule="exact"/>
              <w:jc w:val="center"/>
              <w:rPr>
                <w:rFonts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成立时间</w:t>
            </w:r>
          </w:p>
        </w:tc>
        <w:tc>
          <w:tcPr>
            <w:tcW w:w="2367" w:type="dxa"/>
            <w:gridSpan w:val="2"/>
            <w:vAlign w:val="center"/>
          </w:tcPr>
          <w:p>
            <w:pPr>
              <w:shd w:val="clear"/>
              <w:autoSpaceDE w:val="0"/>
              <w:autoSpaceDN w:val="0"/>
              <w:adjustRightInd w:val="0"/>
              <w:spacing w:line="400" w:lineRule="exact"/>
              <w:jc w:val="center"/>
              <w:rPr>
                <w:rFonts w:hAnsi="宋体" w:cs="宋体"/>
                <w:color w:val="auto"/>
                <w:szCs w:val="21"/>
                <w:highlight w:val="none"/>
              </w:rPr>
            </w:pPr>
          </w:p>
        </w:tc>
        <w:tc>
          <w:tcPr>
            <w:tcW w:w="5210" w:type="dxa"/>
            <w:gridSpan w:val="6"/>
            <w:vAlign w:val="center"/>
          </w:tcPr>
          <w:p>
            <w:pPr>
              <w:shd w:val="clear"/>
              <w:autoSpaceDE w:val="0"/>
              <w:autoSpaceDN w:val="0"/>
              <w:adjustRightInd w:val="0"/>
              <w:spacing w:line="400" w:lineRule="exact"/>
              <w:ind w:firstLine="1470" w:firstLineChars="700"/>
              <w:rPr>
                <w:rFonts w:hAnsi="宋体" w:cs="宋体"/>
                <w:color w:val="auto"/>
                <w:szCs w:val="21"/>
                <w:highlight w:val="none"/>
              </w:rPr>
            </w:pPr>
            <w:r>
              <w:rPr>
                <w:rFonts w:hint="eastAsia" w:hAnsi="宋体" w:cs="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企业资质等级</w:t>
            </w:r>
          </w:p>
        </w:tc>
        <w:tc>
          <w:tcPr>
            <w:tcW w:w="2367" w:type="dxa"/>
            <w:gridSpan w:val="2"/>
            <w:vAlign w:val="center"/>
          </w:tcPr>
          <w:p>
            <w:pPr>
              <w:shd w:val="clear"/>
              <w:autoSpaceDE w:val="0"/>
              <w:autoSpaceDN w:val="0"/>
              <w:adjustRightInd w:val="0"/>
              <w:spacing w:line="400" w:lineRule="exact"/>
              <w:jc w:val="center"/>
              <w:rPr>
                <w:rFonts w:hAnsi="宋体" w:cs="宋体"/>
                <w:color w:val="auto"/>
                <w:szCs w:val="21"/>
                <w:highlight w:val="none"/>
              </w:rPr>
            </w:pPr>
          </w:p>
        </w:tc>
        <w:tc>
          <w:tcPr>
            <w:tcW w:w="1347" w:type="dxa"/>
            <w:vMerge w:val="restart"/>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其中</w:t>
            </w:r>
          </w:p>
        </w:tc>
        <w:tc>
          <w:tcPr>
            <w:tcW w:w="1605" w:type="dxa"/>
            <w:gridSpan w:val="3"/>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项目经理</w:t>
            </w:r>
          </w:p>
        </w:tc>
        <w:tc>
          <w:tcPr>
            <w:tcW w:w="2258" w:type="dxa"/>
            <w:gridSpan w:val="2"/>
            <w:vAlign w:val="center"/>
          </w:tcPr>
          <w:p>
            <w:pPr>
              <w:shd w:val="clear"/>
              <w:autoSpaceDE w:val="0"/>
              <w:autoSpaceDN w:val="0"/>
              <w:adjustRightInd w:val="0"/>
              <w:spacing w:line="400" w:lineRule="exact"/>
              <w:jc w:val="center"/>
              <w:rPr>
                <w:rFonts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营业执照号</w:t>
            </w:r>
          </w:p>
        </w:tc>
        <w:tc>
          <w:tcPr>
            <w:tcW w:w="2367" w:type="dxa"/>
            <w:gridSpan w:val="2"/>
            <w:vAlign w:val="center"/>
          </w:tcPr>
          <w:p>
            <w:pPr>
              <w:shd w:val="clear"/>
              <w:autoSpaceDE w:val="0"/>
              <w:autoSpaceDN w:val="0"/>
              <w:adjustRightInd w:val="0"/>
              <w:spacing w:line="400" w:lineRule="exact"/>
              <w:jc w:val="center"/>
              <w:rPr>
                <w:rFonts w:hAnsi="宋体" w:cs="宋体"/>
                <w:color w:val="auto"/>
                <w:szCs w:val="21"/>
                <w:highlight w:val="none"/>
              </w:rPr>
            </w:pPr>
          </w:p>
        </w:tc>
        <w:tc>
          <w:tcPr>
            <w:tcW w:w="1347" w:type="dxa"/>
            <w:vMerge w:val="continue"/>
            <w:vAlign w:val="center"/>
          </w:tcPr>
          <w:p>
            <w:pPr>
              <w:shd w:val="clear"/>
              <w:autoSpaceDE w:val="0"/>
              <w:autoSpaceDN w:val="0"/>
              <w:adjustRightInd w:val="0"/>
              <w:spacing w:line="400" w:lineRule="exact"/>
              <w:jc w:val="center"/>
              <w:rPr>
                <w:rFonts w:hAnsi="宋体" w:cs="宋体"/>
                <w:color w:val="auto"/>
                <w:szCs w:val="21"/>
                <w:highlight w:val="none"/>
              </w:rPr>
            </w:pPr>
          </w:p>
        </w:tc>
        <w:tc>
          <w:tcPr>
            <w:tcW w:w="1605" w:type="dxa"/>
            <w:gridSpan w:val="3"/>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高级职称人员</w:t>
            </w:r>
          </w:p>
        </w:tc>
        <w:tc>
          <w:tcPr>
            <w:tcW w:w="2258" w:type="dxa"/>
            <w:gridSpan w:val="2"/>
            <w:vAlign w:val="center"/>
          </w:tcPr>
          <w:p>
            <w:pPr>
              <w:shd w:val="clear"/>
              <w:autoSpaceDE w:val="0"/>
              <w:autoSpaceDN w:val="0"/>
              <w:adjustRightInd w:val="0"/>
              <w:spacing w:line="400" w:lineRule="exact"/>
              <w:jc w:val="center"/>
              <w:rPr>
                <w:rFonts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注册资金</w:t>
            </w:r>
          </w:p>
        </w:tc>
        <w:tc>
          <w:tcPr>
            <w:tcW w:w="2367" w:type="dxa"/>
            <w:gridSpan w:val="2"/>
            <w:vAlign w:val="center"/>
          </w:tcPr>
          <w:p>
            <w:pPr>
              <w:shd w:val="clear"/>
              <w:autoSpaceDE w:val="0"/>
              <w:autoSpaceDN w:val="0"/>
              <w:adjustRightInd w:val="0"/>
              <w:spacing w:line="400" w:lineRule="exact"/>
              <w:jc w:val="center"/>
              <w:rPr>
                <w:rFonts w:hAnsi="宋体" w:cs="宋体"/>
                <w:color w:val="auto"/>
                <w:szCs w:val="21"/>
                <w:highlight w:val="none"/>
              </w:rPr>
            </w:pPr>
          </w:p>
        </w:tc>
        <w:tc>
          <w:tcPr>
            <w:tcW w:w="1347" w:type="dxa"/>
            <w:vMerge w:val="continue"/>
            <w:vAlign w:val="center"/>
          </w:tcPr>
          <w:p>
            <w:pPr>
              <w:shd w:val="clear"/>
              <w:autoSpaceDE w:val="0"/>
              <w:autoSpaceDN w:val="0"/>
              <w:adjustRightInd w:val="0"/>
              <w:spacing w:line="400" w:lineRule="exact"/>
              <w:jc w:val="center"/>
              <w:rPr>
                <w:rFonts w:hAnsi="宋体" w:cs="宋体"/>
                <w:color w:val="auto"/>
                <w:szCs w:val="21"/>
                <w:highlight w:val="none"/>
              </w:rPr>
            </w:pPr>
          </w:p>
        </w:tc>
        <w:tc>
          <w:tcPr>
            <w:tcW w:w="1605" w:type="dxa"/>
            <w:gridSpan w:val="3"/>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中级职称人员</w:t>
            </w:r>
          </w:p>
        </w:tc>
        <w:tc>
          <w:tcPr>
            <w:tcW w:w="2258" w:type="dxa"/>
            <w:gridSpan w:val="2"/>
            <w:vAlign w:val="center"/>
          </w:tcPr>
          <w:p>
            <w:pPr>
              <w:shd w:val="clear"/>
              <w:autoSpaceDE w:val="0"/>
              <w:autoSpaceDN w:val="0"/>
              <w:adjustRightInd w:val="0"/>
              <w:spacing w:line="400" w:lineRule="exact"/>
              <w:jc w:val="center"/>
              <w:rPr>
                <w:rFonts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开户银行</w:t>
            </w:r>
          </w:p>
        </w:tc>
        <w:tc>
          <w:tcPr>
            <w:tcW w:w="2367" w:type="dxa"/>
            <w:gridSpan w:val="2"/>
            <w:vAlign w:val="center"/>
          </w:tcPr>
          <w:p>
            <w:pPr>
              <w:shd w:val="clear"/>
              <w:autoSpaceDE w:val="0"/>
              <w:autoSpaceDN w:val="0"/>
              <w:adjustRightInd w:val="0"/>
              <w:spacing w:line="400" w:lineRule="exact"/>
              <w:jc w:val="center"/>
              <w:rPr>
                <w:rFonts w:hAnsi="宋体" w:cs="宋体"/>
                <w:color w:val="auto"/>
                <w:szCs w:val="21"/>
                <w:highlight w:val="none"/>
              </w:rPr>
            </w:pPr>
          </w:p>
        </w:tc>
        <w:tc>
          <w:tcPr>
            <w:tcW w:w="1347" w:type="dxa"/>
            <w:vMerge w:val="continue"/>
            <w:vAlign w:val="center"/>
          </w:tcPr>
          <w:p>
            <w:pPr>
              <w:shd w:val="clear"/>
              <w:autoSpaceDE w:val="0"/>
              <w:autoSpaceDN w:val="0"/>
              <w:adjustRightInd w:val="0"/>
              <w:spacing w:line="400" w:lineRule="exact"/>
              <w:jc w:val="center"/>
              <w:rPr>
                <w:rFonts w:hAnsi="宋体" w:cs="宋体"/>
                <w:color w:val="auto"/>
                <w:szCs w:val="21"/>
                <w:highlight w:val="none"/>
              </w:rPr>
            </w:pPr>
          </w:p>
        </w:tc>
        <w:tc>
          <w:tcPr>
            <w:tcW w:w="1605" w:type="dxa"/>
            <w:gridSpan w:val="3"/>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初级职称人员</w:t>
            </w:r>
          </w:p>
        </w:tc>
        <w:tc>
          <w:tcPr>
            <w:tcW w:w="2258" w:type="dxa"/>
            <w:gridSpan w:val="2"/>
            <w:vAlign w:val="center"/>
          </w:tcPr>
          <w:p>
            <w:pPr>
              <w:shd w:val="clear"/>
              <w:autoSpaceDE w:val="0"/>
              <w:autoSpaceDN w:val="0"/>
              <w:adjustRightInd w:val="0"/>
              <w:spacing w:line="400" w:lineRule="exact"/>
              <w:jc w:val="center"/>
              <w:rPr>
                <w:rFonts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账号</w:t>
            </w:r>
          </w:p>
        </w:tc>
        <w:tc>
          <w:tcPr>
            <w:tcW w:w="2367" w:type="dxa"/>
            <w:gridSpan w:val="2"/>
            <w:vAlign w:val="center"/>
          </w:tcPr>
          <w:p>
            <w:pPr>
              <w:shd w:val="clear"/>
              <w:autoSpaceDE w:val="0"/>
              <w:autoSpaceDN w:val="0"/>
              <w:adjustRightInd w:val="0"/>
              <w:spacing w:line="400" w:lineRule="exact"/>
              <w:jc w:val="center"/>
              <w:rPr>
                <w:rFonts w:hAnsi="宋体" w:cs="宋体"/>
                <w:color w:val="auto"/>
                <w:szCs w:val="21"/>
                <w:highlight w:val="none"/>
              </w:rPr>
            </w:pPr>
          </w:p>
        </w:tc>
        <w:tc>
          <w:tcPr>
            <w:tcW w:w="1347" w:type="dxa"/>
            <w:vMerge w:val="continue"/>
            <w:vAlign w:val="center"/>
          </w:tcPr>
          <w:p>
            <w:pPr>
              <w:shd w:val="clear"/>
              <w:autoSpaceDE w:val="0"/>
              <w:autoSpaceDN w:val="0"/>
              <w:adjustRightInd w:val="0"/>
              <w:spacing w:line="400" w:lineRule="exact"/>
              <w:jc w:val="center"/>
              <w:rPr>
                <w:rFonts w:hAnsi="宋体" w:cs="宋体"/>
                <w:color w:val="auto"/>
                <w:szCs w:val="21"/>
                <w:highlight w:val="none"/>
              </w:rPr>
            </w:pPr>
          </w:p>
        </w:tc>
        <w:tc>
          <w:tcPr>
            <w:tcW w:w="1605" w:type="dxa"/>
            <w:gridSpan w:val="3"/>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技工</w:t>
            </w:r>
          </w:p>
        </w:tc>
        <w:tc>
          <w:tcPr>
            <w:tcW w:w="2258" w:type="dxa"/>
            <w:gridSpan w:val="2"/>
            <w:vAlign w:val="center"/>
          </w:tcPr>
          <w:p>
            <w:pPr>
              <w:shd w:val="clear"/>
              <w:autoSpaceDE w:val="0"/>
              <w:autoSpaceDN w:val="0"/>
              <w:adjustRightInd w:val="0"/>
              <w:spacing w:line="400" w:lineRule="exact"/>
              <w:jc w:val="center"/>
              <w:rPr>
                <w:rFonts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99" w:hRule="atLeast"/>
          <w:jc w:val="center"/>
        </w:trPr>
        <w:tc>
          <w:tcPr>
            <w:tcW w:w="1639" w:type="dxa"/>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经营范围</w:t>
            </w:r>
          </w:p>
        </w:tc>
        <w:tc>
          <w:tcPr>
            <w:tcW w:w="7577" w:type="dxa"/>
            <w:gridSpan w:val="8"/>
            <w:vAlign w:val="center"/>
          </w:tcPr>
          <w:p>
            <w:pPr>
              <w:shd w:val="clear"/>
              <w:autoSpaceDE w:val="0"/>
              <w:autoSpaceDN w:val="0"/>
              <w:adjustRightInd w:val="0"/>
              <w:spacing w:line="400" w:lineRule="exact"/>
              <w:rPr>
                <w:rFonts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639" w:type="dxa"/>
            <w:vAlign w:val="center"/>
          </w:tcPr>
          <w:p>
            <w:pPr>
              <w:shd w:val="clear"/>
              <w:autoSpaceDE w:val="0"/>
              <w:autoSpaceDN w:val="0"/>
              <w:adjustRightInd w:val="0"/>
              <w:spacing w:line="400" w:lineRule="exact"/>
              <w:jc w:val="center"/>
              <w:rPr>
                <w:rFonts w:hAnsi="宋体" w:cs="宋体"/>
                <w:color w:val="auto"/>
                <w:szCs w:val="21"/>
                <w:highlight w:val="none"/>
              </w:rPr>
            </w:pPr>
            <w:r>
              <w:rPr>
                <w:rFonts w:hint="eastAsia" w:hAnsi="宋体" w:cs="宋体"/>
                <w:color w:val="auto"/>
                <w:szCs w:val="21"/>
                <w:highlight w:val="none"/>
              </w:rPr>
              <w:t>备  注</w:t>
            </w:r>
          </w:p>
        </w:tc>
        <w:tc>
          <w:tcPr>
            <w:tcW w:w="7577" w:type="dxa"/>
            <w:gridSpan w:val="8"/>
          </w:tcPr>
          <w:p>
            <w:pPr>
              <w:shd w:val="clear"/>
              <w:autoSpaceDE w:val="0"/>
              <w:autoSpaceDN w:val="0"/>
              <w:adjustRightInd w:val="0"/>
              <w:spacing w:line="400" w:lineRule="exact"/>
              <w:jc w:val="left"/>
              <w:rPr>
                <w:rFonts w:hAnsi="宋体" w:cs="宋体"/>
                <w:color w:val="auto"/>
                <w:szCs w:val="21"/>
                <w:highlight w:val="none"/>
              </w:rPr>
            </w:pPr>
          </w:p>
        </w:tc>
      </w:tr>
    </w:tbl>
    <w:p>
      <w:pPr>
        <w:shd w:val="clear"/>
        <w:rPr>
          <w:rFonts w:ascii="宋体" w:hAnsi="宋体" w:cs="宋体"/>
          <w:b/>
          <w:bCs/>
          <w:caps/>
          <w:color w:val="auto"/>
          <w:sz w:val="22"/>
          <w:szCs w:val="22"/>
          <w:highlight w:val="none"/>
        </w:rPr>
      </w:pPr>
      <w:r>
        <w:rPr>
          <w:rFonts w:hint="eastAsia" w:ascii="宋体" w:hAnsi="宋体" w:cs="宋体"/>
          <w:b/>
          <w:bCs/>
          <w:caps/>
          <w:color w:val="auto"/>
          <w:sz w:val="22"/>
          <w:szCs w:val="22"/>
          <w:highlight w:val="none"/>
        </w:rPr>
        <w:t>后附以下资料（后附资料须加盖公章及法人或授权委托人签字）</w:t>
      </w:r>
    </w:p>
    <w:p>
      <w:pPr>
        <w:pStyle w:val="16"/>
        <w:numPr>
          <w:ilvl w:val="0"/>
          <w:numId w:val="9"/>
        </w:numPr>
        <w:shd w:val="clear"/>
        <w:ind w:firstLine="442"/>
        <w:rPr>
          <w:rFonts w:ascii="宋体" w:hAnsi="宋体" w:cs="宋体"/>
          <w:color w:val="auto"/>
          <w:sz w:val="22"/>
          <w:szCs w:val="22"/>
          <w:highlight w:val="none"/>
        </w:rPr>
      </w:pPr>
      <w:r>
        <w:rPr>
          <w:rFonts w:hint="eastAsia" w:ascii="宋体" w:hAnsi="宋体" w:cs="宋体"/>
          <w:color w:val="auto"/>
          <w:sz w:val="22"/>
          <w:szCs w:val="22"/>
          <w:highlight w:val="none"/>
        </w:rPr>
        <w:t>具有有效的营业执照</w:t>
      </w:r>
    </w:p>
    <w:p>
      <w:pPr>
        <w:pStyle w:val="16"/>
        <w:numPr>
          <w:ilvl w:val="0"/>
          <w:numId w:val="9"/>
        </w:numPr>
        <w:shd w:val="clear"/>
        <w:ind w:firstLine="442"/>
        <w:rPr>
          <w:rFonts w:ascii="宋体" w:hAnsi="宋体" w:cs="宋体"/>
          <w:color w:val="auto"/>
          <w:sz w:val="22"/>
          <w:szCs w:val="22"/>
          <w:highlight w:val="none"/>
        </w:rPr>
      </w:pPr>
      <w:r>
        <w:rPr>
          <w:rFonts w:hint="eastAsia" w:ascii="宋体" w:hAnsi="宋体" w:cs="宋体"/>
          <w:color w:val="auto"/>
          <w:kern w:val="0"/>
          <w:sz w:val="24"/>
          <w:szCs w:val="24"/>
          <w:highlight w:val="none"/>
        </w:rPr>
        <w:t>须具有</w:t>
      </w:r>
      <w:r>
        <w:rPr>
          <w:rFonts w:hint="eastAsia" w:ascii="宋体" w:hAnsi="宋体" w:cs="宋体"/>
          <w:color w:val="auto"/>
          <w:kern w:val="0"/>
          <w:sz w:val="24"/>
          <w:szCs w:val="24"/>
          <w:highlight w:val="none"/>
          <w:lang w:eastAsia="zh-CN"/>
        </w:rPr>
        <w:t>在</w:t>
      </w:r>
      <w:r>
        <w:rPr>
          <w:rFonts w:hint="eastAsia" w:ascii="宋体" w:cs="宋体"/>
          <w:color w:val="auto"/>
          <w:sz w:val="24"/>
          <w:highlight w:val="none"/>
        </w:rPr>
        <w:t>消防部门注册备案</w:t>
      </w:r>
      <w:r>
        <w:rPr>
          <w:rFonts w:hint="eastAsia" w:ascii="宋体" w:cs="宋体"/>
          <w:color w:val="auto"/>
          <w:sz w:val="24"/>
          <w:highlight w:val="none"/>
          <w:lang w:val="en-US" w:eastAsia="zh-CN"/>
        </w:rPr>
        <w:t>相关证明材料</w:t>
      </w:r>
      <w:r>
        <w:rPr>
          <w:rFonts w:hint="eastAsia" w:ascii="宋体" w:cs="宋体"/>
          <w:color w:val="auto"/>
          <w:sz w:val="24"/>
          <w:highlight w:val="none"/>
        </w:rPr>
        <w:t>。</w:t>
      </w:r>
    </w:p>
    <w:p>
      <w:pPr>
        <w:pStyle w:val="16"/>
        <w:numPr>
          <w:ilvl w:val="0"/>
          <w:numId w:val="9"/>
        </w:numPr>
        <w:shd w:val="clear"/>
        <w:ind w:firstLine="442"/>
        <w:rPr>
          <w:rFonts w:ascii="宋体" w:hAnsi="宋体" w:cs="宋体"/>
          <w:color w:val="auto"/>
          <w:sz w:val="22"/>
          <w:szCs w:val="22"/>
          <w:highlight w:val="none"/>
        </w:rPr>
      </w:pPr>
      <w:r>
        <w:rPr>
          <w:rFonts w:hint="eastAsia" w:ascii="宋体" w:hAnsi="宋体" w:cs="宋体"/>
          <w:color w:val="auto"/>
          <w:sz w:val="22"/>
          <w:szCs w:val="22"/>
          <w:highlight w:val="none"/>
        </w:rPr>
        <w:t>须具有认监委或省级质量技术监督局核发的有效合格的计量认证证书（CMA）;</w:t>
      </w:r>
    </w:p>
    <w:p>
      <w:pPr>
        <w:numPr>
          <w:ilvl w:val="0"/>
          <w:numId w:val="9"/>
        </w:numPr>
        <w:shd w:val="clear"/>
        <w:ind w:firstLine="442"/>
        <w:rPr>
          <w:rFonts w:ascii="宋体" w:hAnsi="宋体" w:cs="宋体"/>
          <w:b/>
          <w:bCs/>
          <w:caps/>
          <w:color w:val="auto"/>
          <w:sz w:val="22"/>
          <w:szCs w:val="22"/>
          <w:highlight w:val="none"/>
        </w:rPr>
      </w:pPr>
      <w:r>
        <w:rPr>
          <w:rFonts w:hint="eastAsia" w:ascii="宋体" w:hAnsi="宋体" w:cs="宋体"/>
          <w:b/>
          <w:bCs/>
          <w:caps/>
          <w:color w:val="auto"/>
          <w:sz w:val="22"/>
          <w:szCs w:val="22"/>
          <w:highlight w:val="none"/>
        </w:rPr>
        <w:t>须具备近一年财务审计报告或银行提供的资信证明（新公司从成立之日起算）；</w:t>
      </w:r>
    </w:p>
    <w:p>
      <w:pPr>
        <w:pStyle w:val="9"/>
        <w:numPr>
          <w:ilvl w:val="0"/>
          <w:numId w:val="9"/>
        </w:numPr>
        <w:shd w:val="clear"/>
        <w:ind w:firstLine="442"/>
        <w:rPr>
          <w:rFonts w:ascii="宋体" w:hAnsi="宋体" w:cs="宋体"/>
          <w:b/>
          <w:bCs/>
          <w:caps/>
          <w:color w:val="auto"/>
          <w:sz w:val="22"/>
          <w:szCs w:val="22"/>
          <w:highlight w:val="none"/>
        </w:rPr>
      </w:pPr>
      <w:r>
        <w:rPr>
          <w:rFonts w:hint="eastAsia" w:ascii="宋体" w:hAnsi="宋体" w:cs="宋体"/>
          <w:b/>
          <w:bCs/>
          <w:caps/>
          <w:color w:val="auto"/>
          <w:sz w:val="22"/>
          <w:szCs w:val="22"/>
          <w:highlight w:val="none"/>
        </w:rPr>
        <w:t>须具有近一年任意月纳税证明（新公司从成立之日起算）</w:t>
      </w:r>
    </w:p>
    <w:p>
      <w:pPr>
        <w:pStyle w:val="27"/>
        <w:numPr>
          <w:ilvl w:val="0"/>
          <w:numId w:val="9"/>
        </w:numPr>
        <w:shd w:val="clear"/>
        <w:ind w:firstLine="442"/>
        <w:jc w:val="both"/>
        <w:rPr>
          <w:rFonts w:ascii="宋体" w:hAnsi="宋体" w:eastAsia="宋体" w:cs="宋体"/>
          <w:caps/>
          <w:color w:val="auto"/>
          <w:sz w:val="22"/>
          <w:szCs w:val="22"/>
          <w:highlight w:val="none"/>
        </w:rPr>
      </w:pPr>
      <w:bookmarkStart w:id="136" w:name="_Toc29830"/>
      <w:bookmarkStart w:id="137" w:name="_Toc1333"/>
      <w:r>
        <w:rPr>
          <w:rFonts w:hint="eastAsia" w:ascii="宋体" w:hAnsi="宋体" w:eastAsia="宋体" w:cs="宋体"/>
          <w:caps/>
          <w:color w:val="auto"/>
          <w:sz w:val="22"/>
          <w:szCs w:val="22"/>
          <w:highlight w:val="none"/>
        </w:rPr>
        <w:t>近一年任意月法人或授权委托人人员明细的社保证明（新公司从成立之日起算）</w:t>
      </w:r>
      <w:bookmarkEnd w:id="136"/>
      <w:bookmarkEnd w:id="137"/>
    </w:p>
    <w:p>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投标单位名称（加盖公章）：                   投标单位法人盖章：</w:t>
      </w:r>
    </w:p>
    <w:p>
      <w:pPr>
        <w:shd w:val="clea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法定代表（或授权代表）签字或盖章：      </w:t>
      </w:r>
    </w:p>
    <w:p>
      <w:pPr>
        <w:shd w:val="clear"/>
        <w:spacing w:line="360" w:lineRule="auto"/>
        <w:ind w:firstLine="480"/>
        <w:jc w:val="right"/>
        <w:rPr>
          <w:rFonts w:ascii="宋体" w:hAnsi="宋体"/>
          <w:color w:val="auto"/>
          <w:sz w:val="24"/>
          <w:szCs w:val="24"/>
          <w:highlight w:val="none"/>
        </w:rPr>
      </w:pPr>
      <w:r>
        <w:rPr>
          <w:rFonts w:hint="eastAsia" w:ascii="宋体" w:hAnsi="宋体"/>
          <w:color w:val="auto"/>
          <w:sz w:val="24"/>
          <w:szCs w:val="24"/>
          <w:highlight w:val="none"/>
        </w:rPr>
        <w:t>日期：   年   月   日</w:t>
      </w:r>
    </w:p>
    <w:p>
      <w:pPr>
        <w:shd w:val="clear"/>
        <w:spacing w:line="360" w:lineRule="auto"/>
        <w:jc w:val="center"/>
        <w:outlineLvl w:val="0"/>
        <w:rPr>
          <w:rFonts w:ascii="宋体" w:hAnsi="宋体" w:cs="宋体"/>
          <w:b/>
          <w:bCs/>
          <w:color w:val="auto"/>
          <w:kern w:val="0"/>
          <w:sz w:val="36"/>
          <w:highlight w:val="none"/>
        </w:rPr>
      </w:pPr>
      <w:bookmarkStart w:id="138" w:name="_Toc8852"/>
      <w:bookmarkStart w:id="139" w:name="_Toc12126"/>
      <w:bookmarkStart w:id="140" w:name="_Toc20354"/>
      <w:r>
        <w:rPr>
          <w:rFonts w:hint="eastAsia" w:ascii="宋体" w:hAnsi="宋体" w:cs="宋体"/>
          <w:b/>
          <w:bCs/>
          <w:color w:val="auto"/>
          <w:kern w:val="0"/>
          <w:sz w:val="36"/>
          <w:highlight w:val="none"/>
        </w:rPr>
        <w:t>附件7、人员情况一览表</w:t>
      </w:r>
      <w:bookmarkEnd w:id="138"/>
      <w:bookmarkEnd w:id="139"/>
      <w:bookmarkEnd w:id="140"/>
    </w:p>
    <w:p>
      <w:pPr>
        <w:shd w:val="clear"/>
        <w:spacing w:line="360" w:lineRule="auto"/>
        <w:jc w:val="center"/>
        <w:rPr>
          <w:rFonts w:ascii="宋体" w:hAnsi="宋体"/>
          <w:color w:val="auto"/>
          <w:sz w:val="28"/>
          <w:highlight w:val="none"/>
        </w:rPr>
      </w:pPr>
      <w:r>
        <w:rPr>
          <w:rFonts w:hint="eastAsia" w:ascii="宋体" w:hAnsi="宋体"/>
          <w:b/>
          <w:color w:val="auto"/>
          <w:kern w:val="36"/>
          <w:sz w:val="28"/>
          <w:szCs w:val="28"/>
          <w:highlight w:val="none"/>
        </w:rPr>
        <w:t>主要负责人简历表</w:t>
      </w:r>
    </w:p>
    <w:tbl>
      <w:tblPr>
        <w:tblStyle w:val="23"/>
        <w:tblW w:w="928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451"/>
        <w:gridCol w:w="1455"/>
        <w:gridCol w:w="1450"/>
        <w:gridCol w:w="1606"/>
        <w:gridCol w:w="1664"/>
        <w:gridCol w:w="166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r>
              <w:rPr>
                <w:rFonts w:ascii="宋体" w:hAnsi="宋体"/>
                <w:color w:val="auto"/>
                <w:highlight w:val="none"/>
              </w:rPr>
              <w:t>姓  名</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r>
              <w:rPr>
                <w:rFonts w:ascii="宋体" w:hAnsi="宋体"/>
                <w:color w:val="auto"/>
                <w:highlight w:val="none"/>
              </w:rPr>
              <w:t>性  别</w:t>
            </w:r>
          </w:p>
        </w:tc>
        <w:tc>
          <w:tcPr>
            <w:tcW w:w="16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6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r>
              <w:rPr>
                <w:rFonts w:ascii="宋体" w:hAnsi="宋体"/>
                <w:color w:val="auto"/>
                <w:highlight w:val="none"/>
              </w:rPr>
              <w:t>年  龄</w:t>
            </w: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r>
              <w:rPr>
                <w:rFonts w:ascii="宋体" w:hAnsi="宋体"/>
                <w:color w:val="auto"/>
                <w:highlight w:val="none"/>
              </w:rPr>
              <w:t>职  务</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r>
              <w:rPr>
                <w:rFonts w:ascii="宋体" w:hAnsi="宋体"/>
                <w:color w:val="auto"/>
                <w:highlight w:val="none"/>
              </w:rPr>
              <w:t>专  业</w:t>
            </w:r>
          </w:p>
        </w:tc>
        <w:tc>
          <w:tcPr>
            <w:tcW w:w="16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6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r>
              <w:rPr>
                <w:rFonts w:ascii="宋体" w:hAnsi="宋体"/>
                <w:color w:val="auto"/>
                <w:highlight w:val="none"/>
              </w:rPr>
              <w:t>学  历</w:t>
            </w: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0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r>
              <w:rPr>
                <w:rFonts w:ascii="宋体" w:hAnsi="宋体"/>
                <w:color w:val="auto"/>
                <w:highlight w:val="none"/>
              </w:rPr>
              <w:t>证书编号</w:t>
            </w:r>
          </w:p>
        </w:tc>
        <w:tc>
          <w:tcPr>
            <w:tcW w:w="63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86"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r>
              <w:rPr>
                <w:rFonts w:ascii="宋体" w:hAnsi="宋体"/>
                <w:color w:val="auto"/>
                <w:highlight w:val="none"/>
              </w:rPr>
              <w:t>项目负责人近三年（</w:t>
            </w:r>
            <w:r>
              <w:rPr>
                <w:rFonts w:hint="eastAsia" w:ascii="宋体" w:hAnsi="宋体"/>
                <w:color w:val="auto"/>
                <w:highlight w:val="none"/>
              </w:rPr>
              <w:t>20</w:t>
            </w:r>
            <w:r>
              <w:rPr>
                <w:rFonts w:hint="eastAsia" w:ascii="宋体" w:hAnsi="宋体"/>
                <w:color w:val="auto"/>
                <w:highlight w:val="none"/>
                <w:lang w:val="en-US" w:eastAsia="zh-CN"/>
              </w:rPr>
              <w:t>20</w:t>
            </w:r>
            <w:r>
              <w:rPr>
                <w:rFonts w:hint="eastAsia" w:ascii="宋体" w:hAnsi="宋体"/>
                <w:color w:val="auto"/>
                <w:highlight w:val="none"/>
              </w:rPr>
              <w:t>年1</w:t>
            </w:r>
            <w:r>
              <w:rPr>
                <w:rFonts w:ascii="宋体" w:hAnsi="宋体"/>
                <w:color w:val="auto"/>
                <w:highlight w:val="none"/>
              </w:rPr>
              <w:t>月1日至今）类似项目业绩一览表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r>
              <w:rPr>
                <w:rFonts w:ascii="宋体" w:hAnsi="宋体"/>
                <w:color w:val="auto"/>
                <w:highlight w:val="none"/>
              </w:rPr>
              <w:t>建设单位</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r>
              <w:rPr>
                <w:rFonts w:ascii="宋体" w:hAnsi="宋体"/>
                <w:color w:val="auto"/>
                <w:highlight w:val="none"/>
              </w:rPr>
              <w:t>项目名称</w:t>
            </w: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r>
              <w:rPr>
                <w:rFonts w:ascii="宋体" w:hAnsi="宋体"/>
                <w:color w:val="auto"/>
                <w:highlight w:val="none"/>
              </w:rPr>
              <w:t>建设规模</w:t>
            </w: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jc w:val="center"/>
              <w:rPr>
                <w:rFonts w:ascii="宋体" w:hAnsi="宋体"/>
                <w:color w:val="auto"/>
                <w:sz w:val="24"/>
                <w:highlight w:val="none"/>
              </w:rPr>
            </w:pPr>
            <w:r>
              <w:rPr>
                <w:rFonts w:ascii="宋体" w:hAnsi="宋体"/>
                <w:color w:val="auto"/>
                <w:highlight w:val="none"/>
              </w:rPr>
              <w:t>完成日期</w:t>
            </w: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r>
              <w:rPr>
                <w:rFonts w:ascii="宋体" w:hAnsi="宋体"/>
                <w:color w:val="auto"/>
                <w:highlight w:val="none"/>
              </w:rPr>
              <w:t>质量等级</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86"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r>
              <w:rPr>
                <w:rFonts w:ascii="宋体" w:hAnsi="宋体"/>
                <w:color w:val="auto"/>
                <w:highlight w:val="none"/>
              </w:rPr>
              <w:t>承担在建工程情况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rPr>
                <w:rFonts w:ascii="宋体" w:hAnsi="宋体"/>
                <w:color w:val="auto"/>
                <w:sz w:val="24"/>
                <w:highlight w:val="none"/>
              </w:rPr>
            </w:pPr>
          </w:p>
        </w:tc>
      </w:tr>
    </w:tbl>
    <w:p>
      <w:pPr>
        <w:shd w:val="clear"/>
        <w:autoSpaceDN w:val="0"/>
        <w:spacing w:line="360" w:lineRule="auto"/>
        <w:rPr>
          <w:rFonts w:ascii="宋体" w:hAnsi="宋体"/>
          <w:color w:val="auto"/>
          <w:highlight w:val="none"/>
        </w:rPr>
      </w:pPr>
      <w:r>
        <w:rPr>
          <w:rFonts w:ascii="宋体" w:hAnsi="宋体"/>
          <w:color w:val="auto"/>
          <w:highlight w:val="none"/>
        </w:rPr>
        <w:t>注：1、本工程一旦我单位中标，将配备上述项目负责人。上述填报内容真实，如不真实，将按照有关规定接受处理。</w:t>
      </w:r>
    </w:p>
    <w:p>
      <w:pPr>
        <w:numPr>
          <w:ilvl w:val="0"/>
          <w:numId w:val="10"/>
        </w:numPr>
        <w:shd w:val="clear"/>
        <w:autoSpaceDN w:val="0"/>
        <w:spacing w:line="360" w:lineRule="auto"/>
        <w:rPr>
          <w:rFonts w:ascii="宋体" w:hAnsi="宋体"/>
          <w:color w:val="auto"/>
          <w:highlight w:val="none"/>
        </w:rPr>
      </w:pPr>
      <w:r>
        <w:rPr>
          <w:rFonts w:ascii="宋体" w:hAnsi="宋体"/>
          <w:color w:val="auto"/>
          <w:highlight w:val="none"/>
        </w:rPr>
        <w:t>项目负责人简历后应附</w:t>
      </w:r>
      <w:r>
        <w:rPr>
          <w:rFonts w:hint="eastAsia" w:ascii="宋体" w:hAnsi="宋体"/>
          <w:color w:val="auto"/>
          <w:highlight w:val="none"/>
        </w:rPr>
        <w:t>身份证及与投标人签订的劳动合同及社保缴纳证明材料复印件，以上加分项均须提供证明材料，包括但不限于身份证、职称证书、资格证书等复印件。</w:t>
      </w:r>
    </w:p>
    <w:p>
      <w:pPr>
        <w:pStyle w:val="9"/>
        <w:shd w:val="clear"/>
        <w:rPr>
          <w:color w:val="auto"/>
          <w:highlight w:val="none"/>
        </w:rPr>
      </w:pPr>
    </w:p>
    <w:p>
      <w:pPr>
        <w:shd w:val="clea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投标单位名称（加盖公章）：                    投标单位法人盖章：</w:t>
      </w:r>
    </w:p>
    <w:p>
      <w:pPr>
        <w:shd w:val="clear"/>
        <w:spacing w:line="360" w:lineRule="auto"/>
        <w:ind w:firstLine="480"/>
        <w:rPr>
          <w:rFonts w:ascii="宋体" w:hAnsi="宋体"/>
          <w:color w:val="auto"/>
          <w:sz w:val="24"/>
          <w:szCs w:val="24"/>
          <w:highlight w:val="none"/>
        </w:rPr>
      </w:pPr>
    </w:p>
    <w:p>
      <w:pPr>
        <w:shd w:val="clea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法定代表（或授权代表）签字：</w:t>
      </w:r>
    </w:p>
    <w:p>
      <w:pPr>
        <w:shd w:val="clear"/>
        <w:spacing w:line="360" w:lineRule="auto"/>
        <w:ind w:firstLine="480"/>
        <w:rPr>
          <w:rFonts w:ascii="宋体" w:hAnsi="宋体"/>
          <w:color w:val="auto"/>
          <w:sz w:val="24"/>
          <w:szCs w:val="24"/>
          <w:highlight w:val="none"/>
        </w:rPr>
      </w:pPr>
    </w:p>
    <w:p>
      <w:pPr>
        <w:shd w:val="clear"/>
        <w:spacing w:line="360" w:lineRule="auto"/>
        <w:jc w:val="right"/>
        <w:rPr>
          <w:rFonts w:ascii="宋体" w:hAnsi="宋体"/>
          <w:color w:val="auto"/>
          <w:sz w:val="28"/>
          <w:highlight w:val="none"/>
        </w:rPr>
      </w:pPr>
      <w:r>
        <w:rPr>
          <w:rFonts w:hint="eastAsia" w:ascii="宋体" w:hAnsi="宋体"/>
          <w:color w:val="auto"/>
          <w:sz w:val="24"/>
          <w:szCs w:val="24"/>
          <w:highlight w:val="none"/>
        </w:rPr>
        <w:t>日期：   年   月   日</w:t>
      </w:r>
    </w:p>
    <w:p>
      <w:pPr>
        <w:shd w:val="clear"/>
        <w:spacing w:line="360" w:lineRule="auto"/>
        <w:jc w:val="right"/>
        <w:rPr>
          <w:rFonts w:ascii="宋体" w:hAnsi="宋体"/>
          <w:color w:val="auto"/>
          <w:sz w:val="28"/>
          <w:highlight w:val="none"/>
        </w:rPr>
      </w:pPr>
    </w:p>
    <w:p>
      <w:pPr>
        <w:widowControl/>
        <w:shd w:val="clear"/>
        <w:spacing w:line="600" w:lineRule="exact"/>
        <w:jc w:val="center"/>
        <w:rPr>
          <w:rFonts w:ascii="宋体" w:hAnsi="宋体"/>
          <w:b/>
          <w:bCs/>
          <w:color w:val="auto"/>
          <w:sz w:val="30"/>
          <w:szCs w:val="32"/>
          <w:highlight w:val="none"/>
        </w:rPr>
      </w:pPr>
      <w:r>
        <w:rPr>
          <w:rFonts w:hint="eastAsia" w:ascii="宋体" w:hAnsi="宋体"/>
          <w:b/>
          <w:color w:val="auto"/>
          <w:kern w:val="36"/>
          <w:sz w:val="28"/>
          <w:szCs w:val="28"/>
          <w:highlight w:val="none"/>
        </w:rPr>
        <w:t>拟投入其他人员一览表</w:t>
      </w:r>
    </w:p>
    <w:p>
      <w:pPr>
        <w:shd w:val="clear"/>
        <w:autoSpaceDN w:val="0"/>
        <w:spacing w:line="360" w:lineRule="auto"/>
        <w:rPr>
          <w:rFonts w:ascii="宋体" w:hAnsi="宋体"/>
          <w:color w:val="auto"/>
          <w:highlight w:val="none"/>
        </w:rPr>
      </w:pPr>
      <w:r>
        <w:rPr>
          <w:rFonts w:ascii="宋体" w:hAnsi="宋体"/>
          <w:color w:val="auto"/>
          <w:highlight w:val="none"/>
        </w:rPr>
        <w:t>1、其他人员应包括：项目负责人认为需要配备的其他人员。</w:t>
      </w:r>
    </w:p>
    <w:p>
      <w:pPr>
        <w:shd w:val="clear"/>
        <w:autoSpaceDN w:val="0"/>
        <w:spacing w:line="360" w:lineRule="auto"/>
        <w:rPr>
          <w:rFonts w:ascii="宋体" w:hAnsi="宋体"/>
          <w:color w:val="auto"/>
          <w:highlight w:val="none"/>
        </w:rPr>
      </w:pPr>
      <w:r>
        <w:rPr>
          <w:rFonts w:ascii="宋体" w:hAnsi="宋体"/>
          <w:color w:val="auto"/>
          <w:highlight w:val="none"/>
        </w:rPr>
        <w:t>2、上述人员介绍应包括姓名、职称、主要资历等基本信息。</w:t>
      </w:r>
    </w:p>
    <w:p>
      <w:pPr>
        <w:shd w:val="clear"/>
        <w:autoSpaceDN w:val="0"/>
        <w:spacing w:line="360" w:lineRule="auto"/>
        <w:rPr>
          <w:rFonts w:ascii="宋体" w:hAnsi="宋体"/>
          <w:color w:val="auto"/>
          <w:highlight w:val="none"/>
        </w:rPr>
      </w:pPr>
      <w:r>
        <w:rPr>
          <w:rFonts w:ascii="宋体" w:hAnsi="宋体"/>
          <w:color w:val="auto"/>
          <w:highlight w:val="none"/>
        </w:rPr>
        <w:t>3、</w:t>
      </w:r>
      <w:r>
        <w:rPr>
          <w:rFonts w:hint="eastAsia" w:ascii="宋体" w:hAnsi="宋体"/>
          <w:color w:val="auto"/>
          <w:highlight w:val="none"/>
        </w:rPr>
        <w:t>与投标人签订的劳动合同及社保缴纳证明材料复印件，以上加分项均须提供证明材料，包括但不限于身份证、职称证书、资格证书、合同文件等复印件。</w:t>
      </w:r>
    </w:p>
    <w:tbl>
      <w:tblPr>
        <w:tblStyle w:val="23"/>
        <w:tblW w:w="9624"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211"/>
        <w:gridCol w:w="1433"/>
        <w:gridCol w:w="966"/>
        <w:gridCol w:w="1215"/>
        <w:gridCol w:w="1215"/>
        <w:gridCol w:w="1188"/>
        <w:gridCol w:w="1215"/>
        <w:gridCol w:w="118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jc w:val="center"/>
              <w:rPr>
                <w:rFonts w:ascii="宋体" w:hAnsi="宋体"/>
                <w:color w:val="auto"/>
                <w:sz w:val="24"/>
                <w:highlight w:val="none"/>
              </w:rPr>
            </w:pPr>
            <w:r>
              <w:rPr>
                <w:rFonts w:ascii="宋体" w:hAnsi="宋体"/>
                <w:color w:val="auto"/>
                <w:highlight w:val="none"/>
              </w:rPr>
              <w:t>姓名</w:t>
            </w: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jc w:val="center"/>
              <w:rPr>
                <w:rFonts w:ascii="宋体" w:hAnsi="宋体"/>
                <w:color w:val="auto"/>
                <w:sz w:val="24"/>
                <w:highlight w:val="none"/>
              </w:rPr>
            </w:pPr>
            <w:r>
              <w:rPr>
                <w:rFonts w:ascii="宋体" w:hAnsi="宋体"/>
                <w:color w:val="auto"/>
                <w:highlight w:val="none"/>
              </w:rPr>
              <w:t>身份证号码</w:t>
            </w:r>
          </w:p>
        </w:tc>
        <w:tc>
          <w:tcPr>
            <w:tcW w:w="9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jc w:val="center"/>
              <w:rPr>
                <w:rFonts w:ascii="宋体" w:hAnsi="宋体"/>
                <w:color w:val="auto"/>
                <w:sz w:val="24"/>
                <w:highlight w:val="none"/>
              </w:rPr>
            </w:pPr>
            <w:r>
              <w:rPr>
                <w:rFonts w:ascii="宋体" w:hAnsi="宋体"/>
                <w:color w:val="auto"/>
                <w:highlight w:val="none"/>
              </w:rPr>
              <w:t>性别</w:t>
            </w: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jc w:val="center"/>
              <w:rPr>
                <w:rFonts w:ascii="宋体" w:hAnsi="宋体"/>
                <w:color w:val="auto"/>
                <w:sz w:val="24"/>
                <w:highlight w:val="none"/>
              </w:rPr>
            </w:pPr>
            <w:r>
              <w:rPr>
                <w:rFonts w:ascii="宋体" w:hAnsi="宋体"/>
                <w:color w:val="auto"/>
                <w:highlight w:val="none"/>
              </w:rPr>
              <w:t>职称</w:t>
            </w: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jc w:val="center"/>
              <w:rPr>
                <w:rFonts w:ascii="宋体" w:hAnsi="宋体"/>
                <w:color w:val="auto"/>
                <w:sz w:val="24"/>
                <w:highlight w:val="none"/>
              </w:rPr>
            </w:pPr>
            <w:r>
              <w:rPr>
                <w:rFonts w:ascii="宋体" w:hAnsi="宋体"/>
                <w:color w:val="auto"/>
                <w:highlight w:val="none"/>
              </w:rPr>
              <w:t>学历</w:t>
            </w:r>
          </w:p>
        </w:tc>
        <w:tc>
          <w:tcPr>
            <w:tcW w:w="1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jc w:val="center"/>
              <w:rPr>
                <w:rFonts w:ascii="宋体" w:hAnsi="宋体"/>
                <w:color w:val="auto"/>
                <w:sz w:val="24"/>
                <w:highlight w:val="none"/>
              </w:rPr>
            </w:pPr>
            <w:r>
              <w:rPr>
                <w:rFonts w:ascii="宋体" w:hAnsi="宋体"/>
                <w:color w:val="auto"/>
                <w:highlight w:val="none"/>
              </w:rPr>
              <w:t>专业</w:t>
            </w: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clear"/>
              <w:autoSpaceDN w:val="0"/>
              <w:spacing w:line="360" w:lineRule="auto"/>
              <w:jc w:val="center"/>
              <w:rPr>
                <w:rFonts w:ascii="宋体" w:hAnsi="宋体"/>
                <w:color w:val="auto"/>
                <w:sz w:val="24"/>
                <w:highlight w:val="none"/>
              </w:rPr>
            </w:pPr>
            <w:r>
              <w:rPr>
                <w:rFonts w:ascii="宋体" w:hAnsi="宋体"/>
                <w:color w:val="auto"/>
                <w:highlight w:val="none"/>
              </w:rPr>
              <w:t>从事</w:t>
            </w:r>
            <w:r>
              <w:rPr>
                <w:rFonts w:hint="eastAsia" w:ascii="宋体" w:hAnsi="宋体"/>
                <w:color w:val="auto"/>
                <w:highlight w:val="none"/>
              </w:rPr>
              <w:t>施工</w:t>
            </w:r>
            <w:r>
              <w:rPr>
                <w:rFonts w:ascii="宋体" w:hAnsi="宋体"/>
                <w:color w:val="auto"/>
                <w:highlight w:val="none"/>
              </w:rPr>
              <w:t>工作年限</w:t>
            </w: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jc w:val="center"/>
              <w:rPr>
                <w:rFonts w:ascii="宋体" w:hAnsi="宋体"/>
                <w:color w:val="auto"/>
                <w:sz w:val="24"/>
                <w:highlight w:val="none"/>
              </w:rPr>
            </w:pPr>
            <w:r>
              <w:rPr>
                <w:rFonts w:ascii="宋体" w:hAnsi="宋体"/>
                <w:color w:val="auto"/>
                <w:highlight w:val="none"/>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9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9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9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9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9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9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9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2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4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9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1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2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hd w:val="clear"/>
              <w:autoSpaceDN w:val="0"/>
              <w:spacing w:line="360" w:lineRule="auto"/>
              <w:rPr>
                <w:rFonts w:ascii="宋体" w:hAnsi="宋体"/>
                <w:color w:val="auto"/>
                <w:sz w:val="24"/>
                <w:highlight w:val="none"/>
              </w:rPr>
            </w:pPr>
          </w:p>
        </w:tc>
      </w:tr>
    </w:tbl>
    <w:p>
      <w:pPr>
        <w:shd w:val="clear"/>
        <w:spacing w:line="360" w:lineRule="auto"/>
        <w:jc w:val="right"/>
        <w:rPr>
          <w:rFonts w:ascii="宋体" w:hAnsi="宋体"/>
          <w:color w:val="auto"/>
          <w:highlight w:val="none"/>
        </w:rPr>
      </w:pPr>
      <w:r>
        <w:rPr>
          <w:rFonts w:ascii="宋体" w:hAnsi="宋体"/>
          <w:color w:val="auto"/>
          <w:highlight w:val="none"/>
        </w:rPr>
        <w:t>注：1、本工程一旦我单位中标，将配备上述项目负责人。上述填报内容真实，如不真实，</w:t>
      </w:r>
    </w:p>
    <w:p>
      <w:pPr>
        <w:shd w:val="clear"/>
        <w:spacing w:line="360" w:lineRule="auto"/>
        <w:ind w:firstLine="840" w:firstLineChars="400"/>
        <w:rPr>
          <w:rFonts w:ascii="宋体" w:hAnsi="宋体"/>
          <w:color w:val="auto"/>
          <w:sz w:val="28"/>
          <w:highlight w:val="none"/>
        </w:rPr>
      </w:pPr>
      <w:r>
        <w:rPr>
          <w:rFonts w:ascii="宋体" w:hAnsi="宋体"/>
          <w:color w:val="auto"/>
          <w:highlight w:val="none"/>
        </w:rPr>
        <w:t>将按照有关规定接受处理。</w:t>
      </w:r>
    </w:p>
    <w:p>
      <w:pPr>
        <w:shd w:val="clear"/>
        <w:spacing w:line="360" w:lineRule="auto"/>
        <w:rPr>
          <w:rFonts w:ascii="宋体" w:hAnsi="宋体"/>
          <w:color w:val="auto"/>
          <w:sz w:val="28"/>
          <w:highlight w:val="none"/>
        </w:rPr>
      </w:pPr>
    </w:p>
    <w:p>
      <w:pPr>
        <w:shd w:val="clea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投标单位名称（加盖公章）：                    投标单位法人盖章：</w:t>
      </w:r>
    </w:p>
    <w:p>
      <w:pPr>
        <w:shd w:val="clear"/>
        <w:spacing w:line="360" w:lineRule="auto"/>
        <w:ind w:firstLine="480"/>
        <w:rPr>
          <w:rFonts w:ascii="宋体" w:hAnsi="宋体"/>
          <w:color w:val="auto"/>
          <w:sz w:val="24"/>
          <w:szCs w:val="24"/>
          <w:highlight w:val="none"/>
        </w:rPr>
      </w:pPr>
    </w:p>
    <w:p>
      <w:pPr>
        <w:shd w:val="clea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法定代表（或授权代表）签字：</w:t>
      </w:r>
    </w:p>
    <w:p>
      <w:pPr>
        <w:shd w:val="clear"/>
        <w:spacing w:line="360" w:lineRule="auto"/>
        <w:ind w:firstLine="480"/>
        <w:rPr>
          <w:rFonts w:ascii="宋体" w:hAnsi="宋体"/>
          <w:color w:val="auto"/>
          <w:sz w:val="24"/>
          <w:szCs w:val="24"/>
          <w:highlight w:val="none"/>
        </w:rPr>
      </w:pPr>
    </w:p>
    <w:p>
      <w:pPr>
        <w:shd w:val="clear"/>
        <w:spacing w:line="360" w:lineRule="auto"/>
        <w:jc w:val="right"/>
        <w:rPr>
          <w:rFonts w:ascii="宋体" w:hAnsi="宋体"/>
          <w:color w:val="auto"/>
          <w:sz w:val="28"/>
          <w:highlight w:val="none"/>
        </w:rPr>
      </w:pPr>
      <w:r>
        <w:rPr>
          <w:rFonts w:hint="eastAsia" w:ascii="宋体" w:hAnsi="宋体"/>
          <w:color w:val="auto"/>
          <w:sz w:val="24"/>
          <w:szCs w:val="24"/>
          <w:highlight w:val="none"/>
        </w:rPr>
        <w:t>日期：   年   月   日</w:t>
      </w:r>
    </w:p>
    <w:p>
      <w:pPr>
        <w:shd w:val="clear"/>
        <w:spacing w:line="360" w:lineRule="auto"/>
        <w:rPr>
          <w:rFonts w:ascii="宋体" w:hAnsi="宋体"/>
          <w:color w:val="auto"/>
          <w:sz w:val="28"/>
          <w:highlight w:val="none"/>
        </w:rPr>
      </w:pPr>
    </w:p>
    <w:p>
      <w:pPr>
        <w:pStyle w:val="9"/>
        <w:shd w:val="clear"/>
        <w:rPr>
          <w:color w:val="auto"/>
          <w:highlight w:val="none"/>
        </w:rPr>
      </w:pPr>
    </w:p>
    <w:p>
      <w:pPr>
        <w:pStyle w:val="33"/>
        <w:shd w:val="clear"/>
        <w:jc w:val="center"/>
        <w:outlineLvl w:val="0"/>
        <w:rPr>
          <w:rFonts w:ascii="宋体" w:cs="宋体"/>
          <w:b/>
          <w:color w:val="auto"/>
          <w:sz w:val="36"/>
          <w:highlight w:val="none"/>
        </w:rPr>
      </w:pPr>
      <w:bookmarkStart w:id="141" w:name="_Toc26193"/>
      <w:bookmarkStart w:id="142" w:name="_Toc533086823"/>
      <w:bookmarkStart w:id="143" w:name="_Toc30781"/>
      <w:bookmarkStart w:id="144" w:name="_Toc5353"/>
      <w:bookmarkStart w:id="145" w:name="_Toc32238"/>
      <w:bookmarkStart w:id="146" w:name="_Toc1137"/>
      <w:r>
        <w:rPr>
          <w:rFonts w:hint="eastAsia" w:ascii="宋体" w:cs="宋体"/>
          <w:b/>
          <w:color w:val="auto"/>
          <w:sz w:val="36"/>
          <w:highlight w:val="none"/>
        </w:rPr>
        <w:t>附件8：</w:t>
      </w:r>
      <w:bookmarkEnd w:id="141"/>
      <w:bookmarkEnd w:id="142"/>
      <w:r>
        <w:rPr>
          <w:rFonts w:hint="eastAsia" w:ascii="宋体" w:cs="宋体"/>
          <w:b/>
          <w:color w:val="auto"/>
          <w:sz w:val="36"/>
          <w:highlight w:val="none"/>
        </w:rPr>
        <w:t>类似项目业绩一览表</w:t>
      </w:r>
      <w:bookmarkEnd w:id="143"/>
      <w:bookmarkEnd w:id="144"/>
      <w:bookmarkEnd w:id="145"/>
      <w:bookmarkEnd w:id="146"/>
    </w:p>
    <w:p>
      <w:pPr>
        <w:pStyle w:val="18"/>
        <w:shd w:val="clear"/>
        <w:spacing w:before="120"/>
        <w:rPr>
          <w:rFonts w:ascii="宋体" w:hAnsi="宋体"/>
          <w:color w:val="auto"/>
          <w:sz w:val="24"/>
          <w:szCs w:val="24"/>
          <w:highlight w:val="none"/>
        </w:rPr>
      </w:pPr>
      <w:r>
        <w:rPr>
          <w:rFonts w:hint="eastAsia" w:ascii="宋体" w:hAnsi="宋体"/>
          <w:color w:val="auto"/>
          <w:sz w:val="24"/>
          <w:szCs w:val="24"/>
          <w:highlight w:val="none"/>
        </w:rPr>
        <w:t xml:space="preserve">   </w:t>
      </w:r>
    </w:p>
    <w:tbl>
      <w:tblPr>
        <w:tblStyle w:val="23"/>
        <w:tblW w:w="9110" w:type="dxa"/>
        <w:jc w:val="center"/>
        <w:tblLayout w:type="fixed"/>
        <w:tblCellMar>
          <w:top w:w="0" w:type="dxa"/>
          <w:left w:w="54" w:type="dxa"/>
          <w:bottom w:w="0" w:type="dxa"/>
          <w:right w:w="54" w:type="dxa"/>
        </w:tblCellMar>
      </w:tblPr>
      <w:tblGrid>
        <w:gridCol w:w="1203"/>
        <w:gridCol w:w="1701"/>
        <w:gridCol w:w="1701"/>
        <w:gridCol w:w="1559"/>
        <w:gridCol w:w="1701"/>
        <w:gridCol w:w="1245"/>
      </w:tblGrid>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r>
              <w:rPr>
                <w:rFonts w:hint="eastAsia" w:hAnsi="宋体" w:cs="宋体"/>
                <w:color w:val="auto"/>
                <w:szCs w:val="21"/>
                <w:highlight w:val="none"/>
              </w:rPr>
              <w:t>年份</w:t>
            </w: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r>
              <w:rPr>
                <w:rFonts w:hint="eastAsia" w:hAnsi="宋体" w:cs="宋体"/>
                <w:color w:val="auto"/>
                <w:szCs w:val="21"/>
                <w:highlight w:val="none"/>
              </w:rPr>
              <w:t>用户名称</w:t>
            </w: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r>
              <w:rPr>
                <w:rFonts w:hint="eastAsia" w:hAnsi="宋体" w:cs="宋体"/>
                <w:color w:val="auto"/>
                <w:szCs w:val="21"/>
                <w:highlight w:val="none"/>
              </w:rPr>
              <w:t>项目名称</w:t>
            </w:r>
          </w:p>
        </w:tc>
        <w:tc>
          <w:tcPr>
            <w:tcW w:w="1559"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r>
              <w:rPr>
                <w:rFonts w:hint="eastAsia" w:hAnsi="宋体" w:cs="宋体"/>
                <w:color w:val="auto"/>
                <w:szCs w:val="21"/>
                <w:highlight w:val="none"/>
              </w:rPr>
              <w:t>完成时间</w:t>
            </w: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r>
              <w:rPr>
                <w:rFonts w:hint="eastAsia" w:hAnsi="宋体" w:cs="宋体"/>
                <w:color w:val="auto"/>
                <w:szCs w:val="21"/>
                <w:highlight w:val="none"/>
              </w:rPr>
              <w:t>合同金额</w:t>
            </w:r>
          </w:p>
        </w:tc>
        <w:tc>
          <w:tcPr>
            <w:tcW w:w="1245"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r>
              <w:rPr>
                <w:rFonts w:hint="eastAsia" w:hAnsi="宋体" w:cs="宋体"/>
                <w:color w:val="auto"/>
                <w:szCs w:val="21"/>
                <w:highlight w:val="none"/>
              </w:rPr>
              <w:t>对应页码</w:t>
            </w: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r>
    </w:tbl>
    <w:p>
      <w:pPr>
        <w:pStyle w:val="18"/>
        <w:shd w:val="clear"/>
        <w:spacing w:before="120"/>
        <w:rPr>
          <w:rFonts w:hAnsi="宋体" w:cs="宋体"/>
          <w:color w:val="auto"/>
          <w:sz w:val="24"/>
          <w:highlight w:val="none"/>
        </w:rPr>
      </w:pPr>
      <w:r>
        <w:rPr>
          <w:rFonts w:hint="eastAsia" w:hAnsi="宋体" w:cs="宋体"/>
          <w:color w:val="auto"/>
          <w:sz w:val="24"/>
          <w:highlight w:val="none"/>
        </w:rPr>
        <w:t>注：</w:t>
      </w:r>
      <w:bookmarkStart w:id="147" w:name="_Hlk534905957"/>
      <w:r>
        <w:rPr>
          <w:rFonts w:hint="eastAsia" w:hAnsi="宋体" w:cs="宋体"/>
          <w:color w:val="auto"/>
          <w:sz w:val="24"/>
          <w:highlight w:val="none"/>
        </w:rPr>
        <w:t>以上业绩需提供磋商文件要求的有关书面证明材料。</w:t>
      </w:r>
      <w:bookmarkEnd w:id="147"/>
    </w:p>
    <w:p>
      <w:pPr>
        <w:pStyle w:val="8"/>
        <w:shd w:val="clear"/>
        <w:ind w:left="1680"/>
        <w:rPr>
          <w:color w:val="auto"/>
          <w:highlight w:val="none"/>
        </w:rPr>
      </w:pPr>
    </w:p>
    <w:p>
      <w:pPr>
        <w:shd w:val="clear"/>
        <w:rPr>
          <w:color w:val="auto"/>
          <w:highlight w:val="none"/>
        </w:rPr>
      </w:pPr>
    </w:p>
    <w:p>
      <w:pPr>
        <w:pStyle w:val="18"/>
        <w:shd w:val="clear"/>
        <w:spacing w:before="120"/>
        <w:rPr>
          <w:rFonts w:ascii="宋体" w:hAnsi="宋体"/>
          <w:color w:val="auto"/>
          <w:sz w:val="24"/>
          <w:szCs w:val="24"/>
          <w:highlight w:val="none"/>
        </w:rPr>
      </w:pPr>
    </w:p>
    <w:p>
      <w:pPr>
        <w:pStyle w:val="18"/>
        <w:shd w:val="clear"/>
        <w:spacing w:before="120" w:line="360" w:lineRule="auto"/>
        <w:ind w:firstLine="405"/>
        <w:rPr>
          <w:rFonts w:ascii="宋体" w:hAnsi="宋体"/>
          <w:color w:val="auto"/>
          <w:sz w:val="24"/>
          <w:szCs w:val="24"/>
          <w:highlight w:val="none"/>
        </w:rPr>
      </w:pPr>
      <w:r>
        <w:rPr>
          <w:rFonts w:hint="eastAsia" w:ascii="宋体" w:hAnsi="宋体"/>
          <w:color w:val="auto"/>
          <w:sz w:val="24"/>
          <w:szCs w:val="24"/>
          <w:highlight w:val="none"/>
        </w:rPr>
        <w:t xml:space="preserve"> </w:t>
      </w:r>
    </w:p>
    <w:p>
      <w:pPr>
        <w:shd w:val="clea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投标单位名称（加盖公章）：                   投标单位法人盖章：</w:t>
      </w:r>
    </w:p>
    <w:p>
      <w:pPr>
        <w:shd w:val="clear"/>
        <w:spacing w:line="360" w:lineRule="auto"/>
        <w:ind w:firstLine="480"/>
        <w:rPr>
          <w:rFonts w:ascii="宋体" w:hAnsi="宋体"/>
          <w:color w:val="auto"/>
          <w:sz w:val="24"/>
          <w:szCs w:val="24"/>
          <w:highlight w:val="none"/>
        </w:rPr>
      </w:pPr>
    </w:p>
    <w:p>
      <w:pPr>
        <w:shd w:val="clea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法定代表（或授权代表）签字：</w:t>
      </w:r>
    </w:p>
    <w:p>
      <w:pPr>
        <w:shd w:val="clear"/>
        <w:spacing w:line="360" w:lineRule="auto"/>
        <w:ind w:firstLine="480"/>
        <w:rPr>
          <w:rFonts w:ascii="宋体" w:hAnsi="宋体"/>
          <w:color w:val="auto"/>
          <w:sz w:val="24"/>
          <w:szCs w:val="24"/>
          <w:highlight w:val="none"/>
        </w:rPr>
      </w:pPr>
    </w:p>
    <w:p>
      <w:pPr>
        <w:shd w:val="clear"/>
        <w:spacing w:line="360" w:lineRule="auto"/>
        <w:jc w:val="right"/>
        <w:rPr>
          <w:rFonts w:ascii="宋体" w:hAnsi="宋体"/>
          <w:color w:val="auto"/>
          <w:sz w:val="28"/>
          <w:highlight w:val="none"/>
        </w:rPr>
      </w:pPr>
      <w:r>
        <w:rPr>
          <w:rFonts w:hint="eastAsia" w:ascii="宋体" w:hAnsi="宋体"/>
          <w:color w:val="auto"/>
          <w:sz w:val="24"/>
          <w:szCs w:val="24"/>
          <w:highlight w:val="none"/>
        </w:rPr>
        <w:t>日期：   年   月   日</w:t>
      </w:r>
    </w:p>
    <w:p>
      <w:pPr>
        <w:pStyle w:val="18"/>
        <w:shd w:val="clear"/>
        <w:spacing w:before="120" w:line="360" w:lineRule="auto"/>
        <w:ind w:firstLine="405"/>
        <w:rPr>
          <w:rFonts w:ascii="宋体" w:hAnsi="宋体"/>
          <w:color w:val="auto"/>
          <w:sz w:val="28"/>
          <w:szCs w:val="24"/>
          <w:highlight w:val="none"/>
        </w:rPr>
      </w:pPr>
    </w:p>
    <w:p>
      <w:pPr>
        <w:pStyle w:val="18"/>
        <w:shd w:val="clear"/>
        <w:spacing w:before="120" w:line="360" w:lineRule="auto"/>
        <w:ind w:firstLine="405"/>
        <w:rPr>
          <w:rFonts w:ascii="宋体" w:hAnsi="宋体"/>
          <w:color w:val="auto"/>
          <w:sz w:val="28"/>
          <w:szCs w:val="24"/>
          <w:highlight w:val="none"/>
        </w:rPr>
      </w:pPr>
    </w:p>
    <w:p>
      <w:pPr>
        <w:pStyle w:val="18"/>
        <w:shd w:val="clear"/>
        <w:spacing w:before="120" w:line="360" w:lineRule="auto"/>
        <w:ind w:firstLine="405"/>
        <w:rPr>
          <w:rFonts w:ascii="宋体" w:hAnsi="宋体"/>
          <w:color w:val="auto"/>
          <w:sz w:val="28"/>
          <w:szCs w:val="24"/>
          <w:highlight w:val="none"/>
        </w:rPr>
      </w:pPr>
    </w:p>
    <w:p>
      <w:pPr>
        <w:pStyle w:val="8"/>
        <w:shd w:val="clear"/>
        <w:ind w:left="1680"/>
        <w:rPr>
          <w:rFonts w:ascii="宋体" w:hAnsi="宋体"/>
          <w:color w:val="auto"/>
          <w:sz w:val="28"/>
          <w:szCs w:val="24"/>
          <w:highlight w:val="none"/>
        </w:rPr>
      </w:pPr>
    </w:p>
    <w:p>
      <w:pPr>
        <w:shd w:val="clear"/>
        <w:rPr>
          <w:rFonts w:ascii="宋体" w:hAnsi="宋体"/>
          <w:color w:val="auto"/>
          <w:sz w:val="28"/>
          <w:szCs w:val="24"/>
          <w:highlight w:val="none"/>
        </w:rPr>
      </w:pPr>
    </w:p>
    <w:p>
      <w:pPr>
        <w:pStyle w:val="33"/>
        <w:shd w:val="clear"/>
        <w:jc w:val="center"/>
        <w:outlineLvl w:val="0"/>
        <w:rPr>
          <w:rFonts w:ascii="宋体" w:cs="宋体"/>
          <w:b/>
          <w:color w:val="auto"/>
          <w:sz w:val="36"/>
          <w:highlight w:val="none"/>
        </w:rPr>
      </w:pPr>
      <w:bookmarkStart w:id="148" w:name="_Toc18848"/>
      <w:bookmarkStart w:id="149" w:name="_Toc8448"/>
      <w:r>
        <w:rPr>
          <w:rFonts w:hint="eastAsia" w:ascii="宋体" w:cs="宋体"/>
          <w:b/>
          <w:color w:val="auto"/>
          <w:sz w:val="36"/>
          <w:highlight w:val="none"/>
        </w:rPr>
        <w:t>人员类似项目业绩一览表</w:t>
      </w:r>
      <w:bookmarkEnd w:id="148"/>
      <w:bookmarkEnd w:id="149"/>
    </w:p>
    <w:p>
      <w:pPr>
        <w:pStyle w:val="18"/>
        <w:shd w:val="clear"/>
        <w:spacing w:before="120"/>
        <w:rPr>
          <w:rFonts w:ascii="宋体" w:hAnsi="宋体"/>
          <w:color w:val="auto"/>
          <w:sz w:val="24"/>
          <w:szCs w:val="24"/>
          <w:highlight w:val="none"/>
        </w:rPr>
      </w:pPr>
      <w:r>
        <w:rPr>
          <w:rFonts w:hint="eastAsia" w:ascii="宋体" w:hAnsi="宋体"/>
          <w:color w:val="auto"/>
          <w:sz w:val="24"/>
          <w:szCs w:val="24"/>
          <w:highlight w:val="none"/>
        </w:rPr>
        <w:t xml:space="preserve">   </w:t>
      </w:r>
    </w:p>
    <w:tbl>
      <w:tblPr>
        <w:tblStyle w:val="23"/>
        <w:tblW w:w="9110" w:type="dxa"/>
        <w:jc w:val="center"/>
        <w:tblLayout w:type="fixed"/>
        <w:tblCellMar>
          <w:top w:w="0" w:type="dxa"/>
          <w:left w:w="54" w:type="dxa"/>
          <w:bottom w:w="0" w:type="dxa"/>
          <w:right w:w="54" w:type="dxa"/>
        </w:tblCellMar>
      </w:tblPr>
      <w:tblGrid>
        <w:gridCol w:w="1203"/>
        <w:gridCol w:w="1701"/>
        <w:gridCol w:w="1701"/>
        <w:gridCol w:w="1559"/>
        <w:gridCol w:w="1701"/>
        <w:gridCol w:w="1245"/>
      </w:tblGrid>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r>
              <w:rPr>
                <w:rFonts w:hint="eastAsia" w:hAnsi="宋体" w:cs="宋体"/>
                <w:color w:val="auto"/>
                <w:szCs w:val="21"/>
                <w:highlight w:val="none"/>
              </w:rPr>
              <w:t>年份</w:t>
            </w: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r>
              <w:rPr>
                <w:rFonts w:hint="eastAsia" w:hAnsi="宋体" w:cs="宋体"/>
                <w:color w:val="auto"/>
                <w:szCs w:val="21"/>
                <w:highlight w:val="none"/>
              </w:rPr>
              <w:t>用户名称</w:t>
            </w: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r>
              <w:rPr>
                <w:rFonts w:hint="eastAsia" w:hAnsi="宋体" w:cs="宋体"/>
                <w:color w:val="auto"/>
                <w:szCs w:val="21"/>
                <w:highlight w:val="none"/>
              </w:rPr>
              <w:t>项目名称</w:t>
            </w:r>
          </w:p>
        </w:tc>
        <w:tc>
          <w:tcPr>
            <w:tcW w:w="1559"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r>
              <w:rPr>
                <w:rFonts w:hint="eastAsia" w:hAnsi="宋体" w:cs="宋体"/>
                <w:color w:val="auto"/>
                <w:szCs w:val="21"/>
                <w:highlight w:val="none"/>
              </w:rPr>
              <w:t>完成时间</w:t>
            </w: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r>
              <w:rPr>
                <w:rFonts w:hint="eastAsia" w:hAnsi="宋体" w:cs="宋体"/>
                <w:color w:val="auto"/>
                <w:szCs w:val="21"/>
                <w:highlight w:val="none"/>
              </w:rPr>
              <w:t>合同金额</w:t>
            </w:r>
          </w:p>
        </w:tc>
        <w:tc>
          <w:tcPr>
            <w:tcW w:w="1245"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r>
              <w:rPr>
                <w:rFonts w:hint="eastAsia" w:hAnsi="宋体" w:cs="宋体"/>
                <w:color w:val="auto"/>
                <w:szCs w:val="21"/>
                <w:highlight w:val="none"/>
              </w:rPr>
              <w:t>对应页码</w:t>
            </w: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shd w:val="clear"/>
              <w:spacing w:line="400" w:lineRule="exact"/>
              <w:jc w:val="center"/>
              <w:rPr>
                <w:rFonts w:hAnsi="宋体" w:cs="宋体"/>
                <w:color w:val="auto"/>
                <w:szCs w:val="21"/>
                <w:highlight w:val="none"/>
              </w:rPr>
            </w:pPr>
          </w:p>
        </w:tc>
      </w:tr>
    </w:tbl>
    <w:p>
      <w:pPr>
        <w:pStyle w:val="18"/>
        <w:shd w:val="clear"/>
        <w:spacing w:before="120"/>
        <w:rPr>
          <w:rFonts w:hAnsi="宋体" w:cs="宋体"/>
          <w:color w:val="auto"/>
          <w:sz w:val="24"/>
          <w:highlight w:val="none"/>
        </w:rPr>
      </w:pPr>
      <w:r>
        <w:rPr>
          <w:rFonts w:hint="eastAsia" w:hAnsi="宋体" w:cs="宋体"/>
          <w:color w:val="auto"/>
          <w:sz w:val="24"/>
          <w:highlight w:val="none"/>
        </w:rPr>
        <w:t>注：1.以上业绩需提供磋商文件要求的有关书面证明材料。</w:t>
      </w:r>
    </w:p>
    <w:p>
      <w:pPr>
        <w:pStyle w:val="8"/>
        <w:shd w:val="clear"/>
        <w:ind w:left="0" w:leftChars="0"/>
        <w:rPr>
          <w:color w:val="auto"/>
          <w:highlight w:val="none"/>
        </w:rPr>
      </w:pPr>
      <w:r>
        <w:rPr>
          <w:rFonts w:hint="eastAsia" w:hAnsi="宋体" w:cs="宋体"/>
          <w:color w:val="auto"/>
          <w:sz w:val="24"/>
          <w:highlight w:val="none"/>
        </w:rPr>
        <w:t>2.每张表格只填写一个人员，表格可自行添加。</w:t>
      </w:r>
    </w:p>
    <w:p>
      <w:pPr>
        <w:pStyle w:val="27"/>
        <w:shd w:val="clear"/>
        <w:outlineLvl w:val="9"/>
        <w:rPr>
          <w:rFonts w:ascii="宋体" w:hAnsi="宋体"/>
          <w:color w:val="auto"/>
          <w:sz w:val="28"/>
          <w:szCs w:val="24"/>
          <w:highlight w:val="none"/>
        </w:rPr>
      </w:pPr>
    </w:p>
    <w:p>
      <w:pPr>
        <w:pStyle w:val="3"/>
        <w:shd w:val="clear"/>
        <w:rPr>
          <w:rFonts w:ascii="宋体" w:hAnsi="宋体"/>
          <w:color w:val="auto"/>
          <w:szCs w:val="24"/>
          <w:highlight w:val="none"/>
        </w:rPr>
      </w:pPr>
    </w:p>
    <w:p>
      <w:pPr>
        <w:shd w:val="clear"/>
        <w:rPr>
          <w:rFonts w:ascii="宋体" w:hAnsi="宋体"/>
          <w:color w:val="auto"/>
          <w:sz w:val="28"/>
          <w:szCs w:val="24"/>
          <w:highlight w:val="none"/>
        </w:rPr>
      </w:pPr>
    </w:p>
    <w:p>
      <w:pPr>
        <w:pStyle w:val="27"/>
        <w:shd w:val="clear"/>
        <w:outlineLvl w:val="9"/>
        <w:rPr>
          <w:rFonts w:ascii="宋体" w:hAnsi="宋体"/>
          <w:color w:val="auto"/>
          <w:sz w:val="28"/>
          <w:szCs w:val="24"/>
          <w:highlight w:val="none"/>
        </w:rPr>
      </w:pPr>
    </w:p>
    <w:p>
      <w:pPr>
        <w:shd w:val="clea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投标单位名称：                      投标单位法人盖章：</w:t>
      </w:r>
    </w:p>
    <w:p>
      <w:pPr>
        <w:shd w:val="clear"/>
        <w:spacing w:line="360" w:lineRule="auto"/>
        <w:ind w:firstLine="480"/>
        <w:rPr>
          <w:rFonts w:ascii="宋体" w:hAnsi="宋体"/>
          <w:color w:val="auto"/>
          <w:sz w:val="24"/>
          <w:szCs w:val="24"/>
          <w:highlight w:val="none"/>
        </w:rPr>
      </w:pPr>
    </w:p>
    <w:p>
      <w:pPr>
        <w:shd w:val="clea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法定代表（或授权代表）签字：</w:t>
      </w:r>
    </w:p>
    <w:p>
      <w:pPr>
        <w:shd w:val="clear"/>
        <w:spacing w:line="360" w:lineRule="auto"/>
        <w:ind w:firstLine="480"/>
        <w:rPr>
          <w:rFonts w:ascii="宋体" w:hAnsi="宋体"/>
          <w:color w:val="auto"/>
          <w:sz w:val="24"/>
          <w:szCs w:val="24"/>
          <w:highlight w:val="none"/>
        </w:rPr>
      </w:pPr>
    </w:p>
    <w:p>
      <w:pPr>
        <w:shd w:val="clear"/>
        <w:spacing w:line="360" w:lineRule="auto"/>
        <w:jc w:val="right"/>
        <w:rPr>
          <w:rFonts w:ascii="宋体" w:hAnsi="宋体"/>
          <w:color w:val="auto"/>
          <w:sz w:val="28"/>
          <w:highlight w:val="none"/>
        </w:rPr>
      </w:pPr>
      <w:r>
        <w:rPr>
          <w:rFonts w:hint="eastAsia" w:ascii="宋体" w:hAnsi="宋体"/>
          <w:color w:val="auto"/>
          <w:sz w:val="24"/>
          <w:szCs w:val="24"/>
          <w:highlight w:val="none"/>
        </w:rPr>
        <w:t>日期：   年   月   日</w:t>
      </w:r>
    </w:p>
    <w:p>
      <w:pPr>
        <w:pStyle w:val="18"/>
        <w:shd w:val="clear"/>
        <w:spacing w:before="120" w:line="360" w:lineRule="auto"/>
        <w:ind w:firstLine="405"/>
        <w:rPr>
          <w:rFonts w:ascii="宋体" w:hAnsi="宋体"/>
          <w:color w:val="auto"/>
          <w:sz w:val="28"/>
          <w:szCs w:val="24"/>
          <w:highlight w:val="none"/>
        </w:rPr>
      </w:pPr>
    </w:p>
    <w:p>
      <w:pPr>
        <w:pStyle w:val="3"/>
        <w:shd w:val="clear"/>
        <w:rPr>
          <w:rFonts w:ascii="宋体" w:hAnsi="宋体"/>
          <w:color w:val="auto"/>
          <w:szCs w:val="24"/>
          <w:highlight w:val="none"/>
        </w:rPr>
      </w:pPr>
    </w:p>
    <w:p>
      <w:pPr>
        <w:shd w:val="clear"/>
        <w:rPr>
          <w:color w:val="auto"/>
          <w:highlight w:val="none"/>
        </w:rPr>
      </w:pPr>
    </w:p>
    <w:p>
      <w:pPr>
        <w:pStyle w:val="33"/>
        <w:shd w:val="clear"/>
        <w:jc w:val="center"/>
        <w:outlineLvl w:val="0"/>
        <w:rPr>
          <w:rFonts w:ascii="宋体" w:hAnsi="宋体" w:cs="宋体"/>
          <w:color w:val="auto"/>
          <w:highlight w:val="none"/>
        </w:rPr>
      </w:pPr>
      <w:bookmarkStart w:id="150" w:name="_Toc9429"/>
      <w:bookmarkStart w:id="151" w:name="_Toc2503"/>
      <w:bookmarkStart w:id="152" w:name="_Toc16231"/>
      <w:bookmarkStart w:id="153" w:name="_Toc24633"/>
      <w:r>
        <w:rPr>
          <w:rFonts w:hint="eastAsia" w:ascii="宋体" w:hAnsi="宋体" w:cs="宋体"/>
          <w:b/>
          <w:bCs/>
          <w:color w:val="auto"/>
          <w:sz w:val="36"/>
          <w:highlight w:val="none"/>
        </w:rPr>
        <w:t>附件9：具有履行合同所必需的设备和专业技术能力承诺函</w:t>
      </w:r>
      <w:bookmarkEnd w:id="150"/>
      <w:bookmarkEnd w:id="151"/>
      <w:bookmarkEnd w:id="152"/>
      <w:bookmarkEnd w:id="153"/>
    </w:p>
    <w:p>
      <w:pPr>
        <w:shd w:val="clear"/>
        <w:spacing w:line="480" w:lineRule="auto"/>
        <w:rPr>
          <w:rFonts w:hAnsi="宋体" w:cs="宋体"/>
          <w:color w:val="auto"/>
          <w:sz w:val="24"/>
          <w:szCs w:val="24"/>
          <w:highlight w:val="none"/>
        </w:rPr>
      </w:pPr>
    </w:p>
    <w:p>
      <w:pPr>
        <w:shd w:val="clear"/>
        <w:spacing w:line="480" w:lineRule="auto"/>
        <w:rPr>
          <w:rFonts w:hAnsi="宋体" w:cs="宋体"/>
          <w:color w:val="auto"/>
          <w:sz w:val="24"/>
          <w:szCs w:val="24"/>
          <w:highlight w:val="none"/>
        </w:rPr>
      </w:pPr>
      <w:r>
        <w:rPr>
          <w:rFonts w:hint="eastAsia" w:hAnsi="宋体" w:cs="宋体"/>
          <w:color w:val="auto"/>
          <w:sz w:val="24"/>
          <w:szCs w:val="24"/>
          <w:highlight w:val="none"/>
        </w:rPr>
        <w:t>华诚博远工程咨询有限公司：</w:t>
      </w:r>
    </w:p>
    <w:p>
      <w:pPr>
        <w:shd w:val="clear"/>
        <w:spacing w:line="48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本单位</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（公司名称）参加</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（项目名称）的</w:t>
      </w:r>
      <w:r>
        <w:rPr>
          <w:rFonts w:hint="eastAsia" w:hAnsi="宋体" w:cs="宋体"/>
          <w:color w:val="auto"/>
          <w:sz w:val="24"/>
          <w:szCs w:val="28"/>
          <w:highlight w:val="none"/>
        </w:rPr>
        <w:t>采购</w:t>
      </w:r>
      <w:r>
        <w:rPr>
          <w:rFonts w:hint="eastAsia" w:hAnsi="宋体" w:cs="宋体"/>
          <w:color w:val="auto"/>
          <w:sz w:val="24"/>
          <w:szCs w:val="24"/>
          <w:highlight w:val="none"/>
        </w:rPr>
        <w:t>活动，现承诺我公司具有履行合同所必需的设备和专业技术能力。</w:t>
      </w:r>
    </w:p>
    <w:p>
      <w:pPr>
        <w:shd w:val="clear"/>
        <w:spacing w:line="48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本公司对上述承诺内容事项真实性负责。如经查实上述承诺的内容事项存在虚假，我公司愿意接受以提供虚假材料谋取中标追究法律责任。</w:t>
      </w:r>
    </w:p>
    <w:p>
      <w:pPr>
        <w:pStyle w:val="10"/>
        <w:shd w:val="clear"/>
        <w:rPr>
          <w:rFonts w:hAnsi="宋体" w:cs="宋体"/>
          <w:color w:val="auto"/>
          <w:sz w:val="24"/>
          <w:szCs w:val="24"/>
          <w:highlight w:val="none"/>
        </w:rPr>
      </w:pPr>
    </w:p>
    <w:p>
      <w:pPr>
        <w:shd w:val="clear"/>
        <w:rPr>
          <w:rFonts w:hAnsi="宋体" w:cs="宋体"/>
          <w:color w:val="auto"/>
          <w:sz w:val="24"/>
          <w:szCs w:val="24"/>
          <w:highlight w:val="none"/>
        </w:rPr>
      </w:pPr>
    </w:p>
    <w:p>
      <w:pPr>
        <w:pStyle w:val="10"/>
        <w:shd w:val="clear"/>
        <w:rPr>
          <w:rFonts w:hAnsi="宋体" w:cs="宋体"/>
          <w:color w:val="auto"/>
          <w:sz w:val="24"/>
          <w:szCs w:val="24"/>
          <w:highlight w:val="none"/>
        </w:rPr>
      </w:pPr>
    </w:p>
    <w:p>
      <w:pPr>
        <w:shd w:val="clear"/>
        <w:rPr>
          <w:color w:val="auto"/>
          <w:highlight w:val="none"/>
        </w:rPr>
      </w:pPr>
    </w:p>
    <w:p>
      <w:pPr>
        <w:shd w:val="clear"/>
        <w:spacing w:line="276" w:lineRule="auto"/>
        <w:ind w:firstLine="480" w:firstLineChars="200"/>
        <w:rPr>
          <w:rFonts w:hAnsi="宋体" w:cs="宋体"/>
          <w:color w:val="auto"/>
          <w:sz w:val="24"/>
          <w:highlight w:val="none"/>
        </w:rPr>
      </w:pPr>
    </w:p>
    <w:p>
      <w:pPr>
        <w:shd w:val="clea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投标单位名称：                      投标单位法人盖章：</w:t>
      </w:r>
    </w:p>
    <w:p>
      <w:pPr>
        <w:shd w:val="clear"/>
        <w:spacing w:line="360" w:lineRule="auto"/>
        <w:ind w:firstLine="480"/>
        <w:rPr>
          <w:rFonts w:ascii="宋体" w:hAnsi="宋体"/>
          <w:color w:val="auto"/>
          <w:sz w:val="24"/>
          <w:szCs w:val="24"/>
          <w:highlight w:val="none"/>
        </w:rPr>
      </w:pPr>
    </w:p>
    <w:p>
      <w:pPr>
        <w:shd w:val="clea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法定代表（或授权代表）签字：</w:t>
      </w:r>
    </w:p>
    <w:p>
      <w:pPr>
        <w:shd w:val="clear"/>
        <w:spacing w:line="360" w:lineRule="auto"/>
        <w:ind w:firstLine="480"/>
        <w:rPr>
          <w:rFonts w:ascii="宋体" w:hAnsi="宋体"/>
          <w:color w:val="auto"/>
          <w:sz w:val="24"/>
          <w:szCs w:val="24"/>
          <w:highlight w:val="none"/>
        </w:rPr>
      </w:pPr>
    </w:p>
    <w:p>
      <w:pPr>
        <w:shd w:val="clear"/>
        <w:spacing w:line="360" w:lineRule="auto"/>
        <w:jc w:val="right"/>
        <w:rPr>
          <w:rFonts w:ascii="宋体" w:hAnsi="宋体"/>
          <w:color w:val="auto"/>
          <w:sz w:val="28"/>
          <w:highlight w:val="none"/>
        </w:rPr>
      </w:pPr>
      <w:r>
        <w:rPr>
          <w:rFonts w:hint="eastAsia" w:ascii="宋体" w:hAnsi="宋体"/>
          <w:color w:val="auto"/>
          <w:sz w:val="24"/>
          <w:szCs w:val="24"/>
          <w:highlight w:val="none"/>
        </w:rPr>
        <w:t>日期：   年   月   日</w:t>
      </w:r>
    </w:p>
    <w:p>
      <w:pPr>
        <w:pStyle w:val="10"/>
        <w:shd w:val="clear"/>
        <w:rPr>
          <w:rFonts w:ascii="宋体" w:hAnsi="宋体"/>
          <w:color w:val="auto"/>
          <w:sz w:val="28"/>
          <w:szCs w:val="24"/>
          <w:highlight w:val="none"/>
        </w:rPr>
      </w:pPr>
    </w:p>
    <w:p>
      <w:pPr>
        <w:shd w:val="clear"/>
        <w:rPr>
          <w:rFonts w:ascii="宋体" w:hAnsi="宋体"/>
          <w:color w:val="auto"/>
          <w:sz w:val="28"/>
          <w:szCs w:val="24"/>
          <w:highlight w:val="none"/>
        </w:rPr>
      </w:pPr>
    </w:p>
    <w:p>
      <w:pPr>
        <w:pStyle w:val="10"/>
        <w:shd w:val="clear"/>
        <w:rPr>
          <w:rFonts w:ascii="宋体" w:hAnsi="宋体"/>
          <w:color w:val="auto"/>
          <w:sz w:val="28"/>
          <w:szCs w:val="24"/>
          <w:highlight w:val="none"/>
        </w:rPr>
      </w:pPr>
    </w:p>
    <w:p>
      <w:pPr>
        <w:shd w:val="clear"/>
        <w:rPr>
          <w:rFonts w:ascii="宋体" w:hAnsi="宋体"/>
          <w:color w:val="auto"/>
          <w:sz w:val="28"/>
          <w:szCs w:val="24"/>
          <w:highlight w:val="none"/>
        </w:rPr>
      </w:pPr>
    </w:p>
    <w:p>
      <w:pPr>
        <w:pStyle w:val="10"/>
        <w:shd w:val="clear"/>
        <w:rPr>
          <w:rFonts w:ascii="宋体" w:hAnsi="宋体"/>
          <w:color w:val="auto"/>
          <w:sz w:val="28"/>
          <w:szCs w:val="24"/>
          <w:highlight w:val="none"/>
        </w:rPr>
      </w:pPr>
    </w:p>
    <w:p>
      <w:pPr>
        <w:shd w:val="clear"/>
        <w:rPr>
          <w:rFonts w:ascii="宋体" w:hAnsi="宋体"/>
          <w:color w:val="auto"/>
          <w:sz w:val="28"/>
          <w:szCs w:val="24"/>
          <w:highlight w:val="none"/>
        </w:rPr>
      </w:pPr>
    </w:p>
    <w:p>
      <w:pPr>
        <w:pStyle w:val="10"/>
        <w:shd w:val="clear"/>
        <w:rPr>
          <w:rFonts w:ascii="宋体" w:hAnsi="宋体"/>
          <w:color w:val="auto"/>
          <w:sz w:val="28"/>
          <w:szCs w:val="24"/>
          <w:highlight w:val="none"/>
        </w:rPr>
      </w:pPr>
    </w:p>
    <w:p>
      <w:pPr>
        <w:shd w:val="clear"/>
        <w:rPr>
          <w:rFonts w:ascii="宋体" w:hAnsi="宋体"/>
          <w:color w:val="auto"/>
          <w:sz w:val="28"/>
          <w:szCs w:val="24"/>
          <w:highlight w:val="none"/>
        </w:rPr>
      </w:pPr>
    </w:p>
    <w:p>
      <w:pPr>
        <w:pStyle w:val="10"/>
        <w:shd w:val="clear"/>
        <w:rPr>
          <w:rFonts w:ascii="宋体" w:hAnsi="宋体"/>
          <w:color w:val="auto"/>
          <w:sz w:val="28"/>
          <w:szCs w:val="24"/>
          <w:highlight w:val="none"/>
        </w:rPr>
      </w:pPr>
    </w:p>
    <w:p>
      <w:pPr>
        <w:shd w:val="clear"/>
        <w:rPr>
          <w:rFonts w:ascii="宋体" w:hAnsi="宋体"/>
          <w:color w:val="auto"/>
          <w:sz w:val="28"/>
          <w:szCs w:val="24"/>
          <w:highlight w:val="none"/>
        </w:rPr>
      </w:pPr>
    </w:p>
    <w:p>
      <w:pPr>
        <w:pStyle w:val="10"/>
        <w:shd w:val="clear"/>
        <w:rPr>
          <w:rFonts w:ascii="宋体" w:hAnsi="宋体"/>
          <w:color w:val="auto"/>
          <w:sz w:val="28"/>
          <w:szCs w:val="24"/>
          <w:highlight w:val="none"/>
        </w:rPr>
      </w:pPr>
    </w:p>
    <w:p>
      <w:pPr>
        <w:shd w:val="clear"/>
        <w:rPr>
          <w:rFonts w:ascii="宋体" w:hAnsi="宋体"/>
          <w:color w:val="auto"/>
          <w:sz w:val="28"/>
          <w:szCs w:val="24"/>
          <w:highlight w:val="none"/>
        </w:rPr>
      </w:pPr>
    </w:p>
    <w:p>
      <w:pPr>
        <w:pStyle w:val="9"/>
        <w:shd w:val="clear"/>
        <w:rPr>
          <w:rFonts w:ascii="宋体" w:hAnsi="宋体"/>
          <w:color w:val="auto"/>
          <w:sz w:val="28"/>
          <w:szCs w:val="24"/>
          <w:highlight w:val="none"/>
        </w:rPr>
      </w:pPr>
    </w:p>
    <w:p>
      <w:pPr>
        <w:shd w:val="clear"/>
        <w:rPr>
          <w:rFonts w:ascii="宋体" w:hAnsi="宋体"/>
          <w:color w:val="auto"/>
          <w:sz w:val="28"/>
          <w:szCs w:val="24"/>
          <w:highlight w:val="none"/>
        </w:rPr>
      </w:pPr>
    </w:p>
    <w:p>
      <w:pPr>
        <w:pStyle w:val="7"/>
        <w:shd w:val="clear"/>
        <w:ind w:firstLine="0" w:firstLineChars="0"/>
        <w:jc w:val="center"/>
        <w:outlineLvl w:val="0"/>
        <w:rPr>
          <w:rFonts w:ascii="宋体" w:hAnsi="宋体" w:cs="宋体"/>
          <w:b/>
          <w:bCs/>
          <w:color w:val="auto"/>
          <w:kern w:val="0"/>
          <w:sz w:val="36"/>
          <w:szCs w:val="20"/>
          <w:highlight w:val="none"/>
        </w:rPr>
      </w:pPr>
      <w:bookmarkStart w:id="154" w:name="_Toc7874"/>
      <w:bookmarkStart w:id="155" w:name="_Toc20166"/>
      <w:r>
        <w:rPr>
          <w:rFonts w:hint="eastAsia" w:ascii="宋体" w:hAnsi="宋体" w:cs="宋体"/>
          <w:b/>
          <w:bCs/>
          <w:color w:val="auto"/>
          <w:kern w:val="0"/>
          <w:sz w:val="36"/>
          <w:szCs w:val="20"/>
          <w:highlight w:val="none"/>
        </w:rPr>
        <w:t>附件10：参加政府采购活动前 3 年内在经营活动中没有重大违法记录的书面声明</w:t>
      </w:r>
      <w:bookmarkEnd w:id="154"/>
      <w:bookmarkEnd w:id="155"/>
    </w:p>
    <w:p>
      <w:pPr>
        <w:pStyle w:val="2"/>
        <w:shd w:val="clear"/>
        <w:rPr>
          <w:color w:val="auto"/>
          <w:highlight w:val="none"/>
        </w:rPr>
      </w:pPr>
    </w:p>
    <w:p>
      <w:pPr>
        <w:shd w:val="clear"/>
        <w:spacing w:beforeLines="50" w:afterLines="50" w:line="300" w:lineRule="auto"/>
        <w:rPr>
          <w:rFonts w:ascii="宋体" w:hAnsi="宋体" w:cs="宋体"/>
          <w:bCs/>
          <w:color w:val="auto"/>
          <w:sz w:val="24"/>
          <w:szCs w:val="24"/>
          <w:highlight w:val="none"/>
        </w:rPr>
      </w:pPr>
      <w:r>
        <w:rPr>
          <w:rFonts w:hint="eastAsia" w:ascii="宋体" w:hAnsi="宋体" w:cs="宋体"/>
          <w:bCs/>
          <w:color w:val="auto"/>
          <w:sz w:val="24"/>
          <w:szCs w:val="24"/>
          <w:highlight w:val="none"/>
        </w:rPr>
        <w:t>我单位郑重声明：参加本次政府采购活动前 3 年内，我单位在经营活动中没有因违法经营受到刑事处罚或者责令停产停业、吊销许可证或者执照、较大数额罚款等行政处罚。</w:t>
      </w:r>
    </w:p>
    <w:p>
      <w:pPr>
        <w:shd w:val="clear"/>
        <w:spacing w:beforeLines="50" w:afterLines="50" w:line="300" w:lineRule="auto"/>
        <w:rPr>
          <w:rFonts w:ascii="宋体" w:hAnsi="宋体" w:cs="宋体"/>
          <w:bCs/>
          <w:color w:val="auto"/>
          <w:sz w:val="24"/>
          <w:szCs w:val="24"/>
          <w:highlight w:val="none"/>
        </w:rPr>
      </w:pPr>
    </w:p>
    <w:p>
      <w:pPr>
        <w:pStyle w:val="34"/>
        <w:shd w:val="clear"/>
        <w:spacing w:beforeLines="50" w:afterLines="50" w:line="300" w:lineRule="auto"/>
        <w:ind w:left="420" w:leftChars="200" w:firstLine="5280" w:firstLineChars="2200"/>
        <w:rPr>
          <w:rFonts w:ascii="宋体" w:hAnsi="宋体" w:cs="宋体"/>
          <w:color w:val="auto"/>
          <w:kern w:val="2"/>
          <w:szCs w:val="24"/>
          <w:highlight w:val="none"/>
        </w:rPr>
      </w:pPr>
      <w:r>
        <w:rPr>
          <w:rFonts w:hint="eastAsia" w:ascii="宋体" w:hAnsi="宋体" w:cs="宋体"/>
          <w:color w:val="auto"/>
          <w:kern w:val="2"/>
          <w:szCs w:val="24"/>
          <w:highlight w:val="none"/>
        </w:rPr>
        <w:t xml:space="preserve">供应商名称（盖章）： </w:t>
      </w:r>
    </w:p>
    <w:p>
      <w:pPr>
        <w:shd w:val="clear"/>
        <w:spacing w:beforeLines="50" w:afterLines="50" w:line="300" w:lineRule="auto"/>
        <w:ind w:firstLine="5760" w:firstLineChars="2400"/>
        <w:rPr>
          <w:rFonts w:ascii="宋体" w:hAnsi="宋体" w:cs="宋体"/>
          <w:bCs/>
          <w:color w:val="auto"/>
          <w:sz w:val="24"/>
          <w:szCs w:val="24"/>
          <w:highlight w:val="none"/>
        </w:rPr>
      </w:pPr>
      <w:r>
        <w:rPr>
          <w:rFonts w:hint="eastAsia" w:ascii="宋体" w:hAnsi="宋体" w:cs="宋体"/>
          <w:color w:val="auto"/>
          <w:sz w:val="24"/>
          <w:szCs w:val="24"/>
          <w:highlight w:val="none"/>
        </w:rPr>
        <w:t>______年____月____日</w:t>
      </w:r>
    </w:p>
    <w:p>
      <w:pPr>
        <w:pStyle w:val="9"/>
        <w:shd w:val="clear"/>
        <w:rPr>
          <w:color w:val="auto"/>
          <w:highlight w:val="none"/>
        </w:rPr>
      </w:pPr>
    </w:p>
    <w:p>
      <w:pPr>
        <w:shd w:val="clear"/>
        <w:rPr>
          <w:color w:val="auto"/>
          <w:highlight w:val="none"/>
        </w:rPr>
      </w:pPr>
    </w:p>
    <w:p>
      <w:pPr>
        <w:pStyle w:val="9"/>
        <w:shd w:val="clear"/>
        <w:rPr>
          <w:color w:val="auto"/>
          <w:highlight w:val="none"/>
        </w:rPr>
      </w:pPr>
    </w:p>
    <w:p>
      <w:pPr>
        <w:shd w:val="clear"/>
        <w:rPr>
          <w:color w:val="auto"/>
          <w:highlight w:val="none"/>
        </w:rPr>
      </w:pPr>
    </w:p>
    <w:p>
      <w:pPr>
        <w:pStyle w:val="27"/>
        <w:shd w:val="clear"/>
        <w:outlineLvl w:val="9"/>
        <w:rPr>
          <w:color w:val="auto"/>
          <w:highlight w:val="none"/>
        </w:rPr>
      </w:pPr>
    </w:p>
    <w:p>
      <w:pPr>
        <w:pStyle w:val="3"/>
        <w:shd w:val="clear"/>
        <w:rPr>
          <w:color w:val="auto"/>
          <w:highlight w:val="none"/>
        </w:rPr>
      </w:pPr>
    </w:p>
    <w:p>
      <w:pPr>
        <w:shd w:val="clear"/>
        <w:rPr>
          <w:color w:val="auto"/>
          <w:highlight w:val="none"/>
        </w:rPr>
      </w:pPr>
    </w:p>
    <w:p>
      <w:pPr>
        <w:pStyle w:val="27"/>
        <w:shd w:val="clear"/>
        <w:outlineLvl w:val="9"/>
        <w:rPr>
          <w:color w:val="auto"/>
          <w:highlight w:val="none"/>
        </w:rPr>
      </w:pPr>
    </w:p>
    <w:p>
      <w:pPr>
        <w:pStyle w:val="3"/>
        <w:shd w:val="clear"/>
        <w:rPr>
          <w:color w:val="auto"/>
          <w:highlight w:val="none"/>
        </w:rPr>
      </w:pPr>
    </w:p>
    <w:p>
      <w:pPr>
        <w:shd w:val="clear"/>
        <w:rPr>
          <w:color w:val="auto"/>
          <w:highlight w:val="none"/>
        </w:rPr>
      </w:pPr>
    </w:p>
    <w:p>
      <w:pPr>
        <w:pStyle w:val="16"/>
        <w:shd w:val="clear"/>
        <w:rPr>
          <w:color w:val="auto"/>
          <w:highlight w:val="none"/>
        </w:rPr>
      </w:pPr>
    </w:p>
    <w:p>
      <w:pPr>
        <w:shd w:val="clear"/>
        <w:rPr>
          <w:color w:val="auto"/>
          <w:highlight w:val="none"/>
        </w:rPr>
      </w:pPr>
    </w:p>
    <w:p>
      <w:pPr>
        <w:pStyle w:val="16"/>
        <w:shd w:val="clear"/>
        <w:rPr>
          <w:color w:val="auto"/>
          <w:highlight w:val="none"/>
        </w:rPr>
      </w:pPr>
    </w:p>
    <w:p>
      <w:pPr>
        <w:pStyle w:val="27"/>
        <w:shd w:val="clear"/>
        <w:outlineLvl w:val="9"/>
        <w:rPr>
          <w:color w:val="auto"/>
          <w:highlight w:val="none"/>
        </w:rPr>
      </w:pPr>
    </w:p>
    <w:p>
      <w:pPr>
        <w:pStyle w:val="3"/>
        <w:shd w:val="clear"/>
        <w:rPr>
          <w:color w:val="auto"/>
          <w:highlight w:val="none"/>
        </w:rPr>
      </w:pPr>
    </w:p>
    <w:p>
      <w:pPr>
        <w:shd w:val="clear"/>
        <w:rPr>
          <w:color w:val="auto"/>
          <w:highlight w:val="none"/>
        </w:rPr>
      </w:pPr>
    </w:p>
    <w:p>
      <w:pPr>
        <w:pStyle w:val="27"/>
        <w:shd w:val="clear"/>
        <w:outlineLvl w:val="9"/>
        <w:rPr>
          <w:color w:val="auto"/>
          <w:highlight w:val="none"/>
        </w:rPr>
      </w:pPr>
    </w:p>
    <w:p>
      <w:pPr>
        <w:pStyle w:val="3"/>
        <w:shd w:val="clear"/>
        <w:rPr>
          <w:color w:val="auto"/>
          <w:highlight w:val="none"/>
        </w:rPr>
      </w:pPr>
    </w:p>
    <w:p>
      <w:pPr>
        <w:shd w:val="clear"/>
        <w:rPr>
          <w:color w:val="auto"/>
          <w:highlight w:val="none"/>
        </w:rPr>
      </w:pPr>
    </w:p>
    <w:p>
      <w:pPr>
        <w:widowControl/>
        <w:shd w:val="clear"/>
        <w:spacing w:before="100" w:beforeAutospacing="1" w:after="100" w:afterAutospacing="1" w:line="360" w:lineRule="auto"/>
        <w:jc w:val="center"/>
        <w:outlineLvl w:val="0"/>
        <w:rPr>
          <w:rFonts w:ascii="宋体" w:hAnsi="宋体" w:cs="宋体"/>
          <w:b/>
          <w:bCs/>
          <w:color w:val="auto"/>
          <w:sz w:val="30"/>
          <w:szCs w:val="30"/>
          <w:highlight w:val="none"/>
        </w:rPr>
      </w:pPr>
      <w:bookmarkStart w:id="156" w:name="_Toc31477"/>
      <w:bookmarkStart w:id="157" w:name="_Toc20114"/>
      <w:r>
        <w:rPr>
          <w:rFonts w:hint="eastAsia" w:ascii="宋体" w:hAnsi="宋体" w:cs="宋体"/>
          <w:b/>
          <w:bCs/>
          <w:color w:val="auto"/>
          <w:kern w:val="0"/>
          <w:sz w:val="36"/>
          <w:highlight w:val="none"/>
        </w:rPr>
        <w:t>附件11：报价方（供应商）反商业贿赂承诺书 </w:t>
      </w:r>
      <w:bookmarkEnd w:id="156"/>
      <w:bookmarkEnd w:id="157"/>
    </w:p>
    <w:p>
      <w:pPr>
        <w:widowControl/>
        <w:shd w:val="clear"/>
        <w:spacing w:before="100" w:beforeAutospacing="1" w:after="100" w:afterAutospacing="1" w:line="360" w:lineRule="auto"/>
        <w:jc w:val="left"/>
        <w:rPr>
          <w:rFonts w:ascii="宋体" w:hAnsi="宋体" w:cs="宋体"/>
          <w:color w:val="auto"/>
          <w:sz w:val="24"/>
          <w:highlight w:val="none"/>
        </w:rPr>
      </w:pPr>
      <w:r>
        <w:rPr>
          <w:rFonts w:hint="eastAsia" w:ascii="宋体" w:hAnsi="宋体" w:cs="宋体"/>
          <w:color w:val="auto"/>
          <w:sz w:val="24"/>
          <w:highlight w:val="none"/>
        </w:rPr>
        <w:t>我公司承诺在（项目编号、项目名称）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hd w:val="clear"/>
        <w:jc w:val="left"/>
        <w:rPr>
          <w:rFonts w:ascii="宋体" w:hAnsi="宋体" w:cs="宋体"/>
          <w:color w:val="auto"/>
          <w:sz w:val="24"/>
          <w:highlight w:val="none"/>
        </w:rPr>
      </w:pPr>
      <w:r>
        <w:rPr>
          <w:rFonts w:hint="eastAsia" w:ascii="宋体" w:hAnsi="宋体" w:cs="宋体"/>
          <w:color w:val="auto"/>
          <w:sz w:val="24"/>
          <w:highlight w:val="none"/>
        </w:rPr>
        <w:t xml:space="preserve">报价方（供应商）承诺书 </w:t>
      </w:r>
    </w:p>
    <w:p>
      <w:pPr>
        <w:widowControl/>
        <w:shd w:val="clear"/>
        <w:jc w:val="left"/>
        <w:rPr>
          <w:rFonts w:ascii="宋体" w:hAnsi="宋体" w:cs="宋体"/>
          <w:color w:val="auto"/>
          <w:sz w:val="24"/>
          <w:highlight w:val="none"/>
        </w:rPr>
      </w:pPr>
      <w:r>
        <w:rPr>
          <w:rFonts w:hint="eastAsia" w:ascii="宋体" w:hAnsi="宋体" w:cs="宋体"/>
          <w:color w:val="auto"/>
          <w:sz w:val="24"/>
          <w:highlight w:val="none"/>
        </w:rPr>
        <w:t>我公司承诺在参加本次报价前三年内，无以下行为：</w:t>
      </w:r>
    </w:p>
    <w:p>
      <w:pPr>
        <w:widowControl/>
        <w:shd w:val="clear"/>
        <w:jc w:val="left"/>
        <w:rPr>
          <w:rFonts w:ascii="宋体" w:hAnsi="宋体" w:cs="宋体"/>
          <w:color w:val="auto"/>
          <w:sz w:val="24"/>
          <w:highlight w:val="none"/>
        </w:rPr>
      </w:pPr>
      <w:r>
        <w:rPr>
          <w:rFonts w:hint="eastAsia" w:ascii="宋体" w:hAnsi="宋体" w:cs="宋体"/>
          <w:color w:val="auto"/>
          <w:sz w:val="24"/>
          <w:highlight w:val="none"/>
        </w:rPr>
        <w:t>1、重大违法行为；</w:t>
      </w:r>
    </w:p>
    <w:p>
      <w:pPr>
        <w:widowControl/>
        <w:shd w:val="clear"/>
        <w:jc w:val="left"/>
        <w:rPr>
          <w:rFonts w:ascii="宋体" w:hAnsi="宋体" w:cs="宋体"/>
          <w:color w:val="auto"/>
          <w:sz w:val="24"/>
          <w:highlight w:val="none"/>
        </w:rPr>
      </w:pPr>
      <w:r>
        <w:rPr>
          <w:rFonts w:hint="eastAsia" w:ascii="宋体" w:hAnsi="宋体" w:cs="宋体"/>
          <w:color w:val="auto"/>
          <w:sz w:val="24"/>
          <w:highlight w:val="none"/>
        </w:rPr>
        <w:t>2、商业贿赂行为；</w:t>
      </w:r>
    </w:p>
    <w:p>
      <w:pPr>
        <w:widowControl/>
        <w:shd w:val="clear"/>
        <w:jc w:val="left"/>
        <w:rPr>
          <w:rFonts w:ascii="宋体" w:hAnsi="宋体" w:cs="宋体"/>
          <w:color w:val="auto"/>
          <w:sz w:val="24"/>
          <w:highlight w:val="none"/>
        </w:rPr>
      </w:pPr>
      <w:r>
        <w:rPr>
          <w:rFonts w:hint="eastAsia" w:ascii="宋体" w:hAnsi="宋体" w:cs="宋体"/>
          <w:color w:val="auto"/>
          <w:sz w:val="24"/>
          <w:highlight w:val="none"/>
        </w:rPr>
        <w:t>3、政府采购法《第七十七条》，列入不良行为记录名单的各种行为；</w:t>
      </w:r>
    </w:p>
    <w:p>
      <w:pPr>
        <w:widowControl/>
        <w:shd w:val="clear"/>
        <w:jc w:val="left"/>
        <w:rPr>
          <w:rFonts w:ascii="宋体" w:hAnsi="宋体" w:cs="宋体"/>
          <w:color w:val="auto"/>
          <w:sz w:val="24"/>
          <w:highlight w:val="none"/>
        </w:rPr>
      </w:pPr>
      <w:r>
        <w:rPr>
          <w:rFonts w:hint="eastAsia" w:ascii="宋体" w:hAnsi="宋体" w:cs="宋体"/>
          <w:color w:val="auto"/>
          <w:sz w:val="24"/>
          <w:highlight w:val="none"/>
        </w:rPr>
        <w:t xml:space="preserve">如有上述行为，我公司及项目参与人员自愿放弃本次项目的报价资格，若为成交人，也自愿放弃成交资格。 </w:t>
      </w:r>
    </w:p>
    <w:p>
      <w:pPr>
        <w:pStyle w:val="21"/>
        <w:shd w:val="clear"/>
        <w:ind w:firstLine="0"/>
        <w:rPr>
          <w:rFonts w:hAnsi="宋体" w:cs="宋体"/>
          <w:color w:val="auto"/>
          <w:sz w:val="24"/>
          <w:highlight w:val="none"/>
        </w:rPr>
      </w:pPr>
    </w:p>
    <w:p>
      <w:pPr>
        <w:shd w:val="clea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投标单位名称：                     投标单位法人盖章：</w:t>
      </w:r>
    </w:p>
    <w:p>
      <w:pPr>
        <w:shd w:val="clear"/>
        <w:spacing w:line="360" w:lineRule="auto"/>
        <w:ind w:firstLine="480"/>
        <w:rPr>
          <w:rFonts w:ascii="宋体" w:hAnsi="宋体"/>
          <w:color w:val="auto"/>
          <w:sz w:val="24"/>
          <w:szCs w:val="24"/>
          <w:highlight w:val="none"/>
        </w:rPr>
      </w:pPr>
    </w:p>
    <w:p>
      <w:pPr>
        <w:shd w:val="clea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法定代表（或授权代表）签字：</w:t>
      </w:r>
    </w:p>
    <w:p>
      <w:pPr>
        <w:shd w:val="clear"/>
        <w:spacing w:line="360" w:lineRule="auto"/>
        <w:ind w:firstLine="480"/>
        <w:rPr>
          <w:rFonts w:ascii="宋体" w:hAnsi="宋体"/>
          <w:color w:val="auto"/>
          <w:sz w:val="24"/>
          <w:szCs w:val="24"/>
          <w:highlight w:val="none"/>
        </w:rPr>
      </w:pPr>
    </w:p>
    <w:p>
      <w:pPr>
        <w:shd w:val="clear"/>
        <w:spacing w:line="360" w:lineRule="auto"/>
        <w:jc w:val="right"/>
        <w:rPr>
          <w:rFonts w:ascii="宋体" w:hAnsi="宋体"/>
          <w:color w:val="auto"/>
          <w:sz w:val="28"/>
          <w:highlight w:val="none"/>
        </w:rPr>
      </w:pPr>
      <w:r>
        <w:rPr>
          <w:rFonts w:hint="eastAsia" w:ascii="宋体" w:hAnsi="宋体"/>
          <w:color w:val="auto"/>
          <w:sz w:val="24"/>
          <w:szCs w:val="24"/>
          <w:highlight w:val="none"/>
        </w:rPr>
        <w:t>日期：   年   月   日</w:t>
      </w:r>
    </w:p>
    <w:p>
      <w:pPr>
        <w:pStyle w:val="27"/>
        <w:shd w:val="clear"/>
        <w:outlineLvl w:val="9"/>
        <w:rPr>
          <w:color w:val="auto"/>
          <w:highlight w:val="none"/>
        </w:rPr>
      </w:pPr>
    </w:p>
    <w:p>
      <w:pPr>
        <w:shd w:val="clear"/>
        <w:rPr>
          <w:color w:val="auto"/>
          <w:highlight w:val="none"/>
        </w:rPr>
      </w:pPr>
    </w:p>
    <w:p>
      <w:pPr>
        <w:pStyle w:val="27"/>
        <w:shd w:val="clear"/>
        <w:outlineLvl w:val="9"/>
        <w:rPr>
          <w:color w:val="auto"/>
          <w:highlight w:val="none"/>
        </w:rPr>
      </w:pPr>
    </w:p>
    <w:p>
      <w:pPr>
        <w:pStyle w:val="3"/>
        <w:shd w:val="clear"/>
        <w:rPr>
          <w:color w:val="auto"/>
          <w:highlight w:val="none"/>
        </w:rPr>
      </w:pPr>
    </w:p>
    <w:p>
      <w:pPr>
        <w:shd w:val="clear"/>
        <w:rPr>
          <w:color w:val="auto"/>
          <w:highlight w:val="none"/>
        </w:rPr>
      </w:pPr>
    </w:p>
    <w:p>
      <w:pPr>
        <w:pStyle w:val="27"/>
        <w:shd w:val="clear"/>
        <w:outlineLvl w:val="9"/>
        <w:rPr>
          <w:color w:val="auto"/>
          <w:highlight w:val="none"/>
        </w:rPr>
      </w:pPr>
    </w:p>
    <w:p>
      <w:pPr>
        <w:pStyle w:val="3"/>
        <w:shd w:val="clear"/>
        <w:rPr>
          <w:color w:val="auto"/>
          <w:highlight w:val="none"/>
        </w:rPr>
      </w:pPr>
    </w:p>
    <w:p>
      <w:pPr>
        <w:shd w:val="clear"/>
        <w:rPr>
          <w:color w:val="auto"/>
          <w:highlight w:val="none"/>
        </w:rPr>
      </w:pPr>
    </w:p>
    <w:p>
      <w:pPr>
        <w:shd w:val="clear"/>
        <w:rPr>
          <w:rFonts w:ascii="宋体" w:hAnsi="宋体"/>
          <w:color w:val="auto"/>
          <w:sz w:val="28"/>
          <w:szCs w:val="24"/>
          <w:highlight w:val="none"/>
        </w:rPr>
      </w:pPr>
    </w:p>
    <w:p>
      <w:pPr>
        <w:pStyle w:val="17"/>
        <w:shd w:val="clear"/>
        <w:outlineLvl w:val="0"/>
        <w:rPr>
          <w:rFonts w:hint="eastAsia" w:ascii="宋体" w:hAnsi="宋体" w:eastAsia="宋体" w:cs="宋体"/>
          <w:color w:val="auto"/>
          <w:kern w:val="0"/>
          <w:sz w:val="36"/>
          <w:szCs w:val="20"/>
          <w:highlight w:val="none"/>
        </w:rPr>
      </w:pPr>
      <w:bookmarkStart w:id="158" w:name="_Toc7370"/>
      <w:bookmarkStart w:id="159" w:name="_Toc8786"/>
      <w:bookmarkStart w:id="160" w:name="_Toc7855"/>
      <w:bookmarkStart w:id="161" w:name="_Toc9909"/>
    </w:p>
    <w:p>
      <w:pPr>
        <w:pStyle w:val="17"/>
        <w:shd w:val="clear"/>
        <w:outlineLvl w:val="0"/>
        <w:rPr>
          <w:rFonts w:ascii="宋体" w:hAnsi="宋体" w:eastAsia="宋体" w:cs="宋体"/>
          <w:color w:val="auto"/>
          <w:kern w:val="0"/>
          <w:sz w:val="36"/>
          <w:szCs w:val="20"/>
          <w:highlight w:val="none"/>
        </w:rPr>
      </w:pPr>
      <w:r>
        <w:rPr>
          <w:rFonts w:hint="eastAsia" w:ascii="宋体" w:hAnsi="宋体" w:eastAsia="宋体" w:cs="宋体"/>
          <w:color w:val="auto"/>
          <w:kern w:val="0"/>
          <w:sz w:val="36"/>
          <w:szCs w:val="20"/>
          <w:highlight w:val="none"/>
        </w:rPr>
        <w:t>附件12、中小企业声明函</w:t>
      </w:r>
      <w:bookmarkEnd w:id="158"/>
      <w:bookmarkEnd w:id="159"/>
      <w:bookmarkEnd w:id="160"/>
      <w:bookmarkEnd w:id="161"/>
    </w:p>
    <w:p>
      <w:pPr>
        <w:shd w:val="clear"/>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本公司(联合体)郑重声明,根据《政府采购促进中小企业发展管理办法》(财库(2020)46号)的规定,本公司(联合体)参加</w:t>
      </w:r>
      <w:r>
        <w:rPr>
          <w:rFonts w:hint="eastAsia" w:hAnsi="宋体" w:cs="宋体"/>
          <w:color w:val="auto"/>
          <w:sz w:val="24"/>
          <w:szCs w:val="24"/>
          <w:highlight w:val="none"/>
          <w:u w:val="single"/>
        </w:rPr>
        <w:t>(单位名称)</w:t>
      </w:r>
      <w:r>
        <w:rPr>
          <w:rFonts w:hint="eastAsia" w:hAnsi="宋体" w:cs="宋体"/>
          <w:color w:val="auto"/>
          <w:sz w:val="24"/>
          <w:szCs w:val="24"/>
          <w:highlight w:val="none"/>
        </w:rPr>
        <w:t>的</w:t>
      </w:r>
      <w:r>
        <w:rPr>
          <w:rFonts w:hint="eastAsia" w:hAnsi="宋体" w:cs="宋体"/>
          <w:color w:val="auto"/>
          <w:sz w:val="24"/>
          <w:szCs w:val="24"/>
          <w:highlight w:val="none"/>
          <w:u w:val="single"/>
        </w:rPr>
        <w:t>(项目名称)</w:t>
      </w:r>
      <w:r>
        <w:rPr>
          <w:rFonts w:hint="eastAsia" w:hAnsi="宋体" w:cs="宋体"/>
          <w:color w:val="auto"/>
          <w:sz w:val="24"/>
          <w:szCs w:val="24"/>
          <w:highlight w:val="none"/>
        </w:rPr>
        <w:t>采购活动,工程的施工单位全部为符合政策要求的中小企业。相关企业(含联合体中的中小企业、签订分包意向协议的中小企业)的具体情况如下:</w:t>
      </w:r>
    </w:p>
    <w:p>
      <w:pPr>
        <w:shd w:val="clear"/>
        <w:spacing w:line="360" w:lineRule="auto"/>
        <w:ind w:firstLine="360" w:firstLineChars="150"/>
        <w:jc w:val="left"/>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u w:val="single"/>
        </w:rPr>
        <w:t>(标的名称)</w:t>
      </w:r>
      <w:r>
        <w:rPr>
          <w:rFonts w:hint="eastAsia" w:hAnsi="宋体" w:cs="宋体"/>
          <w:color w:val="auto"/>
          <w:sz w:val="24"/>
          <w:szCs w:val="24"/>
          <w:highlight w:val="none"/>
        </w:rPr>
        <w:t>,属于</w:t>
      </w:r>
      <w:r>
        <w:rPr>
          <w:rFonts w:hint="eastAsia" w:hAnsi="宋体" w:cs="宋体"/>
          <w:color w:val="auto"/>
          <w:sz w:val="24"/>
          <w:szCs w:val="24"/>
          <w:highlight w:val="none"/>
          <w:u w:val="single"/>
        </w:rPr>
        <w:t>(磋商文件中明确的所属行业)</w:t>
      </w:r>
      <w:r>
        <w:rPr>
          <w:rFonts w:hint="eastAsia" w:hAnsi="宋体" w:cs="宋体"/>
          <w:color w:val="auto"/>
          <w:sz w:val="24"/>
          <w:szCs w:val="24"/>
          <w:highlight w:val="none"/>
        </w:rPr>
        <w:t>;承建(承接)企业为</w:t>
      </w:r>
      <w:r>
        <w:rPr>
          <w:rFonts w:hint="eastAsia" w:hAnsi="宋体" w:cs="宋体"/>
          <w:color w:val="auto"/>
          <w:sz w:val="24"/>
          <w:szCs w:val="24"/>
          <w:highlight w:val="none"/>
          <w:u w:val="single"/>
        </w:rPr>
        <w:t>(企业名称)</w:t>
      </w:r>
      <w:r>
        <w:rPr>
          <w:rFonts w:hint="eastAsia" w:hAnsi="宋体" w:cs="宋体"/>
          <w:color w:val="auto"/>
          <w:sz w:val="24"/>
          <w:szCs w:val="24"/>
          <w:highlight w:val="none"/>
        </w:rPr>
        <w:t>,从业人员</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人,营业收入为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万元,资产总额为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万元,属于(中型企业、小型企业、微型企业)；</w:t>
      </w:r>
    </w:p>
    <w:p>
      <w:pPr>
        <w:shd w:val="clear"/>
        <w:spacing w:line="360" w:lineRule="auto"/>
        <w:ind w:firstLine="360" w:firstLineChars="150"/>
        <w:jc w:val="left"/>
        <w:rPr>
          <w:rFonts w:hAnsi="宋体" w:cs="宋体"/>
          <w:color w:val="auto"/>
          <w:sz w:val="24"/>
          <w:szCs w:val="24"/>
          <w:highlight w:val="none"/>
        </w:rPr>
      </w:pPr>
      <w:r>
        <w:rPr>
          <w:rFonts w:hint="eastAsia" w:hAnsi="宋体" w:cs="宋体"/>
          <w:color w:val="auto"/>
          <w:sz w:val="24"/>
          <w:szCs w:val="24"/>
          <w:highlight w:val="none"/>
        </w:rPr>
        <w:t>2.</w:t>
      </w:r>
      <w:r>
        <w:rPr>
          <w:rFonts w:hint="eastAsia" w:hAnsi="宋体" w:cs="宋体"/>
          <w:color w:val="auto"/>
          <w:sz w:val="24"/>
          <w:szCs w:val="24"/>
          <w:highlight w:val="none"/>
          <w:u w:val="single"/>
        </w:rPr>
        <w:t>(标的名称)</w:t>
      </w:r>
      <w:r>
        <w:rPr>
          <w:rFonts w:hint="eastAsia" w:hAnsi="宋体" w:cs="宋体"/>
          <w:color w:val="auto"/>
          <w:sz w:val="24"/>
          <w:szCs w:val="24"/>
          <w:highlight w:val="none"/>
        </w:rPr>
        <w:t>,属于</w:t>
      </w:r>
      <w:r>
        <w:rPr>
          <w:rFonts w:hint="eastAsia" w:hAnsi="宋体" w:cs="宋体"/>
          <w:color w:val="auto"/>
          <w:sz w:val="24"/>
          <w:szCs w:val="24"/>
          <w:highlight w:val="none"/>
          <w:u w:val="single"/>
        </w:rPr>
        <w:t>(磋商文件中明确的所属行业)</w:t>
      </w:r>
      <w:r>
        <w:rPr>
          <w:rFonts w:hint="eastAsia" w:hAnsi="宋体" w:cs="宋体"/>
          <w:color w:val="auto"/>
          <w:sz w:val="24"/>
          <w:szCs w:val="24"/>
          <w:highlight w:val="none"/>
        </w:rPr>
        <w:t>;承建(承接)企业为</w:t>
      </w:r>
      <w:r>
        <w:rPr>
          <w:rFonts w:hint="eastAsia" w:hAnsi="宋体" w:cs="宋体"/>
          <w:color w:val="auto"/>
          <w:sz w:val="24"/>
          <w:szCs w:val="24"/>
          <w:highlight w:val="none"/>
          <w:u w:val="single"/>
        </w:rPr>
        <w:t>(企业名称)</w:t>
      </w:r>
      <w:r>
        <w:rPr>
          <w:rFonts w:hint="eastAsia" w:hAnsi="宋体" w:cs="宋体"/>
          <w:color w:val="auto"/>
          <w:sz w:val="24"/>
          <w:szCs w:val="24"/>
          <w:highlight w:val="none"/>
        </w:rPr>
        <w:t>,从业人员</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人,营业收入为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万元,资产总额 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万元,属于</w:t>
      </w:r>
      <w:r>
        <w:rPr>
          <w:rFonts w:hint="eastAsia" w:hAnsi="宋体" w:cs="宋体"/>
          <w:color w:val="auto"/>
          <w:sz w:val="24"/>
          <w:szCs w:val="24"/>
          <w:highlight w:val="none"/>
          <w:u w:val="single"/>
        </w:rPr>
        <w:t>(中型企业、小型企业、微型企业)</w:t>
      </w:r>
      <w:r>
        <w:rPr>
          <w:rFonts w:hint="eastAsia" w:hAnsi="宋体" w:cs="宋体"/>
          <w:color w:val="auto"/>
          <w:sz w:val="24"/>
          <w:szCs w:val="24"/>
          <w:highlight w:val="none"/>
        </w:rPr>
        <w:t>；</w:t>
      </w:r>
    </w:p>
    <w:p>
      <w:pPr>
        <w:shd w:val="clear"/>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w:t>
      </w:r>
    </w:p>
    <w:p>
      <w:pPr>
        <w:shd w:val="clear"/>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以上企业；不属于大企业的分支机构,不存在控股股东为大企业的情形,也不存在与大企业的负责人为同一人的情形。</w:t>
      </w:r>
    </w:p>
    <w:p>
      <w:pPr>
        <w:shd w:val="clear"/>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本企业对上述声明内容的真实性负责。如有虚假,将依法承担相应责任。</w:t>
      </w:r>
    </w:p>
    <w:p>
      <w:pPr>
        <w:shd w:val="clear"/>
        <w:spacing w:line="360" w:lineRule="auto"/>
        <w:ind w:firstLine="480" w:firstLineChars="200"/>
        <w:jc w:val="left"/>
        <w:rPr>
          <w:rFonts w:hAnsi="宋体" w:cs="宋体"/>
          <w:color w:val="auto"/>
          <w:sz w:val="24"/>
          <w:szCs w:val="24"/>
          <w:highlight w:val="none"/>
        </w:rPr>
      </w:pPr>
    </w:p>
    <w:p>
      <w:pPr>
        <w:shd w:val="clear"/>
        <w:spacing w:line="360" w:lineRule="auto"/>
        <w:jc w:val="center"/>
        <w:rPr>
          <w:rFonts w:hAnsi="宋体" w:cs="宋体"/>
          <w:color w:val="auto"/>
          <w:sz w:val="24"/>
          <w:szCs w:val="24"/>
          <w:highlight w:val="none"/>
        </w:rPr>
      </w:pPr>
      <w:r>
        <w:rPr>
          <w:rFonts w:hint="eastAsia" w:hAnsi="宋体" w:cs="宋体"/>
          <w:color w:val="auto"/>
          <w:sz w:val="24"/>
          <w:szCs w:val="24"/>
          <w:highlight w:val="none"/>
        </w:rPr>
        <w:t xml:space="preserve">               企业名称(盖章):</w:t>
      </w:r>
    </w:p>
    <w:p>
      <w:pPr>
        <w:shd w:val="clear"/>
        <w:spacing w:line="360" w:lineRule="auto"/>
        <w:jc w:val="center"/>
        <w:rPr>
          <w:rFonts w:hAnsi="宋体" w:cs="宋体"/>
          <w:color w:val="auto"/>
          <w:sz w:val="24"/>
          <w:szCs w:val="24"/>
          <w:highlight w:val="none"/>
        </w:rPr>
      </w:pPr>
      <w:r>
        <w:rPr>
          <w:rFonts w:hint="eastAsia" w:hAnsi="宋体" w:cs="宋体"/>
          <w:color w:val="auto"/>
          <w:sz w:val="24"/>
          <w:szCs w:val="24"/>
          <w:highlight w:val="none"/>
        </w:rPr>
        <w:t xml:space="preserve">     日期:</w:t>
      </w:r>
    </w:p>
    <w:p>
      <w:pPr>
        <w:shd w:val="clear"/>
        <w:jc w:val="left"/>
        <w:rPr>
          <w:rFonts w:hAnsi="宋体" w:cs="宋体"/>
          <w:color w:val="auto"/>
          <w:sz w:val="18"/>
          <w:szCs w:val="18"/>
          <w:highlight w:val="none"/>
        </w:rPr>
      </w:pPr>
    </w:p>
    <w:p>
      <w:pPr>
        <w:shd w:val="clear"/>
        <w:spacing w:line="440" w:lineRule="exact"/>
        <w:rPr>
          <w:rFonts w:hAnsi="宋体"/>
          <w:color w:val="auto"/>
          <w:sz w:val="24"/>
          <w:szCs w:val="24"/>
          <w:highlight w:val="none"/>
        </w:rPr>
      </w:pPr>
      <w:r>
        <w:rPr>
          <w:rFonts w:hint="eastAsia" w:hAnsi="宋体"/>
          <w:color w:val="auto"/>
          <w:sz w:val="24"/>
          <w:szCs w:val="24"/>
          <w:highlight w:val="none"/>
        </w:rPr>
        <w:t>注</w:t>
      </w:r>
      <w:r>
        <w:rPr>
          <w:rFonts w:hAnsi="宋体"/>
          <w:color w:val="auto"/>
          <w:sz w:val="24"/>
          <w:szCs w:val="24"/>
          <w:highlight w:val="none"/>
        </w:rPr>
        <w:t>：</w:t>
      </w:r>
    </w:p>
    <w:p>
      <w:pPr>
        <w:numPr>
          <w:ilvl w:val="0"/>
          <w:numId w:val="11"/>
        </w:numPr>
        <w:shd w:val="clear"/>
        <w:spacing w:line="440" w:lineRule="exact"/>
        <w:ind w:firstLine="240" w:firstLineChars="100"/>
        <w:rPr>
          <w:rFonts w:hAnsi="宋体"/>
          <w:color w:val="auto"/>
          <w:sz w:val="24"/>
          <w:szCs w:val="24"/>
          <w:highlight w:val="none"/>
        </w:rPr>
      </w:pPr>
      <w:r>
        <w:rPr>
          <w:rFonts w:hAnsi="宋体"/>
          <w:color w:val="auto"/>
          <w:sz w:val="24"/>
          <w:szCs w:val="24"/>
          <w:highlight w:val="none"/>
        </w:rPr>
        <w:t>此声明</w:t>
      </w:r>
      <w:r>
        <w:rPr>
          <w:rFonts w:hint="eastAsia" w:hAnsi="宋体"/>
          <w:color w:val="auto"/>
          <w:sz w:val="24"/>
          <w:szCs w:val="24"/>
          <w:highlight w:val="none"/>
        </w:rPr>
        <w:t>函根据</w:t>
      </w:r>
      <w:r>
        <w:rPr>
          <w:rFonts w:hAnsi="宋体"/>
          <w:color w:val="auto"/>
          <w:sz w:val="24"/>
          <w:szCs w:val="24"/>
          <w:highlight w:val="none"/>
        </w:rPr>
        <w:t>供应商自身情况填写</w:t>
      </w:r>
      <w:r>
        <w:rPr>
          <w:rFonts w:hint="eastAsia" w:hAnsi="宋体"/>
          <w:color w:val="auto"/>
          <w:sz w:val="24"/>
          <w:szCs w:val="24"/>
          <w:highlight w:val="none"/>
        </w:rPr>
        <w:t>，</w:t>
      </w:r>
      <w:r>
        <w:rPr>
          <w:rFonts w:hAnsi="宋体"/>
          <w:color w:val="auto"/>
          <w:sz w:val="24"/>
          <w:szCs w:val="24"/>
          <w:highlight w:val="none"/>
        </w:rPr>
        <w:t>自行选择是否提供，</w:t>
      </w:r>
      <w:r>
        <w:rPr>
          <w:rFonts w:hint="eastAsia" w:hAnsi="宋体"/>
          <w:color w:val="auto"/>
          <w:sz w:val="24"/>
          <w:szCs w:val="24"/>
          <w:highlight w:val="none"/>
        </w:rPr>
        <w:t>未提供</w:t>
      </w:r>
      <w:r>
        <w:rPr>
          <w:rFonts w:hAnsi="宋体"/>
          <w:color w:val="auto"/>
          <w:sz w:val="24"/>
          <w:szCs w:val="24"/>
          <w:highlight w:val="none"/>
        </w:rPr>
        <w:t>则不享受</w:t>
      </w:r>
      <w:r>
        <w:rPr>
          <w:rFonts w:hint="eastAsia" w:hAnsi="宋体"/>
          <w:color w:val="auto"/>
          <w:sz w:val="24"/>
          <w:szCs w:val="24"/>
          <w:highlight w:val="none"/>
        </w:rPr>
        <w:t>价格</w:t>
      </w:r>
      <w:r>
        <w:rPr>
          <w:rFonts w:hAnsi="宋体"/>
          <w:color w:val="auto"/>
          <w:sz w:val="24"/>
          <w:szCs w:val="24"/>
          <w:highlight w:val="none"/>
        </w:rPr>
        <w:t>优惠。</w:t>
      </w:r>
    </w:p>
    <w:p>
      <w:pPr>
        <w:numPr>
          <w:ilvl w:val="0"/>
          <w:numId w:val="11"/>
        </w:numPr>
        <w:shd w:val="clear"/>
        <w:spacing w:line="440" w:lineRule="exact"/>
        <w:ind w:firstLine="240" w:firstLineChars="100"/>
        <w:rPr>
          <w:rFonts w:hAnsi="宋体"/>
          <w:color w:val="auto"/>
          <w:sz w:val="24"/>
          <w:szCs w:val="24"/>
          <w:highlight w:val="none"/>
        </w:rPr>
      </w:pPr>
      <w:r>
        <w:rPr>
          <w:rFonts w:hint="eastAsia" w:hAnsi="宋体"/>
          <w:color w:val="auto"/>
          <w:sz w:val="24"/>
          <w:szCs w:val="24"/>
          <w:highlight w:val="none"/>
        </w:rPr>
        <w:t>从业人员、营业收入，资产总额填报上一年度数据，无上一年数据的新成立企业可不填报。</w:t>
      </w:r>
    </w:p>
    <w:p>
      <w:pPr>
        <w:numPr>
          <w:ilvl w:val="0"/>
          <w:numId w:val="11"/>
        </w:numPr>
        <w:shd w:val="clear"/>
        <w:spacing w:line="440" w:lineRule="exact"/>
        <w:ind w:firstLine="240" w:firstLineChars="100"/>
        <w:rPr>
          <w:rFonts w:hAnsi="宋体"/>
          <w:color w:val="auto"/>
          <w:sz w:val="24"/>
          <w:szCs w:val="24"/>
          <w:highlight w:val="none"/>
        </w:rPr>
      </w:pPr>
      <w:r>
        <w:rPr>
          <w:rFonts w:hint="eastAsia" w:hAnsi="宋体"/>
          <w:color w:val="auto"/>
          <w:sz w:val="24"/>
          <w:szCs w:val="24"/>
          <w:highlight w:val="none"/>
        </w:rPr>
        <w:t>供应商符合《工业和信息化部、国家统计局、国家发展和改革委员会、财政部关于印发中小企业划型标准规定的通知》（工信部联企业〔2011〕300号）规定的划分标准为中小型企业适用。</w:t>
      </w:r>
    </w:p>
    <w:p>
      <w:pPr>
        <w:shd w:val="clear"/>
        <w:rPr>
          <w:rFonts w:hAnsi="宋体"/>
          <w:color w:val="auto"/>
          <w:highlight w:val="none"/>
        </w:rPr>
      </w:pPr>
    </w:p>
    <w:p>
      <w:pPr>
        <w:shd w:val="clear"/>
        <w:rPr>
          <w:rFonts w:hAnsi="宋体"/>
          <w:color w:val="auto"/>
          <w:highlight w:val="none"/>
        </w:rPr>
      </w:pPr>
    </w:p>
    <w:p>
      <w:pPr>
        <w:pStyle w:val="10"/>
        <w:shd w:val="clear"/>
        <w:rPr>
          <w:rFonts w:hAnsi="宋体"/>
          <w:color w:val="auto"/>
          <w:highlight w:val="none"/>
        </w:rPr>
      </w:pPr>
    </w:p>
    <w:p>
      <w:pPr>
        <w:shd w:val="clear"/>
        <w:rPr>
          <w:color w:val="auto"/>
          <w:highlight w:val="none"/>
        </w:rPr>
      </w:pPr>
    </w:p>
    <w:p>
      <w:pPr>
        <w:shd w:val="clear"/>
        <w:rPr>
          <w:rFonts w:hAnsi="宋体"/>
          <w:color w:val="auto"/>
          <w:highlight w:val="none"/>
        </w:rPr>
      </w:pPr>
    </w:p>
    <w:p>
      <w:pPr>
        <w:pStyle w:val="17"/>
        <w:shd w:val="clear"/>
        <w:outlineLvl w:val="0"/>
        <w:rPr>
          <w:rFonts w:ascii="宋体" w:hAnsi="宋体" w:eastAsia="宋体"/>
          <w:color w:val="auto"/>
          <w:highlight w:val="none"/>
        </w:rPr>
      </w:pPr>
      <w:bookmarkStart w:id="162" w:name="_Toc27638"/>
      <w:bookmarkStart w:id="163" w:name="_Toc13302"/>
      <w:bookmarkStart w:id="164" w:name="_Toc20413"/>
      <w:bookmarkStart w:id="165" w:name="_Toc7580"/>
      <w:r>
        <w:rPr>
          <w:rFonts w:hint="eastAsia" w:ascii="宋体" w:hAnsi="宋体" w:eastAsia="宋体" w:cs="宋体"/>
          <w:color w:val="auto"/>
          <w:kern w:val="0"/>
          <w:sz w:val="36"/>
          <w:szCs w:val="20"/>
          <w:highlight w:val="none"/>
        </w:rPr>
        <w:t>附件13</w:t>
      </w:r>
      <w:r>
        <w:rPr>
          <w:rFonts w:hint="eastAsia" w:ascii="宋体" w:hAnsi="宋体" w:eastAsia="宋体"/>
          <w:color w:val="auto"/>
          <w:highlight w:val="none"/>
        </w:rPr>
        <w:t>、</w:t>
      </w:r>
      <w:r>
        <w:rPr>
          <w:rFonts w:hint="eastAsia" w:ascii="宋体" w:hAnsi="宋体" w:eastAsia="宋体" w:cs="宋体"/>
          <w:color w:val="auto"/>
          <w:kern w:val="0"/>
          <w:sz w:val="36"/>
          <w:szCs w:val="20"/>
          <w:highlight w:val="none"/>
        </w:rPr>
        <w:t>监狱企业声明函（如有）</w:t>
      </w:r>
      <w:bookmarkEnd w:id="162"/>
      <w:bookmarkEnd w:id="163"/>
      <w:bookmarkEnd w:id="164"/>
      <w:bookmarkEnd w:id="165"/>
    </w:p>
    <w:p>
      <w:pPr>
        <w:shd w:val="clear"/>
        <w:spacing w:line="440" w:lineRule="exact"/>
        <w:jc w:val="center"/>
        <w:rPr>
          <w:rFonts w:hAnsi="宋体"/>
          <w:color w:val="auto"/>
          <w:sz w:val="24"/>
          <w:szCs w:val="24"/>
          <w:highlight w:val="none"/>
        </w:rPr>
      </w:pPr>
      <w:r>
        <w:rPr>
          <w:rFonts w:hint="eastAsia" w:hAnsi="宋体"/>
          <w:color w:val="auto"/>
          <w:sz w:val="24"/>
          <w:szCs w:val="24"/>
          <w:highlight w:val="none"/>
        </w:rPr>
        <w:t>（格式</w:t>
      </w:r>
      <w:r>
        <w:rPr>
          <w:rFonts w:hAnsi="宋体"/>
          <w:color w:val="auto"/>
          <w:sz w:val="24"/>
          <w:szCs w:val="24"/>
          <w:highlight w:val="none"/>
        </w:rPr>
        <w:t>自拟</w:t>
      </w:r>
      <w:r>
        <w:rPr>
          <w:rFonts w:hint="eastAsia" w:hAnsi="宋体"/>
          <w:color w:val="auto"/>
          <w:sz w:val="24"/>
          <w:szCs w:val="24"/>
          <w:highlight w:val="none"/>
        </w:rPr>
        <w:t>）</w:t>
      </w:r>
    </w:p>
    <w:p>
      <w:pPr>
        <w:shd w:val="clear"/>
        <w:spacing w:line="440" w:lineRule="exact"/>
        <w:rPr>
          <w:rFonts w:hAnsi="宋体"/>
          <w:color w:val="auto"/>
          <w:sz w:val="24"/>
          <w:szCs w:val="24"/>
          <w:highlight w:val="none"/>
        </w:rPr>
      </w:pPr>
      <w:r>
        <w:rPr>
          <w:rFonts w:hint="eastAsia" w:hAnsi="宋体"/>
          <w:color w:val="auto"/>
          <w:sz w:val="24"/>
          <w:szCs w:val="24"/>
          <w:highlight w:val="none"/>
        </w:rPr>
        <w:t>说明</w:t>
      </w:r>
      <w:r>
        <w:rPr>
          <w:rFonts w:hAnsi="宋体"/>
          <w:color w:val="auto"/>
          <w:sz w:val="24"/>
          <w:szCs w:val="24"/>
          <w:highlight w:val="none"/>
        </w:rPr>
        <w:t>：</w:t>
      </w:r>
    </w:p>
    <w:p>
      <w:pPr>
        <w:shd w:val="clear"/>
        <w:spacing w:line="440" w:lineRule="exact"/>
        <w:ind w:firstLine="480" w:firstLineChars="20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rPr>
        <w:t>、供应商</w:t>
      </w:r>
      <w:r>
        <w:rPr>
          <w:rFonts w:hAnsi="宋体"/>
          <w:color w:val="auto"/>
          <w:sz w:val="24"/>
          <w:szCs w:val="24"/>
          <w:highlight w:val="none"/>
        </w:rPr>
        <w:t>符合《</w:t>
      </w:r>
      <w:r>
        <w:rPr>
          <w:rFonts w:hint="eastAsia" w:hAnsi="宋体"/>
          <w:color w:val="auto"/>
          <w:sz w:val="24"/>
          <w:szCs w:val="24"/>
          <w:highlight w:val="none"/>
        </w:rPr>
        <w:t>政府</w:t>
      </w:r>
      <w:r>
        <w:rPr>
          <w:rFonts w:hAnsi="宋体"/>
          <w:color w:val="auto"/>
          <w:sz w:val="24"/>
          <w:szCs w:val="24"/>
          <w:highlight w:val="none"/>
        </w:rPr>
        <w:t>采购支持监狱企业发展有关问题的通知》</w:t>
      </w:r>
      <w:r>
        <w:rPr>
          <w:rFonts w:hint="eastAsia" w:hAnsi="宋体"/>
          <w:color w:val="auto"/>
          <w:sz w:val="24"/>
          <w:szCs w:val="24"/>
          <w:highlight w:val="none"/>
        </w:rPr>
        <w:t>（财库【2014】68号）规定</w:t>
      </w:r>
      <w:r>
        <w:rPr>
          <w:rFonts w:hAnsi="宋体"/>
          <w:color w:val="auto"/>
          <w:sz w:val="24"/>
          <w:szCs w:val="24"/>
          <w:highlight w:val="none"/>
        </w:rPr>
        <w:t>的划分标准为监狱企业</w:t>
      </w:r>
      <w:r>
        <w:rPr>
          <w:rFonts w:hint="eastAsia" w:hAnsi="宋体"/>
          <w:color w:val="auto"/>
          <w:sz w:val="24"/>
          <w:szCs w:val="24"/>
          <w:highlight w:val="none"/>
        </w:rPr>
        <w:t>适用</w:t>
      </w:r>
      <w:r>
        <w:rPr>
          <w:rFonts w:hAnsi="宋体"/>
          <w:color w:val="auto"/>
          <w:sz w:val="24"/>
          <w:szCs w:val="24"/>
          <w:highlight w:val="none"/>
        </w:rPr>
        <w:t>。此</w:t>
      </w:r>
      <w:r>
        <w:rPr>
          <w:rFonts w:hint="eastAsia" w:hAnsi="宋体"/>
          <w:color w:val="auto"/>
          <w:sz w:val="24"/>
          <w:szCs w:val="24"/>
          <w:highlight w:val="none"/>
        </w:rPr>
        <w:t>项内容根据</w:t>
      </w:r>
      <w:r>
        <w:rPr>
          <w:rFonts w:hAnsi="宋体"/>
          <w:color w:val="auto"/>
          <w:sz w:val="24"/>
          <w:szCs w:val="24"/>
          <w:highlight w:val="none"/>
        </w:rPr>
        <w:t>供应商自身情况自行选择是否提供，</w:t>
      </w:r>
      <w:r>
        <w:rPr>
          <w:rFonts w:hint="eastAsia" w:hAnsi="宋体"/>
          <w:color w:val="auto"/>
          <w:sz w:val="24"/>
          <w:szCs w:val="24"/>
          <w:highlight w:val="none"/>
        </w:rPr>
        <w:t>未提供</w:t>
      </w:r>
      <w:r>
        <w:rPr>
          <w:rFonts w:hAnsi="宋体"/>
          <w:color w:val="auto"/>
          <w:sz w:val="24"/>
          <w:szCs w:val="24"/>
          <w:highlight w:val="none"/>
        </w:rPr>
        <w:t>则不享受</w:t>
      </w:r>
      <w:r>
        <w:rPr>
          <w:rFonts w:hint="eastAsia" w:hAnsi="宋体"/>
          <w:color w:val="auto"/>
          <w:sz w:val="24"/>
          <w:szCs w:val="24"/>
          <w:highlight w:val="none"/>
        </w:rPr>
        <w:t>价格</w:t>
      </w:r>
      <w:r>
        <w:rPr>
          <w:rFonts w:hAnsi="宋体"/>
          <w:color w:val="auto"/>
          <w:sz w:val="24"/>
          <w:szCs w:val="24"/>
          <w:highlight w:val="none"/>
        </w:rPr>
        <w:t>优惠。</w:t>
      </w:r>
    </w:p>
    <w:p>
      <w:pPr>
        <w:shd w:val="clear"/>
        <w:spacing w:line="440" w:lineRule="exact"/>
        <w:ind w:firstLine="480" w:firstLineChars="200"/>
        <w:rPr>
          <w:rFonts w:hAnsi="宋体"/>
          <w:color w:val="auto"/>
          <w:sz w:val="24"/>
          <w:szCs w:val="24"/>
          <w:highlight w:val="none"/>
        </w:rPr>
      </w:pPr>
      <w:r>
        <w:rPr>
          <w:rFonts w:hint="eastAsia" w:hAnsi="宋体"/>
          <w:color w:val="auto"/>
          <w:sz w:val="24"/>
          <w:szCs w:val="24"/>
          <w:highlight w:val="none"/>
        </w:rPr>
        <w:t>2、在政府采购活动中，监狱企业视同小型、微型企业，享受预留份额、评审中价格扣除等政府采购促进中小企业发展的政府采购政策。监狱企业参加政府采购活动时，</w:t>
      </w:r>
      <w:r>
        <w:rPr>
          <w:rFonts w:hint="eastAsia" w:hAnsi="宋体"/>
          <w:b/>
          <w:color w:val="auto"/>
          <w:sz w:val="24"/>
          <w:szCs w:val="24"/>
          <w:highlight w:val="none"/>
        </w:rPr>
        <w:t>还应当提供由省级以上监狱管理局、戒毒管理局(含新疆生产建设兵团)出具的属于监狱企业的证明文件</w:t>
      </w:r>
      <w:r>
        <w:rPr>
          <w:rFonts w:hint="eastAsia" w:hAnsi="宋体"/>
          <w:color w:val="auto"/>
          <w:sz w:val="24"/>
          <w:szCs w:val="24"/>
          <w:highlight w:val="none"/>
        </w:rPr>
        <w:t>。</w:t>
      </w: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rPr>
          <w:rFonts w:hAnsi="宋体"/>
          <w:color w:val="auto"/>
          <w:highlight w:val="none"/>
        </w:rPr>
      </w:pPr>
    </w:p>
    <w:p>
      <w:pPr>
        <w:shd w:val="clear"/>
        <w:spacing w:line="360" w:lineRule="auto"/>
        <w:jc w:val="center"/>
        <w:rPr>
          <w:rFonts w:hAnsi="宋体" w:cs="宋体"/>
          <w:color w:val="auto"/>
          <w:sz w:val="24"/>
          <w:szCs w:val="24"/>
          <w:highlight w:val="none"/>
        </w:rPr>
      </w:pPr>
      <w:r>
        <w:rPr>
          <w:rFonts w:hint="eastAsia" w:hAnsi="宋体" w:cs="宋体"/>
          <w:color w:val="auto"/>
          <w:sz w:val="24"/>
          <w:szCs w:val="24"/>
          <w:highlight w:val="none"/>
        </w:rPr>
        <w:t>企业名称(盖章):</w:t>
      </w:r>
    </w:p>
    <w:p>
      <w:pPr>
        <w:shd w:val="clear"/>
        <w:jc w:val="center"/>
        <w:rPr>
          <w:rFonts w:hAnsi="宋体"/>
          <w:color w:val="auto"/>
          <w:highlight w:val="none"/>
        </w:rPr>
      </w:pPr>
      <w:r>
        <w:rPr>
          <w:rFonts w:hint="eastAsia" w:hAnsi="宋体" w:cs="宋体"/>
          <w:color w:val="auto"/>
          <w:sz w:val="24"/>
          <w:szCs w:val="24"/>
          <w:highlight w:val="none"/>
        </w:rPr>
        <w:t>日期:</w:t>
      </w:r>
    </w:p>
    <w:p>
      <w:pPr>
        <w:pStyle w:val="10"/>
        <w:shd w:val="clear"/>
        <w:rPr>
          <w:rFonts w:hAnsi="宋体"/>
          <w:color w:val="auto"/>
          <w:highlight w:val="none"/>
        </w:rPr>
      </w:pPr>
    </w:p>
    <w:p>
      <w:pPr>
        <w:shd w:val="clear"/>
        <w:rPr>
          <w:rFonts w:hAnsi="宋体"/>
          <w:color w:val="auto"/>
          <w:highlight w:val="none"/>
        </w:rPr>
      </w:pPr>
    </w:p>
    <w:p>
      <w:pPr>
        <w:pStyle w:val="10"/>
        <w:shd w:val="clear"/>
        <w:rPr>
          <w:rFonts w:hAnsi="宋体"/>
          <w:color w:val="auto"/>
          <w:highlight w:val="none"/>
        </w:rPr>
      </w:pPr>
    </w:p>
    <w:p>
      <w:pPr>
        <w:shd w:val="clear"/>
        <w:rPr>
          <w:rFonts w:hAnsi="宋体"/>
          <w:color w:val="auto"/>
          <w:highlight w:val="none"/>
        </w:rPr>
      </w:pPr>
    </w:p>
    <w:p>
      <w:pPr>
        <w:pStyle w:val="10"/>
        <w:shd w:val="clear"/>
        <w:rPr>
          <w:rFonts w:hAnsi="宋体"/>
          <w:color w:val="auto"/>
          <w:highlight w:val="none"/>
        </w:rPr>
      </w:pPr>
    </w:p>
    <w:p>
      <w:pPr>
        <w:shd w:val="clear"/>
        <w:rPr>
          <w:rFonts w:hAnsi="宋体"/>
          <w:color w:val="auto"/>
          <w:highlight w:val="none"/>
        </w:rPr>
      </w:pPr>
    </w:p>
    <w:p>
      <w:pPr>
        <w:pStyle w:val="10"/>
        <w:shd w:val="clear"/>
        <w:rPr>
          <w:rFonts w:hAnsi="宋体"/>
          <w:color w:val="auto"/>
          <w:highlight w:val="none"/>
        </w:rPr>
      </w:pPr>
    </w:p>
    <w:p>
      <w:pPr>
        <w:shd w:val="clear"/>
        <w:rPr>
          <w:rFonts w:hAnsi="宋体"/>
          <w:color w:val="auto"/>
          <w:highlight w:val="none"/>
        </w:rPr>
      </w:pPr>
    </w:p>
    <w:p>
      <w:pPr>
        <w:pStyle w:val="10"/>
        <w:shd w:val="clear"/>
        <w:rPr>
          <w:rFonts w:hAnsi="宋体"/>
          <w:color w:val="auto"/>
          <w:highlight w:val="none"/>
        </w:rPr>
      </w:pPr>
    </w:p>
    <w:p>
      <w:pPr>
        <w:shd w:val="clear"/>
        <w:rPr>
          <w:rFonts w:hAnsi="宋体"/>
          <w:color w:val="auto"/>
          <w:highlight w:val="none"/>
        </w:rPr>
      </w:pPr>
    </w:p>
    <w:p>
      <w:pPr>
        <w:pStyle w:val="10"/>
        <w:shd w:val="clear"/>
        <w:rPr>
          <w:rFonts w:hAnsi="宋体"/>
          <w:color w:val="auto"/>
          <w:highlight w:val="none"/>
        </w:rPr>
      </w:pPr>
    </w:p>
    <w:p>
      <w:pPr>
        <w:shd w:val="clear"/>
        <w:rPr>
          <w:rFonts w:hAnsi="宋体"/>
          <w:color w:val="auto"/>
          <w:highlight w:val="none"/>
        </w:rPr>
      </w:pPr>
    </w:p>
    <w:p>
      <w:pPr>
        <w:pStyle w:val="10"/>
        <w:shd w:val="clear"/>
        <w:rPr>
          <w:rFonts w:hAnsi="宋体"/>
          <w:color w:val="auto"/>
          <w:highlight w:val="none"/>
        </w:rPr>
      </w:pPr>
    </w:p>
    <w:p>
      <w:pPr>
        <w:shd w:val="clear"/>
        <w:rPr>
          <w:rFonts w:hAnsi="宋体"/>
          <w:color w:val="auto"/>
          <w:highlight w:val="none"/>
        </w:rPr>
      </w:pPr>
    </w:p>
    <w:p>
      <w:pPr>
        <w:pStyle w:val="10"/>
        <w:shd w:val="clear"/>
        <w:rPr>
          <w:rFonts w:hAnsi="宋体"/>
          <w:color w:val="auto"/>
          <w:highlight w:val="none"/>
        </w:rPr>
      </w:pPr>
    </w:p>
    <w:p>
      <w:pPr>
        <w:shd w:val="clear"/>
        <w:rPr>
          <w:rFonts w:hAnsi="宋体"/>
          <w:color w:val="auto"/>
          <w:highlight w:val="none"/>
        </w:rPr>
      </w:pPr>
    </w:p>
    <w:p>
      <w:pPr>
        <w:pStyle w:val="10"/>
        <w:shd w:val="clear"/>
        <w:rPr>
          <w:rFonts w:hAnsi="宋体"/>
          <w:color w:val="auto"/>
          <w:highlight w:val="none"/>
        </w:rPr>
      </w:pPr>
    </w:p>
    <w:p>
      <w:pPr>
        <w:shd w:val="clear"/>
        <w:rPr>
          <w:rFonts w:hAnsi="宋体"/>
          <w:color w:val="auto"/>
          <w:highlight w:val="none"/>
        </w:rPr>
      </w:pPr>
    </w:p>
    <w:p>
      <w:pPr>
        <w:pStyle w:val="10"/>
        <w:shd w:val="clear"/>
        <w:rPr>
          <w:rFonts w:hAnsi="宋体"/>
          <w:color w:val="auto"/>
          <w:highlight w:val="none"/>
        </w:rPr>
      </w:pPr>
    </w:p>
    <w:p>
      <w:pPr>
        <w:shd w:val="clear"/>
        <w:rPr>
          <w:color w:val="auto"/>
          <w:highlight w:val="none"/>
        </w:rPr>
      </w:pPr>
    </w:p>
    <w:p>
      <w:pPr>
        <w:shd w:val="clear"/>
        <w:rPr>
          <w:color w:val="auto"/>
          <w:highlight w:val="none"/>
        </w:rPr>
      </w:pPr>
    </w:p>
    <w:p>
      <w:pPr>
        <w:shd w:val="clear"/>
        <w:rPr>
          <w:rFonts w:hAnsi="宋体"/>
          <w:color w:val="auto"/>
          <w:highlight w:val="none"/>
        </w:rPr>
      </w:pPr>
    </w:p>
    <w:p>
      <w:pPr>
        <w:shd w:val="clear"/>
        <w:rPr>
          <w:rFonts w:hAnsi="宋体"/>
          <w:color w:val="auto"/>
          <w:highlight w:val="none"/>
        </w:rPr>
      </w:pPr>
    </w:p>
    <w:p>
      <w:pPr>
        <w:pStyle w:val="17"/>
        <w:shd w:val="clear"/>
        <w:outlineLvl w:val="0"/>
        <w:rPr>
          <w:rFonts w:ascii="宋体" w:hAnsi="宋体" w:eastAsia="宋体"/>
          <w:color w:val="auto"/>
          <w:highlight w:val="none"/>
        </w:rPr>
      </w:pPr>
      <w:bookmarkStart w:id="166" w:name="_Toc12491"/>
      <w:bookmarkStart w:id="167" w:name="_Toc8070"/>
      <w:bookmarkStart w:id="168" w:name="_Toc9843"/>
      <w:bookmarkStart w:id="169" w:name="_Toc14808"/>
      <w:r>
        <w:rPr>
          <w:rFonts w:hint="eastAsia" w:ascii="宋体" w:hAnsi="宋体" w:eastAsia="宋体" w:cs="宋体"/>
          <w:color w:val="auto"/>
          <w:kern w:val="0"/>
          <w:sz w:val="36"/>
          <w:szCs w:val="20"/>
          <w:highlight w:val="none"/>
        </w:rPr>
        <w:t>附件14</w:t>
      </w:r>
      <w:r>
        <w:rPr>
          <w:rFonts w:ascii="宋体" w:hAnsi="宋体" w:eastAsia="宋体"/>
          <w:color w:val="auto"/>
          <w:highlight w:val="none"/>
        </w:rPr>
        <w:t>、</w:t>
      </w:r>
      <w:r>
        <w:rPr>
          <w:rFonts w:hint="eastAsia" w:ascii="宋体" w:hAnsi="宋体" w:eastAsia="宋体" w:cs="宋体"/>
          <w:color w:val="auto"/>
          <w:kern w:val="0"/>
          <w:sz w:val="36"/>
          <w:szCs w:val="20"/>
          <w:highlight w:val="none"/>
        </w:rPr>
        <w:t>残疾人福利性单位声明函（如有）</w:t>
      </w:r>
      <w:bookmarkEnd w:id="166"/>
      <w:bookmarkEnd w:id="167"/>
      <w:bookmarkEnd w:id="168"/>
      <w:bookmarkEnd w:id="169"/>
    </w:p>
    <w:p>
      <w:pPr>
        <w:shd w:val="clear"/>
        <w:snapToGrid w:val="0"/>
        <w:spacing w:line="480" w:lineRule="auto"/>
        <w:ind w:firstLine="420"/>
        <w:rPr>
          <w:rFonts w:hAnsi="宋体" w:cs="宋体"/>
          <w:color w:val="auto"/>
          <w:sz w:val="24"/>
          <w:highlight w:val="none"/>
        </w:rPr>
      </w:pPr>
    </w:p>
    <w:p>
      <w:pPr>
        <w:shd w:val="clear"/>
        <w:snapToGrid w:val="0"/>
        <w:spacing w:line="480" w:lineRule="auto"/>
        <w:ind w:firstLine="420"/>
        <w:rPr>
          <w:rFonts w:hAnsi="宋体" w:cs="宋体"/>
          <w:color w:val="auto"/>
          <w:sz w:val="24"/>
          <w:highlight w:val="none"/>
        </w:rPr>
      </w:pPr>
      <w:r>
        <w:rPr>
          <w:rFonts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hd w:val="clear"/>
        <w:snapToGrid w:val="0"/>
        <w:spacing w:line="480" w:lineRule="auto"/>
        <w:ind w:firstLine="420"/>
        <w:rPr>
          <w:rFonts w:hAnsi="宋体" w:cs="宋体"/>
          <w:color w:val="auto"/>
          <w:sz w:val="24"/>
          <w:highlight w:val="none"/>
        </w:rPr>
      </w:pPr>
      <w:r>
        <w:rPr>
          <w:rFonts w:hAnsi="宋体" w:cs="宋体"/>
          <w:color w:val="auto"/>
          <w:sz w:val="24"/>
          <w:highlight w:val="none"/>
        </w:rPr>
        <w:t>本单位对上述声明的真实性负责。如有虚假，将依法承担相应责任。</w:t>
      </w:r>
    </w:p>
    <w:p>
      <w:pPr>
        <w:shd w:val="clear"/>
        <w:rPr>
          <w:rFonts w:hAnsi="宋体" w:cs="宋体"/>
          <w:color w:val="auto"/>
          <w:sz w:val="24"/>
          <w:highlight w:val="none"/>
        </w:rPr>
      </w:pPr>
    </w:p>
    <w:p>
      <w:pPr>
        <w:shd w:val="clear"/>
        <w:rPr>
          <w:rFonts w:hAnsi="宋体"/>
          <w:color w:val="auto"/>
          <w:highlight w:val="none"/>
        </w:rPr>
      </w:pPr>
    </w:p>
    <w:p>
      <w:pPr>
        <w:shd w:val="clear"/>
        <w:spacing w:line="440" w:lineRule="exact"/>
        <w:ind w:left="2940" w:leftChars="1400" w:right="296" w:rightChars="141"/>
        <w:rPr>
          <w:rFonts w:hAnsi="宋体" w:cs="宋体"/>
          <w:color w:val="auto"/>
          <w:sz w:val="24"/>
          <w:highlight w:val="none"/>
        </w:rPr>
      </w:pPr>
      <w:r>
        <w:rPr>
          <w:rFonts w:hAnsi="宋体" w:cs="宋体"/>
          <w:color w:val="auto"/>
          <w:sz w:val="24"/>
          <w:highlight w:val="none"/>
        </w:rPr>
        <w:t>单位名称（</w:t>
      </w:r>
      <w:r>
        <w:rPr>
          <w:rFonts w:hint="eastAsia" w:hAnsi="宋体" w:cs="宋体"/>
          <w:color w:val="auto"/>
          <w:sz w:val="24"/>
          <w:highlight w:val="none"/>
        </w:rPr>
        <w:t>公</w:t>
      </w:r>
      <w:r>
        <w:rPr>
          <w:rFonts w:hAnsi="宋体" w:cs="宋体"/>
          <w:color w:val="auto"/>
          <w:sz w:val="24"/>
          <w:highlight w:val="none"/>
        </w:rPr>
        <w:t>章）：</w:t>
      </w:r>
    </w:p>
    <w:p>
      <w:pPr>
        <w:shd w:val="clear"/>
        <w:spacing w:line="440" w:lineRule="exact"/>
        <w:ind w:left="2940" w:leftChars="1400" w:right="296" w:rightChars="141"/>
        <w:rPr>
          <w:rFonts w:hAnsi="宋体" w:cs="宋体"/>
          <w:color w:val="auto"/>
          <w:sz w:val="24"/>
          <w:highlight w:val="none"/>
        </w:rPr>
      </w:pPr>
      <w:r>
        <w:rPr>
          <w:rFonts w:hint="eastAsia" w:hAnsi="宋体" w:cs="宋体"/>
          <w:color w:val="auto"/>
          <w:sz w:val="24"/>
          <w:highlight w:val="none"/>
        </w:rPr>
        <w:t xml:space="preserve">日 </w:t>
      </w:r>
      <w:r>
        <w:rPr>
          <w:rFonts w:hAnsi="宋体" w:cs="宋体"/>
          <w:color w:val="auto"/>
          <w:sz w:val="24"/>
          <w:highlight w:val="none"/>
        </w:rPr>
        <w:t xml:space="preserve">   </w:t>
      </w:r>
      <w:r>
        <w:rPr>
          <w:rFonts w:hint="eastAsia" w:hAnsi="宋体" w:cs="宋体"/>
          <w:color w:val="auto"/>
          <w:sz w:val="24"/>
          <w:highlight w:val="none"/>
        </w:rPr>
        <w:t>期：</w:t>
      </w:r>
    </w:p>
    <w:p>
      <w:pPr>
        <w:shd w:val="clear"/>
        <w:spacing w:line="440" w:lineRule="exact"/>
        <w:ind w:right="480"/>
        <w:rPr>
          <w:rFonts w:hAnsi="宋体" w:cs="宋体"/>
          <w:color w:val="auto"/>
          <w:sz w:val="24"/>
          <w:highlight w:val="none"/>
        </w:rPr>
      </w:pPr>
    </w:p>
    <w:p>
      <w:pPr>
        <w:shd w:val="clear"/>
        <w:spacing w:line="440" w:lineRule="exact"/>
        <w:rPr>
          <w:rFonts w:hAnsi="宋体"/>
          <w:color w:val="auto"/>
          <w:sz w:val="24"/>
          <w:szCs w:val="24"/>
          <w:highlight w:val="none"/>
        </w:rPr>
      </w:pPr>
      <w:r>
        <w:rPr>
          <w:rFonts w:hint="eastAsia" w:hAnsi="宋体"/>
          <w:color w:val="auto"/>
          <w:sz w:val="24"/>
          <w:szCs w:val="24"/>
          <w:highlight w:val="none"/>
        </w:rPr>
        <w:t>注</w:t>
      </w:r>
      <w:r>
        <w:rPr>
          <w:rFonts w:hAnsi="宋体"/>
          <w:color w:val="auto"/>
          <w:sz w:val="24"/>
          <w:szCs w:val="24"/>
          <w:highlight w:val="none"/>
        </w:rPr>
        <w:t>：</w:t>
      </w:r>
    </w:p>
    <w:p>
      <w:pPr>
        <w:shd w:val="clear"/>
        <w:spacing w:line="440" w:lineRule="exact"/>
        <w:ind w:firstLine="240" w:firstLineChars="10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rPr>
        <w:t>、</w:t>
      </w:r>
      <w:r>
        <w:rPr>
          <w:rFonts w:hAnsi="宋体"/>
          <w:color w:val="auto"/>
          <w:sz w:val="24"/>
          <w:szCs w:val="24"/>
          <w:highlight w:val="none"/>
        </w:rPr>
        <w:t>此声明</w:t>
      </w:r>
      <w:r>
        <w:rPr>
          <w:rFonts w:hint="eastAsia" w:hAnsi="宋体"/>
          <w:color w:val="auto"/>
          <w:sz w:val="24"/>
          <w:szCs w:val="24"/>
          <w:highlight w:val="none"/>
        </w:rPr>
        <w:t>函根据</w:t>
      </w:r>
      <w:r>
        <w:rPr>
          <w:rFonts w:hAnsi="宋体"/>
          <w:color w:val="auto"/>
          <w:sz w:val="24"/>
          <w:szCs w:val="24"/>
          <w:highlight w:val="none"/>
        </w:rPr>
        <w:t>供应商自身情况填写</w:t>
      </w:r>
      <w:r>
        <w:rPr>
          <w:rFonts w:hint="eastAsia" w:hAnsi="宋体"/>
          <w:color w:val="auto"/>
          <w:sz w:val="24"/>
          <w:szCs w:val="24"/>
          <w:highlight w:val="none"/>
        </w:rPr>
        <w:t>，</w:t>
      </w:r>
      <w:r>
        <w:rPr>
          <w:rFonts w:hAnsi="宋体"/>
          <w:color w:val="auto"/>
          <w:sz w:val="24"/>
          <w:szCs w:val="24"/>
          <w:highlight w:val="none"/>
        </w:rPr>
        <w:t>自行选择是否提供，</w:t>
      </w:r>
      <w:r>
        <w:rPr>
          <w:rFonts w:hint="eastAsia" w:hAnsi="宋体"/>
          <w:color w:val="auto"/>
          <w:sz w:val="24"/>
          <w:szCs w:val="24"/>
          <w:highlight w:val="none"/>
        </w:rPr>
        <w:t>未提供</w:t>
      </w:r>
      <w:r>
        <w:rPr>
          <w:rFonts w:hAnsi="宋体"/>
          <w:color w:val="auto"/>
          <w:sz w:val="24"/>
          <w:szCs w:val="24"/>
          <w:highlight w:val="none"/>
        </w:rPr>
        <w:t>则不享受</w:t>
      </w:r>
      <w:r>
        <w:rPr>
          <w:rFonts w:hint="eastAsia" w:hAnsi="宋体"/>
          <w:color w:val="auto"/>
          <w:sz w:val="24"/>
          <w:szCs w:val="24"/>
          <w:highlight w:val="none"/>
        </w:rPr>
        <w:t>价格</w:t>
      </w:r>
      <w:r>
        <w:rPr>
          <w:rFonts w:hAnsi="宋体"/>
          <w:color w:val="auto"/>
          <w:sz w:val="24"/>
          <w:szCs w:val="24"/>
          <w:highlight w:val="none"/>
        </w:rPr>
        <w:t>优惠。</w:t>
      </w:r>
    </w:p>
    <w:p>
      <w:pPr>
        <w:pStyle w:val="10"/>
        <w:shd w:val="clear"/>
        <w:ind w:left="0"/>
        <w:rPr>
          <w:color w:val="auto"/>
          <w:highlight w:val="none"/>
        </w:rPr>
      </w:pPr>
      <w:r>
        <w:rPr>
          <w:rFonts w:hAnsi="宋体"/>
          <w:color w:val="auto"/>
          <w:sz w:val="24"/>
          <w:szCs w:val="24"/>
          <w:highlight w:val="none"/>
        </w:rPr>
        <w:t>2</w:t>
      </w:r>
      <w:r>
        <w:rPr>
          <w:rFonts w:hint="eastAsia" w:hAnsi="宋体"/>
          <w:color w:val="auto"/>
          <w:sz w:val="24"/>
          <w:szCs w:val="24"/>
          <w:highlight w:val="none"/>
        </w:rPr>
        <w:t>、残疾人福利性单位视同小型、微型企业，享受预留份额、评审中价格扣除等促进中小企业发展的政府采购政策。残疾人福利性单位属于小型、微型企业的，不重复享受政策。</w:t>
      </w:r>
    </w:p>
    <w:p>
      <w:pPr>
        <w:pStyle w:val="33"/>
        <w:shd w:val="clear"/>
        <w:jc w:val="both"/>
        <w:rPr>
          <w:rFonts w:ascii="宋体" w:cs="宋体"/>
          <w:b/>
          <w:bCs/>
          <w:color w:val="auto"/>
          <w:sz w:val="36"/>
          <w:highlight w:val="none"/>
        </w:rPr>
      </w:pPr>
      <w:bookmarkStart w:id="170" w:name="_Toc533086824"/>
    </w:p>
    <w:p>
      <w:pPr>
        <w:pStyle w:val="33"/>
        <w:shd w:val="clear"/>
        <w:jc w:val="both"/>
        <w:rPr>
          <w:rFonts w:ascii="宋体" w:cs="宋体"/>
          <w:b/>
          <w:bCs/>
          <w:color w:val="auto"/>
          <w:sz w:val="36"/>
          <w:highlight w:val="none"/>
        </w:rPr>
      </w:pPr>
    </w:p>
    <w:p>
      <w:pPr>
        <w:pStyle w:val="33"/>
        <w:shd w:val="clear"/>
        <w:jc w:val="both"/>
        <w:rPr>
          <w:rFonts w:ascii="宋体" w:cs="宋体"/>
          <w:b/>
          <w:bCs/>
          <w:color w:val="auto"/>
          <w:sz w:val="36"/>
          <w:highlight w:val="none"/>
        </w:rPr>
      </w:pPr>
    </w:p>
    <w:p>
      <w:pPr>
        <w:pStyle w:val="33"/>
        <w:shd w:val="clear"/>
        <w:jc w:val="both"/>
        <w:rPr>
          <w:rFonts w:ascii="宋体" w:cs="宋体"/>
          <w:b/>
          <w:bCs/>
          <w:color w:val="auto"/>
          <w:sz w:val="36"/>
          <w:highlight w:val="none"/>
        </w:rPr>
      </w:pPr>
    </w:p>
    <w:p>
      <w:pPr>
        <w:pStyle w:val="33"/>
        <w:shd w:val="clear"/>
        <w:jc w:val="both"/>
        <w:rPr>
          <w:rFonts w:ascii="宋体" w:cs="宋体"/>
          <w:b/>
          <w:bCs/>
          <w:color w:val="auto"/>
          <w:sz w:val="36"/>
          <w:highlight w:val="none"/>
        </w:rPr>
      </w:pPr>
    </w:p>
    <w:p>
      <w:pPr>
        <w:pStyle w:val="33"/>
        <w:shd w:val="clear"/>
        <w:jc w:val="both"/>
        <w:rPr>
          <w:rFonts w:ascii="宋体" w:cs="宋体"/>
          <w:b/>
          <w:bCs/>
          <w:color w:val="auto"/>
          <w:sz w:val="36"/>
          <w:highlight w:val="none"/>
        </w:rPr>
      </w:pPr>
    </w:p>
    <w:p>
      <w:pPr>
        <w:pStyle w:val="33"/>
        <w:shd w:val="clear"/>
        <w:jc w:val="both"/>
        <w:rPr>
          <w:rFonts w:ascii="宋体" w:cs="宋体"/>
          <w:b/>
          <w:bCs/>
          <w:color w:val="auto"/>
          <w:sz w:val="36"/>
          <w:highlight w:val="none"/>
        </w:rPr>
      </w:pPr>
    </w:p>
    <w:p>
      <w:pPr>
        <w:pStyle w:val="33"/>
        <w:shd w:val="clear"/>
        <w:jc w:val="both"/>
        <w:rPr>
          <w:rFonts w:ascii="宋体" w:cs="宋体"/>
          <w:b/>
          <w:bCs/>
          <w:color w:val="auto"/>
          <w:sz w:val="36"/>
          <w:highlight w:val="none"/>
        </w:rPr>
      </w:pPr>
    </w:p>
    <w:p>
      <w:pPr>
        <w:pStyle w:val="33"/>
        <w:shd w:val="clear"/>
        <w:jc w:val="both"/>
        <w:rPr>
          <w:rFonts w:ascii="宋体" w:cs="宋体"/>
          <w:b/>
          <w:bCs/>
          <w:color w:val="auto"/>
          <w:sz w:val="36"/>
          <w:highlight w:val="none"/>
        </w:rPr>
      </w:pPr>
    </w:p>
    <w:p>
      <w:pPr>
        <w:pStyle w:val="33"/>
        <w:shd w:val="clear"/>
        <w:jc w:val="both"/>
        <w:rPr>
          <w:rFonts w:ascii="宋体" w:cs="宋体"/>
          <w:b/>
          <w:bCs/>
          <w:color w:val="auto"/>
          <w:sz w:val="36"/>
          <w:highlight w:val="none"/>
        </w:rPr>
      </w:pPr>
    </w:p>
    <w:p>
      <w:pPr>
        <w:pStyle w:val="33"/>
        <w:shd w:val="clear"/>
        <w:jc w:val="center"/>
        <w:outlineLvl w:val="0"/>
        <w:rPr>
          <w:rFonts w:ascii="宋体" w:cs="宋体"/>
          <w:b/>
          <w:bCs/>
          <w:color w:val="auto"/>
          <w:sz w:val="36"/>
          <w:highlight w:val="none"/>
        </w:rPr>
      </w:pPr>
      <w:bookmarkStart w:id="171" w:name="_Toc21134"/>
      <w:bookmarkStart w:id="172" w:name="_Toc29842"/>
      <w:bookmarkStart w:id="173" w:name="_Toc5364"/>
      <w:bookmarkStart w:id="174" w:name="_Toc11784"/>
      <w:r>
        <w:rPr>
          <w:rFonts w:hint="eastAsia" w:ascii="宋体" w:cs="宋体"/>
          <w:b/>
          <w:bCs/>
          <w:color w:val="auto"/>
          <w:sz w:val="36"/>
          <w:highlight w:val="none"/>
        </w:rPr>
        <w:t>附件15、技术文件</w:t>
      </w:r>
      <w:bookmarkEnd w:id="171"/>
      <w:bookmarkEnd w:id="172"/>
      <w:bookmarkEnd w:id="173"/>
      <w:bookmarkEnd w:id="174"/>
    </w:p>
    <w:p>
      <w:pPr>
        <w:pStyle w:val="33"/>
        <w:shd w:val="clear"/>
        <w:jc w:val="center"/>
        <w:outlineLvl w:val="1"/>
        <w:rPr>
          <w:b/>
          <w:bCs/>
          <w:color w:val="auto"/>
          <w:sz w:val="30"/>
          <w:szCs w:val="30"/>
          <w:highlight w:val="none"/>
        </w:rPr>
      </w:pPr>
      <w:bookmarkStart w:id="175" w:name="_Toc2364"/>
      <w:bookmarkStart w:id="176" w:name="_Toc802"/>
      <w:bookmarkStart w:id="177" w:name="_Toc8375"/>
      <w:bookmarkStart w:id="178" w:name="_Toc19060"/>
      <w:r>
        <w:rPr>
          <w:rFonts w:hint="eastAsia"/>
          <w:b/>
          <w:bCs/>
          <w:color w:val="auto"/>
          <w:sz w:val="30"/>
          <w:szCs w:val="30"/>
          <w:highlight w:val="none"/>
        </w:rPr>
        <w:t>主要服务内容、方案、承诺、计划等说明</w:t>
      </w:r>
      <w:bookmarkEnd w:id="175"/>
      <w:bookmarkEnd w:id="176"/>
      <w:bookmarkEnd w:id="177"/>
      <w:bookmarkEnd w:id="178"/>
    </w:p>
    <w:p>
      <w:pPr>
        <w:pStyle w:val="33"/>
        <w:shd w:val="clear"/>
        <w:jc w:val="center"/>
        <w:rPr>
          <w:b/>
          <w:bCs/>
          <w:color w:val="auto"/>
          <w:sz w:val="30"/>
          <w:szCs w:val="30"/>
          <w:highlight w:val="none"/>
        </w:rPr>
      </w:pPr>
    </w:p>
    <w:p>
      <w:pPr>
        <w:pStyle w:val="33"/>
        <w:shd w:val="clear"/>
        <w:jc w:val="center"/>
        <w:rPr>
          <w:b/>
          <w:bCs/>
          <w:color w:val="auto"/>
          <w:sz w:val="30"/>
          <w:szCs w:val="30"/>
          <w:highlight w:val="none"/>
        </w:rPr>
      </w:pPr>
    </w:p>
    <w:p>
      <w:pPr>
        <w:pStyle w:val="33"/>
        <w:shd w:val="clear"/>
        <w:jc w:val="center"/>
        <w:rPr>
          <w:b/>
          <w:bCs/>
          <w:color w:val="auto"/>
          <w:sz w:val="30"/>
          <w:szCs w:val="30"/>
          <w:highlight w:val="none"/>
        </w:rPr>
      </w:pPr>
    </w:p>
    <w:p>
      <w:pPr>
        <w:pStyle w:val="33"/>
        <w:shd w:val="clear"/>
        <w:jc w:val="center"/>
        <w:rPr>
          <w:b/>
          <w:bCs/>
          <w:color w:val="auto"/>
          <w:sz w:val="30"/>
          <w:szCs w:val="30"/>
          <w:highlight w:val="none"/>
        </w:rPr>
      </w:pPr>
    </w:p>
    <w:p>
      <w:pPr>
        <w:pStyle w:val="33"/>
        <w:shd w:val="clear"/>
        <w:jc w:val="center"/>
        <w:rPr>
          <w:b/>
          <w:bCs/>
          <w:color w:val="auto"/>
          <w:sz w:val="30"/>
          <w:szCs w:val="30"/>
          <w:highlight w:val="none"/>
        </w:rPr>
      </w:pPr>
    </w:p>
    <w:p>
      <w:pPr>
        <w:pStyle w:val="33"/>
        <w:shd w:val="clear"/>
        <w:jc w:val="center"/>
        <w:rPr>
          <w:b/>
          <w:bCs/>
          <w:color w:val="auto"/>
          <w:sz w:val="30"/>
          <w:szCs w:val="30"/>
          <w:highlight w:val="none"/>
        </w:rPr>
      </w:pPr>
    </w:p>
    <w:p>
      <w:pPr>
        <w:pStyle w:val="33"/>
        <w:shd w:val="clear"/>
        <w:jc w:val="center"/>
        <w:rPr>
          <w:b/>
          <w:bCs/>
          <w:color w:val="auto"/>
          <w:sz w:val="30"/>
          <w:szCs w:val="30"/>
          <w:highlight w:val="none"/>
        </w:rPr>
      </w:pPr>
    </w:p>
    <w:p>
      <w:pPr>
        <w:pStyle w:val="33"/>
        <w:shd w:val="clear"/>
        <w:jc w:val="center"/>
        <w:rPr>
          <w:b/>
          <w:bCs/>
          <w:color w:val="auto"/>
          <w:sz w:val="30"/>
          <w:szCs w:val="30"/>
          <w:highlight w:val="none"/>
        </w:rPr>
      </w:pPr>
    </w:p>
    <w:p>
      <w:pPr>
        <w:pStyle w:val="33"/>
        <w:shd w:val="clear"/>
        <w:jc w:val="center"/>
        <w:rPr>
          <w:b/>
          <w:bCs/>
          <w:color w:val="auto"/>
          <w:sz w:val="30"/>
          <w:szCs w:val="30"/>
          <w:highlight w:val="none"/>
        </w:rPr>
      </w:pPr>
    </w:p>
    <w:p>
      <w:pPr>
        <w:pStyle w:val="33"/>
        <w:shd w:val="clear"/>
        <w:jc w:val="center"/>
        <w:rPr>
          <w:b/>
          <w:bCs/>
          <w:color w:val="auto"/>
          <w:sz w:val="30"/>
          <w:szCs w:val="30"/>
          <w:highlight w:val="none"/>
        </w:rPr>
      </w:pPr>
    </w:p>
    <w:p>
      <w:pPr>
        <w:pStyle w:val="33"/>
        <w:shd w:val="clear"/>
        <w:jc w:val="center"/>
        <w:rPr>
          <w:b/>
          <w:bCs/>
          <w:color w:val="auto"/>
          <w:sz w:val="30"/>
          <w:szCs w:val="30"/>
          <w:highlight w:val="none"/>
        </w:rPr>
      </w:pPr>
    </w:p>
    <w:p>
      <w:pPr>
        <w:pStyle w:val="33"/>
        <w:shd w:val="clear"/>
        <w:jc w:val="center"/>
        <w:rPr>
          <w:b/>
          <w:bCs/>
          <w:color w:val="auto"/>
          <w:sz w:val="30"/>
          <w:szCs w:val="30"/>
          <w:highlight w:val="none"/>
        </w:rPr>
      </w:pPr>
    </w:p>
    <w:p>
      <w:pPr>
        <w:pStyle w:val="33"/>
        <w:shd w:val="clear"/>
        <w:jc w:val="center"/>
        <w:rPr>
          <w:b/>
          <w:bCs/>
          <w:color w:val="auto"/>
          <w:sz w:val="30"/>
          <w:szCs w:val="30"/>
          <w:highlight w:val="none"/>
        </w:rPr>
      </w:pPr>
    </w:p>
    <w:p>
      <w:pPr>
        <w:pStyle w:val="33"/>
        <w:shd w:val="clear"/>
        <w:jc w:val="center"/>
        <w:rPr>
          <w:b/>
          <w:bCs/>
          <w:color w:val="auto"/>
          <w:sz w:val="30"/>
          <w:szCs w:val="30"/>
          <w:highlight w:val="none"/>
        </w:rPr>
      </w:pPr>
    </w:p>
    <w:p>
      <w:pPr>
        <w:pStyle w:val="33"/>
        <w:shd w:val="clear"/>
        <w:jc w:val="center"/>
        <w:rPr>
          <w:b/>
          <w:bCs/>
          <w:color w:val="auto"/>
          <w:sz w:val="30"/>
          <w:szCs w:val="30"/>
          <w:highlight w:val="none"/>
        </w:rPr>
      </w:pPr>
    </w:p>
    <w:p>
      <w:pPr>
        <w:pStyle w:val="33"/>
        <w:shd w:val="clear"/>
        <w:jc w:val="center"/>
        <w:rPr>
          <w:b/>
          <w:bCs/>
          <w:color w:val="auto"/>
          <w:sz w:val="30"/>
          <w:szCs w:val="30"/>
          <w:highlight w:val="none"/>
        </w:rPr>
      </w:pPr>
    </w:p>
    <w:p>
      <w:pPr>
        <w:pStyle w:val="33"/>
        <w:shd w:val="clear"/>
        <w:jc w:val="center"/>
        <w:rPr>
          <w:b/>
          <w:bCs/>
          <w:color w:val="auto"/>
          <w:sz w:val="30"/>
          <w:szCs w:val="30"/>
          <w:highlight w:val="none"/>
        </w:rPr>
      </w:pPr>
    </w:p>
    <w:p>
      <w:pPr>
        <w:pStyle w:val="33"/>
        <w:shd w:val="clear"/>
        <w:jc w:val="center"/>
        <w:rPr>
          <w:b/>
          <w:bCs/>
          <w:color w:val="auto"/>
          <w:sz w:val="30"/>
          <w:szCs w:val="30"/>
          <w:highlight w:val="none"/>
        </w:rPr>
      </w:pPr>
    </w:p>
    <w:p>
      <w:pPr>
        <w:pStyle w:val="33"/>
        <w:shd w:val="clear"/>
        <w:jc w:val="center"/>
        <w:rPr>
          <w:b/>
          <w:bCs/>
          <w:color w:val="auto"/>
          <w:sz w:val="30"/>
          <w:szCs w:val="30"/>
          <w:highlight w:val="none"/>
        </w:rPr>
      </w:pPr>
    </w:p>
    <w:p>
      <w:pPr>
        <w:pStyle w:val="33"/>
        <w:shd w:val="clear"/>
        <w:jc w:val="center"/>
        <w:rPr>
          <w:b/>
          <w:bCs/>
          <w:color w:val="auto"/>
          <w:sz w:val="30"/>
          <w:szCs w:val="30"/>
          <w:highlight w:val="none"/>
        </w:rPr>
      </w:pPr>
    </w:p>
    <w:p>
      <w:pPr>
        <w:pStyle w:val="33"/>
        <w:shd w:val="clear"/>
        <w:jc w:val="center"/>
        <w:rPr>
          <w:b/>
          <w:bCs/>
          <w:color w:val="auto"/>
          <w:sz w:val="30"/>
          <w:szCs w:val="30"/>
          <w:highlight w:val="none"/>
        </w:rPr>
      </w:pPr>
    </w:p>
    <w:p>
      <w:pPr>
        <w:pStyle w:val="33"/>
        <w:shd w:val="clear"/>
        <w:jc w:val="center"/>
        <w:rPr>
          <w:b/>
          <w:bCs/>
          <w:color w:val="auto"/>
          <w:sz w:val="30"/>
          <w:szCs w:val="30"/>
          <w:highlight w:val="none"/>
        </w:rPr>
      </w:pPr>
    </w:p>
    <w:p>
      <w:pPr>
        <w:pStyle w:val="33"/>
        <w:shd w:val="clear"/>
        <w:jc w:val="center"/>
        <w:rPr>
          <w:b/>
          <w:bCs/>
          <w:color w:val="auto"/>
          <w:sz w:val="30"/>
          <w:szCs w:val="30"/>
          <w:highlight w:val="none"/>
        </w:rPr>
      </w:pPr>
    </w:p>
    <w:p>
      <w:pPr>
        <w:pStyle w:val="33"/>
        <w:shd w:val="clear"/>
        <w:jc w:val="center"/>
        <w:rPr>
          <w:b/>
          <w:bCs/>
          <w:color w:val="auto"/>
          <w:sz w:val="30"/>
          <w:szCs w:val="30"/>
          <w:highlight w:val="none"/>
        </w:rPr>
      </w:pPr>
    </w:p>
    <w:p>
      <w:pPr>
        <w:pStyle w:val="33"/>
        <w:shd w:val="clear"/>
        <w:jc w:val="center"/>
        <w:rPr>
          <w:b/>
          <w:bCs/>
          <w:color w:val="auto"/>
          <w:sz w:val="30"/>
          <w:szCs w:val="30"/>
          <w:highlight w:val="none"/>
        </w:rPr>
      </w:pPr>
    </w:p>
    <w:p>
      <w:pPr>
        <w:pStyle w:val="33"/>
        <w:shd w:val="clear"/>
        <w:jc w:val="both"/>
        <w:rPr>
          <w:rFonts w:ascii="宋体" w:cs="宋体"/>
          <w:b/>
          <w:bCs/>
          <w:color w:val="auto"/>
          <w:sz w:val="36"/>
          <w:highlight w:val="none"/>
        </w:rPr>
      </w:pPr>
    </w:p>
    <w:p>
      <w:pPr>
        <w:pStyle w:val="33"/>
        <w:shd w:val="clear"/>
        <w:jc w:val="both"/>
        <w:rPr>
          <w:rFonts w:ascii="宋体" w:cs="宋体"/>
          <w:b/>
          <w:bCs/>
          <w:color w:val="auto"/>
          <w:sz w:val="36"/>
          <w:highlight w:val="none"/>
        </w:rPr>
      </w:pPr>
    </w:p>
    <w:p>
      <w:pPr>
        <w:pStyle w:val="33"/>
        <w:shd w:val="clear"/>
        <w:jc w:val="both"/>
        <w:rPr>
          <w:rFonts w:ascii="宋体" w:cs="宋体"/>
          <w:b/>
          <w:bCs/>
          <w:color w:val="auto"/>
          <w:sz w:val="36"/>
          <w:highlight w:val="none"/>
        </w:rPr>
      </w:pPr>
    </w:p>
    <w:p>
      <w:pPr>
        <w:pStyle w:val="33"/>
        <w:shd w:val="clear"/>
        <w:jc w:val="both"/>
        <w:rPr>
          <w:rFonts w:ascii="宋体" w:cs="宋体"/>
          <w:b/>
          <w:bCs/>
          <w:color w:val="auto"/>
          <w:sz w:val="36"/>
          <w:highlight w:val="none"/>
        </w:rPr>
      </w:pPr>
    </w:p>
    <w:p>
      <w:pPr>
        <w:pStyle w:val="33"/>
        <w:shd w:val="clear"/>
        <w:jc w:val="both"/>
        <w:rPr>
          <w:rFonts w:ascii="宋体" w:cs="宋体"/>
          <w:b/>
          <w:bCs/>
          <w:color w:val="auto"/>
          <w:sz w:val="36"/>
          <w:highlight w:val="none"/>
        </w:rPr>
      </w:pPr>
    </w:p>
    <w:p>
      <w:pPr>
        <w:pStyle w:val="33"/>
        <w:shd w:val="clear"/>
        <w:jc w:val="both"/>
        <w:rPr>
          <w:rFonts w:ascii="宋体" w:cs="宋体"/>
          <w:b/>
          <w:bCs/>
          <w:color w:val="auto"/>
          <w:sz w:val="36"/>
          <w:highlight w:val="none"/>
        </w:rPr>
      </w:pPr>
    </w:p>
    <w:p>
      <w:pPr>
        <w:pStyle w:val="33"/>
        <w:shd w:val="clear"/>
        <w:jc w:val="both"/>
        <w:rPr>
          <w:rFonts w:ascii="宋体" w:cs="宋体"/>
          <w:b/>
          <w:bCs/>
          <w:color w:val="auto"/>
          <w:sz w:val="36"/>
          <w:highlight w:val="none"/>
        </w:rPr>
      </w:pPr>
    </w:p>
    <w:p>
      <w:pPr>
        <w:pStyle w:val="33"/>
        <w:shd w:val="clear"/>
        <w:jc w:val="both"/>
        <w:rPr>
          <w:rFonts w:ascii="宋体" w:cs="宋体"/>
          <w:b/>
          <w:bCs/>
          <w:color w:val="auto"/>
          <w:sz w:val="36"/>
          <w:highlight w:val="none"/>
        </w:rPr>
      </w:pPr>
    </w:p>
    <w:p>
      <w:pPr>
        <w:pStyle w:val="33"/>
        <w:shd w:val="clear"/>
        <w:jc w:val="both"/>
        <w:rPr>
          <w:rFonts w:ascii="宋体" w:cs="宋体"/>
          <w:b/>
          <w:bCs/>
          <w:color w:val="auto"/>
          <w:sz w:val="36"/>
          <w:highlight w:val="none"/>
        </w:rPr>
      </w:pPr>
    </w:p>
    <w:p>
      <w:pPr>
        <w:pStyle w:val="33"/>
        <w:shd w:val="clear"/>
        <w:jc w:val="center"/>
        <w:outlineLvl w:val="0"/>
        <w:rPr>
          <w:rFonts w:ascii="宋体" w:cs="宋体"/>
          <w:b/>
          <w:bCs/>
          <w:color w:val="auto"/>
          <w:sz w:val="36"/>
          <w:highlight w:val="none"/>
        </w:rPr>
      </w:pPr>
      <w:bookmarkStart w:id="179" w:name="_Toc8973"/>
      <w:bookmarkStart w:id="180" w:name="_Toc2839"/>
      <w:bookmarkStart w:id="181" w:name="_Toc15370"/>
      <w:bookmarkStart w:id="182" w:name="_Toc2516"/>
      <w:r>
        <w:rPr>
          <w:rFonts w:hint="eastAsia" w:ascii="宋体" w:cs="宋体"/>
          <w:b/>
          <w:bCs/>
          <w:color w:val="auto"/>
          <w:sz w:val="36"/>
          <w:highlight w:val="none"/>
        </w:rPr>
        <w:t>附件16、其 他</w:t>
      </w:r>
      <w:bookmarkEnd w:id="170"/>
      <w:bookmarkEnd w:id="179"/>
      <w:bookmarkEnd w:id="180"/>
      <w:bookmarkEnd w:id="181"/>
      <w:bookmarkEnd w:id="182"/>
    </w:p>
    <w:p>
      <w:pPr>
        <w:shd w:val="clear"/>
        <w:spacing w:line="360" w:lineRule="auto"/>
        <w:ind w:left="480"/>
        <w:rPr>
          <w:rFonts w:ascii="宋体" w:hAnsi="宋体"/>
          <w:b/>
          <w:color w:val="auto"/>
          <w:highlight w:val="none"/>
        </w:rPr>
      </w:pPr>
    </w:p>
    <w:p>
      <w:pPr>
        <w:shd w:val="clear"/>
        <w:spacing w:line="360" w:lineRule="auto"/>
        <w:ind w:firstLine="472" w:firstLineChars="196"/>
        <w:rPr>
          <w:rFonts w:ascii="宋体" w:hAnsi="宋体"/>
          <w:color w:val="auto"/>
          <w:sz w:val="24"/>
          <w:szCs w:val="24"/>
          <w:highlight w:val="none"/>
        </w:rPr>
      </w:pPr>
      <w:r>
        <w:rPr>
          <w:rFonts w:hint="eastAsia" w:ascii="宋体" w:hAnsi="宋体"/>
          <w:b/>
          <w:color w:val="auto"/>
          <w:sz w:val="24"/>
          <w:szCs w:val="24"/>
          <w:highlight w:val="none"/>
        </w:rPr>
        <w:t>1、</w:t>
      </w:r>
      <w:r>
        <w:rPr>
          <w:rFonts w:hint="eastAsia" w:ascii="宋体" w:hAnsi="宋体" w:cs="宋体"/>
          <w:color w:val="auto"/>
          <w:kern w:val="0"/>
          <w:sz w:val="24"/>
          <w:szCs w:val="24"/>
          <w:highlight w:val="none"/>
        </w:rPr>
        <w:t>凡拟参加本次招标项目的投标人，如在“信用中国”网站（www.creditchina.gov.cn）被列入失信被执行人、税收违法黑名单、中国政府采购网（www.ccgp.gov.cn）政府采购严重违法失信行为记录名单的（尚在处罚期内的），将拒绝其参加本次采购活动。</w:t>
      </w:r>
    </w:p>
    <w:p>
      <w:pPr>
        <w:shd w:val="clear"/>
        <w:spacing w:line="360" w:lineRule="auto"/>
        <w:ind w:left="480"/>
        <w:rPr>
          <w:rFonts w:ascii="宋体" w:hAnsi="宋体"/>
          <w:color w:val="auto"/>
          <w:sz w:val="24"/>
          <w:szCs w:val="24"/>
          <w:highlight w:val="none"/>
        </w:rPr>
      </w:pPr>
      <w:r>
        <w:rPr>
          <w:rFonts w:hint="eastAsia" w:ascii="宋体" w:hAnsi="宋体"/>
          <w:b/>
          <w:color w:val="auto"/>
          <w:sz w:val="24"/>
          <w:szCs w:val="24"/>
          <w:highlight w:val="none"/>
        </w:rPr>
        <w:t>2、</w:t>
      </w:r>
      <w:r>
        <w:rPr>
          <w:rFonts w:hint="eastAsia" w:ascii="宋体" w:hAnsi="宋体"/>
          <w:color w:val="auto"/>
          <w:sz w:val="24"/>
          <w:szCs w:val="24"/>
          <w:highlight w:val="none"/>
        </w:rPr>
        <w:t>投标人认为有必要提交的其他资料。</w:t>
      </w:r>
    </w:p>
    <w:p>
      <w:pPr>
        <w:shd w:val="clear"/>
        <w:spacing w:line="360" w:lineRule="auto"/>
        <w:ind w:firstLine="472" w:firstLineChars="196"/>
        <w:rPr>
          <w:rFonts w:ascii="宋体" w:hAnsi="宋体"/>
          <w:bCs/>
          <w:color w:val="auto"/>
          <w:sz w:val="24"/>
          <w:szCs w:val="24"/>
          <w:highlight w:val="none"/>
        </w:rPr>
      </w:pPr>
      <w:r>
        <w:rPr>
          <w:rFonts w:hint="eastAsia" w:ascii="宋体" w:hAnsi="宋体"/>
          <w:b/>
          <w:color w:val="auto"/>
          <w:sz w:val="24"/>
          <w:szCs w:val="24"/>
          <w:highlight w:val="none"/>
        </w:rPr>
        <w:t>3、</w:t>
      </w:r>
      <w:r>
        <w:rPr>
          <w:rFonts w:hint="eastAsia" w:ascii="宋体" w:hAnsi="宋体"/>
          <w:bCs/>
          <w:color w:val="auto"/>
          <w:sz w:val="24"/>
          <w:szCs w:val="24"/>
          <w:highlight w:val="none"/>
        </w:rPr>
        <w:t>投标保证金凭证</w:t>
      </w:r>
    </w:p>
    <w:p>
      <w:pPr>
        <w:shd w:val="clear"/>
        <w:spacing w:line="360" w:lineRule="auto"/>
        <w:ind w:firstLine="472" w:firstLineChars="196"/>
        <w:rPr>
          <w:rFonts w:ascii="宋体" w:hAnsi="宋体"/>
          <w:b/>
          <w:color w:val="auto"/>
          <w:sz w:val="24"/>
          <w:szCs w:val="24"/>
          <w:highlight w:val="none"/>
        </w:rPr>
      </w:pPr>
    </w:p>
    <w:p>
      <w:pPr>
        <w:pStyle w:val="27"/>
        <w:shd w:val="clear"/>
        <w:outlineLvl w:val="9"/>
        <w:rPr>
          <w:color w:val="auto"/>
          <w:highlight w:val="none"/>
        </w:rPr>
      </w:pPr>
    </w:p>
    <w:p>
      <w:pPr>
        <w:shd w:val="clear"/>
        <w:rPr>
          <w:color w:val="auto"/>
          <w:highlight w:val="none"/>
        </w:rPr>
      </w:pPr>
    </w:p>
    <w:sectPr>
      <w:headerReference r:id="rId17" w:type="default"/>
      <w:footerReference r:id="rId18" w:type="default"/>
      <w:pgSz w:w="11906" w:h="16838"/>
      <w:pgMar w:top="1702" w:right="1800" w:bottom="1440" w:left="1800"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t>010010</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4"/>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4"/>
                          </w:pPr>
                          <w:r>
                            <w:fldChar w:fldCharType="begin"/>
                          </w:r>
                          <w:r>
                            <w:instrText xml:space="preserve"> PAGE  \* MERGEFORMAT </w:instrText>
                          </w:r>
                          <w:r>
                            <w:fldChar w:fldCharType="separate"/>
                          </w:r>
                          <w:r>
                            <w:t>55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55</w:t>
                    </w:r>
                    <w:r>
                      <w:fldChar w:fldCharType="end"/>
                    </w:r>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2"/>
      <w:rPr>
        <w:rStyle w:val="26"/>
      </w:rPr>
    </w:pPr>
    <w:r>
      <w:fldChar w:fldCharType="begin"/>
    </w:r>
    <w:r>
      <w:rPr>
        <w:rStyle w:val="26"/>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4"/>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84UPXAQAAsQ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bPOFD1wEAALEDAAAOAAAAAAAAAAEA&#10;IAAAACIBAABkcnMvZTJvRG9jLnhtbFBLBQYAAAAABgAGAFkBAABrBQAAAAA=&#10;">
              <v:fill on="f" focussize="0,0"/>
              <v:stroke on="f" weight="1.2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731"/>
      <w:rPr>
        <w:rFonts w:ascii="Calibri" w:hAnsi="Calibri" w:eastAsia="Calibri" w:cs="Calibri"/>
        <w:sz w:val="17"/>
        <w:szCs w:val="17"/>
      </w:rPr>
    </w:pPr>
    <w:r>
      <w:rPr>
        <w:rFonts w:ascii="Calibri" w:hAnsi="Calibri" w:eastAsia="Calibri" w:cs="Calibri"/>
        <w:sz w:val="17"/>
        <w:szCs w:val="17"/>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32"/>
      <w:rPr>
        <w:rFonts w:ascii="Calibri" w:hAnsi="Calibri" w:eastAsia="Calibri" w:cs="Calibri"/>
        <w:sz w:val="17"/>
        <w:szCs w:val="17"/>
      </w:rPr>
    </w:pPr>
    <w:r>
      <w:rPr>
        <w:rFonts w:ascii="Calibri" w:hAnsi="Calibri" w:eastAsia="Calibri" w:cs="Calibri"/>
        <w:sz w:val="17"/>
        <w:szCs w:val="17"/>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exact"/>
      <w:ind w:firstLine="5517"/>
      <w:rPr>
        <w:rFonts w:ascii="宋体" w:hAnsi="宋体" w:eastAsia="宋体" w:cs="宋体"/>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32"/>
      <w:rPr>
        <w:rFonts w:ascii="Calibri" w:hAnsi="Calibri" w:eastAsia="Calibri" w:cs="Calibri"/>
        <w:sz w:val="17"/>
        <w:szCs w:val="17"/>
      </w:rPr>
    </w:pPr>
    <w:r>
      <w:rPr>
        <w:rFonts w:ascii="Calibri" w:hAnsi="Calibri" w:eastAsia="Calibri" w:cs="Calibri"/>
        <w:sz w:val="17"/>
        <w:szCs w:val="17"/>
      </w:rPr>
      <w:t>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206"/>
      <w:rPr>
        <w:rFonts w:ascii="Calibri" w:hAnsi="Calibri" w:eastAsia="Calibri" w:cs="Calibri"/>
        <w:sz w:val="17"/>
        <w:szCs w:val="17"/>
      </w:rPr>
    </w:pPr>
    <w:r>
      <w:rPr>
        <w:rFonts w:ascii="Calibri" w:hAnsi="Calibri" w:eastAsia="Calibri" w:cs="Calibri"/>
        <w:sz w:val="17"/>
        <w:szCs w:val="17"/>
      </w:rPr>
      <w:t>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4"/>
      <w:rPr>
        <w:rFonts w:ascii="Calibri" w:hAnsi="Calibri" w:eastAsia="Calibri" w:cs="Calibri"/>
        <w:sz w:val="17"/>
        <w:szCs w:val="17"/>
      </w:rPr>
    </w:pPr>
    <w:r>
      <w:rPr>
        <w:rFonts w:ascii="Calibri" w:hAnsi="Calibri" w:eastAsia="Calibri" w:cs="Calibri"/>
        <w:sz w:val="17"/>
        <w:szCs w:val="17"/>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tabs>
        <w:tab w:val="left" w:pos="361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773CD"/>
    <w:multiLevelType w:val="singleLevel"/>
    <w:tmpl w:val="9EF773CD"/>
    <w:lvl w:ilvl="0" w:tentative="0">
      <w:start w:val="2"/>
      <w:numFmt w:val="decimal"/>
      <w:suff w:val="nothing"/>
      <w:lvlText w:val="%1、"/>
      <w:lvlJc w:val="left"/>
    </w:lvl>
  </w:abstractNum>
  <w:abstractNum w:abstractNumId="1">
    <w:nsid w:val="BFE05996"/>
    <w:multiLevelType w:val="singleLevel"/>
    <w:tmpl w:val="BFE05996"/>
    <w:lvl w:ilvl="0" w:tentative="0">
      <w:start w:val="1"/>
      <w:numFmt w:val="decimal"/>
      <w:lvlText w:val="%1."/>
      <w:lvlJc w:val="left"/>
      <w:pPr>
        <w:tabs>
          <w:tab w:val="left" w:pos="312"/>
        </w:tabs>
      </w:pPr>
    </w:lvl>
  </w:abstractNum>
  <w:abstractNum w:abstractNumId="2">
    <w:nsid w:val="C59C29D0"/>
    <w:multiLevelType w:val="singleLevel"/>
    <w:tmpl w:val="C59C29D0"/>
    <w:lvl w:ilvl="0" w:tentative="0">
      <w:start w:val="1"/>
      <w:numFmt w:val="decimal"/>
      <w:suff w:val="nothing"/>
      <w:lvlText w:val="%1、"/>
      <w:lvlJc w:val="left"/>
    </w:lvl>
  </w:abstractNum>
  <w:abstractNum w:abstractNumId="3">
    <w:nsid w:val="C9AD57AB"/>
    <w:multiLevelType w:val="singleLevel"/>
    <w:tmpl w:val="C9AD57AB"/>
    <w:lvl w:ilvl="0" w:tentative="0">
      <w:start w:val="1"/>
      <w:numFmt w:val="decimal"/>
      <w:suff w:val="nothing"/>
      <w:lvlText w:val="%1、"/>
      <w:lvlJc w:val="left"/>
    </w:lvl>
  </w:abstractNum>
  <w:abstractNum w:abstractNumId="4">
    <w:nsid w:val="D7DDC95A"/>
    <w:multiLevelType w:val="singleLevel"/>
    <w:tmpl w:val="D7DDC95A"/>
    <w:lvl w:ilvl="0" w:tentative="0">
      <w:start w:val="4"/>
      <w:numFmt w:val="chineseCounting"/>
      <w:suff w:val="nothing"/>
      <w:lvlText w:val="%1、"/>
      <w:lvlJc w:val="left"/>
      <w:rPr>
        <w:rFonts w:hint="eastAsia"/>
      </w:rPr>
    </w:lvl>
  </w:abstractNum>
  <w:abstractNum w:abstractNumId="5">
    <w:nsid w:val="F8DE272A"/>
    <w:multiLevelType w:val="singleLevel"/>
    <w:tmpl w:val="F8DE272A"/>
    <w:lvl w:ilvl="0" w:tentative="0">
      <w:start w:val="1"/>
      <w:numFmt w:val="decimal"/>
      <w:suff w:val="nothing"/>
      <w:lvlText w:val="（%1）"/>
      <w:lvlJc w:val="left"/>
      <w:pPr>
        <w:ind w:left="-22"/>
      </w:pPr>
    </w:lvl>
  </w:abstractNum>
  <w:abstractNum w:abstractNumId="6">
    <w:nsid w:val="FB09CEB0"/>
    <w:multiLevelType w:val="singleLevel"/>
    <w:tmpl w:val="FB09CEB0"/>
    <w:lvl w:ilvl="0" w:tentative="0">
      <w:start w:val="2"/>
      <w:numFmt w:val="decimal"/>
      <w:suff w:val="nothing"/>
      <w:lvlText w:val="%1、"/>
      <w:lvlJc w:val="left"/>
    </w:lvl>
  </w:abstractNum>
  <w:abstractNum w:abstractNumId="7">
    <w:nsid w:val="0000000B"/>
    <w:multiLevelType w:val="singleLevel"/>
    <w:tmpl w:val="0000000B"/>
    <w:lvl w:ilvl="0" w:tentative="0">
      <w:start w:val="1"/>
      <w:numFmt w:val="upperLetter"/>
      <w:pStyle w:val="5"/>
      <w:lvlText w:val="%1."/>
      <w:lvlJc w:val="left"/>
      <w:pPr>
        <w:tabs>
          <w:tab w:val="left" w:pos="420"/>
        </w:tabs>
        <w:ind w:left="420" w:hanging="330"/>
      </w:pPr>
    </w:lvl>
  </w:abstractNum>
  <w:abstractNum w:abstractNumId="8">
    <w:nsid w:val="38111D05"/>
    <w:multiLevelType w:val="singleLevel"/>
    <w:tmpl w:val="38111D05"/>
    <w:lvl w:ilvl="0" w:tentative="0">
      <w:start w:val="1"/>
      <w:numFmt w:val="decimal"/>
      <w:lvlText w:val="%1."/>
      <w:lvlJc w:val="left"/>
      <w:pPr>
        <w:tabs>
          <w:tab w:val="left" w:pos="312"/>
        </w:tabs>
      </w:pPr>
    </w:lvl>
  </w:abstractNum>
  <w:abstractNum w:abstractNumId="9">
    <w:nsid w:val="5ACC8048"/>
    <w:multiLevelType w:val="singleLevel"/>
    <w:tmpl w:val="5ACC8048"/>
    <w:lvl w:ilvl="0" w:tentative="0">
      <w:start w:val="1"/>
      <w:numFmt w:val="chineseCounting"/>
      <w:suff w:val="nothing"/>
      <w:lvlText w:val="%1、"/>
      <w:lvlJc w:val="left"/>
      <w:pPr>
        <w:ind w:left="-52"/>
      </w:pPr>
    </w:lvl>
  </w:abstractNum>
  <w:abstractNum w:abstractNumId="10">
    <w:nsid w:val="70853ED1"/>
    <w:multiLevelType w:val="singleLevel"/>
    <w:tmpl w:val="70853ED1"/>
    <w:lvl w:ilvl="0" w:tentative="0">
      <w:start w:val="2"/>
      <w:numFmt w:val="chineseCounting"/>
      <w:suff w:val="space"/>
      <w:lvlText w:val="第%1章"/>
      <w:lvlJc w:val="left"/>
      <w:pPr>
        <w:ind w:left="3360"/>
      </w:pPr>
      <w:rPr>
        <w:rFonts w:hint="eastAsia"/>
      </w:rPr>
    </w:lvl>
  </w:abstractNum>
  <w:num w:numId="1">
    <w:abstractNumId w:val="7"/>
  </w:num>
  <w:num w:numId="2">
    <w:abstractNumId w:val="9"/>
  </w:num>
  <w:num w:numId="3">
    <w:abstractNumId w:val="8"/>
  </w:num>
  <w:num w:numId="4">
    <w:abstractNumId w:val="10"/>
  </w:num>
  <w:num w:numId="5">
    <w:abstractNumId w:val="1"/>
  </w:num>
  <w:num w:numId="6">
    <w:abstractNumId w:val="4"/>
  </w:num>
  <w:num w:numId="7">
    <w:abstractNumId w:val="2"/>
  </w:num>
  <w:num w:numId="8">
    <w:abstractNumId w:val="6"/>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2YzVlNjYwMWU4ZWExYTQ5ODQ3OGFhZDQ2ZDkxYzMifQ=="/>
  </w:docVars>
  <w:rsids>
    <w:rsidRoot w:val="04B32BB1"/>
    <w:rsid w:val="00562F0A"/>
    <w:rsid w:val="00C2711A"/>
    <w:rsid w:val="00C411AA"/>
    <w:rsid w:val="0442423B"/>
    <w:rsid w:val="04B32BB1"/>
    <w:rsid w:val="060153FB"/>
    <w:rsid w:val="069074E0"/>
    <w:rsid w:val="072E0AA7"/>
    <w:rsid w:val="07302506"/>
    <w:rsid w:val="0A117DCB"/>
    <w:rsid w:val="10D10B12"/>
    <w:rsid w:val="12C9796E"/>
    <w:rsid w:val="13FB7F63"/>
    <w:rsid w:val="148443FC"/>
    <w:rsid w:val="16655014"/>
    <w:rsid w:val="17E62C77"/>
    <w:rsid w:val="18A65AA3"/>
    <w:rsid w:val="1C9A47BD"/>
    <w:rsid w:val="1F4F6B54"/>
    <w:rsid w:val="23333F99"/>
    <w:rsid w:val="25657931"/>
    <w:rsid w:val="258C59D8"/>
    <w:rsid w:val="27C94452"/>
    <w:rsid w:val="2831083F"/>
    <w:rsid w:val="28721DF4"/>
    <w:rsid w:val="2ADE61BC"/>
    <w:rsid w:val="32FC7F19"/>
    <w:rsid w:val="3A141A1A"/>
    <w:rsid w:val="3A88433C"/>
    <w:rsid w:val="3C8D359E"/>
    <w:rsid w:val="414A5F02"/>
    <w:rsid w:val="428F4C0E"/>
    <w:rsid w:val="44290382"/>
    <w:rsid w:val="45DD5596"/>
    <w:rsid w:val="48223734"/>
    <w:rsid w:val="483C7101"/>
    <w:rsid w:val="539969CD"/>
    <w:rsid w:val="5A091CE1"/>
    <w:rsid w:val="5BE35FCF"/>
    <w:rsid w:val="5C507794"/>
    <w:rsid w:val="5CF770B5"/>
    <w:rsid w:val="61FB69A6"/>
    <w:rsid w:val="63460B0A"/>
    <w:rsid w:val="649E1F3D"/>
    <w:rsid w:val="66DF7B39"/>
    <w:rsid w:val="67AD2D6C"/>
    <w:rsid w:val="68614B5C"/>
    <w:rsid w:val="69CE0BCF"/>
    <w:rsid w:val="6D3C0545"/>
    <w:rsid w:val="707225BD"/>
    <w:rsid w:val="757E794D"/>
    <w:rsid w:val="76B20C88"/>
    <w:rsid w:val="76D666AF"/>
    <w:rsid w:val="7AC878BC"/>
    <w:rsid w:val="7F4F6458"/>
    <w:rsid w:val="7FF33CCE"/>
    <w:rsid w:val="E8EAEF1F"/>
    <w:rsid w:val="F6FF68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3"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4"/>
    <w:next w:val="1"/>
    <w:qFormat/>
    <w:uiPriority w:val="0"/>
    <w:pPr>
      <w:keepNext/>
    </w:pPr>
    <w:rPr>
      <w:rFonts w:ascii="仿宋_GB2312" w:eastAsia="仿宋_GB2312"/>
      <w:sz w:val="28"/>
    </w:rPr>
  </w:style>
  <w:style w:type="paragraph" w:styleId="5">
    <w:name w:val="heading 2"/>
    <w:basedOn w:val="1"/>
    <w:next w:val="1"/>
    <w:qFormat/>
    <w:uiPriority w:val="0"/>
    <w:pPr>
      <w:keepNext/>
      <w:numPr>
        <w:ilvl w:val="0"/>
        <w:numId w:val="1"/>
      </w:numPr>
      <w:spacing w:line="360" w:lineRule="auto"/>
      <w:outlineLvl w:val="1"/>
    </w:pPr>
    <w:rPr>
      <w:b/>
      <w:sz w:val="24"/>
      <w:szCs w:val="24"/>
    </w:rPr>
  </w:style>
  <w:style w:type="paragraph" w:styleId="6">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4">
    <w:name w:val="Title"/>
    <w:basedOn w:val="1"/>
    <w:next w:val="1"/>
    <w:qFormat/>
    <w:uiPriority w:val="99"/>
    <w:pPr>
      <w:spacing w:before="240" w:after="60"/>
      <w:jc w:val="center"/>
      <w:outlineLvl w:val="0"/>
    </w:pPr>
    <w:rPr>
      <w:rFonts w:ascii="新宋体" w:hAnsi="Cambria" w:eastAsia="新宋体"/>
      <w:b/>
      <w:bCs/>
      <w:sz w:val="40"/>
      <w:szCs w:val="32"/>
    </w:rPr>
  </w:style>
  <w:style w:type="paragraph" w:styleId="7">
    <w:name w:val="Normal Indent"/>
    <w:basedOn w:val="1"/>
    <w:qFormat/>
    <w:uiPriority w:val="99"/>
    <w:pPr>
      <w:ind w:firstLine="420" w:firstLineChars="200"/>
    </w:pPr>
    <w:rPr>
      <w:szCs w:val="24"/>
    </w:rPr>
  </w:style>
  <w:style w:type="paragraph" w:styleId="8">
    <w:name w:val="index 5"/>
    <w:basedOn w:val="1"/>
    <w:next w:val="1"/>
    <w:unhideWhenUsed/>
    <w:qFormat/>
    <w:uiPriority w:val="0"/>
    <w:pPr>
      <w:ind w:left="800" w:leftChars="800"/>
    </w:pPr>
    <w:rPr>
      <w:lang w:bidi="he-IL"/>
    </w:rPr>
  </w:style>
  <w:style w:type="paragraph" w:styleId="9">
    <w:name w:val="toa heading"/>
    <w:basedOn w:val="1"/>
    <w:next w:val="1"/>
    <w:qFormat/>
    <w:uiPriority w:val="0"/>
    <w:pPr>
      <w:spacing w:before="120"/>
    </w:pPr>
    <w:rPr>
      <w:rFonts w:ascii="Cambria" w:hAnsi="Cambria"/>
      <w:sz w:val="24"/>
    </w:rPr>
  </w:style>
  <w:style w:type="paragraph" w:styleId="10">
    <w:name w:val="index 6"/>
    <w:basedOn w:val="1"/>
    <w:next w:val="1"/>
    <w:qFormat/>
    <w:uiPriority w:val="99"/>
    <w:pPr>
      <w:ind w:left="2100"/>
    </w:pPr>
  </w:style>
  <w:style w:type="paragraph" w:styleId="11">
    <w:name w:val="Body Text Indent"/>
    <w:basedOn w:val="1"/>
    <w:unhideWhenUsed/>
    <w:qFormat/>
    <w:uiPriority w:val="99"/>
    <w:pPr>
      <w:ind w:firstLine="480"/>
    </w:pPr>
    <w:rPr>
      <w:rFonts w:ascii="宋体" w:hAnsi="宋体"/>
      <w:sz w:val="24"/>
    </w:rPr>
  </w:style>
  <w:style w:type="paragraph" w:styleId="12">
    <w:name w:val="Plain Text"/>
    <w:basedOn w:val="1"/>
    <w:qFormat/>
    <w:uiPriority w:val="0"/>
    <w:rPr>
      <w:rFonts w:ascii="宋体" w:hAnsi="宋体"/>
    </w:rPr>
  </w:style>
  <w:style w:type="paragraph" w:styleId="13">
    <w:name w:val="Body Text Indent 2"/>
    <w:basedOn w:val="1"/>
    <w:qFormat/>
    <w:uiPriority w:val="0"/>
    <w:pPr>
      <w:spacing w:line="360" w:lineRule="auto"/>
      <w:ind w:firstLine="555"/>
    </w:pPr>
    <w:rPr>
      <w:rFonts w:ascii="仿宋_GB2312" w:eastAsia="仿宋_GB2312"/>
      <w:sz w:val="2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spacing w:before="120" w:after="120"/>
      <w:jc w:val="left"/>
    </w:pPr>
    <w:rPr>
      <w:b/>
      <w:bCs/>
      <w:caps/>
      <w:sz w:val="20"/>
    </w:rPr>
  </w:style>
  <w:style w:type="paragraph" w:styleId="17">
    <w:name w:val="Subtitle"/>
    <w:basedOn w:val="1"/>
    <w:next w:val="1"/>
    <w:qFormat/>
    <w:uiPriority w:val="3"/>
    <w:pPr>
      <w:jc w:val="center"/>
      <w:outlineLvl w:val="1"/>
    </w:pPr>
    <w:rPr>
      <w:rFonts w:ascii="黑体" w:hAnsi="黑体" w:eastAsia="黑体"/>
      <w:b/>
      <w:bCs/>
      <w:kern w:val="28"/>
      <w:sz w:val="30"/>
      <w:szCs w:val="22"/>
    </w:rPr>
  </w:style>
  <w:style w:type="paragraph" w:styleId="18">
    <w:name w:val="footnote text"/>
    <w:basedOn w:val="1"/>
    <w:next w:val="8"/>
    <w:unhideWhenUsed/>
    <w:qFormat/>
    <w:uiPriority w:val="99"/>
    <w:pPr>
      <w:adjustRightInd w:val="0"/>
      <w:spacing w:line="312" w:lineRule="atLeast"/>
      <w:jc w:val="left"/>
      <w:textAlignment w:val="baseline"/>
    </w:pPr>
    <w:rPr>
      <w:kern w:val="0"/>
      <w:sz w:val="18"/>
    </w:rPr>
  </w:style>
  <w:style w:type="paragraph" w:styleId="19">
    <w:name w:val="HTML Preformatted"/>
    <w:basedOn w:val="1"/>
    <w:semiHidden/>
    <w:unhideWhenUsed/>
    <w:qFormat/>
    <w:uiPriority w:val="99"/>
    <w:rPr>
      <w:rFonts w:ascii="Courier New" w:hAnsi="Courier New" w:cs="Courier New"/>
      <w:sz w:val="20"/>
    </w:rPr>
  </w:style>
  <w:style w:type="paragraph" w:styleId="20">
    <w:name w:val="index 1"/>
    <w:basedOn w:val="1"/>
    <w:next w:val="1"/>
    <w:qFormat/>
    <w:uiPriority w:val="0"/>
    <w:pPr>
      <w:spacing w:line="320" w:lineRule="exact"/>
      <w:jc w:val="center"/>
    </w:pPr>
    <w:rPr>
      <w:rFonts w:eastAsia="仿宋_GB2312"/>
      <w:b/>
    </w:rPr>
  </w:style>
  <w:style w:type="paragraph" w:styleId="21">
    <w:name w:val="Body Text First Indent"/>
    <w:basedOn w:val="2"/>
    <w:qFormat/>
    <w:uiPriority w:val="0"/>
    <w:pPr>
      <w:autoSpaceDE w:val="0"/>
      <w:autoSpaceDN w:val="0"/>
      <w:adjustRightInd w:val="0"/>
      <w:spacing w:line="312" w:lineRule="atLeast"/>
      <w:ind w:firstLine="420"/>
    </w:pPr>
    <w:rPr>
      <w:rFonts w:ascii="宋体"/>
      <w:kern w:val="0"/>
    </w:rPr>
  </w:style>
  <w:style w:type="paragraph" w:styleId="22">
    <w:name w:val="Body Text First Indent 2"/>
    <w:basedOn w:val="11"/>
    <w:next w:val="1"/>
    <w:qFormat/>
    <w:uiPriority w:val="0"/>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paragraph" w:customStyle="1" w:styleId="27">
    <w:name w:val="Default"/>
    <w:basedOn w:val="4"/>
    <w:next w:val="3"/>
    <w:qFormat/>
    <w:uiPriority w:val="0"/>
    <w:pPr>
      <w:autoSpaceDE w:val="0"/>
      <w:autoSpaceDN w:val="0"/>
      <w:adjustRightInd w:val="0"/>
    </w:pPr>
    <w:rPr>
      <w:rFonts w:ascii="黑体" w:eastAsia="黑体"/>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3">
    <w:name w:val="È±Ê¡ÎÄ±¾"/>
    <w:basedOn w:val="1"/>
    <w:qFormat/>
    <w:uiPriority w:val="0"/>
    <w:pPr>
      <w:widowControl/>
      <w:overflowPunct w:val="0"/>
      <w:autoSpaceDE w:val="0"/>
      <w:autoSpaceDN w:val="0"/>
      <w:adjustRightInd w:val="0"/>
      <w:jc w:val="left"/>
    </w:pPr>
    <w:rPr>
      <w:kern w:val="0"/>
      <w:sz w:val="24"/>
    </w:rPr>
  </w:style>
  <w:style w:type="paragraph" w:customStyle="1" w:styleId="34">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 w:type="paragraph" w:customStyle="1" w:styleId="35">
    <w:name w:val="BodyText1I"/>
    <w:basedOn w:val="36"/>
    <w:qFormat/>
    <w:uiPriority w:val="0"/>
    <w:pPr>
      <w:spacing w:line="360" w:lineRule="auto"/>
    </w:pPr>
    <w:rPr>
      <w:rFonts w:ascii="仿宋_GB2312" w:hAnsi="Times New Roman" w:eastAsia="仿宋_GB2312"/>
      <w:sz w:val="30"/>
      <w:szCs w:val="30"/>
    </w:rPr>
  </w:style>
  <w:style w:type="paragraph" w:customStyle="1" w:styleId="36">
    <w:name w:val="BodyText"/>
    <w:basedOn w:val="1"/>
    <w:next w:val="37"/>
    <w:qFormat/>
    <w:uiPriority w:val="0"/>
    <w:pPr>
      <w:widowControl/>
      <w:spacing w:before="156"/>
      <w:ind w:firstLine="200" w:firstLineChars="200"/>
      <w:textAlignment w:val="baseline"/>
    </w:pPr>
    <w:rPr>
      <w:rFonts w:ascii="楷体_GB2312" w:hAnsi="Arial" w:eastAsia="楷体_GB2312"/>
      <w:sz w:val="28"/>
      <w:szCs w:val="28"/>
    </w:rPr>
  </w:style>
  <w:style w:type="paragraph" w:customStyle="1" w:styleId="37">
    <w:name w:val="180"/>
    <w:basedOn w:val="1"/>
    <w:next w:val="1"/>
    <w:qFormat/>
    <w:uiPriority w:val="0"/>
    <w:pPr>
      <w:spacing w:after="160" w:line="259" w:lineRule="auto"/>
      <w:textAlignment w:val="baseline"/>
    </w:pPr>
    <w:rPr>
      <w:rFonts w:ascii="Calibri" w:hAnsi="Calibri"/>
      <w:i/>
      <w:iCs/>
      <w:color w:val="000000"/>
      <w:szCs w:val="24"/>
    </w:rPr>
  </w:style>
  <w:style w:type="paragraph" w:customStyle="1" w:styleId="38">
    <w:name w:val="列出段落1"/>
    <w:basedOn w:val="1"/>
    <w:qFormat/>
    <w:uiPriority w:val="34"/>
    <w:pPr>
      <w:ind w:firstLine="420" w:firstLineChars="200"/>
    </w:pPr>
  </w:style>
  <w:style w:type="table" w:customStyle="1" w:styleId="39">
    <w:name w:val="Table Normal"/>
    <w:semiHidden/>
    <w:unhideWhenUsed/>
    <w:qFormat/>
    <w:uiPriority w:val="0"/>
    <w:tblPr>
      <w:tblCellMar>
        <w:top w:w="0" w:type="dxa"/>
        <w:left w:w="0" w:type="dxa"/>
        <w:bottom w:w="0" w:type="dxa"/>
        <w:right w:w="0" w:type="dxa"/>
      </w:tblCellMar>
    </w:tblPr>
  </w:style>
  <w:style w:type="character" w:customStyle="1" w:styleId="40">
    <w:name w:val="NormalCharacter"/>
    <w:semiHidden/>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5.png"/><Relationship Id="rId23" Type="http://schemas.openxmlformats.org/officeDocument/2006/relationships/image" Target="media/image4.jpeg"/><Relationship Id="rId22" Type="http://schemas.openxmlformats.org/officeDocument/2006/relationships/image" Target="media/image3.jpe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4526</Words>
  <Characters>25802</Characters>
  <Lines>215</Lines>
  <Paragraphs>60</Paragraphs>
  <TotalTime>71</TotalTime>
  <ScaleCrop>false</ScaleCrop>
  <LinksUpToDate>false</LinksUpToDate>
  <CharactersWithSpaces>30268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2022-12-02T19:37:00Z</dcterms:created>
  <dc:creator>付伟</dc:creator>
  <cp:lastModifiedBy>小代</cp:lastModifiedBy>
  <dcterms:modified xsi:type="dcterms:W3CDTF">2023-11-17T04:39:51Z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E45438E9D34D458981658DFB000721D3_13</vt:lpwstr>
  </property>
</Properties>
</file>