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firstLine="723" w:firstLineChars="100"/>
        <w:jc w:val="both"/>
        <w:rPr>
          <w:rFonts w:hint="eastAsia" w:ascii="宋体" w:hAnsi="宋体"/>
          <w:b/>
          <w:sz w:val="72"/>
          <w:szCs w:val="72"/>
        </w:rPr>
      </w:pPr>
    </w:p>
    <w:p>
      <w:pPr>
        <w:spacing w:line="820" w:lineRule="exact"/>
        <w:ind w:firstLine="723" w:firstLineChars="100"/>
        <w:jc w:val="both"/>
        <w:rPr>
          <w:rFonts w:hint="eastAsia" w:ascii="宋体" w:hAnsi="宋体"/>
          <w:b/>
          <w:sz w:val="72"/>
          <w:szCs w:val="72"/>
        </w:rPr>
      </w:pPr>
    </w:p>
    <w:p>
      <w:pPr>
        <w:spacing w:line="820" w:lineRule="exact"/>
        <w:ind w:firstLine="1446" w:firstLineChars="200"/>
        <w:jc w:val="both"/>
        <w:rPr>
          <w:rFonts w:hint="eastAsia" w:ascii="宋体" w:hAnsi="宋体"/>
          <w:b/>
          <w:sz w:val="72"/>
          <w:szCs w:val="72"/>
        </w:rPr>
      </w:pPr>
      <w:r>
        <w:rPr>
          <w:rFonts w:hint="eastAsia" w:ascii="宋体" w:hAnsi="宋体"/>
          <w:b/>
          <w:sz w:val="72"/>
          <w:szCs w:val="72"/>
        </w:rPr>
        <w:t>竞争性</w:t>
      </w:r>
      <w:r>
        <w:rPr>
          <w:rFonts w:hint="eastAsia" w:ascii="宋体" w:hAnsi="宋体"/>
          <w:b/>
          <w:sz w:val="72"/>
          <w:szCs w:val="72"/>
          <w:lang w:eastAsia="zh-CN"/>
        </w:rPr>
        <w:t>磋商</w:t>
      </w:r>
      <w:r>
        <w:rPr>
          <w:rFonts w:hint="eastAsia" w:ascii="宋体" w:hAnsi="宋体"/>
          <w:b/>
          <w:sz w:val="72"/>
          <w:szCs w:val="72"/>
        </w:rPr>
        <w:t>采购文件</w:t>
      </w:r>
    </w:p>
    <w:p>
      <w:pPr>
        <w:pStyle w:val="2"/>
        <w:spacing w:before="0" w:after="0" w:line="240" w:lineRule="auto"/>
        <w:rPr>
          <w:rFonts w:hint="eastAsia" w:ascii="宋体" w:hAnsi="宋体"/>
          <w:b/>
          <w:color w:val="auto"/>
          <w:sz w:val="32"/>
          <w:szCs w:val="32"/>
        </w:rPr>
      </w:pPr>
    </w:p>
    <w:p>
      <w:pPr>
        <w:rPr>
          <w:rFonts w:hint="eastAsia" w:ascii="宋体" w:hAnsi="宋体"/>
          <w:b/>
          <w:color w:val="auto"/>
          <w:sz w:val="32"/>
          <w:szCs w:val="32"/>
        </w:rPr>
      </w:pPr>
    </w:p>
    <w:p>
      <w:pPr>
        <w:pStyle w:val="10"/>
        <w:rPr>
          <w:rFonts w:hint="eastAsia" w:ascii="宋体" w:hAnsi="宋体"/>
          <w:b/>
          <w:color w:val="auto"/>
          <w:sz w:val="32"/>
          <w:szCs w:val="32"/>
        </w:rPr>
      </w:pPr>
    </w:p>
    <w:p>
      <w:pPr>
        <w:spacing w:line="560" w:lineRule="exact"/>
        <w:ind w:firstLine="643" w:firstLineChars="200"/>
        <w:rPr>
          <w:rFonts w:hint="default"/>
          <w:color w:val="auto"/>
          <w:lang w:val="en-US"/>
        </w:rPr>
      </w:pPr>
      <w:r>
        <w:rPr>
          <w:rFonts w:hint="eastAsia" w:ascii="宋体" w:hAnsi="宋体"/>
          <w:b/>
          <w:sz w:val="32"/>
          <w:szCs w:val="32"/>
        </w:rPr>
        <w:t>文件编</w:t>
      </w:r>
      <w:r>
        <w:rPr>
          <w:rFonts w:hint="eastAsia" w:ascii="宋体" w:hAnsi="宋体"/>
          <w:b/>
          <w:color w:val="auto"/>
          <w:sz w:val="32"/>
          <w:szCs w:val="32"/>
        </w:rPr>
        <w:t>号：</w:t>
      </w:r>
      <w:r>
        <w:rPr>
          <w:rFonts w:hint="eastAsia" w:ascii="宋体" w:hAnsi="宋体"/>
          <w:b/>
          <w:color w:val="auto"/>
          <w:sz w:val="32"/>
          <w:szCs w:val="32"/>
          <w:u w:val="single"/>
          <w:lang w:eastAsia="zh-CN"/>
        </w:rPr>
        <w:t>XHYJ-QTCG2023-114</w:t>
      </w:r>
    </w:p>
    <w:p>
      <w:pPr>
        <w:rPr>
          <w:rFonts w:hint="eastAsia"/>
        </w:rPr>
      </w:pPr>
    </w:p>
    <w:p>
      <w:pPr>
        <w:spacing w:line="560" w:lineRule="exact"/>
        <w:ind w:left="638" w:leftChars="304" w:firstLine="0" w:firstLineChars="0"/>
        <w:rPr>
          <w:rFonts w:hint="eastAsia" w:ascii="宋体" w:hAnsi="宋体"/>
          <w:b/>
          <w:color w:val="auto"/>
          <w:sz w:val="32"/>
          <w:szCs w:val="32"/>
          <w:u w:val="single"/>
          <w:lang w:val="en-US" w:eastAsia="zh-CN"/>
        </w:rPr>
      </w:pPr>
      <w:r>
        <w:rPr>
          <w:rFonts w:hint="eastAsia" w:ascii="宋体" w:hAnsi="宋体"/>
          <w:b/>
          <w:color w:val="auto"/>
          <w:sz w:val="32"/>
          <w:szCs w:val="32"/>
          <w:u w:val="none"/>
        </w:rPr>
        <w:t>项目名称：</w:t>
      </w:r>
      <w:r>
        <w:rPr>
          <w:rFonts w:hint="eastAsia" w:ascii="宋体" w:hAnsi="宋体"/>
          <w:b/>
          <w:color w:val="auto"/>
          <w:sz w:val="32"/>
          <w:szCs w:val="32"/>
          <w:u w:val="single"/>
          <w:lang w:val="en-US" w:eastAsia="zh-CN"/>
        </w:rPr>
        <w:t xml:space="preserve">奇台县园地林地草地定级和基准地价制定工作      </w:t>
      </w:r>
    </w:p>
    <w:p>
      <w:pPr>
        <w:spacing w:line="560" w:lineRule="exact"/>
        <w:ind w:left="638" w:leftChars="304" w:firstLine="0" w:firstLineChars="0"/>
        <w:rPr>
          <w:rFonts w:hint="eastAsia" w:ascii="宋体" w:hAnsi="宋体"/>
          <w:b/>
          <w:color w:val="auto"/>
          <w:sz w:val="32"/>
          <w:szCs w:val="32"/>
          <w:u w:val="none"/>
          <w:lang w:val="en-US" w:eastAsia="zh-CN"/>
        </w:rPr>
      </w:pPr>
    </w:p>
    <w:p>
      <w:pPr>
        <w:pStyle w:val="10"/>
        <w:ind w:firstLine="643" w:firstLineChars="200"/>
        <w:rPr>
          <w:rFonts w:hint="eastAsia" w:ascii="宋体" w:hAnsi="宋体" w:cs="Times New Roman"/>
          <w:b/>
          <w:color w:val="auto"/>
          <w:sz w:val="32"/>
          <w:szCs w:val="32"/>
          <w:u w:val="single"/>
          <w:lang w:val="en-US" w:eastAsia="zh-CN"/>
        </w:rPr>
      </w:pPr>
      <w:r>
        <w:rPr>
          <w:rFonts w:hint="eastAsia" w:ascii="宋体" w:hAnsi="宋体"/>
          <w:b/>
          <w:color w:val="auto"/>
          <w:sz w:val="32"/>
          <w:szCs w:val="32"/>
          <w:u w:val="none"/>
        </w:rPr>
        <w:t>采购人：</w:t>
      </w:r>
      <w:r>
        <w:rPr>
          <w:rFonts w:hint="eastAsia" w:ascii="宋体" w:hAnsi="宋体" w:cs="Times New Roman"/>
          <w:b/>
          <w:color w:val="auto"/>
          <w:sz w:val="32"/>
          <w:szCs w:val="32"/>
          <w:u w:val="single"/>
          <w:lang w:val="en-US" w:eastAsia="zh-CN"/>
        </w:rPr>
        <w:t xml:space="preserve">奇台县自然资源局 </w:t>
      </w:r>
    </w:p>
    <w:p>
      <w:pPr>
        <w:rPr>
          <w:rFonts w:hint="eastAsia"/>
        </w:rPr>
      </w:pPr>
    </w:p>
    <w:p>
      <w:pPr>
        <w:pStyle w:val="2"/>
        <w:ind w:firstLine="643" w:firstLineChars="200"/>
        <w:rPr>
          <w:rFonts w:hint="eastAsia" w:ascii="宋体" w:hAnsi="宋体" w:eastAsia="宋体"/>
          <w:b/>
          <w:sz w:val="32"/>
          <w:szCs w:val="32"/>
          <w:u w:val="single"/>
          <w:lang w:eastAsia="zh-CN"/>
        </w:rPr>
      </w:pPr>
      <w:r>
        <w:rPr>
          <w:rFonts w:hint="eastAsia" w:ascii="宋体" w:hAnsi="宋体"/>
          <w:b/>
          <w:color w:val="auto"/>
          <w:sz w:val="32"/>
          <w:szCs w:val="32"/>
          <w:u w:val="none"/>
        </w:rPr>
        <w:t>招标机构：</w:t>
      </w:r>
      <w:r>
        <w:rPr>
          <w:rFonts w:hint="eastAsia" w:ascii="宋体" w:hAnsi="宋体"/>
          <w:b/>
          <w:color w:val="auto"/>
          <w:sz w:val="32"/>
          <w:szCs w:val="32"/>
          <w:u w:val="single"/>
          <w:lang w:eastAsia="zh-CN"/>
        </w:rPr>
        <w:t>新疆新华远景工程造价咨询有限公司</w:t>
      </w:r>
    </w:p>
    <w:p>
      <w:pPr>
        <w:pStyle w:val="12"/>
        <w:adjustRightInd w:val="0"/>
        <w:snapToGrid w:val="0"/>
        <w:spacing w:line="360" w:lineRule="auto"/>
        <w:jc w:val="center"/>
        <w:rPr>
          <w:rFonts w:hint="eastAsia" w:hAnsi="宋体" w:cs="宋体"/>
          <w:b/>
          <w:spacing w:val="40"/>
          <w:sz w:val="32"/>
          <w:szCs w:val="32"/>
        </w:rPr>
      </w:pPr>
    </w:p>
    <w:p>
      <w:pPr>
        <w:pStyle w:val="12"/>
        <w:tabs>
          <w:tab w:val="left" w:pos="4635"/>
        </w:tabs>
        <w:adjustRightInd w:val="0"/>
        <w:snapToGrid w:val="0"/>
        <w:spacing w:line="360" w:lineRule="auto"/>
        <w:jc w:val="left"/>
        <w:rPr>
          <w:rFonts w:hAnsi="宋体" w:cs="宋体"/>
          <w:b/>
          <w:spacing w:val="40"/>
          <w:sz w:val="32"/>
          <w:szCs w:val="32"/>
        </w:rPr>
      </w:pPr>
      <w:r>
        <w:rPr>
          <w:rFonts w:hAnsi="宋体" w:cs="宋体"/>
          <w:b/>
          <w:spacing w:val="40"/>
          <w:sz w:val="32"/>
          <w:szCs w:val="32"/>
        </w:rPr>
        <w:tab/>
      </w:r>
    </w:p>
    <w:p>
      <w:pPr>
        <w:pStyle w:val="12"/>
        <w:tabs>
          <w:tab w:val="left" w:pos="4635"/>
        </w:tabs>
        <w:adjustRightInd w:val="0"/>
        <w:snapToGrid w:val="0"/>
        <w:spacing w:line="360" w:lineRule="auto"/>
        <w:jc w:val="left"/>
        <w:rPr>
          <w:rFonts w:hint="eastAsia" w:hAnsi="宋体" w:cs="宋体"/>
          <w:b/>
          <w:spacing w:val="40"/>
          <w:sz w:val="32"/>
          <w:szCs w:val="32"/>
        </w:rPr>
      </w:pPr>
    </w:p>
    <w:p>
      <w:pPr>
        <w:pStyle w:val="12"/>
        <w:adjustRightInd w:val="0"/>
        <w:snapToGrid w:val="0"/>
        <w:spacing w:line="360" w:lineRule="auto"/>
        <w:jc w:val="center"/>
        <w:rPr>
          <w:rFonts w:hint="eastAsia" w:hAnsi="宋体"/>
          <w:b/>
          <w:sz w:val="32"/>
          <w:szCs w:val="32"/>
        </w:rPr>
      </w:pPr>
      <w:r>
        <w:rPr>
          <w:rFonts w:hint="eastAsia" w:hAnsi="宋体"/>
          <w:b/>
          <w:sz w:val="32"/>
          <w:szCs w:val="32"/>
        </w:rPr>
        <w:t>二</w:t>
      </w:r>
      <w:r>
        <w:rPr>
          <w:rFonts w:hint="eastAsia" w:hAnsi="宋体"/>
          <w:b/>
          <w:color w:val="auto"/>
          <w:sz w:val="32"/>
          <w:szCs w:val="32"/>
        </w:rPr>
        <w:t>〇二</w:t>
      </w:r>
      <w:r>
        <w:rPr>
          <w:rFonts w:hint="eastAsia" w:hAnsi="宋体"/>
          <w:b/>
          <w:color w:val="auto"/>
          <w:sz w:val="32"/>
          <w:szCs w:val="32"/>
          <w:lang w:eastAsia="zh-CN"/>
        </w:rPr>
        <w:t>三</w:t>
      </w:r>
      <w:r>
        <w:rPr>
          <w:rFonts w:hint="eastAsia" w:hAnsi="宋体"/>
          <w:b/>
          <w:color w:val="auto"/>
          <w:sz w:val="32"/>
          <w:szCs w:val="32"/>
        </w:rPr>
        <w:t>年</w:t>
      </w:r>
      <w:r>
        <w:rPr>
          <w:rFonts w:hint="eastAsia" w:hAnsi="宋体"/>
          <w:b/>
          <w:color w:val="auto"/>
          <w:sz w:val="32"/>
          <w:szCs w:val="32"/>
          <w:lang w:val="en-US" w:eastAsia="zh-CN"/>
        </w:rPr>
        <w:t>十一</w:t>
      </w:r>
      <w:r>
        <w:rPr>
          <w:rFonts w:hint="eastAsia" w:hAnsi="宋体"/>
          <w:b/>
          <w:color w:val="auto"/>
          <w:sz w:val="32"/>
          <w:szCs w:val="32"/>
        </w:rPr>
        <w:t>月</w:t>
      </w:r>
    </w:p>
    <w:p>
      <w:pPr>
        <w:spacing w:line="800" w:lineRule="exact"/>
        <w:ind w:firstLine="3975" w:firstLineChars="900"/>
        <w:jc w:val="both"/>
        <w:rPr>
          <w:rFonts w:hint="eastAsia" w:asciiTheme="majorEastAsia" w:hAnsiTheme="majorEastAsia" w:eastAsiaTheme="majorEastAsia" w:cstheme="majorEastAsia"/>
          <w:b/>
          <w:bCs/>
          <w:sz w:val="44"/>
          <w:szCs w:val="44"/>
        </w:rPr>
      </w:pPr>
    </w:p>
    <w:p>
      <w:pPr>
        <w:pStyle w:val="2"/>
        <w:rPr>
          <w:rFonts w:hint="eastAsia" w:asciiTheme="majorEastAsia" w:hAnsiTheme="majorEastAsia" w:eastAsiaTheme="majorEastAsia" w:cstheme="majorEastAsia"/>
          <w:b/>
          <w:bCs/>
          <w:sz w:val="44"/>
          <w:szCs w:val="44"/>
        </w:rPr>
      </w:pPr>
    </w:p>
    <w:p>
      <w:pPr>
        <w:rPr>
          <w:rFonts w:hint="eastAsia"/>
        </w:rPr>
      </w:pPr>
    </w:p>
    <w:p>
      <w:pPr>
        <w:spacing w:line="8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   录</w:t>
      </w:r>
    </w:p>
    <w:p>
      <w:pPr>
        <w:jc w:val="distribute"/>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磋商邀请</w:t>
      </w:r>
    </w:p>
    <w:p>
      <w:pPr>
        <w:pStyle w:val="2"/>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第二部分   供应商须知</w:t>
      </w:r>
      <w:r>
        <w:rPr>
          <w:rFonts w:hint="eastAsia" w:asciiTheme="majorEastAsia" w:hAnsiTheme="majorEastAsia" w:eastAsiaTheme="majorEastAsia" w:cstheme="majorEastAsia"/>
          <w:b/>
          <w:bCs/>
          <w:sz w:val="32"/>
          <w:szCs w:val="32"/>
          <w:lang w:val="en-US" w:eastAsia="zh-CN"/>
        </w:rPr>
        <w:t xml:space="preserve"> </w:t>
      </w:r>
    </w:p>
    <w:p>
      <w:pPr>
        <w:pStyle w:val="2"/>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kinsoku/>
        <w:wordWrap/>
        <w:overflowPunct/>
        <w:topLinePunct w:val="0"/>
        <w:autoSpaceDE/>
        <w:autoSpaceDN/>
        <w:bidi w:val="0"/>
        <w:spacing w:line="240" w:lineRule="atLeast"/>
        <w:ind w:left="0" w:leftChars="0" w:firstLine="0" w:firstLineChars="0"/>
        <w:jc w:val="left"/>
        <w:textAlignment w:val="auto"/>
        <w:outlineLvl w:val="9"/>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 xml:space="preserve">第三部分 </w:t>
      </w:r>
      <w:r>
        <w:rPr>
          <w:rFonts w:hint="eastAsia" w:asciiTheme="majorEastAsia" w:hAnsiTheme="majorEastAsia" w:eastAsiaTheme="majorEastAsia" w:cstheme="majorEastAsia"/>
          <w:b/>
          <w:bCs/>
          <w:sz w:val="32"/>
          <w:szCs w:val="32"/>
          <w:lang w:val="en-US" w:eastAsia="zh-CN"/>
        </w:rPr>
        <w:t xml:space="preserve">  评审方法和评审标准</w:t>
      </w:r>
    </w:p>
    <w:p>
      <w:pPr>
        <w:pStyle w:val="2"/>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numPr>
          <w:ilvl w:val="0"/>
          <w:numId w:val="0"/>
        </w:numPr>
        <w:kinsoku/>
        <w:wordWrap/>
        <w:overflowPunct/>
        <w:topLinePunct w:val="0"/>
        <w:autoSpaceDE/>
        <w:autoSpaceDN/>
        <w:bidi w:val="0"/>
        <w:spacing w:line="240" w:lineRule="atLeast"/>
        <w:ind w:left="0" w:leftChars="0" w:right="-512" w:rightChars="-244" w:firstLine="0" w:firstLineChars="0"/>
        <w:jc w:val="both"/>
        <w:textAlignment w:val="auto"/>
        <w:outlineLvl w:val="9"/>
        <w:rPr>
          <w:rFonts w:hint="eastAsia" w:asciiTheme="majorEastAsia" w:hAnsiTheme="majorEastAsia" w:eastAsiaTheme="majorEastAsia" w:cstheme="majorEastAsia"/>
          <w:b/>
          <w:spacing w:val="20"/>
          <w:kern w:val="0"/>
          <w:sz w:val="32"/>
          <w:szCs w:val="32"/>
        </w:rPr>
      </w:pPr>
      <w:r>
        <w:rPr>
          <w:rFonts w:hint="eastAsia" w:asciiTheme="majorEastAsia" w:hAnsiTheme="majorEastAsia" w:eastAsiaTheme="majorEastAsia" w:cstheme="majorEastAsia"/>
          <w:b/>
          <w:bCs/>
          <w:sz w:val="32"/>
          <w:szCs w:val="32"/>
        </w:rPr>
        <w:t xml:space="preserve">第四部分  </w:t>
      </w:r>
      <w:r>
        <w:rPr>
          <w:rFonts w:hint="eastAsia" w:asciiTheme="majorEastAsia" w:hAnsiTheme="majorEastAsia" w:eastAsiaTheme="majorEastAsia" w:cstheme="majorEastAsia"/>
          <w:b/>
          <w:bCs/>
          <w:sz w:val="32"/>
          <w:szCs w:val="32"/>
          <w:highlight w:val="none"/>
        </w:rPr>
        <w:t>政府采购项</w:t>
      </w:r>
      <w:r>
        <w:rPr>
          <w:rFonts w:hint="eastAsia" w:asciiTheme="majorEastAsia" w:hAnsiTheme="majorEastAsia" w:eastAsiaTheme="majorEastAsia" w:cstheme="majorEastAsia"/>
          <w:b/>
          <w:bCs/>
          <w:sz w:val="32"/>
          <w:szCs w:val="32"/>
        </w:rPr>
        <w:t>目采 购 需 求</w:t>
      </w:r>
    </w:p>
    <w:p>
      <w:pPr>
        <w:pStyle w:val="2"/>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numPr>
          <w:ilvl w:val="0"/>
          <w:numId w:val="0"/>
        </w:numPr>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第五部分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spacing w:val="20"/>
          <w:kern w:val="0"/>
          <w:sz w:val="32"/>
          <w:szCs w:val="32"/>
        </w:rPr>
        <w:t>合同书格式</w:t>
      </w:r>
    </w:p>
    <w:p>
      <w:pPr>
        <w:pStyle w:val="2"/>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numPr>
          <w:ilvl w:val="0"/>
          <w:numId w:val="2"/>
        </w:numPr>
        <w:kinsoku/>
        <w:wordWrap/>
        <w:overflowPunct/>
        <w:topLinePunct w:val="0"/>
        <w:autoSpaceDE/>
        <w:autoSpaceDN/>
        <w:bidi w:val="0"/>
        <w:adjustRightInd w:val="0"/>
        <w:snapToGrid w:val="0"/>
        <w:spacing w:line="240" w:lineRule="atLeast"/>
        <w:ind w:left="0" w:leftChars="0" w:right="720" w:firstLine="0" w:firstLineChars="0"/>
        <w:textAlignment w:val="auto"/>
        <w:outlineLvl w:val="9"/>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附件：关于印发中小企业划型标准规定的通知(工信部联</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企业〔2011〕300号)</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keepNext w:val="0"/>
        <w:keepLines w:val="0"/>
        <w:pageBreakBefore w:val="0"/>
        <w:kinsoku/>
        <w:wordWrap/>
        <w:overflowPunct/>
        <w:topLinePunct w:val="0"/>
        <w:autoSpaceDE/>
        <w:autoSpaceDN/>
        <w:bidi w:val="0"/>
        <w:spacing w:line="240" w:lineRule="atLeast"/>
        <w:jc w:val="both"/>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sectPr>
          <w:headerReference r:id="rId3" w:type="default"/>
          <w:pgSz w:w="11907" w:h="16840"/>
          <w:pgMar w:top="1247" w:right="1418" w:bottom="1247" w:left="1797" w:header="720" w:footer="720" w:gutter="0"/>
          <w:pgNumType w:fmt="decimal"/>
          <w:cols w:space="720" w:num="1"/>
          <w:docGrid w:linePitch="462" w:charSpace="-4266"/>
        </w:sectPr>
      </w:pPr>
    </w:p>
    <w:p>
      <w:pPr>
        <w:pStyle w:val="3"/>
        <w:numPr>
          <w:ilvl w:val="1"/>
          <w:numId w:val="0"/>
        </w:numPr>
        <w:ind w:leftChars="200"/>
        <w:rPr>
          <w:rFonts w:hint="eastAsia"/>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磋商邀请</w:t>
      </w:r>
      <w:r>
        <w:rPr>
          <w:rFonts w:hint="eastAsia" w:asciiTheme="majorEastAsia" w:hAnsiTheme="majorEastAsia" w:eastAsiaTheme="majorEastAsia" w:cstheme="majorEastAsia"/>
          <w:b/>
          <w:bCs/>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548" w:firstLineChars="196"/>
        <w:rPr>
          <w:rFonts w:hint="eastAsia" w:ascii="仿宋_GB2312"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default" w:ascii="仿宋_GB2312" w:hAnsi="Times New Roman" w:eastAsia="仿宋_GB2312" w:cs="Times New Roman"/>
          <w:b/>
          <w:color w:val="auto"/>
          <w:sz w:val="30"/>
          <w:szCs w:val="30"/>
          <w:lang w:val="en-US" w:eastAsia="zh-CN"/>
        </w:rPr>
      </w:pPr>
      <w:r>
        <w:rPr>
          <w:rFonts w:hint="eastAsia" w:ascii="仿宋_GB2312" w:eastAsia="仿宋_GB2312" w:cs="Times New Roman"/>
          <w:b/>
          <w:color w:val="auto"/>
          <w:sz w:val="30"/>
          <w:szCs w:val="30"/>
          <w:lang w:val="en-US" w:eastAsia="zh-CN"/>
        </w:rPr>
        <w:t>一、</w:t>
      </w:r>
      <w:r>
        <w:rPr>
          <w:rFonts w:hint="eastAsia" w:ascii="仿宋_GB2312" w:hAnsi="Times New Roman" w:eastAsia="仿宋_GB2312" w:cs="Times New Roman"/>
          <w:b/>
          <w:color w:val="auto"/>
          <w:sz w:val="30"/>
          <w:szCs w:val="30"/>
          <w:lang w:val="en-US" w:eastAsia="zh-CN"/>
        </w:rPr>
        <w:t>项目概况</w:t>
      </w:r>
    </w:p>
    <w:p>
      <w:pPr>
        <w:keepNext w:val="0"/>
        <w:keepLines w:val="0"/>
        <w:pageBreakBefore w:val="0"/>
        <w:kinsoku/>
        <w:wordWrap/>
        <w:overflowPunct/>
        <w:topLinePunct w:val="0"/>
        <w:autoSpaceDE/>
        <w:autoSpaceDN/>
        <w:bidi w:val="0"/>
        <w:adjustRightInd/>
        <w:snapToGrid/>
        <w:spacing w:line="360" w:lineRule="auto"/>
        <w:ind w:firstLine="548" w:firstLineChars="196"/>
        <w:rPr>
          <w:rFonts w:hint="default" w:ascii="仿宋_GB2312" w:eastAsia="仿宋_GB2312" w:cs="Times New Roman"/>
          <w:sz w:val="28"/>
          <w:szCs w:val="28"/>
          <w:u w:val="none"/>
          <w:lang w:val="en-US" w:eastAsia="zh-CN"/>
        </w:rPr>
      </w:pPr>
      <w:r>
        <w:rPr>
          <w:rFonts w:hint="eastAsia" w:ascii="仿宋_GB2312" w:eastAsia="仿宋_GB2312" w:cs="Times New Roman"/>
          <w:sz w:val="28"/>
          <w:szCs w:val="28"/>
          <w:u w:val="single"/>
          <w:lang w:val="en-US" w:eastAsia="zh-CN"/>
        </w:rPr>
        <w:t xml:space="preserve">奇台县园地林地草地定级和基准地价制定工作  </w:t>
      </w:r>
      <w:r>
        <w:rPr>
          <w:rFonts w:hint="eastAsia" w:ascii="仿宋_GB2312" w:eastAsia="仿宋_GB2312" w:cs="Times New Roman"/>
          <w:sz w:val="28"/>
          <w:szCs w:val="28"/>
          <w:u w:val="none"/>
          <w:lang w:val="en-US" w:eastAsia="zh-CN"/>
        </w:rPr>
        <w:t>的潜在供应商在</w:t>
      </w:r>
      <w:r>
        <w:rPr>
          <w:rFonts w:hint="eastAsia" w:ascii="仿宋_GB2312" w:eastAsia="仿宋_GB2312" w:cs="Times New Roman"/>
          <w:sz w:val="28"/>
          <w:szCs w:val="28"/>
          <w:u w:val="single"/>
          <w:lang w:val="en-US" w:eastAsia="zh-CN"/>
        </w:rPr>
        <w:t>新疆政府采购网在线申请</w:t>
      </w:r>
      <w:r>
        <w:rPr>
          <w:rFonts w:hint="eastAsia" w:ascii="仿宋_GB2312" w:eastAsia="仿宋_GB2312" w:cs="Times New Roman"/>
          <w:sz w:val="28"/>
          <w:szCs w:val="28"/>
          <w:u w:val="none"/>
          <w:lang w:val="en-US" w:eastAsia="zh-CN"/>
        </w:rPr>
        <w:t>获取采购文件</w:t>
      </w:r>
      <w:r>
        <w:rPr>
          <w:rFonts w:hint="eastAsia" w:ascii="仿宋_GB2312" w:eastAsia="仿宋_GB2312" w:cs="Times New Roman"/>
          <w:sz w:val="28"/>
          <w:szCs w:val="28"/>
          <w:u w:val="single"/>
          <w:lang w:val="en-US" w:eastAsia="zh-CN"/>
        </w:rPr>
        <w:t>，并于</w:t>
      </w:r>
      <w:r>
        <w:rPr>
          <w:rFonts w:hint="eastAsia" w:ascii="仿宋_GB2312" w:eastAsia="仿宋_GB2312" w:cs="Times New Roman"/>
          <w:color w:val="auto"/>
          <w:sz w:val="28"/>
          <w:szCs w:val="28"/>
          <w:u w:val="single"/>
          <w:lang w:val="en-US" w:eastAsia="zh-CN"/>
        </w:rPr>
        <w:t>2023年12月4日下午16:00</w:t>
      </w:r>
      <w:r>
        <w:rPr>
          <w:rFonts w:hint="eastAsia" w:ascii="仿宋_GB2312" w:eastAsia="仿宋_GB2312" w:cs="Times New Roman"/>
          <w:sz w:val="28"/>
          <w:szCs w:val="28"/>
          <w:u w:val="single"/>
          <w:lang w:val="en-US" w:eastAsia="zh-CN"/>
        </w:rPr>
        <w:t>分</w:t>
      </w:r>
      <w:r>
        <w:rPr>
          <w:rFonts w:hint="eastAsia" w:ascii="仿宋_GB2312" w:eastAsia="仿宋_GB2312" w:cs="Times New Roman"/>
          <w:sz w:val="28"/>
          <w:szCs w:val="28"/>
          <w:u w:val="none"/>
          <w:lang w:val="en-US" w:eastAsia="zh-CN"/>
        </w:rPr>
        <w:t>（北京时间）提交响应文件。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_GB2312" w:eastAsia="仿宋_GB2312" w:cs="Times New Roman"/>
          <w:sz w:val="28"/>
          <w:szCs w:val="28"/>
          <w:lang w:val="en-US" w:eastAsia="zh-CN"/>
        </w:rPr>
      </w:pPr>
      <w:r>
        <w:rPr>
          <w:rFonts w:hint="eastAsia" w:ascii="仿宋_GB2312" w:eastAsia="仿宋_GB2312"/>
          <w:b/>
          <w:color w:val="auto"/>
          <w:sz w:val="30"/>
          <w:szCs w:val="30"/>
          <w:lang w:val="en-US" w:eastAsia="zh-CN"/>
        </w:rPr>
        <w:t>1、</w:t>
      </w:r>
      <w:r>
        <w:rPr>
          <w:rFonts w:hint="eastAsia" w:ascii="仿宋_GB2312" w:eastAsia="仿宋_GB2312"/>
          <w:b/>
          <w:color w:val="auto"/>
          <w:sz w:val="30"/>
          <w:szCs w:val="30"/>
          <w:lang w:eastAsia="zh-CN"/>
        </w:rPr>
        <w:t>项目名称：</w:t>
      </w:r>
      <w:r>
        <w:rPr>
          <w:rFonts w:hint="eastAsia" w:ascii="仿宋_GB2312" w:eastAsia="仿宋_GB2312" w:cs="Times New Roman"/>
          <w:sz w:val="28"/>
          <w:szCs w:val="28"/>
          <w:lang w:val="en-US" w:eastAsia="zh-CN"/>
        </w:rPr>
        <w:t xml:space="preserve">奇台县园地林地草地定级和基准地价制定工作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val="en-US" w:eastAsia="zh-CN"/>
        </w:rPr>
        <w:t>2、</w:t>
      </w:r>
      <w:r>
        <w:rPr>
          <w:rFonts w:hint="eastAsia" w:ascii="仿宋_GB2312" w:eastAsia="仿宋_GB2312"/>
          <w:b/>
          <w:color w:val="auto"/>
          <w:sz w:val="30"/>
          <w:szCs w:val="30"/>
          <w:lang w:eastAsia="zh-CN"/>
        </w:rPr>
        <w:t>项目编号：</w:t>
      </w:r>
      <w:r>
        <w:rPr>
          <w:rFonts w:hint="eastAsia" w:ascii="仿宋_GB2312" w:eastAsia="仿宋_GB2312" w:cs="Times New Roman"/>
          <w:color w:val="auto"/>
          <w:kern w:val="2"/>
          <w:sz w:val="28"/>
          <w:szCs w:val="28"/>
          <w:lang w:val="en-US" w:eastAsia="zh-CN" w:bidi="ar-SA"/>
        </w:rPr>
        <w:t>XHYJ-QTCG2023-114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lang w:val="en-US" w:eastAsia="zh-CN"/>
        </w:rPr>
      </w:pPr>
      <w:r>
        <w:rPr>
          <w:rFonts w:hint="eastAsia" w:ascii="仿宋_GB2312" w:eastAsia="仿宋_GB2312"/>
          <w:b/>
          <w:color w:val="auto"/>
          <w:sz w:val="30"/>
          <w:szCs w:val="30"/>
          <w:lang w:val="en-US" w:eastAsia="zh-CN"/>
        </w:rPr>
        <w:t>3、</w:t>
      </w:r>
      <w:r>
        <w:rPr>
          <w:rFonts w:hint="eastAsia" w:ascii="仿宋_GB2312" w:eastAsia="仿宋_GB2312"/>
          <w:b/>
          <w:color w:val="auto"/>
          <w:sz w:val="30"/>
          <w:szCs w:val="30"/>
        </w:rPr>
        <w:t>资金来源：</w:t>
      </w:r>
      <w:r>
        <w:rPr>
          <w:rFonts w:hint="eastAsia" w:ascii="仿宋_GB2312" w:eastAsia="仿宋_GB2312" w:cs="Times New Roman"/>
          <w:sz w:val="28"/>
          <w:szCs w:val="28"/>
          <w:lang w:val="en-US" w:eastAsia="zh-CN"/>
        </w:rPr>
        <w:t>地方财政配套资金</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default" w:ascii="仿宋_GB2312" w:hAnsi="Times New Roman" w:eastAsia="仿宋_GB2312" w:cs="Times New Roman"/>
          <w:color w:val="auto"/>
          <w:sz w:val="28"/>
          <w:szCs w:val="28"/>
          <w:lang w:val="en-US" w:eastAsia="zh-CN"/>
        </w:rPr>
      </w:pPr>
      <w:r>
        <w:rPr>
          <w:rFonts w:hint="eastAsia" w:ascii="仿宋_GB2312" w:eastAsia="仿宋_GB2312"/>
          <w:b/>
          <w:color w:val="auto"/>
          <w:sz w:val="30"/>
          <w:szCs w:val="30"/>
          <w:lang w:val="en-US" w:eastAsia="zh-CN"/>
        </w:rPr>
        <w:t>4、</w:t>
      </w:r>
      <w:r>
        <w:rPr>
          <w:rFonts w:hint="eastAsia" w:ascii="仿宋_GB2312" w:eastAsia="仿宋_GB2312"/>
          <w:b/>
          <w:color w:val="auto"/>
          <w:sz w:val="30"/>
          <w:szCs w:val="30"/>
        </w:rPr>
        <w:t>预算价格:</w:t>
      </w:r>
      <w:r>
        <w:rPr>
          <w:rFonts w:hint="eastAsia" w:ascii="仿宋_GB2312" w:eastAsia="仿宋_GB2312" w:cs="Times New Roman"/>
          <w:sz w:val="28"/>
          <w:szCs w:val="28"/>
          <w:lang w:val="en-US" w:eastAsia="zh-CN"/>
        </w:rPr>
        <w:t>120</w:t>
      </w:r>
      <w:r>
        <w:rPr>
          <w:rFonts w:hint="eastAsia" w:ascii="仿宋_GB2312" w:hAnsi="Times New Roman" w:eastAsia="仿宋_GB2312" w:cs="Times New Roman"/>
          <w:sz w:val="28"/>
          <w:szCs w:val="28"/>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eastAsia="仿宋_GB2312" w:cs="Times New Roman"/>
          <w:sz w:val="28"/>
          <w:szCs w:val="28"/>
          <w:lang w:val="en-US" w:eastAsia="zh-CN"/>
        </w:rPr>
      </w:pPr>
      <w:r>
        <w:rPr>
          <w:rFonts w:hint="eastAsia" w:ascii="仿宋_GB2312" w:eastAsia="仿宋_GB2312"/>
          <w:b/>
          <w:color w:val="auto"/>
          <w:sz w:val="30"/>
          <w:szCs w:val="30"/>
          <w:lang w:val="en-US" w:eastAsia="zh-CN"/>
        </w:rPr>
        <w:t>5、</w:t>
      </w:r>
      <w:r>
        <w:rPr>
          <w:rFonts w:hint="eastAsia" w:ascii="仿宋_GB2312" w:eastAsia="仿宋_GB2312"/>
          <w:b/>
          <w:color w:val="auto"/>
          <w:sz w:val="30"/>
          <w:szCs w:val="30"/>
        </w:rPr>
        <w:t>付款方式:</w:t>
      </w:r>
      <w:r>
        <w:rPr>
          <w:rFonts w:hint="eastAsia" w:ascii="仿宋_GB2312" w:eastAsia="仿宋_GB2312" w:cs="Times New Roman"/>
          <w:sz w:val="28"/>
          <w:szCs w:val="28"/>
          <w:lang w:val="en-US" w:eastAsia="zh-CN"/>
        </w:rPr>
        <w:t>合同签订后提交园林草定级初步成果付款30%，通过自治区评审验收后付款20%，园林草基准地价完成初步成果付款30%。通过自治区评审验收后付款20%（具体内容以合同签订为准）。</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eastAsia="仿宋_GB2312"/>
          <w:b/>
          <w:color w:val="auto"/>
          <w:sz w:val="28"/>
          <w:szCs w:val="28"/>
          <w:lang w:val="en-US" w:eastAsia="zh-CN"/>
        </w:rPr>
      </w:pPr>
      <w:r>
        <w:rPr>
          <w:rFonts w:hint="eastAsia" w:ascii="仿宋_GB2312" w:eastAsia="仿宋_GB2312"/>
          <w:b/>
          <w:bCs/>
          <w:color w:val="auto"/>
          <w:sz w:val="30"/>
          <w:szCs w:val="30"/>
          <w:lang w:val="en-US" w:eastAsia="zh-CN"/>
        </w:rPr>
        <w:t>6、服务期</w:t>
      </w:r>
      <w:r>
        <w:rPr>
          <w:rFonts w:hint="eastAsia" w:ascii="仿宋_GB2312" w:eastAsia="仿宋_GB2312"/>
          <w:b/>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2023年年底前完成奇台县园地林地草地定级工作。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2024年2月底完成园地林地草地提交初步成果审核。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2024年5月底前完成园地林地草地基准地价成果自治区自然资源厅验收。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default" w:ascii="仿宋_GB2312" w:eastAsia="仿宋_GB2312" w:cs="Times New Roman"/>
          <w:b w:val="0"/>
          <w:bCs/>
          <w:sz w:val="28"/>
          <w:szCs w:val="28"/>
          <w:lang w:val="en-US" w:eastAsia="zh-CN"/>
        </w:rPr>
      </w:pPr>
      <w:r>
        <w:rPr>
          <w:rFonts w:hint="eastAsia" w:ascii="仿宋_GB2312" w:eastAsia="仿宋_GB2312"/>
          <w:b/>
          <w:bCs w:val="0"/>
          <w:sz w:val="30"/>
          <w:szCs w:val="30"/>
          <w:lang w:val="en-US" w:eastAsia="zh-CN"/>
        </w:rPr>
        <w:t>7、服务地点</w:t>
      </w:r>
      <w:r>
        <w:rPr>
          <w:rFonts w:hint="eastAsia" w:ascii="仿宋_GB2312" w:eastAsia="仿宋_GB2312"/>
          <w:b w:val="0"/>
          <w:bCs/>
          <w:sz w:val="30"/>
          <w:szCs w:val="30"/>
          <w:lang w:val="en-US" w:eastAsia="zh-CN"/>
        </w:rPr>
        <w:t>：</w:t>
      </w:r>
      <w:r>
        <w:rPr>
          <w:rFonts w:hint="eastAsia" w:ascii="仿宋_GB2312" w:eastAsia="仿宋_GB2312" w:cs="Times New Roman"/>
          <w:b w:val="0"/>
          <w:bCs/>
          <w:sz w:val="28"/>
          <w:szCs w:val="28"/>
          <w:lang w:val="en-US" w:eastAsia="zh-CN"/>
        </w:rPr>
        <w:t>甲方指定地点。</w:t>
      </w:r>
    </w:p>
    <w:p>
      <w:pPr>
        <w:keepNext w:val="0"/>
        <w:keepLines w:val="0"/>
        <w:pageBreakBefore w:val="0"/>
        <w:widowControl w:val="0"/>
        <w:tabs>
          <w:tab w:val="left" w:pos="591"/>
        </w:tabs>
        <w:kinsoku/>
        <w:wordWrap/>
        <w:overflowPunct/>
        <w:topLinePunct w:val="0"/>
        <w:autoSpaceDE/>
        <w:autoSpaceDN/>
        <w:bidi w:val="0"/>
        <w:adjustRightInd/>
        <w:snapToGrid/>
        <w:spacing w:line="360" w:lineRule="auto"/>
        <w:ind w:firstLine="602" w:firstLineChars="200"/>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8、服务内容：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Times New Roman"/>
          <w:color w:val="000000" w:themeColor="text1"/>
          <w:sz w:val="28"/>
          <w:szCs w:val="28"/>
          <w:lang w:val="en-US" w:eastAsia="zh-CN"/>
          <w14:textFill>
            <w14:solidFill>
              <w14:schemeClr w14:val="tx1"/>
            </w14:solidFill>
          </w14:textFill>
        </w:rPr>
      </w:pPr>
      <w:r>
        <w:rPr>
          <w:rFonts w:hint="default" w:ascii="仿宋_GB2312" w:hAnsi="Times New Roman" w:eastAsia="仿宋_GB2312" w:cs="Times New Roman"/>
          <w:color w:val="000000" w:themeColor="text1"/>
          <w:sz w:val="28"/>
          <w:szCs w:val="28"/>
          <w:lang w:val="en-US" w:eastAsia="zh-CN"/>
          <w14:textFill>
            <w14:solidFill>
              <w14:schemeClr w14:val="tx1"/>
            </w14:solidFill>
          </w14:textFill>
        </w:rPr>
        <w:t>开展奇台县园地林地草地定级和基准地价制定工作。通过分等定级价格评估，综合评价全国园地林地草地质量分布状况，建立政府公示价格体系，可以显化园地林地草地资源资产质量和价值，直接服务于自然资源有偿使用、资产清查核算、税费管理等工作，有助于加强自然资源保护与合理开发利用，促进生态产品价值实现，推进自然资源管理向数量、质量与生态管护并重转变。（具体内容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9、服务要求: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val="en-US" w:eastAsia="zh-CN"/>
        </w:rPr>
        <w:t>1、按照《全国园地、林地、草地定级和基准地价数据库规范(征求意见稿)》和《全国园地、林地、草地定级和基准地价汇交指引(征求意见稿)》中要求，建立园地、林地、草地等3大类自然资源定级成果数据库，并根据下发的定级质检软件进行数据库质检，质检合格后形成汇交成果提交自治区自然资源厅核查验收。</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val="en-US" w:eastAsia="zh-CN"/>
        </w:rPr>
        <w:t>2、作业单位评估工作需完成外业资料收集、内业资料整理分析、成果编制、成果汇报、修改完善和成果验收工作。</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val="en-US" w:eastAsia="zh-CN"/>
        </w:rPr>
        <w:t>3、作业单位成果需通过自治区自然资源主管部门验收，并提交最终成果资料。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color w:val="auto"/>
          <w:sz w:val="30"/>
          <w:szCs w:val="30"/>
        </w:rPr>
      </w:pPr>
      <w:r>
        <w:rPr>
          <w:rFonts w:hint="eastAsia" w:ascii="仿宋_GB2312" w:eastAsia="仿宋_GB2312"/>
          <w:b/>
          <w:color w:val="auto"/>
          <w:sz w:val="30"/>
          <w:szCs w:val="30"/>
          <w:lang w:val="en-US" w:eastAsia="zh-CN"/>
        </w:rPr>
        <w:t>二</w:t>
      </w:r>
      <w:r>
        <w:rPr>
          <w:rFonts w:hint="eastAsia" w:ascii="仿宋_GB2312" w:eastAsia="仿宋_GB2312"/>
          <w:b/>
          <w:color w:val="auto"/>
          <w:sz w:val="30"/>
          <w:szCs w:val="30"/>
        </w:rPr>
        <w:t>、申请人的资格要求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2、本项目的特定资格要求：(1) 投标人须具备有效的工商营业执照副本原件(营业执照需包含本次招标范围；）(2) 法定代表人授权委托书及委托代理人身份证原件;（3</w:t>
      </w:r>
      <w:r>
        <w:rPr>
          <w:rFonts w:hint="eastAsia" w:ascii="仿宋_GB2312" w:hAnsi="Times New Roman" w:eastAsia="仿宋_GB2312" w:cs="Times New Roman"/>
          <w:color w:val="auto"/>
          <w:sz w:val="28"/>
          <w:szCs w:val="28"/>
          <w:lang w:val="en-US" w:eastAsia="zh-CN"/>
        </w:rPr>
        <w:t>）投标人应持有土地规划乙级及以上资质和土地估价机构备案函。</w:t>
      </w:r>
      <w:r>
        <w:rPr>
          <w:rFonts w:hint="eastAsia" w:ascii="仿宋_GB2312" w:hAnsi="Times New Roman" w:eastAsia="仿宋_GB2312" w:cs="Times New Roman"/>
          <w:sz w:val="28"/>
          <w:szCs w:val="28"/>
          <w:lang w:val="en-US" w:eastAsia="zh-CN"/>
        </w:rPr>
        <w:t>(4)中小企业声明函。</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3</w:t>
      </w:r>
      <w:r>
        <w:rPr>
          <w:rFonts w:hint="eastAsia" w:ascii="仿宋_GB2312" w:hAnsi="Times New Roman" w:eastAsia="仿宋_GB2312" w:cs="Times New Roman"/>
          <w:sz w:val="28"/>
          <w:szCs w:val="28"/>
          <w:lang w:val="en-US" w:eastAsia="zh-CN"/>
        </w:rPr>
        <w:t xml:space="preserve">、本项目是否接受联合体：□是 </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en-US" w:eastAsia="zh-CN"/>
        </w:rPr>
        <w:t>否。</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ascii="宋体" w:hAnsi="宋体" w:cs="宋体"/>
          <w:color w:val="000000"/>
          <w:spacing w:val="1"/>
          <w:sz w:val="28"/>
        </w:rPr>
      </w:pPr>
      <w:r>
        <w:rPr>
          <w:rFonts w:hint="eastAsia" w:ascii="仿宋_GB2312" w:hAnsi="仿宋_GB2312" w:eastAsia="仿宋_GB2312" w:cs="仿宋_GB2312"/>
          <w:color w:val="auto"/>
          <w:sz w:val="28"/>
          <w:szCs w:val="28"/>
          <w:lang w:val="en-US" w:eastAsia="zh-CN"/>
        </w:rPr>
        <w:t>5、落实政府采购政策需满足的资格要求：</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仿宋_GB2312" w:eastAsia="仿宋_GB2312" w:cs="仿宋_GB2312"/>
          <w:color w:val="auto"/>
          <w:sz w:val="28"/>
          <w:szCs w:val="28"/>
          <w:lang w:val="en-US" w:eastAsia="zh-CN"/>
        </w:rPr>
        <w:t>按照《财政部工业和信息化部关于印发&lt;政府采购促进中小企业发展管理办法&gt;的通知》（财库〔2020〕46 号），落实促进中小企业发展政策，依据规定给予评审优惠。</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eastAsia="仿宋_GB2312"/>
          <w:b/>
          <w:bCs/>
          <w:sz w:val="30"/>
          <w:szCs w:val="30"/>
          <w:lang w:val="en-US" w:eastAsia="zh-CN"/>
        </w:rPr>
        <w:t>三、</w:t>
      </w:r>
      <w:r>
        <w:rPr>
          <w:rFonts w:hint="eastAsia" w:ascii="仿宋_GB2312" w:eastAsia="仿宋_GB2312"/>
          <w:b/>
          <w:sz w:val="28"/>
          <w:szCs w:val="28"/>
          <w:lang w:val="en-US" w:eastAsia="zh-CN"/>
        </w:rPr>
        <w:t>本项目属于</w:t>
      </w:r>
      <w:r>
        <w:rPr>
          <w:rFonts w:hint="eastAsia" w:ascii="仿宋_GB2312" w:hAnsi="Times New Roman" w:eastAsia="仿宋_GB2312" w:cs="Times New Roman"/>
          <w:b/>
          <w:sz w:val="28"/>
          <w:szCs w:val="28"/>
          <w:u w:val="single"/>
          <w:lang w:val="en-US" w:eastAsia="zh-CN"/>
        </w:rPr>
        <w:t>专门</w:t>
      </w:r>
      <w:r>
        <w:rPr>
          <w:rFonts w:hint="eastAsia" w:ascii="仿宋_GB2312" w:eastAsia="仿宋_GB2312"/>
          <w:b/>
          <w:sz w:val="28"/>
          <w:szCs w:val="28"/>
          <w:lang w:val="en-US" w:eastAsia="zh-CN"/>
        </w:rPr>
        <w:t>面向中小企业预留采购的项目，</w:t>
      </w:r>
      <w:r>
        <w:rPr>
          <w:rFonts w:hint="eastAsia" w:ascii="仿宋_GB2312" w:hAnsi="仿宋_GB2312" w:eastAsia="仿宋_GB2312" w:cs="仿宋_GB2312"/>
          <w:color w:val="auto"/>
          <w:sz w:val="28"/>
          <w:szCs w:val="28"/>
          <w:lang w:val="en-US" w:eastAsia="zh-CN"/>
        </w:rPr>
        <w:t xml:space="preserve">划分标准所属行业： </w:t>
      </w:r>
      <w:r>
        <w:rPr>
          <w:rFonts w:hint="eastAsia" w:ascii="仿宋_GB2312" w:hAnsi="仿宋_GB2312" w:eastAsia="仿宋_GB2312" w:cs="仿宋_GB2312"/>
          <w:b/>
          <w:bCs/>
          <w:color w:val="auto"/>
          <w:sz w:val="28"/>
          <w:szCs w:val="28"/>
          <w:lang w:val="en-US" w:eastAsia="zh-CN"/>
        </w:rPr>
        <w:t>其他未列明行业</w:t>
      </w:r>
      <w:r>
        <w:rPr>
          <w:rFonts w:hint="eastAsia" w:ascii="仿宋_GB2312" w:hAnsi="仿宋_GB2312" w:eastAsia="仿宋_GB2312" w:cs="仿宋_GB2312"/>
          <w:color w:val="auto"/>
          <w:sz w:val="28"/>
          <w:szCs w:val="28"/>
          <w:lang w:val="en-US" w:eastAsia="zh-CN"/>
        </w:rPr>
        <w:t>（包括科学研究和技术服务业，水利、环境和公共设施管理业，居民服务、修理和其他服务业，社会工作，文化、体育和娱乐业等）。</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（根据《关于印发中小企业划型标准规定的通知》工信部联企业〔2011〕300号文件，此项目所属行业为；</w:t>
      </w:r>
      <w:r>
        <w:rPr>
          <w:rFonts w:hint="eastAsia" w:ascii="仿宋_GB2312" w:hAnsi="仿宋_GB2312" w:eastAsia="仿宋_GB2312" w:cs="仿宋_GB2312"/>
          <w:b/>
          <w:bCs/>
          <w:color w:val="auto"/>
          <w:sz w:val="28"/>
          <w:szCs w:val="28"/>
          <w:u w:val="single"/>
          <w:lang w:val="en-US" w:eastAsia="zh-CN"/>
        </w:rPr>
        <w:t>其他未列明行业。</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b w:val="0"/>
          <w:bCs/>
          <w:sz w:val="28"/>
          <w:szCs w:val="28"/>
          <w:lang w:val="en-US" w:eastAsia="zh-CN"/>
        </w:rPr>
      </w:pPr>
      <w:r>
        <w:rPr>
          <w:rFonts w:hint="eastAsia" w:ascii="仿宋_GB2312" w:hAnsi="Times New Roman" w:eastAsia="仿宋_GB2312" w:cs="Times New Roman"/>
          <w:b w:val="0"/>
          <w:bCs/>
          <w:sz w:val="28"/>
          <w:szCs w:val="28"/>
          <w:lang w:val="en-US" w:eastAsia="zh-CN"/>
        </w:rPr>
        <w:t>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四、获取招标文件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bookmarkStart w:id="0" w:name="_Toc35393793"/>
      <w:bookmarkStart w:id="1" w:name="_Toc35393624"/>
      <w:bookmarkStart w:id="2" w:name="_Toc28359082"/>
      <w:bookmarkStart w:id="3" w:name="_Toc28359005"/>
      <w:r>
        <w:rPr>
          <w:rFonts w:hint="eastAsia" w:ascii="仿宋_GB2312" w:hAnsi="Times New Roman" w:eastAsia="仿宋_GB2312" w:cs="Times New Roman"/>
          <w:color w:val="auto"/>
          <w:kern w:val="2"/>
          <w:sz w:val="28"/>
          <w:szCs w:val="28"/>
          <w:lang w:val="en-US" w:eastAsia="zh-CN" w:bidi="ar-SA"/>
        </w:rPr>
        <w:t>时间：2023年</w:t>
      </w:r>
      <w:r>
        <w:rPr>
          <w:rFonts w:hint="eastAsia" w:ascii="仿宋_GB2312" w:eastAsia="仿宋_GB2312" w:cs="Times New Roman"/>
          <w:color w:val="auto"/>
          <w:kern w:val="2"/>
          <w:sz w:val="28"/>
          <w:szCs w:val="28"/>
          <w:lang w:val="en-US" w:eastAsia="zh-CN" w:bidi="ar-SA"/>
        </w:rPr>
        <w:t>11</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23</w:t>
      </w:r>
      <w:r>
        <w:rPr>
          <w:rFonts w:hint="eastAsia" w:ascii="仿宋_GB2312" w:hAnsi="Times New Roman" w:eastAsia="仿宋_GB2312" w:cs="Times New Roman"/>
          <w:color w:val="auto"/>
          <w:kern w:val="2"/>
          <w:sz w:val="28"/>
          <w:szCs w:val="28"/>
          <w:lang w:val="en-US" w:eastAsia="zh-CN" w:bidi="ar-SA"/>
        </w:rPr>
        <w:t>日至 2023年</w:t>
      </w:r>
      <w:r>
        <w:rPr>
          <w:rFonts w:hint="eastAsia" w:ascii="仿宋_GB2312" w:eastAsia="仿宋_GB2312" w:cs="Times New Roman"/>
          <w:color w:val="auto"/>
          <w:kern w:val="2"/>
          <w:sz w:val="28"/>
          <w:szCs w:val="28"/>
          <w:lang w:val="en-US" w:eastAsia="zh-CN" w:bidi="ar-SA"/>
        </w:rPr>
        <w:t>11</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30</w:t>
      </w:r>
      <w:r>
        <w:rPr>
          <w:rFonts w:hint="eastAsia" w:ascii="仿宋_GB2312" w:hAnsi="Times New Roman" w:eastAsia="仿宋_GB2312" w:cs="Times New Roman"/>
          <w:color w:val="auto"/>
          <w:kern w:val="2"/>
          <w:sz w:val="28"/>
          <w:szCs w:val="28"/>
          <w:lang w:val="en-US" w:eastAsia="zh-CN" w:bidi="ar-SA"/>
        </w:rPr>
        <w:t>日，每天上午10:00至13:00，下午16:</w:t>
      </w:r>
      <w:r>
        <w:rPr>
          <w:rFonts w:hint="eastAsia" w:ascii="仿宋_GB2312" w:eastAsia="仿宋_GB2312" w:cs="Times New Roman"/>
          <w:color w:val="auto"/>
          <w:kern w:val="2"/>
          <w:sz w:val="28"/>
          <w:szCs w:val="28"/>
          <w:lang w:val="en-US" w:eastAsia="zh-CN" w:bidi="ar-SA"/>
        </w:rPr>
        <w:t>0</w:t>
      </w:r>
      <w:r>
        <w:rPr>
          <w:rFonts w:hint="eastAsia" w:ascii="仿宋_GB2312" w:hAnsi="Times New Roman" w:eastAsia="仿宋_GB2312" w:cs="Times New Roman"/>
          <w:color w:val="auto"/>
          <w:kern w:val="2"/>
          <w:sz w:val="28"/>
          <w:szCs w:val="28"/>
          <w:lang w:val="en-US" w:eastAsia="zh-CN" w:bidi="ar-SA"/>
        </w:rPr>
        <w:t>0至19:</w:t>
      </w:r>
      <w:r>
        <w:rPr>
          <w:rFonts w:hint="eastAsia" w:ascii="仿宋_GB2312" w:eastAsia="仿宋_GB2312" w:cs="Times New Roman"/>
          <w:color w:val="auto"/>
          <w:kern w:val="2"/>
          <w:sz w:val="28"/>
          <w:szCs w:val="28"/>
          <w:lang w:val="en-US" w:eastAsia="zh-CN" w:bidi="ar-SA"/>
        </w:rPr>
        <w:t>0</w:t>
      </w:r>
      <w:r>
        <w:rPr>
          <w:rFonts w:hint="eastAsia" w:ascii="仿宋_GB2312" w:hAnsi="Times New Roman" w:eastAsia="仿宋_GB2312" w:cs="Times New Roman"/>
          <w:color w:val="auto"/>
          <w:kern w:val="2"/>
          <w:sz w:val="28"/>
          <w:szCs w:val="28"/>
          <w:lang w:val="en-US" w:eastAsia="zh-CN" w:bidi="ar-SA"/>
        </w:rPr>
        <w:t>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地点：供应商登陆政采云平台 http://www.zcygov.cn/线获取采购文件。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方式：供应商登录政采云平台的注册账号后，进入政采云系统“项目采购”模块“获取采购文件”菜单，进行网上获取采购文件，不提供纸质版文件。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售价：0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0"/>
          <w:szCs w:val="30"/>
          <w:lang w:val="en-US" w:eastAsia="zh-CN"/>
        </w:rPr>
      </w:pPr>
      <w:r>
        <w:rPr>
          <w:rFonts w:hint="eastAsia" w:ascii="仿宋_GB2312" w:eastAsia="仿宋_GB2312"/>
          <w:b/>
          <w:bCs/>
          <w:color w:val="auto"/>
          <w:sz w:val="30"/>
          <w:szCs w:val="30"/>
          <w:lang w:val="en-US" w:eastAsia="zh-CN"/>
        </w:rPr>
        <w:t>五、</w:t>
      </w:r>
      <w:bookmarkEnd w:id="0"/>
      <w:bookmarkEnd w:id="1"/>
      <w:bookmarkEnd w:id="2"/>
      <w:bookmarkEnd w:id="3"/>
      <w:r>
        <w:rPr>
          <w:rFonts w:hint="eastAsia" w:ascii="仿宋_GB2312" w:eastAsia="仿宋_GB2312"/>
          <w:b/>
          <w:bCs/>
          <w:color w:val="auto"/>
          <w:sz w:val="30"/>
          <w:szCs w:val="30"/>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截止时间: 2023 年</w:t>
      </w:r>
      <w:r>
        <w:rPr>
          <w:rFonts w:hint="eastAsia" w:ascii="仿宋_GB2312" w:eastAsia="仿宋_GB2312" w:cs="Times New Roman"/>
          <w:color w:val="auto"/>
          <w:kern w:val="2"/>
          <w:sz w:val="28"/>
          <w:szCs w:val="28"/>
          <w:lang w:val="en-US" w:eastAsia="zh-CN" w:bidi="ar-SA"/>
        </w:rPr>
        <w:t>12</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4</w:t>
      </w:r>
      <w:r>
        <w:rPr>
          <w:rFonts w:hint="eastAsia" w:ascii="仿宋_GB2312" w:hAnsi="Times New Roman" w:eastAsia="仿宋_GB2312" w:cs="Times New Roman"/>
          <w:color w:val="auto"/>
          <w:kern w:val="2"/>
          <w:sz w:val="28"/>
          <w:szCs w:val="28"/>
          <w:lang w:val="en-US" w:eastAsia="zh-CN" w:bidi="ar-SA"/>
        </w:rPr>
        <w:t>日1</w:t>
      </w:r>
      <w:r>
        <w:rPr>
          <w:rFonts w:hint="eastAsia" w:ascii="仿宋_GB2312" w:eastAsia="仿宋_GB2312" w:cs="Times New Roman"/>
          <w:color w:val="auto"/>
          <w:kern w:val="2"/>
          <w:sz w:val="28"/>
          <w:szCs w:val="28"/>
          <w:lang w:val="en-US" w:eastAsia="zh-CN" w:bidi="ar-SA"/>
        </w:rPr>
        <w:t>6:0</w:t>
      </w:r>
      <w:r>
        <w:rPr>
          <w:rFonts w:hint="eastAsia" w:ascii="仿宋_GB2312" w:hAnsi="Times New Roman" w:eastAsia="仿宋_GB2312" w:cs="Times New Roman"/>
          <w:color w:val="auto"/>
          <w:kern w:val="2"/>
          <w:sz w:val="28"/>
          <w:szCs w:val="28"/>
          <w:lang w:val="en-US" w:eastAsia="zh-CN" w:bidi="ar-SA"/>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地点：新疆政府采购网政采云平台投标客户端（</w:t>
      </w:r>
      <w:r>
        <w:rPr>
          <w:rFonts w:hint="eastAsia" w:ascii="仿宋_GB2312" w:hAnsi="Times New Roman" w:eastAsia="仿宋_GB2312" w:cs="Times New Roman"/>
          <w:color w:val="auto"/>
          <w:sz w:val="28"/>
          <w:szCs w:val="28"/>
          <w:lang w:val="en-US" w:eastAsia="zh-CN"/>
        </w:rPr>
        <w:fldChar w:fldCharType="begin"/>
      </w:r>
      <w:r>
        <w:rPr>
          <w:rFonts w:hint="eastAsia" w:ascii="仿宋_GB2312" w:hAnsi="Times New Roman" w:eastAsia="仿宋_GB2312" w:cs="Times New Roman"/>
          <w:color w:val="auto"/>
          <w:sz w:val="28"/>
          <w:szCs w:val="28"/>
          <w:lang w:val="en-US" w:eastAsia="zh-CN"/>
        </w:rPr>
        <w:instrText xml:space="preserve">HYPERLINK "http://www.zcygov.cn"</w:instrText>
      </w:r>
      <w:r>
        <w:rPr>
          <w:rFonts w:hint="eastAsia" w:ascii="仿宋_GB2312" w:hAnsi="Times New Roman" w:eastAsia="仿宋_GB2312" w:cs="Times New Roman"/>
          <w:color w:val="auto"/>
          <w:sz w:val="28"/>
          <w:szCs w:val="28"/>
          <w:lang w:val="en-US" w:eastAsia="zh-CN"/>
        </w:rPr>
        <w:fldChar w:fldCharType="separate"/>
      </w:r>
      <w:r>
        <w:rPr>
          <w:rFonts w:hint="eastAsia" w:ascii="仿宋_GB2312" w:hAnsi="Times New Roman" w:eastAsia="仿宋_GB2312" w:cs="Times New Roman"/>
          <w:color w:val="auto"/>
          <w:sz w:val="28"/>
          <w:szCs w:val="28"/>
          <w:lang w:val="en-US" w:eastAsia="zh-CN"/>
        </w:rPr>
        <w:t>www.zcygov.cn</w:t>
      </w:r>
      <w:r>
        <w:rPr>
          <w:rFonts w:hint="eastAsia" w:ascii="仿宋_GB2312" w:hAnsi="Times New Roman" w:eastAsia="仿宋_GB2312" w:cs="Times New Roman"/>
          <w:color w:val="auto"/>
          <w:sz w:val="28"/>
          <w:szCs w:val="28"/>
          <w:lang w:val="en-US" w:eastAsia="zh-CN"/>
        </w:rPr>
        <w:fldChar w:fldCharType="end"/>
      </w:r>
      <w:r>
        <w:rPr>
          <w:rFonts w:hint="eastAsia" w:ascii="仿宋_GB2312" w:hAnsi="Times New Roman" w:eastAsia="仿宋_GB2312"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开标时间:  2023 年</w:t>
      </w:r>
      <w:r>
        <w:rPr>
          <w:rFonts w:hint="eastAsia" w:ascii="仿宋_GB2312" w:eastAsia="仿宋_GB2312" w:cs="Times New Roman"/>
          <w:color w:val="auto"/>
          <w:kern w:val="2"/>
          <w:sz w:val="28"/>
          <w:szCs w:val="28"/>
          <w:lang w:val="en-US" w:eastAsia="zh-CN" w:bidi="ar-SA"/>
        </w:rPr>
        <w:t>12</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4</w:t>
      </w:r>
      <w:r>
        <w:rPr>
          <w:rFonts w:hint="eastAsia" w:ascii="仿宋_GB2312" w:hAnsi="Times New Roman" w:eastAsia="仿宋_GB2312" w:cs="Times New Roman"/>
          <w:color w:val="auto"/>
          <w:kern w:val="2"/>
          <w:sz w:val="28"/>
          <w:szCs w:val="28"/>
          <w:lang w:val="en-US" w:eastAsia="zh-CN" w:bidi="ar-SA"/>
        </w:rPr>
        <w:t>日</w:t>
      </w:r>
      <w:r>
        <w:rPr>
          <w:rFonts w:hint="eastAsia" w:ascii="仿宋_GB2312" w:eastAsia="仿宋_GB2312" w:cs="Times New Roman"/>
          <w:color w:val="auto"/>
          <w:kern w:val="2"/>
          <w:sz w:val="28"/>
          <w:szCs w:val="28"/>
          <w:lang w:val="en-US" w:eastAsia="zh-CN" w:bidi="ar-SA"/>
        </w:rPr>
        <w:t>16</w:t>
      </w:r>
      <w:r>
        <w:rPr>
          <w:rFonts w:hint="eastAsia" w:ascii="仿宋_GB2312" w:hAnsi="Times New Roman" w:eastAsia="仿宋_GB2312" w:cs="Times New Roman"/>
          <w:color w:val="auto"/>
          <w:kern w:val="2"/>
          <w:sz w:val="28"/>
          <w:szCs w:val="28"/>
          <w:lang w:val="en-US" w:eastAsia="zh-CN" w:bidi="ar-SA"/>
        </w:rPr>
        <w:t>点</w:t>
      </w:r>
      <w:r>
        <w:rPr>
          <w:rFonts w:hint="eastAsia" w:ascii="仿宋_GB2312" w:eastAsia="仿宋_GB2312" w:cs="Times New Roman"/>
          <w:color w:val="auto"/>
          <w:kern w:val="2"/>
          <w:sz w:val="28"/>
          <w:szCs w:val="28"/>
          <w:lang w:val="en-US" w:eastAsia="zh-CN" w:bidi="ar-SA"/>
        </w:rPr>
        <w:t>0</w:t>
      </w:r>
      <w:r>
        <w:rPr>
          <w:rFonts w:hint="eastAsia" w:ascii="仿宋_GB2312" w:hAnsi="Times New Roman" w:eastAsia="仿宋_GB2312" w:cs="Times New Roman"/>
          <w:color w:val="auto"/>
          <w:kern w:val="2"/>
          <w:sz w:val="28"/>
          <w:szCs w:val="28"/>
          <w:lang w:val="en-US" w:eastAsia="zh-CN" w:bidi="ar-SA"/>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b/>
          <w:bCs/>
          <w:sz w:val="30"/>
          <w:szCs w:val="30"/>
          <w:lang w:val="en-US" w:eastAsia="zh-CN"/>
        </w:rPr>
      </w:pPr>
      <w:r>
        <w:rPr>
          <w:rFonts w:hint="eastAsia" w:ascii="仿宋_GB2312" w:hAnsi="Times New Roman" w:eastAsia="仿宋_GB2312" w:cs="Times New Roman"/>
          <w:color w:val="auto"/>
          <w:kern w:val="2"/>
          <w:sz w:val="28"/>
          <w:szCs w:val="28"/>
          <w:lang w:val="en-US" w:eastAsia="zh-CN" w:bidi="ar-SA"/>
        </w:rPr>
        <w:t>开标地点：</w:t>
      </w:r>
      <w:r>
        <w:rPr>
          <w:rFonts w:hint="eastAsia" w:ascii="仿宋_GB2312" w:eastAsia="仿宋_GB2312" w:cs="Times New Roman"/>
          <w:color w:val="auto"/>
          <w:kern w:val="2"/>
          <w:sz w:val="28"/>
          <w:szCs w:val="28"/>
          <w:lang w:val="en-US" w:eastAsia="zh-CN" w:bidi="ar-SA"/>
        </w:rPr>
        <w:t>奇台县双创大厦五楼</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b/>
          <w:bCs/>
          <w:color w:val="auto"/>
          <w:sz w:val="30"/>
          <w:szCs w:val="30"/>
          <w:lang w:val="en-US" w:eastAsia="zh-CN"/>
        </w:rPr>
      </w:pPr>
      <w:r>
        <w:rPr>
          <w:rFonts w:hint="eastAsia" w:ascii="仿宋_GB2312" w:eastAsia="仿宋_GB2312"/>
          <w:b/>
          <w:bCs/>
          <w:color w:val="auto"/>
          <w:sz w:val="30"/>
          <w:szCs w:val="30"/>
          <w:lang w:val="en-US" w:eastAsia="zh-CN"/>
        </w:rPr>
        <w:t>特别提醒：本项目属于专门面向中小企业预留采购的项目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cs="Times New Roman"/>
          <w:color w:val="auto"/>
          <w:kern w:val="2"/>
          <w:sz w:val="28"/>
          <w:szCs w:val="28"/>
          <w:lang w:val="en-US" w:eastAsia="zh-CN" w:bidi="ar-SA"/>
        </w:rPr>
        <w:t>本项目为电子招投标项目，供应商需要使用 CA 加密设备，凡参加本项目供应商可通过新疆数字证书认证中心官网（https://www.xjca.com.cn/）或下载“新疆政务通”APP 自行进行线上申领，如原有兵团或公共资源使用的CA，可与新疆 CA 联系，申请增加电子证书即可，无需重复申领，新疆CA服务热线 0991-2819290。或前往奇台县大成时代写字楼 908 室线下办理，服务热线0994-7219990。如有操作性问题可与政采云在线客服进行咨询，咨询电话400-881-7190。</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本项目实行网上投标，采用电子响应文件，若供应商参与投标，应自行承担投标一切费用。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ascii="Times New Roman"/>
          <w:color w:val="000000"/>
          <w:spacing w:val="0"/>
          <w:sz w:val="28"/>
        </w:rPr>
      </w:pPr>
      <w:r>
        <w:rPr>
          <w:rFonts w:hint="eastAsia" w:ascii="仿宋_GB2312" w:hAnsi="Times New Roman" w:eastAsia="仿宋_GB2312" w:cs="Times New Roman"/>
          <w:color w:val="auto"/>
          <w:kern w:val="2"/>
          <w:sz w:val="28"/>
          <w:szCs w:val="28"/>
          <w:lang w:val="en-US" w:eastAsia="zh-CN" w:bidi="ar-SA"/>
        </w:rPr>
        <w:t>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供应商应使用最新版本的 CA 驱动和政采云投标客户端，客户端下载、安装完成后，可通过账号密码或 CA 登录客户端进行响应文件制作。在使用政采云投标客户端时，建议使用谷歌浏览器，电脑配置满足 win7+64 位以上操作系 统 （ 不 能 用 mac 或 者 linux 系 统 ） 。 客 户 端 请 至 新 疆 政 府 采 购 网（www.ccgp-xinjiang.gov.cn）下载专区查看，如有问题可拨打政采云客户服务热线 400-881-7190 进行咨询。</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default" w:ascii="仿宋_GB2312"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投标供应商应当在投标截止时间前，将生成的“电子加密投标文件”按照要求上传递交至政采云平台指定地点，供应商无需到场。递交响应文件截止时间后上传递交的响应文件将被“政府采购云平台”拒收。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30"/>
          <w:szCs w:val="30"/>
          <w:lang w:val="en-US" w:eastAsia="zh-CN"/>
        </w:rPr>
      </w:pPr>
      <w:bookmarkStart w:id="4" w:name="_Toc35393625"/>
      <w:bookmarkStart w:id="5" w:name="_Toc35393794"/>
      <w:bookmarkStart w:id="6" w:name="_Toc28359084"/>
      <w:bookmarkStart w:id="7" w:name="_Toc28359007"/>
      <w:r>
        <w:rPr>
          <w:rFonts w:hint="eastAsia" w:ascii="仿宋_GB2312" w:eastAsia="仿宋_GB2312"/>
          <w:b/>
          <w:bCs/>
          <w:sz w:val="30"/>
          <w:szCs w:val="30"/>
          <w:lang w:val="en-US" w:eastAsia="zh-CN"/>
        </w:rPr>
        <w:t>六、公告期限</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bCs/>
          <w:color w:val="auto"/>
          <w:sz w:val="30"/>
          <w:szCs w:val="30"/>
          <w:lang w:val="en-US" w:eastAsia="zh-CN"/>
        </w:rPr>
        <w:t>七、凡对本次采购提出询问，请按以下方式联系。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采购人：</w:t>
      </w:r>
      <w:r>
        <w:rPr>
          <w:rFonts w:hint="eastAsia" w:ascii="仿宋_GB2312" w:eastAsia="仿宋_GB2312" w:cs="Times New Roman"/>
          <w:color w:val="auto"/>
          <w:kern w:val="2"/>
          <w:sz w:val="28"/>
          <w:szCs w:val="28"/>
          <w:lang w:val="en-US" w:eastAsia="zh-CN" w:bidi="ar-SA"/>
        </w:rPr>
        <w:t xml:space="preserve">奇台县自然资源局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联系人：</w:t>
      </w:r>
      <w:r>
        <w:rPr>
          <w:rFonts w:hint="eastAsia" w:ascii="仿宋_GB2312" w:eastAsia="仿宋_GB2312" w:cs="Times New Roman"/>
          <w:b w:val="0"/>
          <w:bCs w:val="0"/>
          <w:color w:val="auto"/>
          <w:kern w:val="2"/>
          <w:sz w:val="28"/>
          <w:szCs w:val="28"/>
          <w:lang w:val="en-US" w:eastAsia="zh-CN" w:bidi="ar-SA"/>
        </w:rPr>
        <w:t>汤工</w:t>
      </w:r>
      <w:r>
        <w:rPr>
          <w:rFonts w:hint="eastAsia" w:ascii="仿宋_GB2312" w:hAnsi="Times New Roman" w:eastAsia="仿宋_GB2312" w:cs="Times New Roman"/>
          <w:b w:val="0"/>
          <w:bCs w:val="0"/>
          <w:color w:val="auto"/>
          <w:kern w:val="2"/>
          <w:sz w:val="28"/>
          <w:szCs w:val="28"/>
          <w:lang w:val="en-US" w:eastAsia="zh-CN" w:bidi="ar-SA"/>
        </w:rPr>
        <w:t xml:space="preserve">    联系电话：</w:t>
      </w:r>
      <w:r>
        <w:rPr>
          <w:rFonts w:hint="eastAsia" w:ascii="仿宋_GB2312" w:eastAsia="仿宋_GB2312" w:cs="Times New Roman"/>
          <w:b w:val="0"/>
          <w:bCs w:val="0"/>
          <w:color w:val="auto"/>
          <w:kern w:val="2"/>
          <w:sz w:val="28"/>
          <w:szCs w:val="28"/>
          <w:lang w:val="en-US" w:eastAsia="zh-CN" w:bidi="ar-SA"/>
        </w:rPr>
        <w:t>13209940004</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Times New Roman"/>
          <w:b w:val="0"/>
          <w:bCs w:val="0"/>
          <w:color w:val="auto"/>
          <w:kern w:val="2"/>
          <w:sz w:val="28"/>
          <w:szCs w:val="28"/>
          <w:lang w:val="en-US" w:eastAsia="zh-CN" w:bidi="ar-SA"/>
        </w:rPr>
      </w:pPr>
      <w:r>
        <w:rPr>
          <w:rFonts w:hint="eastAsia" w:ascii="仿宋_GB2312" w:eastAsia="仿宋_GB2312" w:cs="Times New Roman"/>
          <w:b w:val="0"/>
          <w:bCs w:val="0"/>
          <w:color w:val="auto"/>
          <w:kern w:val="2"/>
          <w:sz w:val="28"/>
          <w:szCs w:val="28"/>
          <w:lang w:val="en-US" w:eastAsia="zh-CN" w:bidi="ar-SA"/>
        </w:rPr>
        <w:t>地址：</w:t>
      </w:r>
      <w:r>
        <w:rPr>
          <w:rFonts w:hint="eastAsia" w:ascii="仿宋_GB2312" w:eastAsia="仿宋_GB2312" w:cs="Times New Roman"/>
          <w:color w:val="auto"/>
          <w:kern w:val="2"/>
          <w:sz w:val="28"/>
          <w:szCs w:val="28"/>
          <w:lang w:val="en-US" w:eastAsia="zh-CN" w:bidi="ar-SA"/>
        </w:rPr>
        <w:t>奇台县自然资源局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招标机构：新疆新华远景工程造价咨询有限公司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招标机构地址：奇台县双创大厦5楼</w:t>
      </w:r>
    </w:p>
    <w:p>
      <w:pPr>
        <w:spacing w:line="360" w:lineRule="auto"/>
        <w:ind w:firstLine="560" w:firstLineChars="200"/>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联系人： 葛工        联系电话：0994-7229636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监督单位：奇台县政府采购管理办公室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 xml:space="preserve">地址： 奇台县    联系电话：0994-7225817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s="Times New Roman"/>
          <w:b/>
          <w:bCs/>
          <w:color w:val="auto"/>
          <w:kern w:val="2"/>
          <w:sz w:val="28"/>
          <w:szCs w:val="28"/>
          <w:lang w:val="en-US" w:eastAsia="zh-CN" w:bidi="ar-SA"/>
        </w:rPr>
      </w:pPr>
      <w:r>
        <w:rPr>
          <w:rFonts w:hint="eastAsia" w:ascii="仿宋_GB2312" w:eastAsia="仿宋_GB2312" w:cs="Times New Roman"/>
          <w:b/>
          <w:bCs/>
          <w:color w:val="auto"/>
          <w:kern w:val="2"/>
          <w:sz w:val="28"/>
          <w:szCs w:val="28"/>
          <w:lang w:val="en-US" w:eastAsia="zh-CN" w:bidi="ar-SA"/>
        </w:rPr>
        <w:t>八：本项目相关公告发布媒体：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1、</w:t>
      </w:r>
      <w:r>
        <w:rPr>
          <w:rFonts w:hint="default" w:ascii="仿宋_GB2312" w:hAnsi="Times New Roman" w:eastAsia="仿宋_GB2312" w:cs="Times New Roman"/>
          <w:color w:val="auto"/>
          <w:kern w:val="2"/>
          <w:sz w:val="28"/>
          <w:szCs w:val="28"/>
          <w:lang w:val="en-US" w:eastAsia="zh-CN" w:bidi="ar-SA"/>
        </w:rPr>
        <w:t>新疆政府采购网：</w:t>
      </w:r>
      <w:r>
        <w:rPr>
          <w:rFonts w:hint="default" w:ascii="仿宋_GB2312" w:hAnsi="Times New Roman" w:eastAsia="仿宋_GB2312" w:cs="Times New Roman"/>
          <w:color w:val="auto"/>
          <w:kern w:val="2"/>
          <w:sz w:val="28"/>
          <w:szCs w:val="28"/>
          <w:lang w:val="en-US" w:eastAsia="zh-CN" w:bidi="ar-SA"/>
        </w:rPr>
        <w:fldChar w:fldCharType="begin"/>
      </w:r>
      <w:r>
        <w:rPr>
          <w:rFonts w:hint="default" w:ascii="仿宋_GB2312" w:hAnsi="Times New Roman" w:eastAsia="仿宋_GB2312" w:cs="Times New Roman"/>
          <w:color w:val="auto"/>
          <w:kern w:val="2"/>
          <w:sz w:val="28"/>
          <w:szCs w:val="28"/>
          <w:lang w:val="en-US" w:eastAsia="zh-CN" w:bidi="ar-SA"/>
        </w:rPr>
        <w:instrText xml:space="preserve"> HYPERLINK "http://www.ccgp-xinjiang.gov.cn。" </w:instrText>
      </w:r>
      <w:r>
        <w:rPr>
          <w:rFonts w:hint="default" w:ascii="仿宋_GB2312" w:hAnsi="Times New Roman" w:eastAsia="仿宋_GB2312" w:cs="Times New Roman"/>
          <w:color w:val="auto"/>
          <w:kern w:val="2"/>
          <w:sz w:val="28"/>
          <w:szCs w:val="28"/>
          <w:lang w:val="en-US" w:eastAsia="zh-CN" w:bidi="ar-SA"/>
        </w:rPr>
        <w:fldChar w:fldCharType="separate"/>
      </w:r>
      <w:r>
        <w:rPr>
          <w:rFonts w:hint="default" w:ascii="仿宋_GB2312" w:hAnsi="Times New Roman" w:eastAsia="仿宋_GB2312" w:cs="Times New Roman"/>
          <w:color w:val="auto"/>
          <w:kern w:val="2"/>
          <w:sz w:val="28"/>
          <w:szCs w:val="28"/>
          <w:lang w:val="en-US" w:eastAsia="zh-CN" w:bidi="ar-SA"/>
        </w:rPr>
        <w:t>http://www.ccgp-xinjiang.gov.cn。</w:t>
      </w:r>
      <w:r>
        <w:rPr>
          <w:rFonts w:hint="default" w:ascii="仿宋_GB2312" w:hAnsi="Times New Roman" w:eastAsia="仿宋_GB2312" w:cs="Times New Roman"/>
          <w:color w:val="auto"/>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Times New Roman"/>
          <w:color w:val="auto"/>
          <w:kern w:val="2"/>
          <w:sz w:val="28"/>
          <w:szCs w:val="28"/>
          <w:lang w:val="en-US" w:eastAsia="zh-CN" w:bidi="ar-SA"/>
        </w:rPr>
      </w:pPr>
      <w:r>
        <w:rPr>
          <w:rFonts w:hint="default" w:ascii="仿宋_GB2312" w:hAnsi="Times New Roman" w:eastAsia="仿宋_GB2312" w:cs="Times New Roman"/>
          <w:color w:val="auto"/>
          <w:kern w:val="2"/>
          <w:sz w:val="28"/>
          <w:szCs w:val="28"/>
          <w:lang w:val="en-US" w:eastAsia="zh-CN" w:bidi="ar-SA"/>
        </w:rPr>
        <w:t>2、相关公告在法定媒体上公布之日即视为有效送达，不再另行通知。</w:t>
      </w:r>
    </w:p>
    <w:p>
      <w:pPr>
        <w:widowControl w:val="0"/>
        <w:numPr>
          <w:ilvl w:val="0"/>
          <w:numId w:val="0"/>
        </w:numPr>
        <w:autoSpaceDE w:val="0"/>
        <w:autoSpaceDN w:val="0"/>
        <w:spacing w:before="0" w:after="0" w:line="311" w:lineRule="exact"/>
        <w:ind w:leftChars="0" w:right="0" w:rightChars="0"/>
        <w:jc w:val="left"/>
        <w:rPr>
          <w:rFonts w:ascii="宋体" w:hAnsi="宋体" w:cs="宋体"/>
          <w:color w:val="000000"/>
          <w:spacing w:val="0"/>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cs="Times New Roman"/>
          <w:color w:val="auto"/>
          <w:kern w:val="2"/>
          <w:sz w:val="28"/>
          <w:szCs w:val="28"/>
          <w:lang w:val="en-US" w:eastAsia="zh-CN" w:bidi="ar-SA"/>
        </w:rPr>
      </w:pPr>
    </w:p>
    <w:p>
      <w:pPr>
        <w:pStyle w:val="10"/>
      </w:pPr>
    </w:p>
    <w:p>
      <w:pPr>
        <w:pStyle w:val="4"/>
        <w:numPr>
          <w:ilvl w:val="2"/>
          <w:numId w:val="0"/>
        </w:numPr>
        <w:ind w:leftChars="200"/>
        <w:rPr>
          <w:rFonts w:hint="eastAsia"/>
          <w:lang w:val="en-US" w:eastAsia="zh-CN"/>
        </w:rPr>
      </w:pPr>
    </w:p>
    <w:p>
      <w:pPr>
        <w:pStyle w:val="3"/>
        <w:numPr>
          <w:ilvl w:val="1"/>
          <w:numId w:val="0"/>
        </w:numPr>
        <w:ind w:leftChars="200"/>
        <w:rPr>
          <w:rFonts w:hint="eastAsia"/>
          <w:lang w:val="en-US" w:eastAsia="zh-CN"/>
        </w:rPr>
      </w:pPr>
    </w:p>
    <w:p>
      <w:pPr>
        <w:rPr>
          <w:rFonts w:hint="eastAsia"/>
          <w:lang w:val="en-US" w:eastAsia="zh-CN"/>
        </w:rPr>
      </w:pPr>
    </w:p>
    <w:p>
      <w:pPr>
        <w:pStyle w:val="3"/>
        <w:numPr>
          <w:ilvl w:val="1"/>
          <w:numId w:val="0"/>
        </w:numPr>
        <w:ind w:leftChars="200"/>
        <w:rPr>
          <w:rFonts w:hint="eastAsia"/>
          <w:lang w:val="en-US" w:eastAsia="zh-CN"/>
        </w:rPr>
      </w:pPr>
    </w:p>
    <w:p>
      <w:pPr>
        <w:rPr>
          <w:rFonts w:hint="eastAsia"/>
          <w:lang w:val="en-US" w:eastAsia="zh-CN"/>
        </w:rPr>
      </w:pPr>
    </w:p>
    <w:p>
      <w:pPr>
        <w:pStyle w:val="4"/>
        <w:numPr>
          <w:ilvl w:val="2"/>
          <w:numId w:val="0"/>
        </w:numPr>
        <w:ind w:leftChars="200"/>
        <w:rPr>
          <w:rFonts w:hint="eastAsia"/>
          <w:lang w:val="en-US" w:eastAsia="zh-CN"/>
        </w:rPr>
      </w:pPr>
    </w:p>
    <w:p>
      <w:pPr>
        <w:rPr>
          <w:rFonts w:hint="eastAsia"/>
          <w:lang w:val="en-US" w:eastAsia="zh-CN"/>
        </w:rPr>
      </w:pPr>
    </w:p>
    <w:p>
      <w:pPr>
        <w:pStyle w:val="4"/>
        <w:numPr>
          <w:ilvl w:val="2"/>
          <w:numId w:val="0"/>
        </w:numPr>
        <w:ind w:leftChars="200"/>
        <w:rPr>
          <w:rFonts w:hint="eastAsia"/>
          <w:lang w:val="en-US" w:eastAsia="zh-CN"/>
        </w:rPr>
      </w:pPr>
    </w:p>
    <w:p>
      <w:pPr>
        <w:rPr>
          <w:rFonts w:hint="eastAsia"/>
          <w:lang w:val="en-US" w:eastAsia="zh-CN"/>
        </w:rPr>
      </w:pPr>
    </w:p>
    <w:p>
      <w:pPr>
        <w:pStyle w:val="4"/>
        <w:numPr>
          <w:ilvl w:val="2"/>
          <w:numId w:val="0"/>
        </w:numPr>
        <w:ind w:leftChars="200"/>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p>
    <w:p>
      <w:pPr>
        <w:rPr>
          <w:rFonts w:hint="eastAsia"/>
        </w:rPr>
      </w:pPr>
    </w:p>
    <w:p>
      <w:pPr>
        <w:widowControl/>
        <w:numPr>
          <w:ilvl w:val="0"/>
          <w:numId w:val="4"/>
        </w:numPr>
        <w:jc w:val="center"/>
        <w:rPr>
          <w:rFonts w:hint="eastAsia" w:cs="宋体" w:asciiTheme="minorEastAsia" w:hAnsiTheme="minorEastAsia" w:eastAsiaTheme="minorEastAsia"/>
          <w:b/>
          <w:bCs/>
          <w:sz w:val="32"/>
          <w:szCs w:val="32"/>
        </w:rPr>
      </w:pP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lang w:val="en-US" w:eastAsia="zh-CN"/>
        </w:rPr>
        <w:t>供应商须知（</w:t>
      </w:r>
      <w:r>
        <w:rPr>
          <w:rFonts w:hint="eastAsia" w:cs="宋体" w:asciiTheme="minorEastAsia" w:hAnsiTheme="minorEastAsia" w:eastAsiaTheme="minorEastAsia"/>
          <w:b/>
          <w:bCs/>
          <w:sz w:val="32"/>
          <w:szCs w:val="32"/>
        </w:rPr>
        <w:t>磋商前附表</w:t>
      </w:r>
      <w:r>
        <w:rPr>
          <w:rFonts w:hint="eastAsia" w:cs="宋体" w:asciiTheme="minorEastAsia" w:hAnsiTheme="minorEastAsia" w:eastAsiaTheme="minorEastAsia"/>
          <w:b/>
          <w:bCs/>
          <w:sz w:val="32"/>
          <w:szCs w:val="32"/>
          <w:lang w:eastAsia="zh-CN"/>
        </w:rPr>
        <w:t>）</w:t>
      </w:r>
    </w:p>
    <w:p>
      <w:pPr>
        <w:widowControl/>
        <w:numPr>
          <w:ilvl w:val="0"/>
          <w:numId w:val="0"/>
        </w:numPr>
        <w:jc w:val="both"/>
        <w:rPr>
          <w:rFonts w:hint="eastAsia" w:cs="宋体" w:asciiTheme="minorEastAsia" w:hAnsiTheme="minorEastAsia" w:eastAsiaTheme="minorEastAsia"/>
          <w:b/>
          <w:bCs/>
          <w:sz w:val="32"/>
          <w:szCs w:val="32"/>
        </w:rPr>
      </w:pPr>
    </w:p>
    <w:tbl>
      <w:tblPr>
        <w:tblStyle w:val="28"/>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18"/>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blHeade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项目名称</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cs="Times New Roman"/>
                <w:color w:val="auto"/>
                <w:kern w:val="2"/>
                <w:sz w:val="28"/>
                <w:szCs w:val="28"/>
                <w:lang w:val="en-US" w:eastAsia="zh-CN" w:bidi="ar-SA"/>
              </w:rPr>
              <w:t xml:space="preserve">奇台县园地林地草地定级和基准地价制定工作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784" w:type="dxa"/>
            <w:vAlign w:val="center"/>
          </w:tcPr>
          <w:p>
            <w:pPr>
              <w:spacing w:line="320" w:lineRule="exact"/>
              <w:jc w:val="center"/>
              <w:rPr>
                <w:rFonts w:hint="eastAsia" w:ascii="仿宋_GB2312" w:hAnsi="仿宋" w:eastAsia="仿宋_GB2312" w:cs="宋体"/>
                <w:sz w:val="28"/>
                <w:szCs w:val="28"/>
                <w:lang w:val="en-US" w:eastAsia="zh-CN"/>
              </w:rPr>
            </w:pPr>
            <w:r>
              <w:rPr>
                <w:rFonts w:hint="eastAsia" w:ascii="仿宋_GB2312" w:hAnsi="仿宋" w:eastAsia="仿宋_GB2312" w:cs="宋体"/>
                <w:sz w:val="28"/>
                <w:szCs w:val="28"/>
                <w:lang w:val="en-US" w:eastAsia="zh-CN"/>
              </w:rPr>
              <w:t>2</w:t>
            </w:r>
          </w:p>
        </w:tc>
        <w:tc>
          <w:tcPr>
            <w:tcW w:w="1518" w:type="dxa"/>
            <w:vAlign w:val="center"/>
          </w:tcPr>
          <w:p>
            <w:pPr>
              <w:spacing w:line="320" w:lineRule="exact"/>
              <w:jc w:val="center"/>
              <w:rPr>
                <w:rFonts w:hint="default" w:ascii="仿宋_GB2312" w:hAnsi="仿宋" w:eastAsia="仿宋_GB2312" w:cs="宋体"/>
                <w:b w:val="0"/>
                <w:bCs w:val="0"/>
                <w:sz w:val="28"/>
                <w:szCs w:val="28"/>
                <w:lang w:val="en-US" w:eastAsia="zh-CN"/>
              </w:rPr>
            </w:pPr>
            <w:r>
              <w:rPr>
                <w:rFonts w:hint="eastAsia" w:ascii="仿宋_GB2312" w:hAnsi="仿宋_GB2312" w:eastAsia="仿宋_GB2312" w:cs="仿宋_GB2312"/>
                <w:b w:val="0"/>
                <w:bCs w:val="0"/>
                <w:color w:val="auto"/>
                <w:sz w:val="28"/>
                <w:szCs w:val="28"/>
                <w:lang w:val="en-US" w:eastAsia="zh-CN"/>
              </w:rPr>
              <w:t>文件编号</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color w:val="auto"/>
                <w:kern w:val="2"/>
                <w:sz w:val="28"/>
                <w:szCs w:val="28"/>
                <w:lang w:val="en-US" w:eastAsia="zh-CN" w:bidi="ar-SA"/>
              </w:rPr>
            </w:pPr>
            <w:r>
              <w:rPr>
                <w:rFonts w:hint="eastAsia" w:ascii="仿宋_GB2312" w:eastAsia="仿宋_GB2312" w:cs="Times New Roman"/>
                <w:color w:val="auto"/>
                <w:kern w:val="2"/>
                <w:sz w:val="28"/>
                <w:szCs w:val="28"/>
                <w:lang w:val="en-US" w:eastAsia="zh-CN" w:bidi="ar-SA"/>
              </w:rPr>
              <w:t>XHYJ-QTCG2023-114</w:t>
            </w:r>
          </w:p>
          <w:p>
            <w:pPr>
              <w:spacing w:line="320" w:lineRule="exact"/>
              <w:rPr>
                <w:rFonts w:hint="eastAsia" w:ascii="仿宋_GB2312" w:hAnsi="仿宋" w:eastAsia="仿宋_GB2312" w:cs="宋体"/>
                <w:sz w:val="28"/>
                <w:szCs w:val="28"/>
                <w:lang w:val="en-US" w:eastAsia="zh-CN"/>
              </w:rPr>
            </w:pPr>
          </w:p>
          <w:p>
            <w:pPr>
              <w:spacing w:line="320" w:lineRule="exact"/>
              <w:rPr>
                <w:rFonts w:hint="default" w:ascii="仿宋_GB2312" w:hAnsi="仿宋"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采购方式</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r>
              <w:rPr>
                <w:rFonts w:hint="eastAsia" w:ascii="仿宋_GB2312" w:hAnsi="Times New Roman" w:eastAsia="仿宋_GB2312" w:cs="Times New Roman"/>
                <w:color w:val="auto"/>
                <w:kern w:val="2"/>
                <w:sz w:val="28"/>
                <w:szCs w:val="28"/>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 w:eastAsia="仿宋_GB2312" w:cs="宋体"/>
                <w:b w:val="0"/>
                <w:bCs w:val="0"/>
                <w:sz w:val="28"/>
                <w:szCs w:val="28"/>
                <w:lang w:val="en-US" w:eastAsia="zh-CN"/>
              </w:rPr>
              <w:t>采购内容</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展奇台县园地林地草地定级和基准地价制定工作。通过分等定级价格评估，综合评价全国园地林地草地质量分布状况，建立政府公示价格体系，可以显化园地林地草地资源资产质量和价值，直接服务于自然资源有偿使用、资产清查核算、税费管理等工作，有助于加强自然资源保护与合理开发利用，促进生态产品价值实现，推进自然资源管理向数量、质量与生态管护并重转变。（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28"/>
                <w:szCs w:val="28"/>
                <w:lang w:val="en-US" w:eastAsia="zh-CN"/>
              </w:rPr>
            </w:pPr>
            <w:r>
              <w:rPr>
                <w:rFonts w:hint="default" w:ascii="仿宋_GB2312" w:hAnsi="仿宋" w:eastAsia="仿宋_GB2312" w:cs="宋体"/>
                <w:b w:val="0"/>
                <w:bCs w:val="0"/>
                <w:sz w:val="28"/>
                <w:szCs w:val="28"/>
                <w:lang w:val="en-US" w:eastAsia="zh-CN"/>
              </w:rPr>
              <w:t>采购人</w:t>
            </w:r>
            <w:r>
              <w:rPr>
                <w:rFonts w:hint="eastAsia" w:ascii="仿宋_GB2312" w:hAnsi="仿宋" w:eastAsia="仿宋_GB2312" w:cs="宋体"/>
                <w:b w:val="0"/>
                <w:bCs w:val="0"/>
                <w:sz w:val="28"/>
                <w:szCs w:val="28"/>
                <w:lang w:val="en-US" w:eastAsia="zh-CN"/>
              </w:rPr>
              <w:t>名称</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cs="Times New Roman"/>
                <w:color w:val="auto"/>
                <w:kern w:val="2"/>
                <w:sz w:val="28"/>
                <w:szCs w:val="28"/>
                <w:lang w:val="en-US" w:eastAsia="zh-CN" w:bidi="ar-SA"/>
              </w:rPr>
              <w:t>奇台县自然资源局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联系人：</w:t>
            </w:r>
            <w:r>
              <w:rPr>
                <w:rFonts w:hint="eastAsia" w:ascii="仿宋_GB2312" w:eastAsia="仿宋_GB2312" w:cs="Times New Roman"/>
                <w:b w:val="0"/>
                <w:bCs w:val="0"/>
                <w:color w:val="auto"/>
                <w:kern w:val="2"/>
                <w:sz w:val="28"/>
                <w:szCs w:val="28"/>
                <w:lang w:val="en-US" w:eastAsia="zh-CN" w:bidi="ar-SA"/>
              </w:rPr>
              <w:t>汤工</w:t>
            </w:r>
            <w:r>
              <w:rPr>
                <w:rFonts w:hint="eastAsia" w:ascii="仿宋_GB2312" w:hAnsi="Times New Roman" w:eastAsia="仿宋_GB2312" w:cs="Times New Roman"/>
                <w:b w:val="0"/>
                <w:bCs w:val="0"/>
                <w:color w:val="auto"/>
                <w:kern w:val="2"/>
                <w:sz w:val="28"/>
                <w:szCs w:val="28"/>
                <w:lang w:val="en-US" w:eastAsia="zh-CN" w:bidi="ar-SA"/>
              </w:rPr>
              <w:t xml:space="preserve">    联系电话：</w:t>
            </w:r>
            <w:r>
              <w:rPr>
                <w:rFonts w:hint="eastAsia" w:ascii="仿宋_GB2312" w:eastAsia="仿宋_GB2312" w:cs="Times New Roman"/>
                <w:b w:val="0"/>
                <w:bCs w:val="0"/>
                <w:color w:val="auto"/>
                <w:kern w:val="2"/>
                <w:sz w:val="28"/>
                <w:szCs w:val="28"/>
                <w:lang w:val="en-US" w:eastAsia="zh-CN" w:bidi="ar-SA"/>
              </w:rPr>
              <w:t>13209940004</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518" w:type="dxa"/>
            <w:vAlign w:val="center"/>
          </w:tcPr>
          <w:p>
            <w:pPr>
              <w:spacing w:line="320" w:lineRule="exact"/>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 w:eastAsia="仿宋_GB2312" w:cs="宋体"/>
                <w:b w:val="0"/>
                <w:bCs w:val="0"/>
                <w:sz w:val="28"/>
                <w:szCs w:val="28"/>
                <w:lang w:val="en-US" w:eastAsia="zh-CN"/>
              </w:rPr>
              <w:t>采购招标机构</w:t>
            </w:r>
          </w:p>
        </w:tc>
        <w:tc>
          <w:tcPr>
            <w:tcW w:w="6659" w:type="dxa"/>
            <w:vAlign w:val="center"/>
          </w:tcPr>
          <w:p>
            <w:pPr>
              <w:spacing w:line="320" w:lineRule="exact"/>
              <w:jc w:val="left"/>
              <w:rPr>
                <w:rFonts w:hint="eastAsia" w:ascii="仿宋_GB2312" w:hAnsi="仿宋" w:eastAsia="仿宋_GB2312" w:cs="宋体"/>
                <w:sz w:val="28"/>
                <w:szCs w:val="28"/>
                <w:lang w:val="en-US" w:eastAsia="zh-CN"/>
              </w:rPr>
            </w:pPr>
            <w:r>
              <w:rPr>
                <w:rFonts w:hint="eastAsia" w:ascii="仿宋_GB2312" w:hAnsi="仿宋" w:eastAsia="仿宋_GB2312" w:cs="宋体"/>
                <w:sz w:val="28"/>
                <w:szCs w:val="28"/>
                <w:lang w:val="en-US" w:eastAsia="zh-CN"/>
              </w:rPr>
              <w:t>新疆新华远景工程造价咨询有限公司</w:t>
            </w:r>
          </w:p>
          <w:p>
            <w:pPr>
              <w:spacing w:line="320" w:lineRule="exact"/>
              <w:jc w:val="left"/>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联系人：葛工    联系电话：0994-7229636</w:t>
            </w:r>
          </w:p>
          <w:p>
            <w:pPr>
              <w:spacing w:line="320" w:lineRule="exact"/>
              <w:jc w:val="left"/>
              <w:rPr>
                <w:rFonts w:hint="default"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宋体"/>
                <w:b w:val="0"/>
                <w:bCs w:val="0"/>
                <w:sz w:val="28"/>
                <w:szCs w:val="28"/>
                <w:lang w:val="en-US" w:eastAsia="zh-CN"/>
              </w:rPr>
            </w:pPr>
            <w:r>
              <w:rPr>
                <w:rFonts w:hint="eastAsia" w:ascii="仿宋_GB2312" w:hAnsi="仿宋" w:eastAsia="仿宋_GB2312" w:cs="宋体"/>
                <w:b w:val="0"/>
                <w:bCs w:val="0"/>
                <w:sz w:val="28"/>
                <w:szCs w:val="28"/>
                <w:lang w:val="en-US" w:eastAsia="zh-CN"/>
              </w:rPr>
              <w:t>资格审查方式</w:t>
            </w:r>
          </w:p>
          <w:p>
            <w:pPr>
              <w:spacing w:line="320" w:lineRule="exact"/>
              <w:jc w:val="center"/>
              <w:rPr>
                <w:rFonts w:hint="eastAsia" w:ascii="仿宋_GB2312" w:hAnsi="仿宋" w:eastAsia="仿宋_GB2312" w:cs="宋体"/>
                <w:b w:val="0"/>
                <w:bCs w:val="0"/>
                <w:sz w:val="28"/>
                <w:szCs w:val="28"/>
                <w:lang w:val="en-US" w:eastAsia="zh-CN"/>
              </w:rPr>
            </w:pPr>
          </w:p>
        </w:tc>
        <w:tc>
          <w:tcPr>
            <w:tcW w:w="6659" w:type="dxa"/>
            <w:vAlign w:val="center"/>
          </w:tcPr>
          <w:p>
            <w:pPr>
              <w:spacing w:line="32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信誉要求（不良行为记录）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企业在3年内未出现关、停、并转等不良经营状况，未处于被责令停业、投标资格取消、财务被接管、冻结、破产状况等问题；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《磋商文件》澄清期</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截止于开标日的 5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磋商响应有效期</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评标办法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综合评分法。经磋商确定最终采购需求和提交最后报价的供应商后，由磋商小组采用综合评分法对提交最后报价的供应商的响应文件和最后报价进行综合评分。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商的响应文件和最后报价进行综合评分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1、本项目最高限价</w:t>
            </w:r>
            <w:r>
              <w:rPr>
                <w:rFonts w:hint="eastAsia" w:ascii="仿宋_GB2312" w:hAnsi="Times New Roman" w:eastAsia="仿宋_GB2312" w:cs="Times New Roman"/>
                <w:b w:val="0"/>
                <w:bCs w:val="0"/>
                <w:color w:val="auto"/>
                <w:kern w:val="2"/>
                <w:sz w:val="28"/>
                <w:szCs w:val="28"/>
                <w:u w:val="single"/>
                <w:lang w:val="en-US" w:eastAsia="zh-CN" w:bidi="ar-SA"/>
              </w:rPr>
              <w:t xml:space="preserve"> </w:t>
            </w:r>
            <w:r>
              <w:rPr>
                <w:rFonts w:hint="eastAsia" w:ascii="仿宋_GB2312" w:eastAsia="仿宋_GB2312" w:cs="Times New Roman"/>
                <w:b/>
                <w:bCs/>
                <w:color w:val="auto"/>
                <w:kern w:val="2"/>
                <w:sz w:val="28"/>
                <w:szCs w:val="28"/>
                <w:u w:val="single"/>
                <w:lang w:val="en-US" w:eastAsia="zh-CN" w:bidi="ar-SA"/>
              </w:rPr>
              <w:t>120</w:t>
            </w:r>
            <w:r>
              <w:rPr>
                <w:rFonts w:hint="eastAsia" w:ascii="仿宋_GB2312" w:hAnsi="Times New Roman" w:eastAsia="仿宋_GB2312" w:cs="Times New Roman"/>
                <w:b/>
                <w:bCs/>
                <w:color w:val="auto"/>
                <w:kern w:val="2"/>
                <w:sz w:val="28"/>
                <w:szCs w:val="28"/>
                <w:u w:val="single"/>
                <w:lang w:val="en-US" w:eastAsia="zh-CN" w:bidi="ar-SA"/>
              </w:rPr>
              <w:t>万</w:t>
            </w:r>
            <w:r>
              <w:rPr>
                <w:rFonts w:hint="eastAsia" w:ascii="仿宋_GB2312" w:hAnsi="Times New Roman" w:eastAsia="仿宋_GB2312" w:cs="Times New Roman"/>
                <w:b w:val="0"/>
                <w:bCs w:val="0"/>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2、报价（含首次报价和最后报价）超出本项目采购预算金额的为无效报价，其响应文件将被认定为无效响应。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投标证金</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金额：</w:t>
            </w:r>
            <w:r>
              <w:rPr>
                <w:rFonts w:hint="eastAsia" w:ascii="仿宋_GB2312" w:eastAsia="仿宋_GB2312" w:cs="Times New Roman"/>
                <w:color w:val="auto"/>
                <w:kern w:val="2"/>
                <w:sz w:val="28"/>
                <w:szCs w:val="28"/>
                <w:lang w:val="en-US" w:eastAsia="zh-CN" w:bidi="ar-SA"/>
              </w:rPr>
              <w:t>贰万元整</w:t>
            </w:r>
            <w:r>
              <w:rPr>
                <w:rFonts w:hint="eastAsia" w:ascii="仿宋_GB2312" w:hAnsi="Times New Roman" w:eastAsia="仿宋_GB2312" w:cs="Times New Roman"/>
                <w:color w:val="auto"/>
                <w:kern w:val="2"/>
                <w:sz w:val="28"/>
                <w:szCs w:val="28"/>
                <w:lang w:val="en-US" w:eastAsia="zh-CN" w:bidi="ar-SA"/>
              </w:rPr>
              <w:t>（</w:t>
            </w:r>
            <w:r>
              <w:rPr>
                <w:rFonts w:hint="eastAsia" w:ascii="仿宋_GB2312" w:eastAsia="仿宋_GB2312" w:cs="Times New Roman"/>
                <w:color w:val="auto"/>
                <w:kern w:val="2"/>
                <w:sz w:val="28"/>
                <w:szCs w:val="28"/>
                <w:lang w:val="en-US" w:eastAsia="zh-CN" w:bidi="ar-SA"/>
              </w:rPr>
              <w:t>20000元</w:t>
            </w:r>
            <w:r>
              <w:rPr>
                <w:rFonts w:hint="eastAsia" w:ascii="仿宋_GB2312" w:hAnsi="Times New Roman" w:eastAsia="仿宋_GB2312"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开户银行：中国农业银行股份有限公司奇台县兵团支行营业部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收款人：新疆新华远景工程造价咨询有限公司奇台分公司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开户行行号：103885507561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lang w:val="en-US" w:eastAsia="zh-CN"/>
              </w:rPr>
            </w:pPr>
            <w:r>
              <w:rPr>
                <w:rFonts w:hint="eastAsia" w:ascii="仿宋_GB2312" w:hAnsi="Times New Roman" w:eastAsia="仿宋_GB2312" w:cs="Times New Roman"/>
                <w:color w:val="auto"/>
                <w:kern w:val="2"/>
                <w:sz w:val="28"/>
                <w:szCs w:val="28"/>
                <w:lang w:val="en-US" w:eastAsia="zh-CN" w:bidi="ar-SA"/>
              </w:rPr>
              <w:t xml:space="preserve">账号：30075601040002508   </w:t>
            </w:r>
            <w:r>
              <w:rPr>
                <w:rFonts w:hint="eastAsia" w:ascii="仿宋" w:hAnsi="仿宋" w:eastAsia="仿宋" w:cs="仿宋"/>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投标保证金附注：奇台县园地林地草地定级和基准地价制定工作 或XHYJ-QTCG2023-114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b/>
                <w:bCs/>
                <w:color w:val="auto"/>
                <w:kern w:val="2"/>
                <w:sz w:val="28"/>
                <w:szCs w:val="28"/>
                <w:lang w:val="en-US" w:eastAsia="zh-CN" w:bidi="ar-SA"/>
              </w:rPr>
              <w:t>1、交款方式:</w:t>
            </w:r>
            <w:r>
              <w:rPr>
                <w:rFonts w:hint="eastAsia" w:ascii="仿宋_GB2312" w:hAnsi="Times New Roman" w:eastAsia="仿宋_GB2312" w:cs="Times New Roman"/>
                <w:color w:val="auto"/>
                <w:kern w:val="2"/>
                <w:sz w:val="28"/>
                <w:szCs w:val="28"/>
                <w:lang w:val="en-US" w:eastAsia="zh-CN" w:bidi="ar-SA"/>
              </w:rPr>
              <w:t>以支票、汇票、本票或者金融机构出具的保函等非现金形式提交（投标人应充分考虑资金到账时间）</w:t>
            </w:r>
            <w:r>
              <w:rPr>
                <w:rFonts w:hint="eastAsia" w:ascii="仿宋_GB2312" w:eastAsia="仿宋_GB2312" w:cs="Times New Roman"/>
                <w:color w:val="auto"/>
                <w:kern w:val="2"/>
                <w:sz w:val="28"/>
                <w:szCs w:val="28"/>
                <w:lang w:val="en-US" w:eastAsia="zh-CN" w:bidi="ar-SA"/>
              </w:rPr>
              <w:t>。</w:t>
            </w:r>
          </w:p>
          <w:p>
            <w:pPr>
              <w:numPr>
                <w:ilvl w:val="0"/>
                <w:numId w:val="0"/>
              </w:numPr>
              <w:spacing w:line="320" w:lineRule="exact"/>
              <w:rPr>
                <w:rFonts w:hint="eastAsia" w:ascii="仿宋" w:hAnsi="仿宋" w:eastAsia="仿宋" w:cs="仿宋"/>
                <w:b/>
                <w:bCs w:val="0"/>
                <w:color w:val="auto"/>
                <w:sz w:val="28"/>
                <w:szCs w:val="28"/>
                <w:lang w:val="en-US" w:eastAsia="zh-CN"/>
              </w:rPr>
            </w:pPr>
            <w:r>
              <w:rPr>
                <w:rFonts w:hint="eastAsia" w:ascii="仿宋_GB2312" w:hAnsi="仿宋" w:eastAsia="仿宋_GB2312" w:cs="宋体"/>
                <w:b/>
                <w:bCs/>
                <w:color w:val="auto"/>
                <w:sz w:val="28"/>
                <w:szCs w:val="28"/>
                <w:lang w:val="en-US" w:eastAsia="zh-CN"/>
              </w:rPr>
              <w:t>2、保函形式：</w:t>
            </w:r>
            <w:r>
              <w:rPr>
                <w:rFonts w:hint="eastAsia" w:ascii="仿宋_GB2312" w:hAnsi="仿宋" w:eastAsia="仿宋_GB2312" w:cs="宋体"/>
                <w:b w:val="0"/>
                <w:bCs w:val="0"/>
                <w:color w:val="auto"/>
                <w:sz w:val="28"/>
                <w:szCs w:val="28"/>
                <w:lang w:val="en-US" w:eastAsia="zh-CN"/>
              </w:rPr>
              <w:t>将保函制作到电子投标文件即可。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不得以分公司、办事处或其他机构名义缴纳，投标人在缴纳保证金时，需在进账凭证上明确自己用途和投标项目，以便查对核实。请投标人按上述要求将投标保证金汇入指定的开户银行，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2"/>
                <w:szCs w:val="22"/>
              </w:rPr>
            </w:pPr>
            <w:r>
              <w:rPr>
                <w:rFonts w:hint="eastAsia" w:ascii="仿宋_GB2312" w:hAnsi="Times New Roman" w:eastAsia="仿宋_GB2312" w:cs="Times New Roman"/>
                <w:color w:val="auto"/>
                <w:kern w:val="2"/>
                <w:sz w:val="28"/>
                <w:szCs w:val="28"/>
                <w:lang w:val="en-US" w:eastAsia="zh-CN" w:bidi="ar-SA"/>
              </w:rPr>
              <w:t>（3）如中标后，中标单位不能响应招投标文件里面规定的完工期限或产品质量与招投标文件里面规定的产品质量存在差异的保，投标保证金不予退还，并上缴本级财政国库。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b w:val="0"/>
                <w:bCs w:val="0"/>
                <w:color w:val="auto"/>
                <w:sz w:val="28"/>
                <w:szCs w:val="28"/>
                <w:lang w:val="zh-CN"/>
              </w:rPr>
            </w:pPr>
            <w:r>
              <w:rPr>
                <w:rFonts w:hint="eastAsia" w:ascii="仿宋_GB2312" w:hAnsi="宋体" w:eastAsia="仿宋_GB2312"/>
                <w:b w:val="0"/>
                <w:bCs w:val="0"/>
                <w:color w:val="auto"/>
                <w:sz w:val="28"/>
                <w:szCs w:val="28"/>
                <w:lang w:val="zh-CN"/>
              </w:rPr>
              <w:t>履约保证金</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仿宋_GB2312" w:hAnsi="宋体" w:eastAsia="仿宋_GB2312"/>
                <w:sz w:val="28"/>
                <w:szCs w:val="28"/>
                <w:lang w:val="zh-CN" w:eastAsia="zh-CN"/>
              </w:rPr>
              <w:t>具体</w:t>
            </w:r>
            <w:r>
              <w:rPr>
                <w:rFonts w:hint="eastAsia" w:ascii="仿宋_GB2312" w:hAnsi="宋体" w:eastAsia="仿宋_GB2312"/>
                <w:sz w:val="28"/>
                <w:szCs w:val="28"/>
                <w:lang w:val="en-US" w:eastAsia="zh-CN"/>
              </w:rPr>
              <w:t>内容以</w:t>
            </w:r>
            <w:r>
              <w:rPr>
                <w:rFonts w:hint="eastAsia" w:ascii="仿宋_GB2312" w:hAnsi="宋体" w:eastAsia="仿宋_GB2312"/>
                <w:sz w:val="28"/>
                <w:szCs w:val="28"/>
                <w:lang w:val="zh-CN" w:eastAsia="zh-CN"/>
              </w:rPr>
              <w:t>合同</w:t>
            </w:r>
            <w:r>
              <w:rPr>
                <w:rFonts w:hint="eastAsia" w:ascii="仿宋_GB2312" w:hAnsi="宋体" w:eastAsia="仿宋_GB2312"/>
                <w:sz w:val="28"/>
                <w:szCs w:val="28"/>
                <w:lang w:val="en-US" w:eastAsia="zh-CN"/>
              </w:rPr>
              <w:t>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其它注意事项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highlight w:val="none"/>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供应商最后报价需同时提交投标产品分项报价表，供应商提前做好准备，二次报价时供应商要上传分项报价附件，因供应商自身原因在规定的时间（30 分钟）内报价不成功的，责任自负！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2"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特别提醒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1、本项目为电子招投标项目，供应商需要使用 CA 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密设备，凡参加本项目供应商可通过新疆数字证书认证中心官网（https://www.xjca.com.cn/）或下载“新疆政务通”APP 自行进行线上申领，如原有兵团或公共资源使用的 CA，可与新疆 CA 联系，申请增加电子证书即可，无需重复申领，新疆 CA 服务热线 0991-2819290。或前往奇台县 大 成 时 代 写 字 楼 908 室 线 下 办 理 ， 服 务 热 线0994-7219990。如有操作性问题可与政采云在线客服进行咨询，咨询电话：400-881-7190。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2、本项目实行网上投标，采用电子响应文件，若供应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商参与投标，应自行承担投标一切费用。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3、供应商应在开标前应确保成为新疆政府采购网正式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4、供应商应使用最新版本的 CA 驱动和政采云投标客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户端，客户端下载、安装完成后，可通过账号密码或 CA</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登录客户端进行响应文件制作。在使用政采云投标客户端时，建议使用谷歌浏览器，电脑配置满足 win7+64 位以上操作系统（不能用 mac 或者 linux 系统）。客户端请至新疆政府采购网（www.ccgp-xinjiang.gov.cn）下载专区查看，如有问题可拨打政采云客户服务热线 400-881-7190进行咨询。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投标供应商应当在投标截止时间前，将生成的“电子加密投标文件”按照要求上传递交至政采云平台指定地点，供应商无需到场。递交响应文件截止时间后上传递交的响应文件将被“政府采购云平台”拒收。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本项目属于专门面向中小企业采购的项目</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本项目采购标的对应的中小企业划分标准（详见附件）所属行业：</w:t>
            </w:r>
            <w:r>
              <w:rPr>
                <w:rFonts w:hint="eastAsia" w:ascii="仿宋_GB2312" w:hAnsi="仿宋_GB2312" w:eastAsia="仿宋_GB2312" w:cs="仿宋_GB2312"/>
                <w:b/>
                <w:bCs/>
                <w:color w:val="auto"/>
                <w:sz w:val="28"/>
                <w:szCs w:val="28"/>
                <w:lang w:val="en-US" w:eastAsia="zh-CN"/>
              </w:rPr>
              <w:t>其他未列明行业</w:t>
            </w:r>
            <w:r>
              <w:rPr>
                <w:rFonts w:hint="eastAsia" w:ascii="仿宋_GB2312" w:hAnsi="仿宋_GB2312" w:eastAsia="仿宋_GB2312" w:cs="仿宋_GB2312"/>
                <w:b w:val="0"/>
                <w:bCs w:val="0"/>
                <w:color w:val="auto"/>
                <w:sz w:val="28"/>
                <w:szCs w:val="28"/>
                <w:lang w:val="en-US" w:eastAsia="zh-CN"/>
              </w:rPr>
              <w:t>（包括科学研究和技术服务业，水利、环境和公共设施管理业，居民服务、修理和其他服务业，社会工作，文化、体育和娱乐业等）。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78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5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招标费用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p>
        </w:tc>
        <w:tc>
          <w:tcPr>
            <w:tcW w:w="665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注：1 、无论结果如何，供应商均自行承担所有与参加招标有关的全部费用；不管招标结果如何，采购人对上述费用不负任何责任。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 、成交供应商应缴纳代理服务费，服务费参照国家计划委员会计价格[2002]1980 号文件规定服务类标准取费计取。无论供应商是否单独列项计算该费用，采购人均认为该费用已包含在报价中。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2"/>
                <w:szCs w:val="22"/>
                <w:lang w:val="en-US" w:eastAsia="zh-CN"/>
              </w:rPr>
            </w:pPr>
            <w:r>
              <w:rPr>
                <w:rFonts w:hint="eastAsia" w:ascii="仿宋_GB2312" w:hAnsi="仿宋_GB2312" w:eastAsia="仿宋_GB2312" w:cs="仿宋_GB2312"/>
                <w:color w:val="auto"/>
                <w:sz w:val="28"/>
                <w:szCs w:val="28"/>
                <w:lang w:val="en-US" w:eastAsia="zh-CN"/>
              </w:rPr>
              <w:t>3、 无论招标结果如何，供应商的响应文件均不退还。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合同签订</w:t>
            </w:r>
          </w:p>
        </w:tc>
        <w:tc>
          <w:tcPr>
            <w:tcW w:w="6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招标人和中标人应当自中标通知书发出之日起三十日内，按照招标文件和中标人的投标文件订立书面合同。招标人和中标人不得再行订立背离合同实质性内容的其他协议。中标人无正当理由不与招标人订立合同，取消中标资格。</w:t>
            </w:r>
          </w:p>
        </w:tc>
      </w:tr>
    </w:tbl>
    <w:p>
      <w:pPr>
        <w:widowControl/>
        <w:jc w:val="center"/>
        <w:rPr>
          <w:rFonts w:hint="eastAsia" w:asciiTheme="minorEastAsia" w:hAnsiTheme="minorEastAsia" w:eastAsiaTheme="minorEastAsia"/>
          <w:b/>
          <w:bCs/>
          <w:sz w:val="32"/>
          <w:szCs w:val="32"/>
        </w:rPr>
      </w:pPr>
    </w:p>
    <w:p>
      <w:pPr>
        <w:widowControl/>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w:t>
      </w:r>
      <w:r>
        <w:rPr>
          <w:rFonts w:hint="eastAsia" w:asciiTheme="minorEastAsia" w:hAnsiTheme="minorEastAsia" w:eastAsiaTheme="minorEastAsia"/>
          <w:b/>
          <w:bCs/>
          <w:sz w:val="32"/>
          <w:szCs w:val="32"/>
          <w:lang w:val="en-US" w:eastAsia="zh-CN"/>
        </w:rPr>
        <w:t>二</w:t>
      </w:r>
      <w:r>
        <w:rPr>
          <w:rFonts w:hint="eastAsia" w:asciiTheme="minorEastAsia" w:hAnsiTheme="minorEastAsia" w:eastAsiaTheme="minorEastAsia"/>
          <w:b/>
          <w:bCs/>
          <w:sz w:val="32"/>
          <w:szCs w:val="32"/>
        </w:rPr>
        <w:t>部分</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供应商须知</w:t>
      </w:r>
    </w:p>
    <w:p>
      <w:pPr>
        <w:pStyle w:val="12"/>
        <w:spacing w:line="480" w:lineRule="exact"/>
        <w:ind w:right="-15"/>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lang w:val="en-US" w:eastAsia="zh-CN"/>
        </w:rPr>
        <w:t>一、说明</w:t>
      </w:r>
    </w:p>
    <w:p>
      <w:pPr>
        <w:pStyle w:val="12"/>
        <w:spacing w:line="360" w:lineRule="auto"/>
        <w:ind w:left="441" w:right="-15" w:hanging="514" w:hangingChars="18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1.适用范围</w:t>
      </w:r>
      <w:r>
        <w:rPr>
          <w:rFonts w:hint="eastAsia" w:ascii="仿宋_GB2312" w:hAnsi="仿宋_GB2312" w:eastAsia="仿宋_GB2312" w:cs="仿宋_GB2312"/>
          <w:b/>
          <w:bCs/>
          <w:sz w:val="28"/>
          <w:szCs w:val="28"/>
        </w:rPr>
        <w:tab/>
      </w:r>
    </w:p>
    <w:p>
      <w:pPr>
        <w:pStyle w:val="12"/>
        <w:spacing w:line="360" w:lineRule="auto"/>
        <w:ind w:right="-1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1本文件适用于本竞争性磋商的采购项目。</w:t>
      </w:r>
    </w:p>
    <w:p>
      <w:pPr>
        <w:pStyle w:val="12"/>
        <w:spacing w:line="360" w:lineRule="auto"/>
        <w:ind w:right="-1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本项目的采购人、</w:t>
      </w:r>
      <w:r>
        <w:rPr>
          <w:rFonts w:hint="eastAsia" w:ascii="仿宋_GB2312" w:hAnsi="仿宋_GB2312" w:eastAsia="仿宋_GB2312" w:cs="仿宋_GB2312"/>
          <w:sz w:val="28"/>
          <w:szCs w:val="28"/>
          <w:lang w:val="en-US" w:eastAsia="zh-CN"/>
        </w:rPr>
        <w:t>代理机构</w:t>
      </w:r>
      <w:r>
        <w:rPr>
          <w:rFonts w:hint="eastAsia" w:ascii="仿宋_GB2312" w:hAnsi="仿宋_GB2312" w:eastAsia="仿宋_GB2312" w:cs="仿宋_GB2312"/>
          <w:sz w:val="28"/>
          <w:szCs w:val="28"/>
        </w:rPr>
        <w:t>、供应商及各方当事人均适用本须知。</w:t>
      </w:r>
    </w:p>
    <w:p>
      <w:pPr>
        <w:pStyle w:val="12"/>
        <w:spacing w:line="360" w:lineRule="auto"/>
        <w:ind w:right="-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2.定义</w:t>
      </w:r>
    </w:p>
    <w:p>
      <w:pPr>
        <w:spacing w:line="360" w:lineRule="auto"/>
        <w:ind w:left="559" w:leftChars="133" w:hanging="280" w:hanging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定义</w:t>
      </w:r>
    </w:p>
    <w:p>
      <w:pPr>
        <w:spacing w:line="360" w:lineRule="auto"/>
        <w:ind w:left="559" w:leftChars="133" w:hanging="280" w:hanging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 监管部门：指同级或以上人民政府财政部门政府采购监督管理办公室。</w:t>
      </w:r>
    </w:p>
    <w:p>
      <w:pPr>
        <w:spacing w:line="360" w:lineRule="auto"/>
        <w:ind w:left="559" w:leftChars="133" w:hanging="280" w:hanging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 资金来源：是指采购人已拥有一笔财政性资金或资金来源已落实。</w:t>
      </w:r>
    </w:p>
    <w:p>
      <w:pPr>
        <w:spacing w:line="360" w:lineRule="auto"/>
        <w:ind w:left="559" w:leftChars="133" w:hanging="280" w:hanging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 采购人：依法进行政府采购的国家机关、事业单位、团体组织。</w:t>
      </w:r>
    </w:p>
    <w:p>
      <w:pPr>
        <w:spacing w:line="360" w:lineRule="auto"/>
        <w:ind w:left="559" w:leftChars="133" w:hanging="280" w:hangingChars="100"/>
        <w:rPr>
          <w:rFonts w:hint="eastAsia" w:ascii="仿宋_GB2312" w:hAnsi="仿宋_GB2312" w:eastAsia="仿宋_GB2312" w:cs="仿宋_GB2312"/>
          <w:b w:val="0"/>
          <w:bCs w:val="0"/>
          <w:kern w:val="0"/>
          <w:sz w:val="28"/>
          <w:szCs w:val="28"/>
          <w:u w:val="single"/>
          <w:lang w:eastAsia="zh-CN"/>
        </w:rPr>
      </w:pPr>
      <w:r>
        <w:rPr>
          <w:rFonts w:hint="eastAsia" w:ascii="仿宋_GB2312" w:hAnsi="仿宋_GB2312" w:eastAsia="仿宋_GB2312" w:cs="仿宋_GB2312"/>
          <w:kern w:val="0"/>
          <w:sz w:val="28"/>
          <w:szCs w:val="28"/>
        </w:rPr>
        <w:t xml:space="preserve">2.4 </w:t>
      </w:r>
      <w:r>
        <w:rPr>
          <w:rFonts w:hint="eastAsia" w:ascii="仿宋_GB2312" w:hAnsi="仿宋_GB2312" w:eastAsia="仿宋_GB2312" w:cs="仿宋_GB2312"/>
          <w:kern w:val="0"/>
          <w:sz w:val="28"/>
          <w:szCs w:val="28"/>
          <w:lang w:val="en-US" w:eastAsia="zh-CN"/>
        </w:rPr>
        <w:t>招标代理</w:t>
      </w:r>
      <w:r>
        <w:rPr>
          <w:rFonts w:hint="eastAsia" w:ascii="仿宋_GB2312" w:hAnsi="仿宋_GB2312" w:eastAsia="仿宋_GB2312" w:cs="仿宋_GB2312"/>
          <w:kern w:val="0"/>
          <w:sz w:val="28"/>
          <w:szCs w:val="28"/>
        </w:rPr>
        <w:t>机构：</w:t>
      </w:r>
      <w:r>
        <w:rPr>
          <w:rFonts w:hint="eastAsia" w:ascii="仿宋_GB2312" w:hAnsi="仿宋_GB2312" w:eastAsia="仿宋_GB2312" w:cs="仿宋_GB2312"/>
          <w:b w:val="0"/>
          <w:bCs w:val="0"/>
          <w:kern w:val="0"/>
          <w:sz w:val="28"/>
          <w:szCs w:val="28"/>
          <w:u w:val="single"/>
          <w:lang w:eastAsia="zh-CN"/>
        </w:rPr>
        <w:t>新疆新华远景工程造价咨询有限公司</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2.5 磋商小组：磋商小组是依法组建的专门负责本次磋商及评审工作的人员。</w:t>
      </w:r>
    </w:p>
    <w:p>
      <w:pPr>
        <w:spacing w:line="360" w:lineRule="auto"/>
        <w:ind w:left="559" w:leftChars="133" w:hanging="280" w:hangingChars="100"/>
        <w:jc w:val="left"/>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2.6 供应商：符合资格要求，响应采购、依法成立的企业法人、其他组织或自然人。</w:t>
      </w:r>
    </w:p>
    <w:p>
      <w:pPr>
        <w:spacing w:line="360" w:lineRule="auto"/>
        <w:ind w:left="559" w:leftChars="133" w:hanging="280" w:hangingChars="100"/>
        <w:jc w:val="left"/>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2.7 成交供应商：经合法磋商程序评选出来并经采购人确认的获得本项目成交资格的供应商。</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2.8 日期：指公历日。</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2.9 时间：指北京时间。</w:t>
      </w:r>
    </w:p>
    <w:p>
      <w:pPr>
        <w:spacing w:line="360" w:lineRule="auto"/>
        <w:rPr>
          <w:rFonts w:hint="eastAsia" w:ascii="仿宋_GB2312" w:hAnsi="仿宋_GB2312" w:eastAsia="仿宋_GB2312" w:cs="仿宋_GB2312"/>
          <w:b/>
          <w:bCs/>
          <w:kern w:val="0"/>
          <w:sz w:val="28"/>
          <w:szCs w:val="28"/>
          <w:u w:val="none"/>
          <w:lang w:eastAsia="zh-CN"/>
        </w:rPr>
      </w:pPr>
      <w:r>
        <w:rPr>
          <w:rFonts w:hint="eastAsia" w:ascii="仿宋_GB2312" w:hAnsi="仿宋_GB2312" w:eastAsia="仿宋_GB2312" w:cs="仿宋_GB2312"/>
          <w:b/>
          <w:bCs/>
          <w:kern w:val="0"/>
          <w:sz w:val="28"/>
          <w:szCs w:val="28"/>
          <w:u w:val="none"/>
          <w:lang w:eastAsia="zh-CN"/>
        </w:rPr>
        <w:t>3 、合格的供应商</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 xml:space="preserve"> 供应商须符合第一部分“磋商邀请”供应商资格要求的全部条款。</w:t>
      </w:r>
    </w:p>
    <w:p>
      <w:pPr>
        <w:spacing w:line="360" w:lineRule="auto"/>
        <w:rPr>
          <w:rFonts w:hint="eastAsia" w:ascii="仿宋_GB2312" w:hAnsi="仿宋_GB2312" w:eastAsia="仿宋_GB2312" w:cs="仿宋_GB2312"/>
          <w:b/>
          <w:bCs/>
          <w:kern w:val="0"/>
          <w:sz w:val="28"/>
          <w:szCs w:val="28"/>
          <w:u w:val="none"/>
          <w:lang w:eastAsia="zh-CN"/>
        </w:rPr>
      </w:pPr>
      <w:r>
        <w:rPr>
          <w:rFonts w:hint="eastAsia" w:ascii="仿宋_GB2312" w:hAnsi="仿宋_GB2312" w:eastAsia="仿宋_GB2312" w:cs="仿宋_GB2312"/>
          <w:b/>
          <w:bCs/>
          <w:kern w:val="0"/>
          <w:sz w:val="28"/>
          <w:szCs w:val="28"/>
          <w:u w:val="none"/>
          <w:lang w:eastAsia="zh-CN"/>
        </w:rPr>
        <w:t>4、政府采购政策（包括但不限于下列具体政策要求）</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val="en-US" w:eastAsia="zh-CN"/>
        </w:rPr>
        <w:t>1、</w:t>
      </w:r>
      <w:r>
        <w:rPr>
          <w:rFonts w:hint="eastAsia" w:ascii="仿宋_GB2312" w:hAnsi="仿宋_GB2312" w:eastAsia="仿宋_GB2312" w:cs="仿宋_GB2312"/>
          <w:b w:val="0"/>
          <w:bCs w:val="0"/>
          <w:kern w:val="0"/>
          <w:sz w:val="28"/>
          <w:szCs w:val="28"/>
          <w:u w:val="none"/>
          <w:lang w:eastAsia="zh-CN"/>
        </w:rPr>
        <w:t>中小企业、监狱企业及残疾人福利性单位</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4.1 中小企业定义：</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4.1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4.2.供应商提供的货物、工程或者服务符合下列情形的，享受中</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小企业扶持政策：</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（1）在货物采购项目中，货物由中小企业制造，即货物由中小企业生产且使用该中小企业商号或者注册商标；</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（2）在工程采购项目中，工程由中小企业承建，即工程施工单位为中小企业；</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（3）在服务采购项目中，服务由中小企业承接，即提供服务的人员为中小企业依照《中华人民共和国劳动合同法》订立劳动合同的从业人员。</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4</w:t>
      </w:r>
      <w:r>
        <w:rPr>
          <w:rFonts w:hint="eastAsia" w:ascii="仿宋_GB2312" w:hAnsi="仿宋_GB2312" w:eastAsia="仿宋_GB2312" w:cs="仿宋_GB2312"/>
          <w:b w:val="0"/>
          <w:bCs w:val="0"/>
          <w:kern w:val="0"/>
          <w:sz w:val="28"/>
          <w:szCs w:val="28"/>
          <w:u w:val="none"/>
          <w:lang w:val="en-US" w:eastAsia="zh-CN"/>
        </w:rPr>
        <w:t>.</w:t>
      </w:r>
      <w:r>
        <w:rPr>
          <w:rFonts w:hint="eastAsia" w:ascii="仿宋_GB2312" w:hAnsi="仿宋_GB2312" w:eastAsia="仿宋_GB2312" w:cs="仿宋_GB2312"/>
          <w:b w:val="0"/>
          <w:bCs w:val="0"/>
          <w:kern w:val="0"/>
          <w:sz w:val="28"/>
          <w:szCs w:val="28"/>
          <w:u w:val="none"/>
          <w:lang w:eastAsia="zh-CN"/>
        </w:rPr>
        <w:t>3 在货物采购项目中，供应商提供的货物既有中小企业制造货</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物，也有大型企业制造货物的，不享受中小企业扶持政策。</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4.4 以联合体形式参加政府采购活动，联合体各方均为中小企业</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的，联合体视同中小企业。其中，联合体各方均为小微企业</w:t>
      </w:r>
      <w:bookmarkStart w:id="17" w:name="_GoBack"/>
      <w:bookmarkEnd w:id="17"/>
      <w:r>
        <w:rPr>
          <w:rFonts w:hint="eastAsia" w:ascii="仿宋_GB2312" w:hAnsi="仿宋_GB2312" w:eastAsia="仿宋_GB2312" w:cs="仿宋_GB2312"/>
          <w:b w:val="0"/>
          <w:bCs w:val="0"/>
          <w:kern w:val="0"/>
          <w:sz w:val="28"/>
          <w:szCs w:val="28"/>
          <w:u w:val="none"/>
          <w:lang w:eastAsia="zh-CN"/>
        </w:rPr>
        <w:t>的，联合体视同小微企业。</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4.</w:t>
      </w:r>
      <w:r>
        <w:rPr>
          <w:rFonts w:hint="eastAsia" w:ascii="仿宋_GB2312" w:hAnsi="仿宋_GB2312" w:eastAsia="仿宋_GB2312" w:cs="仿宋_GB2312"/>
          <w:b w:val="0"/>
          <w:bCs w:val="0"/>
          <w:kern w:val="0"/>
          <w:sz w:val="28"/>
          <w:szCs w:val="28"/>
          <w:u w:val="none"/>
          <w:lang w:val="en-US" w:eastAsia="zh-CN"/>
        </w:rPr>
        <w:t>5</w:t>
      </w:r>
      <w:r>
        <w:rPr>
          <w:rFonts w:hint="eastAsia" w:ascii="仿宋_GB2312" w:hAnsi="仿宋_GB2312" w:eastAsia="仿宋_GB2312" w:cs="仿宋_GB2312"/>
          <w:b w:val="0"/>
          <w:bCs w:val="0"/>
          <w:kern w:val="0"/>
          <w:sz w:val="28"/>
          <w:szCs w:val="28"/>
          <w:u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val="en-US" w:eastAsia="zh-CN"/>
        </w:rPr>
        <w:t>4.5.1</w:t>
      </w:r>
      <w:r>
        <w:rPr>
          <w:rFonts w:hint="eastAsia" w:ascii="仿宋_GB2312" w:hAnsi="仿宋_GB2312" w:eastAsia="仿宋_GB2312" w:cs="仿宋_GB2312"/>
          <w:b w:val="0"/>
          <w:bCs w:val="0"/>
          <w:kern w:val="0"/>
          <w:sz w:val="28"/>
          <w:szCs w:val="28"/>
          <w:u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w:t>
      </w:r>
      <w:r>
        <w:rPr>
          <w:rFonts w:hint="eastAsia" w:ascii="仿宋_GB2312" w:hAnsi="仿宋_GB2312" w:eastAsia="仿宋_GB2312" w:cs="仿宋_GB2312"/>
          <w:b w:val="0"/>
          <w:bCs w:val="0"/>
          <w:kern w:val="0"/>
          <w:sz w:val="28"/>
          <w:szCs w:val="28"/>
          <w:u w:val="none"/>
          <w:lang w:val="en-US" w:eastAsia="zh-CN"/>
        </w:rPr>
        <w:t>1）</w:t>
      </w:r>
      <w:r>
        <w:rPr>
          <w:rFonts w:hint="eastAsia" w:ascii="仿宋_GB2312" w:hAnsi="仿宋_GB2312" w:eastAsia="仿宋_GB2312" w:cs="仿宋_GB2312"/>
          <w:b w:val="0"/>
          <w:bCs w:val="0"/>
          <w:kern w:val="0"/>
          <w:sz w:val="28"/>
          <w:szCs w:val="28"/>
          <w:u w:val="none"/>
          <w:lang w:eastAsia="zh-CN"/>
        </w:rPr>
        <w:t>安置的残疾人占本单位在职职工人数的比例不低于 25%（含 25%），并且安置的残疾人人数不少于 10 人（含 10人）；</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w:t>
      </w:r>
      <w:r>
        <w:rPr>
          <w:rFonts w:hint="eastAsia" w:ascii="仿宋_GB2312" w:hAnsi="仿宋_GB2312" w:eastAsia="仿宋_GB2312" w:cs="仿宋_GB2312"/>
          <w:b w:val="0"/>
          <w:bCs w:val="0"/>
          <w:kern w:val="0"/>
          <w:sz w:val="28"/>
          <w:szCs w:val="28"/>
          <w:u w:val="none"/>
          <w:lang w:val="en-US" w:eastAsia="zh-CN"/>
        </w:rPr>
        <w:t>2</w:t>
      </w:r>
      <w:r>
        <w:rPr>
          <w:rFonts w:hint="eastAsia" w:ascii="仿宋_GB2312" w:hAnsi="仿宋_GB2312" w:eastAsia="仿宋_GB2312" w:cs="仿宋_GB2312"/>
          <w:b w:val="0"/>
          <w:bCs w:val="0"/>
          <w:kern w:val="0"/>
          <w:sz w:val="28"/>
          <w:szCs w:val="28"/>
          <w:u w:val="none"/>
          <w:lang w:eastAsia="zh-CN"/>
        </w:rPr>
        <w:t>）依法与安置的每位残疾人签订了一年以上（含一年）的劳动</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合同或服务协议；</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 xml:space="preserve"> （</w:t>
      </w:r>
      <w:r>
        <w:rPr>
          <w:rFonts w:hint="eastAsia" w:ascii="仿宋_GB2312" w:hAnsi="仿宋_GB2312" w:eastAsia="仿宋_GB2312" w:cs="仿宋_GB2312"/>
          <w:b w:val="0"/>
          <w:bCs w:val="0"/>
          <w:kern w:val="0"/>
          <w:sz w:val="28"/>
          <w:szCs w:val="28"/>
          <w:u w:val="none"/>
          <w:lang w:val="en-US" w:eastAsia="zh-CN"/>
        </w:rPr>
        <w:t>3</w:t>
      </w:r>
      <w:r>
        <w:rPr>
          <w:rFonts w:hint="eastAsia" w:ascii="仿宋_GB2312" w:hAnsi="仿宋_GB2312" w:eastAsia="仿宋_GB2312" w:cs="仿宋_GB2312"/>
          <w:b w:val="0"/>
          <w:bCs w:val="0"/>
          <w:kern w:val="0"/>
          <w:sz w:val="28"/>
          <w:szCs w:val="28"/>
          <w:u w:val="none"/>
          <w:lang w:eastAsia="zh-CN"/>
        </w:rPr>
        <w:t>）为安置的每位残疾人按月足额缴纳了基本养老保险、基本医</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疗保险、失业保险、工伤保险和生育保险等社会保险费；</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w:t>
      </w:r>
      <w:r>
        <w:rPr>
          <w:rFonts w:hint="eastAsia" w:ascii="仿宋_GB2312" w:hAnsi="仿宋_GB2312" w:eastAsia="仿宋_GB2312" w:cs="仿宋_GB2312"/>
          <w:b w:val="0"/>
          <w:bCs w:val="0"/>
          <w:kern w:val="0"/>
          <w:sz w:val="28"/>
          <w:szCs w:val="28"/>
          <w:u w:val="none"/>
          <w:lang w:val="en-US" w:eastAsia="zh-CN"/>
        </w:rPr>
        <w:t>4</w:t>
      </w:r>
      <w:r>
        <w:rPr>
          <w:rFonts w:hint="eastAsia" w:ascii="仿宋_GB2312" w:hAnsi="仿宋_GB2312" w:eastAsia="仿宋_GB2312" w:cs="仿宋_GB2312"/>
          <w:b w:val="0"/>
          <w:bCs w:val="0"/>
          <w:kern w:val="0"/>
          <w:sz w:val="28"/>
          <w:szCs w:val="28"/>
          <w:u w:val="none"/>
          <w:lang w:eastAsia="zh-CN"/>
        </w:rPr>
        <w:t>）通过银行等金融机构向安置的每位残疾人，按月支付了不低</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于单位所在区县适用的经省级人民政府批准的月最低工资标准的工资；</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w:t>
      </w:r>
      <w:r>
        <w:rPr>
          <w:rFonts w:hint="eastAsia" w:ascii="仿宋_GB2312" w:hAnsi="仿宋_GB2312" w:eastAsia="仿宋_GB2312" w:cs="仿宋_GB2312"/>
          <w:b w:val="0"/>
          <w:bCs w:val="0"/>
          <w:kern w:val="0"/>
          <w:sz w:val="28"/>
          <w:szCs w:val="28"/>
          <w:u w:val="none"/>
          <w:lang w:val="en-US" w:eastAsia="zh-CN"/>
        </w:rPr>
        <w:t>5</w:t>
      </w:r>
      <w:r>
        <w:rPr>
          <w:rFonts w:hint="eastAsia" w:ascii="仿宋_GB2312" w:hAnsi="仿宋_GB2312" w:eastAsia="仿宋_GB2312" w:cs="仿宋_GB2312"/>
          <w:b w:val="0"/>
          <w:bCs w:val="0"/>
          <w:kern w:val="0"/>
          <w:sz w:val="28"/>
          <w:szCs w:val="28"/>
          <w:u w:val="none"/>
          <w:lang w:eastAsia="zh-CN"/>
        </w:rPr>
        <w:t>）提供本单位制造的货物、承担的工程或者服务（以下简称产</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品），或者提供其他残疾人福利性单位制造的货物（不包括使用非残疾人福利性单位注册商标的货物）；</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w:t>
      </w:r>
      <w:r>
        <w:rPr>
          <w:rFonts w:hint="eastAsia" w:ascii="仿宋_GB2312" w:hAnsi="仿宋_GB2312" w:eastAsia="仿宋_GB2312" w:cs="仿宋_GB2312"/>
          <w:b w:val="0"/>
          <w:bCs w:val="0"/>
          <w:kern w:val="0"/>
          <w:sz w:val="28"/>
          <w:szCs w:val="28"/>
          <w:u w:val="none"/>
          <w:lang w:val="en-US" w:eastAsia="zh-CN"/>
        </w:rPr>
        <w:t>6</w:t>
      </w:r>
      <w:r>
        <w:rPr>
          <w:rFonts w:hint="eastAsia" w:ascii="仿宋_GB2312" w:hAnsi="仿宋_GB2312" w:eastAsia="仿宋_GB2312" w:cs="仿宋_GB2312"/>
          <w:b w:val="0"/>
          <w:bCs w:val="0"/>
          <w:kern w:val="0"/>
          <w:sz w:val="28"/>
          <w:szCs w:val="28"/>
          <w:u w:val="none"/>
          <w:lang w:eastAsia="zh-CN"/>
        </w:rPr>
        <w:t>）前款所称残疾人是指法定劳动年龄内，持有《中华人民共和</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国残疾人证》或者《中华人民共和国残疾军人证（1 至 8 级 ）》</w:t>
      </w:r>
    </w:p>
    <w:p>
      <w:pPr>
        <w:spacing w:line="360" w:lineRule="auto"/>
        <w:ind w:left="559" w:leftChars="133" w:hanging="280" w:hangingChars="100"/>
        <w:jc w:val="left"/>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的自然人，包括具有劳动条件和劳动意愿的精神残疾人。在职职工人数是指与残疾人福利性单位建立劳动关系并依法签订劳动合同或服务协议的雇员人数。</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val="en-US" w:eastAsia="zh-CN"/>
        </w:rPr>
        <w:t>4.6</w:t>
      </w:r>
      <w:r>
        <w:rPr>
          <w:rFonts w:hint="eastAsia" w:ascii="仿宋_GB2312" w:hAnsi="仿宋_GB2312" w:eastAsia="仿宋_GB2312" w:cs="仿宋_GB2312"/>
          <w:b w:val="0"/>
          <w:bCs w:val="0"/>
          <w:kern w:val="0"/>
          <w:sz w:val="28"/>
          <w:szCs w:val="28"/>
          <w:u w:val="none"/>
          <w:lang w:eastAsia="zh-CN"/>
        </w:rPr>
        <w:t>本项目是否专门面向中小企业预留采购份额见第一章《采购邀请》。</w:t>
      </w:r>
    </w:p>
    <w:p>
      <w:pPr>
        <w:spacing w:line="360" w:lineRule="auto"/>
        <w:ind w:left="559" w:leftChars="133" w:hanging="280" w:hangingChars="100"/>
        <w:rPr>
          <w:rFonts w:hint="eastAsia" w:ascii="仿宋_GB2312" w:hAnsi="仿宋_GB2312" w:eastAsia="仿宋_GB2312" w:cs="仿宋_GB2312"/>
          <w:b/>
          <w:bCs/>
          <w:kern w:val="0"/>
          <w:sz w:val="28"/>
          <w:szCs w:val="28"/>
          <w:u w:val="none"/>
          <w:lang w:eastAsia="zh-CN"/>
        </w:rPr>
      </w:pPr>
      <w:r>
        <w:rPr>
          <w:rFonts w:hint="eastAsia" w:ascii="仿宋_GB2312" w:hAnsi="仿宋_GB2312" w:eastAsia="仿宋_GB2312" w:cs="仿宋_GB2312"/>
          <w:b w:val="0"/>
          <w:bCs w:val="0"/>
          <w:kern w:val="0"/>
          <w:sz w:val="28"/>
          <w:szCs w:val="28"/>
          <w:u w:val="none"/>
          <w:lang w:val="en-US" w:eastAsia="zh-CN"/>
        </w:rPr>
        <w:t>4.6.1</w:t>
      </w:r>
      <w:r>
        <w:rPr>
          <w:rFonts w:hint="eastAsia" w:ascii="仿宋_GB2312" w:hAnsi="仿宋_GB2312" w:eastAsia="仿宋_GB2312" w:cs="仿宋_GB2312"/>
          <w:b w:val="0"/>
          <w:bCs w:val="0"/>
          <w:kern w:val="0"/>
          <w:sz w:val="28"/>
          <w:szCs w:val="28"/>
          <w:u w:val="none"/>
          <w:lang w:eastAsia="zh-CN"/>
        </w:rPr>
        <w:t xml:space="preserve"> 采购标的对应的中小企业划分标准所属行业见《供应商须知资料表》。</w:t>
      </w:r>
    </w:p>
    <w:p>
      <w:pPr>
        <w:spacing w:line="360" w:lineRule="auto"/>
        <w:ind w:left="480" w:hanging="562" w:hangingChars="200"/>
        <w:rPr>
          <w:rFonts w:hint="eastAsia" w:ascii="仿宋_GB2312" w:hAnsi="仿宋_GB2312" w:eastAsia="仿宋_GB2312" w:cs="仿宋_GB2312"/>
          <w:b/>
          <w:bCs/>
          <w:kern w:val="0"/>
          <w:sz w:val="28"/>
          <w:szCs w:val="28"/>
          <w:u w:val="none"/>
          <w:lang w:eastAsia="zh-CN"/>
        </w:rPr>
      </w:pPr>
      <w:r>
        <w:rPr>
          <w:rFonts w:hint="eastAsia" w:ascii="仿宋_GB2312" w:hAnsi="仿宋_GB2312" w:eastAsia="仿宋_GB2312" w:cs="仿宋_GB2312"/>
          <w:b/>
          <w:bCs/>
          <w:kern w:val="0"/>
          <w:sz w:val="28"/>
          <w:szCs w:val="28"/>
          <w:u w:val="none"/>
          <w:lang w:eastAsia="zh-CN"/>
        </w:rPr>
        <w:t>5、磋商费用</w:t>
      </w:r>
    </w:p>
    <w:p>
      <w:pPr>
        <w:spacing w:line="360" w:lineRule="auto"/>
        <w:ind w:left="559" w:leftChars="133" w:hanging="280" w:hangingChars="100"/>
        <w:rPr>
          <w:rFonts w:hint="eastAsia" w:ascii="仿宋_GB2312" w:hAnsi="仿宋_GB2312" w:eastAsia="仿宋_GB2312" w:cs="仿宋_GB2312"/>
          <w:b w:val="0"/>
          <w:bCs w:val="0"/>
          <w:kern w:val="0"/>
          <w:sz w:val="28"/>
          <w:szCs w:val="28"/>
          <w:u w:val="none"/>
          <w:lang w:eastAsia="zh-CN"/>
        </w:rPr>
      </w:pPr>
      <w:r>
        <w:rPr>
          <w:rFonts w:hint="eastAsia" w:ascii="仿宋_GB2312" w:hAnsi="仿宋_GB2312" w:eastAsia="仿宋_GB2312" w:cs="仿宋_GB2312"/>
          <w:b w:val="0"/>
          <w:bCs w:val="0"/>
          <w:kern w:val="0"/>
          <w:sz w:val="28"/>
          <w:szCs w:val="28"/>
          <w:u w:val="none"/>
          <w:lang w:eastAsia="zh-CN"/>
        </w:rPr>
        <w:t>供应商应自行承担所有与准备和参加磋商有关的费用，无论磋商的结果如何，采购人或采购代理机构在任何情况下均无承担这些费用的义务和责任。</w:t>
      </w:r>
    </w:p>
    <w:p>
      <w:pPr>
        <w:pStyle w:val="12"/>
        <w:spacing w:line="360" w:lineRule="auto"/>
        <w:ind w:right="-15"/>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lang w:val="en-US" w:eastAsia="zh-CN"/>
        </w:rPr>
        <w:t>二、</w:t>
      </w:r>
      <w:r>
        <w:rPr>
          <w:rFonts w:hint="eastAsia" w:asciiTheme="minorEastAsia" w:hAnsiTheme="minorEastAsia" w:eastAsiaTheme="minorEastAsia"/>
          <w:b/>
          <w:bCs/>
          <w:sz w:val="32"/>
          <w:szCs w:val="32"/>
        </w:rPr>
        <w:t xml:space="preserve">  竞争性磋商文件</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 xml:space="preserve">  竞争性磋商文件构成</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竞争性磋商文件包括以下部分：</w:t>
      </w:r>
    </w:p>
    <w:p>
      <w:pPr>
        <w:spacing w:line="36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第一部分</w:t>
      </w:r>
      <w:r>
        <w:rPr>
          <w:rFonts w:hint="eastAsia" w:ascii="仿宋_GB2312" w:hAnsi="仿宋_GB2312" w:eastAsia="仿宋_GB2312" w:cs="仿宋_GB2312"/>
          <w:b w:val="0"/>
          <w:bCs w:val="0"/>
          <w:sz w:val="28"/>
          <w:szCs w:val="28"/>
          <w:lang w:val="en-US" w:eastAsia="zh-CN"/>
        </w:rPr>
        <w:t xml:space="preserve">  磋商邀请</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第二部分  磋商前附表</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第三部分  供应商须知</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第四部分  合同书格式</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第五部分</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政府采购项目采 购 需 求</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第六部分  </w:t>
      </w:r>
      <w:r>
        <w:rPr>
          <w:rFonts w:hint="eastAsia" w:ascii="仿宋_GB2312" w:hAnsi="仿宋_GB2312" w:eastAsia="仿宋_GB2312" w:cs="仿宋_GB2312"/>
          <w:b w:val="0"/>
          <w:bCs w:val="0"/>
          <w:sz w:val="28"/>
          <w:szCs w:val="28"/>
        </w:rPr>
        <w:t>投标文件格式</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供应商应认真阅读竞争性磋商文件的全部内容。供应商应按照竞争性磋商文件要求提交响应文件并保证所提供的全部资料的真实性，并对竞争性磋商文件做出实质性响应，否则响应无效。</w:t>
      </w:r>
    </w:p>
    <w:p>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3、对竞争性磋商文件的澄清或修改</w:t>
      </w:r>
    </w:p>
    <w:p>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3.2上述书面通知，按照获取竞争性磋商文件的潜在供应商提供的联系方式发出，因提供的信息有误导致通知延迟或无法通知的，采购人或采购代理机构不承担责任。</w:t>
      </w:r>
    </w:p>
    <w:p>
      <w:pPr>
        <w:spacing w:line="360" w:lineRule="auto"/>
        <w:ind w:firstLine="484" w:firstLineChars="200"/>
        <w:rPr>
          <w:rFonts w:hint="eastAsia" w:ascii="仿宋_GB2312" w:hAnsi="仿宋_GB2312" w:eastAsia="仿宋_GB2312" w:cs="仿宋_GB2312"/>
          <w:b w:val="0"/>
          <w:bCs w:val="0"/>
          <w:sz w:val="28"/>
          <w:szCs w:val="28"/>
        </w:rPr>
      </w:pPr>
      <w:r>
        <w:rPr>
          <w:rFonts w:ascii="宋体" w:hAnsi="宋体" w:cs="宋体"/>
          <w:color w:val="000000"/>
          <w:spacing w:val="1"/>
          <w:sz w:val="24"/>
        </w:rPr>
        <w:t xml:space="preserve"> </w:t>
      </w:r>
      <w:r>
        <w:rPr>
          <w:rFonts w:hint="eastAsia" w:ascii="宋体" w:hAnsi="宋体" w:cs="宋体"/>
          <w:color w:val="000000"/>
          <w:spacing w:val="1"/>
          <w:sz w:val="24"/>
          <w:lang w:val="en-US" w:eastAsia="zh-CN"/>
        </w:rPr>
        <w:t>3.3</w:t>
      </w:r>
      <w:r>
        <w:rPr>
          <w:rFonts w:hint="eastAsia" w:ascii="仿宋_GB2312" w:hAnsi="仿宋_GB2312" w:eastAsia="仿宋_GB2312" w:cs="仿宋_GB2312"/>
          <w:b w:val="0"/>
          <w:bCs w:val="0"/>
          <w:sz w:val="28"/>
          <w:szCs w:val="28"/>
          <w:lang w:val="en-US"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pPr>
        <w:pStyle w:val="12"/>
        <w:numPr>
          <w:ilvl w:val="0"/>
          <w:numId w:val="0"/>
        </w:numPr>
        <w:spacing w:line="360" w:lineRule="auto"/>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lang w:val="en-US" w:eastAsia="zh-CN"/>
        </w:rPr>
        <w:t>三、</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磋商响应文件的编制</w:t>
      </w:r>
    </w:p>
    <w:p>
      <w:p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8、响应范围、竞争性磋商文件中计量单位的使用及磋商语言</w:t>
      </w:r>
    </w:p>
    <w:p>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8.1 本项目如划分采购包，供应商可以对本项目的其中一个采购包进行响应，也可同时对多个采购包进行响应。供应商应当对所参与采购包对应《采购需求》所列的全部内容进行响应，不得将一个采购包中的内容拆分响应，否则其对该采购包的响应将被认定为无效响应。</w:t>
      </w:r>
    </w:p>
    <w:p>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8.2除竞争性磋商文件有特殊要求外，本项目磋商所使用的计量单位，应采用中华人民共和国法定计量单位。</w:t>
      </w:r>
    </w:p>
    <w:p>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5"/>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响应文件构成</w:t>
      </w:r>
    </w:p>
    <w:p>
      <w:pPr>
        <w:numPr>
          <w:ilvl w:val="0"/>
          <w:numId w:val="0"/>
        </w:numPr>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9.1</w:t>
      </w:r>
      <w:r>
        <w:rPr>
          <w:rFonts w:hint="default" w:ascii="仿宋_GB2312" w:hAnsi="仿宋_GB2312" w:eastAsia="仿宋_GB2312" w:cs="仿宋_GB2312"/>
          <w:b w:val="0"/>
          <w:bCs w:val="0"/>
          <w:sz w:val="28"/>
          <w:szCs w:val="28"/>
          <w:lang w:val="en-US" w:eastAsia="zh-CN"/>
        </w:rPr>
        <w:t>供应商应当按照竞争性磋商文件的要求编制响应文件，并对其提交的响应文件的真实性、合法性承担法律责任。响应文件的部分格式要求，</w:t>
      </w:r>
      <w:r>
        <w:rPr>
          <w:rFonts w:hint="eastAsia" w:ascii="仿宋_GB2312" w:hAnsi="仿宋_GB2312" w:eastAsia="仿宋_GB2312" w:cs="仿宋_GB2312"/>
          <w:b w:val="0"/>
          <w:bCs w:val="0"/>
          <w:sz w:val="28"/>
          <w:szCs w:val="28"/>
          <w:lang w:val="en-US" w:eastAsia="zh-CN"/>
        </w:rPr>
        <w:t>详</w:t>
      </w:r>
      <w:r>
        <w:rPr>
          <w:rFonts w:hint="default" w:ascii="仿宋_GB2312" w:hAnsi="仿宋_GB2312" w:eastAsia="仿宋_GB2312" w:cs="仿宋_GB2312"/>
          <w:b w:val="0"/>
          <w:bCs w:val="0"/>
          <w:sz w:val="28"/>
          <w:szCs w:val="28"/>
          <w:lang w:val="en-US" w:eastAsia="zh-CN"/>
        </w:rPr>
        <w:t>见《</w:t>
      </w:r>
      <w:r>
        <w:rPr>
          <w:rFonts w:hint="eastAsia" w:ascii="仿宋_GB2312" w:hAnsi="仿宋_GB2312" w:eastAsia="仿宋_GB2312" w:cs="仿宋_GB2312"/>
          <w:b w:val="0"/>
          <w:bCs w:val="0"/>
          <w:sz w:val="28"/>
          <w:szCs w:val="28"/>
          <w:lang w:val="en-US" w:eastAsia="zh-CN"/>
        </w:rPr>
        <w:t>投标</w:t>
      </w:r>
      <w:r>
        <w:rPr>
          <w:rFonts w:hint="default" w:ascii="仿宋_GB2312" w:hAnsi="仿宋_GB2312" w:eastAsia="仿宋_GB2312" w:cs="仿宋_GB2312"/>
          <w:b w:val="0"/>
          <w:bCs w:val="0"/>
          <w:sz w:val="28"/>
          <w:szCs w:val="28"/>
          <w:lang w:val="en-US" w:eastAsia="zh-CN"/>
        </w:rPr>
        <w:t>文件格式》。</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9.3《评审方法和评审标准》中涉及的证明文件。</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9.4 对照《采购需求》，说明所提供货物和服务已对《采购需求》做出了响应，或申明与《采购需求》的偏差和例外。如《采购需求》中要求提供证明文件的，供应商应当按具体要求提供证明文件。</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9.5 供应商认为应附的其他材料。</w:t>
      </w:r>
    </w:p>
    <w:p>
      <w:pPr>
        <w:numPr>
          <w:ilvl w:val="0"/>
          <w:numId w:val="0"/>
        </w:numPr>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10、报价</w:t>
      </w:r>
    </w:p>
    <w:p>
      <w:pPr>
        <w:numPr>
          <w:ilvl w:val="0"/>
          <w:numId w:val="0"/>
        </w:numPr>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10.1</w:t>
      </w:r>
      <w:r>
        <w:rPr>
          <w:rFonts w:hint="default" w:ascii="仿宋_GB2312" w:hAnsi="仿宋_GB2312" w:eastAsia="仿宋_GB2312" w:cs="仿宋_GB2312"/>
          <w:b w:val="0"/>
          <w:bCs w:val="0"/>
          <w:sz w:val="28"/>
          <w:szCs w:val="28"/>
          <w:lang w:val="en-US" w:eastAsia="zh-CN"/>
        </w:rPr>
        <w:t>所有响应均以人民币报价。</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10.2供应商的报价应包括为完成本项目所发生的一切费用和税费，采购人将不再支付报价以外的任何费用。供应商的报价应包括但不限于下列内容，《供应商须知资料表》中有特殊规定的，从其规定。</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10.2.1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10.2.2 按照竞争性磋商文件要求完成本项目的全部相关费用。</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10.3 采购人不得向供应商索要或者接受其给予的赠品、回扣或者与采购无关的其他商品、服务。</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10.4 供应商不能提供任何有选择性或可调整的最后报价（竞争性磋商文件另有规定的除外），否则其响应无效。</w:t>
      </w:r>
    </w:p>
    <w:p>
      <w:pPr>
        <w:numPr>
          <w:ilvl w:val="0"/>
          <w:numId w:val="0"/>
        </w:numPr>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11.磋商保证金</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11.1 供应商应按《供应商须知资料表》中规定的金额及要求交纳磋商保证金。</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11.2 交纳磋商保证金可采用的形式：政府采购法律法规接受的支票、汇票、本票、网上银行支付或者金融机构、担保机构出具的保函等非现金形式。</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11.3 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11.4 磋商保证金有效期同响应有效期。</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11.5 供应商为联合体的，可以由联合体中的一方或者多方共同交纳磋商保证金，其交纳的保证金对联合体各方均具有约束力。</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11.6.1 已提交响应文件的供应商，在提交最后报价之前，可以根据磋商情况退出磋商。采购人、采购代理机构将退还退出磋商的供应商的磋商保证金；</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11.6.2 成交供应商的磋商保证金，在采购合同签订后 5 个工作日内退还成交供应商；</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11.6.3 未成交供应商的磋商保证金，在成交通知书发出后 5 个工作日内退还。</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11.7 有下列情形之一的，采购人或采购代理机构不予退还磋商保证金：</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11.7.1 供应商在提交响应文件截止时间后撤回响应文件的；</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11.7.2 供应商在响应文件中提供虚假材料的；</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11.7.3 除因不可抗力或磋商文件认可的情形以外，成交供应商不与采购人签订合同的；</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11.7.4 供应商与采购人、其他供应商或者采购代理机构恶意串通的；</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11.7.5 《供应商须知资料表》规定的其他情形。</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 响应有效期</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12.1 响应文件应在本竞争性磋商文件《供应商须知资料表》中规定的响应有效期内保持有效，响应有效期少于竞争性磋商文件规定期限的，其响应无效。</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 响应文件的签署、盖章</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13.1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13.2竞争性磋商文件要求盖章的内容，一般通过投标文件编制工具加盖电子签章。</w:t>
      </w:r>
    </w:p>
    <w:p>
      <w:pPr>
        <w:spacing w:line="360" w:lineRule="auto"/>
        <w:jc w:val="both"/>
        <w:rPr>
          <w:rFonts w:hint="eastAsia" w:cs="宋体" w:asciiTheme="minorEastAsia" w:hAnsiTheme="minorEastAsia" w:eastAsiaTheme="minorEastAsia"/>
          <w:b/>
          <w:bCs/>
          <w:sz w:val="32"/>
          <w:szCs w:val="32"/>
        </w:rPr>
      </w:pPr>
    </w:p>
    <w:p>
      <w:pPr>
        <w:spacing w:line="360" w:lineRule="auto"/>
        <w:jc w:val="both"/>
        <w:rPr>
          <w:rFonts w:hint="eastAsia" w:cs="宋体" w:asciiTheme="minorEastAsia" w:hAnsiTheme="minorEastAsia" w:eastAsiaTheme="minorEastAsia"/>
          <w:b/>
          <w:bCs/>
          <w:sz w:val="32"/>
          <w:szCs w:val="32"/>
        </w:rPr>
      </w:pPr>
    </w:p>
    <w:p>
      <w:pPr>
        <w:numPr>
          <w:ilvl w:val="0"/>
          <w:numId w:val="0"/>
        </w:numPr>
        <w:spacing w:line="360" w:lineRule="auto"/>
        <w:ind w:leftChars="0"/>
        <w:jc w:val="center"/>
        <w:rPr>
          <w:rFonts w:hint="eastAsia"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rPr>
        <w:t>磋商响应文件的递交</w:t>
      </w:r>
    </w:p>
    <w:p>
      <w:pPr>
        <w:widowControl w:val="0"/>
        <w:numPr>
          <w:ilvl w:val="0"/>
          <w:numId w:val="0"/>
        </w:numPr>
        <w:spacing w:line="360" w:lineRule="auto"/>
        <w:jc w:val="both"/>
        <w:rPr>
          <w:rFonts w:hint="eastAsia" w:cs="宋体" w:asciiTheme="minorEastAsia" w:hAnsiTheme="minorEastAsia" w:eastAsiaTheme="minorEastAsia"/>
          <w:b/>
          <w:bCs/>
          <w:sz w:val="32"/>
          <w:szCs w:val="32"/>
        </w:rPr>
      </w:pPr>
    </w:p>
    <w:p>
      <w:pPr>
        <w:numPr>
          <w:ilvl w:val="0"/>
          <w:numId w:val="0"/>
        </w:num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 响应文件的提交</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14.1 本项目使用北京市政府采购电子交易平台。供应商根据竞争性磋商文件及电子交易平台供应商操作手册要求编制、生成并提交电子响应文件。</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14.2 采购人及采购代理机构拒绝接受通过电子交易平台以外任何形式提交的响应文件，磋商保证金除外。</w:t>
      </w:r>
    </w:p>
    <w:p>
      <w:pPr>
        <w:numPr>
          <w:ilvl w:val="0"/>
          <w:numId w:val="0"/>
        </w:num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 响应文件提交截止时间</w:t>
      </w:r>
    </w:p>
    <w:p>
      <w:pPr>
        <w:numPr>
          <w:ilvl w:val="0"/>
          <w:numId w:val="0"/>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15.1 供应商应在竞争性磋商文件要求响应文件提交截止时间前，将电子响应文件提交至电子交易平台。</w:t>
      </w:r>
    </w:p>
    <w:p>
      <w:pPr>
        <w:numPr>
          <w:ilvl w:val="0"/>
          <w:numId w:val="0"/>
        </w:num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 响应文件的修改与撤回</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lang w:val="en-US" w:eastAsia="zh-CN"/>
        </w:rPr>
        <w:t>16.1 提交响应文件截止时间前，供应商可以通过电子交易平台对所提交的响应文件进行补充、修改或者撤回。磋商保证金的补充、修改或者撤回无需通过电子交易平台，但应就其补充、修改或者撤回通知采购</w:t>
      </w:r>
      <w:r>
        <w:rPr>
          <w:rFonts w:hint="eastAsia" w:ascii="仿宋_GB2312" w:hAnsi="仿宋_GB2312" w:eastAsia="仿宋_GB2312" w:cs="仿宋_GB2312"/>
          <w:b w:val="0"/>
          <w:bCs w:val="0"/>
          <w:color w:val="auto"/>
          <w:sz w:val="28"/>
          <w:szCs w:val="28"/>
          <w:lang w:val="en-US" w:eastAsia="zh-CN"/>
        </w:rPr>
        <w:t>人或采购代理机构。</w:t>
      </w:r>
    </w:p>
    <w:p>
      <w:pPr>
        <w:numPr>
          <w:ilvl w:val="0"/>
          <w:numId w:val="0"/>
        </w:numPr>
        <w:spacing w:line="360" w:lineRule="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16.2 供应商对响应文件的补充、修改的内容应当按照竞争性磋商文件要求签署、盖章，作为响应文件的组成部分。补充、修改的内容与响应文件不一致的，以补充、修改的内容为准。</w:t>
      </w:r>
    </w:p>
    <w:p>
      <w:pPr>
        <w:widowControl w:val="0"/>
        <w:numPr>
          <w:ilvl w:val="0"/>
          <w:numId w:val="0"/>
        </w:numPr>
        <w:spacing w:line="360" w:lineRule="auto"/>
        <w:jc w:val="center"/>
        <w:rPr>
          <w:rFonts w:hint="default" w:cs="宋体" w:asciiTheme="minorEastAsia" w:hAnsiTheme="minorEastAsia" w:eastAsiaTheme="minorEastAsia"/>
          <w:b/>
          <w:bCs/>
          <w:color w:val="auto"/>
          <w:sz w:val="32"/>
          <w:szCs w:val="32"/>
          <w:lang w:val="en-US" w:eastAsia="zh-CN"/>
        </w:rPr>
      </w:pPr>
      <w:r>
        <w:rPr>
          <w:rFonts w:hint="eastAsia" w:cs="宋体" w:asciiTheme="minorEastAsia" w:hAnsiTheme="minorEastAsia" w:eastAsiaTheme="minorEastAsia"/>
          <w:b/>
          <w:bCs/>
          <w:color w:val="auto"/>
          <w:sz w:val="32"/>
          <w:szCs w:val="32"/>
          <w:lang w:val="en-US" w:eastAsia="zh-CN"/>
        </w:rPr>
        <w:t>五、评审</w:t>
      </w:r>
    </w:p>
    <w:p>
      <w:pPr>
        <w:numPr>
          <w:ilvl w:val="0"/>
          <w:numId w:val="0"/>
        </w:numPr>
        <w:spacing w:line="360" w:lineRule="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 响应文件的解密与开启</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17.1 采购人或采购代理机构将按竞争性磋商文件的规定，在响应文件提交截止时间的同一时间和竞争性磋商文件预先确定的地点开启响应文件。</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17.2 本项目解密使用北京市政府采购电子交易平台。供应商应在规定的时间内对响应文件进行解密，因非系统原因导致的解密失败，视为无效响应。</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17.3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17.4 供应商不足 3 家的，不予解密。</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17.5 本项目不公开报价。</w:t>
      </w:r>
    </w:p>
    <w:p>
      <w:pPr>
        <w:numPr>
          <w:ilvl w:val="0"/>
          <w:numId w:val="0"/>
        </w:numPr>
        <w:spacing w:line="360" w:lineRule="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18 磋商小组</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18.1 磋商小组根据政府采购有关规定和本次采购项目的特点进行组建，并负责具体评审与磋商事务，独立履行职责。</w:t>
      </w:r>
    </w:p>
    <w:p>
      <w:pPr>
        <w:numPr>
          <w:ilvl w:val="0"/>
          <w:numId w:val="0"/>
        </w:numPr>
        <w:spacing w:line="360" w:lineRule="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18.2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numPr>
          <w:ilvl w:val="0"/>
          <w:numId w:val="0"/>
        </w:numPr>
        <w:spacing w:line="360" w:lineRule="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19 评审方法和评审标准</w:t>
      </w:r>
    </w:p>
    <w:p>
      <w:pPr>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19.1 详见《评审方法和评审标准》。</w:t>
      </w:r>
    </w:p>
    <w:p>
      <w:pPr>
        <w:widowControl w:val="0"/>
        <w:numPr>
          <w:ilvl w:val="0"/>
          <w:numId w:val="0"/>
        </w:numPr>
        <w:spacing w:line="360" w:lineRule="auto"/>
        <w:jc w:val="center"/>
        <w:rPr>
          <w:rFonts w:hint="eastAsia" w:cs="宋体" w:asciiTheme="minorEastAsia" w:hAnsiTheme="minorEastAsia" w:eastAsiaTheme="minorEastAsia"/>
          <w:b/>
          <w:bCs/>
          <w:color w:val="auto"/>
          <w:sz w:val="32"/>
          <w:szCs w:val="32"/>
          <w:lang w:val="en-US" w:eastAsia="zh-CN"/>
        </w:rPr>
      </w:pPr>
      <w:r>
        <w:rPr>
          <w:rFonts w:hint="eastAsia" w:cs="宋体" w:asciiTheme="minorEastAsia" w:hAnsiTheme="minorEastAsia" w:eastAsiaTheme="minorEastAsia"/>
          <w:b/>
          <w:bCs/>
          <w:color w:val="auto"/>
          <w:sz w:val="32"/>
          <w:szCs w:val="32"/>
          <w:lang w:val="en-US" w:eastAsia="zh-CN"/>
        </w:rPr>
        <w:t>六、确定成交</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20 确定成交供应商</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20.1 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21 成交公告与成交通知书</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r>
        <w:rPr>
          <w:rFonts w:hint="default" w:ascii="仿宋_GB2312" w:hAnsi="仿宋_GB2312" w:eastAsia="仿宋_GB2312" w:cs="仿宋_GB2312"/>
          <w:b w:val="0"/>
          <w:bCs w:val="0"/>
          <w:color w:val="auto"/>
          <w:sz w:val="28"/>
          <w:szCs w:val="28"/>
          <w:lang w:val="en-US" w:eastAsia="zh-CN"/>
        </w:rPr>
        <w:t>1.1 采购人或采购代理机构将在成交供应商确定后 2 个工作日内，在北京市政府采购网公告成交结果，同时向成交供应商发出成交通知书，成交公告期限为 1个工作日。</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21.2 成交通知书对采购人和成交供应商均具有法律效力。成交通知书发出后，采购人改变成交结果的，或者成交供应商放弃成交项目的，应当依法承担法律责任。</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22 终止</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22.1 出现下列情形之一的，采购人或采购代理机构将终止竞争性磋商采购活动，发布项目终止公告并说明原因，重新开展采购活动：</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22.1.1 因情况变化，不再符合规定的竞争性磋商采购方式适用情形的；</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22.1.2 出现影响采购公正的违法、违规行为的；</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22.1.3 除了“市场竞争不充分的科研项目，以及需要扶持的科技成果转化项目，提交最后报价的供应商可以为 2 家；政府购买服务项目（含政府和社会资本合作项目），在采购过程中符合要求的供应商（社会资</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本）只有 2 家的，竞争性磋商采购活动可以继续进行”的情形外，在</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采购过程中符合要求的供应商或者报价未超过采购预算的供应商不足 3 家的。</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23 签订合同</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23.1 采购人与成交供应商应当在成交通知书发出之日起 30 日内，按照磋商文件确定的合同文本以及采购标的、规格型号、采购金额、采购数量、技术和服务要求等事项签订政府采购合同。</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23.2 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23.3 联合体成交的，联合体各方应当共同与采购人签订合同，就采购合同约定的事项向采购人承担连带责任。</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23.4 政府采购合同不能转包。</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23.5</w:t>
      </w:r>
      <w:r>
        <w:rPr>
          <w:rFonts w:hint="default" w:ascii="仿宋_GB2312" w:hAnsi="仿宋_GB2312" w:eastAsia="仿宋_GB2312" w:cs="仿宋_GB2312"/>
          <w:b w:val="0"/>
          <w:bCs w:val="0"/>
          <w:color w:val="auto"/>
          <w:sz w:val="28"/>
          <w:szCs w:val="28"/>
          <w:lang w:val="en-US"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 询问与质疑</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24.1 询问</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24.1.1 供应商对政府采购活动事项有疑问的，可依法提出询问，并按《供应商须知资料表》载明的形式送达采购人或采购代理机构。</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24.1.2 采购人或采购代理机构对供应商依法提出的询问，在 3 个工作日内作出答复，但答复的内容不得涉及商业秘密。</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24.2 质疑</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24.2.1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24.2.2 质疑函须使用财政部制定的范本文件。供应商为自然人的，质疑函应当由本人签字；供应商为法人或者其他组织的，质疑函应当由法定代表人、主要负责人，或者其授权代表签字或者盖章，并加盖公章。</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24.2.4 供应商应在法定质疑期内一次性提出针对同一采购程序环节的质疑，法定质疑期内针对同一采购程序环节再次提出的质疑，采购人、采购代理机构有权不予答复。</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24.3 接收询问和质疑的联系部门、联系电话和通讯地址见《供应商须知资料表》。</w:t>
      </w:r>
    </w:p>
    <w:p>
      <w:pPr>
        <w:numPr>
          <w:ilvl w:val="0"/>
          <w:numId w:val="0"/>
        </w:numPr>
        <w:spacing w:line="360" w:lineRule="auto"/>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25 代理费</w:t>
      </w:r>
    </w:p>
    <w:p>
      <w:pPr>
        <w:numPr>
          <w:ilvl w:val="0"/>
          <w:numId w:val="0"/>
        </w:numPr>
        <w:spacing w:line="360" w:lineRule="auto"/>
        <w:ind w:firstLine="560" w:firstLineChars="200"/>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25.1 收费对象、收费标准及缴纳时间见《供应商须知资料表》。由成交供应商支付，成交供应商须一次性向采购代理机构缴纳代理费，报价应包含代理费用。</w:t>
      </w:r>
    </w:p>
    <w:p>
      <w:pPr>
        <w:pStyle w:val="73"/>
        <w:ind w:left="0" w:leftChars="0" w:firstLine="0" w:firstLineChars="0"/>
        <w:rPr>
          <w:rFonts w:hint="eastAsia"/>
        </w:rPr>
      </w:pPr>
    </w:p>
    <w:p>
      <w:pPr>
        <w:pStyle w:val="73"/>
        <w:ind w:left="0" w:leftChars="0" w:firstLine="0" w:firstLineChars="0"/>
        <w:rPr>
          <w:rFonts w:hint="eastAsia"/>
        </w:rPr>
      </w:pPr>
    </w:p>
    <w:p>
      <w:pPr>
        <w:pStyle w:val="73"/>
        <w:ind w:left="0" w:leftChars="0" w:firstLine="0" w:firstLineChars="0"/>
        <w:rPr>
          <w:rFonts w:hint="eastAsia"/>
        </w:rPr>
      </w:pPr>
    </w:p>
    <w:p>
      <w:pPr>
        <w:spacing w:line="360" w:lineRule="auto"/>
        <w:jc w:val="center"/>
        <w:rPr>
          <w:rFonts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rPr>
        <w:t>章</w:t>
      </w:r>
      <w:r>
        <w:rPr>
          <w:rFonts w:cs="宋体" w:asciiTheme="minorEastAsia" w:hAnsiTheme="minorEastAsia" w:eastAsiaTheme="minorEastAsia"/>
          <w:b/>
          <w:bCs/>
          <w:sz w:val="32"/>
          <w:szCs w:val="32"/>
        </w:rPr>
        <w:t xml:space="preserve">    评审方法和评审标准</w:t>
      </w:r>
    </w:p>
    <w:p>
      <w:pPr>
        <w:spacing w:line="560" w:lineRule="exact"/>
        <w:ind w:firstLine="560" w:firstLineChars="20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一、资格审查程序</w:t>
      </w:r>
    </w:p>
    <w:p>
      <w:pPr>
        <w:spacing w:line="560" w:lineRule="exact"/>
        <w:rPr>
          <w:rFonts w:hint="eastAsia" w:ascii="仿宋_GB2312" w:hAnsi="宋体" w:eastAsia="仿宋_GB2312" w:cs="宋体"/>
          <w:b w:val="0"/>
          <w:bCs w:val="0"/>
          <w:sz w:val="28"/>
          <w:szCs w:val="28"/>
          <w:u w:val="none"/>
        </w:rPr>
      </w:pPr>
      <w:r>
        <w:rPr>
          <w:rFonts w:hint="eastAsia" w:ascii="仿宋_GB2312" w:hAnsi="宋体" w:eastAsia="仿宋_GB2312" w:cs="宋体"/>
          <w:b w:val="0"/>
          <w:bCs w:val="0"/>
          <w:sz w:val="28"/>
          <w:szCs w:val="28"/>
          <w:u w:val="none"/>
        </w:rPr>
        <w:t>1 响应文件的资格审查和符合性审查</w:t>
      </w:r>
    </w:p>
    <w:p>
      <w:pPr>
        <w:numPr>
          <w:ilvl w:val="1"/>
          <w:numId w:val="6"/>
        </w:numPr>
        <w:spacing w:line="560" w:lineRule="exact"/>
        <w:ind w:firstLine="560" w:firstLineChars="200"/>
        <w:rPr>
          <w:rFonts w:hint="eastAsia" w:ascii="仿宋_GB2312" w:hAnsi="宋体" w:eastAsia="仿宋_GB2312" w:cs="宋体"/>
          <w:b w:val="0"/>
          <w:bCs w:val="0"/>
          <w:sz w:val="28"/>
          <w:szCs w:val="28"/>
          <w:u w:val="none"/>
        </w:rPr>
      </w:pPr>
      <w:r>
        <w:rPr>
          <w:rFonts w:hint="eastAsia" w:ascii="仿宋_GB2312" w:hAnsi="宋体" w:eastAsia="仿宋_GB2312" w:cs="宋体"/>
          <w:b w:val="0"/>
          <w:bCs w:val="0"/>
          <w:sz w:val="28"/>
          <w:szCs w:val="28"/>
          <w:u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pPr>
        <w:numPr>
          <w:ilvl w:val="0"/>
          <w:numId w:val="0"/>
        </w:numPr>
        <w:spacing w:line="560" w:lineRule="exact"/>
        <w:ind w:leftChars="200"/>
        <w:rPr>
          <w:rFonts w:hint="eastAsia" w:ascii="仿宋_GB2312" w:hAnsi="宋体" w:eastAsia="仿宋_GB2312" w:cs="宋体"/>
          <w:b w:val="0"/>
          <w:bCs w:val="0"/>
          <w:sz w:val="28"/>
          <w:szCs w:val="28"/>
          <w:u w:val="none"/>
        </w:rPr>
      </w:pPr>
      <w:r>
        <w:rPr>
          <w:rFonts w:hint="eastAsia" w:ascii="仿宋_GB2312" w:hAnsi="宋体" w:eastAsia="仿宋_GB2312" w:cs="宋体"/>
          <w:b w:val="0"/>
          <w:bCs w:val="0"/>
          <w:sz w:val="28"/>
          <w:szCs w:val="28"/>
          <w:u w:val="none"/>
          <w:lang w:val="en-US" w:eastAsia="zh-CN"/>
        </w:rPr>
        <w:t>1.2</w:t>
      </w:r>
      <w:r>
        <w:rPr>
          <w:rFonts w:hint="eastAsia" w:ascii="仿宋_GB2312" w:hAnsi="宋体" w:eastAsia="仿宋_GB2312" w:cs="宋体"/>
          <w:b w:val="0"/>
          <w:bCs w:val="0"/>
          <w:sz w:val="28"/>
          <w:szCs w:val="28"/>
          <w:u w:val="none"/>
        </w:rPr>
        <w:t>《资格审查要求》中对格式有要求的，除竞争性磋商文件另有规定外，均为“实质性格式”文件。</w:t>
      </w:r>
    </w:p>
    <w:p>
      <w:pPr>
        <w:numPr>
          <w:ilvl w:val="1"/>
          <w:numId w:val="6"/>
        </w:numPr>
        <w:spacing w:line="560" w:lineRule="exact"/>
        <w:ind w:left="0" w:leftChars="0" w:firstLine="560" w:firstLineChars="200"/>
        <w:rPr>
          <w:rFonts w:hint="eastAsia" w:ascii="仿宋_GB2312" w:hAnsi="宋体" w:eastAsia="仿宋_GB2312" w:cs="宋体"/>
          <w:b w:val="0"/>
          <w:bCs w:val="0"/>
          <w:sz w:val="28"/>
          <w:szCs w:val="28"/>
          <w:u w:val="none"/>
        </w:rPr>
      </w:pPr>
      <w:r>
        <w:rPr>
          <w:rFonts w:hint="eastAsia" w:ascii="仿宋_GB2312" w:hAnsi="宋体" w:eastAsia="仿宋_GB2312" w:cs="宋体"/>
          <w:b w:val="0"/>
          <w:bCs w:val="0"/>
          <w:sz w:val="28"/>
          <w:szCs w:val="28"/>
          <w:u w:val="none"/>
        </w:rPr>
        <w:t>《资格审查要求》见下表：</w:t>
      </w:r>
    </w:p>
    <w:p>
      <w:pPr>
        <w:numPr>
          <w:ilvl w:val="0"/>
          <w:numId w:val="0"/>
        </w:numPr>
        <w:spacing w:line="560" w:lineRule="exact"/>
        <w:ind w:leftChars="200"/>
        <w:rPr>
          <w:rFonts w:hint="eastAsia" w:ascii="仿宋_GB2312" w:hAnsi="宋体" w:eastAsia="仿宋_GB2312" w:cs="宋体"/>
          <w:b w:val="0"/>
          <w:bCs w:val="0"/>
          <w:sz w:val="28"/>
          <w:szCs w:val="28"/>
          <w:u w:val="none"/>
        </w:rPr>
      </w:pPr>
    </w:p>
    <w:p>
      <w:pPr>
        <w:numPr>
          <w:ilvl w:val="0"/>
          <w:numId w:val="0"/>
        </w:numPr>
        <w:spacing w:line="560" w:lineRule="exact"/>
        <w:ind w:leftChars="200"/>
        <w:rPr>
          <w:rFonts w:hint="eastAsia" w:ascii="仿宋_GB2312" w:hAnsi="宋体" w:eastAsia="仿宋_GB2312" w:cs="宋体"/>
          <w:b w:val="0"/>
          <w:bCs w:val="0"/>
          <w:sz w:val="28"/>
          <w:szCs w:val="28"/>
          <w:u w:val="none"/>
        </w:rPr>
      </w:pPr>
    </w:p>
    <w:p>
      <w:pPr>
        <w:numPr>
          <w:ilvl w:val="0"/>
          <w:numId w:val="0"/>
        </w:numPr>
        <w:spacing w:line="560" w:lineRule="exact"/>
        <w:ind w:leftChars="200"/>
        <w:rPr>
          <w:rFonts w:hint="eastAsia" w:ascii="仿宋_GB2312" w:hAnsi="宋体" w:eastAsia="仿宋_GB2312" w:cs="宋体"/>
          <w:b w:val="0"/>
          <w:bCs w:val="0"/>
          <w:sz w:val="28"/>
          <w:szCs w:val="28"/>
          <w:u w:val="none"/>
        </w:rPr>
      </w:pPr>
    </w:p>
    <w:p>
      <w:pPr>
        <w:numPr>
          <w:ilvl w:val="0"/>
          <w:numId w:val="0"/>
        </w:numPr>
        <w:spacing w:line="560" w:lineRule="exact"/>
        <w:ind w:leftChars="200"/>
        <w:rPr>
          <w:rFonts w:hint="eastAsia" w:ascii="仿宋_GB2312" w:hAnsi="宋体" w:eastAsia="仿宋_GB2312" w:cs="宋体"/>
          <w:b w:val="0"/>
          <w:bCs w:val="0"/>
          <w:sz w:val="28"/>
          <w:szCs w:val="28"/>
          <w:u w:val="none"/>
        </w:rPr>
      </w:pPr>
    </w:p>
    <w:p>
      <w:pPr>
        <w:spacing w:line="560" w:lineRule="exact"/>
        <w:ind w:firstLine="904" w:firstLineChars="3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 xml:space="preserve"> 投标商资质审核表 </w:t>
      </w:r>
    </w:p>
    <w:tbl>
      <w:tblPr>
        <w:tblStyle w:val="2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871"/>
        <w:gridCol w:w="4164"/>
        <w:gridCol w:w="424"/>
        <w:gridCol w:w="391"/>
        <w:gridCol w:w="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74" w:type="dxa"/>
            <w:vMerge w:val="restart"/>
            <w:noWrap w:val="0"/>
            <w:vAlign w:val="center"/>
          </w:tcPr>
          <w:p>
            <w:pPr>
              <w:pStyle w:val="45"/>
              <w:spacing w:line="520" w:lineRule="exact"/>
              <w:jc w:val="both"/>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序号</w:t>
            </w:r>
          </w:p>
        </w:tc>
        <w:tc>
          <w:tcPr>
            <w:tcW w:w="3871" w:type="dxa"/>
            <w:vMerge w:val="restart"/>
            <w:noWrap w:val="0"/>
            <w:vAlign w:val="center"/>
          </w:tcPr>
          <w:p>
            <w:pPr>
              <w:pStyle w:val="45"/>
              <w:spacing w:line="520" w:lineRule="exact"/>
              <w:jc w:val="center"/>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评审项目</w:t>
            </w:r>
          </w:p>
        </w:tc>
        <w:tc>
          <w:tcPr>
            <w:tcW w:w="4164" w:type="dxa"/>
            <w:vMerge w:val="restart"/>
            <w:noWrap w:val="0"/>
            <w:vAlign w:val="center"/>
          </w:tcPr>
          <w:p>
            <w:pPr>
              <w:pStyle w:val="45"/>
              <w:spacing w:line="520" w:lineRule="exact"/>
              <w:ind w:firstLine="567"/>
              <w:jc w:val="both"/>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合格条件及标准</w:t>
            </w:r>
          </w:p>
        </w:tc>
        <w:tc>
          <w:tcPr>
            <w:tcW w:w="1162" w:type="dxa"/>
            <w:gridSpan w:val="3"/>
            <w:noWrap w:val="0"/>
            <w:vAlign w:val="center"/>
          </w:tcPr>
          <w:p>
            <w:pPr>
              <w:pStyle w:val="45"/>
              <w:spacing w:line="520" w:lineRule="exact"/>
              <w:jc w:val="center"/>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74" w:type="dxa"/>
            <w:vMerge w:val="continue"/>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871" w:type="dxa"/>
            <w:vMerge w:val="continue"/>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4164" w:type="dxa"/>
            <w:vMerge w:val="continue"/>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42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1</w:t>
            </w:r>
          </w:p>
        </w:tc>
        <w:tc>
          <w:tcPr>
            <w:tcW w:w="391"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2</w:t>
            </w:r>
          </w:p>
        </w:tc>
        <w:tc>
          <w:tcPr>
            <w:tcW w:w="347"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47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1</w:t>
            </w:r>
          </w:p>
        </w:tc>
        <w:tc>
          <w:tcPr>
            <w:tcW w:w="3871"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具有独立承担民事责任的能力</w:t>
            </w:r>
          </w:p>
        </w:tc>
        <w:tc>
          <w:tcPr>
            <w:tcW w:w="416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 xml:space="preserve"> 投标人须具备有效的工商营业执照副本原件</w:t>
            </w:r>
            <w:r>
              <w:rPr>
                <w:rFonts w:hint="eastAsia" w:ascii="仿宋_GB2312" w:hAnsi="Dotum" w:eastAsia="仿宋_GB2312"/>
                <w:color w:val="auto"/>
                <w:sz w:val="28"/>
                <w:szCs w:val="28"/>
                <w:lang w:val="en-US" w:eastAsia="zh-CN"/>
              </w:rPr>
              <w:t>或</w:t>
            </w:r>
            <w:r>
              <w:rPr>
                <w:rFonts w:hint="eastAsia" w:ascii="仿宋_GB2312" w:hAnsi="Dotum" w:eastAsia="仿宋_GB2312"/>
                <w:color w:val="auto"/>
                <w:sz w:val="28"/>
                <w:szCs w:val="28"/>
              </w:rPr>
              <w:t>复印件加盖公章(营业执照需包含本次招标范围</w:t>
            </w:r>
            <w:r>
              <w:rPr>
                <w:rFonts w:hint="eastAsia" w:ascii="仿宋_GB2312" w:hAnsi="Dotum" w:eastAsia="仿宋_GB2312"/>
                <w:color w:val="auto"/>
                <w:sz w:val="28"/>
                <w:szCs w:val="28"/>
                <w:lang w:eastAsia="zh-CN"/>
              </w:rPr>
              <w:t>）</w:t>
            </w:r>
            <w:r>
              <w:rPr>
                <w:rFonts w:hint="eastAsia" w:ascii="仿宋_GB2312" w:hAnsi="Dotum" w:eastAsia="仿宋_GB2312"/>
                <w:color w:val="auto"/>
                <w:sz w:val="28"/>
                <w:szCs w:val="28"/>
              </w:rPr>
              <w:t>；</w:t>
            </w:r>
          </w:p>
        </w:tc>
        <w:tc>
          <w:tcPr>
            <w:tcW w:w="424" w:type="dxa"/>
            <w:noWrap w:val="0"/>
            <w:vAlign w:val="top"/>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47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2</w:t>
            </w:r>
          </w:p>
        </w:tc>
        <w:tc>
          <w:tcPr>
            <w:tcW w:w="3871"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具有良好的商业信誉和健全的财务会计制度</w:t>
            </w:r>
          </w:p>
        </w:tc>
        <w:tc>
          <w:tcPr>
            <w:tcW w:w="416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书面承诺函及近两年任意一年审计报告或财务报表或其基本开户银行出具的资信证明（提供复印件）。本年度新成立或成立不满一年的组织和自然人无法提供财务状况报告（表）的，可提供银行出具的资信证明（提供复印件）。</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47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3</w:t>
            </w:r>
          </w:p>
        </w:tc>
        <w:tc>
          <w:tcPr>
            <w:tcW w:w="3871"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具有履行合同所必需的设备和专业技术能力</w:t>
            </w:r>
          </w:p>
        </w:tc>
        <w:tc>
          <w:tcPr>
            <w:tcW w:w="416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提供书面承诺函或相关证明材料。</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47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4</w:t>
            </w:r>
          </w:p>
        </w:tc>
        <w:tc>
          <w:tcPr>
            <w:tcW w:w="3871"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有依法缴纳税收和社会保障资金的良好记录；</w:t>
            </w:r>
          </w:p>
        </w:tc>
        <w:tc>
          <w:tcPr>
            <w:tcW w:w="4164" w:type="dxa"/>
            <w:noWrap w:val="0"/>
            <w:vAlign w:val="center"/>
          </w:tcPr>
          <w:p>
            <w:pPr>
              <w:pStyle w:val="45"/>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提供近半年内任意连续三个月纳税和社保缴纳证明原件或复印件加盖公章（公司成立不到三个月的从成立之日起），依法不需要缴纳社会保障资金的应提供相应文件说明。</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5</w:t>
            </w:r>
          </w:p>
        </w:tc>
        <w:tc>
          <w:tcPr>
            <w:tcW w:w="3871" w:type="dxa"/>
            <w:noWrap w:val="0"/>
            <w:vAlign w:val="center"/>
          </w:tcPr>
          <w:p>
            <w:pPr>
              <w:pStyle w:val="45"/>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c>
          <w:tcPr>
            <w:tcW w:w="4164" w:type="dxa"/>
            <w:noWrap w:val="0"/>
            <w:vAlign w:val="center"/>
          </w:tcPr>
          <w:p>
            <w:pPr>
              <w:pStyle w:val="45"/>
              <w:spacing w:line="520" w:lineRule="exact"/>
              <w:jc w:val="center"/>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开标查验。</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6</w:t>
            </w:r>
          </w:p>
        </w:tc>
        <w:tc>
          <w:tcPr>
            <w:tcW w:w="3871" w:type="dxa"/>
            <w:noWrap w:val="0"/>
            <w:vAlign w:val="center"/>
          </w:tcPr>
          <w:p>
            <w:pPr>
              <w:pStyle w:val="45"/>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法律、行政法规规定的其他条件</w:t>
            </w:r>
          </w:p>
        </w:tc>
        <w:tc>
          <w:tcPr>
            <w:tcW w:w="4164" w:type="dxa"/>
            <w:noWrap w:val="0"/>
            <w:vAlign w:val="center"/>
          </w:tcPr>
          <w:p>
            <w:pPr>
              <w:pStyle w:val="45"/>
              <w:spacing w:line="520" w:lineRule="exact"/>
              <w:jc w:val="center"/>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提供书面承诺函</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7</w:t>
            </w:r>
          </w:p>
        </w:tc>
        <w:tc>
          <w:tcPr>
            <w:tcW w:w="3871" w:type="dxa"/>
            <w:noWrap w:val="0"/>
            <w:vAlign w:val="center"/>
          </w:tcPr>
          <w:p>
            <w:pPr>
              <w:pStyle w:val="45"/>
              <w:spacing w:line="520" w:lineRule="exact"/>
              <w:jc w:val="center"/>
              <w:rPr>
                <w:rFonts w:hint="default" w:ascii="仿宋_GB2312" w:hAnsi="Dotum" w:eastAsia="仿宋_GB2312"/>
                <w:color w:val="auto"/>
                <w:sz w:val="28"/>
                <w:szCs w:val="28"/>
                <w:lang w:val="en-US" w:eastAsia="zh-CN"/>
              </w:rPr>
            </w:pPr>
            <w:r>
              <w:rPr>
                <w:rFonts w:hint="default" w:ascii="仿宋_GB2312" w:hAnsi="Dotum" w:eastAsia="仿宋_GB2312"/>
                <w:color w:val="auto"/>
                <w:sz w:val="28"/>
                <w:szCs w:val="28"/>
                <w:lang w:val="en-US" w:eastAsia="zh-CN"/>
              </w:rPr>
              <w:t>本项目属于专门面向中小企业预留采购的项目</w:t>
            </w:r>
          </w:p>
        </w:tc>
        <w:tc>
          <w:tcPr>
            <w:tcW w:w="4164" w:type="dxa"/>
            <w:noWrap w:val="0"/>
            <w:vAlign w:val="center"/>
          </w:tcPr>
          <w:p>
            <w:pPr>
              <w:pStyle w:val="45"/>
              <w:spacing w:line="520" w:lineRule="exact"/>
              <w:jc w:val="both"/>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请根据要求提供《中小企业声明函》。格式以采购文件要求为准。</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8</w:t>
            </w:r>
          </w:p>
        </w:tc>
        <w:tc>
          <w:tcPr>
            <w:tcW w:w="3871" w:type="dxa"/>
            <w:noWrap w:val="0"/>
            <w:vAlign w:val="center"/>
          </w:tcPr>
          <w:p>
            <w:pPr>
              <w:pStyle w:val="45"/>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投标保证金（保函）</w:t>
            </w:r>
          </w:p>
        </w:tc>
        <w:tc>
          <w:tcPr>
            <w:tcW w:w="4164" w:type="dxa"/>
            <w:noWrap w:val="0"/>
            <w:vAlign w:val="center"/>
          </w:tcPr>
          <w:p>
            <w:pPr>
              <w:pStyle w:val="45"/>
              <w:spacing w:line="520" w:lineRule="exact"/>
              <w:jc w:val="both"/>
              <w:rPr>
                <w:rFonts w:hint="eastAsia" w:ascii="仿宋_GB2312" w:hAnsi="Dotum" w:eastAsia="仿宋_GB2312"/>
                <w:color w:val="auto"/>
                <w:sz w:val="28"/>
                <w:szCs w:val="28"/>
                <w:lang w:val="en-US" w:eastAsia="zh-CN"/>
              </w:rPr>
            </w:pPr>
            <w:r>
              <w:rPr>
                <w:rFonts w:hint="eastAsia" w:ascii="仿宋_GB2312" w:hAnsi="仿宋_GB2312" w:eastAsia="仿宋_GB2312" w:cs="仿宋_GB2312"/>
                <w:kern w:val="2"/>
                <w:sz w:val="28"/>
                <w:szCs w:val="22"/>
                <w:lang w:val="en-US" w:eastAsia="zh-CN" w:bidi="ar-SA"/>
              </w:rPr>
              <w:t>提供投标保证金（保函）缴纳凭证。</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9</w:t>
            </w:r>
          </w:p>
        </w:tc>
        <w:tc>
          <w:tcPr>
            <w:tcW w:w="3871" w:type="dxa"/>
            <w:noWrap w:val="0"/>
            <w:vAlign w:val="center"/>
          </w:tcPr>
          <w:p>
            <w:pPr>
              <w:pStyle w:val="45"/>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特定资格要求</w:t>
            </w:r>
          </w:p>
        </w:tc>
        <w:tc>
          <w:tcPr>
            <w:tcW w:w="4164" w:type="dxa"/>
            <w:noWrap w:val="0"/>
            <w:vAlign w:val="center"/>
          </w:tcPr>
          <w:p>
            <w:pPr>
              <w:pStyle w:val="45"/>
              <w:spacing w:line="520" w:lineRule="exact"/>
              <w:jc w:val="both"/>
              <w:rPr>
                <w:rFonts w:hint="eastAsia" w:ascii="仿宋_GB2312" w:hAnsi="仿宋_GB2312" w:eastAsia="仿宋_GB2312" w:cs="仿宋_GB2312"/>
                <w:kern w:val="2"/>
                <w:sz w:val="28"/>
                <w:szCs w:val="22"/>
                <w:lang w:val="en-US" w:eastAsia="zh-CN" w:bidi="ar-SA"/>
              </w:rPr>
            </w:pPr>
            <w:r>
              <w:rPr>
                <w:rFonts w:hint="eastAsia" w:ascii="仿宋_GB2312" w:hAnsi="Times New Roman" w:eastAsia="仿宋_GB2312" w:cs="Times New Roman"/>
                <w:color w:val="auto"/>
                <w:sz w:val="28"/>
                <w:szCs w:val="28"/>
                <w:lang w:val="en-US" w:eastAsia="zh-CN"/>
              </w:rPr>
              <w:t>投标人应持有土地规划乙级及以上资质和土地估价机构备案函</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09" w:type="dxa"/>
            <w:gridSpan w:val="3"/>
            <w:noWrap w:val="0"/>
            <w:vAlign w:val="center"/>
          </w:tcPr>
          <w:p>
            <w:pPr>
              <w:pStyle w:val="45"/>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结论（通过/不通过）</w:t>
            </w:r>
          </w:p>
        </w:tc>
        <w:tc>
          <w:tcPr>
            <w:tcW w:w="424"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5"/>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5"/>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1" w:type="dxa"/>
            <w:gridSpan w:val="6"/>
            <w:noWrap w:val="0"/>
            <w:vAlign w:val="center"/>
          </w:tcPr>
          <w:p>
            <w:pPr>
              <w:pStyle w:val="45"/>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备注：以上审查项目中，资格审查时以投标文件为准。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671" w:type="dxa"/>
            <w:gridSpan w:val="6"/>
            <w:noWrap w:val="0"/>
            <w:vAlign w:val="top"/>
          </w:tcPr>
          <w:p>
            <w:pPr>
              <w:pStyle w:val="45"/>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资质审核</w:t>
            </w:r>
            <w:r>
              <w:rPr>
                <w:rFonts w:hint="eastAsia" w:ascii="仿宋_GB2312" w:hAnsi="Dotum" w:eastAsia="仿宋_GB2312"/>
                <w:color w:val="auto"/>
                <w:sz w:val="28"/>
                <w:szCs w:val="28"/>
                <w:lang w:val="en-US" w:eastAsia="zh-CN"/>
              </w:rPr>
              <w:t>人员</w:t>
            </w:r>
            <w:r>
              <w:rPr>
                <w:rFonts w:hint="eastAsia" w:ascii="仿宋_GB2312" w:hAnsi="Dotum" w:eastAsia="仿宋_GB2312"/>
                <w:color w:val="auto"/>
                <w:sz w:val="28"/>
                <w:szCs w:val="28"/>
              </w:rPr>
              <w:t>签字：</w:t>
            </w:r>
          </w:p>
        </w:tc>
      </w:tr>
    </w:tbl>
    <w:p>
      <w:pPr>
        <w:pStyle w:val="7"/>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b/>
          <w:bCs/>
          <w:lang w:eastAsia="zh-CN"/>
        </w:rPr>
      </w:pPr>
    </w:p>
    <w:p>
      <w:pPr>
        <w:jc w:val="both"/>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1.4 《符合性审查要求》见下表：</w:t>
      </w:r>
    </w:p>
    <w:p>
      <w:pPr>
        <w:jc w:val="center"/>
        <w:rPr>
          <w:b/>
          <w:sz w:val="28"/>
          <w:szCs w:val="28"/>
        </w:rPr>
      </w:pPr>
      <w:r>
        <w:rPr>
          <w:rFonts w:hint="eastAsia" w:ascii="仿宋_GB2312" w:eastAsia="仿宋_GB2312"/>
          <w:b/>
          <w:sz w:val="28"/>
          <w:szCs w:val="28"/>
        </w:rPr>
        <w:t>符合性审核表</w:t>
      </w:r>
    </w:p>
    <w:tbl>
      <w:tblPr>
        <w:tblStyle w:val="28"/>
        <w:tblpPr w:leftFromText="180" w:rightFromText="180" w:vertAnchor="text" w:horzAnchor="page" w:tblpX="1454" w:tblpY="2"/>
        <w:tblOverlap w:val="never"/>
        <w:tblW w:w="9272" w:type="dxa"/>
        <w:tblInd w:w="0" w:type="dxa"/>
        <w:tblLayout w:type="fixed"/>
        <w:tblCellMar>
          <w:top w:w="0" w:type="dxa"/>
          <w:left w:w="0" w:type="dxa"/>
          <w:bottom w:w="0" w:type="dxa"/>
          <w:right w:w="0" w:type="dxa"/>
        </w:tblCellMar>
      </w:tblPr>
      <w:tblGrid>
        <w:gridCol w:w="1143"/>
        <w:gridCol w:w="454"/>
        <w:gridCol w:w="6606"/>
        <w:gridCol w:w="568"/>
        <w:gridCol w:w="501"/>
      </w:tblGrid>
      <w:tr>
        <w:tblPrEx>
          <w:tblCellMar>
            <w:top w:w="0" w:type="dxa"/>
            <w:left w:w="0" w:type="dxa"/>
            <w:bottom w:w="0" w:type="dxa"/>
            <w:right w:w="0" w:type="dxa"/>
          </w:tblCellMar>
        </w:tblPrEx>
        <w:trPr>
          <w:trHeight w:val="669" w:hRule="atLeast"/>
        </w:trPr>
        <w:tc>
          <w:tcPr>
            <w:tcW w:w="1143" w:type="dxa"/>
            <w:vMerge w:val="restart"/>
            <w:tcBorders>
              <w:top w:val="single" w:color="000000" w:sz="12" w:space="0"/>
              <w:left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项目</w:t>
            </w:r>
          </w:p>
        </w:tc>
        <w:tc>
          <w:tcPr>
            <w:tcW w:w="7060" w:type="dxa"/>
            <w:gridSpan w:val="2"/>
            <w:vMerge w:val="restart"/>
            <w:tcBorders>
              <w:top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   审   内   容</w:t>
            </w:r>
          </w:p>
        </w:tc>
        <w:tc>
          <w:tcPr>
            <w:tcW w:w="1069" w:type="dxa"/>
            <w:gridSpan w:val="2"/>
            <w:tcBorders>
              <w:top w:val="single" w:color="000000" w:sz="12" w:space="0"/>
              <w:bottom w:val="single" w:color="000000" w:sz="4" w:space="0"/>
              <w:right w:val="single" w:color="000000" w:sz="12"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评审</w:t>
            </w:r>
          </w:p>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方法</w:t>
            </w:r>
          </w:p>
        </w:tc>
      </w:tr>
      <w:tr>
        <w:tblPrEx>
          <w:tblCellMar>
            <w:top w:w="0" w:type="dxa"/>
            <w:left w:w="0" w:type="dxa"/>
            <w:bottom w:w="0" w:type="dxa"/>
            <w:right w:w="0" w:type="dxa"/>
          </w:tblCellMar>
        </w:tblPrEx>
        <w:trPr>
          <w:trHeight w:val="428" w:hRule="atLeast"/>
        </w:trPr>
        <w:tc>
          <w:tcPr>
            <w:tcW w:w="1143" w:type="dxa"/>
            <w:vMerge w:val="continue"/>
            <w:tcBorders>
              <w:top w:val="single" w:color="000000" w:sz="12" w:space="0"/>
              <w:left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p>
        </w:tc>
        <w:tc>
          <w:tcPr>
            <w:tcW w:w="7060" w:type="dxa"/>
            <w:gridSpan w:val="2"/>
            <w:vMerge w:val="continue"/>
            <w:tcBorders>
              <w:top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p>
        </w:tc>
        <w:tc>
          <w:tcPr>
            <w:tcW w:w="568" w:type="dxa"/>
            <w:tcBorders>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是</w:t>
            </w:r>
          </w:p>
        </w:tc>
        <w:tc>
          <w:tcPr>
            <w:tcW w:w="501" w:type="dxa"/>
            <w:tcBorders>
              <w:bottom w:val="single" w:color="000000" w:sz="4" w:space="0"/>
              <w:right w:val="single" w:color="000000" w:sz="12" w:space="0"/>
            </w:tcBorders>
            <w:vAlign w:val="center"/>
          </w:tcPr>
          <w:p>
            <w:pPr>
              <w:pStyle w:val="38"/>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否</w:t>
            </w:r>
          </w:p>
        </w:tc>
      </w:tr>
      <w:tr>
        <w:tblPrEx>
          <w:tblCellMar>
            <w:top w:w="0" w:type="dxa"/>
            <w:left w:w="0" w:type="dxa"/>
            <w:bottom w:w="0" w:type="dxa"/>
            <w:right w:w="0" w:type="dxa"/>
          </w:tblCellMar>
        </w:tblPrEx>
        <w:trPr>
          <w:trHeight w:val="636"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1</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响应文件按磋商文件要求有供应商法定代表人或其授权代表签章并加盖单位公章；</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507"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2</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响应文件的编制和标识应符合磋商文件要求；</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90"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3</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磋商报价不得高于设定的预算金额；</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39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4</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质量、工期符合磋商文件规定；</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77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5</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响应文件按磋商文件规定顺序和格式完整提供，并要盖供应商章、法定代表人或授权代理人签章；</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52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6</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响应文件不得附有采购人不能接受的条件；</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756"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7</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类似业绩是否提供( 新成立企业不足一年参与招投标时，招标文件和评标文件中不评价企业业绩，只对项目负责人业绩作出要求 )（附证明材料，如：中标通知书/成交通知书或采购合同复印件）</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408"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right w:val="single" w:color="000000" w:sz="4" w:space="0"/>
            </w:tcBorders>
            <w:vAlign w:val="center"/>
          </w:tcPr>
          <w:p>
            <w:pPr>
              <w:pStyle w:val="38"/>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8</w:t>
            </w:r>
          </w:p>
        </w:tc>
        <w:tc>
          <w:tcPr>
            <w:tcW w:w="6606" w:type="dxa"/>
            <w:tcBorders>
              <w:right w:val="single" w:color="000000" w:sz="4" w:space="0"/>
            </w:tcBorders>
            <w:vAlign w:val="center"/>
          </w:tcPr>
          <w:p>
            <w:pPr>
              <w:pStyle w:val="38"/>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满足磋商文件规定的其他要求。</w:t>
            </w:r>
          </w:p>
        </w:tc>
        <w:tc>
          <w:tcPr>
            <w:tcW w:w="568" w:type="dxa"/>
            <w:tcBorders>
              <w:right w:val="single" w:color="000000" w:sz="4"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CellMar>
            <w:top w:w="0" w:type="dxa"/>
            <w:left w:w="0" w:type="dxa"/>
            <w:bottom w:w="0" w:type="dxa"/>
            <w:right w:w="0" w:type="dxa"/>
          </w:tblCellMar>
        </w:tblPrEx>
        <w:trPr>
          <w:trHeight w:val="1243" w:hRule="atLeast"/>
        </w:trPr>
        <w:tc>
          <w:tcPr>
            <w:tcW w:w="9272" w:type="dxa"/>
            <w:gridSpan w:val="5"/>
            <w:tcBorders>
              <w:top w:val="single" w:color="auto" w:sz="4" w:space="0"/>
              <w:left w:val="single" w:color="000000" w:sz="12" w:space="0"/>
              <w:bottom w:val="single" w:color="000000" w:sz="12" w:space="0"/>
              <w:right w:val="single" w:color="000000" w:sz="12" w:space="0"/>
            </w:tcBorders>
            <w:vAlign w:val="center"/>
          </w:tcPr>
          <w:p>
            <w:pPr>
              <w:pStyle w:val="38"/>
              <w:adjustRightInd w:val="0"/>
              <w:snapToGrid w:val="0"/>
              <w:ind w:leftChars="100"/>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磋商、响应文件有关事项的澄清、说明或者更正和最后报价</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 磋商小组所有成员将集中与单一供应商分别进行磋商，并给予所有参加磋商的供应商平等的磋商机会。</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 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 对磋商文件作出的实质性变动是磋商文件的有效组成部分，磋商小组应当及时以书面形式同时通知所有参加磋商的供应商。</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 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 响应文件的澄清、说明或者更正：</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2.5.1 磋商小组在对响应文件的有效性、完整性和响应程度进行审查时，可以要求供应商对响应文件中含义不明确、同类问题表述不一致或者有明显文字和计算错误的内容等作出必要的澄清、说明或者更正。</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2.5.2 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2.5.3 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 磋商结束后，磋商小组将要求所有实质性响应的供应商在规定时间内提交最后报价。最后报价时间为磋商小组指定的时间，具体时间根据磋商进度另行通知。</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 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 最后报价是供应商响应文件的有效组成部分。</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 已提交响应文件的供应商，在提交最后报价之前，可以根据磋商情况退出磋商。</w:t>
      </w:r>
    </w:p>
    <w:p>
      <w:pPr>
        <w:spacing w:line="360" w:lineRule="auto"/>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最后报价的算术修正及政策调整</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 最后报价出现前后不一致的，按照下列规定修正：</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3.2.1 竞争性磋商文件对于报价修正是否另有规定：</w:t>
      </w:r>
    </w:p>
    <w:p>
      <w:pPr>
        <w:spacing w:line="360" w:lineRule="auto"/>
        <w:ind w:firstLine="1120" w:firstLineChars="4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□有，具体规定为：_</w:t>
      </w:r>
    </w:p>
    <w:p>
      <w:pPr>
        <w:spacing w:line="360" w:lineRule="auto"/>
        <w:ind w:firstLine="1120" w:firstLineChars="4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□无，按下述 3.2.2-3.2.5 项规定修正。</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3.2.2 大写金额和小写金额不一致的，以大写金额为准；</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3.2.3 单价金额小数点或者百分比有明显错位的，以总价为准，并修改单价；</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3.2.4 总价金额与按单价汇总金额不一致的，以单价金额计算结果为准。</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3.2.5 同时出现两种以上不一致的，按照前款规定的顺序修正。修正后的报价经供应商书面确认后产生约束力，供应商不确认的，其响应无效。</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 落实政府采购政策的价格调整：</w:t>
      </w:r>
      <w:r>
        <w:rPr>
          <w:rFonts w:hint="eastAsia" w:ascii="仿宋_GB2312" w:hAnsi="仿宋_GB2312" w:eastAsia="仿宋_GB2312" w:cs="仿宋_GB2312"/>
          <w:color w:val="auto"/>
          <w:sz w:val="28"/>
          <w:szCs w:val="28"/>
          <w:lang w:val="en-US" w:eastAsia="zh-CN"/>
        </w:rPr>
        <w:t>只有符合第二章《供应商须知》规定情形的，可以享受中小企业扶持政策，</w:t>
      </w:r>
      <w:r>
        <w:rPr>
          <w:rFonts w:hint="eastAsia" w:ascii="仿宋_GB2312" w:hAnsi="仿宋_GB2312" w:eastAsia="仿宋_GB2312" w:cs="仿宋_GB2312"/>
          <w:sz w:val="28"/>
          <w:szCs w:val="28"/>
          <w:lang w:val="en-US" w:eastAsia="zh-CN"/>
        </w:rPr>
        <w:t>用扣除后的价格参加评审；否则，评审时价格不予扣除。</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3.3.1 对于未预留份额专门面向中小企业采购的采购项目，以及预留份额项目中的非预留部分采购包，对小微企业报价给予</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lang w:val="en-US" w:eastAsia="zh-CN"/>
        </w:rPr>
        <w:t>%的扣除，用扣除后的价格参加评审。</w:t>
      </w:r>
    </w:p>
    <w:p>
      <w:pPr>
        <w:spacing w:line="360" w:lineRule="auto"/>
        <w:ind w:firstLine="840" w:firstLineChars="3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p>
    <w:p>
      <w:pPr>
        <w:spacing w:line="360" w:lineRule="auto"/>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总金额 30%以上的联合体或者大中型企业的报价给予</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lang w:val="en-US" w:eastAsia="zh-CN"/>
        </w:rPr>
        <w:t>%的扣除，用扣除后的价格参加评审。</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3.3.3 组成联合体或者接受分包的小微企业与联合体内其他企业、分包企业之间存在直接控股、管理关系的，不享受价格扣除优惠政策。</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3.3.4 价格扣除比例对小型企业和微型企业同等对待，不作区分。</w:t>
      </w:r>
    </w:p>
    <w:p>
      <w:pPr>
        <w:spacing w:line="360" w:lineRule="auto"/>
        <w:ind w:left="279" w:leftChars="133" w:firstLine="280" w:firstLineChars="1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3.3.5 中小企业参加政府采购活动，应当按照竞争性磋商文件给定的格式出具《中小企业声明函》，否则不得享受相关中小企业扶持政策。</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3.3.6 监狱企业提供了由省级以上监狱管理局、戒毒管理局（含新疆生产建设兵团）出具的属于监狱企业的证明文件的，视同小微企业。</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3.3.7 残疾人福利性单位按竞争性磋商文件要求提供了《残疾人福利性单位声明函》的，视同小微企业。</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3.3.8 若供应商同时属于小型或微型企业、监狱企业、残疾人福利性单位中的两种及以上，将不重复享受小微企业价格扣减的优惠政策。</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3.3.9 其他为落实政府采购政策实施的优先采购：</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磋商环节及提交最后报价后如出现以下情况的，供应商的响应文件无效：</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 供应商对实质性变动不予确认的；</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 不满足磋商文件条款或磋商文件技术指标超出磋商文件《采购需求》中主要技术参数允许偏差的最大范围的（如有）；</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 未按照磋商小组规定的时间、逾期提交最后报价的；</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 如供应商的最后报价超过竞争性磋商文件中规定的项目/采购包预算金额或者项目/采购包最高限价的；</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 响应文件中出现可选择性或可调整的报价的（竞争性磋商文件另有规定的除外）；</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 最后报价出现前后不一致，供应商对修正后的报价不予确认的；</w:t>
      </w:r>
    </w:p>
    <w:p>
      <w:pPr>
        <w:spacing w:line="360" w:lineRule="auto"/>
        <w:ind w:firstLine="560" w:firstLineChars="200"/>
        <w:jc w:val="left"/>
        <w:textAlignment w:val="baseline"/>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4.7 其他：</w:t>
      </w:r>
      <w:r>
        <w:rPr>
          <w:rFonts w:hint="eastAsia" w:ascii="仿宋_GB2312" w:hAnsi="仿宋_GB2312" w:eastAsia="仿宋_GB2312" w:cs="仿宋_GB2312"/>
          <w:sz w:val="28"/>
          <w:szCs w:val="28"/>
          <w:u w:val="single"/>
          <w:lang w:val="en-US" w:eastAsia="zh-CN"/>
        </w:rPr>
        <w:t xml:space="preserve">     </w:t>
      </w:r>
    </w:p>
    <w:p>
      <w:pPr>
        <w:spacing w:line="360" w:lineRule="auto"/>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5 评审方法和评审标准</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5.1 本项目采用的评审方法为：本项目的评审采用综合评分法。综合评分法，是指响应文件满足磋商文件全部实质性要求且按评审因素的量化指标评审得分最高的供应商为成交候选供应商的评审方法。</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w:t>
      </w:r>
      <w:r>
        <w:rPr>
          <w:rFonts w:hint="default" w:ascii="仿宋_GB2312" w:hAnsi="仿宋_GB2312" w:eastAsia="仿宋_GB2312" w:cs="仿宋_GB2312"/>
          <w:sz w:val="28"/>
          <w:szCs w:val="28"/>
          <w:u w:val="none"/>
          <w:lang w:val="en-US" w:eastAsia="zh-CN"/>
        </w:rPr>
        <w:t>.2 竞争性磋商文件中没有规定的评审标准不得作为评审依据。</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5.3 非政府强制采购的节能产品或环境标志产品，依据品目清单和认证证书实施政府优先采购。优先采购的具体规定（如涉及）</w:t>
      </w:r>
      <w:r>
        <w:rPr>
          <w:rFonts w:hint="eastAsia" w:ascii="仿宋_GB2312" w:hAnsi="仿宋_GB2312" w:eastAsia="仿宋_GB2312" w:cs="仿宋_GB2312"/>
          <w:sz w:val="28"/>
          <w:szCs w:val="28"/>
          <w:u w:val="single"/>
          <w:lang w:val="en-US" w:eastAsia="zh-CN"/>
        </w:rPr>
        <w:t xml:space="preserve">   /  </w:t>
      </w:r>
      <w:r>
        <w:rPr>
          <w:rFonts w:hint="default" w:ascii="仿宋_GB2312" w:hAnsi="仿宋_GB2312" w:eastAsia="仿宋_GB2312" w:cs="仿宋_GB2312"/>
          <w:sz w:val="28"/>
          <w:szCs w:val="28"/>
          <w:u w:val="none"/>
          <w:lang w:val="en-US" w:eastAsia="zh-CN"/>
        </w:rPr>
        <w:t>。</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5.4 关于无线局域网认证产品政府采购清单中的产品，优先采购的具体规定（如涉及）</w:t>
      </w:r>
      <w:r>
        <w:rPr>
          <w:rFonts w:hint="eastAsia" w:ascii="仿宋_GB2312" w:hAnsi="仿宋_GB2312" w:eastAsia="仿宋_GB2312" w:cs="仿宋_GB2312"/>
          <w:sz w:val="28"/>
          <w:szCs w:val="28"/>
          <w:u w:val="single"/>
          <w:lang w:val="en-US" w:eastAsia="zh-CN"/>
        </w:rPr>
        <w:t xml:space="preserve"> /    </w:t>
      </w:r>
    </w:p>
    <w:p>
      <w:pPr>
        <w:spacing w:line="360" w:lineRule="auto"/>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6 确定成交候选人名单</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6.2 磋商小组根据上述供应商排序，依次推荐排序前</w:t>
      </w:r>
      <w:r>
        <w:rPr>
          <w:rFonts w:hint="eastAsia" w:ascii="仿宋_GB2312" w:hAnsi="仿宋_GB2312" w:eastAsia="仿宋_GB2312" w:cs="仿宋_GB2312"/>
          <w:sz w:val="28"/>
          <w:szCs w:val="28"/>
          <w:u w:val="single"/>
          <w:lang w:val="en-US" w:eastAsia="zh-CN"/>
        </w:rPr>
        <w:t xml:space="preserve">  三  </w:t>
      </w:r>
      <w:r>
        <w:rPr>
          <w:rFonts w:hint="default" w:ascii="仿宋_GB2312" w:hAnsi="仿宋_GB2312" w:eastAsia="仿宋_GB2312" w:cs="仿宋_GB2312"/>
          <w:sz w:val="28"/>
          <w:szCs w:val="28"/>
          <w:u w:val="none"/>
          <w:lang w:val="en-US" w:eastAsia="zh-CN"/>
        </w:rPr>
        <w:t>名的供应商为成交候选供应商（若在磋商文件允许的情形下提交最后报价的供应商为二家，则依次推荐二名供应商为成交候选供应商），并编写评审报告。</w:t>
      </w:r>
    </w:p>
    <w:p>
      <w:pPr>
        <w:spacing w:line="360" w:lineRule="auto"/>
        <w:ind w:firstLine="560" w:firstLineChars="200"/>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6.3 磋商小组要对评分汇总情况进行复核，特别是对排名第一的、报价最低的、响应文件被认定为无效的情形进行重点复核。</w:t>
      </w:r>
    </w:p>
    <w:p>
      <w:pPr>
        <w:spacing w:line="360" w:lineRule="auto"/>
        <w:jc w:val="left"/>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7 报告违法行为</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 磋商小组在评审过程中发现供应商有行贿、提供虚假材料或者串通等违法行为时，有向采购人、采购代理机构或者有关部门报告的职责。</w:t>
      </w: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jc w:val="left"/>
        <w:textAlignment w:val="baseline"/>
        <w:rPr>
          <w:rFonts w:hint="eastAsia" w:ascii="仿宋_GB2312" w:hAnsi="仿宋_GB2312" w:eastAsia="仿宋_GB2312" w:cs="仿宋_GB2312"/>
          <w:sz w:val="28"/>
          <w:szCs w:val="28"/>
          <w:lang w:val="en-US" w:eastAsia="zh-CN"/>
        </w:rPr>
      </w:pPr>
    </w:p>
    <w:p>
      <w:pPr>
        <w:spacing w:line="360" w:lineRule="auto"/>
        <w:ind w:firstLine="562" w:firstLineChars="200"/>
        <w:jc w:val="center"/>
        <w:textAlignment w:val="baseline"/>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二、评审标准</w:t>
      </w:r>
    </w:p>
    <w:p>
      <w:pPr>
        <w:spacing w:line="360" w:lineRule="auto"/>
        <w:ind w:firstLine="560" w:firstLineChars="200"/>
        <w:jc w:val="left"/>
        <w:textAlignment w:val="baseline"/>
        <w:rPr>
          <w:rFonts w:hint="eastAsia" w:ascii="仿宋_GB2312" w:hAnsi="仿宋_GB2312" w:eastAsia="仿宋_GB2312" w:cs="仿宋_GB2312"/>
          <w:sz w:val="28"/>
          <w:szCs w:val="28"/>
          <w:lang w:val="en-US" w:eastAsia="zh-CN"/>
        </w:rPr>
      </w:pPr>
    </w:p>
    <w:tbl>
      <w:tblPr>
        <w:tblStyle w:val="48"/>
        <w:tblW w:w="10905" w:type="dxa"/>
        <w:tblInd w:w="-1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1110"/>
        <w:gridCol w:w="757"/>
        <w:gridCol w:w="79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065"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评分项目</w:t>
            </w: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评审项目</w:t>
            </w:r>
          </w:p>
        </w:tc>
        <w:tc>
          <w:tcPr>
            <w:tcW w:w="757"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分值</w:t>
            </w:r>
          </w:p>
        </w:tc>
        <w:tc>
          <w:tcPr>
            <w:tcW w:w="7973"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评 标 要 点 及 说 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065"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报价部分（20分）</w:t>
            </w: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投标报价</w:t>
            </w:r>
          </w:p>
        </w:tc>
        <w:tc>
          <w:tcPr>
            <w:tcW w:w="757"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bidi="ar-SA"/>
              </w:rPr>
              <w:t>20分</w:t>
            </w:r>
          </w:p>
        </w:tc>
        <w:tc>
          <w:tcPr>
            <w:tcW w:w="7973" w:type="dxa"/>
            <w:noWrap w:val="0"/>
            <w:vAlign w:val="top"/>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满足磋商文件要求且最终报价最低的报价为评审基准价，其价格分为满分。其他满足磋商文件要求的供应商的价格分统一按照下列公式计算：</w:t>
            </w:r>
          </w:p>
          <w:p>
            <w:pPr>
              <w:pStyle w:val="38"/>
              <w:adjustRightInd w:val="0"/>
              <w:snapToGrid w:val="0"/>
              <w:spacing w:line="240" w:lineRule="auto"/>
              <w:jc w:val="both"/>
              <w:textAlignment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val="0"/>
                <w:bCs w:val="0"/>
                <w:kern w:val="2"/>
                <w:sz w:val="28"/>
                <w:szCs w:val="28"/>
                <w:lang w:val="en-US" w:eastAsia="zh-CN" w:bidi="ar-SA"/>
              </w:rPr>
              <w:t xml:space="preserve">评审价格分数=（评审基准价/最终报价）×价格权重（20%）×100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065" w:type="dxa"/>
            <w:vMerge w:val="restart"/>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商务部分（29分）</w:t>
            </w: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项目团队 </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专业人员 </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配备</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757" w:type="dxa"/>
            <w:tcBorders>
              <w:top w:val="single" w:color="auto" w:sz="4" w:space="0"/>
            </w:tcBorders>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20分</w:t>
            </w:r>
          </w:p>
        </w:tc>
        <w:tc>
          <w:tcPr>
            <w:tcW w:w="7973" w:type="dxa"/>
            <w:tcBorders>
              <w:top w:val="single" w:color="auto" w:sz="4" w:space="0"/>
              <w:bottom w:val="single" w:color="auto" w:sz="4" w:space="0"/>
            </w:tcBorders>
            <w:noWrap w:val="0"/>
            <w:vAlign w:val="top"/>
          </w:tcPr>
          <w:p>
            <w:pPr>
              <w:pStyle w:val="38"/>
              <w:numPr>
                <w:ilvl w:val="0"/>
                <w:numId w:val="7"/>
              </w:numPr>
              <w:adjustRightInd w:val="0"/>
              <w:snapToGrid w:val="0"/>
              <w:spacing w:line="240" w:lineRule="auto"/>
              <w:jc w:val="both"/>
              <w:textAlignment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项目负责人具有高级工程师职称（含副高）得 4 分。</w:t>
            </w:r>
          </w:p>
          <w:p>
            <w:pPr>
              <w:pStyle w:val="38"/>
              <w:numPr>
                <w:ilvl w:val="0"/>
                <w:numId w:val="7"/>
              </w:numPr>
              <w:adjustRightInd w:val="0"/>
              <w:snapToGrid w:val="0"/>
              <w:spacing w:line="240" w:lineRule="auto"/>
              <w:ind w:left="0" w:leftChars="0" w:firstLine="0" w:firstLineChars="0"/>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技术负责人具有高级工程师职称（含副高）得3 分。</w:t>
            </w:r>
          </w:p>
          <w:p>
            <w:pPr>
              <w:pStyle w:val="38"/>
              <w:numPr>
                <w:ilvl w:val="0"/>
                <w:numId w:val="7"/>
              </w:numPr>
              <w:adjustRightInd w:val="0"/>
              <w:snapToGrid w:val="0"/>
              <w:spacing w:line="240" w:lineRule="auto"/>
              <w:ind w:left="0" w:leftChars="0" w:firstLine="0" w:firstLineChars="0"/>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项目组成员中有备案的土地估价师每一人得1分，最高可得4分。</w:t>
            </w:r>
          </w:p>
          <w:p>
            <w:pPr>
              <w:pStyle w:val="38"/>
              <w:numPr>
                <w:ilvl w:val="0"/>
                <w:numId w:val="7"/>
              </w:numPr>
              <w:adjustRightInd w:val="0"/>
              <w:snapToGrid w:val="0"/>
              <w:spacing w:line="240" w:lineRule="auto"/>
              <w:ind w:left="0" w:leftChars="0" w:firstLine="0" w:firstLineChars="0"/>
              <w:jc w:val="both"/>
              <w:textAlignment w:val="center"/>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项目组成员中具有中级及以上工程师职称，每人得1分，最高可得9分。</w:t>
            </w:r>
          </w:p>
          <w:p>
            <w:pPr>
              <w:pStyle w:val="38"/>
              <w:numPr>
                <w:ilvl w:val="0"/>
                <w:numId w:val="0"/>
              </w:numPr>
              <w:adjustRightInd w:val="0"/>
              <w:snapToGrid w:val="0"/>
              <w:spacing w:line="240" w:lineRule="auto"/>
              <w:ind w:leftChars="0"/>
              <w:jc w:val="both"/>
              <w:textAlignment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备注：须提供以上人员职称证书或资格证书复印件、近半年任意三个月社保证明文件或退休证明，以上成员仅限评一个职称。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065" w:type="dxa"/>
            <w:vMerge w:val="continue"/>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内部管理</w:t>
            </w:r>
          </w:p>
        </w:tc>
        <w:tc>
          <w:tcPr>
            <w:tcW w:w="757"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3分</w:t>
            </w:r>
          </w:p>
        </w:tc>
        <w:tc>
          <w:tcPr>
            <w:tcW w:w="7973" w:type="dxa"/>
            <w:noWrap w:val="0"/>
            <w:vAlign w:val="center"/>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有健全的项目管理制度、质量管理制度、财务管理制度、风险管理制度、人员考核管理制度和保密管理制度的得 3 分每缺一项扣 0.5分。未提供的不得分。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065" w:type="dxa"/>
            <w:vMerge w:val="continue"/>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1110" w:type="dxa"/>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技术能力或荣誉证书</w:t>
            </w:r>
          </w:p>
        </w:tc>
        <w:tc>
          <w:tcPr>
            <w:tcW w:w="757" w:type="dxa"/>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6分</w:t>
            </w:r>
          </w:p>
        </w:tc>
        <w:tc>
          <w:tcPr>
            <w:tcW w:w="7973" w:type="dxa"/>
            <w:noWrap w:val="0"/>
            <w:vAlign w:val="center"/>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土地估价、地理信息相关技术开发能力以及荣誉证书，每1项得2分，最高分6分。</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备注：提供相关证明材料原件扫描件，不提供不得分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065" w:type="dxa"/>
            <w:vMerge w:val="restart"/>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技术部分（51分）</w:t>
            </w: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实施方案</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757"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16分</w:t>
            </w:r>
          </w:p>
        </w:tc>
        <w:tc>
          <w:tcPr>
            <w:tcW w:w="7973" w:type="dxa"/>
            <w:noWrap w:val="0"/>
            <w:vAlign w:val="center"/>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根据供应商针对本项目提供的实施方案进行综合评审，包括①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项目组织管理方案②项目进度计划及保障方案③项目质量保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障方案④成果管理及数据保密方案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方案详实、可靠、有针对性、可行的，每小项得 4分，方案基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本完整，可行、常规叙述，每小项得 3 分，方案不完备、无针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对性，每小项得 1 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065" w:type="dxa"/>
            <w:vMerge w:val="continue"/>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技术方案</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757"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15分</w:t>
            </w:r>
          </w:p>
        </w:tc>
        <w:tc>
          <w:tcPr>
            <w:tcW w:w="7973" w:type="dxa"/>
            <w:noWrap w:val="0"/>
            <w:vAlign w:val="center"/>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1、供应商提供的技术方案中对项目需求的理解程度深刻，编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制技术路线清晰、全面、科学合理，提出的理念和内容以及制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定的总体部署操作先进切实可行,得11-15 分；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2、供应商提供的技术方案中对项目需求的理解程度一般，编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制技术路线较清晰、较全面、科学合理，提出的理念和内容以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及制定的总体部署操作良好得 6-10分；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3、供应商提供的技术方案中对项目需求的理解程度不足，编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制技术路混乱、技术方案不全面、科学合理，提出的理念和内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容以及制定的总体部署操作一般得 1-5 分；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4、供应商未提供技术方案的不得分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065" w:type="dxa"/>
            <w:vMerge w:val="continue"/>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档案保存方案</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757" w:type="dxa"/>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6分</w:t>
            </w:r>
          </w:p>
        </w:tc>
        <w:tc>
          <w:tcPr>
            <w:tcW w:w="7973" w:type="dxa"/>
            <w:noWrap w:val="0"/>
            <w:vAlign w:val="center"/>
          </w:tcPr>
          <w:p>
            <w:pPr>
              <w:pStyle w:val="38"/>
              <w:numPr>
                <w:ilvl w:val="0"/>
                <w:numId w:val="8"/>
              </w:numPr>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评估机构工作时限严格按照合同约定执行，建立完整的评估报告档案，长期保存，提供档案保存的工作方案、档案管理制度合理，可操作性强，内容完整，得5-6分；</w:t>
            </w:r>
          </w:p>
          <w:p>
            <w:pPr>
              <w:pStyle w:val="38"/>
              <w:numPr>
                <w:ilvl w:val="0"/>
                <w:numId w:val="0"/>
              </w:numPr>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2、档案保存的工作方案、档案管理制度内容较完整不够完整，不够合理，有待改善，得3-4分；</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3、档案保存的工作方案、档案管理制度内容不完整，合理性差，得1-2分；</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4、不提供不得分。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1065" w:type="dxa"/>
            <w:vMerge w:val="continue"/>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服务能力</w:t>
            </w:r>
          </w:p>
        </w:tc>
        <w:tc>
          <w:tcPr>
            <w:tcW w:w="757" w:type="dxa"/>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6分</w:t>
            </w:r>
          </w:p>
        </w:tc>
        <w:tc>
          <w:tcPr>
            <w:tcW w:w="7973" w:type="dxa"/>
            <w:noWrap w:val="0"/>
            <w:vAlign w:val="center"/>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1、根据供应商提供售后服务计划、方案情况、售后服务机构、响应时间及售后承诺情况，表述准确清晰、可操作性强4-6 分；</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2、方案内容简单，没有根据项目内容要求细化制定，方案表述不清晰不准确，可操作性不强得1-3分。</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3、未提供方案不得分。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0" w:hRule="atLeast"/>
        </w:trPr>
        <w:tc>
          <w:tcPr>
            <w:tcW w:w="1065" w:type="dxa"/>
            <w:vMerge w:val="continue"/>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1110" w:type="dxa"/>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工作进度 </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安排</w:t>
            </w:r>
          </w:p>
          <w:p>
            <w:pPr>
              <w:pStyle w:val="38"/>
              <w:adjustRightInd w:val="0"/>
              <w:snapToGrid w:val="0"/>
              <w:spacing w:line="240" w:lineRule="auto"/>
              <w:jc w:val="center"/>
              <w:textAlignment w:val="center"/>
              <w:rPr>
                <w:rFonts w:hint="eastAsia" w:ascii="仿宋_GB2312" w:hAnsi="仿宋_GB2312" w:eastAsia="仿宋_GB2312" w:cs="仿宋_GB2312"/>
                <w:b/>
                <w:bCs/>
                <w:kern w:val="2"/>
                <w:sz w:val="28"/>
                <w:szCs w:val="28"/>
                <w:lang w:val="en-US" w:eastAsia="zh-CN" w:bidi="ar-SA"/>
              </w:rPr>
            </w:pPr>
          </w:p>
        </w:tc>
        <w:tc>
          <w:tcPr>
            <w:tcW w:w="757" w:type="dxa"/>
            <w:noWrap w:val="0"/>
            <w:vAlign w:val="center"/>
          </w:tcPr>
          <w:p>
            <w:pPr>
              <w:pStyle w:val="38"/>
              <w:adjustRightInd w:val="0"/>
              <w:snapToGrid w:val="0"/>
              <w:spacing w:line="240" w:lineRule="auto"/>
              <w:jc w:val="center"/>
              <w:textAlignment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8分</w:t>
            </w:r>
          </w:p>
        </w:tc>
        <w:tc>
          <w:tcPr>
            <w:tcW w:w="7973" w:type="dxa"/>
            <w:noWrap w:val="0"/>
            <w:vAlign w:val="center"/>
          </w:tcPr>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1、对本项目的安排合理，划分有各个工作阶段，制定有如基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础调研、成果编制和成果审核等关键时间点计划，项目进度控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制优秀得 6-8分；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2、对本项目的安排相对合理，划分有各个工作阶段，制定有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如基础调研、成果编制和成果审核等关键时间点计划，项目进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度控制良好得3-4分；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3、对本项目的安排，工作阶段划分和时间点计划，项目进度 </w:t>
            </w:r>
          </w:p>
          <w:p>
            <w:pPr>
              <w:pStyle w:val="38"/>
              <w:adjustRightInd w:val="0"/>
              <w:snapToGrid w:val="0"/>
              <w:spacing w:line="240" w:lineRule="auto"/>
              <w:jc w:val="both"/>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控制一般得 1-2分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0905" w:type="dxa"/>
            <w:gridSpan w:val="4"/>
            <w:noWrap w:val="0"/>
            <w:vAlign w:val="center"/>
          </w:tcPr>
          <w:p>
            <w:pPr>
              <w:pStyle w:val="38"/>
              <w:adjustRightInd w:val="0"/>
              <w:snapToGrid w:val="0"/>
              <w:spacing w:line="240" w:lineRule="auto"/>
              <w:jc w:val="center"/>
              <w:textAlignment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共计：100分</w:t>
            </w:r>
          </w:p>
        </w:tc>
      </w:tr>
    </w:tbl>
    <w:p>
      <w:pPr>
        <w:spacing w:line="360" w:lineRule="auto"/>
        <w:jc w:val="left"/>
        <w:textAlignment w:val="baseline"/>
        <w:rPr>
          <w:rFonts w:hint="eastAsia" w:ascii="仿宋_GB2312" w:hAnsi="仿宋_GB2312" w:eastAsia="仿宋_GB2312" w:cs="仿宋_GB2312"/>
          <w:sz w:val="28"/>
          <w:szCs w:val="28"/>
          <w:lang w:val="en-US" w:eastAsia="zh-CN"/>
        </w:rPr>
      </w:pPr>
    </w:p>
    <w:p>
      <w:pPr>
        <w:pStyle w:val="12"/>
        <w:numPr>
          <w:ilvl w:val="0"/>
          <w:numId w:val="0"/>
        </w:numPr>
        <w:spacing w:line="360" w:lineRule="auto"/>
        <w:textAlignment w:val="baseline"/>
        <w:rPr>
          <w:rFonts w:hint="default" w:ascii="仿宋_GB2312" w:hAnsi="仿宋_GB2312" w:eastAsia="仿宋_GB2312" w:cs="仿宋_GB2312"/>
          <w:b w:val="0"/>
          <w:bCs w:val="0"/>
          <w:sz w:val="28"/>
          <w:szCs w:val="28"/>
          <w:lang w:val="en-US" w:eastAsia="zh-CN"/>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both"/>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color w:val="70AD47" w:themeColor="accent6"/>
          <w:kern w:val="2"/>
          <w:sz w:val="28"/>
          <w:szCs w:val="28"/>
          <w:lang w:val="en-US" w:eastAsia="zh-CN" w:bidi="ar-SA"/>
          <w14:textFill>
            <w14:solidFill>
              <w14:schemeClr w14:val="accent6"/>
            </w14:solidFill>
          </w14:textFill>
        </w:rPr>
      </w:pPr>
    </w:p>
    <w:p>
      <w:pPr>
        <w:spacing w:line="360" w:lineRule="auto"/>
        <w:jc w:val="center"/>
        <w:rPr>
          <w:rFonts w:hint="eastAsia" w:asciiTheme="majorEastAsia" w:hAnsiTheme="majorEastAsia" w:eastAsiaTheme="majorEastAsia" w:cstheme="majorEastAsia"/>
          <w:b/>
          <w:bCs/>
          <w:sz w:val="32"/>
          <w:szCs w:val="32"/>
          <w:lang w:val="en-US" w:eastAsia="zh-CN"/>
        </w:rPr>
      </w:pPr>
    </w:p>
    <w:p>
      <w:pPr>
        <w:spacing w:line="360" w:lineRule="auto"/>
        <w:jc w:val="center"/>
        <w:rPr>
          <w:rFonts w:hint="eastAsia" w:asciiTheme="majorEastAsia" w:hAnsiTheme="majorEastAsia" w:eastAsiaTheme="majorEastAsia" w:cstheme="majorEastAsia"/>
          <w:b/>
          <w:bCs/>
          <w:sz w:val="32"/>
          <w:szCs w:val="32"/>
          <w:lang w:val="en-US" w:eastAsia="zh-CN"/>
        </w:rPr>
      </w:pPr>
    </w:p>
    <w:p>
      <w:pPr>
        <w:spacing w:line="360" w:lineRule="auto"/>
        <w:jc w:val="both"/>
        <w:rPr>
          <w:rFonts w:hint="eastAsia" w:asciiTheme="majorEastAsia" w:hAnsiTheme="majorEastAsia" w:eastAsiaTheme="majorEastAsia" w:cstheme="majorEastAsia"/>
          <w:b/>
          <w:bCs/>
          <w:sz w:val="32"/>
          <w:szCs w:val="32"/>
          <w:lang w:val="en-US" w:eastAsia="zh-CN"/>
        </w:rPr>
      </w:pPr>
    </w:p>
    <w:p>
      <w:pPr>
        <w:spacing w:line="360" w:lineRule="auto"/>
        <w:jc w:val="center"/>
        <w:rPr>
          <w:rFonts w:hint="eastAsia" w:asciiTheme="majorEastAsia" w:hAnsiTheme="majorEastAsia" w:eastAsiaTheme="majorEastAsia" w:cstheme="majorEastAsia"/>
          <w:b/>
          <w:bCs/>
          <w:sz w:val="32"/>
          <w:szCs w:val="32"/>
          <w:lang w:val="en-US" w:eastAsia="zh-CN"/>
        </w:rPr>
      </w:pPr>
    </w:p>
    <w:p>
      <w:pPr>
        <w:spacing w:line="360" w:lineRule="auto"/>
        <w:jc w:val="center"/>
        <w:rPr>
          <w:rFonts w:hint="default"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 xml:space="preserve">第四部分  </w:t>
      </w:r>
      <w:r>
        <w:rPr>
          <w:rFonts w:hint="eastAsia" w:asciiTheme="majorEastAsia" w:hAnsiTheme="majorEastAsia" w:eastAsiaTheme="majorEastAsia" w:cstheme="majorEastAsia"/>
          <w:b/>
          <w:bCs/>
          <w:sz w:val="32"/>
          <w:szCs w:val="32"/>
          <w:highlight w:val="none"/>
        </w:rPr>
        <w:t>政府采购项</w:t>
      </w:r>
      <w:r>
        <w:rPr>
          <w:rFonts w:hint="eastAsia" w:asciiTheme="majorEastAsia" w:hAnsiTheme="majorEastAsia" w:eastAsiaTheme="majorEastAsia" w:cstheme="majorEastAsia"/>
          <w:b/>
          <w:bCs/>
          <w:sz w:val="32"/>
          <w:szCs w:val="32"/>
        </w:rPr>
        <w:t>目采 购 需 求</w:t>
      </w:r>
    </w:p>
    <w:p>
      <w:pPr>
        <w:numPr>
          <w:ilvl w:val="0"/>
          <w:numId w:val="0"/>
        </w:numPr>
        <w:spacing w:line="560" w:lineRule="exact"/>
        <w:jc w:val="left"/>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项目概况</w:t>
      </w:r>
    </w:p>
    <w:p>
      <w:pPr>
        <w:spacing w:line="560" w:lineRule="exact"/>
        <w:ind w:firstLine="420" w:firstLineChars="200"/>
        <w:jc w:val="left"/>
        <w:rPr>
          <w:rFonts w:hint="eastAsia"/>
          <w:color w:val="auto"/>
          <w:sz w:val="28"/>
          <w:szCs w:val="36"/>
          <w:lang w:val="en-US" w:eastAsia="zh-CN"/>
        </w:rPr>
      </w:pPr>
      <w:r>
        <w:rPr>
          <w:rFonts w:hint="eastAsia"/>
          <w:lang w:val="en-US" w:eastAsia="zh-CN"/>
        </w:rPr>
        <w:t xml:space="preserve"> </w:t>
      </w:r>
      <w:r>
        <w:rPr>
          <w:rFonts w:hint="eastAsia"/>
          <w:color w:val="0000FF"/>
          <w:lang w:val="en-US" w:eastAsia="zh-CN"/>
        </w:rPr>
        <w:t xml:space="preserve">  </w:t>
      </w:r>
      <w:r>
        <w:rPr>
          <w:rFonts w:hint="eastAsia"/>
          <w:color w:val="auto"/>
          <w:sz w:val="28"/>
          <w:szCs w:val="36"/>
          <w:lang w:val="en-US" w:eastAsia="zh-CN"/>
        </w:rPr>
        <w:t xml:space="preserve"> 该项目资金为地方财政配套资金，开展奇台县园地林地草地定级和基准地价制定工作。通过分等定级价格评估，综合评价全国园地林地草地质量分布状况，建立政府公示价格体系，可以显化园地林地草地资源资产质量和价值，直接服务于自然资源有偿使用、资产清查核算、税费管理等工作，有助于加强自然资源保护与合理开发利用，促进生态产品价值实现，推进自然资源管理向数量、质量与生态管护并重转变。</w:t>
      </w:r>
    </w:p>
    <w:p>
      <w:pPr>
        <w:spacing w:line="560" w:lineRule="exact"/>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（二）采购项目预（概）算</w:t>
      </w:r>
    </w:p>
    <w:tbl>
      <w:tblPr>
        <w:tblStyle w:val="28"/>
        <w:tblW w:w="7862" w:type="dxa"/>
        <w:tblInd w:w="0" w:type="dxa"/>
        <w:tblLayout w:type="fixed"/>
        <w:tblCellMar>
          <w:top w:w="15" w:type="dxa"/>
          <w:left w:w="15" w:type="dxa"/>
          <w:bottom w:w="15" w:type="dxa"/>
          <w:right w:w="15" w:type="dxa"/>
        </w:tblCellMar>
      </w:tblPr>
      <w:tblGrid>
        <w:gridCol w:w="1159"/>
        <w:gridCol w:w="6703"/>
      </w:tblGrid>
      <w:tr>
        <w:tblPrEx>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widowControl/>
              <w:jc w:val="center"/>
              <w:textAlignment w:val="center"/>
              <w:rPr>
                <w:rFonts w:asciiTheme="majorEastAsia" w:hAnsiTheme="majorEastAsia" w:eastAsiaTheme="majorEastAsia" w:cstheme="majorEastAsia"/>
                <w:kern w:val="0"/>
                <w:sz w:val="28"/>
                <w:szCs w:val="28"/>
                <w:lang w:bidi="ar"/>
              </w:rPr>
            </w:pPr>
            <w:r>
              <w:rPr>
                <w:rFonts w:hint="eastAsia" w:asciiTheme="majorEastAsia" w:hAnsiTheme="majorEastAsia" w:eastAsiaTheme="majorEastAsia" w:cstheme="majorEastAsia"/>
                <w:kern w:val="0"/>
                <w:sz w:val="28"/>
                <w:szCs w:val="28"/>
                <w:lang w:bidi="ar"/>
              </w:rPr>
              <w:t xml:space="preserve">  资金</w:t>
            </w:r>
          </w:p>
          <w:p>
            <w:pPr>
              <w:widowControl/>
              <w:jc w:val="center"/>
              <w:textAlignment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lang w:bidi="ar"/>
              </w:rPr>
              <w:t xml:space="preserve">  来源</w:t>
            </w:r>
          </w:p>
        </w:tc>
        <w:tc>
          <w:tcPr>
            <w:tcW w:w="6703" w:type="dxa"/>
            <w:tcBorders>
              <w:tl2br w:val="nil"/>
              <w:tr2bl w:val="nil"/>
            </w:tcBorders>
            <w:shd w:val="clear" w:color="auto" w:fill="auto"/>
            <w:vAlign w:val="center"/>
          </w:tcPr>
          <w:p>
            <w:pPr>
              <w:widowControl/>
              <w:ind w:left="638" w:leftChars="304"/>
              <w:jc w:val="left"/>
              <w:textAlignment w:val="center"/>
              <w:rPr>
                <w:rFonts w:asciiTheme="majorEastAsia" w:hAnsiTheme="majorEastAsia" w:eastAsiaTheme="majorEastAsia" w:cstheme="majorEastAsia"/>
                <w:kern w:val="0"/>
                <w:sz w:val="28"/>
                <w:szCs w:val="28"/>
                <w:lang w:bidi="ar"/>
              </w:rPr>
            </w:pPr>
            <w:r>
              <w:rPr>
                <w:rFonts w:hint="eastAsia" w:asciiTheme="majorEastAsia" w:hAnsiTheme="majorEastAsia" w:eastAsiaTheme="majorEastAsia" w:cstheme="majorEastAsia"/>
                <w:kern w:val="0"/>
                <w:sz w:val="28"/>
                <w:szCs w:val="28"/>
                <w:lang w:bidi="ar"/>
              </w:rPr>
              <w:t xml:space="preserve">☑财政    □自筹资金      </w:t>
            </w:r>
          </w:p>
          <w:p>
            <w:pPr>
              <w:widowControl/>
              <w:ind w:left="638" w:leftChars="304"/>
              <w:jc w:val="left"/>
              <w:textAlignment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lang w:bidi="ar"/>
              </w:rPr>
              <w:t>项目资金批复文件□无  ☑有</w:t>
            </w:r>
          </w:p>
        </w:tc>
      </w:tr>
    </w:tbl>
    <w:p>
      <w:pPr>
        <w:spacing w:line="560" w:lineRule="exact"/>
        <w:jc w:val="left"/>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总 预 算：</w:t>
      </w:r>
      <w:r>
        <w:rPr>
          <w:rFonts w:hint="eastAsia" w:asciiTheme="majorEastAsia" w:hAnsiTheme="majorEastAsia" w:eastAsiaTheme="majorEastAsia" w:cstheme="majorEastAsia"/>
          <w:sz w:val="28"/>
          <w:szCs w:val="28"/>
          <w:u w:val="single"/>
          <w:lang w:val="en-US" w:eastAsia="zh-CN"/>
        </w:rPr>
        <w:t>120万</w:t>
      </w:r>
      <w:r>
        <w:rPr>
          <w:rFonts w:hint="eastAsia" w:asciiTheme="majorEastAsia" w:hAnsiTheme="majorEastAsia" w:eastAsiaTheme="majorEastAsia" w:cstheme="majorEastAsia"/>
          <w:sz w:val="28"/>
          <w:szCs w:val="28"/>
          <w:u w:val="single"/>
        </w:rPr>
        <w:t xml:space="preserve">元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最高限价：</w:t>
      </w:r>
      <w:r>
        <w:rPr>
          <w:rFonts w:hint="eastAsia" w:asciiTheme="majorEastAsia" w:hAnsiTheme="majorEastAsia" w:eastAsiaTheme="majorEastAsia" w:cstheme="majorEastAsia"/>
          <w:sz w:val="28"/>
          <w:szCs w:val="28"/>
          <w:u w:val="single"/>
          <w:lang w:val="en-US" w:eastAsia="zh-CN"/>
        </w:rPr>
        <w:t>120万</w:t>
      </w:r>
      <w:r>
        <w:rPr>
          <w:rFonts w:hint="eastAsia" w:asciiTheme="majorEastAsia" w:hAnsiTheme="majorEastAsia" w:eastAsiaTheme="majorEastAsia" w:cstheme="majorEastAsia"/>
          <w:sz w:val="28"/>
          <w:szCs w:val="28"/>
          <w:u w:val="single"/>
        </w:rPr>
        <w:t xml:space="preserve">元  </w:t>
      </w:r>
    </w:p>
    <w:p>
      <w:pPr>
        <w:pStyle w:val="18"/>
      </w:pPr>
    </w:p>
    <w:p>
      <w:pPr>
        <w:spacing w:line="560" w:lineRule="exact"/>
        <w:ind w:firstLine="562" w:firstLineChars="200"/>
        <w:jc w:val="left"/>
        <w:rPr>
          <w:rFonts w:asciiTheme="majorEastAsia" w:hAnsiTheme="majorEastAsia" w:eastAsiaTheme="majorEastAsia" w:cstheme="majorEastAsia"/>
          <w:b/>
          <w:bCs/>
          <w:iCs/>
          <w:sz w:val="24"/>
          <w:u w:val="single"/>
        </w:rPr>
      </w:pPr>
      <w:r>
        <w:rPr>
          <w:rFonts w:hint="eastAsia" w:ascii="楷体_GB2312" w:hAnsi="楷体_GB2312" w:eastAsia="楷体_GB2312" w:cs="楷体_GB2312"/>
          <w:b/>
          <w:bCs/>
          <w:sz w:val="28"/>
          <w:szCs w:val="28"/>
        </w:rPr>
        <w:t>（三）技术商务要求</w:t>
      </w:r>
    </w:p>
    <w:tbl>
      <w:tblPr>
        <w:tblStyle w:val="28"/>
        <w:tblW w:w="8338" w:type="dxa"/>
        <w:tblInd w:w="2" w:type="dxa"/>
        <w:tblLayout w:type="fixed"/>
        <w:tblCellMar>
          <w:top w:w="15" w:type="dxa"/>
          <w:left w:w="15" w:type="dxa"/>
          <w:bottom w:w="15" w:type="dxa"/>
          <w:right w:w="15" w:type="dxa"/>
        </w:tblCellMar>
      </w:tblPr>
      <w:tblGrid>
        <w:gridCol w:w="476"/>
        <w:gridCol w:w="1159"/>
        <w:gridCol w:w="6703"/>
      </w:tblGrid>
      <w:tr>
        <w:tblPrEx>
          <w:tblCellMar>
            <w:top w:w="15" w:type="dxa"/>
            <w:left w:w="15" w:type="dxa"/>
            <w:bottom w:w="15" w:type="dxa"/>
            <w:right w:w="15" w:type="dxa"/>
          </w:tblCellMar>
        </w:tblPrEx>
        <w:trPr>
          <w:trHeight w:val="480" w:hRule="atLeast"/>
        </w:trPr>
        <w:tc>
          <w:tcPr>
            <w:tcW w:w="8338" w:type="dxa"/>
            <w:gridSpan w:val="3"/>
            <w:shd w:val="clear" w:color="auto" w:fill="auto"/>
            <w:vAlign w:val="center"/>
          </w:tcPr>
          <w:p>
            <w:pPr>
              <w:spacing w:line="560" w:lineRule="exact"/>
              <w:ind w:firstLine="560" w:firstLineChars="200"/>
              <w:jc w:val="left"/>
              <w:rPr>
                <w:rFonts w:asciiTheme="majorEastAsia" w:hAnsiTheme="majorEastAsia" w:eastAsiaTheme="majorEastAsia" w:cstheme="majorEastAsia"/>
                <w:bCs/>
                <w:iCs/>
                <w:sz w:val="28"/>
                <w:szCs w:val="28"/>
              </w:rPr>
            </w:pPr>
            <w:r>
              <w:rPr>
                <w:rFonts w:hint="eastAsia" w:asciiTheme="majorEastAsia" w:hAnsiTheme="majorEastAsia" w:eastAsiaTheme="majorEastAsia" w:cstheme="majorEastAsia"/>
                <w:bCs/>
                <w:iCs/>
                <w:kern w:val="0"/>
                <w:sz w:val="28"/>
                <w:szCs w:val="28"/>
                <w:lang w:bidi="ar"/>
              </w:rPr>
              <w:t xml:space="preserve">（1） </w:t>
            </w:r>
            <w:r>
              <w:rPr>
                <w:rFonts w:hint="eastAsia" w:asciiTheme="majorEastAsia" w:hAnsiTheme="majorEastAsia" w:eastAsiaTheme="majorEastAsia" w:cstheme="majorEastAsia"/>
                <w:bCs/>
                <w:iCs/>
                <w:sz w:val="28"/>
                <w:szCs w:val="28"/>
              </w:rPr>
              <w:t>商务要求</w:t>
            </w:r>
          </w:p>
          <w:p>
            <w:pPr>
              <w:spacing w:line="560" w:lineRule="exact"/>
              <w:ind w:firstLine="602" w:firstLineChars="200"/>
              <w:jc w:val="left"/>
              <w:rPr>
                <w:rFonts w:asciiTheme="majorEastAsia" w:hAnsiTheme="majorEastAsia" w:eastAsiaTheme="majorEastAsia" w:cstheme="majorEastAsia"/>
                <w:b/>
                <w:iCs/>
                <w:sz w:val="30"/>
                <w:szCs w:val="30"/>
              </w:rPr>
            </w:pPr>
          </w:p>
        </w:tc>
      </w:tr>
      <w:tr>
        <w:tblPrEx>
          <w:tblCellMar>
            <w:top w:w="15" w:type="dxa"/>
            <w:left w:w="15" w:type="dxa"/>
            <w:bottom w:w="15" w:type="dxa"/>
            <w:right w:w="15" w:type="dxa"/>
          </w:tblCellMar>
        </w:tblPrEx>
        <w:trPr>
          <w:trHeight w:val="45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内容</w:t>
            </w:r>
          </w:p>
        </w:tc>
      </w:tr>
      <w:tr>
        <w:tblPrEx>
          <w:tblCellMar>
            <w:top w:w="15" w:type="dxa"/>
            <w:left w:w="15" w:type="dxa"/>
            <w:bottom w:w="15" w:type="dxa"/>
            <w:right w:w="15" w:type="dxa"/>
          </w:tblCellMar>
        </w:tblPrEx>
        <w:trPr>
          <w:trHeight w:val="115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color w:val="auto"/>
                <w:sz w:val="22"/>
                <w:szCs w:val="22"/>
              </w:rPr>
            </w:pPr>
            <w:r>
              <w:rPr>
                <w:rStyle w:val="41"/>
                <w:rFonts w:hint="default"/>
                <w:b w:val="0"/>
                <w:bCs/>
                <w:color w:val="auto"/>
                <w:lang w:bidi="ar"/>
              </w:rPr>
              <w:t>付款方式</w:t>
            </w:r>
            <w:r>
              <w:rPr>
                <w:rStyle w:val="41"/>
                <w:rFonts w:hint="default"/>
                <w:b w:val="0"/>
                <w:bCs/>
                <w:color w:val="auto"/>
                <w:lang w:bidi="ar"/>
              </w:rPr>
              <w:br w:type="textWrapping"/>
            </w:r>
            <w:r>
              <w:rPr>
                <w:rStyle w:val="61"/>
                <w:rFonts w:hint="default"/>
                <w:b w:val="0"/>
                <w:bCs/>
                <w:color w:val="auto"/>
                <w:lang w:bidi="ar"/>
              </w:rPr>
              <w:t>（付款的时间及比例）</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lang w:val="en-US" w:eastAsia="zh-CN"/>
              </w:rPr>
              <w:t xml:space="preserve">合同签订后提交园林草定级初步成果付款30%，通过自治区评审验收后付款20%，园林草基准地价完成初步成果付款30%。通过自治区评审验收后付款20%（具体内容以合同签订为准）。 </w:t>
            </w:r>
          </w:p>
        </w:tc>
      </w:tr>
      <w:tr>
        <w:tblPrEx>
          <w:tblCellMar>
            <w:top w:w="15" w:type="dxa"/>
            <w:left w:w="15" w:type="dxa"/>
            <w:bottom w:w="15" w:type="dxa"/>
            <w:right w:w="15" w:type="dxa"/>
          </w:tblCellMar>
        </w:tblPrEx>
        <w:trPr>
          <w:trHeight w:val="57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color w:val="auto"/>
                <w:sz w:val="22"/>
                <w:szCs w:val="22"/>
              </w:rPr>
            </w:pPr>
            <w:r>
              <w:rPr>
                <w:rStyle w:val="41"/>
                <w:rFonts w:hint="default"/>
                <w:b w:val="0"/>
                <w:bCs/>
                <w:color w:val="auto"/>
                <w:lang w:bidi="ar"/>
              </w:rPr>
              <w:t>交付（实施）的时间（期限）</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2023年年底前完成奇台县园地林地草地定级工作。</w:t>
            </w:r>
          </w:p>
          <w:p>
            <w:pPr>
              <w:widowControl/>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2024年2月底完成园地林地草地提交初步成果审核。</w:t>
            </w:r>
          </w:p>
          <w:p>
            <w:pPr>
              <w:widowControl/>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2024年5月底前完成园地林地草地基准地价成果自治区自然资源厅验收。</w:t>
            </w:r>
          </w:p>
        </w:tc>
      </w:tr>
      <w:tr>
        <w:tblPrEx>
          <w:tblCellMar>
            <w:top w:w="15" w:type="dxa"/>
            <w:left w:w="15" w:type="dxa"/>
            <w:bottom w:w="15" w:type="dxa"/>
            <w:right w:w="15"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val="en-US" w:eastAsia="zh-CN" w:bidi="ar"/>
              </w:rPr>
              <w:t>服务</w:t>
            </w:r>
            <w:r>
              <w:rPr>
                <w:rFonts w:hint="eastAsia" w:ascii="宋体" w:hAnsi="宋体" w:cs="宋体"/>
                <w:color w:val="auto"/>
                <w:kern w:val="0"/>
                <w:sz w:val="22"/>
                <w:szCs w:val="22"/>
                <w:lang w:bidi="ar"/>
              </w:rPr>
              <w:t>（实施）地点</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甲方指定地点</w:t>
            </w:r>
          </w:p>
        </w:tc>
      </w:tr>
      <w:tr>
        <w:tblPrEx>
          <w:tblCellMar>
            <w:top w:w="15" w:type="dxa"/>
            <w:left w:w="15" w:type="dxa"/>
            <w:bottom w:w="15" w:type="dxa"/>
            <w:right w:w="15" w:type="dxa"/>
          </w:tblCellMar>
        </w:tblPrEx>
        <w:trPr>
          <w:trHeight w:val="65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履约验收</w:t>
            </w:r>
            <w:r>
              <w:rPr>
                <w:rFonts w:hint="eastAsia" w:ascii="宋体" w:hAnsi="宋体" w:cs="宋体"/>
                <w:kern w:val="0"/>
                <w:sz w:val="22"/>
                <w:szCs w:val="22"/>
                <w:lang w:bidi="ar"/>
              </w:rPr>
              <w:br w:type="textWrapping"/>
            </w:r>
            <w:r>
              <w:rPr>
                <w:rFonts w:hint="eastAsia" w:ascii="宋体" w:hAnsi="宋体" w:cs="宋体"/>
                <w:kern w:val="0"/>
                <w:sz w:val="22"/>
                <w:szCs w:val="22"/>
                <w:lang w:bidi="ar"/>
              </w:rPr>
              <w:t>（含验收内容、标准、程序等）</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auto"/>
                <w:lang w:val="en-US" w:eastAsia="zh-CN"/>
              </w:rPr>
            </w:pPr>
            <w:r>
              <w:rPr>
                <w:rFonts w:hint="eastAsia"/>
                <w:color w:val="auto"/>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项目因质量问题发生争议时，以质量技术检验检测机构检验结果为准，如产生检验费用，则该费用由过失方承担。</w:t>
            </w:r>
            <w:r>
              <w:rPr>
                <w:rFonts w:hint="eastAsia"/>
                <w:color w:val="auto"/>
              </w:rPr>
              <w:br w:type="textWrapping"/>
            </w:r>
            <w:r>
              <w:rPr>
                <w:rFonts w:hint="eastAsia"/>
                <w:color w:val="auto"/>
              </w:rPr>
              <w:br w:type="textWrapping"/>
            </w:r>
            <w:r>
              <w:rPr>
                <w:rFonts w:hint="eastAsia"/>
                <w:color w:val="auto"/>
              </w:rPr>
              <w:t>其他要求：</w:t>
            </w:r>
            <w:r>
              <w:rPr>
                <w:rFonts w:hint="eastAsia"/>
                <w:color w:val="auto"/>
                <w:lang w:eastAsia="zh-CN"/>
              </w:rPr>
              <w:t>☑</w:t>
            </w:r>
            <w:r>
              <w:rPr>
                <w:rFonts w:hint="eastAsia"/>
                <w:color w:val="auto"/>
              </w:rPr>
              <w:t xml:space="preserve">无   </w:t>
            </w:r>
            <w:r>
              <w:rPr>
                <w:rFonts w:hint="eastAsia"/>
                <w:color w:val="auto"/>
                <w:lang w:eastAsia="zh-CN"/>
              </w:rPr>
              <w:t>□</w:t>
            </w:r>
            <w:r>
              <w:rPr>
                <w:rFonts w:hint="eastAsia"/>
                <w:color w:val="auto"/>
              </w:rPr>
              <w:t>有</w:t>
            </w:r>
          </w:p>
        </w:tc>
      </w:tr>
      <w:tr>
        <w:tblPrEx>
          <w:tblCellMar>
            <w:top w:w="15" w:type="dxa"/>
            <w:left w:w="15" w:type="dxa"/>
            <w:bottom w:w="15" w:type="dxa"/>
            <w:right w:w="15" w:type="dxa"/>
          </w:tblCellMar>
        </w:tblPrEx>
        <w:trPr>
          <w:trHeight w:val="70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cs="宋体"/>
                <w:kern w:val="0"/>
                <w:sz w:val="22"/>
                <w:szCs w:val="22"/>
                <w:lang w:bidi="ar"/>
              </w:rPr>
              <w:t>服务</w:t>
            </w:r>
            <w:r>
              <w:rPr>
                <w:rFonts w:hint="eastAsia" w:ascii="宋体" w:hAnsi="宋体" w:cs="宋体"/>
                <w:kern w:val="0"/>
                <w:sz w:val="22"/>
                <w:szCs w:val="22"/>
                <w:lang w:val="en-US" w:eastAsia="zh-CN" w:bidi="ar"/>
              </w:rPr>
              <w:t>要求</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60"/>
                <w:rFonts w:hint="default"/>
                <w:color w:val="auto"/>
                <w:lang w:bidi="ar"/>
              </w:rPr>
            </w:pPr>
            <w:r>
              <w:rPr>
                <w:rStyle w:val="60"/>
                <w:rFonts w:hint="default"/>
                <w:b w:val="0"/>
                <w:bCs/>
                <w:color w:val="auto"/>
                <w:lang w:bidi="ar"/>
              </w:rPr>
              <w:t>自项目验收合格后</w:t>
            </w:r>
            <w:r>
              <w:rPr>
                <w:rStyle w:val="62"/>
                <w:rFonts w:hint="default"/>
                <w:b w:val="0"/>
                <w:bCs/>
                <w:color w:val="auto"/>
                <w:lang w:bidi="ar"/>
              </w:rPr>
              <w:t xml:space="preserve">   </w:t>
            </w:r>
            <w:r>
              <w:rPr>
                <w:rStyle w:val="62"/>
                <w:rFonts w:hint="eastAsia"/>
                <w:b w:val="0"/>
                <w:bCs/>
                <w:color w:val="auto"/>
                <w:lang w:val="en-US" w:eastAsia="zh-CN" w:bidi="ar"/>
              </w:rPr>
              <w:t xml:space="preserve">   </w:t>
            </w:r>
            <w:r>
              <w:rPr>
                <w:rStyle w:val="62"/>
                <w:rFonts w:hint="default"/>
                <w:b w:val="0"/>
                <w:bCs/>
                <w:color w:val="auto"/>
                <w:lang w:bidi="ar"/>
              </w:rPr>
              <w:t xml:space="preserve"> </w:t>
            </w:r>
            <w:r>
              <w:rPr>
                <w:rStyle w:val="62"/>
                <w:rFonts w:hint="eastAsia"/>
                <w:b w:val="0"/>
                <w:bCs/>
                <w:color w:val="auto"/>
                <w:lang w:val="en-US" w:eastAsia="zh-CN" w:bidi="ar"/>
              </w:rPr>
              <w:t>/</w:t>
            </w:r>
            <w:r>
              <w:rPr>
                <w:rStyle w:val="62"/>
                <w:rFonts w:hint="default"/>
                <w:b w:val="0"/>
                <w:bCs/>
                <w:color w:val="auto"/>
                <w:lang w:bidi="ar"/>
              </w:rPr>
              <w:t xml:space="preserve">   （年或月）</w:t>
            </w:r>
            <w:r>
              <w:rPr>
                <w:rStyle w:val="63"/>
                <w:rFonts w:hint="default"/>
                <w:color w:val="auto"/>
                <w:lang w:bidi="ar"/>
              </w:rPr>
              <w:br w:type="textWrapping"/>
            </w:r>
            <w:r>
              <w:rPr>
                <w:rStyle w:val="60"/>
                <w:rFonts w:hint="default"/>
                <w:color w:val="auto"/>
                <w:lang w:bidi="ar"/>
              </w:rPr>
              <w:br w:type="textWrapping"/>
            </w:r>
            <w:r>
              <w:rPr>
                <w:rStyle w:val="60"/>
                <w:rFonts w:hint="default"/>
                <w:b w:val="0"/>
                <w:bCs/>
                <w:color w:val="auto"/>
                <w:lang w:bidi="ar"/>
              </w:rPr>
              <w:t xml:space="preserve">服务要求： </w:t>
            </w:r>
          </w:p>
          <w:p>
            <w:pPr>
              <w:widowControl/>
              <w:numPr>
                <w:ilvl w:val="0"/>
                <w:numId w:val="9"/>
              </w:numPr>
              <w:jc w:val="left"/>
              <w:textAlignment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按照《全国园地、林地、草地定级和基准地价数据库规范(征求意见稿)》和《全国园地、林地、草地定级和基准地价汇交指引(征求意见稿)》中要求，建立园地、林地、草地等3大类自然资源定级成果数据库，并根据下发的定级质检软件进行数据库质检，质检合格后形成汇交成果提交自治区自然资源厅核查验收。</w:t>
            </w:r>
          </w:p>
          <w:p>
            <w:pPr>
              <w:widowControl/>
              <w:numPr>
                <w:ilvl w:val="0"/>
                <w:numId w:val="9"/>
              </w:numPr>
              <w:jc w:val="left"/>
              <w:textAlignment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作业单位评估工作需完成外业资料收集、内业资料整理分析、成果编制、成果汇报、修改完善和成果验收工作。</w:t>
            </w:r>
          </w:p>
          <w:p>
            <w:pPr>
              <w:widowControl/>
              <w:numPr>
                <w:ilvl w:val="0"/>
                <w:numId w:val="9"/>
              </w:numPr>
              <w:jc w:val="left"/>
              <w:textAlignment w:val="center"/>
              <w:rPr>
                <w:rFonts w:ascii="宋体" w:hAnsi="宋体" w:cs="宋体"/>
                <w:color w:val="auto"/>
                <w:sz w:val="22"/>
                <w:szCs w:val="22"/>
              </w:rPr>
            </w:pPr>
            <w:r>
              <w:rPr>
                <w:rFonts w:hint="eastAsia" w:ascii="Times New Roman" w:hAnsi="Times New Roman" w:cs="Times New Roman"/>
                <w:color w:val="auto"/>
                <w:lang w:val="en-US" w:eastAsia="zh-CN"/>
              </w:rPr>
              <w:t xml:space="preserve">作业单位成果需通过自治区自然资源主管部门验收，并提交最终成果资料。 </w:t>
            </w:r>
          </w:p>
        </w:tc>
      </w:tr>
      <w:tr>
        <w:tblPrEx>
          <w:tblCellMar>
            <w:top w:w="15" w:type="dxa"/>
            <w:left w:w="15" w:type="dxa"/>
            <w:bottom w:w="15" w:type="dxa"/>
            <w:right w:w="15" w:type="dxa"/>
          </w:tblCellMar>
        </w:tblPrEx>
        <w:trPr>
          <w:trHeight w:val="69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投标人资</w:t>
            </w:r>
            <w:r>
              <w:rPr>
                <w:rFonts w:hint="eastAsia" w:ascii="宋体" w:hAnsi="宋体" w:cs="宋体"/>
                <w:kern w:val="0"/>
                <w:sz w:val="22"/>
                <w:szCs w:val="22"/>
                <w:lang w:bidi="ar"/>
              </w:rPr>
              <w:br w:type="textWrapping"/>
            </w:r>
            <w:r>
              <w:rPr>
                <w:rFonts w:hint="eastAsia" w:ascii="宋体" w:hAnsi="宋体" w:cs="宋体"/>
                <w:kern w:val="0"/>
                <w:sz w:val="22"/>
                <w:szCs w:val="22"/>
                <w:lang w:bidi="ar"/>
              </w:rPr>
              <w:t>格要求</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9"/>
              </w:numPr>
              <w:jc w:val="left"/>
              <w:textAlignment w:val="center"/>
              <w:rPr>
                <w:rFonts w:hint="default" w:eastAsia="宋体"/>
                <w:color w:val="auto"/>
                <w:lang w:val="en-US" w:eastAsia="zh-CN"/>
              </w:rPr>
            </w:pPr>
            <w:r>
              <w:rPr>
                <w:rFonts w:hint="eastAsia"/>
                <w:color w:val="auto"/>
                <w:lang w:val="en-US" w:eastAsia="zh-CN"/>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r>
              <w:rPr>
                <w:rFonts w:hint="eastAsia"/>
                <w:color w:val="auto"/>
              </w:rPr>
              <w:br w:type="textWrapping"/>
            </w:r>
            <w:r>
              <w:rPr>
                <w:rFonts w:hint="eastAsia"/>
                <w:color w:val="auto"/>
              </w:rPr>
              <w:t>2、其他特定资格（没有法律、行政法规或者国务院规定的不作为资格要求）：</w:t>
            </w:r>
            <w:r>
              <w:rPr>
                <w:rFonts w:hint="eastAsia"/>
                <w:color w:val="auto"/>
              </w:rPr>
              <w:br w:type="textWrapping"/>
            </w:r>
            <w:r>
              <w:rPr>
                <w:rFonts w:hint="eastAsia"/>
                <w:color w:val="auto"/>
              </w:rPr>
              <w:sym w:font="Wingdings 2" w:char="00A3"/>
            </w:r>
            <w:r>
              <w:rPr>
                <w:rFonts w:hint="eastAsia"/>
                <w:color w:val="auto"/>
              </w:rPr>
              <w:t xml:space="preserve">无 </w:t>
            </w:r>
            <w:r>
              <w:rPr>
                <w:rFonts w:hint="eastAsia"/>
                <w:color w:val="auto"/>
              </w:rPr>
              <w:br w:type="textWrapping"/>
            </w:r>
            <w:r>
              <w:rPr>
                <w:rFonts w:hint="eastAsia"/>
                <w:color w:val="auto"/>
              </w:rPr>
              <w:sym w:font="Wingdings 2" w:char="0052"/>
            </w:r>
            <w:r>
              <w:rPr>
                <w:rFonts w:hint="eastAsia"/>
                <w:color w:val="auto"/>
              </w:rPr>
              <w:t>有：</w:t>
            </w:r>
            <w:r>
              <w:rPr>
                <w:rFonts w:hint="eastAsia" w:ascii="Times New Roman" w:hAnsi="Times New Roman" w:cs="Times New Roman"/>
                <w:color w:val="auto"/>
                <w:lang w:val="en-US" w:eastAsia="zh-CN"/>
              </w:rPr>
              <w:t>投标人应持有土地规划乙级及以上资质和土地估价机构备案函。</w:t>
            </w:r>
          </w:p>
        </w:tc>
      </w:tr>
      <w:tr>
        <w:tblPrEx>
          <w:tblCellMar>
            <w:top w:w="15" w:type="dxa"/>
            <w:left w:w="15" w:type="dxa"/>
            <w:bottom w:w="15" w:type="dxa"/>
            <w:right w:w="15" w:type="dxa"/>
          </w:tblCellMar>
        </w:tblPrEx>
        <w:trPr>
          <w:trHeight w:val="147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是否接受联合体投标</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szCs w:val="22"/>
              </w:rPr>
            </w:pPr>
            <w:r>
              <w:rPr>
                <w:rStyle w:val="41"/>
                <w:rFonts w:hint="default"/>
                <w:b w:val="0"/>
                <w:bCs/>
                <w:color w:val="auto"/>
                <w:lang w:bidi="ar"/>
              </w:rPr>
              <w:t>☑不接受</w:t>
            </w:r>
            <w:r>
              <w:rPr>
                <w:rStyle w:val="41"/>
                <w:rFonts w:hint="default"/>
                <w:b w:val="0"/>
                <w:bCs/>
                <w:color w:val="auto"/>
                <w:lang w:bidi="ar"/>
              </w:rPr>
              <w:br w:type="textWrapping"/>
            </w:r>
            <w:r>
              <w:rPr>
                <w:rStyle w:val="41"/>
                <w:rFonts w:hint="default"/>
                <w:b w:val="0"/>
                <w:bCs/>
                <w:color w:val="auto"/>
                <w:lang w:bidi="ar"/>
              </w:rPr>
              <w:t xml:space="preserve"> </w:t>
            </w:r>
            <w:r>
              <w:rPr>
                <w:rStyle w:val="41"/>
                <w:rFonts w:hint="default"/>
                <w:b w:val="0"/>
                <w:bCs/>
                <w:color w:val="auto"/>
                <w:lang w:bidi="ar"/>
              </w:rPr>
              <w:br w:type="textWrapping"/>
            </w:r>
            <w:r>
              <w:rPr>
                <w:rStyle w:val="41"/>
                <w:rFonts w:hint="default"/>
                <w:b w:val="0"/>
                <w:bCs/>
                <w:color w:val="auto"/>
                <w:lang w:bidi="ar"/>
              </w:rPr>
              <w:t>□接受，因满足的条件要求：</w:t>
            </w:r>
            <w:r>
              <w:rPr>
                <w:rStyle w:val="41"/>
                <w:rFonts w:hint="default"/>
                <w:b w:val="0"/>
                <w:bCs/>
                <w:color w:val="auto"/>
                <w:lang w:bidi="ar"/>
              </w:rPr>
              <w:br w:type="textWrapping"/>
            </w:r>
            <w:r>
              <w:rPr>
                <w:rStyle w:val="41"/>
                <w:rFonts w:hint="default"/>
                <w:b w:val="0"/>
                <w:bCs/>
                <w:color w:val="auto"/>
                <w:lang w:bidi="ar"/>
              </w:rPr>
              <w:t>1、</w:t>
            </w:r>
            <w:r>
              <w:rPr>
                <w:rStyle w:val="64"/>
                <w:rFonts w:hint="default"/>
                <w:b w:val="0"/>
                <w:bCs/>
                <w:color w:val="auto"/>
                <w:lang w:bidi="ar"/>
              </w:rPr>
              <w:t xml:space="preserve">              </w:t>
            </w:r>
            <w:r>
              <w:rPr>
                <w:rStyle w:val="41"/>
                <w:rFonts w:hint="default"/>
                <w:b w:val="0"/>
                <w:bCs/>
                <w:color w:val="auto"/>
                <w:lang w:bidi="ar"/>
              </w:rPr>
              <w:t xml:space="preserve">           </w:t>
            </w:r>
            <w:r>
              <w:rPr>
                <w:rStyle w:val="41"/>
                <w:rFonts w:hint="default"/>
                <w:b w:val="0"/>
                <w:bCs/>
                <w:color w:val="auto"/>
                <w:lang w:bidi="ar"/>
              </w:rPr>
              <w:br w:type="textWrapping"/>
            </w:r>
            <w:r>
              <w:rPr>
                <w:rStyle w:val="41"/>
                <w:rFonts w:hint="default"/>
                <w:b w:val="0"/>
                <w:bCs/>
                <w:color w:val="auto"/>
                <w:lang w:bidi="ar"/>
              </w:rPr>
              <w:t>2、</w:t>
            </w:r>
            <w:r>
              <w:rPr>
                <w:rStyle w:val="64"/>
                <w:rFonts w:hint="default"/>
                <w:b w:val="0"/>
                <w:bCs/>
                <w:color w:val="auto"/>
                <w:lang w:bidi="ar"/>
              </w:rPr>
              <w:t xml:space="preserve">              </w:t>
            </w:r>
            <w:r>
              <w:rPr>
                <w:rStyle w:val="41"/>
                <w:rFonts w:hint="default"/>
                <w:b w:val="0"/>
                <w:bCs/>
                <w:color w:val="auto"/>
                <w:lang w:bidi="ar"/>
              </w:rPr>
              <w:t xml:space="preserve">   </w:t>
            </w:r>
            <w:r>
              <w:rPr>
                <w:rStyle w:val="41"/>
                <w:rFonts w:hint="default"/>
                <w:color w:val="auto"/>
                <w:lang w:bidi="ar"/>
              </w:rPr>
              <w:t xml:space="preserve">       </w:t>
            </w:r>
          </w:p>
        </w:tc>
      </w:tr>
      <w:tr>
        <w:tblPrEx>
          <w:tblCellMar>
            <w:top w:w="15" w:type="dxa"/>
            <w:left w:w="15" w:type="dxa"/>
            <w:bottom w:w="15" w:type="dxa"/>
            <w:right w:w="15" w:type="dxa"/>
          </w:tblCellMar>
        </w:tblPrEx>
        <w:trPr>
          <w:trHeight w:val="745" w:hRule="atLeast"/>
        </w:trPr>
        <w:tc>
          <w:tcPr>
            <w:tcW w:w="47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8</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是否属于专门面向中小企业预留采购份额的采购项目</w:t>
            </w:r>
          </w:p>
        </w:tc>
        <w:tc>
          <w:tcPr>
            <w:tcW w:w="670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3"/>
              <w:widowControl/>
              <w:snapToGrid w:val="0"/>
              <w:spacing w:beforeAutospacing="0" w:afterAutospacing="0"/>
              <w:rPr>
                <w:rStyle w:val="41"/>
                <w:rFonts w:hint="default"/>
                <w:b w:val="0"/>
                <w:bCs/>
                <w:color w:val="auto"/>
              </w:rPr>
            </w:pPr>
            <w:r>
              <w:rPr>
                <w:rStyle w:val="41"/>
                <w:rFonts w:hint="eastAsia"/>
                <w:b w:val="0"/>
                <w:bCs/>
                <w:color w:val="auto"/>
                <w:lang w:eastAsia="zh-CN" w:bidi="ar"/>
              </w:rPr>
              <w:t>☑</w:t>
            </w:r>
            <w:r>
              <w:rPr>
                <w:rStyle w:val="41"/>
                <w:rFonts w:hint="default"/>
                <w:b w:val="0"/>
                <w:bCs/>
                <w:color w:val="auto"/>
                <w:lang w:bidi="ar"/>
              </w:rPr>
              <w:t xml:space="preserve">是     </w:t>
            </w:r>
            <w:r>
              <w:rPr>
                <w:rStyle w:val="41"/>
                <w:rFonts w:hint="eastAsia"/>
                <w:b w:val="0"/>
                <w:bCs/>
                <w:color w:val="auto"/>
                <w:lang w:eastAsia="zh-CN" w:bidi="ar"/>
              </w:rPr>
              <w:t>□</w:t>
            </w:r>
            <w:r>
              <w:rPr>
                <w:rStyle w:val="41"/>
                <w:rFonts w:hint="default"/>
                <w:b w:val="0"/>
                <w:bCs/>
                <w:color w:val="auto"/>
                <w:lang w:bidi="ar"/>
              </w:rPr>
              <w:t>否</w:t>
            </w:r>
            <w:r>
              <w:rPr>
                <w:rStyle w:val="41"/>
                <w:rFonts w:hint="default"/>
                <w:b w:val="0"/>
                <w:bCs/>
                <w:color w:val="auto"/>
                <w:lang w:bidi="ar"/>
              </w:rPr>
              <w:br w:type="textWrapping"/>
            </w:r>
          </w:p>
          <w:p>
            <w:pPr>
              <w:pStyle w:val="23"/>
              <w:widowControl/>
              <w:snapToGrid w:val="0"/>
              <w:spacing w:beforeAutospacing="0" w:afterAutospacing="0"/>
              <w:rPr>
                <w:rStyle w:val="41"/>
                <w:rFonts w:hint="default"/>
                <w:b w:val="0"/>
                <w:bCs/>
                <w:color w:val="auto"/>
                <w:sz w:val="21"/>
                <w:szCs w:val="21"/>
              </w:rPr>
            </w:pPr>
            <w:r>
              <w:rPr>
                <w:rStyle w:val="41"/>
                <w:rFonts w:hint="eastAsia"/>
                <w:b w:val="0"/>
                <w:bCs/>
                <w:color w:val="auto"/>
                <w:sz w:val="21"/>
                <w:szCs w:val="21"/>
                <w:lang w:val="en-US" w:eastAsia="zh-CN" w:bidi="ar"/>
              </w:rPr>
              <w:t>依</w:t>
            </w:r>
            <w:r>
              <w:rPr>
                <w:rStyle w:val="41"/>
                <w:rFonts w:hint="default"/>
                <w:b w:val="0"/>
                <w:bCs/>
                <w:color w:val="auto"/>
                <w:sz w:val="21"/>
                <w:szCs w:val="21"/>
                <w:lang w:bidi="ar"/>
              </w:rPr>
              <w:t>据《新疆维吾尔自治区政府采购促进中小企业发展管理实施办法》</w:t>
            </w:r>
          </w:p>
          <w:p>
            <w:pPr>
              <w:pStyle w:val="23"/>
              <w:widowControl/>
              <w:snapToGrid w:val="0"/>
              <w:spacing w:beforeAutospacing="0" w:afterAutospacing="0"/>
              <w:ind w:firstLine="420" w:firstLineChars="200"/>
              <w:rPr>
                <w:rStyle w:val="41"/>
                <w:rFonts w:hint="default"/>
                <w:b w:val="0"/>
                <w:bCs/>
                <w:color w:val="auto"/>
                <w:sz w:val="21"/>
                <w:szCs w:val="21"/>
              </w:rPr>
            </w:pPr>
            <w:r>
              <w:rPr>
                <w:rStyle w:val="41"/>
                <w:rFonts w:hint="default"/>
                <w:b w:val="0"/>
                <w:bCs/>
                <w:color w:val="auto"/>
                <w:sz w:val="21"/>
                <w:szCs w:val="21"/>
                <w:lang w:bidi="ar"/>
              </w:rPr>
              <w:t>第八条 采购限额标准以上，200万元以下的货物和服务采购项目、400万元以下的工程采购项目，适宜由中小企业提供的，采购人应当专门面向中小企业采购。</w:t>
            </w:r>
          </w:p>
          <w:p>
            <w:pPr>
              <w:pStyle w:val="23"/>
              <w:widowControl/>
              <w:snapToGrid w:val="0"/>
              <w:spacing w:beforeAutospacing="0" w:afterAutospacing="0"/>
              <w:ind w:firstLine="420" w:firstLineChars="200"/>
              <w:rPr>
                <w:rStyle w:val="41"/>
                <w:rFonts w:hint="default"/>
                <w:b w:val="0"/>
                <w:bCs/>
                <w:color w:val="auto"/>
                <w:sz w:val="21"/>
                <w:szCs w:val="21"/>
              </w:rPr>
            </w:pPr>
            <w:r>
              <w:rPr>
                <w:rStyle w:val="41"/>
                <w:rFonts w:hint="default"/>
                <w:b w:val="0"/>
                <w:bCs/>
                <w:color w:val="auto"/>
                <w:sz w:val="21"/>
                <w:szCs w:val="21"/>
                <w:lang w:bidi="ar"/>
              </w:rPr>
              <w:t>第九条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23"/>
              <w:widowControl/>
              <w:snapToGrid w:val="0"/>
              <w:spacing w:beforeAutospacing="0" w:afterAutospacing="0"/>
              <w:rPr>
                <w:rStyle w:val="41"/>
                <w:rFonts w:hint="default"/>
                <w:b w:val="0"/>
                <w:bCs/>
                <w:color w:val="auto"/>
                <w:sz w:val="21"/>
                <w:szCs w:val="21"/>
              </w:rPr>
            </w:pPr>
            <w:r>
              <w:rPr>
                <w:rStyle w:val="41"/>
                <w:rFonts w:hint="default"/>
                <w:b w:val="0"/>
                <w:bCs/>
                <w:color w:val="auto"/>
                <w:sz w:val="21"/>
                <w:szCs w:val="21"/>
                <w:lang w:bidi="ar"/>
              </w:rPr>
              <w:t>（一）将采购项目整体或者设置采购包专门面向中小企业采购；</w:t>
            </w:r>
          </w:p>
          <w:p>
            <w:pPr>
              <w:pStyle w:val="23"/>
              <w:widowControl/>
              <w:snapToGrid w:val="0"/>
              <w:spacing w:beforeAutospacing="0" w:afterAutospacing="0"/>
              <w:rPr>
                <w:rStyle w:val="41"/>
                <w:rFonts w:hint="default"/>
                <w:b w:val="0"/>
                <w:bCs/>
                <w:color w:val="auto"/>
                <w:sz w:val="21"/>
                <w:szCs w:val="21"/>
              </w:rPr>
            </w:pPr>
            <w:r>
              <w:rPr>
                <w:rStyle w:val="41"/>
                <w:rFonts w:hint="default"/>
                <w:b w:val="0"/>
                <w:bCs/>
                <w:color w:val="auto"/>
                <w:sz w:val="21"/>
                <w:szCs w:val="21"/>
                <w:lang w:bidi="ar"/>
              </w:rPr>
              <w:t>（二）要求供应商以联合体形式参加采购活动，且联合体中中小企业承担的部分达到一定比例。</w:t>
            </w:r>
          </w:p>
          <w:p>
            <w:pPr>
              <w:pStyle w:val="23"/>
              <w:widowControl/>
              <w:snapToGrid w:val="0"/>
              <w:spacing w:beforeAutospacing="0" w:afterAutospacing="0"/>
              <w:rPr>
                <w:rStyle w:val="41"/>
                <w:rFonts w:hint="default"/>
                <w:b w:val="0"/>
                <w:bCs/>
                <w:color w:val="auto"/>
                <w:sz w:val="21"/>
                <w:szCs w:val="21"/>
              </w:rPr>
            </w:pPr>
            <w:r>
              <w:rPr>
                <w:rStyle w:val="41"/>
                <w:rFonts w:hint="default"/>
                <w:b w:val="0"/>
                <w:bCs/>
                <w:color w:val="auto"/>
                <w:sz w:val="21"/>
                <w:szCs w:val="21"/>
                <w:lang w:bidi="ar"/>
              </w:rPr>
              <w:t>（三）要求获得采购合同的供应商将采购项目中的一定比例分包给一家或者多家中小企业。</w:t>
            </w:r>
          </w:p>
          <w:p>
            <w:pPr>
              <w:pStyle w:val="23"/>
              <w:widowControl/>
              <w:snapToGrid w:val="0"/>
              <w:spacing w:beforeAutospacing="0" w:afterAutospacing="0"/>
              <w:rPr>
                <w:rFonts w:ascii="宋体" w:hAnsi="宋体" w:cs="宋体"/>
                <w:color w:val="auto"/>
                <w:sz w:val="22"/>
                <w:szCs w:val="22"/>
              </w:rPr>
            </w:pPr>
            <w:r>
              <w:rPr>
                <w:rStyle w:val="41"/>
                <w:rFonts w:hint="default"/>
                <w:b w:val="0"/>
                <w:bCs/>
                <w:color w:val="auto"/>
                <w:sz w:val="21"/>
                <w:szCs w:val="21"/>
                <w:lang w:bidi="ar"/>
              </w:rPr>
              <w:t>组成联合体或者接受分包合同的中小企业与联合体内其他企业、分包企业之间不得存在直接控股、管理关系。</w:t>
            </w:r>
          </w:p>
        </w:tc>
      </w:tr>
      <w:tr>
        <w:tblPrEx>
          <w:tblCellMar>
            <w:top w:w="15" w:type="dxa"/>
            <w:left w:w="15" w:type="dxa"/>
            <w:bottom w:w="15" w:type="dxa"/>
            <w:right w:w="15" w:type="dxa"/>
          </w:tblCellMar>
        </w:tblPrEx>
        <w:trPr>
          <w:trHeight w:val="855" w:hRule="atLeast"/>
        </w:trPr>
        <w:tc>
          <w:tcPr>
            <w:tcW w:w="47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9</w:t>
            </w:r>
          </w:p>
        </w:tc>
        <w:tc>
          <w:tcPr>
            <w:tcW w:w="115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中小企业划分标准所属行业</w:t>
            </w:r>
          </w:p>
        </w:tc>
        <w:tc>
          <w:tcPr>
            <w:tcW w:w="670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3"/>
              <w:widowControl/>
              <w:snapToGrid w:val="0"/>
              <w:spacing w:beforeAutospacing="0" w:afterAutospacing="0"/>
              <w:rPr>
                <w:rStyle w:val="41"/>
                <w:rFonts w:hint="default"/>
                <w:b/>
                <w:bCs/>
                <w:color w:val="auto"/>
                <w:u w:val="single"/>
              </w:rPr>
            </w:pPr>
            <w:r>
              <w:rPr>
                <w:rFonts w:hint="eastAsia" w:ascii="宋体" w:hAnsi="宋体" w:cs="宋体"/>
                <w:sz w:val="22"/>
                <w:szCs w:val="22"/>
              </w:rPr>
              <w:t>划分标准</w:t>
            </w:r>
            <w:r>
              <w:rPr>
                <w:rStyle w:val="41"/>
                <w:rFonts w:hint="default"/>
                <w:b w:val="0"/>
                <w:bCs/>
                <w:color w:val="auto"/>
                <w:lang w:bidi="ar"/>
              </w:rPr>
              <w:t>所属行业</w:t>
            </w:r>
            <w:r>
              <w:rPr>
                <w:rStyle w:val="41"/>
                <w:rFonts w:hint="default"/>
                <w:color w:val="auto"/>
                <w:lang w:bidi="ar"/>
              </w:rPr>
              <w:t>：</w:t>
            </w:r>
            <w:r>
              <w:rPr>
                <w:rStyle w:val="41"/>
                <w:rFonts w:hint="default"/>
                <w:color w:val="auto"/>
                <w:u w:val="single"/>
                <w:lang w:bidi="ar"/>
              </w:rPr>
              <w:t xml:space="preserve"> </w:t>
            </w:r>
            <w:r>
              <w:rPr>
                <w:rStyle w:val="41"/>
                <w:rFonts w:hint="default"/>
                <w:b/>
                <w:bCs/>
                <w:color w:val="auto"/>
                <w:u w:val="single"/>
                <w:lang w:val="en-US" w:eastAsia="zh-CN" w:bidi="ar"/>
              </w:rPr>
              <w:t>其他未列明行业</w:t>
            </w:r>
            <w:r>
              <w:rPr>
                <w:rStyle w:val="41"/>
                <w:rFonts w:hint="default"/>
                <w:color w:val="auto"/>
                <w:u w:val="single"/>
                <w:lang w:val="en-US" w:eastAsia="zh-CN" w:bidi="ar"/>
              </w:rPr>
              <w:t>（包括科学研究和技术服务业，水利、环境和公共设施管理业，居民服务、修理和其他服务业，社会工作，文化、体育和娱乐业等）。</w:t>
            </w:r>
          </w:p>
          <w:p>
            <w:pPr>
              <w:pStyle w:val="23"/>
              <w:widowControl/>
              <w:snapToGrid w:val="0"/>
              <w:spacing w:beforeAutospacing="0" w:afterAutospacing="0"/>
              <w:rPr>
                <w:rStyle w:val="41"/>
                <w:rFonts w:hint="default"/>
                <w:b/>
                <w:bCs/>
                <w:i/>
                <w:iCs/>
                <w:color w:val="auto"/>
                <w:sz w:val="18"/>
                <w:szCs w:val="18"/>
              </w:rPr>
            </w:pP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依据《新疆维吾尔自治区政府采购促进中小企业发展管理实施办法》</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第十三条 采购项目涉及中小企业采购的，采购文件应当明确以下内容：</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（一）预留份额的采购项目或者采购包，明确该项目或相关采购包专门面向中小企业采购，以及相关标的及预算金额；</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（二）要求以联合体形式参加或者合同分包的，明确联合协议或者分包意向协议中中小企业合同金额应当达到的比例，并作为供应商资格条件；</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（三）非预留份额的采购项目或者采购包，明确有关价格扣除比例或者价格分加分比例；</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（四）规定依据本办法规定享受扶持政策获得政府采购合同的，小微企业不得将合同分包给大中型企业，中型企业不得将合同分包给大型企业；</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（五）采购人认为具备相关条件的，明确对中小企业在资金支付期限、预付款比例等方面的优惠措施；</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（六）明确采购标的对应的中小企业划分标准所属行业；</w:t>
            </w:r>
          </w:p>
          <w:p>
            <w:pPr>
              <w:widowControl/>
              <w:jc w:val="left"/>
              <w:textAlignment w:val="center"/>
              <w:rPr>
                <w:rStyle w:val="41"/>
                <w:rFonts w:hint="default"/>
                <w:color w:val="auto"/>
                <w:u w:val="single"/>
                <w:lang w:bidi="ar"/>
              </w:rPr>
            </w:pPr>
            <w:r>
              <w:rPr>
                <w:rFonts w:hint="default" w:ascii="宋体" w:hAnsi="宋体" w:cs="宋体"/>
                <w:kern w:val="0"/>
                <w:sz w:val="22"/>
                <w:szCs w:val="22"/>
                <w:lang w:bidi="ar"/>
              </w:rPr>
              <w:t>（七）法律法规和省级以上人民政府财政部门规定的其他事项。</w:t>
            </w:r>
          </w:p>
        </w:tc>
      </w:tr>
      <w:tr>
        <w:tblPrEx>
          <w:tblCellMar>
            <w:top w:w="15" w:type="dxa"/>
            <w:left w:w="15" w:type="dxa"/>
            <w:bottom w:w="15" w:type="dxa"/>
            <w:right w:w="15" w:type="dxa"/>
          </w:tblCellMar>
        </w:tblPrEx>
        <w:trPr>
          <w:trHeight w:val="871" w:hRule="atLeast"/>
        </w:trPr>
        <w:tc>
          <w:tcPr>
            <w:tcW w:w="47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10</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投标报价</w:t>
            </w:r>
          </w:p>
        </w:tc>
        <w:tc>
          <w:tcPr>
            <w:tcW w:w="6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bl>
    <w:p>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color w:val="0000FF"/>
          <w:sz w:val="28"/>
          <w:szCs w:val="28"/>
          <w:u w:val="none"/>
          <w:lang w:eastAsia="zh-CN"/>
        </w:rPr>
      </w:pPr>
    </w:p>
    <w:p>
      <w:pPr>
        <w:keepNext w:val="0"/>
        <w:keepLines w:val="0"/>
        <w:widowControl/>
        <w:numPr>
          <w:ilvl w:val="0"/>
          <w:numId w:val="10"/>
        </w:numPr>
        <w:suppressLineNumbers w:val="0"/>
        <w:jc w:val="left"/>
        <w:textAlignment w:val="center"/>
        <w:rPr>
          <w:rFonts w:hint="eastAsia" w:asciiTheme="majorEastAsia" w:hAnsiTheme="majorEastAsia" w:eastAsiaTheme="majorEastAsia" w:cstheme="majorEastAsia"/>
          <w:color w:val="auto"/>
          <w:sz w:val="28"/>
          <w:szCs w:val="28"/>
          <w:u w:val="none"/>
        </w:rPr>
      </w:pPr>
      <w:r>
        <w:rPr>
          <w:rFonts w:hint="eastAsia" w:asciiTheme="majorEastAsia" w:hAnsiTheme="majorEastAsia" w:eastAsiaTheme="majorEastAsia" w:cstheme="majorEastAsia"/>
          <w:color w:val="auto"/>
          <w:sz w:val="28"/>
          <w:szCs w:val="28"/>
          <w:u w:val="none"/>
        </w:rPr>
        <w:t>技术要求</w:t>
      </w:r>
    </w:p>
    <w:tbl>
      <w:tblPr>
        <w:tblStyle w:val="28"/>
        <w:tblW w:w="8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086"/>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noWrap w:val="0"/>
            <w:vAlign w:val="top"/>
          </w:tcPr>
          <w:p>
            <w:pPr>
              <w:jc w:val="center"/>
              <w:rPr>
                <w:rFonts w:hint="eastAsia" w:ascii="仿宋_GB2312" w:eastAsia="仿宋_GB2312"/>
                <w:b/>
                <w:sz w:val="24"/>
              </w:rPr>
            </w:pPr>
          </w:p>
          <w:p>
            <w:pPr>
              <w:jc w:val="center"/>
              <w:rPr>
                <w:rFonts w:hint="eastAsia" w:ascii="仿宋_GB2312" w:eastAsia="仿宋_GB2312"/>
                <w:b/>
                <w:sz w:val="24"/>
              </w:rPr>
            </w:pPr>
            <w:r>
              <w:rPr>
                <w:rFonts w:hint="eastAsia" w:ascii="仿宋_GB2312" w:eastAsia="仿宋_GB2312"/>
                <w:b/>
                <w:sz w:val="24"/>
              </w:rPr>
              <w:t>序号</w:t>
            </w:r>
          </w:p>
        </w:tc>
        <w:tc>
          <w:tcPr>
            <w:tcW w:w="1086" w:type="dxa"/>
            <w:noWrap w:val="0"/>
            <w:vAlign w:val="top"/>
          </w:tcPr>
          <w:p>
            <w:pPr>
              <w:jc w:val="center"/>
              <w:rPr>
                <w:rFonts w:hint="eastAsia" w:ascii="仿宋_GB2312" w:eastAsia="仿宋_GB2312"/>
                <w:b/>
                <w:sz w:val="24"/>
              </w:rPr>
            </w:pPr>
          </w:p>
          <w:p>
            <w:pPr>
              <w:jc w:val="center"/>
              <w:rPr>
                <w:rFonts w:hint="eastAsia" w:ascii="仿宋_GB2312" w:eastAsia="仿宋_GB2312"/>
                <w:b/>
                <w:sz w:val="24"/>
              </w:rPr>
            </w:pPr>
            <w:r>
              <w:rPr>
                <w:rFonts w:hint="eastAsia" w:ascii="仿宋_GB2312" w:eastAsia="仿宋_GB2312"/>
                <w:b/>
                <w:sz w:val="24"/>
                <w:lang w:val="en-US" w:eastAsia="zh-CN"/>
              </w:rPr>
              <w:t>项目</w:t>
            </w:r>
            <w:r>
              <w:rPr>
                <w:rFonts w:hint="eastAsia" w:ascii="仿宋_GB2312" w:eastAsia="仿宋_GB2312"/>
                <w:b/>
                <w:sz w:val="24"/>
              </w:rPr>
              <w:t>名称</w:t>
            </w:r>
          </w:p>
        </w:tc>
        <w:tc>
          <w:tcPr>
            <w:tcW w:w="4170" w:type="dxa"/>
            <w:noWrap w:val="0"/>
            <w:vAlign w:val="top"/>
          </w:tcPr>
          <w:p>
            <w:pPr>
              <w:ind w:firstLine="236" w:firstLineChars="98"/>
              <w:jc w:val="center"/>
              <w:rPr>
                <w:rFonts w:hint="eastAsia" w:ascii="仿宋_GB2312" w:eastAsia="仿宋_GB2312"/>
                <w:b/>
                <w:sz w:val="24"/>
              </w:rPr>
            </w:pPr>
          </w:p>
          <w:p>
            <w:pPr>
              <w:ind w:firstLine="1299" w:firstLineChars="539"/>
              <w:rPr>
                <w:rFonts w:hint="eastAsia" w:ascii="仿宋_GB2312" w:eastAsia="仿宋_GB2312"/>
                <w:b/>
                <w:sz w:val="24"/>
              </w:rPr>
            </w:pPr>
            <w:r>
              <w:rPr>
                <w:rFonts w:hint="eastAsia" w:ascii="仿宋_GB2312" w:eastAsia="仿宋_GB2312"/>
                <w:b/>
                <w:sz w:val="24"/>
              </w:rPr>
              <w:t>技术参数要求</w:t>
            </w:r>
          </w:p>
        </w:tc>
        <w:tc>
          <w:tcPr>
            <w:tcW w:w="767" w:type="dxa"/>
            <w:noWrap w:val="0"/>
            <w:vAlign w:val="top"/>
          </w:tcPr>
          <w:p>
            <w:pPr>
              <w:ind w:firstLine="241" w:firstLineChars="100"/>
              <w:jc w:val="both"/>
              <w:rPr>
                <w:rFonts w:hint="eastAsia" w:ascii="仿宋_GB2312" w:eastAsia="仿宋_GB2312"/>
                <w:b/>
                <w:sz w:val="24"/>
              </w:rPr>
            </w:pPr>
            <w:r>
              <w:rPr>
                <w:rFonts w:hint="eastAsia" w:ascii="仿宋_GB2312" w:eastAsia="仿宋_GB2312"/>
                <w:b/>
                <w:sz w:val="24"/>
              </w:rPr>
              <w:t>数</w:t>
            </w:r>
          </w:p>
          <w:p>
            <w:pPr>
              <w:jc w:val="center"/>
              <w:rPr>
                <w:rFonts w:hint="eastAsia" w:ascii="仿宋_GB2312" w:eastAsia="仿宋_GB2312"/>
                <w:b/>
                <w:sz w:val="24"/>
              </w:rPr>
            </w:pPr>
            <w:r>
              <w:rPr>
                <w:rFonts w:hint="eastAsia" w:ascii="仿宋_GB2312" w:eastAsia="仿宋_GB2312"/>
                <w:b/>
                <w:sz w:val="24"/>
              </w:rPr>
              <w:t>量</w:t>
            </w:r>
          </w:p>
          <w:p>
            <w:pPr>
              <w:jc w:val="center"/>
              <w:rPr>
                <w:rFonts w:hint="eastAsia" w:ascii="仿宋_GB2312" w:eastAsia="仿宋_GB2312"/>
                <w:b/>
                <w:sz w:val="24"/>
                <w:lang w:val="en-US" w:eastAsia="zh-CN"/>
              </w:rPr>
            </w:pPr>
          </w:p>
        </w:tc>
        <w:tc>
          <w:tcPr>
            <w:tcW w:w="1056" w:type="dxa"/>
            <w:noWrap w:val="0"/>
            <w:vAlign w:val="top"/>
          </w:tcPr>
          <w:p>
            <w:pPr>
              <w:ind w:firstLine="118" w:firstLineChars="49"/>
              <w:jc w:val="center"/>
              <w:rPr>
                <w:rFonts w:hint="eastAsia" w:ascii="仿宋_GB2312" w:eastAsia="仿宋_GB2312"/>
                <w:b/>
                <w:sz w:val="24"/>
              </w:rPr>
            </w:pPr>
            <w:r>
              <w:rPr>
                <w:rFonts w:hint="eastAsia" w:ascii="仿宋_GB2312" w:eastAsia="仿宋_GB2312"/>
                <w:b/>
                <w:sz w:val="24"/>
              </w:rPr>
              <w:t>预算</w:t>
            </w:r>
          </w:p>
          <w:p>
            <w:pPr>
              <w:ind w:firstLine="118" w:firstLineChars="49"/>
              <w:jc w:val="center"/>
              <w:rPr>
                <w:rFonts w:hint="eastAsia" w:ascii="仿宋_GB2312" w:eastAsia="仿宋_GB2312"/>
                <w:b/>
                <w:sz w:val="24"/>
              </w:rPr>
            </w:pPr>
            <w:r>
              <w:rPr>
                <w:rFonts w:hint="eastAsia" w:ascii="仿宋_GB2312" w:eastAsia="仿宋_GB2312"/>
                <w:b/>
                <w:sz w:val="24"/>
              </w:rPr>
              <w:t>单价</w:t>
            </w:r>
          </w:p>
          <w:p>
            <w:pPr>
              <w:jc w:val="center"/>
              <w:rPr>
                <w:rFonts w:hint="eastAsia" w:ascii="仿宋_GB2312" w:eastAsia="仿宋_GB2312"/>
                <w:b/>
                <w:sz w:val="24"/>
              </w:rPr>
            </w:pPr>
            <w:r>
              <w:rPr>
                <w:rFonts w:hint="eastAsia" w:ascii="仿宋_GB2312" w:eastAsia="仿宋_GB2312"/>
                <w:b/>
                <w:sz w:val="24"/>
              </w:rPr>
              <w:t>（元）</w:t>
            </w:r>
          </w:p>
        </w:tc>
        <w:tc>
          <w:tcPr>
            <w:tcW w:w="1168" w:type="dxa"/>
            <w:noWrap w:val="0"/>
            <w:vAlign w:val="top"/>
          </w:tcPr>
          <w:p>
            <w:pPr>
              <w:ind w:firstLine="118" w:firstLineChars="49"/>
              <w:jc w:val="center"/>
              <w:rPr>
                <w:rFonts w:hint="eastAsia" w:ascii="仿宋_GB2312" w:eastAsia="仿宋_GB2312"/>
                <w:b/>
                <w:sz w:val="24"/>
              </w:rPr>
            </w:pPr>
            <w:r>
              <w:rPr>
                <w:rFonts w:hint="eastAsia" w:ascii="仿宋_GB2312" w:eastAsia="仿宋_GB2312"/>
                <w:b/>
                <w:sz w:val="24"/>
              </w:rPr>
              <w:t>预算</w:t>
            </w:r>
          </w:p>
          <w:p>
            <w:pPr>
              <w:ind w:firstLine="118" w:firstLineChars="49"/>
              <w:jc w:val="center"/>
              <w:rPr>
                <w:rFonts w:hint="eastAsia" w:ascii="仿宋_GB2312" w:eastAsia="仿宋_GB2312"/>
                <w:b/>
                <w:sz w:val="24"/>
              </w:rPr>
            </w:pPr>
            <w:r>
              <w:rPr>
                <w:rFonts w:hint="eastAsia" w:ascii="仿宋_GB2312" w:eastAsia="仿宋_GB2312"/>
                <w:b/>
                <w:sz w:val="24"/>
              </w:rPr>
              <w:t>总价</w:t>
            </w:r>
          </w:p>
          <w:p>
            <w:pPr>
              <w:jc w:val="center"/>
              <w:rPr>
                <w:rFonts w:hint="eastAsia" w:ascii="仿宋_GB2312" w:eastAsia="仿宋_GB2312"/>
                <w:b/>
                <w:sz w:val="24"/>
              </w:rPr>
            </w:pPr>
            <w:r>
              <w:rPr>
                <w:rFonts w:hint="eastAsia" w:ascii="仿宋_GB2312" w:eastAsia="仿宋_GB2312"/>
                <w:b/>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60" w:type="dxa"/>
            <w:noWrap w:val="0"/>
            <w:vAlign w:val="top"/>
          </w:tcPr>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eastAsia="仿宋_GB2312"/>
                <w:sz w:val="24"/>
                <w:szCs w:val="28"/>
                <w:lang w:val="en-US" w:eastAsia="zh-CN"/>
              </w:rPr>
            </w:pPr>
            <w:r>
              <w:rPr>
                <w:rFonts w:hint="default" w:ascii="仿宋_GB2312" w:eastAsia="仿宋_GB2312"/>
                <w:sz w:val="24"/>
                <w:szCs w:val="28"/>
                <w:lang w:val="en-US" w:eastAsia="zh-CN"/>
              </w:rPr>
              <w:t>奇台县园地林地草地定级和基准地价制定工作</w:t>
            </w:r>
          </w:p>
        </w:tc>
        <w:tc>
          <w:tcPr>
            <w:tcW w:w="4170" w:type="dxa"/>
            <w:noWrap w:val="0"/>
            <w:vAlign w:val="top"/>
          </w:tcPr>
          <w:p>
            <w:pPr>
              <w:pStyle w:val="27"/>
              <w:ind w:left="0" w:leftChars="0" w:firstLine="0" w:firstLineChars="0"/>
              <w:jc w:val="left"/>
              <w:rPr>
                <w:rFonts w:hint="default"/>
                <w:color w:val="auto"/>
                <w:lang w:val="en-US" w:eastAsia="zh-CN"/>
              </w:rPr>
            </w:pPr>
            <w:r>
              <w:rPr>
                <w:rFonts w:hint="eastAsia"/>
                <w:color w:val="auto"/>
                <w:lang w:val="en-US" w:eastAsia="zh-CN"/>
              </w:rPr>
              <w:t>1、</w:t>
            </w:r>
            <w:r>
              <w:rPr>
                <w:rFonts w:hint="default"/>
                <w:color w:val="auto"/>
                <w:lang w:val="en-US" w:eastAsia="zh-CN"/>
              </w:rPr>
              <w:t>以2021 年度国土变更调查成果作为工作底图，按照园地林地草地分等定级规程(送审稿)作为参考技术标准，开展奇台县园林草地定级工作。园地定级采用因素法或修正法。林地定级，公益林采用修正法，商品林采用因素法。草地定级统一采用因素法。完成园地林地草地定级指标等级划分标准及其分值、指标权重、单元分值计算、级别划分、级别验证调整、编制定级报告等工作，形成最终的定级汇交成果。园地林地草地定级成果利用国家下发的质检软件进行自检，自检合格提交地(州、市)自然资源主管部门进行审核，审核通过后于2023年12月底前上报自然资源厅。</w:t>
            </w:r>
          </w:p>
          <w:p>
            <w:pPr>
              <w:pStyle w:val="27"/>
              <w:ind w:left="0" w:leftChars="0" w:firstLine="0" w:firstLineChars="0"/>
              <w:jc w:val="left"/>
              <w:rPr>
                <w:rFonts w:hint="default"/>
                <w:lang w:val="en-US" w:eastAsia="zh-CN"/>
              </w:rPr>
            </w:pPr>
            <w:r>
              <w:rPr>
                <w:rFonts w:hint="eastAsia"/>
                <w:color w:val="auto"/>
                <w:lang w:val="en-US" w:eastAsia="zh-CN"/>
              </w:rPr>
              <w:t>2、</w:t>
            </w:r>
            <w:r>
              <w:rPr>
                <w:rFonts w:hint="default"/>
                <w:color w:val="auto"/>
                <w:lang w:val="en-US" w:eastAsia="zh-CN"/>
              </w:rPr>
              <w:t>制定奇台县园地、林地、草地基准地价，成果上报自治区自然资源厅验收。</w:t>
            </w:r>
            <w:r>
              <w:rPr>
                <w:rFonts w:hint="eastAsia"/>
                <w:color w:val="auto"/>
                <w:lang w:val="en-US" w:eastAsia="zh-CN"/>
              </w:rPr>
              <w:t>提交书面成果资料（文本和电子版）。</w:t>
            </w:r>
          </w:p>
        </w:tc>
        <w:tc>
          <w:tcPr>
            <w:tcW w:w="7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056" w:type="dxa"/>
            <w:noWrap w:val="0"/>
            <w:vAlign w:val="center"/>
          </w:tcPr>
          <w:p>
            <w:pPr>
              <w:jc w:val="center"/>
              <w:rPr>
                <w:rFonts w:hint="default" w:ascii="仿宋_GB2312" w:eastAsia="仿宋_GB2312"/>
                <w:sz w:val="24"/>
                <w:lang w:val="en-US" w:eastAsia="zh-CN"/>
              </w:rPr>
            </w:pPr>
          </w:p>
        </w:tc>
        <w:tc>
          <w:tcPr>
            <w:tcW w:w="1168" w:type="dxa"/>
            <w:noWrap w:val="0"/>
            <w:vAlign w:val="center"/>
          </w:tcPr>
          <w:p>
            <w:pPr>
              <w:jc w:val="center"/>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07" w:type="dxa"/>
            <w:gridSpan w:val="6"/>
            <w:noWrap w:val="0"/>
            <w:vAlign w:val="top"/>
          </w:tcPr>
          <w:p>
            <w:pPr>
              <w:jc w:val="center"/>
              <w:rPr>
                <w:rFonts w:hint="default" w:ascii="仿宋_GB2312" w:eastAsia="仿宋_GB2312"/>
                <w:sz w:val="24"/>
                <w:lang w:val="en-US" w:eastAsia="zh-CN"/>
              </w:rPr>
            </w:pPr>
            <w:r>
              <w:rPr>
                <w:rFonts w:hint="eastAsia" w:ascii="仿宋_GB2312" w:eastAsia="仿宋_GB2312"/>
                <w:sz w:val="24"/>
                <w:lang w:val="en-US" w:eastAsia="zh-CN"/>
              </w:rPr>
              <w:t>合计（小写）：           元         大写：</w:t>
            </w:r>
          </w:p>
        </w:tc>
      </w:tr>
    </w:tbl>
    <w:p>
      <w:pPr>
        <w:pStyle w:val="18"/>
        <w:jc w:val="both"/>
        <w:rPr>
          <w:rFonts w:hint="eastAsia" w:ascii="仿宋" w:hAnsi="仿宋" w:eastAsia="仿宋" w:cs="仿宋"/>
          <w:b/>
          <w:color w:val="auto"/>
          <w:sz w:val="32"/>
          <w:szCs w:val="32"/>
        </w:rPr>
      </w:pPr>
    </w:p>
    <w:p>
      <w:pPr>
        <w:rPr>
          <w:rFonts w:hint="default"/>
          <w:color w:val="auto"/>
          <w:lang w:val="en-US" w:eastAsia="zh-CN"/>
        </w:rPr>
      </w:pPr>
    </w:p>
    <w:p>
      <w:pPr>
        <w:pStyle w:val="10"/>
        <w:rPr>
          <w:rFonts w:hint="default"/>
          <w:color w:val="auto"/>
          <w:lang w:val="en-US" w:eastAsia="zh-CN"/>
        </w:rPr>
      </w:pPr>
    </w:p>
    <w:p>
      <w:pPr>
        <w:widowControl/>
        <w:jc w:val="center"/>
        <w:rPr>
          <w:rFonts w:hint="eastAsia" w:asciiTheme="majorEastAsia" w:hAnsiTheme="majorEastAsia" w:eastAsiaTheme="majorEastAsia" w:cstheme="majorEastAsia"/>
          <w:b/>
          <w:bCs/>
          <w:color w:val="auto"/>
          <w:sz w:val="32"/>
          <w:szCs w:val="32"/>
        </w:rPr>
      </w:pPr>
    </w:p>
    <w:p>
      <w:pPr>
        <w:widowControl/>
        <w:jc w:val="center"/>
        <w:rPr>
          <w:rFonts w:hint="eastAsia" w:asciiTheme="majorEastAsia" w:hAnsiTheme="majorEastAsia" w:eastAsiaTheme="majorEastAsia" w:cstheme="majorEastAsia"/>
          <w:b/>
          <w:bCs/>
          <w:color w:val="auto"/>
          <w:sz w:val="32"/>
          <w:szCs w:val="32"/>
        </w:rPr>
      </w:pPr>
    </w:p>
    <w:p>
      <w:pPr>
        <w:widowControl/>
        <w:numPr>
          <w:ilvl w:val="0"/>
          <w:numId w:val="0"/>
        </w:numPr>
        <w:jc w:val="center"/>
        <w:rPr>
          <w:rFonts w:hint="eastAsia" w:asciiTheme="majorEastAsia" w:hAnsiTheme="majorEastAsia" w:eastAsiaTheme="majorEastAsia" w:cstheme="majorEastAsia"/>
          <w:b/>
          <w:color w:val="auto"/>
          <w:spacing w:val="20"/>
          <w:kern w:val="0"/>
          <w:sz w:val="32"/>
          <w:szCs w:val="32"/>
        </w:rPr>
      </w:pPr>
      <w:r>
        <w:rPr>
          <w:rFonts w:hint="eastAsia" w:asciiTheme="majorEastAsia" w:hAnsiTheme="majorEastAsia" w:eastAsiaTheme="majorEastAsia" w:cstheme="majorEastAsia"/>
          <w:b/>
          <w:color w:val="auto"/>
          <w:spacing w:val="20"/>
          <w:kern w:val="0"/>
          <w:sz w:val="32"/>
          <w:szCs w:val="32"/>
          <w:lang w:val="en-US" w:eastAsia="zh-CN"/>
        </w:rPr>
        <w:t xml:space="preserve">第五部分 </w:t>
      </w:r>
      <w:r>
        <w:rPr>
          <w:rFonts w:hint="eastAsia" w:asciiTheme="majorEastAsia" w:hAnsiTheme="majorEastAsia" w:eastAsiaTheme="majorEastAsia" w:cstheme="majorEastAsia"/>
          <w:b/>
          <w:color w:val="auto"/>
          <w:spacing w:val="20"/>
          <w:kern w:val="0"/>
          <w:sz w:val="32"/>
          <w:szCs w:val="32"/>
        </w:rPr>
        <w:t>合同书格式</w:t>
      </w:r>
    </w:p>
    <w:p>
      <w:pPr>
        <w:widowControl/>
        <w:numPr>
          <w:ilvl w:val="0"/>
          <w:numId w:val="0"/>
        </w:numPr>
        <w:jc w:val="both"/>
        <w:rPr>
          <w:rFonts w:hint="eastAsia" w:asciiTheme="majorEastAsia" w:hAnsiTheme="majorEastAsia" w:eastAsiaTheme="majorEastAsia" w:cstheme="majorEastAsia"/>
          <w:b/>
          <w:spacing w:val="20"/>
          <w:kern w:val="0"/>
          <w:sz w:val="32"/>
          <w:szCs w:val="32"/>
        </w:rPr>
      </w:pPr>
    </w:p>
    <w:p>
      <w:pPr>
        <w:spacing w:line="360" w:lineRule="auto"/>
        <w:rPr>
          <w:rFonts w:hint="eastAsia" w:ascii="仿宋_GB2312" w:hAnsi="仿宋" w:eastAsia="仿宋_GB2312"/>
          <w:b/>
          <w:color w:val="auto"/>
          <w:sz w:val="24"/>
          <w:u w:val="single"/>
        </w:rPr>
      </w:pPr>
      <w:r>
        <w:rPr>
          <w:rFonts w:hint="eastAsia" w:ascii="仿宋_GB2312" w:hAnsi="仿宋" w:eastAsia="仿宋_GB2312"/>
          <w:b/>
          <w:color w:val="auto"/>
          <w:sz w:val="24"/>
          <w:u w:val="single"/>
        </w:rPr>
        <w:t>注：本合同仅为合同的参考文本，合同签订双方可根据项目的具体要求进行修订。</w:t>
      </w:r>
    </w:p>
    <w:p>
      <w:pPr>
        <w:spacing w:line="360" w:lineRule="auto"/>
        <w:rPr>
          <w:rFonts w:hint="eastAsia" w:ascii="仿宋_GB2312" w:hAnsi="仿宋" w:eastAsia="仿宋_GB2312"/>
          <w:b/>
          <w:color w:val="auto"/>
          <w:sz w:val="24"/>
          <w:u w:val="single"/>
        </w:rPr>
      </w:pPr>
    </w:p>
    <w:p>
      <w:pPr>
        <w:shd w:val="clear" w:color="auto" w:fill="auto"/>
        <w:tabs>
          <w:tab w:val="left" w:pos="720"/>
        </w:tabs>
        <w:spacing w:line="360" w:lineRule="auto"/>
        <w:jc w:val="center"/>
        <w:rPr>
          <w:rFonts w:hint="eastAsia" w:ascii="宋体" w:hAnsi="宋体"/>
          <w:b/>
          <w:color w:val="auto"/>
          <w:sz w:val="36"/>
          <w:szCs w:val="36"/>
          <w:lang w:val="en-US" w:eastAsia="zh-CN"/>
        </w:rPr>
      </w:pPr>
      <w:bookmarkStart w:id="8" w:name="_Toc289860659"/>
      <w:r>
        <w:rPr>
          <w:rFonts w:hint="eastAsia" w:ascii="宋体" w:hAnsi="宋体"/>
          <w:b/>
          <w:color w:val="auto"/>
          <w:sz w:val="36"/>
          <w:szCs w:val="36"/>
          <w:lang w:val="en-US" w:eastAsia="zh-CN"/>
        </w:rPr>
        <w:t>（服务类）</w:t>
      </w:r>
    </w:p>
    <w:p>
      <w:pPr>
        <w:shd w:val="clear" w:color="auto" w:fill="auto"/>
        <w:tabs>
          <w:tab w:val="left" w:pos="720"/>
        </w:tabs>
        <w:spacing w:line="360" w:lineRule="auto"/>
        <w:jc w:val="left"/>
        <w:rPr>
          <w:rFonts w:hint="eastAsia" w:ascii="宋体" w:hAnsi="宋体"/>
          <w:b/>
          <w:color w:val="auto"/>
          <w:sz w:val="28"/>
          <w:szCs w:val="28"/>
          <w:lang w:val="en-US" w:eastAsia="zh-CN"/>
        </w:rPr>
      </w:pPr>
      <w:r>
        <w:rPr>
          <w:rFonts w:hint="eastAsia" w:ascii="宋体" w:hAnsi="宋体"/>
          <w:b/>
          <w:color w:val="auto"/>
          <w:sz w:val="32"/>
          <w:szCs w:val="32"/>
          <w:lang w:val="en-US" w:eastAsia="zh-CN"/>
        </w:rPr>
        <w:t xml:space="preserve">  </w:t>
      </w:r>
      <w:r>
        <w:rPr>
          <w:rFonts w:hint="eastAsia" w:ascii="宋体" w:hAnsi="宋体"/>
          <w:b/>
          <w:color w:val="auto"/>
          <w:sz w:val="28"/>
          <w:szCs w:val="28"/>
          <w:lang w:val="en-US" w:eastAsia="zh-CN"/>
        </w:rPr>
        <w:t xml:space="preserve">    </w:t>
      </w:r>
    </w:p>
    <w:p>
      <w:pPr>
        <w:shd w:val="clear" w:color="auto" w:fill="auto"/>
        <w:tabs>
          <w:tab w:val="left" w:pos="720"/>
        </w:tabs>
        <w:spacing w:line="360" w:lineRule="auto"/>
        <w:ind w:firstLine="1405" w:firstLineChars="500"/>
        <w:jc w:val="left"/>
        <w:rPr>
          <w:rFonts w:hint="eastAsia" w:ascii="宋体" w:hAnsi="宋体"/>
          <w:b/>
          <w:color w:val="auto"/>
          <w:sz w:val="28"/>
          <w:szCs w:val="28"/>
          <w:u w:val="single"/>
          <w:lang w:val="en-US" w:eastAsia="zh-CN"/>
        </w:rPr>
      </w:pPr>
      <w:r>
        <w:rPr>
          <w:rFonts w:hint="eastAsia" w:ascii="宋体" w:hAnsi="宋体"/>
          <w:b/>
          <w:color w:val="auto"/>
          <w:sz w:val="28"/>
          <w:szCs w:val="28"/>
        </w:rPr>
        <w:t>采购</w:t>
      </w:r>
      <w:r>
        <w:rPr>
          <w:rFonts w:hint="eastAsia" w:ascii="宋体" w:hAnsi="宋体"/>
          <w:b/>
          <w:color w:val="auto"/>
          <w:sz w:val="28"/>
          <w:szCs w:val="28"/>
          <w:lang w:eastAsia="zh-CN"/>
        </w:rPr>
        <w:t>项目</w:t>
      </w:r>
      <w:r>
        <w:rPr>
          <w:rFonts w:hint="eastAsia" w:ascii="宋体" w:hAnsi="宋体"/>
          <w:b/>
          <w:color w:val="auto"/>
          <w:sz w:val="28"/>
          <w:szCs w:val="28"/>
        </w:rPr>
        <w:t>编号：</w:t>
      </w:r>
      <w:r>
        <w:rPr>
          <w:rFonts w:hint="eastAsia" w:ascii="宋体" w:hAnsi="宋体"/>
          <w:b/>
          <w:color w:val="auto"/>
          <w:sz w:val="28"/>
          <w:szCs w:val="28"/>
          <w:u w:val="single"/>
          <w:lang w:val="en-US" w:eastAsia="zh-CN"/>
        </w:rPr>
        <w:t xml:space="preserve">               </w:t>
      </w:r>
    </w:p>
    <w:p>
      <w:pPr>
        <w:shd w:val="clear" w:color="auto" w:fill="auto"/>
        <w:tabs>
          <w:tab w:val="left" w:pos="720"/>
        </w:tabs>
        <w:spacing w:line="360" w:lineRule="auto"/>
        <w:ind w:firstLine="1405" w:firstLineChars="500"/>
        <w:jc w:val="left"/>
        <w:rPr>
          <w:rFonts w:hint="eastAsia" w:ascii="宋体" w:hAnsi="宋体"/>
          <w:b/>
          <w:color w:val="auto"/>
          <w:sz w:val="28"/>
          <w:szCs w:val="28"/>
        </w:rPr>
      </w:pPr>
    </w:p>
    <w:p>
      <w:pPr>
        <w:shd w:val="clear" w:color="auto" w:fill="auto"/>
        <w:tabs>
          <w:tab w:val="left" w:pos="720"/>
        </w:tabs>
        <w:spacing w:line="360" w:lineRule="auto"/>
        <w:ind w:firstLine="1405" w:firstLineChars="500"/>
        <w:jc w:val="left"/>
        <w:rPr>
          <w:rFonts w:hint="eastAsia" w:ascii="宋体" w:hAnsi="宋体" w:eastAsia="宋体"/>
          <w:b/>
          <w:color w:val="auto"/>
          <w:sz w:val="32"/>
          <w:szCs w:val="32"/>
          <w:lang w:val="en-US" w:eastAsia="zh-CN"/>
        </w:rPr>
      </w:pPr>
      <w:r>
        <w:rPr>
          <w:rFonts w:hint="eastAsia" w:ascii="宋体" w:hAnsi="宋体"/>
          <w:b/>
          <w:color w:val="auto"/>
          <w:sz w:val="28"/>
          <w:szCs w:val="28"/>
        </w:rPr>
        <w:t>项目名称：</w:t>
      </w:r>
      <w:r>
        <w:rPr>
          <w:rFonts w:hint="eastAsia" w:ascii="宋体" w:hAnsi="宋体"/>
          <w:b/>
          <w:color w:val="auto"/>
          <w:sz w:val="28"/>
          <w:szCs w:val="28"/>
          <w:u w:val="single"/>
        </w:rPr>
        <w:t xml:space="preserve">    </w:t>
      </w:r>
      <w:r>
        <w:rPr>
          <w:rFonts w:hint="eastAsia" w:ascii="宋体" w:hAnsi="宋体"/>
          <w:b/>
          <w:color w:val="auto"/>
          <w:sz w:val="28"/>
          <w:szCs w:val="28"/>
          <w:u w:val="single"/>
          <w:lang w:val="en-US" w:eastAsia="zh-CN"/>
        </w:rPr>
        <w:t xml:space="preserve">               </w:t>
      </w:r>
      <w:r>
        <w:rPr>
          <w:rFonts w:hint="eastAsia" w:ascii="宋体" w:hAnsi="宋体"/>
          <w:b/>
          <w:color w:val="auto"/>
          <w:sz w:val="28"/>
          <w:szCs w:val="28"/>
        </w:rPr>
        <w:t xml:space="preserve"> </w:t>
      </w:r>
    </w:p>
    <w:p>
      <w:pPr>
        <w:shd w:val="clear" w:color="auto" w:fill="auto"/>
        <w:spacing w:line="360" w:lineRule="auto"/>
        <w:rPr>
          <w:rFonts w:hint="eastAsia" w:ascii="仿宋_GB2312" w:hAnsi="仿宋" w:eastAsia="仿宋_GB2312"/>
          <w:b/>
          <w:color w:val="auto"/>
          <w:sz w:val="24"/>
          <w:szCs w:val="24"/>
        </w:rPr>
      </w:pPr>
    </w:p>
    <w:p>
      <w:pPr>
        <w:shd w:val="clear" w:color="auto" w:fill="auto"/>
        <w:tabs>
          <w:tab w:val="left" w:pos="720"/>
        </w:tabs>
        <w:spacing w:line="360" w:lineRule="auto"/>
        <w:rPr>
          <w:rFonts w:hint="eastAsia" w:ascii="仿宋_GB2312" w:hAnsi="仿宋" w:eastAsia="仿宋_GB2312"/>
          <w:b/>
          <w:color w:val="auto"/>
          <w:sz w:val="24"/>
          <w:szCs w:val="24"/>
        </w:rPr>
      </w:pPr>
    </w:p>
    <w:p>
      <w:pPr>
        <w:shd w:val="clear" w:color="auto" w:fill="auto"/>
        <w:tabs>
          <w:tab w:val="left" w:pos="720"/>
        </w:tabs>
        <w:spacing w:line="360" w:lineRule="auto"/>
        <w:rPr>
          <w:rFonts w:hint="eastAsia" w:ascii="仿宋_GB2312" w:hAnsi="仿宋" w:eastAsia="仿宋_GB2312"/>
          <w:b/>
          <w:color w:val="auto"/>
          <w:sz w:val="28"/>
          <w:szCs w:val="28"/>
        </w:rPr>
      </w:pPr>
      <w:r>
        <w:rPr>
          <w:rFonts w:hint="eastAsia" w:ascii="仿宋_GB2312" w:hAnsi="仿宋" w:eastAsia="仿宋_GB2312"/>
          <w:b/>
          <w:color w:val="auto"/>
          <w:sz w:val="28"/>
          <w:szCs w:val="28"/>
        </w:rPr>
        <w:t>甲    方：</w:t>
      </w:r>
      <w:r>
        <w:rPr>
          <w:rFonts w:hint="eastAsia" w:ascii="仿宋_GB2312" w:hAnsi="仿宋" w:eastAsia="仿宋_GB2312"/>
          <w:b/>
          <w:color w:val="auto"/>
          <w:sz w:val="28"/>
          <w:szCs w:val="28"/>
          <w:u w:val="single"/>
        </w:rPr>
        <w:t xml:space="preserve">                 </w:t>
      </w:r>
      <w:r>
        <w:rPr>
          <w:rFonts w:hint="eastAsia" w:ascii="仿宋_GB2312" w:hAnsi="仿宋" w:eastAsia="仿宋_GB2312"/>
          <w:b/>
          <w:color w:val="auto"/>
          <w:sz w:val="28"/>
          <w:szCs w:val="28"/>
          <w:u w:val="single"/>
          <w:lang w:eastAsia="zh-CN"/>
        </w:rPr>
        <w:t>（盖公章）</w:t>
      </w:r>
      <w:r>
        <w:rPr>
          <w:rFonts w:hint="eastAsia" w:ascii="仿宋_GB2312" w:hAnsi="仿宋" w:eastAsia="仿宋_GB2312"/>
          <w:b/>
          <w:color w:val="auto"/>
          <w:sz w:val="28"/>
          <w:szCs w:val="28"/>
          <w:u w:val="single"/>
        </w:rPr>
        <w:t xml:space="preserve">  </w:t>
      </w:r>
    </w:p>
    <w:p>
      <w:pPr>
        <w:shd w:val="clear" w:color="auto" w:fill="auto"/>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电    话：           　  </w:t>
      </w:r>
    </w:p>
    <w:p>
      <w:pPr>
        <w:shd w:val="clear" w:color="auto" w:fill="auto"/>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传  真：          </w:t>
      </w:r>
    </w:p>
    <w:p>
      <w:pPr>
        <w:shd w:val="clear" w:color="auto" w:fill="auto"/>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地  址：</w:t>
      </w:r>
    </w:p>
    <w:p>
      <w:pPr>
        <w:shd w:val="clear" w:color="auto" w:fill="auto"/>
        <w:spacing w:line="360" w:lineRule="auto"/>
        <w:rPr>
          <w:rFonts w:hint="eastAsia" w:ascii="仿宋_GB2312" w:hAnsi="仿宋" w:eastAsia="仿宋_GB2312"/>
          <w:b/>
          <w:color w:val="auto"/>
          <w:sz w:val="28"/>
          <w:szCs w:val="28"/>
          <w:u w:val="single"/>
          <w:lang w:eastAsia="zh-CN"/>
        </w:rPr>
      </w:pPr>
      <w:r>
        <w:rPr>
          <w:rFonts w:hint="eastAsia" w:ascii="仿宋_GB2312" w:hAnsi="仿宋" w:eastAsia="仿宋_GB2312"/>
          <w:b/>
          <w:color w:val="auto"/>
          <w:sz w:val="28"/>
          <w:szCs w:val="28"/>
        </w:rPr>
        <w:t>乙    方：</w:t>
      </w:r>
      <w:r>
        <w:rPr>
          <w:rFonts w:hint="eastAsia" w:ascii="仿宋_GB2312" w:hAnsi="仿宋" w:eastAsia="仿宋_GB2312"/>
          <w:b/>
          <w:color w:val="auto"/>
          <w:sz w:val="28"/>
          <w:szCs w:val="28"/>
          <w:u w:val="single"/>
        </w:rPr>
        <w:t xml:space="preserve">              </w:t>
      </w:r>
      <w:r>
        <w:rPr>
          <w:rFonts w:hint="eastAsia" w:ascii="仿宋_GB2312" w:hAnsi="仿宋" w:eastAsia="仿宋_GB2312"/>
          <w:b/>
          <w:color w:val="auto"/>
          <w:sz w:val="28"/>
          <w:szCs w:val="28"/>
          <w:u w:val="single"/>
          <w:lang w:val="en-US" w:eastAsia="zh-CN"/>
        </w:rPr>
        <w:t xml:space="preserve">   </w:t>
      </w:r>
      <w:r>
        <w:rPr>
          <w:rFonts w:hint="eastAsia" w:ascii="仿宋_GB2312" w:hAnsi="仿宋" w:eastAsia="仿宋_GB2312"/>
          <w:b/>
          <w:color w:val="auto"/>
          <w:sz w:val="28"/>
          <w:szCs w:val="28"/>
          <w:u w:val="single"/>
          <w:lang w:eastAsia="zh-CN"/>
        </w:rPr>
        <w:t>（盖公章）</w:t>
      </w:r>
      <w:r>
        <w:rPr>
          <w:rFonts w:hint="eastAsia" w:ascii="仿宋_GB2312" w:hAnsi="仿宋" w:eastAsia="仿宋_GB2312"/>
          <w:b/>
          <w:color w:val="auto"/>
          <w:sz w:val="28"/>
          <w:szCs w:val="28"/>
          <w:u w:val="single"/>
        </w:rPr>
        <w:t xml:space="preserve">  </w:t>
      </w:r>
    </w:p>
    <w:p>
      <w:pPr>
        <w:shd w:val="clear" w:color="auto" w:fill="auto"/>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电    话：                </w:t>
      </w:r>
    </w:p>
    <w:p>
      <w:pPr>
        <w:shd w:val="clear" w:color="auto" w:fill="auto"/>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传  真：           </w:t>
      </w:r>
    </w:p>
    <w:p>
      <w:pPr>
        <w:shd w:val="clear" w:color="auto" w:fill="auto"/>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地  址：   </w:t>
      </w:r>
    </w:p>
    <w:p>
      <w:pPr>
        <w:shd w:val="clear" w:color="auto" w:fill="auto"/>
        <w:spacing w:line="360" w:lineRule="auto"/>
        <w:rPr>
          <w:rFonts w:hint="eastAsia" w:ascii="宋体" w:hAnsi="宋体"/>
          <w:color w:val="auto"/>
          <w:sz w:val="22"/>
          <w:szCs w:val="20"/>
        </w:rPr>
      </w:pPr>
    </w:p>
    <w:p>
      <w:pPr>
        <w:shd w:val="clear" w:color="auto" w:fill="auto"/>
        <w:spacing w:line="560" w:lineRule="exact"/>
        <w:ind w:firstLine="480" w:firstLineChars="200"/>
        <w:rPr>
          <w:rFonts w:hint="eastAsia" w:ascii="仿宋_GB2312" w:hAnsi="仿宋" w:eastAsia="仿宋_GB2312"/>
          <w:color w:val="auto"/>
          <w:sz w:val="24"/>
          <w:szCs w:val="24"/>
        </w:rPr>
      </w:pPr>
    </w:p>
    <w:p>
      <w:pPr>
        <w:shd w:val="clear" w:color="auto" w:fill="auto"/>
        <w:spacing w:line="560" w:lineRule="exact"/>
        <w:ind w:firstLine="480" w:firstLineChars="200"/>
        <w:rPr>
          <w:rFonts w:hint="eastAsia" w:ascii="仿宋_GB2312" w:hAnsi="仿宋" w:eastAsia="仿宋_GB2312"/>
          <w:color w:val="auto"/>
          <w:sz w:val="24"/>
          <w:szCs w:val="24"/>
        </w:rPr>
      </w:pPr>
    </w:p>
    <w:p>
      <w:pPr>
        <w:pStyle w:val="10"/>
        <w:rPr>
          <w:rFonts w:hint="eastAsia" w:ascii="仿宋_GB2312" w:hAnsi="仿宋" w:eastAsia="仿宋_GB2312"/>
          <w:color w:val="auto"/>
          <w:sz w:val="24"/>
          <w:szCs w:val="24"/>
        </w:rPr>
      </w:pPr>
    </w:p>
    <w:p>
      <w:pPr>
        <w:pStyle w:val="22"/>
        <w:rPr>
          <w:rFonts w:hint="eastAsia" w:ascii="仿宋_GB2312" w:hAnsi="仿宋" w:eastAsia="仿宋_GB2312"/>
          <w:color w:val="auto"/>
          <w:sz w:val="24"/>
          <w:szCs w:val="24"/>
        </w:rPr>
      </w:pPr>
    </w:p>
    <w:p>
      <w:pPr>
        <w:pStyle w:val="22"/>
        <w:rPr>
          <w:rFonts w:hint="eastAsia" w:ascii="仿宋_GB2312" w:hAnsi="仿宋" w:eastAsia="仿宋_GB2312"/>
          <w:color w:val="auto"/>
          <w:sz w:val="24"/>
          <w:szCs w:val="24"/>
        </w:rPr>
      </w:pPr>
    </w:p>
    <w:p>
      <w:pPr>
        <w:shd w:val="clear" w:color="auto" w:fill="auto"/>
        <w:spacing w:line="560" w:lineRule="exact"/>
        <w:ind w:firstLine="480" w:firstLineChars="200"/>
        <w:rPr>
          <w:rFonts w:hint="eastAsia" w:ascii="仿宋_GB2312" w:hAnsi="仿宋" w:eastAsia="仿宋_GB2312"/>
          <w:color w:val="auto"/>
          <w:sz w:val="24"/>
          <w:szCs w:val="24"/>
        </w:rPr>
      </w:pPr>
    </w:p>
    <w:p>
      <w:pPr>
        <w:shd w:val="clear" w:color="auto" w:fill="auto"/>
        <w:spacing w:line="560" w:lineRule="exact"/>
        <w:ind w:firstLine="480" w:firstLineChars="200"/>
        <w:rPr>
          <w:rFonts w:hint="eastAsia" w:ascii="仿宋_GB2312" w:hAnsi="仿宋" w:eastAsia="仿宋_GB2312"/>
          <w:color w:val="auto"/>
          <w:sz w:val="24"/>
          <w:szCs w:val="24"/>
        </w:rPr>
      </w:pPr>
    </w:p>
    <w:p>
      <w:pPr>
        <w:rPr>
          <w:rFonts w:hint="eastAsia" w:ascii="仿宋_GB2312" w:hAnsi="仿宋_GB2312" w:eastAsia="仿宋_GB2312" w:cs="仿宋_GB2312"/>
          <w:sz w:val="28"/>
          <w:szCs w:val="28"/>
          <w:lang w:val="en-US" w:eastAsia="zh-CN"/>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项目的采购结果，按照《中华人民共和国政府采购法》、《中华人民共和国民法典》的规定，经双方协商，本着平等互利和诚实信用的原则，一致同意签订本合同如下。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购买服务的内容及期限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1、甲方以(政府采购方式)采购乙方提供的以下服务:</w:t>
      </w:r>
      <w:r>
        <w:rPr>
          <w:rFonts w:hint="eastAsia"/>
          <w:sz w:val="20"/>
          <w:szCs w:val="20"/>
          <w:u w:val="single"/>
          <w:lang w:val="en-US" w:eastAsia="zh-CN"/>
        </w:rPr>
        <w:t xml:space="preserve">               </w:t>
      </w:r>
    </w:p>
    <w:p>
      <w:pPr>
        <w:rPr>
          <w:rFonts w:hint="eastAsia"/>
          <w:sz w:val="20"/>
          <w:szCs w:val="20"/>
          <w:u w:val="single"/>
          <w:lang w:val="en-US" w:eastAsia="zh-CN"/>
        </w:rPr>
      </w:pPr>
      <w:r>
        <w:rPr>
          <w:rFonts w:hint="eastAsia" w:ascii="仿宋_GB2312" w:hAnsi="仿宋_GB2312" w:eastAsia="仿宋_GB2312" w:cs="仿宋_GB2312"/>
          <w:sz w:val="28"/>
          <w:szCs w:val="28"/>
        </w:rPr>
        <w:t>内容包括:</w:t>
      </w:r>
      <w:r>
        <w:rPr>
          <w:rFonts w:hint="eastAsia"/>
          <w:sz w:val="20"/>
          <w:szCs w:val="20"/>
          <w:u w:val="single"/>
          <w:lang w:val="en-US" w:eastAsia="zh-CN"/>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2、本合同项目下的服务期限为: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w:t>
      </w:r>
      <w:r>
        <w:rPr>
          <w:rFonts w:hint="eastAsia"/>
          <w:sz w:val="20"/>
          <w:szCs w:val="20"/>
          <w:u w:val="single"/>
          <w:lang w:val="en-US" w:eastAsia="zh-CN"/>
        </w:rPr>
        <w:t xml:space="preserve">      </w:t>
      </w:r>
      <w:r>
        <w:rPr>
          <w:rFonts w:hint="eastAsia" w:ascii="仿宋_GB2312" w:hAnsi="仿宋_GB2312" w:eastAsia="仿宋_GB2312" w:cs="仿宋_GB2312"/>
          <w:sz w:val="28"/>
          <w:szCs w:val="28"/>
        </w:rPr>
        <w:t>年</w:t>
      </w:r>
      <w:r>
        <w:rPr>
          <w:rFonts w:hint="eastAsia"/>
          <w:sz w:val="20"/>
          <w:szCs w:val="20"/>
          <w:u w:val="single"/>
          <w:lang w:val="en-US" w:eastAsia="zh-CN"/>
        </w:rPr>
        <w:t xml:space="preserve">      </w:t>
      </w:r>
      <w:r>
        <w:rPr>
          <w:rFonts w:hint="eastAsia" w:ascii="仿宋_GB2312" w:hAnsi="仿宋_GB2312" w:eastAsia="仿宋_GB2312" w:cs="仿宋_GB2312"/>
          <w:sz w:val="28"/>
          <w:szCs w:val="28"/>
        </w:rPr>
        <w:t>月</w:t>
      </w:r>
      <w:r>
        <w:rPr>
          <w:rFonts w:hint="eastAsia"/>
          <w:sz w:val="20"/>
          <w:szCs w:val="20"/>
          <w:u w:val="single"/>
          <w:lang w:val="en-US" w:eastAsia="zh-CN"/>
        </w:rPr>
        <w:t xml:space="preserve">      </w:t>
      </w:r>
      <w:r>
        <w:rPr>
          <w:rFonts w:hint="eastAsia" w:ascii="仿宋_GB2312" w:hAnsi="仿宋_GB2312" w:eastAsia="仿宋_GB2312" w:cs="仿宋_GB2312"/>
          <w:sz w:val="28"/>
          <w:szCs w:val="28"/>
        </w:rPr>
        <w:t>日至</w:t>
      </w:r>
      <w:r>
        <w:rPr>
          <w:rFonts w:hint="eastAsia"/>
          <w:sz w:val="20"/>
          <w:szCs w:val="20"/>
          <w:u w:val="single"/>
          <w:lang w:val="en-US" w:eastAsia="zh-CN"/>
        </w:rPr>
        <w:t xml:space="preserve">      </w:t>
      </w:r>
      <w:r>
        <w:rPr>
          <w:rFonts w:hint="eastAsia" w:ascii="仿宋_GB2312" w:hAnsi="仿宋_GB2312" w:eastAsia="仿宋_GB2312" w:cs="仿宋_GB2312"/>
          <w:sz w:val="28"/>
          <w:szCs w:val="28"/>
        </w:rPr>
        <w:t>年</w:t>
      </w:r>
      <w:r>
        <w:rPr>
          <w:rFonts w:hint="eastAsia"/>
          <w:sz w:val="20"/>
          <w:szCs w:val="20"/>
          <w:u w:val="single"/>
          <w:lang w:val="en-US" w:eastAsia="zh-CN"/>
        </w:rPr>
        <w:t xml:space="preserve">      </w:t>
      </w:r>
      <w:r>
        <w:rPr>
          <w:rFonts w:hint="eastAsia" w:ascii="仿宋_GB2312" w:hAnsi="仿宋_GB2312" w:eastAsia="仿宋_GB2312" w:cs="仿宋_GB2312"/>
          <w:sz w:val="28"/>
          <w:szCs w:val="28"/>
        </w:rPr>
        <w:t>月</w:t>
      </w:r>
      <w:r>
        <w:rPr>
          <w:rFonts w:hint="eastAsia"/>
          <w:sz w:val="20"/>
          <w:szCs w:val="20"/>
          <w:u w:val="single"/>
          <w:lang w:val="en-US" w:eastAsia="zh-CN"/>
        </w:rPr>
        <w:t xml:space="preserve">      </w:t>
      </w:r>
      <w:r>
        <w:rPr>
          <w:rFonts w:hint="eastAsia" w:ascii="仿宋_GB2312" w:hAnsi="仿宋_GB2312" w:eastAsia="仿宋_GB2312" w:cs="仿宋_GB2312"/>
          <w:sz w:val="28"/>
          <w:szCs w:val="28"/>
        </w:rPr>
        <w:t>日止，共计</w:t>
      </w:r>
      <w:r>
        <w:rPr>
          <w:rFonts w:hint="eastAsia"/>
          <w:sz w:val="20"/>
          <w:szCs w:val="20"/>
          <w:u w:val="single"/>
          <w:lang w:val="en-US" w:eastAsia="zh-CN"/>
        </w:rPr>
        <w:t xml:space="preserve">      </w:t>
      </w:r>
      <w:r>
        <w:rPr>
          <w:rFonts w:hint="eastAsia" w:ascii="仿宋_GB2312" w:hAnsi="仿宋_GB2312" w:eastAsia="仿宋_GB2312" w:cs="仿宋_GB2312"/>
          <w:sz w:val="28"/>
          <w:szCs w:val="28"/>
        </w:rPr>
        <w:t>天。</w:t>
      </w:r>
    </w:p>
    <w:p>
      <w:pPr>
        <w:numPr>
          <w:ilvl w:val="0"/>
          <w:numId w:val="0"/>
        </w:numPr>
        <w:ind w:firstLine="560" w:firstLineChars="200"/>
        <w:rPr>
          <w:rFonts w:hint="eastAsia"/>
          <w:sz w:val="20"/>
          <w:szCs w:val="20"/>
          <w:u w:val="single"/>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服务地点:</w:t>
      </w:r>
      <w:r>
        <w:rPr>
          <w:rFonts w:hint="eastAsia"/>
          <w:sz w:val="20"/>
          <w:szCs w:val="20"/>
          <w:u w:val="single"/>
          <w:lang w:val="en-US" w:eastAsia="zh-CN"/>
        </w:rPr>
        <w:t xml:space="preserve">                                            </w:t>
      </w:r>
    </w:p>
    <w:p>
      <w:pPr>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合同金额</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本合同服务费总金额为人民币(大写)</w:t>
      </w:r>
      <w:r>
        <w:rPr>
          <w:rFonts w:hint="eastAsia"/>
          <w:sz w:val="20"/>
          <w:szCs w:val="20"/>
          <w:u w:val="single"/>
          <w:lang w:val="en-US" w:eastAsia="zh-CN"/>
        </w:rPr>
        <w:t xml:space="preserve">    </w:t>
      </w:r>
      <w:r>
        <w:rPr>
          <w:rFonts w:hint="eastAsia" w:ascii="仿宋_GB2312" w:hAnsi="仿宋_GB2312" w:eastAsia="仿宋_GB2312" w:cs="仿宋_GB2312"/>
          <w:sz w:val="28"/>
          <w:szCs w:val="28"/>
        </w:rPr>
        <w:t>:元(￥</w:t>
      </w:r>
      <w:r>
        <w:rPr>
          <w:rFonts w:hint="eastAsia"/>
          <w:sz w:val="20"/>
          <w:szCs w:val="20"/>
          <w:u w:val="single"/>
          <w:lang w:val="en-US" w:eastAsia="zh-CN"/>
        </w:rPr>
        <w:t xml:space="preserve">     </w:t>
      </w:r>
      <w:r>
        <w:rPr>
          <w:rFonts w:hint="eastAsia" w:ascii="仿宋_GB2312" w:hAnsi="仿宋_GB2312" w:eastAsia="仿宋_GB2312" w:cs="仿宋_GB2312"/>
          <w:sz w:val="28"/>
          <w:szCs w:val="28"/>
        </w:rPr>
        <w:t>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服务质量标准为:</w:t>
      </w:r>
      <w:r>
        <w:rPr>
          <w:rFonts w:hint="eastAsia"/>
          <w:sz w:val="20"/>
          <w:szCs w:val="20"/>
          <w:u w:val="single"/>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验收方及验收标准</w:t>
      </w:r>
      <w:r>
        <w:rPr>
          <w:rFonts w:hint="eastAsia"/>
          <w:sz w:val="20"/>
          <w:szCs w:val="20"/>
          <w:u w:val="single"/>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服务受益方评价标准及方法</w:t>
      </w:r>
      <w:r>
        <w:rPr>
          <w:rFonts w:hint="eastAsia"/>
          <w:sz w:val="20"/>
          <w:szCs w:val="20"/>
          <w:u w:val="single"/>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双方权利和义务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1、甲方的权利和义务:</w:t>
      </w:r>
      <w:r>
        <w:rPr>
          <w:rFonts w:hint="eastAsia"/>
          <w:sz w:val="20"/>
          <w:szCs w:val="20"/>
          <w:u w:val="single"/>
          <w:lang w:val="en-US" w:eastAsia="zh-CN"/>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2、乙方的权利和义务:</w:t>
      </w:r>
      <w:r>
        <w:rPr>
          <w:rFonts w:hint="eastAsia"/>
          <w:sz w:val="20"/>
          <w:szCs w:val="20"/>
          <w:u w:val="single"/>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付款方式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注:根据服务类型选择以下任一种付款方式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1、一次性付款:</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乙方履约完毕经甲方验收合格后日内，一次性支付全部服务费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2、分期支付: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)按年/按季度/按月支付等额的服务费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(2)合同签订后</w:t>
      </w:r>
      <w:r>
        <w:rPr>
          <w:rFonts w:hint="eastAsia"/>
          <w:sz w:val="20"/>
          <w:szCs w:val="20"/>
          <w:u w:val="single"/>
          <w:lang w:val="en-US" w:eastAsia="zh-CN"/>
        </w:rPr>
        <w:t xml:space="preserve">      </w:t>
      </w:r>
      <w:r>
        <w:rPr>
          <w:rFonts w:hint="eastAsia" w:ascii="仿宋_GB2312" w:hAnsi="仿宋_GB2312" w:eastAsia="仿宋_GB2312" w:cs="仿宋_GB2312"/>
          <w:sz w:val="28"/>
          <w:szCs w:val="28"/>
        </w:rPr>
        <w:t>日内，甲方向乙方支付</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元(或服务费总额的%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;在交付服务成果后</w:t>
      </w:r>
      <w:r>
        <w:rPr>
          <w:rFonts w:hint="eastAsia"/>
          <w:sz w:val="20"/>
          <w:szCs w:val="20"/>
          <w:u w:val="single"/>
          <w:lang w:val="en-US" w:eastAsia="zh-CN"/>
        </w:rPr>
        <w:t xml:space="preserve">      </w:t>
      </w:r>
      <w:r>
        <w:rPr>
          <w:rFonts w:hint="eastAsia" w:ascii="仿宋_GB2312" w:hAnsi="仿宋_GB2312" w:eastAsia="仿宋_GB2312" w:cs="仿宋_GB2312"/>
          <w:sz w:val="28"/>
          <w:szCs w:val="28"/>
        </w:rPr>
        <w:t>日内，支付服务费总额的</w:t>
      </w:r>
      <w:r>
        <w:rPr>
          <w:rFonts w:hint="eastAsia"/>
          <w:sz w:val="20"/>
          <w:szCs w:val="20"/>
          <w:u w:val="single"/>
          <w:lang w:val="en-US" w:eastAsia="zh-CN"/>
        </w:rPr>
        <w:t xml:space="preserve">      </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(3)按进度支付服务费</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1)服务人员到达服务地并提交服务实施方案后</w:t>
      </w:r>
      <w:r>
        <w:rPr>
          <w:rFonts w:hint="eastAsia"/>
          <w:sz w:val="20"/>
          <w:szCs w:val="20"/>
          <w:u w:val="single"/>
          <w:lang w:val="en-US" w:eastAsia="zh-CN"/>
        </w:rPr>
        <w:t xml:space="preserve">      </w:t>
      </w:r>
      <w:r>
        <w:rPr>
          <w:rFonts w:hint="eastAsia" w:ascii="仿宋_GB2312" w:hAnsi="仿宋_GB2312" w:eastAsia="仿宋_GB2312" w:cs="仿宋_GB2312"/>
          <w:sz w:val="28"/>
          <w:szCs w:val="28"/>
        </w:rPr>
        <w:t>天内，甲方应将总服务费的</w:t>
      </w:r>
      <w:r>
        <w:rPr>
          <w:rFonts w:hint="eastAsia"/>
          <w:sz w:val="20"/>
          <w:szCs w:val="20"/>
          <w:u w:val="single"/>
          <w:lang w:val="en-US" w:eastAsia="zh-CN"/>
        </w:rPr>
        <w:t xml:space="preserve">      </w:t>
      </w:r>
      <w:r>
        <w:rPr>
          <w:rFonts w:hint="eastAsia" w:ascii="仿宋_GB2312" w:hAnsi="仿宋_GB2312" w:eastAsia="仿宋_GB2312" w:cs="仿宋_GB2312"/>
          <w:sz w:val="28"/>
          <w:szCs w:val="28"/>
        </w:rPr>
        <w:t>%付给乙方</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2)第二次付款为总服务费的</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%，甲方应在乙方已经准备好，并递交了服务报告及其它相关文件，而这些报告和文件符合合同附件的要求并被甲方验收后付给乙方。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3)最后一次付款额应为总服务费的</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%，甲方应在乙方递交了服务总结报告和说明并完全履行合同完毕日内付给乙方。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违约责任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1、乙方提供的服务不符合采购文件、报价文件或本合同规定的，甲方有权拒收，并且乙方须向甲方支付本合同总价 </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%的违约金。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2、乙方末能按本合同规定的服务时间提供服务，从逾期之日起每日按本合同总价</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%的数额向甲方支付违约金逾期半个月以上的，甲方有权终止合同，由此造成的甲方经济损失由乙方承担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3、末经甲方同意乙方不得私自将该服务转包第三方完成。如私自转包，则处本合同总价</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%的违约金。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甲方无正当理由拒绝接受服务，到期拒付服务款项的，甲方向乙方偿付本合同总价的</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%的违约金。甲方逾期付款，则每日按逾期金额的</w:t>
      </w:r>
      <w:r>
        <w:rPr>
          <w:rFonts w:hint="eastAsia"/>
          <w:sz w:val="20"/>
          <w:szCs w:val="20"/>
          <w:u w:val="single"/>
          <w:lang w:val="en-US" w:eastAsia="zh-CN"/>
        </w:rPr>
        <w:t xml:space="preserve">      </w:t>
      </w:r>
      <w:r>
        <w:rPr>
          <w:rFonts w:hint="eastAsia" w:ascii="仿宋_GB2312" w:hAnsi="仿宋_GB2312" w:eastAsia="仿宋_GB2312" w:cs="仿宋_GB2312"/>
          <w:sz w:val="28"/>
          <w:szCs w:val="28"/>
        </w:rPr>
        <w:t xml:space="preserve"> %向乙方偿付违约金。</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5、其它违约责任按《中华人民共和国民法典》处理</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知识产权归属</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保密条款</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1、乙方对甲方提供的资料负有保密义务，未经甲方同意，不得向项目无关单位和个人提供有关资料。如发生以上情况，甲方有权索赔。</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2、甲方有义务保护乙方的知识产权，未经乙方同意，甲方对工程咨询单位交付的成果文件、资料不得向第三方转让或用于本合同以外的项目。如发生以上情况，乙方有权索赔。</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争议的解决</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本合同执行过程中发生的任何争议，如双方不能通过友好协商解决，由合同签订地法院处理</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第十二条、不可抗力</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第十三条、合同的终止</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1、合同期满，双方未续签的:</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2、乙方服务能力丧失，致使服务无法正常进行的;</w:t>
      </w:r>
    </w:p>
    <w:p>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3、在</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lang w:eastAsia="zh-CN"/>
        </w:rPr>
        <w:t>行合同过程中，发现乙方已不符合文件规定的承接主体应具备的条件，造成合同无法</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lang w:eastAsia="zh-CN"/>
        </w:rPr>
        <w:t>行</w:t>
      </w:r>
      <w:r>
        <w:rPr>
          <w:rFonts w:hint="eastAsia" w:ascii="仿宋_GB2312" w:hAnsi="仿宋_GB2312" w:eastAsia="仿宋_GB2312" w:cs="仿宋_GB2312"/>
          <w:sz w:val="28"/>
          <w:szCs w:val="28"/>
          <w:lang w:val="en-US" w:eastAsia="zh-CN"/>
        </w:rPr>
        <w:t>的。</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第十四条、税费</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此项目发生的与本合同执行有关的一切税费均由乙方负担。</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第十五条、其它</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1、本合同所有附件及政府采购文件均为合同的有效组成部分，与本合同具有同等法律效力。</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2、在执行本合同的过程中，所有经双方签署确认的文件(包括会议纪要、补充协议、往来信函)即成为本合同的有效组成部分。</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3、如一方地址、电话、传真号码有变更，应在变更当日内书面通知对方，否则，应承担相应责。</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第十六条、补充条款</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1、谅解与备忘条款:</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2、双方不可撤销的责任与义务:</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3、双方约定以下补充条款:</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第十七条、合同生效</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1、本合同订立时间:</w:t>
      </w:r>
      <w:r>
        <w:rPr>
          <w:rFonts w:hint="eastAsia"/>
          <w:sz w:val="20"/>
          <w:szCs w:val="20"/>
          <w:u w:val="single"/>
          <w:lang w:val="en-US" w:eastAsia="zh-CN"/>
        </w:rPr>
        <w:t xml:space="preserve">      </w:t>
      </w:r>
      <w:r>
        <w:rPr>
          <w:rFonts w:hint="eastAsia" w:ascii="仿宋_GB2312" w:hAnsi="仿宋_GB2312" w:eastAsia="仿宋_GB2312" w:cs="仿宋_GB2312"/>
          <w:sz w:val="28"/>
          <w:szCs w:val="28"/>
          <w:lang w:eastAsia="zh-CN"/>
        </w:rPr>
        <w:t>年</w:t>
      </w:r>
      <w:r>
        <w:rPr>
          <w:rFonts w:hint="eastAsia"/>
          <w:sz w:val="20"/>
          <w:szCs w:val="20"/>
          <w:u w:val="single"/>
          <w:lang w:val="en-US" w:eastAsia="zh-CN"/>
        </w:rPr>
        <w:t xml:space="preserve">      </w:t>
      </w:r>
      <w:r>
        <w:rPr>
          <w:rFonts w:hint="eastAsia" w:ascii="仿宋_GB2312" w:hAnsi="仿宋_GB2312" w:eastAsia="仿宋_GB2312" w:cs="仿宋_GB2312"/>
          <w:sz w:val="28"/>
          <w:szCs w:val="28"/>
          <w:lang w:eastAsia="zh-CN"/>
        </w:rPr>
        <w:t>月</w:t>
      </w:r>
      <w:r>
        <w:rPr>
          <w:rFonts w:hint="eastAsia"/>
          <w:sz w:val="20"/>
          <w:szCs w:val="20"/>
          <w:u w:val="single"/>
          <w:lang w:val="en-US" w:eastAsia="zh-CN"/>
        </w:rPr>
        <w:t xml:space="preserve">      </w:t>
      </w:r>
      <w:r>
        <w:rPr>
          <w:rFonts w:hint="eastAsia" w:ascii="仿宋_GB2312" w:hAnsi="仿宋_GB2312" w:eastAsia="仿宋_GB2312" w:cs="仿宋_GB2312"/>
          <w:sz w:val="28"/>
          <w:szCs w:val="28"/>
          <w:lang w:eastAsia="zh-CN"/>
        </w:rPr>
        <w:t>日</w:t>
      </w:r>
    </w:p>
    <w:p>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2、本合同订立地点:</w:t>
      </w:r>
      <w:r>
        <w:rPr>
          <w:rFonts w:hint="eastAsia"/>
          <w:sz w:val="20"/>
          <w:szCs w:val="20"/>
          <w:u w:val="single"/>
          <w:lang w:val="en-US" w:eastAsia="zh-CN"/>
        </w:rPr>
        <w:t xml:space="preserve">                           </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lang w:eastAsia="zh-CN"/>
        </w:rPr>
        <w:t>合同一式</w:t>
      </w:r>
      <w:r>
        <w:rPr>
          <w:rFonts w:hint="eastAsia"/>
          <w:sz w:val="20"/>
          <w:szCs w:val="20"/>
          <w:u w:val="single"/>
          <w:lang w:val="en-US" w:eastAsia="zh-CN"/>
        </w:rPr>
        <w:t xml:space="preserve">     </w:t>
      </w:r>
      <w:r>
        <w:rPr>
          <w:rFonts w:hint="eastAsia" w:ascii="仿宋_GB2312" w:hAnsi="仿宋_GB2312" w:eastAsia="仿宋_GB2312" w:cs="仿宋_GB2312"/>
          <w:sz w:val="28"/>
          <w:szCs w:val="28"/>
          <w:lang w:eastAsia="zh-CN"/>
        </w:rPr>
        <w:t>份，甲、乙双方、各一份，甲乙双方法定代表人签字盖章（法人公章）之日起，经审核生效，合同执行期内，甲乙双方均不得随意变更或解除合同，合同如有未尽事宜，须经双方共同协商，作出补充规定，补充规定与本合同具有同等效力。</w:t>
      </w:r>
    </w:p>
    <w:p>
      <w:pPr>
        <w:pStyle w:val="10"/>
        <w:rPr>
          <w:rFonts w:hint="eastAsia"/>
          <w:sz w:val="22"/>
          <w:szCs w:val="22"/>
          <w:lang w:eastAsia="zh-CN"/>
        </w:rPr>
      </w:pP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甲方：</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（公章）</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法定代表人：</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委托代理人：</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签字日期：</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地址、电话：</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开户行、账号：</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乙方</w:t>
      </w:r>
      <w:r>
        <w:rPr>
          <w:rFonts w:hint="eastAsia" w:ascii="仿宋_GB2312" w:hAnsi="仿宋" w:eastAsia="仿宋_GB2312"/>
          <w:color w:val="auto"/>
          <w:kern w:val="0"/>
          <w:sz w:val="28"/>
          <w:szCs w:val="28"/>
        </w:rPr>
        <w:t>：</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公章）</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法定代表人：</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委托代理人：</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签字日期：</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地址、电话：</w:t>
      </w:r>
    </w:p>
    <w:p>
      <w:pPr>
        <w:widowControl/>
        <w:shd w:val="clear" w:color="auto" w:fill="auto"/>
        <w:spacing w:line="540" w:lineRule="exact"/>
        <w:ind w:right="-512" w:rightChars="-244" w:firstLine="560" w:firstLineChars="200"/>
        <w:jc w:val="left"/>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开户行、账号：</w:t>
      </w:r>
    </w:p>
    <w:p>
      <w:pPr>
        <w:ind w:firstLine="600" w:firstLineChars="200"/>
        <w:rPr>
          <w:rFonts w:hint="eastAsia" w:ascii="仿宋_GB2312" w:hAnsi="仿宋_GB2312" w:eastAsia="仿宋_GB2312" w:cs="仿宋_GB2312"/>
          <w:sz w:val="30"/>
          <w:szCs w:val="30"/>
          <w:lang w:eastAsia="zh-CN"/>
        </w:rPr>
      </w:pPr>
    </w:p>
    <w:p>
      <w:pPr>
        <w:keepNext w:val="0"/>
        <w:keepLines w:val="0"/>
        <w:widowControl/>
        <w:suppressLineNumbers w:val="0"/>
        <w:spacing w:line="240" w:lineRule="auto"/>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spacing w:line="240" w:lineRule="auto"/>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spacing w:line="240" w:lineRule="auto"/>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注：本合同仅为合同的参考文本，合同签订双方可根据项目的具体要求进行修订。</w:t>
      </w:r>
    </w:p>
    <w:p>
      <w:pPr>
        <w:numPr>
          <w:ilvl w:val="0"/>
          <w:numId w:val="0"/>
        </w:numPr>
        <w:jc w:val="center"/>
        <w:rPr>
          <w:rFonts w:hint="eastAsia" w:asciiTheme="majorEastAsia" w:hAnsiTheme="majorEastAsia" w:eastAsiaTheme="majorEastAsia" w:cstheme="majorEastAsia"/>
          <w:b/>
          <w:bCs/>
          <w:sz w:val="32"/>
          <w:szCs w:val="32"/>
          <w:highlight w:val="none"/>
          <w:lang w:val="en-US" w:eastAsia="zh-CN"/>
        </w:rPr>
      </w:pPr>
    </w:p>
    <w:p>
      <w:pPr>
        <w:numPr>
          <w:ilvl w:val="0"/>
          <w:numId w:val="0"/>
        </w:numPr>
        <w:jc w:val="center"/>
        <w:rPr>
          <w:rFonts w:hint="eastAsia" w:asciiTheme="majorEastAsia" w:hAnsiTheme="majorEastAsia" w:eastAsiaTheme="majorEastAsia" w:cstheme="majorEastAsia"/>
          <w:b/>
          <w:bCs/>
          <w:sz w:val="32"/>
          <w:szCs w:val="32"/>
          <w:highlight w:val="none"/>
          <w:lang w:val="en-US" w:eastAsia="zh-CN"/>
        </w:rPr>
      </w:pPr>
    </w:p>
    <w:p>
      <w:pPr>
        <w:numPr>
          <w:ilvl w:val="0"/>
          <w:numId w:val="0"/>
        </w:numPr>
        <w:jc w:val="center"/>
        <w:rPr>
          <w:rFonts w:hint="eastAsia" w:asciiTheme="majorEastAsia" w:hAnsiTheme="majorEastAsia" w:eastAsiaTheme="majorEastAsia" w:cstheme="majorEastAsia"/>
          <w:b/>
          <w:bCs/>
          <w:sz w:val="32"/>
          <w:szCs w:val="32"/>
          <w:highlight w:val="none"/>
          <w:lang w:val="en-US" w:eastAsia="zh-CN"/>
        </w:rPr>
      </w:pPr>
    </w:p>
    <w:p>
      <w:pPr>
        <w:numPr>
          <w:ilvl w:val="0"/>
          <w:numId w:val="0"/>
        </w:numPr>
        <w:jc w:val="both"/>
        <w:rPr>
          <w:rFonts w:hint="eastAsia" w:asciiTheme="majorEastAsia" w:hAnsiTheme="majorEastAsia" w:eastAsiaTheme="majorEastAsia" w:cstheme="majorEastAsia"/>
          <w:b/>
          <w:bCs/>
          <w:sz w:val="32"/>
          <w:szCs w:val="32"/>
          <w:highlight w:val="none"/>
          <w:lang w:val="en-US" w:eastAsia="zh-CN"/>
        </w:rPr>
      </w:pPr>
    </w:p>
    <w:p>
      <w:pPr>
        <w:numPr>
          <w:ilvl w:val="0"/>
          <w:numId w:val="0"/>
        </w:numPr>
        <w:shd w:val="clear"/>
        <w:jc w:val="center"/>
        <w:rPr>
          <w:rFonts w:hint="eastAsia" w:asciiTheme="majorEastAsia" w:hAnsiTheme="majorEastAsia" w:eastAsiaTheme="majorEastAsia" w:cstheme="majorEastAsia"/>
          <w:b/>
          <w:bCs/>
          <w:sz w:val="32"/>
          <w:szCs w:val="32"/>
          <w:highlight w:val="none"/>
          <w:lang w:val="en-US" w:eastAsia="zh-CN"/>
        </w:rPr>
      </w:pPr>
    </w:p>
    <w:p>
      <w:pPr>
        <w:adjustRightInd w:val="0"/>
        <w:snapToGrid w:val="0"/>
        <w:spacing w:line="360" w:lineRule="auto"/>
        <w:ind w:right="720"/>
        <w:jc w:val="both"/>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rPr>
        <w:t>第</w:t>
      </w:r>
      <w:r>
        <w:rPr>
          <w:rFonts w:hint="eastAsia" w:asciiTheme="majorEastAsia" w:hAnsiTheme="majorEastAsia" w:eastAsiaTheme="majorEastAsia" w:cstheme="majorEastAsia"/>
          <w:b/>
          <w:bCs/>
          <w:sz w:val="32"/>
          <w:szCs w:val="32"/>
          <w:lang w:eastAsia="zh-CN"/>
        </w:rPr>
        <w:t>六</w:t>
      </w:r>
      <w:r>
        <w:rPr>
          <w:rFonts w:hint="eastAsia" w:asciiTheme="majorEastAsia" w:hAnsiTheme="majorEastAsia" w:eastAsiaTheme="majorEastAsia" w:cstheme="majorEastAsia"/>
          <w:b/>
          <w:bCs/>
          <w:sz w:val="32"/>
          <w:szCs w:val="32"/>
        </w:rPr>
        <w:t>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widowControl/>
        <w:spacing w:line="560" w:lineRule="exact"/>
        <w:jc w:val="left"/>
        <w:rPr>
          <w:rFonts w:hint="eastAsia" w:ascii="仿宋_GB2312" w:hAnsi="仿宋" w:eastAsia="仿宋_GB2312" w:cs="宋体"/>
          <w:b/>
          <w:color w:val="auto"/>
          <w:kern w:val="0"/>
          <w:sz w:val="28"/>
          <w:szCs w:val="28"/>
          <w:u w:val="single"/>
        </w:rPr>
      </w:pPr>
      <w:r>
        <w:rPr>
          <w:rFonts w:hint="eastAsia" w:ascii="仿宋_GB2312" w:hAnsi="仿宋" w:eastAsia="仿宋_GB2312" w:cs="宋体"/>
          <w:b/>
          <w:color w:val="auto"/>
          <w:kern w:val="0"/>
          <w:sz w:val="28"/>
          <w:szCs w:val="28"/>
          <w:u w:val="single"/>
        </w:rPr>
        <w:t>说明：</w:t>
      </w:r>
    </w:p>
    <w:p>
      <w:pPr>
        <w:widowControl/>
        <w:spacing w:line="560" w:lineRule="exact"/>
        <w:ind w:firstLine="562" w:firstLineChars="200"/>
        <w:jc w:val="left"/>
        <w:rPr>
          <w:rFonts w:hint="eastAsia" w:ascii="仿宋_GB2312" w:hAnsi="宋体" w:eastAsia="仿宋_GB2312"/>
          <w:b/>
          <w:color w:val="auto"/>
          <w:sz w:val="28"/>
          <w:szCs w:val="28"/>
          <w:u w:val="single"/>
        </w:rPr>
      </w:pPr>
      <w:r>
        <w:rPr>
          <w:rFonts w:hint="eastAsia" w:ascii="仿宋_GB2312" w:hAnsi="仿宋" w:eastAsia="仿宋_GB2312" w:cs="宋体"/>
          <w:b/>
          <w:color w:val="auto"/>
          <w:kern w:val="0"/>
          <w:sz w:val="28"/>
          <w:szCs w:val="28"/>
          <w:u w:val="single"/>
        </w:rPr>
        <w:t>以下附件是投标人编制投标文件的格式，投标人依据该格式制作投标文件。</w:t>
      </w:r>
      <w:r>
        <w:rPr>
          <w:rFonts w:hint="eastAsia" w:ascii="仿宋_GB2312" w:hAnsi="宋体" w:eastAsia="仿宋_GB2312"/>
          <w:b/>
          <w:color w:val="auto"/>
          <w:sz w:val="28"/>
          <w:szCs w:val="28"/>
          <w:u w:val="single"/>
        </w:rPr>
        <w:t>投标文件包括但不仅限于</w:t>
      </w:r>
      <w:r>
        <w:rPr>
          <w:rFonts w:hint="eastAsia" w:ascii="仿宋_GB2312" w:hAnsi="仿宋" w:eastAsia="仿宋_GB2312" w:cs="宋体"/>
          <w:b/>
          <w:color w:val="auto"/>
          <w:kern w:val="0"/>
          <w:sz w:val="28"/>
          <w:szCs w:val="28"/>
          <w:u w:val="single"/>
        </w:rPr>
        <w:t>编制格式</w:t>
      </w:r>
      <w:r>
        <w:rPr>
          <w:rFonts w:hint="eastAsia" w:ascii="仿宋_GB2312" w:hAnsi="宋体" w:eastAsia="仿宋_GB2312"/>
          <w:b/>
          <w:color w:val="auto"/>
          <w:sz w:val="28"/>
          <w:szCs w:val="28"/>
          <w:u w:val="single"/>
        </w:rPr>
        <w:t>内容，如有不足，请自行补充提供。</w:t>
      </w:r>
    </w:p>
    <w:p>
      <w:pPr>
        <w:widowControl/>
        <w:spacing w:line="560" w:lineRule="exact"/>
        <w:ind w:firstLine="482" w:firstLineChars="200"/>
        <w:jc w:val="left"/>
        <w:rPr>
          <w:rFonts w:hint="eastAsia" w:ascii="仿宋_GB2312" w:hAnsi="仿宋" w:eastAsia="仿宋_GB2312" w:cs="宋体"/>
          <w:b/>
          <w:color w:val="auto"/>
          <w:kern w:val="0"/>
          <w:sz w:val="24"/>
        </w:rPr>
      </w:pPr>
      <w:r>
        <w:rPr>
          <w:rFonts w:hint="eastAsia" w:ascii="仿宋_GB2312" w:hAnsi="宋体" w:eastAsia="仿宋_GB2312"/>
          <w:b/>
          <w:color w:val="auto"/>
          <w:sz w:val="24"/>
        </w:rPr>
        <w:t>附件：</w:t>
      </w:r>
    </w:p>
    <w:p>
      <w:pPr>
        <w:adjustRightInd w:val="0"/>
        <w:snapToGrid w:val="0"/>
        <w:spacing w:line="360" w:lineRule="auto"/>
        <w:ind w:right="592" w:firstLine="594" w:firstLineChars="200"/>
        <w:jc w:val="right"/>
        <w:rPr>
          <w:rFonts w:hint="eastAsia" w:ascii="宋体" w:hAnsi="宋体" w:cs="宋体"/>
          <w:b/>
          <w:color w:val="auto"/>
          <w:spacing w:val="8"/>
          <w:sz w:val="28"/>
          <w:bdr w:val="single" w:color="auto" w:sz="4" w:space="0"/>
        </w:rPr>
      </w:pPr>
      <w:r>
        <w:rPr>
          <w:rFonts w:hint="eastAsia" w:ascii="宋体" w:hAnsi="宋体" w:cs="宋体"/>
          <w:b/>
          <w:color w:val="auto"/>
          <w:spacing w:val="8"/>
          <w:sz w:val="28"/>
          <w:bdr w:val="single" w:color="auto" w:sz="4" w:space="0"/>
        </w:rPr>
        <w:t>正本或副本</w:t>
      </w:r>
    </w:p>
    <w:p>
      <w:pPr>
        <w:widowControl/>
        <w:tabs>
          <w:tab w:val="left" w:pos="4959"/>
        </w:tabs>
        <w:spacing w:line="560" w:lineRule="exact"/>
        <w:rPr>
          <w:rFonts w:hint="eastAsia" w:ascii="仿宋" w:hAnsi="仿宋" w:eastAsia="仿宋" w:cs="宋体"/>
          <w:b/>
          <w:color w:val="auto"/>
          <w:kern w:val="0"/>
          <w:sz w:val="32"/>
          <w:szCs w:val="32"/>
        </w:rPr>
      </w:pPr>
    </w:p>
    <w:p>
      <w:pPr>
        <w:adjustRightInd w:val="0"/>
        <w:snapToGrid w:val="0"/>
        <w:spacing w:line="360" w:lineRule="auto"/>
        <w:ind w:firstLine="3614" w:firstLineChars="500"/>
        <w:jc w:val="both"/>
        <w:rPr>
          <w:rFonts w:hint="eastAsia" w:ascii="宋体" w:hAnsi="宋体" w:cs="宋体"/>
          <w:b/>
          <w:color w:val="auto"/>
          <w:sz w:val="72"/>
          <w:szCs w:val="72"/>
        </w:rPr>
      </w:pPr>
      <w:r>
        <w:rPr>
          <w:rFonts w:hint="eastAsia" w:ascii="宋体" w:hAnsi="宋体" w:cs="宋体"/>
          <w:b/>
          <w:color w:val="auto"/>
          <w:sz w:val="72"/>
          <w:szCs w:val="72"/>
        </w:rPr>
        <w:t>***项目</w:t>
      </w:r>
    </w:p>
    <w:p>
      <w:pPr>
        <w:adjustRightInd w:val="0"/>
        <w:snapToGrid w:val="0"/>
        <w:spacing w:line="360" w:lineRule="auto"/>
        <w:jc w:val="center"/>
        <w:rPr>
          <w:rFonts w:hint="eastAsia"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adjustRightInd w:val="0"/>
        <w:snapToGrid w:val="0"/>
        <w:spacing w:line="360" w:lineRule="auto"/>
        <w:ind w:firstLine="1928" w:firstLineChars="600"/>
        <w:jc w:val="both"/>
        <w:rPr>
          <w:rFonts w:hint="default" w:ascii="宋体" w:hAnsi="宋体" w:cs="宋体"/>
          <w:b/>
          <w:bCs w:val="0"/>
          <w:color w:val="auto"/>
          <w:sz w:val="32"/>
          <w:szCs w:val="32"/>
          <w:lang w:val="en-US" w:eastAsia="zh-CN"/>
        </w:rPr>
      </w:pPr>
      <w:r>
        <w:rPr>
          <w:rFonts w:hint="eastAsia" w:ascii="宋体" w:hAnsi="宋体" w:cs="宋体"/>
          <w:b/>
          <w:bCs w:val="0"/>
          <w:color w:val="auto"/>
          <w:sz w:val="32"/>
          <w:szCs w:val="32"/>
          <w:lang w:eastAsia="zh-CN"/>
        </w:rPr>
        <w:t>项目编号</w:t>
      </w:r>
      <w:r>
        <w:rPr>
          <w:rFonts w:hint="eastAsia" w:ascii="宋体" w:hAnsi="宋体" w:cs="宋体"/>
          <w:b/>
          <w:bCs w:val="0"/>
          <w:color w:val="auto"/>
          <w:sz w:val="32"/>
          <w:szCs w:val="32"/>
          <w:u w:val="single"/>
          <w:lang w:eastAsia="zh-CN"/>
        </w:rPr>
        <w:t>：</w:t>
      </w:r>
      <w:r>
        <w:rPr>
          <w:rFonts w:hint="eastAsia" w:ascii="宋体" w:hAnsi="宋体" w:cs="宋体"/>
          <w:b/>
          <w:bCs w:val="0"/>
          <w:color w:val="auto"/>
          <w:sz w:val="32"/>
          <w:szCs w:val="32"/>
          <w:u w:val="single"/>
          <w:lang w:val="en-US" w:eastAsia="zh-CN"/>
        </w:rPr>
        <w:t>XHYJ-QTCG2023-114</w:t>
      </w:r>
    </w:p>
    <w:p>
      <w:pPr>
        <w:adjustRightInd w:val="0"/>
        <w:snapToGrid w:val="0"/>
        <w:spacing w:line="360" w:lineRule="auto"/>
        <w:jc w:val="both"/>
        <w:rPr>
          <w:rFonts w:hint="eastAsia" w:ascii="微软简标宋" w:hAnsi="宋体" w:eastAsia="微软简标宋" w:cs="宋体"/>
          <w:bCs/>
          <w:color w:val="auto"/>
          <w:sz w:val="28"/>
          <w:szCs w:val="28"/>
        </w:rPr>
      </w:pP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供应商名称：</w:t>
      </w:r>
      <w:r>
        <w:rPr>
          <w:rFonts w:hint="eastAsia" w:ascii="宋体" w:hAnsi="宋体" w:cs="宋体"/>
          <w:b/>
          <w:color w:val="auto"/>
          <w:spacing w:val="8"/>
          <w:sz w:val="32"/>
          <w:szCs w:val="32"/>
          <w:u w:val="single"/>
        </w:rPr>
        <w:t xml:space="preserve">                     (盖公章)</w:t>
      </w:r>
    </w:p>
    <w:p>
      <w:pPr>
        <w:spacing w:line="360" w:lineRule="auto"/>
        <w:ind w:firstLine="675" w:firstLineChars="200"/>
        <w:rPr>
          <w:rFonts w:hint="eastAsia" w:ascii="宋体" w:hAnsi="宋体" w:cs="宋体"/>
          <w:b/>
          <w:color w:val="auto"/>
          <w:spacing w:val="8"/>
          <w:sz w:val="32"/>
          <w:szCs w:val="32"/>
          <w:u w:val="single"/>
        </w:rPr>
      </w:pPr>
      <w:r>
        <w:rPr>
          <w:rFonts w:hint="eastAsia" w:ascii="宋体" w:hAnsi="宋体" w:cs="宋体"/>
          <w:b/>
          <w:color w:val="auto"/>
          <w:spacing w:val="8"/>
          <w:sz w:val="32"/>
          <w:szCs w:val="32"/>
        </w:rPr>
        <w:t>地址：</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法定代表人或其被授权人</w:t>
      </w:r>
      <w:r>
        <w:rPr>
          <w:rFonts w:hint="eastAsia" w:ascii="宋体" w:hAnsi="宋体" w:cs="宋体"/>
          <w:b/>
          <w:color w:val="auto"/>
          <w:spacing w:val="8"/>
          <w:sz w:val="32"/>
          <w:szCs w:val="32"/>
          <w:lang w:val="zh-CN"/>
        </w:rPr>
        <w:t>（</w:t>
      </w:r>
      <w:r>
        <w:rPr>
          <w:rFonts w:hint="eastAsia" w:ascii="宋体" w:hAnsi="宋体" w:cs="宋体"/>
          <w:b/>
          <w:color w:val="auto"/>
          <w:spacing w:val="8"/>
          <w:sz w:val="32"/>
          <w:szCs w:val="32"/>
        </w:rPr>
        <w:t>签字或盖章</w:t>
      </w:r>
      <w:r>
        <w:rPr>
          <w:rFonts w:hint="eastAsia" w:ascii="宋体" w:hAnsi="宋体" w:cs="宋体"/>
          <w:b/>
          <w:color w:val="auto"/>
          <w:spacing w:val="8"/>
          <w:sz w:val="32"/>
          <w:szCs w:val="32"/>
          <w:lang w:val="zh-CN"/>
        </w:rPr>
        <w:t>）</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u w:val="single"/>
        </w:rPr>
      </w:pPr>
      <w:r>
        <w:rPr>
          <w:rFonts w:hint="eastAsia" w:ascii="宋体" w:hAnsi="宋体" w:cs="宋体"/>
          <w:b/>
          <w:color w:val="auto"/>
          <w:spacing w:val="8"/>
          <w:sz w:val="32"/>
          <w:szCs w:val="32"/>
        </w:rPr>
        <w:t>电话：</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日期：</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年</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月</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日</w:t>
      </w: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宋体" w:eastAsia="仿宋_GB2312"/>
          <w:b/>
          <w:color w:val="auto"/>
          <w:sz w:val="28"/>
          <w:szCs w:val="28"/>
          <w:u w:val="none"/>
          <w:lang w:eastAsia="zh-CN"/>
        </w:rPr>
      </w:pPr>
      <w:r>
        <w:rPr>
          <w:rFonts w:hint="eastAsia" w:ascii="仿宋_GB2312" w:hAnsi="仿宋" w:eastAsia="仿宋_GB2312" w:cs="宋体"/>
          <w:b/>
          <w:color w:val="auto"/>
          <w:kern w:val="0"/>
          <w:sz w:val="32"/>
          <w:szCs w:val="32"/>
          <w:u w:val="single"/>
        </w:rPr>
        <w:t>★</w:t>
      </w:r>
      <w:r>
        <w:rPr>
          <w:rFonts w:hint="eastAsia" w:ascii="仿宋_GB2312" w:hAnsi="宋体" w:eastAsia="仿宋_GB2312"/>
          <w:b/>
          <w:color w:val="auto"/>
          <w:sz w:val="32"/>
          <w:szCs w:val="32"/>
          <w:u w:val="single"/>
        </w:rPr>
        <w:t>投标文件正文编制顺序</w:t>
      </w:r>
      <w:r>
        <w:rPr>
          <w:rFonts w:hint="eastAsia" w:ascii="仿宋_GB2312" w:hAnsi="宋体" w:eastAsia="仿宋_GB2312"/>
          <w:b/>
          <w:bCs w:val="0"/>
          <w:color w:val="auto"/>
          <w:sz w:val="32"/>
          <w:szCs w:val="32"/>
          <w:highlight w:val="none"/>
          <w:u w:val="wave"/>
        </w:rPr>
        <w:t>（投标人可按下列顺序排列和装订</w:t>
      </w:r>
      <w:r>
        <w:rPr>
          <w:rFonts w:hint="eastAsia" w:ascii="仿宋_GB2312" w:hAnsi="宋体" w:eastAsia="仿宋_GB2312"/>
          <w:b/>
          <w:bCs w:val="0"/>
          <w:color w:val="auto"/>
          <w:sz w:val="32"/>
          <w:szCs w:val="32"/>
          <w:highlight w:val="none"/>
          <w:u w:val="wave"/>
          <w:lang w:eastAsia="zh-CN"/>
        </w:rPr>
        <w:t>投标</w:t>
      </w:r>
      <w:r>
        <w:rPr>
          <w:rFonts w:hint="eastAsia" w:ascii="仿宋_GB2312" w:hAnsi="宋体" w:eastAsia="仿宋_GB2312"/>
          <w:b/>
          <w:bCs w:val="0"/>
          <w:color w:val="auto"/>
          <w:sz w:val="32"/>
          <w:szCs w:val="32"/>
          <w:highlight w:val="none"/>
          <w:u w:val="wave"/>
        </w:rPr>
        <w:t>文件并</w:t>
      </w:r>
      <w:r>
        <w:rPr>
          <w:rFonts w:hint="eastAsia" w:ascii="仿宋_GB2312" w:hAnsi="宋体" w:eastAsia="仿宋_GB2312"/>
          <w:b/>
          <w:bCs w:val="0"/>
          <w:color w:val="auto"/>
          <w:sz w:val="32"/>
          <w:szCs w:val="32"/>
          <w:highlight w:val="none"/>
          <w:u w:val="wave"/>
          <w:lang w:eastAsia="zh-CN"/>
        </w:rPr>
        <w:t>在目录处</w:t>
      </w:r>
      <w:r>
        <w:rPr>
          <w:rFonts w:hint="eastAsia" w:ascii="仿宋_GB2312" w:hAnsi="宋体" w:eastAsia="仿宋_GB2312"/>
          <w:b/>
          <w:bCs w:val="0"/>
          <w:color w:val="auto"/>
          <w:sz w:val="32"/>
          <w:szCs w:val="32"/>
          <w:highlight w:val="none"/>
          <w:u w:val="wave"/>
        </w:rPr>
        <w:t>标注</w:t>
      </w:r>
      <w:r>
        <w:rPr>
          <w:rFonts w:hint="eastAsia" w:ascii="仿宋_GB2312" w:hAnsi="宋体" w:eastAsia="仿宋_GB2312"/>
          <w:b/>
          <w:bCs w:val="0"/>
          <w:color w:val="auto"/>
          <w:sz w:val="32"/>
          <w:szCs w:val="32"/>
          <w:highlight w:val="none"/>
          <w:u w:val="wave"/>
          <w:lang w:eastAsia="zh-CN"/>
        </w:rPr>
        <w:t>详细</w:t>
      </w:r>
      <w:r>
        <w:rPr>
          <w:rFonts w:hint="eastAsia" w:ascii="仿宋_GB2312" w:hAnsi="宋体" w:eastAsia="仿宋_GB2312"/>
          <w:b/>
          <w:bCs w:val="0"/>
          <w:color w:val="auto"/>
          <w:sz w:val="32"/>
          <w:szCs w:val="32"/>
          <w:highlight w:val="none"/>
          <w:u w:val="wave"/>
        </w:rPr>
        <w:t>页码）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373" w:firstLineChars="1200"/>
        <w:jc w:val="both"/>
        <w:textAlignment w:val="auto"/>
        <w:outlineLvl w:val="9"/>
        <w:rPr>
          <w:rFonts w:hint="eastAsia" w:ascii="仿宋_GB2312" w:hAnsi="宋体" w:eastAsia="仿宋_GB2312"/>
          <w:b/>
          <w:color w:val="auto"/>
          <w:sz w:val="28"/>
          <w:szCs w:val="28"/>
          <w:u w:val="none"/>
          <w:lang w:val="en-US" w:eastAsia="zh-CN"/>
        </w:rPr>
      </w:pPr>
      <w:r>
        <w:rPr>
          <w:rFonts w:hint="eastAsia" w:ascii="仿宋_GB2312" w:hAnsi="宋体" w:eastAsia="仿宋_GB2312"/>
          <w:b/>
          <w:color w:val="auto"/>
          <w:sz w:val="28"/>
          <w:szCs w:val="28"/>
          <w:u w:val="none"/>
          <w:lang w:eastAsia="zh-CN"/>
        </w:rPr>
        <w:t>目</w:t>
      </w:r>
      <w:r>
        <w:rPr>
          <w:rFonts w:hint="eastAsia" w:ascii="仿宋_GB2312" w:hAnsi="宋体" w:eastAsia="仿宋_GB2312"/>
          <w:b/>
          <w:color w:val="auto"/>
          <w:sz w:val="28"/>
          <w:szCs w:val="28"/>
          <w:u w:val="none"/>
          <w:lang w:val="en-US" w:eastAsia="zh-CN"/>
        </w:rPr>
        <w:t xml:space="preserve">   </w:t>
      </w:r>
      <w:r>
        <w:rPr>
          <w:rFonts w:hint="eastAsia" w:ascii="仿宋_GB2312" w:hAnsi="宋体" w:eastAsia="仿宋_GB2312"/>
          <w:b/>
          <w:color w:val="auto"/>
          <w:sz w:val="28"/>
          <w:szCs w:val="28"/>
          <w:u w:val="none"/>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73" w:firstLineChars="1200"/>
        <w:jc w:val="both"/>
        <w:textAlignment w:val="auto"/>
        <w:outlineLvl w:val="9"/>
        <w:rPr>
          <w:rFonts w:hint="eastAsia" w:ascii="仿宋_GB2312" w:hAnsi="宋体" w:eastAsia="仿宋_GB2312"/>
          <w:b/>
          <w:color w:val="auto"/>
          <w:sz w:val="28"/>
          <w:szCs w:val="28"/>
          <w:u w:val="none"/>
          <w:lang w:eastAsia="zh-CN"/>
        </w:rPr>
      </w:pP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宋体" w:eastAsia="仿宋_GB2312"/>
          <w:b/>
          <w:color w:val="000000"/>
          <w:sz w:val="28"/>
          <w:szCs w:val="28"/>
        </w:rPr>
        <w:t>（</w:t>
      </w:r>
      <w:r>
        <w:rPr>
          <w:rFonts w:hint="eastAsia" w:ascii="仿宋_GB2312" w:hAnsi="仿宋_GB2312" w:eastAsia="仿宋_GB2312" w:cs="仿宋_GB2312"/>
          <w:b/>
          <w:bCs/>
          <w:sz w:val="28"/>
          <w:szCs w:val="28"/>
          <w:lang w:eastAsia="zh-CN"/>
        </w:rPr>
        <w:t>1）投标函；</w:t>
      </w:r>
    </w:p>
    <w:p>
      <w:pPr>
        <w:spacing w:line="24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（2）法定代表人身份证明、法定代表人授权委托书、投标人基本情况表（附资格审查资料）。</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lang w:eastAsia="zh-CN"/>
        </w:rPr>
        <w:t>）中小企业声明函</w:t>
      </w:r>
      <w:r>
        <w:rPr>
          <w:rFonts w:hint="eastAsia" w:ascii="仿宋_GB2312" w:hAnsi="仿宋_GB2312" w:eastAsia="仿宋_GB2312" w:cs="仿宋_GB2312"/>
          <w:b/>
          <w:bCs/>
          <w:sz w:val="28"/>
          <w:szCs w:val="28"/>
          <w:lang w:val="en-US" w:eastAsia="zh-CN"/>
        </w:rPr>
        <w:t>。</w:t>
      </w:r>
    </w:p>
    <w:p>
      <w:pPr>
        <w:spacing w:line="24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lang w:eastAsia="zh-CN"/>
        </w:rPr>
        <w:t>）开 标 一 览 表；</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报  价  明  细。</w:t>
      </w:r>
    </w:p>
    <w:p>
      <w:pPr>
        <w:spacing w:line="24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lang w:eastAsia="zh-CN"/>
        </w:rPr>
        <w:t>）类似项目业绩表</w:t>
      </w:r>
    </w:p>
    <w:p>
      <w:pPr>
        <w:spacing w:line="24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lang w:eastAsia="zh-CN"/>
        </w:rPr>
        <w:t>）人员组织及配备情况</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企业财务状况</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lang w:eastAsia="zh-CN"/>
        </w:rPr>
        <w:t>企业能力等级认证</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w:t>
      </w:r>
      <w:r>
        <w:rPr>
          <w:rFonts w:hint="eastAsia" w:ascii="仿宋_GB2312" w:hAnsi="仿宋_GB2312" w:eastAsia="仿宋_GB2312" w:cs="仿宋_GB2312"/>
          <w:b/>
          <w:bCs/>
          <w:sz w:val="28"/>
          <w:szCs w:val="28"/>
          <w:lang w:eastAsia="zh-CN"/>
        </w:rPr>
        <w:t>投标人的资格声明</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11</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技术方案</w:t>
      </w:r>
    </w:p>
    <w:p>
      <w:pPr>
        <w:spacing w:line="240" w:lineRule="auto"/>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服务承诺</w:t>
      </w:r>
    </w:p>
    <w:p>
      <w:pPr>
        <w:pStyle w:val="8"/>
        <w:rPr>
          <w:rFonts w:hint="eastAsia"/>
        </w:rPr>
      </w:pPr>
    </w:p>
    <w:p>
      <w:pPr>
        <w:rPr>
          <w:rFonts w:hint="eastAsia"/>
        </w:rPr>
      </w:pPr>
    </w:p>
    <w:p>
      <w:pPr>
        <w:pStyle w:val="7"/>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宋体" w:eastAsia="仿宋_GB2312"/>
          <w:b/>
          <w:color w:val="auto"/>
          <w:sz w:val="28"/>
          <w:szCs w:val="28"/>
          <w:u w:val="single"/>
        </w:rPr>
      </w:pPr>
      <w:r>
        <w:rPr>
          <w:rFonts w:hint="eastAsia" w:ascii="仿宋_GB2312" w:hAnsi="仿宋" w:eastAsia="仿宋_GB2312" w:cs="宋体"/>
          <w:b/>
          <w:color w:val="auto"/>
          <w:kern w:val="0"/>
          <w:sz w:val="28"/>
          <w:szCs w:val="28"/>
          <w:u w:val="single"/>
        </w:rPr>
        <w:t>★</w:t>
      </w:r>
      <w:r>
        <w:rPr>
          <w:rFonts w:hint="eastAsia" w:ascii="仿宋_GB2312" w:hAnsi="仿宋" w:eastAsia="仿宋_GB2312" w:cs="宋体"/>
          <w:b/>
          <w:bCs/>
          <w:color w:val="auto"/>
          <w:spacing w:val="20"/>
          <w:kern w:val="0"/>
          <w:sz w:val="28"/>
          <w:szCs w:val="28"/>
          <w:u w:val="single"/>
        </w:rPr>
        <w:t>标书</w:t>
      </w:r>
      <w:r>
        <w:rPr>
          <w:rFonts w:hint="eastAsia" w:ascii="仿宋_GB2312" w:hAnsi="仿宋" w:eastAsia="仿宋_GB2312" w:cs="宋体"/>
          <w:b/>
          <w:color w:val="auto"/>
          <w:kern w:val="0"/>
          <w:sz w:val="28"/>
          <w:szCs w:val="28"/>
          <w:u w:val="single"/>
        </w:rPr>
        <w:t>正文统一用仿宋四号字体。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 w:eastAsia="仿宋_GB2312" w:cs="宋体"/>
          <w:b/>
          <w:bCs/>
          <w:spacing w:val="20"/>
          <w:kern w:val="0"/>
          <w:sz w:val="32"/>
          <w:szCs w:val="32"/>
        </w:rPr>
      </w:pPr>
      <w:r>
        <w:rPr>
          <w:rFonts w:hint="eastAsia" w:ascii="仿宋_GB2312" w:hAnsi="仿宋" w:eastAsia="仿宋_GB2312" w:cs="宋体"/>
          <w:b/>
          <w:color w:val="auto"/>
          <w:kern w:val="0"/>
          <w:sz w:val="28"/>
          <w:szCs w:val="28"/>
          <w:u w:val="single"/>
        </w:rPr>
        <w:t>★</w:t>
      </w:r>
      <w:r>
        <w:rPr>
          <w:rFonts w:hint="eastAsia" w:ascii="仿宋_GB2312" w:hAnsi="宋体" w:eastAsia="仿宋_GB2312"/>
          <w:b/>
          <w:color w:val="auto"/>
          <w:sz w:val="28"/>
          <w:szCs w:val="28"/>
          <w:u w:val="single"/>
        </w:rPr>
        <w:t>投标文件包括但不仅限于上述内容，如有不足，请自行补充提供。</w:t>
      </w: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pStyle w:val="7"/>
        <w:rPr>
          <w:rFonts w:hint="eastAsia"/>
        </w:rPr>
      </w:pPr>
    </w:p>
    <w:p>
      <w:pPr>
        <w:widowControl/>
        <w:spacing w:line="560" w:lineRule="exact"/>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lang w:eastAsia="zh-CN"/>
        </w:rPr>
      </w:pPr>
      <w:r>
        <w:rPr>
          <w:rFonts w:hint="eastAsia" w:ascii="仿宋_GB2312" w:hAnsi="仿宋" w:eastAsia="仿宋_GB2312" w:cs="宋体"/>
          <w:b/>
          <w:bCs/>
          <w:spacing w:val="20"/>
          <w:kern w:val="0"/>
          <w:sz w:val="32"/>
          <w:szCs w:val="32"/>
        </w:rPr>
        <w:t>一、</w:t>
      </w:r>
      <w:r>
        <w:rPr>
          <w:rFonts w:hint="eastAsia" w:ascii="仿宋_GB2312" w:hAnsi="仿宋" w:eastAsia="仿宋_GB2312" w:cs="宋体"/>
          <w:b/>
          <w:bCs/>
          <w:spacing w:val="20"/>
          <w:kern w:val="0"/>
          <w:sz w:val="32"/>
          <w:szCs w:val="32"/>
          <w:lang w:val="en-US" w:eastAsia="zh-CN"/>
        </w:rPr>
        <w:t>响应书</w:t>
      </w:r>
    </w:p>
    <w:p>
      <w:pPr>
        <w:adjustRightInd w:val="0"/>
        <w:snapToGrid w:val="0"/>
        <w:spacing w:line="300" w:lineRule="auto"/>
        <w:rPr>
          <w:rFonts w:hint="eastAsia" w:ascii="仿宋_GB2312" w:hAnsi="仿宋" w:eastAsia="仿宋_GB2312" w:cs="Times New Roman"/>
          <w:sz w:val="28"/>
          <w:szCs w:val="28"/>
          <w:u w:val="single"/>
          <w:lang w:val="en-US" w:eastAsia="zh-CN"/>
        </w:rPr>
      </w:pPr>
      <w:r>
        <w:rPr>
          <w:rFonts w:hint="eastAsia" w:ascii="仿宋_GB2312" w:hAnsi="仿宋" w:eastAsia="仿宋_GB2312" w:cs="Times New Roman"/>
          <w:sz w:val="28"/>
          <w:szCs w:val="28"/>
          <w:u w:val="single"/>
          <w:lang w:val="en-US" w:eastAsia="zh-CN"/>
        </w:rPr>
        <w:t>致：（采购人或采购代理机构）</w:t>
      </w:r>
    </w:p>
    <w:p>
      <w:pPr>
        <w:adjustRightInd w:val="0"/>
        <w:snapToGrid w:val="0"/>
        <w:spacing w:line="300" w:lineRule="auto"/>
        <w:rPr>
          <w:rFonts w:hint="eastAsia" w:ascii="仿宋_GB2312" w:hAnsi="仿宋" w:eastAsia="仿宋_GB2312" w:cs="Times New Roman"/>
          <w:sz w:val="28"/>
          <w:szCs w:val="28"/>
          <w:u w:val="single"/>
          <w:lang w:val="en-US" w:eastAsia="zh-CN"/>
        </w:rPr>
      </w:pPr>
    </w:p>
    <w:p>
      <w:pPr>
        <w:adjustRightInd w:val="0"/>
        <w:snapToGrid w:val="0"/>
        <w:spacing w:line="300" w:lineRule="auto"/>
        <w:ind w:firstLine="840" w:firstLineChars="300"/>
        <w:rPr>
          <w:rFonts w:hint="eastAsia" w:ascii="仿宋_GB2312" w:hAnsi="仿宋" w:eastAsia="仿宋_GB2312" w:cs="Times New Roman"/>
          <w:sz w:val="28"/>
          <w:szCs w:val="28"/>
          <w:u w:val="none"/>
          <w:lang w:val="en-US" w:eastAsia="zh-CN"/>
        </w:rPr>
      </w:pPr>
      <w:r>
        <w:rPr>
          <w:rFonts w:hint="eastAsia" w:ascii="仿宋_GB2312" w:hAnsi="仿宋" w:eastAsia="仿宋_GB2312" w:cs="Times New Roman"/>
          <w:sz w:val="28"/>
          <w:szCs w:val="28"/>
          <w:u w:val="none"/>
          <w:lang w:val="en-US" w:eastAsia="zh-CN"/>
        </w:rPr>
        <w:t>我方参加你方就</w:t>
      </w:r>
      <w:r>
        <w:rPr>
          <w:rFonts w:hint="eastAsia" w:ascii="仿宋_GB2312" w:hAnsi="仿宋" w:eastAsia="仿宋_GB2312"/>
          <w:sz w:val="28"/>
          <w:szCs w:val="28"/>
          <w:u w:val="single"/>
        </w:rPr>
        <w:t xml:space="preserve">          </w:t>
      </w:r>
      <w:r>
        <w:rPr>
          <w:rFonts w:hint="eastAsia" w:ascii="仿宋_GB2312" w:hAnsi="仿宋" w:eastAsia="仿宋_GB2312" w:cs="Times New Roman"/>
          <w:sz w:val="28"/>
          <w:szCs w:val="28"/>
          <w:u w:val="none"/>
          <w:lang w:val="en-US" w:eastAsia="zh-CN"/>
        </w:rPr>
        <w:t>（项目名称，项目编号/包号）组织的采购活动，并对此项目进行磋商。</w:t>
      </w:r>
    </w:p>
    <w:p>
      <w:pPr>
        <w:adjustRightInd w:val="0"/>
        <w:snapToGrid w:val="0"/>
        <w:spacing w:line="300" w:lineRule="auto"/>
        <w:ind w:firstLine="840" w:firstLineChars="300"/>
        <w:rPr>
          <w:rFonts w:hint="eastAsia" w:ascii="仿宋_GB2312" w:hAnsi="仿宋" w:eastAsia="仿宋_GB2312" w:cs="Times New Roman"/>
          <w:sz w:val="28"/>
          <w:szCs w:val="28"/>
          <w:u w:val="none"/>
          <w:lang w:val="en-US" w:eastAsia="zh-CN"/>
        </w:rPr>
      </w:pPr>
      <w:r>
        <w:rPr>
          <w:rFonts w:hint="eastAsia" w:ascii="仿宋_GB2312" w:hAnsi="仿宋" w:eastAsia="仿宋_GB2312" w:cs="Times New Roman"/>
          <w:sz w:val="28"/>
          <w:szCs w:val="28"/>
          <w:u w:val="none"/>
          <w:lang w:val="en-US" w:eastAsia="zh-CN"/>
        </w:rPr>
        <w:t>1. 我方已详细审查全部竞争性磋商文件，自愿参与磋商并承诺如下：</w:t>
      </w:r>
    </w:p>
    <w:p>
      <w:pPr>
        <w:adjustRightInd w:val="0"/>
        <w:snapToGrid w:val="0"/>
        <w:spacing w:line="300" w:lineRule="auto"/>
        <w:ind w:firstLine="840" w:firstLineChars="300"/>
        <w:rPr>
          <w:rFonts w:hint="eastAsia" w:ascii="仿宋_GB2312" w:hAnsi="仿宋" w:eastAsia="仿宋_GB2312" w:cs="Times New Roman"/>
          <w:sz w:val="28"/>
          <w:szCs w:val="28"/>
          <w:u w:val="none"/>
          <w:lang w:val="en-US" w:eastAsia="zh-CN"/>
        </w:rPr>
      </w:pPr>
      <w:r>
        <w:rPr>
          <w:rFonts w:hint="eastAsia" w:ascii="仿宋_GB2312" w:hAnsi="仿宋" w:eastAsia="仿宋_GB2312" w:cs="Times New Roman"/>
          <w:sz w:val="28"/>
          <w:szCs w:val="28"/>
          <w:u w:val="none"/>
          <w:lang w:val="en-US" w:eastAsia="zh-CN"/>
        </w:rPr>
        <w:t>（1）本响应有效期为自响应文件提交截止之日起</w:t>
      </w:r>
      <w:r>
        <w:rPr>
          <w:rFonts w:hint="eastAsia" w:ascii="仿宋_GB2312" w:hAnsi="仿宋" w:eastAsia="仿宋_GB2312"/>
          <w:sz w:val="28"/>
          <w:szCs w:val="28"/>
          <w:u w:val="single"/>
        </w:rPr>
        <w:t xml:space="preserve">    </w:t>
      </w:r>
      <w:r>
        <w:rPr>
          <w:rFonts w:hint="eastAsia" w:ascii="仿宋_GB2312" w:hAnsi="仿宋" w:eastAsia="仿宋_GB2312" w:cs="Times New Roman"/>
          <w:sz w:val="28"/>
          <w:szCs w:val="28"/>
          <w:u w:val="none"/>
          <w:lang w:val="en-US" w:eastAsia="zh-CN"/>
        </w:rPr>
        <w:t>个日历日。</w:t>
      </w:r>
    </w:p>
    <w:p>
      <w:pPr>
        <w:adjustRightInd w:val="0"/>
        <w:snapToGrid w:val="0"/>
        <w:spacing w:line="300" w:lineRule="auto"/>
        <w:ind w:firstLine="840" w:firstLineChars="300"/>
        <w:rPr>
          <w:rFonts w:hint="eastAsia" w:ascii="仿宋_GB2312" w:hAnsi="仿宋" w:eastAsia="仿宋_GB2312" w:cs="Times New Roman"/>
          <w:sz w:val="28"/>
          <w:szCs w:val="28"/>
          <w:u w:val="none"/>
          <w:lang w:val="en-US" w:eastAsia="zh-CN"/>
        </w:rPr>
      </w:pPr>
      <w:r>
        <w:rPr>
          <w:rFonts w:hint="eastAsia" w:ascii="仿宋_GB2312" w:hAnsi="仿宋" w:eastAsia="仿宋_GB2312" w:cs="Times New Roman"/>
          <w:sz w:val="28"/>
          <w:szCs w:val="28"/>
          <w:u w:val="none"/>
          <w:lang w:val="en-US" w:eastAsia="zh-CN"/>
        </w:rPr>
        <w:t>（2）除合同条款及采购需求偏离表列出的偏离外，我方响应竞争性磋商文件的全部要求。</w:t>
      </w:r>
    </w:p>
    <w:p>
      <w:pPr>
        <w:adjustRightInd w:val="0"/>
        <w:snapToGrid w:val="0"/>
        <w:spacing w:line="300" w:lineRule="auto"/>
        <w:ind w:firstLine="840" w:firstLineChars="300"/>
        <w:rPr>
          <w:rFonts w:hint="eastAsia" w:ascii="仿宋_GB2312" w:hAnsi="仿宋" w:eastAsia="仿宋_GB2312" w:cs="Times New Roman"/>
          <w:sz w:val="28"/>
          <w:szCs w:val="28"/>
          <w:u w:val="none"/>
          <w:lang w:val="en-US" w:eastAsia="zh-CN"/>
        </w:rPr>
      </w:pPr>
      <w:r>
        <w:rPr>
          <w:rFonts w:hint="eastAsia" w:ascii="仿宋_GB2312" w:hAnsi="仿宋" w:eastAsia="仿宋_GB2312" w:cs="Times New Roman"/>
          <w:sz w:val="28"/>
          <w:szCs w:val="28"/>
          <w:u w:val="none"/>
          <w:lang w:val="en-US" w:eastAsia="zh-CN"/>
        </w:rPr>
        <w:t>（3）我方已提供的全部文件资料是真实、准确的，并对此承担一切法律后果。</w:t>
      </w:r>
    </w:p>
    <w:p>
      <w:pPr>
        <w:adjustRightInd w:val="0"/>
        <w:snapToGrid w:val="0"/>
        <w:spacing w:line="300" w:lineRule="auto"/>
        <w:ind w:firstLine="840" w:firstLineChars="300"/>
        <w:rPr>
          <w:rFonts w:hint="eastAsia" w:ascii="仿宋_GB2312" w:hAnsi="仿宋" w:eastAsia="仿宋_GB2312" w:cs="Times New Roman"/>
          <w:sz w:val="28"/>
          <w:szCs w:val="28"/>
          <w:u w:val="none"/>
          <w:lang w:val="en-US" w:eastAsia="zh-CN"/>
        </w:rPr>
      </w:pPr>
      <w:r>
        <w:rPr>
          <w:rFonts w:hint="eastAsia" w:ascii="仿宋_GB2312" w:hAnsi="仿宋" w:eastAsia="仿宋_GB2312" w:cs="Times New Roman"/>
          <w:sz w:val="28"/>
          <w:szCs w:val="28"/>
          <w:u w:val="none"/>
          <w:lang w:val="en-US" w:eastAsia="zh-CN"/>
        </w:rPr>
        <w:t>（4）如我方成交，我方将在法律规定的期限内与你方签订合同，按照竞争性磋商文件要求提交履约保证金，并在合同约定的期限内完成合同规定的全部义务。</w:t>
      </w:r>
    </w:p>
    <w:p>
      <w:pPr>
        <w:adjustRightInd w:val="0"/>
        <w:snapToGrid w:val="0"/>
        <w:spacing w:line="300" w:lineRule="auto"/>
        <w:ind w:firstLine="840" w:firstLineChars="300"/>
        <w:rPr>
          <w:rFonts w:hint="eastAsia" w:ascii="仿宋_GB2312" w:hAnsi="仿宋" w:eastAsia="仿宋_GB2312" w:cs="宋体"/>
          <w:kern w:val="0"/>
          <w:sz w:val="28"/>
          <w:szCs w:val="28"/>
        </w:rPr>
      </w:pPr>
      <w:r>
        <w:rPr>
          <w:rFonts w:hint="eastAsia" w:ascii="仿宋_GB2312" w:hAnsi="仿宋" w:eastAsia="仿宋_GB2312" w:cs="Times New Roman"/>
          <w:sz w:val="28"/>
          <w:szCs w:val="28"/>
          <w:u w:val="none"/>
          <w:lang w:val="en-US" w:eastAsia="zh-CN"/>
        </w:rPr>
        <w:t>2. 其他补充条款（如有）：</w:t>
      </w:r>
      <w:r>
        <w:rPr>
          <w:rFonts w:hint="eastAsia" w:ascii="仿宋_GB2312" w:hAnsi="仿宋" w:eastAsia="仿宋_GB2312"/>
          <w:sz w:val="28"/>
          <w:szCs w:val="28"/>
          <w:u w:val="single"/>
        </w:rPr>
        <w:t xml:space="preserve">       </w:t>
      </w:r>
      <w:r>
        <w:rPr>
          <w:rFonts w:hint="eastAsia" w:ascii="仿宋_GB2312" w:hAnsi="仿宋" w:eastAsia="仿宋_GB2312" w:cs="Times New Roman"/>
          <w:sz w:val="28"/>
          <w:szCs w:val="28"/>
          <w:u w:val="none"/>
          <w:lang w:val="en-US" w:eastAsia="zh-CN"/>
        </w:rPr>
        <w:t>。</w:t>
      </w:r>
    </w:p>
    <w:p>
      <w:pPr>
        <w:widowControl/>
        <w:spacing w:line="560" w:lineRule="exact"/>
        <w:ind w:firstLine="840" w:firstLineChars="300"/>
        <w:jc w:val="left"/>
        <w:rPr>
          <w:rFonts w:hint="eastAsia" w:ascii="仿宋_GB2312" w:hAnsi="仿宋" w:eastAsia="仿宋_GB2312" w:cs="宋体"/>
          <w:kern w:val="0"/>
          <w:sz w:val="28"/>
          <w:szCs w:val="28"/>
        </w:rPr>
      </w:pPr>
      <w:r>
        <w:rPr>
          <w:rFonts w:hint="eastAsia" w:ascii="仿宋_GB2312" w:hAnsi="仿宋" w:eastAsia="仿宋_GB2312"/>
          <w:kern w:val="0"/>
          <w:sz w:val="28"/>
          <w:szCs w:val="28"/>
          <w:lang w:val="en-US" w:eastAsia="zh-CN"/>
        </w:rPr>
        <w:t>3</w:t>
      </w:r>
      <w:r>
        <w:rPr>
          <w:rFonts w:hint="eastAsia" w:ascii="仿宋_GB2312" w:hAnsi="仿宋" w:eastAsia="仿宋_GB2312" w:cs="宋体"/>
          <w:kern w:val="0"/>
          <w:sz w:val="28"/>
          <w:szCs w:val="28"/>
        </w:rPr>
        <w:t>、</w:t>
      </w:r>
      <w:r>
        <w:rPr>
          <w:rFonts w:hint="eastAsia" w:ascii="仿宋_GB2312" w:hAnsi="仿宋" w:eastAsia="仿宋_GB2312"/>
          <w:sz w:val="28"/>
          <w:szCs w:val="28"/>
        </w:rPr>
        <w:t>我方己向贵方提交了投标保证金</w:t>
      </w:r>
      <w:r>
        <w:rPr>
          <w:rFonts w:hint="eastAsia" w:ascii="仿宋_GB2312" w:hAnsi="仿宋" w:eastAsia="仿宋_GB2312"/>
          <w:sz w:val="28"/>
          <w:szCs w:val="28"/>
          <w:u w:val="single"/>
        </w:rPr>
        <w:t xml:space="preserve">                    </w:t>
      </w:r>
      <w:r>
        <w:rPr>
          <w:rFonts w:hint="eastAsia" w:ascii="仿宋_GB2312" w:hAnsi="仿宋" w:eastAsia="仿宋_GB2312"/>
          <w:sz w:val="28"/>
          <w:szCs w:val="28"/>
        </w:rPr>
        <w:t>人民币，若我方违反招标文件的有关规定，同意贵方取消我方投标资格并没收投标保证金。</w:t>
      </w:r>
      <w:r>
        <w:rPr>
          <w:rFonts w:hint="eastAsia" w:ascii="仿宋_GB2312" w:hAnsi="仿宋" w:eastAsia="仿宋_GB2312" w:cs="宋体"/>
          <w:kern w:val="0"/>
          <w:sz w:val="28"/>
          <w:szCs w:val="28"/>
        </w:rPr>
        <w:t>。</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lang w:val="en-US" w:eastAsia="zh-CN"/>
        </w:rPr>
        <w:t>4</w:t>
      </w:r>
      <w:r>
        <w:rPr>
          <w:rFonts w:hint="eastAsia" w:ascii="仿宋_GB2312" w:hAnsi="仿宋" w:eastAsia="仿宋_GB2312" w:cs="宋体"/>
          <w:kern w:val="0"/>
          <w:sz w:val="28"/>
          <w:szCs w:val="28"/>
        </w:rPr>
        <w:t>、投标人同意提供招标代理机构可能要求的与其投标有关的一切数据或资料。</w:t>
      </w:r>
    </w:p>
    <w:p>
      <w:pPr>
        <w:autoSpaceDE w:val="0"/>
        <w:autoSpaceDN w:val="0"/>
        <w:adjustRightInd w:val="0"/>
        <w:spacing w:line="400" w:lineRule="exact"/>
        <w:ind w:right="246"/>
        <w:rPr>
          <w:rFonts w:hint="eastAsia" w:ascii="仿宋_GB2312" w:hAnsi="仿宋" w:eastAsia="仿宋_GB2312"/>
          <w:kern w:val="0"/>
          <w:sz w:val="28"/>
          <w:szCs w:val="28"/>
        </w:rPr>
      </w:pPr>
    </w:p>
    <w:p>
      <w:pPr>
        <w:autoSpaceDE w:val="0"/>
        <w:autoSpaceDN w:val="0"/>
        <w:adjustRightInd w:val="0"/>
        <w:spacing w:line="400" w:lineRule="exact"/>
        <w:ind w:right="246"/>
        <w:rPr>
          <w:rFonts w:hint="eastAsia" w:ascii="仿宋_GB2312" w:hAnsi="仿宋" w:eastAsia="仿宋_GB2312"/>
          <w:kern w:val="0"/>
          <w:sz w:val="28"/>
          <w:szCs w:val="28"/>
        </w:rPr>
      </w:pPr>
    </w:p>
    <w:p>
      <w:pPr>
        <w:adjustRightInd w:val="0"/>
        <w:snapToGrid w:val="0"/>
        <w:spacing w:line="480" w:lineRule="auto"/>
        <w:ind w:firstLine="1260" w:firstLineChars="45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sz w:val="28"/>
          <w:szCs w:val="28"/>
        </w:rPr>
        <w:t>：</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line="480" w:lineRule="auto"/>
        <w:rPr>
          <w:rFonts w:hint="eastAsia" w:ascii="仿宋_GB2312" w:hAnsi="仿宋" w:eastAsia="仿宋_GB2312"/>
          <w:b/>
          <w:bCs/>
          <w:color w:val="auto"/>
          <w:sz w:val="32"/>
          <w:szCs w:val="32"/>
        </w:rPr>
      </w:pPr>
    </w:p>
    <w:p>
      <w:pPr>
        <w:spacing w:line="480" w:lineRule="auto"/>
        <w:ind w:firstLine="1446" w:firstLineChars="450"/>
        <w:rPr>
          <w:rFonts w:hint="eastAsia" w:ascii="仿宋_GB2312" w:hAnsi="仿宋" w:eastAsia="仿宋_GB2312"/>
          <w:b/>
          <w:bCs/>
          <w:color w:val="auto"/>
          <w:sz w:val="32"/>
          <w:szCs w:val="32"/>
        </w:rPr>
      </w:pPr>
    </w:p>
    <w:p>
      <w:pPr>
        <w:spacing w:line="480" w:lineRule="auto"/>
        <w:ind w:firstLine="1446" w:firstLineChars="450"/>
        <w:rPr>
          <w:rFonts w:hint="eastAsia" w:ascii="仿宋_GB2312" w:hAnsi="仿宋" w:eastAsia="仿宋_GB2312"/>
          <w:b/>
          <w:bCs/>
          <w:color w:val="auto"/>
          <w:sz w:val="32"/>
          <w:szCs w:val="32"/>
        </w:rPr>
      </w:pPr>
      <w:r>
        <w:rPr>
          <w:rFonts w:hint="eastAsia" w:ascii="仿宋_GB2312" w:hAnsi="仿宋" w:eastAsia="仿宋_GB2312"/>
          <w:b/>
          <w:bCs/>
          <w:color w:val="auto"/>
          <w:sz w:val="32"/>
          <w:szCs w:val="32"/>
        </w:rPr>
        <w:t>二 、 法定代表人资格证明书及授权委托书</w:t>
      </w:r>
    </w:p>
    <w:p>
      <w:pPr>
        <w:spacing w:line="480" w:lineRule="exact"/>
        <w:jc w:val="center"/>
        <w:rPr>
          <w:rFonts w:hint="eastAsia" w:ascii="仿宋_GB2312" w:hAnsi="仿宋" w:eastAsia="仿宋_GB2312"/>
          <w:b/>
          <w:sz w:val="28"/>
          <w:szCs w:val="28"/>
        </w:rPr>
      </w:pPr>
      <w:r>
        <w:rPr>
          <w:rFonts w:hint="eastAsia" w:ascii="仿宋_GB2312" w:hAnsi="仿宋" w:eastAsia="仿宋_GB2312"/>
          <w:b/>
          <w:sz w:val="28"/>
          <w:szCs w:val="28"/>
        </w:rPr>
        <w:t>（1）法定代表人资格证明书</w:t>
      </w:r>
    </w:p>
    <w:p>
      <w:pPr>
        <w:adjustRightInd w:val="0"/>
        <w:snapToGrid w:val="0"/>
        <w:spacing w:line="300" w:lineRule="auto"/>
        <w:rPr>
          <w:rFonts w:hint="eastAsia"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lang w:val="en-US" w:eastAsia="zh-CN"/>
        </w:rPr>
        <w:t xml:space="preserve">奇台县自然资源局   </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bookmarkStart w:id="9" w:name="_Toc48547015"/>
      <w:bookmarkStart w:id="10" w:name="_Toc535300004"/>
      <w:bookmarkStart w:id="11" w:name="_Toc118541763"/>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单位名称：</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单位性质：</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地    址：</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 xml:space="preserve">成立时间：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u w:val="single"/>
          <w:lang w:val="en-US" w:eastAsia="zh-CN"/>
        </w:rPr>
        <w:t xml:space="preserve">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经营期限：</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姓    名：</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性别：</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 xml:space="preserve">  年龄：</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职务：</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系</w:t>
      </w:r>
      <w:r>
        <w:rPr>
          <w:rFonts w:hint="eastAsia" w:ascii="仿宋_GB2312" w:hAnsi="宋体" w:eastAsia="仿宋_GB2312" w:cs="宋体"/>
          <w:bCs/>
          <w:spacing w:val="8"/>
          <w:sz w:val="28"/>
          <w:szCs w:val="28"/>
          <w:u w:val="single"/>
        </w:rPr>
        <w:t xml:space="preserve">     （供应商名称）         </w:t>
      </w:r>
      <w:r>
        <w:rPr>
          <w:rFonts w:hint="eastAsia" w:ascii="仿宋_GB2312" w:hAnsi="宋体" w:eastAsia="仿宋_GB2312" w:cs="宋体"/>
          <w:bCs/>
          <w:spacing w:val="8"/>
          <w:sz w:val="28"/>
          <w:szCs w:val="28"/>
        </w:rPr>
        <w:t xml:space="preserve"> 的法定代表人。</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特此证明。</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投标人名称：</w:t>
      </w:r>
      <w:r>
        <w:rPr>
          <w:rFonts w:hint="eastAsia" w:ascii="仿宋_GB2312" w:hAnsi="宋体" w:eastAsia="仿宋_GB2312" w:cs="宋体"/>
          <w:bCs/>
          <w:spacing w:val="8"/>
          <w:sz w:val="28"/>
          <w:szCs w:val="28"/>
          <w:u w:val="single"/>
        </w:rPr>
        <w:t xml:space="preserve">                              （盖公章）</w:t>
      </w:r>
    </w:p>
    <w:p>
      <w:pPr>
        <w:spacing w:line="360" w:lineRule="auto"/>
        <w:ind w:firstLine="592" w:firstLineChars="200"/>
        <w:rPr>
          <w:rFonts w:hint="eastAsia" w:ascii="仿宋_GB2312" w:hAnsi="宋体" w:eastAsia="仿宋_GB2312" w:cs="宋体"/>
          <w:b/>
          <w:spacing w:val="8"/>
          <w:sz w:val="32"/>
          <w:szCs w:val="32"/>
        </w:rPr>
      </w:pPr>
      <w:r>
        <w:rPr>
          <w:rFonts w:hint="eastAsia" w:ascii="仿宋_GB2312" w:hAnsi="宋体" w:eastAsia="仿宋_GB2312" w:cs="宋体"/>
          <w:bCs/>
          <w:spacing w:val="8"/>
          <w:sz w:val="28"/>
          <w:szCs w:val="28"/>
        </w:rPr>
        <w:t>日  期：</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ind w:firstLine="675" w:firstLineChars="200"/>
        <w:rPr>
          <w:rFonts w:hint="eastAsia" w:ascii="仿宋_GB2312" w:hAnsi="宋体" w:eastAsia="仿宋_GB2312" w:cs="宋体"/>
          <w:b/>
          <w:spacing w:val="8"/>
          <w:sz w:val="32"/>
          <w:szCs w:val="32"/>
        </w:rPr>
      </w:pPr>
    </w:p>
    <w:p>
      <w:pPr>
        <w:spacing w:line="480" w:lineRule="auto"/>
        <w:ind w:firstLine="840" w:firstLineChars="300"/>
        <w:rPr>
          <w:rFonts w:hint="eastAsia" w:ascii="仿宋_GB2312" w:hAnsi="仿宋" w:eastAsia="仿宋_GB2312"/>
          <w:sz w:val="28"/>
          <w:szCs w:val="28"/>
        </w:rPr>
      </w:pPr>
    </w:p>
    <w:p>
      <w:pPr>
        <w:rPr>
          <w:rFonts w:hint="eastAsia" w:ascii="仿宋_GB2312" w:hAnsi="仿宋" w:eastAsia="仿宋_GB2312"/>
          <w:b/>
          <w:sz w:val="28"/>
          <w:szCs w:val="28"/>
        </w:rPr>
      </w:pPr>
      <w:r>
        <w:rPr>
          <w:rFonts w:hint="eastAsia" w:ascii="仿宋_GB2312" w:hAnsi="仿宋" w:eastAsia="仿宋_GB2312"/>
          <w:sz w:val="28"/>
          <w:szCs w:val="28"/>
        </w:rPr>
        <w:t xml:space="preserve"> </w:t>
      </w:r>
      <w:r>
        <w:rPr>
          <w:rFonts w:hint="eastAsia" w:ascii="仿宋_GB2312" w:hAnsi="仿宋" w:eastAsia="仿宋_GB2312"/>
          <w:b/>
          <w:sz w:val="28"/>
          <w:szCs w:val="28"/>
        </w:rPr>
        <w:t xml:space="preserve">          </w:t>
      </w:r>
      <w:r>
        <w:rPr>
          <w:rFonts w:hint="eastAsia" w:ascii="仿宋_GB2312" w:hAnsi="仿宋" w:eastAsia="仿宋_GB2312"/>
          <w:b/>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2336;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7&#10;lJAA0gAAAAYBAAAPAAAAAAAAAAEAIAAAACIAAABkcnMvZG93bnJldi54bWxQSwECFAAUAAAACACH&#10;TuJAW7e8oyoCAABSBAAADgAAAAAAAAABACAAAAAh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_GB2312" w:hAnsi="仿宋" w:eastAsia="仿宋_GB2312"/>
          <w:b/>
          <w:sz w:val="28"/>
          <w:szCs w:val="28"/>
        </w:rPr>
      </w:pPr>
    </w:p>
    <w:p>
      <w:pPr>
        <w:shd w:val="clear" w:color="auto" w:fill="FFFFFF"/>
        <w:spacing w:before="100" w:beforeAutospacing="1" w:after="100" w:afterAutospacing="1" w:line="440" w:lineRule="atLeast"/>
        <w:rPr>
          <w:rFonts w:hint="eastAsia" w:ascii="仿宋_GB2312" w:hAnsi="仿宋" w:eastAsia="仿宋_GB2312"/>
          <w:b/>
          <w:sz w:val="32"/>
          <w:szCs w:val="32"/>
        </w:rPr>
      </w:pPr>
      <w:bookmarkStart w:id="12" w:name="_Toc210101349"/>
    </w:p>
    <w:p>
      <w:pPr>
        <w:shd w:val="clear" w:color="auto" w:fill="FFFFFF"/>
        <w:spacing w:before="100" w:beforeAutospacing="1" w:after="100" w:afterAutospacing="1" w:line="440" w:lineRule="atLeast"/>
        <w:ind w:firstLine="1108" w:firstLineChars="345"/>
        <w:rPr>
          <w:rFonts w:hint="eastAsia" w:ascii="仿宋_GB2312" w:hAnsi="_5b8b_4f53" w:eastAsia="仿宋_GB2312"/>
          <w:b/>
          <w:bCs/>
          <w:color w:val="000000"/>
          <w:sz w:val="32"/>
          <w:szCs w:val="32"/>
        </w:rPr>
      </w:pPr>
    </w:p>
    <w:p>
      <w:pPr>
        <w:widowControl/>
        <w:spacing w:line="560" w:lineRule="exact"/>
        <w:ind w:firstLine="1590" w:firstLineChars="495"/>
        <w:jc w:val="left"/>
        <w:rPr>
          <w:rFonts w:hint="eastAsia" w:ascii="仿宋_GB2312" w:hAnsi="_5b8b_4f53" w:eastAsia="仿宋_GB2312"/>
          <w:b/>
          <w:bCs/>
          <w:color w:val="000000"/>
          <w:sz w:val="32"/>
          <w:szCs w:val="32"/>
        </w:rPr>
      </w:pPr>
      <w:r>
        <w:rPr>
          <w:rFonts w:hint="eastAsia" w:ascii="仿宋_GB2312" w:hAnsi="_5b8b_4f53" w:eastAsia="仿宋_GB2312"/>
          <w:b/>
          <w:bCs/>
          <w:color w:val="000000"/>
          <w:sz w:val="32"/>
          <w:szCs w:val="32"/>
        </w:rPr>
        <w:t xml:space="preserve">   </w:t>
      </w:r>
    </w:p>
    <w:p>
      <w:pPr>
        <w:widowControl/>
        <w:spacing w:line="560" w:lineRule="exact"/>
        <w:ind w:firstLine="1590" w:firstLineChars="495"/>
        <w:jc w:val="left"/>
        <w:rPr>
          <w:rFonts w:hint="eastAsia" w:ascii="仿宋_GB2312" w:hAnsi="_5b8b_4f53" w:eastAsia="仿宋_GB2312"/>
          <w:b/>
          <w:bCs/>
          <w:color w:val="000000"/>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cs="宋体"/>
          <w:b/>
          <w:kern w:val="0"/>
          <w:sz w:val="32"/>
          <w:szCs w:val="32"/>
        </w:rPr>
      </w:pPr>
      <w:r>
        <w:rPr>
          <w:rFonts w:hint="eastAsia" w:ascii="仿宋_GB2312" w:hAnsi="仿宋" w:eastAsia="仿宋_GB2312"/>
          <w:b/>
          <w:sz w:val="32"/>
          <w:szCs w:val="32"/>
        </w:rPr>
        <w:t>（2）</w:t>
      </w:r>
      <w:r>
        <w:rPr>
          <w:rFonts w:hint="eastAsia" w:ascii="仿宋_GB2312" w:hAnsi="仿宋" w:eastAsia="仿宋_GB2312" w:cs="宋体"/>
          <w:b/>
          <w:bCs/>
          <w:spacing w:val="20"/>
          <w:kern w:val="0"/>
          <w:sz w:val="32"/>
          <w:szCs w:val="32"/>
        </w:rPr>
        <w:t>投标方法人代表授权书</w:t>
      </w:r>
    </w:p>
    <w:p>
      <w:pPr>
        <w:adjustRightInd w:val="0"/>
        <w:snapToGrid w:val="0"/>
        <w:spacing w:line="300" w:lineRule="auto"/>
        <w:rPr>
          <w:rFonts w:hint="eastAsia" w:ascii="仿宋_GB2312" w:hAnsi="仿宋" w:eastAsia="仿宋_GB2312"/>
          <w:sz w:val="32"/>
          <w:szCs w:val="32"/>
        </w:rPr>
      </w:pPr>
    </w:p>
    <w:p>
      <w:pPr>
        <w:adjustRightInd w:val="0"/>
        <w:snapToGrid w:val="0"/>
        <w:spacing w:line="300" w:lineRule="auto"/>
        <w:rPr>
          <w:rFonts w:hint="eastAsia"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lang w:val="en-US" w:eastAsia="zh-CN"/>
        </w:rPr>
        <w:t xml:space="preserve">奇台县自然资源局  </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本授权书声明：注册于</w:t>
      </w:r>
      <w:r>
        <w:rPr>
          <w:rFonts w:hint="eastAsia" w:ascii="仿宋_GB2312" w:hAnsi="仿宋" w:eastAsia="仿宋_GB2312" w:cs="宋体"/>
          <w:kern w:val="0"/>
          <w:sz w:val="28"/>
          <w:szCs w:val="28"/>
          <w:u w:val="single"/>
        </w:rPr>
        <w:t>（地区的名称）</w:t>
      </w:r>
      <w:r>
        <w:rPr>
          <w:rFonts w:hint="eastAsia" w:ascii="仿宋_GB2312" w:hAnsi="仿宋" w:eastAsia="仿宋_GB2312" w:cs="宋体"/>
          <w:kern w:val="0"/>
          <w:sz w:val="28"/>
          <w:szCs w:val="28"/>
        </w:rPr>
        <w:t>的</w:t>
      </w:r>
      <w:r>
        <w:rPr>
          <w:rFonts w:hint="eastAsia" w:ascii="仿宋_GB2312" w:hAnsi="仿宋" w:eastAsia="仿宋_GB2312" w:cs="宋体"/>
          <w:kern w:val="0"/>
          <w:sz w:val="28"/>
          <w:szCs w:val="28"/>
          <w:u w:val="single"/>
        </w:rPr>
        <w:t>（公司名称）</w:t>
      </w:r>
      <w:r>
        <w:rPr>
          <w:rFonts w:hint="eastAsia" w:ascii="仿宋_GB2312" w:hAnsi="仿宋" w:eastAsia="仿宋_GB2312" w:cs="宋体"/>
          <w:kern w:val="0"/>
          <w:sz w:val="28"/>
          <w:szCs w:val="28"/>
        </w:rPr>
        <w:t xml:space="preserve">，法人代表 </w:t>
      </w:r>
      <w:r>
        <w:rPr>
          <w:rFonts w:hint="eastAsia" w:ascii="仿宋_GB2312" w:hAnsi="仿宋" w:eastAsia="仿宋_GB2312" w:cs="宋体"/>
          <w:kern w:val="0"/>
          <w:sz w:val="28"/>
          <w:szCs w:val="28"/>
          <w:u w:val="single"/>
        </w:rPr>
        <w:t>（姓名、职务）</w:t>
      </w:r>
      <w:r>
        <w:rPr>
          <w:rFonts w:hint="eastAsia" w:ascii="仿宋_GB2312" w:hAnsi="仿宋" w:eastAsia="仿宋_GB2312" w:cs="宋体"/>
          <w:kern w:val="0"/>
          <w:sz w:val="28"/>
          <w:szCs w:val="28"/>
        </w:rPr>
        <w:t>，代表本公司授权</w:t>
      </w:r>
      <w:r>
        <w:rPr>
          <w:rFonts w:hint="eastAsia" w:ascii="仿宋_GB2312" w:hAnsi="仿宋" w:eastAsia="仿宋_GB2312" w:cs="宋体"/>
          <w:kern w:val="0"/>
          <w:sz w:val="28"/>
          <w:szCs w:val="28"/>
          <w:u w:val="single"/>
        </w:rPr>
        <w:t>（被授权人的姓名、职务）</w:t>
      </w:r>
      <w:r>
        <w:rPr>
          <w:rFonts w:hint="eastAsia" w:ascii="仿宋_GB2312" w:hAnsi="仿宋" w:eastAsia="仿宋_GB2312" w:cs="宋体"/>
          <w:kern w:val="0"/>
          <w:sz w:val="28"/>
          <w:szCs w:val="28"/>
        </w:rPr>
        <w:t xml:space="preserve">为本公司的合法代理人，就 </w:t>
      </w:r>
      <w:r>
        <w:rPr>
          <w:rFonts w:hint="eastAsia" w:ascii="仿宋_GB2312" w:hAnsi="仿宋" w:eastAsia="仿宋_GB2312" w:cs="宋体"/>
          <w:kern w:val="0"/>
          <w:sz w:val="28"/>
          <w:szCs w:val="28"/>
          <w:u w:val="single"/>
        </w:rPr>
        <w:t xml:space="preserve"> （项目名称） </w:t>
      </w:r>
      <w:r>
        <w:rPr>
          <w:rFonts w:hint="eastAsia" w:ascii="仿宋_GB2312" w:hAnsi="仿宋" w:eastAsia="仿宋_GB2312" w:cs="宋体"/>
          <w:kern w:val="0"/>
          <w:sz w:val="28"/>
          <w:szCs w:val="28"/>
        </w:rPr>
        <w:t>参与磋商，以本公司的名义处理一切与之有关的事物。</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投标人全称（公章）：</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法人代表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s="宋体"/>
          <w:kern w:val="0"/>
          <w:sz w:val="28"/>
          <w:szCs w:val="28"/>
        </w:rPr>
        <w:t>）：</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日</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全权代表姓名：</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职务：</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身</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份</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证号码：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详细通信地址：</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邮</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政</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编</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传真：</w:t>
      </w:r>
      <w:r>
        <w:rPr>
          <w:rFonts w:hint="eastAsia" w:ascii="仿宋_GB2312" w:hAnsi="仿宋" w:eastAsia="仿宋_GB2312"/>
          <w:kern w:val="0"/>
          <w:sz w:val="28"/>
          <w:szCs w:val="28"/>
        </w:rPr>
        <w:t xml:space="preserve">               </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电话：</w:t>
      </w:r>
    </w:p>
    <w:p>
      <w:pPr>
        <w:spacing w:line="360" w:lineRule="auto"/>
        <w:ind w:firstLine="1664" w:firstLineChars="650"/>
        <w:jc w:val="left"/>
        <w:rPr>
          <w:rFonts w:hint="eastAsia" w:ascii="仿宋_GB2312" w:hAnsi="宋体" w:eastAsia="仿宋_GB2312" w:cs="宋体"/>
          <w:spacing w:val="8"/>
          <w:sz w:val="24"/>
        </w:rPr>
      </w:pPr>
      <w:r>
        <w:rPr>
          <w:rFonts w:hint="eastAsia" w:ascii="仿宋_GB2312" w:hAnsi="宋体" w:eastAsia="仿宋_GB2312" w:cs="宋体"/>
          <w:spacing w:val="8"/>
          <w:sz w:val="24"/>
        </w:rPr>
        <w:t>被授权人《居民身份证》复印件正反面：</w:t>
      </w:r>
    </w:p>
    <w:p>
      <w:pPr>
        <w:spacing w:line="360" w:lineRule="auto"/>
        <w:ind w:firstLine="420"/>
        <w:rPr>
          <w:rFonts w:hint="eastAsia" w:ascii="仿宋_GB2312" w:hAnsi="仿宋" w:eastAsia="仿宋_GB2312"/>
          <w:sz w:val="28"/>
          <w:szCs w:val="28"/>
          <w:u w:val="single"/>
        </w:rPr>
      </w:pPr>
      <w:r>
        <w:rPr>
          <w:rFonts w:hint="eastAsia" w:ascii="仿宋_GB2312" w:hAnsi="仿宋" w:eastAsia="仿宋_GB2312"/>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173355</wp:posOffset>
                </wp:positionV>
                <wp:extent cx="4914900" cy="1584325"/>
                <wp:effectExtent l="4445" t="4445" r="14605" b="11430"/>
                <wp:wrapNone/>
                <wp:docPr id="11" name="流程图: 可选过程 11"/>
                <wp:cNvGraphicFramePr/>
                <a:graphic xmlns:a="http://schemas.openxmlformats.org/drawingml/2006/main">
                  <a:graphicData uri="http://schemas.microsoft.com/office/word/2010/wordprocessingShape">
                    <wps:wsp>
                      <wps:cNvSpPr/>
                      <wps:spPr>
                        <a:xfrm>
                          <a:off x="0" y="0"/>
                          <a:ext cx="49149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4.75pt;width:387pt;z-index:251663360;mso-width-relative:page;mso-height-relative:page;" fillcolor="#FFFFFF" filled="t" stroked="t" coordsize="21600,21600" o:gfxdata="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3S8BNcAAAAJAQAADwAAAAAAAAABACAAAAAiAAAAZHJzL2Rvd25yZXYueG1sUEsBAhQAFAAA&#10;AAgAh07iQMlEuAEpAgAAUgQAAA4AAAAAAAAAAQAgAAAAJg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bookmarkEnd w:id="9"/>
    <w:bookmarkEnd w:id="10"/>
    <w:bookmarkEnd w:id="11"/>
    <w:bookmarkEnd w:id="12"/>
    <w:p>
      <w:pPr>
        <w:shd w:val="clear" w:color="auto" w:fill="FFFFFF"/>
        <w:spacing w:before="100" w:beforeAutospacing="1" w:after="100" w:afterAutospacing="1" w:line="440" w:lineRule="atLeast"/>
        <w:ind w:firstLine="964" w:firstLineChars="300"/>
        <w:rPr>
          <w:rFonts w:hint="eastAsia" w:ascii="仿宋_GB2312" w:hAnsi="_5b8b_4f53" w:eastAsia="仿宋_GB2312"/>
          <w:b/>
          <w:bCs/>
          <w:color w:val="000000"/>
          <w:sz w:val="32"/>
          <w:szCs w:val="32"/>
          <w:highlight w:val="none"/>
        </w:rPr>
      </w:pPr>
    </w:p>
    <w:p>
      <w:pPr>
        <w:pStyle w:val="11"/>
        <w:rPr>
          <w:rFonts w:hint="eastAsia" w:ascii="仿宋_GB2312" w:hAnsi="_5b8b_4f53" w:eastAsia="仿宋_GB2312"/>
          <w:b/>
          <w:bCs/>
          <w:color w:val="000000"/>
          <w:sz w:val="32"/>
          <w:szCs w:val="32"/>
          <w:highlight w:val="none"/>
        </w:rPr>
      </w:pPr>
    </w:p>
    <w:p>
      <w:pPr>
        <w:pStyle w:val="27"/>
        <w:rPr>
          <w:rFonts w:hint="eastAsia" w:ascii="仿宋_GB2312" w:hAnsi="_5b8b_4f53" w:eastAsia="仿宋_GB2312"/>
          <w:b/>
          <w:bCs/>
          <w:color w:val="000000"/>
          <w:sz w:val="32"/>
          <w:szCs w:val="32"/>
          <w:highlight w:val="none"/>
        </w:rPr>
      </w:pPr>
    </w:p>
    <w:p>
      <w:pPr>
        <w:pStyle w:val="7"/>
        <w:rPr>
          <w:rFonts w:hint="eastAsia" w:ascii="仿宋_GB2312" w:hAnsi="_5b8b_4f53" w:eastAsia="仿宋_GB2312"/>
          <w:b/>
          <w:bCs/>
          <w:color w:val="000000"/>
          <w:sz w:val="32"/>
          <w:szCs w:val="32"/>
          <w:highlight w:val="none"/>
        </w:rPr>
      </w:pPr>
    </w:p>
    <w:p>
      <w:pPr>
        <w:rPr>
          <w:rFonts w:hint="eastAsia"/>
        </w:rPr>
      </w:pPr>
    </w:p>
    <w:p>
      <w:pPr>
        <w:shd w:val="clear" w:color="auto" w:fill="FFFFFF"/>
        <w:spacing w:before="100" w:beforeAutospacing="1" w:after="100" w:afterAutospacing="1" w:line="440" w:lineRule="atLeast"/>
        <w:ind w:firstLine="964" w:firstLineChars="300"/>
        <w:rPr>
          <w:rFonts w:hint="eastAsia" w:ascii="仿宋_GB2312" w:hAnsi="_5b8b_4f53" w:eastAsia="仿宋_GB2312"/>
          <w:b/>
          <w:bCs/>
          <w:color w:val="000000"/>
          <w:sz w:val="32"/>
          <w:szCs w:val="32"/>
          <w:highlight w:val="none"/>
        </w:rPr>
      </w:pPr>
    </w:p>
    <w:p>
      <w:pPr>
        <w:shd w:val="clear" w:color="auto" w:fill="FFFFFF"/>
        <w:spacing w:before="100" w:beforeAutospacing="1" w:after="100" w:afterAutospacing="1" w:line="440" w:lineRule="atLeast"/>
        <w:ind w:firstLine="964" w:firstLineChars="300"/>
        <w:rPr>
          <w:rFonts w:hint="eastAsia" w:ascii="仿宋_GB2312" w:hAnsi="宋体" w:eastAsia="仿宋_GB2312"/>
          <w:color w:val="000000"/>
          <w:sz w:val="32"/>
          <w:szCs w:val="32"/>
          <w:highlight w:val="none"/>
        </w:rPr>
      </w:pPr>
      <w:r>
        <w:rPr>
          <w:rFonts w:hint="eastAsia" w:ascii="仿宋_GB2312" w:hAnsi="_5b8b_4f53" w:eastAsia="仿宋_GB2312"/>
          <w:b/>
          <w:bCs/>
          <w:color w:val="000000"/>
          <w:sz w:val="32"/>
          <w:szCs w:val="32"/>
          <w:highlight w:val="none"/>
        </w:rPr>
        <w:t>（3）投标人基本情况表（附资格审查资料）</w:t>
      </w:r>
    </w:p>
    <w:p>
      <w:pPr>
        <w:shd w:val="clear" w:color="auto" w:fill="FFFFFF"/>
        <w:spacing w:before="100" w:beforeAutospacing="1" w:after="100" w:afterAutospacing="1"/>
        <w:jc w:val="center"/>
        <w:rPr>
          <w:rFonts w:hint="eastAsia" w:ascii="仿宋_GB2312" w:hAnsi="宋体" w:eastAsia="仿宋_GB2312"/>
          <w:color w:val="000000"/>
          <w:sz w:val="32"/>
          <w:szCs w:val="32"/>
          <w:highlight w:val="none"/>
        </w:rPr>
      </w:pPr>
      <w:r>
        <w:rPr>
          <w:rFonts w:hint="eastAsia" w:ascii="仿宋_GB2312" w:hAnsi="_5b8b_4f53" w:eastAsia="仿宋_GB2312"/>
          <w:b/>
          <w:bCs/>
          <w:color w:val="000000"/>
          <w:sz w:val="32"/>
          <w:szCs w:val="32"/>
          <w:highlight w:val="none"/>
        </w:rPr>
        <w:t>企业基本情况简介</w:t>
      </w:r>
    </w:p>
    <w:tbl>
      <w:tblPr>
        <w:tblStyle w:val="28"/>
        <w:tblW w:w="8659" w:type="dxa"/>
        <w:tblInd w:w="-10" w:type="dxa"/>
        <w:shd w:val="clear" w:color="auto" w:fill="FFFFFF"/>
        <w:tblLayout w:type="fixed"/>
        <w:tblCellMar>
          <w:top w:w="0" w:type="dxa"/>
          <w:left w:w="0" w:type="dxa"/>
          <w:bottom w:w="0" w:type="dxa"/>
          <w:right w:w="0" w:type="dxa"/>
        </w:tblCellMar>
      </w:tblPr>
      <w:tblGrid>
        <w:gridCol w:w="1946"/>
        <w:gridCol w:w="1028"/>
        <w:gridCol w:w="1392"/>
        <w:gridCol w:w="848"/>
        <w:gridCol w:w="1727"/>
        <w:gridCol w:w="1718"/>
      </w:tblGrid>
      <w:tr>
        <w:tblPrEx>
          <w:tblCellMar>
            <w:top w:w="0" w:type="dxa"/>
            <w:left w:w="0" w:type="dxa"/>
            <w:bottom w:w="0" w:type="dxa"/>
            <w:right w:w="0" w:type="dxa"/>
          </w:tblCellMar>
        </w:tblPrEx>
        <w:trPr>
          <w:trHeight w:val="515"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企业注册名称</w:t>
            </w:r>
          </w:p>
        </w:tc>
        <w:tc>
          <w:tcPr>
            <w:tcW w:w="326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建立日期</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CellMar>
            <w:top w:w="0" w:type="dxa"/>
            <w:left w:w="0" w:type="dxa"/>
            <w:bottom w:w="0" w:type="dxa"/>
            <w:right w:w="0" w:type="dxa"/>
          </w:tblCellMar>
        </w:tblPrEx>
        <w:trPr>
          <w:trHeight w:val="515" w:hRule="atLeast"/>
        </w:trPr>
        <w:tc>
          <w:tcPr>
            <w:tcW w:w="1946"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企业法人代表</w:t>
            </w:r>
          </w:p>
        </w:tc>
        <w:tc>
          <w:tcPr>
            <w:tcW w:w="102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_5b8b_4f53" w:hAnsi="_5b8b_4f53" w:eastAsia="仿宋_GB2312"/>
                <w:highlight w:val="none"/>
              </w:rPr>
            </w:pPr>
            <w:r>
              <w:rPr>
                <w:rFonts w:hint="eastAsia" w:ascii="_5b8b_4f53" w:hAnsi="_5b8b_4f53" w:eastAsia="仿宋_GB2312"/>
                <w:highlight w:val="none"/>
              </w:rPr>
              <w:t> </w:t>
            </w:r>
          </w:p>
          <w:p>
            <w:pPr>
              <w:spacing w:before="100" w:beforeAutospacing="1" w:after="100" w:afterAutospacing="1"/>
              <w:ind w:firstLine="630"/>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职称</w:t>
            </w:r>
          </w:p>
        </w:tc>
        <w:tc>
          <w:tcPr>
            <w:tcW w:w="8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企业性质</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tblCellMar>
            <w:top w:w="0" w:type="dxa"/>
            <w:left w:w="0" w:type="dxa"/>
            <w:bottom w:w="0" w:type="dxa"/>
            <w:right w:w="0" w:type="dxa"/>
          </w:tblCellMar>
        </w:tblPrEx>
        <w:trPr>
          <w:trHeight w:val="515" w:hRule="atLeast"/>
        </w:trPr>
        <w:tc>
          <w:tcPr>
            <w:tcW w:w="1946"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p>
        </w:tc>
        <w:tc>
          <w:tcPr>
            <w:tcW w:w="1028"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ind w:firstLine="630"/>
              <w:jc w:val="center"/>
              <w:rPr>
                <w:rFonts w:hint="eastAsia" w:ascii="仿宋_GB2312" w:hAnsi="宋体" w:eastAsia="仿宋_GB2312" w:cs="宋体"/>
                <w:sz w:val="24"/>
                <w:highlight w:val="none"/>
              </w:rPr>
            </w:pP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经营方式</w:t>
            </w:r>
          </w:p>
        </w:tc>
        <w:tc>
          <w:tcPr>
            <w:tcW w:w="4293" w:type="dxa"/>
            <w:gridSpan w:val="3"/>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CellMar>
            <w:top w:w="0" w:type="dxa"/>
            <w:left w:w="0" w:type="dxa"/>
            <w:bottom w:w="0" w:type="dxa"/>
            <w:right w:w="0" w:type="dxa"/>
          </w:tblCellMar>
        </w:tblPrEx>
        <w:trPr>
          <w:trHeight w:val="3091"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highlight w:val="none"/>
              </w:rPr>
            </w:pPr>
            <w:r>
              <w:rPr>
                <w:rFonts w:hint="eastAsia" w:ascii="_5b8b_4f53" w:hAnsi="_5b8b_4f53" w:eastAsia="仿宋_GB2312"/>
                <w:highlight w:val="none"/>
              </w:rPr>
              <w:t> </w:t>
            </w:r>
            <w:r>
              <w:rPr>
                <w:rFonts w:hint="eastAsia" w:ascii="仿宋_GB2312" w:hAnsi="_5b8b_4f53" w:eastAsia="仿宋_GB2312"/>
                <w:highlight w:val="none"/>
              </w:rPr>
              <w:t>经</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营</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范</w:t>
            </w:r>
          </w:p>
          <w:p>
            <w:pPr>
              <w:spacing w:before="100" w:beforeAutospacing="1" w:after="100" w:afterAutospacing="1"/>
              <w:ind w:firstLine="750"/>
              <w:rPr>
                <w:rFonts w:hint="eastAsia" w:ascii="仿宋_GB2312" w:eastAsia="仿宋_GB2312"/>
                <w:highlight w:val="none"/>
              </w:rPr>
            </w:pPr>
            <w:r>
              <w:rPr>
                <w:rFonts w:hint="eastAsia" w:ascii="仿宋_GB2312" w:hAnsi="_5b8b_4f53" w:eastAsia="仿宋_GB2312"/>
                <w:highlight w:val="none"/>
              </w:rPr>
              <w:t>围</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CellMar>
            <w:top w:w="0" w:type="dxa"/>
            <w:left w:w="0" w:type="dxa"/>
            <w:bottom w:w="0" w:type="dxa"/>
            <w:right w:w="0" w:type="dxa"/>
          </w:tblCellMar>
        </w:tblPrEx>
        <w:trPr>
          <w:trHeight w:val="2467"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highlight w:val="none"/>
              </w:rPr>
            </w:pPr>
            <w:r>
              <w:rPr>
                <w:rFonts w:hint="eastAsia" w:ascii="_5b8b_4f53" w:hAnsi="_5b8b_4f53" w:eastAsia="仿宋_GB2312"/>
                <w:highlight w:val="none"/>
              </w:rPr>
              <w:t> </w:t>
            </w:r>
            <w:r>
              <w:rPr>
                <w:rFonts w:hint="eastAsia" w:ascii="仿宋_GB2312" w:hAnsi="_5b8b_4f53" w:eastAsia="仿宋_GB2312"/>
                <w:highlight w:val="none"/>
              </w:rPr>
              <w:t>企</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业</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简</w:t>
            </w:r>
          </w:p>
          <w:p>
            <w:pPr>
              <w:spacing w:before="100" w:beforeAutospacing="1" w:after="100" w:afterAutospacing="1"/>
              <w:ind w:firstLine="750"/>
              <w:rPr>
                <w:rFonts w:hint="eastAsia" w:ascii="仿宋_GB2312" w:eastAsia="仿宋_GB2312"/>
                <w:highlight w:val="none"/>
              </w:rPr>
            </w:pPr>
            <w:r>
              <w:rPr>
                <w:rFonts w:hint="eastAsia" w:ascii="仿宋_GB2312" w:hAnsi="_5b8b_4f53" w:eastAsia="仿宋_GB2312"/>
                <w:highlight w:val="none"/>
              </w:rPr>
              <w:t>历</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bl>
    <w:p>
      <w:pPr>
        <w:rPr>
          <w:rFonts w:hint="eastAsia" w:ascii="仿宋_GB2312" w:hAnsi="_5b8b_4f53" w:eastAsia="仿宋_GB2312"/>
          <w:b/>
          <w:color w:val="FF0000"/>
          <w:sz w:val="24"/>
          <w:highlight w:val="none"/>
        </w:rPr>
      </w:pPr>
    </w:p>
    <w:p>
      <w:pPr>
        <w:rPr>
          <w:rFonts w:hint="eastAsia" w:ascii="仿宋_GB2312" w:hAnsi="_5b8b_4f53" w:eastAsia="仿宋_GB2312"/>
          <w:b/>
          <w:color w:val="FF0000"/>
          <w:sz w:val="24"/>
          <w:highlight w:val="none"/>
        </w:rPr>
      </w:pPr>
    </w:p>
    <w:p>
      <w:pPr>
        <w:shd w:val="clear" w:color="auto" w:fill="FFFFFF"/>
        <w:spacing w:before="100" w:beforeAutospacing="1" w:after="100" w:afterAutospacing="1" w:line="340" w:lineRule="atLeast"/>
        <w:textAlignment w:val="bottom"/>
        <w:rPr>
          <w:rFonts w:hint="eastAsia"/>
          <w:b w:val="0"/>
          <w:bCs w:val="0"/>
          <w:sz w:val="32"/>
          <w:szCs w:val="32"/>
          <w:lang w:eastAsia="zh-CN"/>
        </w:rPr>
      </w:pPr>
      <w:r>
        <w:rPr>
          <w:rFonts w:hint="eastAsia" w:ascii="仿宋_GB2312" w:hAnsi="_5b8b_4f53" w:eastAsia="仿宋_GB2312"/>
          <w:b/>
          <w:color w:val="auto"/>
          <w:sz w:val="24"/>
          <w:highlight w:val="none"/>
          <w:lang w:val="en-US" w:eastAsia="zh-CN"/>
        </w:rPr>
        <w:t xml:space="preserve"> </w:t>
      </w:r>
      <w:r>
        <w:rPr>
          <w:rFonts w:hint="eastAsia" w:ascii="仿宋_GB2312" w:hAnsi="_5b8b_4f53" w:eastAsia="仿宋_GB2312"/>
          <w:b/>
          <w:color w:val="auto"/>
          <w:sz w:val="24"/>
          <w:highlight w:val="none"/>
        </w:rPr>
        <w:t>备注：</w:t>
      </w:r>
      <w:r>
        <w:rPr>
          <w:rFonts w:hint="eastAsia" w:ascii="仿宋_GB2312" w:hAnsi="_5b8b_4f53" w:eastAsia="仿宋_GB2312"/>
          <w:b/>
          <w:color w:val="auto"/>
          <w:sz w:val="24"/>
          <w:highlight w:val="none"/>
          <w:u w:val="single"/>
        </w:rPr>
        <w:t>在本表后附</w:t>
      </w:r>
      <w:r>
        <w:rPr>
          <w:rFonts w:hint="eastAsia" w:ascii="仿宋_GB2312" w:hAnsi="_5b8b_4f53" w:eastAsia="仿宋_GB2312"/>
          <w:b/>
          <w:color w:val="auto"/>
          <w:sz w:val="24"/>
          <w:highlight w:val="none"/>
          <w:u w:val="single"/>
          <w:lang w:eastAsia="zh-CN"/>
        </w:rPr>
        <w:t>以下复印件</w:t>
      </w:r>
      <w:r>
        <w:rPr>
          <w:rFonts w:hint="eastAsia" w:ascii="仿宋_GB2312" w:hAnsi="_5b8b_4f53" w:eastAsia="仿宋_GB2312"/>
          <w:b/>
          <w:color w:val="auto"/>
          <w:sz w:val="24"/>
          <w:highlight w:val="none"/>
          <w:u w:val="single"/>
          <w:lang w:val="en-US" w:eastAsia="zh-CN"/>
        </w:rPr>
        <w:t>(1)营业执照原件或加盖公章复印件（须包含本次招标范围）。(2)法定代理人授权委托书及委托代理人身份证复印件;（3）投标人应持有土地规划乙级及以上资质和土地估价机构备案函。（4）中国政府采购网(www.ccgp.gov.cn)、“信用中国”网站（www.creditchina.gov.cn）信用记录截图（日期必须在发布公告日期之后）（5）投标保证金凭证凭证及其他证明材料（并加盖单位公章）。</w:t>
      </w:r>
      <w:bookmarkStart w:id="13" w:name="_Toc514163614"/>
      <w:bookmarkStart w:id="14" w:name="_Toc514163727"/>
    </w:p>
    <w:p>
      <w:pPr>
        <w:pStyle w:val="10"/>
        <w:rPr>
          <w:rFonts w:hint="eastAsia"/>
          <w:b w:val="0"/>
          <w:bCs w:val="0"/>
          <w:sz w:val="32"/>
          <w:szCs w:val="32"/>
          <w:lang w:eastAsia="zh-CN"/>
        </w:rPr>
      </w:pPr>
    </w:p>
    <w:p>
      <w:pPr>
        <w:adjustRightInd w:val="0"/>
        <w:snapToGrid w:val="0"/>
        <w:spacing w:line="360" w:lineRule="auto"/>
        <w:jc w:val="both"/>
        <w:rPr>
          <w:rFonts w:hint="eastAsia" w:ascii="仿宋_GB2312" w:hAnsi="仿宋" w:eastAsia="仿宋_GB2312" w:cs="Times New Roman"/>
          <w:b/>
          <w:color w:val="auto"/>
          <w:sz w:val="32"/>
          <w:szCs w:val="32"/>
          <w:highlight w:val="none"/>
          <w:lang w:eastAsia="zh-CN"/>
        </w:rPr>
      </w:pPr>
    </w:p>
    <w:p>
      <w:pPr>
        <w:adjustRightInd w:val="0"/>
        <w:snapToGrid w:val="0"/>
        <w:spacing w:line="360" w:lineRule="auto"/>
        <w:jc w:val="center"/>
        <w:rPr>
          <w:rFonts w:hint="eastAsia" w:ascii="仿宋_GB2312" w:hAnsi="仿宋" w:eastAsia="仿宋_GB2312" w:cs="Times New Roman"/>
          <w:color w:val="auto"/>
          <w:sz w:val="28"/>
          <w:szCs w:val="28"/>
          <w:highlight w:val="none"/>
        </w:rPr>
      </w:pPr>
      <w:r>
        <w:rPr>
          <w:rFonts w:hint="eastAsia" w:ascii="仿宋_GB2312" w:hAnsi="仿宋" w:eastAsia="仿宋_GB2312" w:cs="Times New Roman"/>
          <w:b/>
          <w:color w:val="auto"/>
          <w:sz w:val="32"/>
          <w:szCs w:val="32"/>
          <w:highlight w:val="none"/>
          <w:lang w:val="en-US" w:eastAsia="zh-CN"/>
        </w:rPr>
        <w:t>三、</w:t>
      </w:r>
      <w:r>
        <w:rPr>
          <w:rFonts w:hint="eastAsia" w:ascii="仿宋_GB2312" w:hAnsi="仿宋" w:eastAsia="仿宋_GB2312" w:cs="Times New Roman"/>
          <w:b/>
          <w:color w:val="auto"/>
          <w:sz w:val="32"/>
          <w:szCs w:val="32"/>
          <w:highlight w:val="none"/>
          <w:lang w:eastAsia="zh-CN"/>
        </w:rPr>
        <w:t>中小企业声明函</w:t>
      </w:r>
    </w:p>
    <w:p>
      <w:pPr>
        <w:pStyle w:val="19"/>
        <w:spacing w:line="540" w:lineRule="exact"/>
        <w:ind w:left="1" w:leftChars="0"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本公司（联合体）郑重声明，根据《政府采购促进中小企业发展管理办法》（财库（2020）46 号）的规定，本公司（联合体）参加</w:t>
      </w:r>
      <w:r>
        <w:rPr>
          <w:rFonts w:hint="eastAsia" w:ascii="仿宋_GB2312" w:hAnsi="仿宋" w:eastAsia="仿宋_GB2312" w:cs="Times New Roman"/>
          <w:color w:val="auto"/>
          <w:sz w:val="28"/>
          <w:szCs w:val="28"/>
          <w:highlight w:val="none"/>
          <w:u w:val="single"/>
        </w:rPr>
        <w:t>（单位名称）</w:t>
      </w:r>
      <w:r>
        <w:rPr>
          <w:rFonts w:hint="eastAsia" w:ascii="仿宋_GB2312" w:hAnsi="仿宋" w:eastAsia="仿宋_GB2312" w:cs="Times New Roman"/>
          <w:color w:val="auto"/>
          <w:sz w:val="28"/>
          <w:szCs w:val="28"/>
          <w:highlight w:val="none"/>
        </w:rPr>
        <w:t>的</w:t>
      </w:r>
      <w:r>
        <w:rPr>
          <w:rFonts w:hint="eastAsia" w:ascii="仿宋_GB2312" w:hAnsi="仿宋" w:eastAsia="仿宋_GB2312" w:cs="Times New Roman"/>
          <w:color w:val="auto"/>
          <w:sz w:val="28"/>
          <w:szCs w:val="28"/>
          <w:highlight w:val="none"/>
          <w:u w:val="single"/>
        </w:rPr>
        <w:t>（项目名称）</w:t>
      </w:r>
      <w:r>
        <w:rPr>
          <w:rFonts w:hint="eastAsia" w:ascii="仿宋_GB2312" w:hAnsi="仿宋" w:eastAsia="仿宋_GB2312" w:cs="Times New Roman"/>
          <w:color w:val="auto"/>
          <w:sz w:val="28"/>
          <w:szCs w:val="28"/>
          <w:highlight w:val="none"/>
        </w:rPr>
        <w:t>采购活动，服务全部由符合政策要求的中小企业承接。相关企业（含联合体中的中小企业、签订分包意向协议的中小企业）的具体情况如下：</w:t>
      </w:r>
    </w:p>
    <w:p>
      <w:pPr>
        <w:pStyle w:val="19"/>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1、</w:t>
      </w:r>
      <w:r>
        <w:rPr>
          <w:rFonts w:hint="eastAsia" w:ascii="仿宋_GB2312" w:hAnsi="仿宋" w:eastAsia="仿宋_GB2312" w:cs="Times New Roman"/>
          <w:color w:val="auto"/>
          <w:sz w:val="28"/>
          <w:szCs w:val="28"/>
          <w:highlight w:val="none"/>
          <w:u w:val="single"/>
        </w:rPr>
        <w:t>（标的名称），属于（采购文件中明确的所属行业）；承建（承接）企业为（企业名称），从业人员人，营业收入为＿万元，资产总额为万元，属于（中型企业、小型企业、微型企业</w:t>
      </w:r>
      <w:r>
        <w:rPr>
          <w:rFonts w:hint="eastAsia" w:ascii="仿宋_GB2312" w:hAnsi="仿宋" w:eastAsia="仿宋_GB2312" w:cs="Times New Roman"/>
          <w:color w:val="auto"/>
          <w:sz w:val="28"/>
          <w:szCs w:val="28"/>
          <w:highlight w:val="none"/>
          <w:u w:val="none"/>
        </w:rPr>
        <w:t>）；</w:t>
      </w:r>
    </w:p>
    <w:p>
      <w:pPr>
        <w:pStyle w:val="19"/>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2、</w:t>
      </w:r>
      <w:r>
        <w:rPr>
          <w:rFonts w:hint="eastAsia" w:ascii="仿宋_GB2312" w:hAnsi="仿宋" w:eastAsia="仿宋_GB2312" w:cs="Times New Roman"/>
          <w:color w:val="auto"/>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19"/>
        <w:numPr>
          <w:ilvl w:val="0"/>
          <w:numId w:val="0"/>
        </w:numPr>
        <w:spacing w:line="540" w:lineRule="exact"/>
        <w:ind w:leftChars="200"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以上企业，不属于大企业的分支机构，不存在控股股东为大企业的情形，也不存在与大企业的负责人为同一人的情形。</w:t>
      </w:r>
    </w:p>
    <w:p>
      <w:pPr>
        <w:pStyle w:val="19"/>
        <w:numPr>
          <w:ilvl w:val="0"/>
          <w:numId w:val="0"/>
        </w:numPr>
        <w:spacing w:line="540" w:lineRule="exact"/>
        <w:ind w:leftChars="200"/>
        <w:rPr>
          <w:rFonts w:hint="eastAsia" w:ascii="宋体" w:hAnsi="宋体" w:cs="宋体"/>
          <w:b/>
          <w:bCs/>
          <w:color w:val="auto"/>
          <w:sz w:val="36"/>
          <w:szCs w:val="36"/>
          <w:lang w:val="en-US" w:eastAsia="zh-CN"/>
        </w:rPr>
      </w:pPr>
      <w:r>
        <w:rPr>
          <w:rFonts w:hint="eastAsia" w:ascii="仿宋_GB2312" w:hAnsi="仿宋" w:eastAsia="仿宋_GB2312" w:cs="Times New Roman"/>
          <w:color w:val="auto"/>
          <w:sz w:val="28"/>
          <w:szCs w:val="28"/>
          <w:highlight w:val="none"/>
        </w:rPr>
        <w:t>本企业对上述声明内容的真实性负责。如有虚假，将依法承担相应责任。</w:t>
      </w:r>
    </w:p>
    <w:p>
      <w:pPr>
        <w:pStyle w:val="19"/>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企业名称（盖章）：</w:t>
      </w:r>
    </w:p>
    <w:p>
      <w:pPr>
        <w:pStyle w:val="19"/>
        <w:numPr>
          <w:ilvl w:val="0"/>
          <w:numId w:val="0"/>
        </w:numPr>
        <w:spacing w:line="540" w:lineRule="exact"/>
        <w:ind w:firstLine="1680" w:firstLineChars="600"/>
        <w:rPr>
          <w:rFonts w:hint="eastAsia" w:ascii="宋体" w:hAnsi="宋体" w:cs="宋体"/>
          <w:b/>
          <w:bCs/>
          <w:color w:val="auto"/>
          <w:spacing w:val="0"/>
          <w:sz w:val="21"/>
          <w:lang w:eastAsia="zh-CN"/>
        </w:rPr>
      </w:pPr>
      <w:r>
        <w:rPr>
          <w:rFonts w:hint="eastAsia" w:ascii="仿宋_GB2312" w:hAnsi="仿宋" w:eastAsia="仿宋_GB2312" w:cs="Times New Roman"/>
          <w:color w:val="auto"/>
          <w:sz w:val="28"/>
          <w:szCs w:val="28"/>
          <w:highlight w:val="none"/>
        </w:rPr>
        <w:t>日</w:t>
      </w:r>
      <w:r>
        <w:rPr>
          <w:rFonts w:hint="eastAsia" w:ascii="仿宋_GB2312" w:hAnsi="仿宋" w:eastAsia="仿宋_GB2312" w:cs="Times New Roman"/>
          <w:color w:val="auto"/>
          <w:sz w:val="28"/>
          <w:szCs w:val="28"/>
          <w:highlight w:val="none"/>
          <w:lang w:val="en-US" w:eastAsia="zh-CN"/>
        </w:rPr>
        <w:t xml:space="preserve"> </w:t>
      </w:r>
      <w:r>
        <w:rPr>
          <w:rFonts w:hint="eastAsia" w:ascii="仿宋_GB2312" w:hAnsi="仿宋" w:eastAsia="仿宋_GB2312" w:cs="Times New Roman"/>
          <w:color w:val="auto"/>
          <w:sz w:val="28"/>
          <w:szCs w:val="28"/>
          <w:highlight w:val="none"/>
        </w:rPr>
        <w:t xml:space="preserve"> 期：</w:t>
      </w:r>
    </w:p>
    <w:p>
      <w:pPr>
        <w:pStyle w:val="22"/>
        <w:rPr>
          <w:rFonts w:hint="eastAsia" w:ascii="宋体" w:hAnsi="宋体" w:cs="宋体"/>
          <w:b/>
          <w:bCs/>
          <w:color w:val="auto"/>
          <w:spacing w:val="0"/>
          <w:sz w:val="21"/>
          <w:lang w:eastAsia="zh-CN"/>
        </w:rPr>
      </w:pPr>
    </w:p>
    <w:p>
      <w:pPr>
        <w:pStyle w:val="22"/>
        <w:rPr>
          <w:rFonts w:hint="eastAsia" w:ascii="宋体" w:hAnsi="宋体" w:cs="宋体"/>
          <w:b/>
          <w:bCs/>
          <w:color w:val="auto"/>
          <w:spacing w:val="0"/>
          <w:sz w:val="21"/>
          <w:lang w:eastAsia="zh-CN"/>
        </w:rPr>
      </w:pPr>
    </w:p>
    <w:p>
      <w:pPr>
        <w:pStyle w:val="22"/>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注：1、认为本企业属于中小企业的，可按照《办法，财库〔2021〕6号》的规定出具《中小企业声明函》，享受相关扶持政策相关规定。</w:t>
      </w:r>
    </w:p>
    <w:p>
      <w:pPr>
        <w:pStyle w:val="22"/>
        <w:rPr>
          <w:rFonts w:hint="eastAsia" w:ascii="仿宋_GB2312" w:hAnsi="仿宋" w:eastAsia="仿宋_GB2312" w:cs="Times New Roman"/>
          <w:b/>
          <w:bCs/>
          <w:color w:val="auto"/>
          <w:sz w:val="32"/>
          <w:szCs w:val="32"/>
          <w:highlight w:val="none"/>
          <w:lang w:eastAsia="zh-CN"/>
        </w:rPr>
      </w:pPr>
      <w:r>
        <w:rPr>
          <w:rFonts w:hint="eastAsia" w:ascii="宋体" w:hAnsi="宋体" w:cs="宋体"/>
          <w:b/>
          <w:bCs/>
          <w:color w:val="auto"/>
          <w:spacing w:val="0"/>
          <w:sz w:val="21"/>
          <w:lang w:eastAsia="zh-CN"/>
        </w:rPr>
        <w:t>2、未按上述要求提供、填写的，评审时不予以考虑。</w:t>
      </w:r>
    </w:p>
    <w:p>
      <w:pPr>
        <w:pStyle w:val="22"/>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3、从业人员、营业收入、资产总额填报上一年度数据，无上一年度数据的新成立企业可不填报。</w:t>
      </w:r>
    </w:p>
    <w:p>
      <w:pPr>
        <w:pStyle w:val="22"/>
        <w:rPr>
          <w:rFonts w:hint="eastAsia" w:ascii="仿宋_GB2312" w:hAnsi="仿宋" w:eastAsia="仿宋_GB2312" w:cs="Times New Roman"/>
          <w:b/>
          <w:color w:val="auto"/>
          <w:sz w:val="32"/>
          <w:szCs w:val="32"/>
          <w:highlight w:val="none"/>
          <w:lang w:eastAsia="zh-CN"/>
        </w:rPr>
      </w:pPr>
      <w:r>
        <w:rPr>
          <w:rFonts w:hint="eastAsia" w:ascii="宋体" w:hAnsi="宋体" w:cs="宋体"/>
          <w:b/>
          <w:bCs/>
          <w:color w:val="auto"/>
          <w:spacing w:val="0"/>
          <w:sz w:val="21"/>
          <w:lang w:val="en-US" w:eastAsia="zh-CN"/>
        </w:rPr>
        <w:t>4、本项目采购标的对应的中小企业划分标准（详见附件）所属行业：</w:t>
      </w:r>
      <w:r>
        <w:rPr>
          <w:rFonts w:hint="eastAsia" w:ascii="宋体" w:hAnsi="宋体" w:cs="宋体"/>
          <w:b/>
          <w:bCs/>
          <w:color w:val="auto"/>
          <w:spacing w:val="0"/>
          <w:sz w:val="21"/>
          <w:highlight w:val="green"/>
          <w:u w:val="single"/>
          <w:lang w:val="en-US" w:eastAsia="zh-CN"/>
        </w:rPr>
        <w:t>其他未列明行业</w:t>
      </w:r>
      <w:r>
        <w:rPr>
          <w:rFonts w:hint="eastAsia" w:ascii="宋体" w:hAnsi="宋体" w:cs="宋体"/>
          <w:b/>
          <w:bCs/>
          <w:color w:val="auto"/>
          <w:spacing w:val="0"/>
          <w:sz w:val="21"/>
          <w:lang w:val="en-US" w:eastAsia="zh-CN"/>
        </w:rPr>
        <w:t xml:space="preserve">（包括科学研究和技术服务业，水利、环境和公共设施管理业，居民服务、修理和其他服务业，社会工作，文化、体育和娱乐业等）。  </w:t>
      </w:r>
    </w:p>
    <w:p>
      <w:pPr>
        <w:pStyle w:val="23"/>
        <w:widowControl/>
        <w:snapToGrid w:val="0"/>
        <w:spacing w:beforeAutospacing="0" w:afterAutospacing="0"/>
        <w:rPr>
          <w:rStyle w:val="41"/>
          <w:rFonts w:hint="default"/>
          <w:b/>
          <w:bCs/>
          <w:color w:val="auto"/>
          <w:u w:val="single"/>
        </w:rPr>
      </w:pPr>
    </w:p>
    <w:p>
      <w:pPr>
        <w:adjustRightInd w:val="0"/>
        <w:snapToGrid w:val="0"/>
        <w:spacing w:line="360" w:lineRule="auto"/>
        <w:jc w:val="both"/>
        <w:rPr>
          <w:rFonts w:hint="eastAsia" w:ascii="宋体" w:hAnsi="宋体" w:cs="宋体"/>
          <w:b/>
          <w:bCs/>
          <w:color w:val="auto"/>
          <w:spacing w:val="0"/>
          <w:sz w:val="21"/>
          <w:lang w:val="en-US" w:eastAsia="zh-CN"/>
        </w:rPr>
      </w:pPr>
    </w:p>
    <w:p>
      <w:pPr>
        <w:adjustRightInd w:val="0"/>
        <w:snapToGrid w:val="0"/>
        <w:spacing w:line="360" w:lineRule="auto"/>
        <w:jc w:val="both"/>
        <w:rPr>
          <w:rFonts w:hint="eastAsia" w:ascii="仿宋_GB2312" w:hAnsi="仿宋" w:eastAsia="仿宋_GB2312"/>
          <w:b/>
          <w:sz w:val="32"/>
          <w:szCs w:val="32"/>
          <w:highlight w:val="none"/>
          <w:lang w:eastAsia="zh-CN"/>
        </w:rPr>
      </w:pPr>
    </w:p>
    <w:p>
      <w:pPr>
        <w:adjustRightInd w:val="0"/>
        <w:snapToGrid w:val="0"/>
        <w:spacing w:line="360" w:lineRule="auto"/>
        <w:jc w:val="both"/>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附件：</w:t>
      </w:r>
      <w:r>
        <w:rPr>
          <w:rFonts w:hint="eastAsia" w:ascii="仿宋_GB2312" w:hAnsi="仿宋" w:eastAsia="仿宋_GB2312"/>
          <w:b/>
          <w:sz w:val="32"/>
          <w:szCs w:val="32"/>
          <w:highlight w:val="none"/>
          <w:lang w:val="en-US" w:eastAsia="zh-CN"/>
        </w:rPr>
        <w:t>1</w:t>
      </w:r>
    </w:p>
    <w:p>
      <w:pPr>
        <w:widowControl/>
        <w:spacing w:before="75" w:after="75" w:line="480" w:lineRule="atLeast"/>
        <w:ind w:firstLine="480"/>
        <w:jc w:val="center"/>
        <w:rPr>
          <w:rFonts w:ascii="Arial" w:hAnsi="Arial" w:cs="Arial"/>
          <w:b/>
          <w:bCs/>
          <w:sz w:val="27"/>
          <w:szCs w:val="27"/>
        </w:rPr>
      </w:pPr>
      <w:r>
        <w:rPr>
          <w:rFonts w:hint="eastAsia" w:ascii="仿宋_GB2312" w:hAnsi="仿宋" w:eastAsia="仿宋_GB2312" w:cs="Times New Roman"/>
          <w:b/>
          <w:sz w:val="32"/>
          <w:szCs w:val="32"/>
          <w:highlight w:val="none"/>
          <w:lang w:eastAsia="zh-CN"/>
        </w:rPr>
        <w:t>监狱企业声明函（如有）</w:t>
      </w:r>
      <w:r>
        <w:rPr>
          <w:rFonts w:hint="eastAsia" w:ascii="Arial" w:hAnsi="Arial" w:cs="Arial"/>
          <w:b/>
          <w:bCs/>
          <w:sz w:val="27"/>
          <w:szCs w:val="27"/>
        </w:rPr>
        <w:t xml:space="preserve"> </w:t>
      </w:r>
    </w:p>
    <w:p>
      <w:pPr>
        <w:pStyle w:val="19"/>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本单位郑重声明，本单位在参加（采购人名称）的（招标项目名称）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pPr>
        <w:pStyle w:val="19"/>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（1）□（制造商名称）属于监狱企业，后附省级以上监狱管理局、戒毒管理 局（含新疆生产建设兵团）出具的属于监狱企业的证明文件。</w:t>
      </w:r>
    </w:p>
    <w:p>
      <w:pPr>
        <w:pStyle w:val="19"/>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（2）□（制造商名称）属于监狱企业并作为联合体一方，其提供协议合同 金额占到共同投标协议合同总金额的比例为      。后附省级以上监狱管理局、戒毒管理局（含新疆生产建设兵团）出具的属于监狱企业的证明文件。</w:t>
      </w:r>
    </w:p>
    <w:p>
      <w:pPr>
        <w:pStyle w:val="19"/>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（3）□（制造商名称）属于监狱企业并作为分包方，其提供协议合同金额 占到分包意向协议合同总金额的比例为      。后附省级以上监狱管理局、戒 毒管理局（含新疆生产建设兵团）出具的属于监狱企业的证明文件。</w:t>
      </w:r>
    </w:p>
    <w:p>
      <w:pPr>
        <w:pStyle w:val="19"/>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本单位对上述声明的真实性负责。如有虚假，将依法承担相应责任。</w:t>
      </w:r>
    </w:p>
    <w:p>
      <w:pPr>
        <w:pStyle w:val="19"/>
        <w:spacing w:line="540" w:lineRule="exact"/>
        <w:ind w:firstLine="1400" w:firstLineChars="500"/>
        <w:rPr>
          <w:rFonts w:hint="eastAsia" w:ascii="仿宋_GB2312" w:hAnsi="仿宋" w:eastAsia="仿宋_GB2312"/>
          <w:sz w:val="28"/>
          <w:szCs w:val="28"/>
          <w:highlight w:val="none"/>
          <w:lang w:eastAsia="zh-CN"/>
        </w:rPr>
      </w:pPr>
    </w:p>
    <w:p>
      <w:pPr>
        <w:pStyle w:val="19"/>
        <w:spacing w:line="540" w:lineRule="exact"/>
        <w:ind w:firstLine="1400" w:firstLineChars="5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单位名称（盖公章）：</w:t>
      </w:r>
    </w:p>
    <w:p>
      <w:pPr>
        <w:pStyle w:val="19"/>
        <w:spacing w:line="540" w:lineRule="exact"/>
        <w:ind w:left="1" w:leftChars="0" w:firstLine="3080" w:firstLineChars="11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 xml:space="preserve">日  </w:t>
      </w:r>
      <w:r>
        <w:rPr>
          <w:rFonts w:hint="eastAsia" w:ascii="仿宋_GB2312" w:hAnsi="仿宋" w:eastAsia="仿宋_GB2312"/>
          <w:sz w:val="28"/>
          <w:szCs w:val="28"/>
          <w:highlight w:val="none"/>
          <w:lang w:val="en-US" w:eastAsia="zh-CN"/>
        </w:rPr>
        <w:t xml:space="preserve"> </w:t>
      </w:r>
      <w:r>
        <w:rPr>
          <w:rFonts w:hint="eastAsia" w:ascii="仿宋_GB2312" w:hAnsi="仿宋" w:eastAsia="仿宋_GB2312"/>
          <w:sz w:val="28"/>
          <w:szCs w:val="28"/>
          <w:highlight w:val="none"/>
          <w:lang w:eastAsia="zh-CN"/>
        </w:rPr>
        <w:t xml:space="preserve">  期： </w:t>
      </w:r>
    </w:p>
    <w:p>
      <w:pPr>
        <w:pStyle w:val="19"/>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注：监狱企业视同为小型、微型企业</w:t>
      </w: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附件：</w:t>
      </w:r>
      <w:r>
        <w:rPr>
          <w:rFonts w:hint="eastAsia" w:ascii="仿宋_GB2312" w:hAnsi="仿宋" w:eastAsia="仿宋_GB2312"/>
          <w:b/>
          <w:sz w:val="32"/>
          <w:szCs w:val="32"/>
          <w:highlight w:val="none"/>
          <w:lang w:val="en-US" w:eastAsia="zh-CN"/>
        </w:rPr>
        <w:t>2</w:t>
      </w:r>
    </w:p>
    <w:p>
      <w:pPr>
        <w:adjustRightInd w:val="0"/>
        <w:snapToGrid w:val="0"/>
        <w:spacing w:line="360" w:lineRule="auto"/>
        <w:ind w:firstLine="2570" w:firstLineChars="800"/>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残疾人福利性单位声明函</w:t>
      </w:r>
      <w:r>
        <w:rPr>
          <w:rFonts w:hint="eastAsia" w:ascii="仿宋_GB2312" w:hAnsi="仿宋" w:eastAsia="仿宋_GB2312"/>
          <w:b/>
          <w:sz w:val="32"/>
          <w:szCs w:val="32"/>
          <w:highlight w:val="none"/>
          <w:lang w:val="en-US" w:eastAsia="zh-CN"/>
        </w:rPr>
        <w:t>(如有）</w:t>
      </w:r>
    </w:p>
    <w:p>
      <w:pPr>
        <w:adjustRightInd w:val="0"/>
        <w:snapToGrid w:val="0"/>
        <w:spacing w:line="360" w:lineRule="auto"/>
        <w:jc w:val="center"/>
        <w:rPr>
          <w:rFonts w:hint="eastAsia" w:ascii="仿宋_GB2312" w:hAnsi="宋体" w:eastAsia="仿宋_GB2312"/>
          <w:b/>
          <w:color w:val="auto"/>
          <w:sz w:val="24"/>
          <w:highlight w:val="none"/>
          <w:u w:val="single"/>
          <w:lang w:eastAsia="zh-CN"/>
        </w:rPr>
      </w:pPr>
    </w:p>
    <w:p>
      <w:pPr>
        <w:pStyle w:val="19"/>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9"/>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本单位对上述声明的真实性负责。如有虚假，将依法承担相应责任。</w:t>
      </w:r>
    </w:p>
    <w:p>
      <w:pPr>
        <w:pStyle w:val="19"/>
        <w:spacing w:line="540" w:lineRule="exact"/>
        <w:ind w:left="1" w:leftChars="0" w:firstLine="560" w:firstLineChars="200"/>
        <w:rPr>
          <w:rFonts w:hint="eastAsia" w:ascii="仿宋_GB2312" w:hAnsi="仿宋" w:eastAsia="仿宋_GB2312"/>
          <w:sz w:val="28"/>
          <w:szCs w:val="28"/>
          <w:highlight w:val="none"/>
          <w:lang w:eastAsia="zh-CN"/>
        </w:rPr>
      </w:pPr>
    </w:p>
    <w:p>
      <w:pPr>
        <w:pStyle w:val="19"/>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供应商名称（盖章）：</w:t>
      </w:r>
    </w:p>
    <w:p>
      <w:pPr>
        <w:pStyle w:val="19"/>
        <w:spacing w:line="540" w:lineRule="exact"/>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 xml:space="preserve"> 日    期：</w:t>
      </w:r>
    </w:p>
    <w:p>
      <w:pPr>
        <w:adjustRightInd w:val="0"/>
        <w:snapToGrid w:val="0"/>
        <w:spacing w:line="360" w:lineRule="auto"/>
        <w:jc w:val="center"/>
        <w:rPr>
          <w:rFonts w:hint="eastAsia" w:ascii="仿宋_GB2312" w:hAnsi="宋体" w:eastAsia="仿宋_GB2312"/>
          <w:b/>
          <w:color w:val="auto"/>
          <w:sz w:val="24"/>
          <w:highlight w:val="none"/>
          <w:u w:val="single"/>
          <w:lang w:eastAsia="zh-CN"/>
        </w:rPr>
      </w:pPr>
    </w:p>
    <w:p>
      <w:pPr>
        <w:pStyle w:val="19"/>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注：残疾人福利性单位视同为小型、微型企业</w:t>
      </w:r>
    </w:p>
    <w:p>
      <w:pPr>
        <w:pStyle w:val="27"/>
        <w:rPr>
          <w:rFonts w:hint="eastAsia" w:ascii="仿宋_GB2312" w:hAnsi="宋体" w:eastAsia="仿宋_GB2312"/>
          <w:b/>
          <w:color w:val="auto"/>
          <w:sz w:val="24"/>
          <w:highlight w:val="none"/>
          <w:u w:val="single"/>
          <w:lang w:eastAsia="zh-CN"/>
        </w:rPr>
      </w:pPr>
    </w:p>
    <w:p>
      <w:pPr>
        <w:pStyle w:val="7"/>
        <w:rPr>
          <w:rFonts w:hint="eastAsia"/>
          <w:lang w:eastAsia="zh-CN"/>
        </w:rPr>
      </w:pPr>
    </w:p>
    <w:p>
      <w:pPr>
        <w:pStyle w:val="19"/>
        <w:spacing w:line="540" w:lineRule="exact"/>
        <w:ind w:left="1" w:leftChars="0" w:firstLine="562" w:firstLineChars="200"/>
        <w:rPr>
          <w:rFonts w:hint="eastAsia" w:ascii="宋体" w:hAnsi="宋体" w:cs="宋体"/>
          <w:b/>
          <w:bCs/>
          <w:color w:val="auto"/>
          <w:sz w:val="36"/>
          <w:szCs w:val="36"/>
        </w:rPr>
        <w:sectPr>
          <w:footerReference r:id="rId4" w:type="default"/>
          <w:pgSz w:w="11907" w:h="16840"/>
          <w:pgMar w:top="1247" w:right="1418" w:bottom="1247" w:left="1797" w:header="720" w:footer="720" w:gutter="0"/>
          <w:pgNumType w:fmt="decimal"/>
          <w:cols w:space="720" w:num="1"/>
          <w:docGrid w:linePitch="462" w:charSpace="-4266"/>
        </w:sectPr>
      </w:pPr>
      <w:r>
        <w:rPr>
          <w:rFonts w:hint="eastAsia" w:ascii="仿宋_GB2312" w:hAnsi="仿宋" w:eastAsia="仿宋_GB2312"/>
          <w:b/>
          <w:bCs/>
          <w:sz w:val="28"/>
          <w:szCs w:val="28"/>
          <w:highlight w:val="none"/>
          <w:u w:val="single"/>
          <w:lang w:eastAsia="zh-CN"/>
        </w:rPr>
        <w:t>注：中小企业声明函、附件</w:t>
      </w:r>
      <w:r>
        <w:rPr>
          <w:rFonts w:hint="eastAsia" w:ascii="仿宋_GB2312" w:hAnsi="仿宋" w:eastAsia="仿宋_GB2312"/>
          <w:b/>
          <w:bCs/>
          <w:sz w:val="28"/>
          <w:szCs w:val="28"/>
          <w:highlight w:val="none"/>
          <w:u w:val="single"/>
          <w:lang w:val="en-US" w:eastAsia="zh-CN"/>
        </w:rPr>
        <w:t>1、附件2</w:t>
      </w:r>
      <w:r>
        <w:rPr>
          <w:rFonts w:hint="eastAsia" w:ascii="仿宋_GB2312" w:hAnsi="仿宋" w:eastAsia="仿宋_GB2312"/>
          <w:b/>
          <w:bCs/>
          <w:sz w:val="28"/>
          <w:szCs w:val="28"/>
          <w:highlight w:val="none"/>
          <w:u w:val="single"/>
          <w:lang w:eastAsia="zh-CN"/>
        </w:rPr>
        <w:t>供应商根据情况自行选择，不享受相关政策的供应商无需提供</w:t>
      </w:r>
    </w:p>
    <w:bookmarkEnd w:id="13"/>
    <w:bookmarkEnd w:id="14"/>
    <w:p>
      <w:pPr>
        <w:adjustRightInd w:val="0"/>
        <w:snapToGrid w:val="0"/>
        <w:spacing w:line="360" w:lineRule="auto"/>
        <w:ind w:firstLine="2570" w:firstLineChars="800"/>
        <w:rPr>
          <w:rFonts w:hint="eastAsia" w:ascii="仿宋_GB2312" w:hAnsi="仿宋" w:eastAsia="仿宋_GB2312"/>
          <w:b/>
          <w:sz w:val="32"/>
          <w:szCs w:val="32"/>
          <w:highlight w:val="none"/>
          <w:lang w:eastAsia="zh-CN"/>
        </w:rPr>
      </w:pPr>
    </w:p>
    <w:p>
      <w:pPr>
        <w:adjustRightInd w:val="0"/>
        <w:snapToGrid w:val="0"/>
        <w:spacing w:line="360" w:lineRule="auto"/>
        <w:ind w:firstLine="2570" w:firstLineChars="800"/>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eastAsia="zh-CN"/>
        </w:rPr>
        <w:t>四</w:t>
      </w:r>
      <w:r>
        <w:rPr>
          <w:rFonts w:hint="eastAsia" w:ascii="仿宋_GB2312" w:hAnsi="仿宋" w:eastAsia="仿宋_GB2312"/>
          <w:b/>
          <w:sz w:val="32"/>
          <w:szCs w:val="32"/>
          <w:highlight w:val="none"/>
        </w:rPr>
        <w:t>、 开标一览表</w:t>
      </w:r>
    </w:p>
    <w:p>
      <w:pPr>
        <w:widowControl/>
        <w:shd w:val="clear" w:color="auto" w:fill="FFFFFF"/>
        <w:spacing w:line="560" w:lineRule="exac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项目名称：</w:t>
      </w:r>
      <w:r>
        <w:rPr>
          <w:rFonts w:hint="eastAsia" w:ascii="仿宋_GB2312" w:hAnsi="仿宋_GB2312" w:eastAsia="仿宋_GB2312" w:cs="仿宋_GB2312"/>
          <w:kern w:val="0"/>
          <w:sz w:val="28"/>
          <w:szCs w:val="28"/>
          <w:highlight w:val="none"/>
          <w:u w:val="single"/>
          <w:lang w:val="en-US" w:eastAsia="zh-CN"/>
        </w:rPr>
        <w:t xml:space="preserve">                   </w:t>
      </w:r>
    </w:p>
    <w:p>
      <w:pPr>
        <w:widowControl/>
        <w:shd w:val="clear" w:color="auto" w:fill="FFFFFF"/>
        <w:spacing w:line="560" w:lineRule="exact"/>
        <w:rPr>
          <w:rFonts w:hint="eastAsia" w:ascii="仿宋_GB2312" w:hAnsi="仿宋_GB2312" w:eastAsia="仿宋_GB2312" w:cs="仿宋_GB2312"/>
          <w:kern w:val="0"/>
          <w:sz w:val="28"/>
          <w:szCs w:val="28"/>
          <w:highlight w:val="none"/>
          <w:u w:val="single"/>
          <w:lang w:val="en-US" w:eastAsia="zh-CN"/>
        </w:rPr>
      </w:pPr>
      <w:r>
        <w:rPr>
          <w:rFonts w:hint="eastAsia" w:ascii="仿宋_GB2312" w:hAnsi="仿宋_GB2312" w:eastAsia="仿宋_GB2312" w:cs="仿宋_GB2312"/>
          <w:kern w:val="0"/>
          <w:sz w:val="28"/>
          <w:szCs w:val="28"/>
          <w:highlight w:val="none"/>
          <w:lang w:eastAsia="zh-CN"/>
        </w:rPr>
        <w:t>项目</w:t>
      </w:r>
      <w:r>
        <w:rPr>
          <w:rFonts w:hint="eastAsia" w:ascii="仿宋_GB2312" w:hAnsi="仿宋_GB2312" w:eastAsia="仿宋_GB2312" w:cs="仿宋_GB2312"/>
          <w:kern w:val="0"/>
          <w:sz w:val="28"/>
          <w:szCs w:val="28"/>
          <w:highlight w:val="none"/>
        </w:rPr>
        <w:t>编号：</w:t>
      </w:r>
      <w:r>
        <w:rPr>
          <w:rFonts w:hint="eastAsia" w:ascii="仿宋_GB2312" w:hAnsi="仿宋_GB2312" w:eastAsia="仿宋_GB2312" w:cs="仿宋_GB2312"/>
          <w:kern w:val="0"/>
          <w:sz w:val="28"/>
          <w:szCs w:val="28"/>
          <w:highlight w:val="none"/>
          <w:u w:val="single"/>
          <w:lang w:val="en-US" w:eastAsia="zh-CN"/>
        </w:rPr>
        <w:t xml:space="preserve">                   </w:t>
      </w:r>
    </w:p>
    <w:tbl>
      <w:tblPr>
        <w:tblStyle w:val="28"/>
        <w:tblW w:w="88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1"/>
        <w:gridCol w:w="6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11" w:type="dxa"/>
            <w:tcBorders>
              <w:top w:val="single" w:color="auto" w:sz="6" w:space="0"/>
              <w:left w:val="single" w:color="auto" w:sz="4" w:space="0"/>
              <w:bottom w:val="single" w:color="auto" w:sz="6" w:space="0"/>
              <w:right w:val="single" w:color="auto" w:sz="6" w:space="0"/>
            </w:tcBorders>
            <w:noWrap w:val="0"/>
            <w:vAlign w:val="center"/>
          </w:tcPr>
          <w:p>
            <w:pPr>
              <w:pStyle w:val="45"/>
              <w:shd w:val="clear" w:color="auto" w:fill="auto"/>
              <w:snapToGrid w:val="0"/>
              <w:jc w:val="center"/>
              <w:rPr>
                <w:color w:val="auto"/>
                <w:szCs w:val="24"/>
              </w:rPr>
            </w:pPr>
            <w:r>
              <w:rPr>
                <w:rFonts w:hint="eastAsia"/>
                <w:color w:val="auto"/>
                <w:szCs w:val="24"/>
                <w:lang w:eastAsia="zh-CN"/>
              </w:rPr>
              <w:t>项目名称</w:t>
            </w:r>
          </w:p>
        </w:tc>
        <w:tc>
          <w:tcPr>
            <w:tcW w:w="6097" w:type="dxa"/>
            <w:tcBorders>
              <w:top w:val="single" w:color="auto" w:sz="6" w:space="0"/>
              <w:left w:val="single" w:color="auto" w:sz="4" w:space="0"/>
              <w:bottom w:val="single" w:color="auto" w:sz="6" w:space="0"/>
              <w:right w:val="single" w:color="auto" w:sz="6" w:space="0"/>
            </w:tcBorders>
            <w:noWrap w:val="0"/>
            <w:vAlign w:val="center"/>
          </w:tcPr>
          <w:p>
            <w:pPr>
              <w:pStyle w:val="45"/>
              <w:shd w:val="clear" w:color="auto" w:fill="auto"/>
              <w:snapToGrid w:val="0"/>
              <w:jc w:val="center"/>
              <w:rPr>
                <w:b/>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color w:val="auto"/>
                <w:szCs w:val="24"/>
                <w:lang w:eastAsia="zh-CN"/>
              </w:rPr>
            </w:pPr>
            <w:r>
              <w:rPr>
                <w:rFonts w:hint="eastAsia"/>
                <w:color w:val="auto"/>
                <w:szCs w:val="24"/>
                <w:lang w:eastAsia="zh-CN"/>
              </w:rPr>
              <w:t>供应商名称</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color w:val="auto"/>
                <w:szCs w:val="24"/>
                <w:lang w:eastAsia="zh-CN"/>
              </w:rPr>
            </w:pPr>
            <w:r>
              <w:rPr>
                <w:rFonts w:hint="eastAsia"/>
                <w:color w:val="auto"/>
                <w:szCs w:val="24"/>
                <w:lang w:eastAsia="zh-CN"/>
              </w:rPr>
              <w:t>联系人及电话</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eastAsia="宋体"/>
                <w:color w:val="auto"/>
                <w:szCs w:val="24"/>
                <w:lang w:eastAsia="zh-CN"/>
              </w:rPr>
            </w:pPr>
            <w:r>
              <w:rPr>
                <w:rFonts w:hint="eastAsia"/>
                <w:color w:val="auto"/>
                <w:szCs w:val="24"/>
              </w:rPr>
              <w:t>投标总报价</w:t>
            </w:r>
            <w:r>
              <w:rPr>
                <w:rFonts w:hint="eastAsia"/>
                <w:color w:val="auto"/>
                <w:szCs w:val="24"/>
                <w:lang w:eastAsia="zh-CN"/>
              </w:rPr>
              <w:t>（首次）</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rPr>
                <w:rFonts w:hint="eastAsia"/>
                <w:color w:val="auto"/>
                <w:szCs w:val="24"/>
                <w:lang w:eastAsia="zh-CN"/>
              </w:rPr>
            </w:pPr>
          </w:p>
          <w:p>
            <w:pPr>
              <w:pStyle w:val="45"/>
              <w:shd w:val="clear" w:color="auto" w:fill="auto"/>
              <w:snapToGrid w:val="0"/>
              <w:rPr>
                <w:rFonts w:hint="eastAsia"/>
                <w:color w:val="auto"/>
                <w:szCs w:val="24"/>
                <w:lang w:eastAsia="zh-CN"/>
              </w:rPr>
            </w:pPr>
            <w:r>
              <w:rPr>
                <w:rFonts w:hint="eastAsia"/>
                <w:color w:val="auto"/>
                <w:szCs w:val="24"/>
                <w:lang w:eastAsia="zh-CN"/>
              </w:rPr>
              <w:t>小写：</w:t>
            </w:r>
          </w:p>
          <w:p>
            <w:pPr>
              <w:pStyle w:val="45"/>
              <w:shd w:val="clear" w:color="auto" w:fill="auto"/>
              <w:snapToGrid w:val="0"/>
              <w:rPr>
                <w:rFonts w:hint="eastAsia"/>
                <w:color w:val="auto"/>
                <w:szCs w:val="24"/>
                <w:lang w:eastAsia="zh-CN"/>
              </w:rPr>
            </w:pPr>
            <w:r>
              <w:rPr>
                <w:rFonts w:hint="eastAsia"/>
                <w:color w:val="auto"/>
                <w:szCs w:val="24"/>
                <w:lang w:eastAsia="zh-CN"/>
              </w:rPr>
              <w:t xml:space="preserve"> </w:t>
            </w:r>
          </w:p>
          <w:p>
            <w:pPr>
              <w:pStyle w:val="45"/>
              <w:shd w:val="clear" w:color="auto" w:fill="auto"/>
              <w:snapToGrid w:val="0"/>
              <w:rPr>
                <w:rFonts w:hint="eastAsia"/>
                <w:color w:val="auto"/>
                <w:szCs w:val="24"/>
                <w:lang w:eastAsia="zh-CN"/>
              </w:rPr>
            </w:pPr>
            <w:r>
              <w:rPr>
                <w:rFonts w:hint="eastAsia"/>
                <w:color w:val="auto"/>
                <w:szCs w:val="24"/>
              </w:rPr>
              <w:t>大写</w:t>
            </w:r>
            <w:r>
              <w:rPr>
                <w:rFonts w:hint="eastAsia"/>
                <w:color w:val="auto"/>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color w:val="auto"/>
                <w:szCs w:val="24"/>
              </w:rPr>
            </w:pPr>
            <w:r>
              <w:rPr>
                <w:rFonts w:hint="eastAsia"/>
                <w:color w:val="auto"/>
                <w:szCs w:val="24"/>
                <w:lang w:val="en-US" w:eastAsia="zh-CN"/>
              </w:rPr>
              <w:t>服务期</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color w:val="auto"/>
                <w:szCs w:val="24"/>
              </w:rPr>
            </w:pPr>
          </w:p>
        </w:tc>
      </w:tr>
    </w:tbl>
    <w:p>
      <w:pPr>
        <w:adjustRightInd w:val="0"/>
        <w:snapToGrid w:val="0"/>
        <w:spacing w:line="480" w:lineRule="auto"/>
        <w:rPr>
          <w:rFonts w:hint="eastAsia" w:ascii="仿宋_GB2312" w:hAnsi="仿宋" w:eastAsia="仿宋_GB2312"/>
          <w:sz w:val="28"/>
          <w:szCs w:val="28"/>
          <w:highlight w:val="none"/>
        </w:rPr>
      </w:pPr>
    </w:p>
    <w:p>
      <w:pPr>
        <w:adjustRightInd w:val="0"/>
        <w:snapToGrid w:val="0"/>
        <w:spacing w:line="480" w:lineRule="auto"/>
        <w:ind w:firstLine="1680" w:firstLineChars="600"/>
        <w:rPr>
          <w:rFonts w:hint="eastAsia" w:ascii="仿宋_GB2312" w:hAnsi="仿宋" w:eastAsia="仿宋_GB2312"/>
          <w:sz w:val="28"/>
          <w:szCs w:val="28"/>
          <w:highlight w:val="none"/>
        </w:rPr>
      </w:pPr>
      <w:r>
        <w:rPr>
          <w:rFonts w:hint="eastAsia" w:ascii="仿宋_GB2312" w:hAnsi="仿宋" w:eastAsia="仿宋_GB2312"/>
          <w:sz w:val="28"/>
          <w:szCs w:val="28"/>
          <w:highlight w:val="none"/>
        </w:rPr>
        <w:t>供应商名称：</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（盖公章）</w:t>
      </w:r>
    </w:p>
    <w:p>
      <w:pPr>
        <w:adjustRightInd w:val="0"/>
        <w:snapToGrid w:val="0"/>
        <w:spacing w:line="480" w:lineRule="auto"/>
        <w:ind w:firstLine="1680" w:firstLineChars="600"/>
        <w:rPr>
          <w:rFonts w:hint="eastAsia" w:ascii="仿宋_GB2312" w:hAnsi="仿宋" w:eastAsia="仿宋_GB2312"/>
          <w:sz w:val="28"/>
          <w:szCs w:val="28"/>
          <w:highlight w:val="none"/>
          <w:u w:val="single"/>
        </w:rPr>
      </w:pPr>
      <w:r>
        <w:rPr>
          <w:rFonts w:hint="eastAsia" w:ascii="仿宋_GB2312" w:hAnsi="仿宋" w:eastAsia="仿宋_GB2312"/>
          <w:sz w:val="28"/>
          <w:szCs w:val="28"/>
          <w:highlight w:val="none"/>
        </w:rPr>
        <w:t>法定代表人或法定代表人授权代表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u w:val="single"/>
        </w:rPr>
        <w:t xml:space="preserve">           </w:t>
      </w:r>
    </w:p>
    <w:p>
      <w:pPr>
        <w:spacing w:line="480" w:lineRule="auto"/>
        <w:ind w:firstLine="1680" w:firstLineChars="600"/>
        <w:rPr>
          <w:rFonts w:hint="eastAsia" w:ascii="仿宋_GB2312" w:hAnsi="仿宋" w:eastAsia="仿宋_GB2312"/>
          <w:sz w:val="28"/>
          <w:szCs w:val="28"/>
          <w:highlight w:val="none"/>
        </w:rPr>
      </w:pPr>
      <w:r>
        <w:rPr>
          <w:rFonts w:hint="eastAsia" w:ascii="仿宋_GB2312" w:hAnsi="仿宋" w:eastAsia="仿宋_GB2312"/>
          <w:sz w:val="28"/>
          <w:szCs w:val="28"/>
          <w:highlight w:val="none"/>
        </w:rPr>
        <w:t>日期：   年   月   日</w:t>
      </w:r>
    </w:p>
    <w:p>
      <w:pPr>
        <w:jc w:val="left"/>
        <w:rPr>
          <w:rFonts w:hint="eastAsia" w:ascii="仿宋_GB2312" w:hAnsi="仿宋" w:eastAsia="仿宋_GB2312"/>
          <w:b/>
          <w:color w:val="auto"/>
          <w:kern w:val="0"/>
          <w:sz w:val="24"/>
          <w:highlight w:val="none"/>
        </w:rPr>
      </w:pPr>
      <w:r>
        <w:rPr>
          <w:rFonts w:hint="eastAsia" w:ascii="仿宋_GB2312" w:hAnsi="仿宋" w:eastAsia="仿宋_GB2312"/>
          <w:b/>
          <w:color w:val="auto"/>
          <w:kern w:val="0"/>
          <w:sz w:val="24"/>
          <w:highlight w:val="none"/>
        </w:rPr>
        <w:t>备注：</w:t>
      </w:r>
    </w:p>
    <w:p>
      <w:pPr>
        <w:numPr>
          <w:ilvl w:val="0"/>
          <w:numId w:val="0"/>
        </w:numPr>
        <w:shd w:val="clear" w:color="auto" w:fill="auto"/>
        <w:ind w:firstLine="723" w:firstLineChars="300"/>
        <w:jc w:val="left"/>
        <w:rPr>
          <w:rFonts w:hint="eastAsia" w:ascii="仿宋_GB2312" w:hAnsi="宋体" w:eastAsia="仿宋_GB2312" w:cs="Times New Roman"/>
          <w:b/>
          <w:color w:val="auto"/>
          <w:sz w:val="24"/>
          <w:szCs w:val="24"/>
          <w:u w:val="single"/>
        </w:rPr>
      </w:pPr>
      <w:r>
        <w:rPr>
          <w:rFonts w:hint="eastAsia" w:ascii="仿宋_GB2312" w:hAnsi="宋体" w:eastAsia="仿宋_GB2312" w:cs="Times New Roman"/>
          <w:b/>
          <w:color w:val="auto"/>
          <w:sz w:val="24"/>
          <w:szCs w:val="24"/>
          <w:u w:val="single"/>
        </w:rPr>
        <w:t xml:space="preserve">1.表中大小写不一致时，以大写为准。     </w:t>
      </w:r>
    </w:p>
    <w:p>
      <w:pPr>
        <w:numPr>
          <w:ilvl w:val="0"/>
          <w:numId w:val="0"/>
        </w:numPr>
        <w:shd w:val="clear" w:color="auto" w:fill="auto"/>
        <w:ind w:firstLine="723" w:firstLineChars="300"/>
        <w:jc w:val="left"/>
        <w:rPr>
          <w:rFonts w:hint="eastAsia" w:ascii="仿宋_GB2312" w:hAnsi="宋体" w:eastAsia="仿宋_GB2312" w:cs="Times New Roman"/>
          <w:b/>
          <w:color w:val="auto"/>
          <w:sz w:val="24"/>
          <w:szCs w:val="24"/>
          <w:u w:val="single"/>
        </w:rPr>
      </w:pPr>
      <w:r>
        <w:rPr>
          <w:rFonts w:hint="eastAsia" w:ascii="仿宋_GB2312" w:hAnsi="宋体" w:eastAsia="仿宋_GB2312" w:cs="Times New Roman"/>
          <w:b/>
          <w:color w:val="auto"/>
          <w:sz w:val="24"/>
          <w:szCs w:val="24"/>
          <w:u w:val="single"/>
        </w:rPr>
        <w:t>2.投标人对项目的报价需结合企业自身实力，由投标单位自行报价。</w:t>
      </w:r>
    </w:p>
    <w:p>
      <w:pPr>
        <w:numPr>
          <w:ilvl w:val="0"/>
          <w:numId w:val="0"/>
        </w:numPr>
        <w:shd w:val="clear" w:color="auto" w:fill="auto"/>
        <w:ind w:firstLine="723" w:firstLineChars="300"/>
        <w:jc w:val="left"/>
        <w:rPr>
          <w:rFonts w:hint="eastAsia" w:ascii="仿宋_GB2312" w:hAnsi="宋体" w:eastAsia="仿宋_GB2312" w:cs="Times New Roman"/>
          <w:b/>
          <w:color w:val="auto"/>
          <w:sz w:val="24"/>
          <w:szCs w:val="24"/>
          <w:u w:val="single"/>
        </w:rPr>
      </w:pPr>
      <w:r>
        <w:rPr>
          <w:rFonts w:hint="eastAsia" w:ascii="仿宋_GB2312" w:hAnsi="宋体" w:eastAsia="仿宋_GB2312" w:cs="Times New Roman"/>
          <w:b/>
          <w:color w:val="auto"/>
          <w:sz w:val="24"/>
          <w:szCs w:val="24"/>
          <w:u w:val="single"/>
          <w:lang w:val="en-US" w:eastAsia="zh-CN"/>
        </w:rPr>
        <w:t>3</w:t>
      </w:r>
      <w:r>
        <w:rPr>
          <w:rFonts w:hint="eastAsia" w:ascii="仿宋_GB2312" w:hAnsi="宋体" w:eastAsia="仿宋_GB2312" w:cs="Times New Roman"/>
          <w:b/>
          <w:color w:val="auto"/>
          <w:sz w:val="24"/>
          <w:szCs w:val="24"/>
          <w:u w:val="single"/>
        </w:rPr>
        <w:t>、投标人所报的</w:t>
      </w:r>
      <w:r>
        <w:rPr>
          <w:rFonts w:hint="eastAsia" w:ascii="仿宋_GB2312" w:hAnsi="宋体" w:eastAsia="仿宋_GB2312" w:cs="Times New Roman"/>
          <w:b/>
          <w:color w:val="auto"/>
          <w:sz w:val="24"/>
          <w:szCs w:val="24"/>
          <w:u w:val="single"/>
          <w:lang w:val="en-US" w:eastAsia="zh-CN"/>
        </w:rPr>
        <w:t>投标报价</w:t>
      </w:r>
      <w:r>
        <w:rPr>
          <w:rFonts w:hint="eastAsia" w:ascii="仿宋_GB2312" w:hAnsi="宋体" w:eastAsia="仿宋_GB2312" w:cs="Times New Roman"/>
          <w:b/>
          <w:color w:val="auto"/>
          <w:sz w:val="24"/>
          <w:szCs w:val="24"/>
          <w:u w:val="single"/>
        </w:rPr>
        <w:t>为固定综合价形式，除非在合同条款中另有规定，双方不得任意改变合同总价。投标报价应是招标确定的服务范围内，服务期限内的全部工作的体现，并综合考虑了投标人的</w:t>
      </w:r>
      <w:r>
        <w:rPr>
          <w:rFonts w:hint="eastAsia" w:ascii="仿宋_GB2312" w:hAnsi="宋体" w:eastAsia="仿宋_GB2312" w:cs="Times New Roman"/>
          <w:b/>
          <w:color w:val="auto"/>
          <w:sz w:val="24"/>
          <w:szCs w:val="24"/>
          <w:u w:val="single"/>
          <w:lang w:eastAsia="zh-CN"/>
        </w:rPr>
        <w:t>安装费、</w:t>
      </w:r>
      <w:r>
        <w:rPr>
          <w:rFonts w:hint="eastAsia" w:ascii="仿宋_GB2312" w:hAnsi="宋体" w:eastAsia="仿宋_GB2312" w:cs="Times New Roman"/>
          <w:b/>
          <w:color w:val="auto"/>
          <w:sz w:val="24"/>
          <w:szCs w:val="24"/>
          <w:u w:val="single"/>
        </w:rPr>
        <w:t>人工费、材料费、企业管理费、规费、利润、税金、保险、风险等所有因素。</w:t>
      </w:r>
    </w:p>
    <w:p>
      <w:pPr>
        <w:numPr>
          <w:ilvl w:val="0"/>
          <w:numId w:val="0"/>
        </w:numPr>
        <w:shd w:val="clear" w:color="auto" w:fill="auto"/>
        <w:ind w:firstLine="723" w:firstLineChars="300"/>
        <w:jc w:val="left"/>
        <w:rPr>
          <w:rFonts w:hint="eastAsia" w:ascii="仿宋_GB2312" w:hAnsi="宋体" w:eastAsia="仿宋_GB2312" w:cs="Times New Roman"/>
          <w:b/>
          <w:color w:val="auto"/>
          <w:sz w:val="24"/>
          <w:szCs w:val="24"/>
          <w:u w:val="single"/>
        </w:rPr>
      </w:pPr>
      <w:r>
        <w:rPr>
          <w:rFonts w:hint="eastAsia" w:ascii="仿宋_GB2312" w:hAnsi="宋体" w:eastAsia="仿宋_GB2312" w:cs="Times New Roman"/>
          <w:b/>
          <w:color w:val="auto"/>
          <w:sz w:val="24"/>
          <w:szCs w:val="24"/>
          <w:u w:val="single"/>
          <w:lang w:val="en-US" w:eastAsia="zh-CN"/>
        </w:rPr>
        <w:t>4</w:t>
      </w:r>
      <w:r>
        <w:rPr>
          <w:rFonts w:hint="eastAsia" w:ascii="仿宋_GB2312" w:hAnsi="宋体" w:eastAsia="仿宋_GB2312" w:cs="Times New Roman"/>
          <w:b/>
          <w:color w:val="auto"/>
          <w:sz w:val="24"/>
          <w:szCs w:val="24"/>
          <w:u w:val="single"/>
        </w:rPr>
        <w:t>、投标单位应填写报价表中所列所有项目的单价和合价。不管工作量是否表明，投标单位没有填写单价或总价的项目被认为此项费用已包括在报价表的其他单价和总价之中。</w:t>
      </w:r>
    </w:p>
    <w:p>
      <w:pPr>
        <w:pStyle w:val="47"/>
        <w:snapToGrid w:val="0"/>
        <w:ind w:left="0" w:leftChars="0" w:firstLine="0" w:firstLineChars="0"/>
        <w:jc w:val="both"/>
        <w:rPr>
          <w:rFonts w:ascii="Times New Roman" w:hAnsi="Times New Roman" w:cs="Times New Roman"/>
          <w:b/>
          <w:bCs/>
          <w:sz w:val="32"/>
          <w:szCs w:val="32"/>
        </w:rPr>
      </w:pPr>
    </w:p>
    <w:p>
      <w:pPr>
        <w:pStyle w:val="47"/>
        <w:snapToGrid w:val="0"/>
        <w:ind w:left="0" w:leftChars="0" w:firstLine="0" w:firstLineChars="0"/>
        <w:jc w:val="both"/>
        <w:rPr>
          <w:rFonts w:ascii="Times New Roman" w:hAnsi="Times New Roman" w:cs="Times New Roman"/>
          <w:b/>
          <w:bCs/>
          <w:sz w:val="32"/>
          <w:szCs w:val="32"/>
        </w:rPr>
      </w:pPr>
    </w:p>
    <w:p>
      <w:pPr>
        <w:pStyle w:val="47"/>
        <w:snapToGrid w:val="0"/>
        <w:ind w:left="0" w:leftChars="0" w:firstLine="0" w:firstLineChars="0"/>
        <w:jc w:val="both"/>
        <w:rPr>
          <w:rFonts w:ascii="Times New Roman" w:hAnsi="Times New Roman" w:cs="Times New Roman"/>
          <w:b/>
          <w:bCs/>
          <w:sz w:val="32"/>
          <w:szCs w:val="32"/>
        </w:rPr>
      </w:pPr>
    </w:p>
    <w:p>
      <w:pPr>
        <w:pStyle w:val="47"/>
        <w:snapToGrid w:val="0"/>
        <w:ind w:left="0" w:leftChars="0" w:firstLine="0" w:firstLineChars="0"/>
        <w:jc w:val="both"/>
        <w:rPr>
          <w:rFonts w:ascii="Times New Roman" w:hAnsi="Times New Roman" w:cs="Times New Roman"/>
          <w:b/>
          <w:bCs/>
          <w:sz w:val="32"/>
          <w:szCs w:val="32"/>
        </w:rPr>
      </w:pPr>
    </w:p>
    <w:p>
      <w:pPr>
        <w:pStyle w:val="47"/>
        <w:snapToGrid w:val="0"/>
        <w:ind w:left="0" w:leftChars="0" w:firstLine="0" w:firstLineChars="0"/>
        <w:jc w:val="both"/>
        <w:rPr>
          <w:rFonts w:ascii="Times New Roman" w:hAnsi="Times New Roman" w:cs="Times New Roman"/>
          <w:b/>
          <w:bCs/>
          <w:sz w:val="32"/>
          <w:szCs w:val="32"/>
        </w:rPr>
      </w:pPr>
    </w:p>
    <w:p>
      <w:pPr>
        <w:pStyle w:val="47"/>
        <w:snapToGrid w:val="0"/>
        <w:ind w:left="0" w:leftChars="0" w:firstLine="0" w:firstLineChars="0"/>
        <w:jc w:val="both"/>
        <w:rPr>
          <w:rFonts w:ascii="Times New Roman" w:hAnsi="Times New Roman" w:cs="Times New Roman"/>
          <w:b/>
          <w:bCs/>
          <w:sz w:val="32"/>
          <w:szCs w:val="32"/>
        </w:rPr>
      </w:pPr>
    </w:p>
    <w:p>
      <w:pPr>
        <w:pStyle w:val="47"/>
        <w:snapToGrid w:val="0"/>
        <w:ind w:left="0" w:leftChars="0" w:firstLine="2891" w:firstLineChars="900"/>
        <w:jc w:val="both"/>
        <w:rPr>
          <w:rFonts w:hint="eastAsia" w:ascii="仿宋_GB2312" w:hAnsi="仿宋" w:eastAsia="仿宋_GB2312"/>
          <w:b/>
          <w:color w:val="auto"/>
          <w:sz w:val="32"/>
          <w:szCs w:val="32"/>
        </w:rPr>
      </w:pPr>
      <w:r>
        <w:rPr>
          <w:rFonts w:hint="eastAsia" w:ascii="仿宋_GB2312" w:hAnsi="仿宋" w:eastAsia="仿宋_GB2312" w:cs="Times New Roman"/>
          <w:b/>
          <w:color w:val="auto"/>
          <w:kern w:val="2"/>
          <w:sz w:val="32"/>
          <w:szCs w:val="32"/>
          <w:lang w:val="en-US" w:eastAsia="zh-CN" w:bidi="ar-SA"/>
        </w:rPr>
        <w:t>五、</w:t>
      </w:r>
      <w:r>
        <w:rPr>
          <w:rFonts w:hint="eastAsia" w:ascii="仿宋_GB2312" w:hAnsi="仿宋" w:eastAsia="仿宋_GB2312"/>
          <w:b/>
          <w:color w:val="auto"/>
          <w:sz w:val="32"/>
          <w:szCs w:val="32"/>
        </w:rPr>
        <w:t>投标详细报价表</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项目名称：</w:t>
      </w:r>
      <w:r>
        <w:rPr>
          <w:rFonts w:hint="eastAsia" w:ascii="仿宋_GB2312" w:hAnsi="仿宋" w:eastAsia="仿宋_GB2312"/>
          <w:sz w:val="28"/>
          <w:szCs w:val="28"/>
          <w:u w:val="single"/>
        </w:rPr>
        <w:t xml:space="preserve">                     </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项目编号：</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p>
    <w:tbl>
      <w:tblPr>
        <w:tblStyle w:val="28"/>
        <w:tblW w:w="9124"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13"/>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50"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序号</w:t>
            </w:r>
          </w:p>
        </w:tc>
        <w:tc>
          <w:tcPr>
            <w:tcW w:w="1313"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项目名称</w:t>
            </w:r>
          </w:p>
        </w:tc>
        <w:tc>
          <w:tcPr>
            <w:tcW w:w="4170"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技术参数要求</w:t>
            </w:r>
          </w:p>
        </w:tc>
        <w:tc>
          <w:tcPr>
            <w:tcW w:w="767"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数</w:t>
            </w:r>
          </w:p>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量</w:t>
            </w:r>
          </w:p>
        </w:tc>
        <w:tc>
          <w:tcPr>
            <w:tcW w:w="1056"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单价</w:t>
            </w:r>
          </w:p>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（元）</w:t>
            </w:r>
          </w:p>
        </w:tc>
        <w:tc>
          <w:tcPr>
            <w:tcW w:w="1168"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总价</w:t>
            </w:r>
          </w:p>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noWrap w:val="0"/>
            <w:vAlign w:val="top"/>
          </w:tcPr>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w:t>
            </w:r>
          </w:p>
        </w:tc>
        <w:tc>
          <w:tcPr>
            <w:tcW w:w="1313" w:type="dxa"/>
            <w:noWrap w:val="0"/>
            <w:vAlign w:val="center"/>
          </w:tcPr>
          <w:p>
            <w:pPr>
              <w:pStyle w:val="19"/>
              <w:spacing w:line="240" w:lineRule="auto"/>
              <w:ind w:left="0" w:leftChars="0" w:firstLine="0" w:firstLineChars="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奇台县园地林地草地定级和基准地价制定工作</w:t>
            </w:r>
          </w:p>
        </w:tc>
        <w:tc>
          <w:tcPr>
            <w:tcW w:w="4170" w:type="dxa"/>
            <w:noWrap w:val="0"/>
            <w:vAlign w:val="top"/>
          </w:tcPr>
          <w:p>
            <w:pPr>
              <w:pStyle w:val="38"/>
              <w:adjustRightInd w:val="0"/>
              <w:snapToGrid w:val="0"/>
              <w:spacing w:line="240" w:lineRule="auto"/>
              <w:ind w:firstLine="480" w:firstLineChars="200"/>
              <w:jc w:val="both"/>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1、以2021 年度国土变更调查成果作为工作底图，按照园地林地草地分等定级规程(送审稿)作为参考技术标准，开展奇台县园林草地定级工作。园地定级采用因素法或修正法。林地定级，公益林采用修正法，商品林采用因素法。草地定级统一采用因素法。完成园地林地草地定级指标等级划分标准及其分值、指标权重、单元分值计算、级别划分、级别验证调整、编制定级报告等工作，形成最终的定级汇交成果。园地林地草地定级成果利用国家下发的质检软件进行自检，自检合格提交地(州、市)自然资源主管部门进行审核，审核通过后于2023年12月底前上报自然资源厅。</w:t>
            </w:r>
          </w:p>
          <w:p>
            <w:pPr>
              <w:pStyle w:val="38"/>
              <w:adjustRightInd w:val="0"/>
              <w:snapToGrid w:val="0"/>
              <w:spacing w:line="240" w:lineRule="auto"/>
              <w:ind w:firstLine="480" w:firstLineChars="200"/>
              <w:jc w:val="both"/>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2、制定奇台县园地、林地、草地基准地价，成果上报自治区自然资源厅验收。提交书面成果资料（文本和电子版）。</w:t>
            </w:r>
          </w:p>
        </w:tc>
        <w:tc>
          <w:tcPr>
            <w:tcW w:w="767" w:type="dxa"/>
            <w:noWrap w:val="0"/>
            <w:vAlign w:val="center"/>
          </w:tcPr>
          <w:p>
            <w:pPr>
              <w:pStyle w:val="45"/>
              <w:shd w:val="clear" w:color="auto" w:fill="auto"/>
              <w:snapToGrid w:val="0"/>
              <w:jc w:val="center"/>
              <w:rPr>
                <w:rFonts w:hint="eastAsia"/>
                <w:color w:val="auto"/>
                <w:sz w:val="22"/>
                <w:szCs w:val="22"/>
                <w:lang w:val="en-US" w:eastAsia="zh-CN"/>
              </w:rPr>
            </w:pPr>
            <w:r>
              <w:rPr>
                <w:rFonts w:hint="eastAsia" w:ascii="仿宋_GB2312" w:hAnsi="仿宋_GB2312" w:eastAsia="仿宋_GB2312" w:cs="仿宋_GB2312"/>
                <w:b w:val="0"/>
                <w:bCs w:val="0"/>
                <w:color w:val="auto"/>
                <w:kern w:val="2"/>
                <w:sz w:val="24"/>
                <w:szCs w:val="24"/>
                <w:lang w:val="en-US" w:eastAsia="zh-CN" w:bidi="ar-SA"/>
              </w:rPr>
              <w:t>1</w:t>
            </w:r>
          </w:p>
        </w:tc>
        <w:tc>
          <w:tcPr>
            <w:tcW w:w="1056" w:type="dxa"/>
            <w:noWrap w:val="0"/>
            <w:vAlign w:val="center"/>
          </w:tcPr>
          <w:p>
            <w:pPr>
              <w:pStyle w:val="45"/>
              <w:shd w:val="clear" w:color="auto" w:fill="auto"/>
              <w:snapToGrid w:val="0"/>
              <w:jc w:val="center"/>
              <w:rPr>
                <w:rFonts w:hint="eastAsia"/>
                <w:color w:val="auto"/>
                <w:sz w:val="22"/>
                <w:szCs w:val="22"/>
                <w:lang w:val="en-US" w:eastAsia="zh-CN"/>
              </w:rPr>
            </w:pPr>
          </w:p>
        </w:tc>
        <w:tc>
          <w:tcPr>
            <w:tcW w:w="1168" w:type="dxa"/>
            <w:noWrap w:val="0"/>
            <w:vAlign w:val="center"/>
          </w:tcPr>
          <w:p>
            <w:pPr>
              <w:pStyle w:val="45"/>
              <w:shd w:val="clear" w:color="auto" w:fill="auto"/>
              <w:snapToGrid w:val="0"/>
              <w:jc w:val="center"/>
              <w:rPr>
                <w:rFonts w:hint="eastAsia"/>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24" w:type="dxa"/>
            <w:gridSpan w:val="6"/>
            <w:noWrap w:val="0"/>
            <w:vAlign w:val="top"/>
          </w:tcPr>
          <w:p>
            <w:pPr>
              <w:spacing w:line="240" w:lineRule="auto"/>
              <w:jc w:val="center"/>
              <w:rPr>
                <w:rFonts w:hint="eastAsia" w:ascii="仿宋_GB2312" w:hAnsi="仿宋_GB2312" w:eastAsia="仿宋_GB2312" w:cs="仿宋_GB2312"/>
                <w:sz w:val="24"/>
                <w:szCs w:val="24"/>
                <w:lang w:val="en-US" w:eastAsia="zh-CN"/>
              </w:rPr>
            </w:pPr>
          </w:p>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合计（小写）：       元             大写： </w:t>
            </w:r>
          </w:p>
        </w:tc>
      </w:tr>
    </w:tbl>
    <w:p>
      <w:pPr>
        <w:adjustRightInd w:val="0"/>
        <w:snapToGrid w:val="0"/>
        <w:spacing w:line="360" w:lineRule="auto"/>
        <w:jc w:val="both"/>
        <w:rPr>
          <w:rFonts w:hint="eastAsia" w:ascii="仿宋_GB2312" w:hAnsi="仿宋" w:eastAsia="仿宋_GB2312"/>
          <w:sz w:val="28"/>
          <w:szCs w:val="28"/>
          <w:lang w:val="en-US" w:eastAsia="zh-CN"/>
        </w:rPr>
      </w:pPr>
    </w:p>
    <w:p>
      <w:pPr>
        <w:adjustRightInd w:val="0"/>
        <w:snapToGri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360" w:lineRule="auto"/>
        <w:ind w:firstLine="2100" w:firstLineChars="7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sz w:val="28"/>
          <w:szCs w:val="28"/>
        </w:rPr>
        <w:t>：</w:t>
      </w:r>
      <w:r>
        <w:rPr>
          <w:rFonts w:hint="eastAsia" w:ascii="仿宋_GB2312" w:hAnsi="仿宋" w:eastAsia="仿宋_GB2312"/>
          <w:sz w:val="28"/>
          <w:szCs w:val="28"/>
          <w:u w:val="single"/>
        </w:rPr>
        <w:t xml:space="preserve">           </w:t>
      </w:r>
    </w:p>
    <w:p>
      <w:pPr>
        <w:spacing w:line="360" w:lineRule="auto"/>
        <w:ind w:firstLine="2100" w:firstLineChars="750"/>
        <w:rPr>
          <w:rFonts w:hint="eastAsia" w:ascii="仿宋_GB2312" w:hAnsi="仿宋" w:eastAsia="仿宋_GB2312"/>
          <w:sz w:val="28"/>
          <w:szCs w:val="28"/>
        </w:rPr>
      </w:pPr>
      <w:r>
        <w:rPr>
          <w:rFonts w:hint="eastAsia" w:ascii="仿宋_GB2312" w:hAnsi="仿宋" w:eastAsia="仿宋_GB2312"/>
          <w:sz w:val="28"/>
          <w:szCs w:val="28"/>
        </w:rPr>
        <w:t>日期：   年   月   日</w:t>
      </w:r>
    </w:p>
    <w:p>
      <w:pPr>
        <w:widowControl/>
        <w:shd w:val="clear" w:color="auto" w:fill="FFFFFF"/>
        <w:spacing w:line="360" w:lineRule="auto"/>
        <w:rPr>
          <w:rFonts w:hint="eastAsia" w:ascii="仿宋_GB2312" w:hAnsi="宋体" w:eastAsia="仿宋_GB2312"/>
          <w:b/>
          <w:color w:val="auto"/>
          <w:sz w:val="24"/>
          <w:szCs w:val="24"/>
          <w:highlight w:val="none"/>
          <w:u w:val="single"/>
        </w:rPr>
      </w:pPr>
      <w:r>
        <w:rPr>
          <w:rFonts w:hint="eastAsia" w:ascii="仿宋_GB2312" w:hAnsi="仿宋" w:eastAsia="仿宋_GB2312"/>
          <w:b/>
          <w:color w:val="auto"/>
          <w:sz w:val="24"/>
          <w:szCs w:val="24"/>
          <w:highlight w:val="none"/>
        </w:rPr>
        <w:t>备注：1、</w:t>
      </w:r>
      <w:r>
        <w:rPr>
          <w:rFonts w:hint="eastAsia" w:ascii="仿宋_GB2312" w:hAnsi="仿宋" w:eastAsia="仿宋_GB2312"/>
          <w:b/>
          <w:color w:val="auto"/>
          <w:kern w:val="0"/>
          <w:sz w:val="24"/>
          <w:szCs w:val="24"/>
          <w:highlight w:val="none"/>
          <w:u w:val="single"/>
        </w:rPr>
        <w:t>设备必须填写品牌、规格或型号、生厂商名称</w:t>
      </w:r>
      <w:r>
        <w:rPr>
          <w:rFonts w:hint="eastAsia" w:ascii="仿宋_GB2312" w:hAnsi="宋体" w:eastAsia="仿宋_GB2312"/>
          <w:b/>
          <w:color w:val="auto"/>
          <w:sz w:val="24"/>
          <w:szCs w:val="24"/>
          <w:highlight w:val="none"/>
          <w:u w:val="single"/>
        </w:rPr>
        <w:t>。</w:t>
      </w:r>
      <w:r>
        <w:rPr>
          <w:rFonts w:hint="eastAsia" w:ascii="仿宋_GB2312" w:hAnsi="宋体" w:eastAsia="仿宋_GB2312"/>
          <w:b/>
          <w:color w:val="auto"/>
          <w:sz w:val="24"/>
          <w:szCs w:val="24"/>
          <w:highlight w:val="none"/>
          <w:u w:val="single"/>
          <w:lang w:eastAsia="zh-CN"/>
        </w:rPr>
        <w:t>（因填写不完整造成不响应招标要求的，后果自负）</w:t>
      </w:r>
      <w:r>
        <w:rPr>
          <w:rFonts w:hint="eastAsia" w:ascii="仿宋_GB2312" w:hAnsi="宋体" w:eastAsia="仿宋_GB2312"/>
          <w:b/>
          <w:color w:val="auto"/>
          <w:sz w:val="24"/>
          <w:szCs w:val="24"/>
          <w:highlight w:val="none"/>
          <w:u w:val="single"/>
        </w:rPr>
        <w:t>。</w:t>
      </w:r>
    </w:p>
    <w:p>
      <w:pPr>
        <w:numPr>
          <w:ilvl w:val="0"/>
          <w:numId w:val="0"/>
        </w:numPr>
        <w:tabs>
          <w:tab w:val="left" w:pos="276"/>
        </w:tabs>
        <w:spacing w:line="560" w:lineRule="exact"/>
        <w:ind w:firstLine="482" w:firstLineChars="200"/>
        <w:textAlignment w:val="baseline"/>
        <w:rPr>
          <w:rFonts w:hint="default" w:ascii="仿宋_GB2312" w:eastAsia="仿宋_GB2312"/>
          <w:b/>
          <w:sz w:val="32"/>
          <w:szCs w:val="32"/>
          <w:lang w:val="en-US" w:eastAsia="zh-CN"/>
        </w:rPr>
      </w:pPr>
      <w:r>
        <w:rPr>
          <w:rFonts w:hint="eastAsia" w:ascii="仿宋_GB2312" w:hAnsi="仿宋" w:eastAsia="仿宋_GB2312"/>
          <w:b/>
          <w:color w:val="auto"/>
          <w:sz w:val="24"/>
          <w:szCs w:val="24"/>
          <w:highlight w:val="none"/>
          <w:u w:val="single"/>
          <w:lang w:val="en-US" w:eastAsia="zh-CN"/>
        </w:rPr>
        <w:t>2、</w:t>
      </w:r>
      <w:r>
        <w:rPr>
          <w:rFonts w:hint="eastAsia" w:ascii="仿宋_GB2312" w:hAnsi="仿宋" w:eastAsia="仿宋_GB2312"/>
          <w:b/>
          <w:color w:val="auto"/>
          <w:sz w:val="24"/>
          <w:szCs w:val="24"/>
          <w:highlight w:val="none"/>
          <w:u w:val="single"/>
          <w:lang w:val="en-GB"/>
        </w:rPr>
        <w:t>报价</w:t>
      </w:r>
      <w:r>
        <w:rPr>
          <w:rFonts w:hint="eastAsia" w:ascii="仿宋_GB2312" w:hAnsi="仿宋" w:eastAsia="仿宋_GB2312"/>
          <w:b/>
          <w:color w:val="auto"/>
          <w:sz w:val="24"/>
          <w:szCs w:val="24"/>
          <w:highlight w:val="none"/>
          <w:u w:val="single"/>
          <w:lang w:val="en-GB" w:eastAsia="zh-CN"/>
        </w:rPr>
        <w:t>与开标</w:t>
      </w:r>
      <w:r>
        <w:rPr>
          <w:rFonts w:hint="eastAsia" w:ascii="仿宋_GB2312" w:hAnsi="仿宋" w:eastAsia="仿宋_GB2312"/>
          <w:b/>
          <w:color w:val="auto"/>
          <w:sz w:val="24"/>
          <w:szCs w:val="24"/>
          <w:highlight w:val="none"/>
          <w:u w:val="single"/>
          <w:lang w:val="en-GB"/>
        </w:rPr>
        <w:t>一览表</w:t>
      </w:r>
      <w:r>
        <w:rPr>
          <w:rFonts w:hint="eastAsia" w:ascii="仿宋_GB2312" w:hAnsi="仿宋" w:eastAsia="仿宋_GB2312"/>
          <w:b/>
          <w:color w:val="auto"/>
          <w:sz w:val="24"/>
          <w:szCs w:val="24"/>
          <w:highlight w:val="none"/>
          <w:u w:val="single"/>
          <w:lang w:val="en-GB" w:eastAsia="zh-CN"/>
        </w:rPr>
        <w:t>价格</w:t>
      </w:r>
      <w:r>
        <w:rPr>
          <w:rFonts w:hint="eastAsia" w:ascii="仿宋_GB2312" w:hAnsi="仿宋" w:eastAsia="仿宋_GB2312"/>
          <w:b/>
          <w:color w:val="auto"/>
          <w:sz w:val="24"/>
          <w:szCs w:val="24"/>
          <w:highlight w:val="none"/>
          <w:u w:val="single"/>
          <w:lang w:val="en-GB"/>
        </w:rPr>
        <w:t>一致相符。</w:t>
      </w:r>
    </w:p>
    <w:p>
      <w:pPr>
        <w:adjustRightInd w:val="0"/>
        <w:snapToGrid w:val="0"/>
        <w:spacing w:line="360" w:lineRule="auto"/>
        <w:jc w:val="both"/>
        <w:rPr>
          <w:rFonts w:hint="eastAsia" w:ascii="仿宋_GB2312" w:hAnsi="仿宋" w:eastAsia="仿宋_GB2312" w:cs="Times New Roman"/>
          <w:b/>
          <w:bCs w:val="0"/>
          <w:color w:val="auto"/>
          <w:kern w:val="2"/>
          <w:sz w:val="32"/>
          <w:szCs w:val="32"/>
          <w:lang w:val="en-US" w:eastAsia="zh-CN" w:bidi="ar-SA"/>
        </w:rPr>
      </w:pPr>
    </w:p>
    <w:p>
      <w:pPr>
        <w:adjustRightInd w:val="0"/>
        <w:snapToGrid w:val="0"/>
        <w:spacing w:line="360" w:lineRule="auto"/>
        <w:ind w:left="-88" w:leftChars="-42"/>
        <w:jc w:val="center"/>
        <w:rPr>
          <w:rFonts w:hint="eastAsia" w:ascii="仿宋_GB2312" w:hAnsi="仿宋" w:eastAsia="仿宋_GB2312" w:cs="Times New Roman"/>
          <w:b/>
          <w:bCs w:val="0"/>
          <w:color w:val="auto"/>
          <w:kern w:val="2"/>
          <w:sz w:val="32"/>
          <w:szCs w:val="32"/>
          <w:lang w:val="en-US" w:eastAsia="zh-CN" w:bidi="ar-SA"/>
        </w:rPr>
      </w:pPr>
      <w:r>
        <w:rPr>
          <w:rFonts w:hint="eastAsia" w:ascii="仿宋_GB2312" w:hAnsi="仿宋" w:eastAsia="仿宋_GB2312" w:cs="Times New Roman"/>
          <w:b/>
          <w:bCs w:val="0"/>
          <w:color w:val="auto"/>
          <w:kern w:val="2"/>
          <w:sz w:val="32"/>
          <w:szCs w:val="32"/>
          <w:lang w:val="en-US" w:eastAsia="zh-CN" w:bidi="ar-SA"/>
        </w:rPr>
        <w:t>二轮报价表（最终报价承诺）</w:t>
      </w:r>
    </w:p>
    <w:p>
      <w:pPr>
        <w:adjustRightInd w:val="0"/>
        <w:snapToGrid w:val="0"/>
        <w:spacing w:line="360" w:lineRule="auto"/>
        <w:ind w:left="-88" w:leftChars="-42"/>
        <w:rPr>
          <w:rFonts w:hint="eastAsia" w:ascii="仿宋_GB2312" w:hAnsi="仿宋" w:eastAsia="仿宋_GB2312"/>
          <w:sz w:val="24"/>
          <w:szCs w:val="24"/>
          <w:u w:val="single"/>
        </w:rPr>
      </w:pPr>
      <w:r>
        <w:rPr>
          <w:rFonts w:hint="eastAsia" w:ascii="仿宋_GB2312" w:hAnsi="仿宋" w:eastAsia="仿宋_GB2312"/>
          <w:sz w:val="24"/>
          <w:szCs w:val="24"/>
        </w:rPr>
        <w:t>项目名称：</w:t>
      </w:r>
      <w:r>
        <w:rPr>
          <w:rFonts w:hint="eastAsia" w:ascii="仿宋_GB2312" w:hAnsi="仿宋" w:eastAsia="仿宋_GB2312"/>
          <w:sz w:val="24"/>
          <w:szCs w:val="24"/>
          <w:u w:val="single"/>
        </w:rPr>
        <w:t xml:space="preserve">                     </w:t>
      </w:r>
    </w:p>
    <w:p>
      <w:pPr>
        <w:adjustRightInd w:val="0"/>
        <w:snapToGrid w:val="0"/>
        <w:spacing w:line="360" w:lineRule="auto"/>
        <w:ind w:left="-88" w:leftChars="-42"/>
        <w:rPr>
          <w:rFonts w:hint="eastAsia" w:ascii="仿宋_GB2312" w:hAnsi="仿宋" w:eastAsia="仿宋_GB2312"/>
          <w:sz w:val="24"/>
          <w:szCs w:val="24"/>
          <w:u w:val="single"/>
        </w:rPr>
      </w:pPr>
      <w:r>
        <w:rPr>
          <w:rFonts w:hint="eastAsia" w:ascii="仿宋_GB2312" w:hAnsi="仿宋" w:eastAsia="仿宋_GB2312"/>
          <w:sz w:val="24"/>
          <w:szCs w:val="24"/>
        </w:rPr>
        <w:t>项目编号：</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p>
    <w:tbl>
      <w:tblPr>
        <w:tblStyle w:val="28"/>
        <w:tblW w:w="9124"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13"/>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50"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序号</w:t>
            </w:r>
          </w:p>
        </w:tc>
        <w:tc>
          <w:tcPr>
            <w:tcW w:w="1313"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项目名称</w:t>
            </w:r>
          </w:p>
        </w:tc>
        <w:tc>
          <w:tcPr>
            <w:tcW w:w="4170"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技术参数要求</w:t>
            </w:r>
          </w:p>
        </w:tc>
        <w:tc>
          <w:tcPr>
            <w:tcW w:w="767"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数</w:t>
            </w:r>
          </w:p>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量</w:t>
            </w:r>
          </w:p>
        </w:tc>
        <w:tc>
          <w:tcPr>
            <w:tcW w:w="1056"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单价</w:t>
            </w:r>
          </w:p>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（元）</w:t>
            </w:r>
          </w:p>
        </w:tc>
        <w:tc>
          <w:tcPr>
            <w:tcW w:w="1168" w:type="dxa"/>
            <w:noWrap w:val="0"/>
            <w:vAlign w:val="center"/>
          </w:tcPr>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总价</w:t>
            </w:r>
          </w:p>
          <w:p>
            <w:pPr>
              <w:pStyle w:val="19"/>
              <w:spacing w:line="240" w:lineRule="auto"/>
              <w:ind w:left="0" w:leftChars="0" w:firstLine="0" w:firstLineChars="0"/>
              <w:jc w:val="center"/>
              <w:rPr>
                <w:rFonts w:hint="eastAsia" w:ascii="仿宋_GB2312" w:hAnsi="仿宋" w:eastAsia="仿宋_GB2312"/>
                <w:b/>
                <w:bCs/>
                <w:sz w:val="24"/>
                <w:szCs w:val="24"/>
                <w:highlight w:val="none"/>
                <w:lang w:val="en-US" w:eastAsia="zh-CN"/>
              </w:rPr>
            </w:pPr>
            <w:r>
              <w:rPr>
                <w:rFonts w:hint="eastAsia" w:ascii="仿宋_GB2312" w:hAnsi="仿宋" w:eastAsia="仿宋_GB2312"/>
                <w:b/>
                <w:bCs/>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noWrap w:val="0"/>
            <w:vAlign w:val="top"/>
          </w:tcPr>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p>
          <w:p>
            <w:pPr>
              <w:pStyle w:val="45"/>
              <w:shd w:val="clear" w:color="auto" w:fill="auto"/>
              <w:snapToGrid w:val="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w:t>
            </w:r>
          </w:p>
        </w:tc>
        <w:tc>
          <w:tcPr>
            <w:tcW w:w="1313" w:type="dxa"/>
            <w:noWrap w:val="0"/>
            <w:vAlign w:val="center"/>
          </w:tcPr>
          <w:p>
            <w:pPr>
              <w:pStyle w:val="19"/>
              <w:spacing w:line="240" w:lineRule="auto"/>
              <w:ind w:left="0" w:leftChars="0" w:firstLine="0" w:firstLineChars="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奇台县园地林地草地定级和基准地价制定工作</w:t>
            </w:r>
          </w:p>
        </w:tc>
        <w:tc>
          <w:tcPr>
            <w:tcW w:w="4170" w:type="dxa"/>
            <w:noWrap w:val="0"/>
            <w:vAlign w:val="top"/>
          </w:tcPr>
          <w:p>
            <w:pPr>
              <w:pStyle w:val="38"/>
              <w:adjustRightInd w:val="0"/>
              <w:snapToGrid w:val="0"/>
              <w:spacing w:line="240" w:lineRule="auto"/>
              <w:ind w:firstLine="480" w:firstLineChars="200"/>
              <w:jc w:val="both"/>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1、以2021 年度国土变更调查成果作为工作底图，按照园地林地草地分等定级规程(送审稿)作为参考技术标准，开展奇台县园林草地定级工作。园地定级采用因素法或修正法。林地定级，公益林采用修正法，商品林采用因素法。草地定级统一采用因素法。完成园地林地草地定级指标等级划分标准及其分值、指标权重、单元分值计算、级别划分、级别验证调整、编制定级报告等工作，形成最终的定级汇交成果。园地林地草地定级成果利用国家下发的质检软件进行自检，自检合格提交地(州、市)自然资源主管部门进行审核，审核通过后于2023年12月底前上报自然资源厅。</w:t>
            </w:r>
          </w:p>
          <w:p>
            <w:pPr>
              <w:pStyle w:val="38"/>
              <w:adjustRightInd w:val="0"/>
              <w:snapToGrid w:val="0"/>
              <w:spacing w:line="240" w:lineRule="auto"/>
              <w:ind w:firstLine="480" w:firstLineChars="200"/>
              <w:jc w:val="both"/>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2、制定奇台县园地、林地、草地基准地价，成果上报自治区自然资源厅验收。提交书面成果资料（文本和电子版）。</w:t>
            </w:r>
          </w:p>
        </w:tc>
        <w:tc>
          <w:tcPr>
            <w:tcW w:w="767" w:type="dxa"/>
            <w:noWrap w:val="0"/>
            <w:vAlign w:val="center"/>
          </w:tcPr>
          <w:p>
            <w:pPr>
              <w:pStyle w:val="45"/>
              <w:shd w:val="clear" w:color="auto" w:fill="auto"/>
              <w:snapToGrid w:val="0"/>
              <w:jc w:val="center"/>
              <w:rPr>
                <w:rFonts w:hint="eastAsia"/>
                <w:color w:val="auto"/>
                <w:sz w:val="22"/>
                <w:szCs w:val="22"/>
                <w:lang w:val="en-US" w:eastAsia="zh-CN"/>
              </w:rPr>
            </w:pPr>
            <w:r>
              <w:rPr>
                <w:rFonts w:hint="eastAsia" w:ascii="仿宋_GB2312" w:hAnsi="仿宋_GB2312" w:eastAsia="仿宋_GB2312" w:cs="仿宋_GB2312"/>
                <w:b w:val="0"/>
                <w:bCs w:val="0"/>
                <w:color w:val="auto"/>
                <w:kern w:val="2"/>
                <w:sz w:val="24"/>
                <w:szCs w:val="24"/>
                <w:lang w:val="en-US" w:eastAsia="zh-CN" w:bidi="ar-SA"/>
              </w:rPr>
              <w:t>1</w:t>
            </w:r>
          </w:p>
        </w:tc>
        <w:tc>
          <w:tcPr>
            <w:tcW w:w="1056" w:type="dxa"/>
            <w:noWrap w:val="0"/>
            <w:vAlign w:val="center"/>
          </w:tcPr>
          <w:p>
            <w:pPr>
              <w:pStyle w:val="45"/>
              <w:shd w:val="clear" w:color="auto" w:fill="auto"/>
              <w:snapToGrid w:val="0"/>
              <w:jc w:val="center"/>
              <w:rPr>
                <w:rFonts w:hint="eastAsia"/>
                <w:color w:val="auto"/>
                <w:sz w:val="22"/>
                <w:szCs w:val="22"/>
                <w:lang w:val="en-US" w:eastAsia="zh-CN"/>
              </w:rPr>
            </w:pPr>
          </w:p>
        </w:tc>
        <w:tc>
          <w:tcPr>
            <w:tcW w:w="1168" w:type="dxa"/>
            <w:noWrap w:val="0"/>
            <w:vAlign w:val="center"/>
          </w:tcPr>
          <w:p>
            <w:pPr>
              <w:pStyle w:val="45"/>
              <w:shd w:val="clear" w:color="auto" w:fill="auto"/>
              <w:snapToGrid w:val="0"/>
              <w:jc w:val="center"/>
              <w:rPr>
                <w:rFonts w:hint="eastAsia"/>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24" w:type="dxa"/>
            <w:gridSpan w:val="6"/>
            <w:noWrap w:val="0"/>
            <w:vAlign w:val="top"/>
          </w:tcPr>
          <w:p>
            <w:pPr>
              <w:spacing w:line="240" w:lineRule="auto"/>
              <w:jc w:val="center"/>
              <w:rPr>
                <w:rFonts w:hint="eastAsia" w:ascii="仿宋_GB2312" w:hAnsi="仿宋_GB2312" w:eastAsia="仿宋_GB2312" w:cs="仿宋_GB2312"/>
                <w:sz w:val="24"/>
                <w:szCs w:val="24"/>
                <w:lang w:val="en-US" w:eastAsia="zh-CN"/>
              </w:rPr>
            </w:pPr>
          </w:p>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合计（小写）：     元            大写： </w:t>
            </w:r>
          </w:p>
        </w:tc>
      </w:tr>
    </w:tbl>
    <w:p>
      <w:pPr>
        <w:adjustRightInd w:val="0"/>
        <w:snapToGrid w:val="0"/>
        <w:spacing w:line="480" w:lineRule="auto"/>
        <w:rPr>
          <w:rFonts w:hint="eastAsia" w:ascii="仿宋_GB2312" w:hAnsi="仿宋" w:eastAsia="仿宋_GB2312"/>
          <w:sz w:val="28"/>
          <w:szCs w:val="28"/>
        </w:rPr>
      </w:pP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sz w:val="28"/>
          <w:szCs w:val="28"/>
        </w:rPr>
        <w:t>：</w:t>
      </w:r>
      <w:r>
        <w:rPr>
          <w:rFonts w:hint="eastAsia" w:ascii="仿宋_GB2312" w:hAnsi="仿宋" w:eastAsia="仿宋_GB2312"/>
          <w:sz w:val="28"/>
          <w:szCs w:val="28"/>
          <w:u w:val="single"/>
        </w:rPr>
        <w:t xml:space="preserve">           </w:t>
      </w:r>
    </w:p>
    <w:p>
      <w:pPr>
        <w:adjustRightInd w:val="0"/>
        <w:snapToGrid w:val="0"/>
        <w:spacing w:line="480" w:lineRule="auto"/>
        <w:rPr>
          <w:rFonts w:hint="eastAsia" w:ascii="宋体" w:hAnsi="宋体" w:eastAsia="宋体" w:cs="Times New Roman"/>
          <w:kern w:val="0"/>
          <w:sz w:val="24"/>
          <w:szCs w:val="24"/>
          <w:lang w:val="en-US" w:eastAsia="zh-CN" w:bidi="ar-SA"/>
        </w:rPr>
      </w:pPr>
      <w:r>
        <w:rPr>
          <w:rFonts w:hint="eastAsia" w:ascii="仿宋_GB2312" w:hAnsi="仿宋" w:eastAsia="仿宋_GB2312"/>
          <w:sz w:val="28"/>
          <w:szCs w:val="28"/>
        </w:rPr>
        <w:t>日期：   年   月   日</w:t>
      </w:r>
    </w:p>
    <w:p>
      <w:pPr>
        <w:pStyle w:val="3"/>
        <w:numPr>
          <w:ilvl w:val="1"/>
          <w:numId w:val="0"/>
        </w:numPr>
        <w:shd w:val="clear" w:fill="00B050"/>
        <w:ind w:leftChars="200"/>
        <w:rPr>
          <w:rFonts w:hint="eastAsia" w:ascii="仿宋_GB2312" w:hAnsi="宋体" w:eastAsia="仿宋_GB2312" w:cs="Times New Roman"/>
          <w:b/>
          <w:color w:val="auto"/>
          <w:kern w:val="2"/>
          <w:sz w:val="24"/>
          <w:szCs w:val="24"/>
          <w:highlight w:val="none"/>
          <w:u w:val="single"/>
          <w:lang w:val="en-US" w:eastAsia="zh-CN" w:bidi="ar-SA"/>
        </w:rPr>
      </w:pPr>
      <w:r>
        <w:rPr>
          <w:rFonts w:hint="eastAsia" w:ascii="仿宋_GB2312" w:hAnsi="宋体" w:eastAsia="仿宋_GB2312" w:cs="Times New Roman"/>
          <w:b/>
          <w:color w:val="auto"/>
          <w:kern w:val="2"/>
          <w:sz w:val="24"/>
          <w:szCs w:val="24"/>
          <w:highlight w:val="none"/>
          <w:u w:val="single"/>
          <w:lang w:val="en-US" w:eastAsia="zh-CN" w:bidi="ar-SA"/>
        </w:rPr>
        <w:t>注：本页报价表（最终报价承诺）由供应商在接到报价通知后依据磋商情况填写,并在规定时间内提交。（未在规定时间内提交的后果自行承担）</w:t>
      </w:r>
    </w:p>
    <w:p>
      <w:pPr>
        <w:rPr>
          <w:rFonts w:hint="eastAsia" w:ascii="仿宋_GB2312" w:hAnsi="宋体" w:eastAsia="仿宋_GB2312" w:cs="Times New Roman"/>
          <w:b/>
          <w:color w:val="auto"/>
          <w:kern w:val="2"/>
          <w:sz w:val="24"/>
          <w:szCs w:val="24"/>
          <w:highlight w:val="none"/>
          <w:u w:val="single"/>
          <w:lang w:val="en-US" w:eastAsia="zh-CN" w:bidi="ar-SA"/>
        </w:rPr>
      </w:pPr>
    </w:p>
    <w:p>
      <w:pPr>
        <w:pStyle w:val="22"/>
        <w:rPr>
          <w:rFonts w:hint="eastAsia" w:ascii="仿宋_GB2312" w:hAnsi="宋体" w:eastAsia="仿宋_GB2312" w:cs="Times New Roman"/>
          <w:b/>
          <w:color w:val="auto"/>
          <w:kern w:val="2"/>
          <w:sz w:val="24"/>
          <w:szCs w:val="24"/>
          <w:highlight w:val="none"/>
          <w:u w:val="single"/>
          <w:lang w:val="en-US" w:eastAsia="zh-CN" w:bidi="ar-SA"/>
        </w:rPr>
      </w:pPr>
    </w:p>
    <w:p>
      <w:pPr>
        <w:spacing w:line="480" w:lineRule="auto"/>
        <w:ind w:firstLine="2570" w:firstLineChars="800"/>
        <w:jc w:val="both"/>
        <w:rPr>
          <w:rFonts w:hint="eastAsia" w:ascii="仿宋_GB2312" w:hAnsi="仿宋" w:eastAsia="仿宋_GB2312" w:cs="宋体"/>
          <w:b/>
          <w:sz w:val="32"/>
          <w:szCs w:val="32"/>
        </w:rPr>
      </w:pPr>
      <w:r>
        <w:rPr>
          <w:rFonts w:hint="eastAsia" w:ascii="仿宋_GB2312" w:eastAsia="仿宋_GB2312"/>
          <w:b/>
          <w:color w:val="auto"/>
          <w:sz w:val="32"/>
          <w:szCs w:val="32"/>
          <w:lang w:eastAsia="zh-CN"/>
        </w:rPr>
        <w:t>六</w:t>
      </w:r>
      <w:r>
        <w:rPr>
          <w:rFonts w:hint="eastAsia" w:ascii="仿宋_GB2312" w:eastAsia="仿宋_GB2312"/>
          <w:b/>
          <w:color w:val="auto"/>
          <w:sz w:val="32"/>
          <w:szCs w:val="32"/>
        </w:rPr>
        <w:t>、</w:t>
      </w:r>
      <w:bookmarkEnd w:id="8"/>
      <w:r>
        <w:rPr>
          <w:rFonts w:hint="eastAsia" w:ascii="仿宋_GB2312" w:hAnsi="仿宋" w:eastAsia="仿宋_GB2312" w:cs="宋体"/>
          <w:b/>
          <w:sz w:val="32"/>
          <w:szCs w:val="32"/>
        </w:rPr>
        <w:t>类似项目业绩表</w:t>
      </w:r>
    </w:p>
    <w:p>
      <w:pPr>
        <w:spacing w:line="480" w:lineRule="auto"/>
        <w:ind w:firstLine="2088" w:firstLineChars="650"/>
        <w:rPr>
          <w:rFonts w:hint="eastAsia" w:ascii="仿宋_GB2312" w:eastAsia="仿宋_GB2312"/>
          <w:b/>
          <w:sz w:val="32"/>
          <w:szCs w:val="32"/>
        </w:rPr>
      </w:pPr>
    </w:p>
    <w:tbl>
      <w:tblPr>
        <w:tblStyle w:val="28"/>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78" w:type="dxa"/>
            <w:noWrap w:val="0"/>
            <w:vAlign w:val="center"/>
          </w:tcPr>
          <w:p>
            <w:pPr>
              <w:topLinePunct/>
              <w:spacing w:line="440" w:lineRule="exact"/>
              <w:jc w:val="center"/>
              <w:rPr>
                <w:rFonts w:hint="eastAsia" w:ascii="仿宋_GB2312" w:hAnsi="宋体" w:eastAsia="仿宋_GB2312"/>
                <w:sz w:val="24"/>
              </w:rPr>
            </w:pPr>
            <w:r>
              <w:rPr>
                <w:rFonts w:hint="eastAsia" w:ascii="仿宋_GB2312" w:hAnsi="仿宋" w:eastAsia="仿宋_GB2312"/>
                <w:sz w:val="28"/>
                <w:szCs w:val="28"/>
              </w:rPr>
              <w:t>项目名称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项目所在地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采购人名称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采购人地址</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合同价格</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w:t>
            </w:r>
            <w:r>
              <w:rPr>
                <w:rFonts w:hint="eastAsia" w:ascii="仿宋_GB2312" w:hAnsi="仿宋" w:eastAsia="仿宋_GB2312" w:cs="Times New Roman"/>
                <w:sz w:val="28"/>
                <w:szCs w:val="28"/>
                <w:lang w:val="en-US" w:eastAsia="zh-CN"/>
              </w:rPr>
              <w:t>内容</w:t>
            </w:r>
            <w:r>
              <w:rPr>
                <w:rFonts w:hint="eastAsia" w:ascii="仿宋_GB2312" w:hAnsi="仿宋" w:eastAsia="仿宋_GB2312"/>
                <w:sz w:val="28"/>
                <w:szCs w:val="28"/>
              </w:rPr>
              <w:t>描述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c>
          <w:tcPr>
            <w:tcW w:w="6281"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是否附用户评价报告        有（ ）      无（ ）</w:t>
            </w:r>
          </w:p>
        </w:tc>
      </w:tr>
    </w:tbl>
    <w:p>
      <w:pPr>
        <w:adjustRightInd w:val="0"/>
        <w:snapToGrid w:val="0"/>
        <w:spacing w:line="480" w:lineRule="auto"/>
        <w:ind w:firstLine="1120" w:firstLineChars="400"/>
        <w:rPr>
          <w:rFonts w:hint="eastAsia" w:ascii="仿宋_GB2312" w:hAnsi="仿宋" w:eastAsia="仿宋_GB2312"/>
          <w:sz w:val="28"/>
          <w:szCs w:val="28"/>
        </w:rPr>
      </w:pPr>
    </w:p>
    <w:p>
      <w:pPr>
        <w:adjustRightInd w:val="0"/>
        <w:snapToGrid w:val="0"/>
        <w:spacing w:line="480" w:lineRule="auto"/>
        <w:ind w:firstLine="1120" w:firstLineChars="4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sz w:val="28"/>
          <w:szCs w:val="28"/>
        </w:rPr>
        <w:t>：</w:t>
      </w:r>
      <w:r>
        <w:rPr>
          <w:rFonts w:hint="eastAsia" w:ascii="仿宋_GB2312" w:hAnsi="仿宋" w:eastAsia="仿宋_GB2312"/>
          <w:sz w:val="28"/>
          <w:szCs w:val="28"/>
          <w:u w:val="single"/>
        </w:rPr>
        <w:t xml:space="preserve"> </w:t>
      </w:r>
      <w:r>
        <w:rPr>
          <w:rFonts w:hint="eastAsia" w:ascii="仿宋_GB2312" w:hAnsi="仿宋" w:eastAsia="仿宋_GB2312"/>
          <w:b/>
          <w:bCs/>
          <w:sz w:val="28"/>
          <w:szCs w:val="28"/>
          <w:u w:val="single"/>
        </w:rPr>
        <w:t xml:space="preserve"> </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before="120"/>
        <w:ind w:left="843" w:hanging="843" w:hangingChars="350"/>
        <w:rPr>
          <w:rFonts w:hint="eastAsia" w:ascii="仿宋_GB2312" w:hAnsi="宋体" w:eastAsia="仿宋_GB2312"/>
          <w:b/>
          <w:sz w:val="24"/>
          <w:u w:val="single"/>
        </w:rPr>
      </w:pPr>
      <w:r>
        <w:rPr>
          <w:rFonts w:hint="eastAsia" w:ascii="仿宋_GB2312" w:hAnsi="宋体" w:eastAsia="仿宋_GB2312"/>
          <w:b/>
          <w:sz w:val="24"/>
        </w:rPr>
        <w:t>备注： 1、</w:t>
      </w:r>
      <w:r>
        <w:rPr>
          <w:rFonts w:hint="eastAsia" w:ascii="仿宋_GB2312" w:hAnsi="宋体" w:eastAsia="仿宋_GB2312"/>
          <w:b/>
          <w:sz w:val="24"/>
          <w:u w:val="single"/>
        </w:rPr>
        <w:t>每张表格只填写一个业绩项目。（按招标人要求的范围提供相关业绩）</w:t>
      </w:r>
    </w:p>
    <w:p>
      <w:pPr>
        <w:spacing w:line="360" w:lineRule="exact"/>
        <w:ind w:left="412" w:leftChars="196" w:firstLine="482" w:firstLineChars="200"/>
        <w:rPr>
          <w:rFonts w:hint="eastAsia" w:ascii="仿宋_GB2312" w:hAnsi="宋体" w:eastAsia="仿宋_GB2312"/>
          <w:b/>
          <w:sz w:val="24"/>
          <w:u w:val="single"/>
        </w:rPr>
      </w:pPr>
      <w:r>
        <w:rPr>
          <w:rFonts w:hint="eastAsia" w:ascii="仿宋_GB2312" w:hAnsi="宋体" w:eastAsia="仿宋_GB2312"/>
          <w:b/>
          <w:sz w:val="24"/>
          <w:u w:val="single"/>
        </w:rPr>
        <w:t>2、本表后须附真实的合同或中标通知书</w:t>
      </w:r>
      <w:r>
        <w:rPr>
          <w:rFonts w:hint="eastAsia" w:ascii="仿宋_GB2312" w:hAnsi="宋体" w:eastAsia="仿宋_GB2312"/>
          <w:b/>
          <w:sz w:val="24"/>
          <w:u w:val="single"/>
          <w:lang w:eastAsia="zh-CN"/>
        </w:rPr>
        <w:t>，</w:t>
      </w:r>
      <w:r>
        <w:rPr>
          <w:rFonts w:hint="eastAsia" w:ascii="仿宋_GB2312" w:hAnsi="宋体" w:eastAsia="仿宋_GB2312"/>
          <w:b/>
          <w:sz w:val="24"/>
          <w:u w:val="single"/>
        </w:rPr>
        <w:t xml:space="preserve">（证明材料应能体现有本次招标采购范围）。如未附证明材料，业绩将不予认定； </w:t>
      </w:r>
    </w:p>
    <w:p>
      <w:pPr>
        <w:spacing w:line="360" w:lineRule="exact"/>
        <w:rPr>
          <w:rFonts w:hint="eastAsia" w:ascii="仿宋_GB2312" w:hAnsi="_5b8b_4f53" w:eastAsia="仿宋_GB2312"/>
          <w:sz w:val="24"/>
        </w:rPr>
      </w:pPr>
    </w:p>
    <w:p>
      <w:pPr>
        <w:spacing w:line="360" w:lineRule="exact"/>
        <w:rPr>
          <w:rFonts w:hint="eastAsia" w:ascii="仿宋_GB2312" w:hAnsi="_5b8b_4f53" w:eastAsia="仿宋_GB2312"/>
          <w:sz w:val="24"/>
        </w:rPr>
      </w:pPr>
    </w:p>
    <w:p>
      <w:pPr>
        <w:rPr>
          <w:rFonts w:hint="eastAsia" w:ascii="宋体" w:hAnsi="宋体" w:cs="仿宋_GB2312"/>
          <w:b/>
          <w:bCs/>
          <w:sz w:val="30"/>
          <w:szCs w:val="30"/>
        </w:rPr>
      </w:pPr>
    </w:p>
    <w:p>
      <w:pPr>
        <w:ind w:firstLine="2108" w:firstLineChars="700"/>
        <w:rPr>
          <w:rFonts w:hint="eastAsia" w:ascii="宋体" w:hAnsi="宋体" w:cs="仿宋_GB2312"/>
          <w:b/>
          <w:bCs/>
          <w:sz w:val="30"/>
          <w:szCs w:val="30"/>
        </w:rPr>
      </w:pPr>
    </w:p>
    <w:p>
      <w:pPr>
        <w:pStyle w:val="10"/>
        <w:rPr>
          <w:rFonts w:hint="eastAsia"/>
        </w:rPr>
      </w:pPr>
    </w:p>
    <w:p>
      <w:pPr>
        <w:ind w:firstLine="2108" w:firstLineChars="700"/>
        <w:rPr>
          <w:rFonts w:hint="eastAsia" w:ascii="宋体" w:hAnsi="宋体" w:cs="仿宋_GB2312"/>
          <w:b/>
          <w:bCs/>
          <w:sz w:val="30"/>
          <w:szCs w:val="30"/>
        </w:rPr>
      </w:pPr>
    </w:p>
    <w:p>
      <w:pPr>
        <w:shd w:val="clear" w:color="auto" w:fill="auto"/>
        <w:ind w:firstLine="602" w:firstLineChars="200"/>
        <w:jc w:val="center"/>
        <w:rPr>
          <w:rFonts w:hint="eastAsia" w:eastAsia="宋体"/>
          <w:b/>
          <w:bCs/>
          <w:color w:val="auto"/>
          <w:sz w:val="30"/>
          <w:szCs w:val="30"/>
          <w:highlight w:val="none"/>
          <w:lang w:eastAsia="zh-CN"/>
        </w:rPr>
      </w:pPr>
      <w:r>
        <w:rPr>
          <w:rFonts w:hint="eastAsia" w:ascii="宋体" w:hAnsi="宋体" w:cs="仿宋_GB2312"/>
          <w:b/>
          <w:bCs/>
          <w:color w:val="auto"/>
          <w:sz w:val="30"/>
          <w:szCs w:val="30"/>
          <w:highlight w:val="none"/>
          <w:lang w:val="en-US" w:eastAsia="zh-CN"/>
        </w:rPr>
        <w:t>七</w:t>
      </w:r>
      <w:r>
        <w:rPr>
          <w:rFonts w:hint="eastAsia" w:ascii="宋体" w:hAnsi="宋体" w:cs="仿宋_GB2312"/>
          <w:b/>
          <w:bCs/>
          <w:color w:val="auto"/>
          <w:sz w:val="30"/>
          <w:szCs w:val="30"/>
          <w:highlight w:val="none"/>
          <w:lang w:eastAsia="zh-CN"/>
        </w:rPr>
        <w:t>、（</w:t>
      </w:r>
      <w:r>
        <w:rPr>
          <w:rFonts w:hint="eastAsia" w:ascii="宋体" w:hAnsi="宋体" w:cs="仿宋_GB2312"/>
          <w:b/>
          <w:bCs/>
          <w:color w:val="auto"/>
          <w:sz w:val="30"/>
          <w:szCs w:val="30"/>
          <w:highlight w:val="none"/>
          <w:lang w:val="en-US" w:eastAsia="zh-CN"/>
        </w:rPr>
        <w:t>1</w:t>
      </w:r>
      <w:r>
        <w:rPr>
          <w:rFonts w:hint="eastAsia" w:ascii="宋体" w:hAnsi="宋体" w:cs="仿宋_GB2312"/>
          <w:b/>
          <w:bCs/>
          <w:color w:val="auto"/>
          <w:sz w:val="30"/>
          <w:szCs w:val="30"/>
          <w:highlight w:val="none"/>
          <w:lang w:eastAsia="zh-CN"/>
        </w:rPr>
        <w:t>）</w:t>
      </w:r>
      <w:r>
        <w:rPr>
          <w:rFonts w:hint="eastAsia" w:ascii="宋体" w:hAnsi="宋体" w:eastAsia="宋体" w:cs="仿宋_GB2312"/>
          <w:b/>
          <w:bCs/>
          <w:color w:val="auto"/>
          <w:sz w:val="30"/>
          <w:szCs w:val="30"/>
          <w:highlight w:val="none"/>
        </w:rPr>
        <w:t>拟派本项目</w:t>
      </w:r>
      <w:r>
        <w:rPr>
          <w:rFonts w:hint="eastAsia" w:ascii="宋体" w:hAnsi="宋体" w:eastAsia="宋体" w:cs="仿宋_GB2312"/>
          <w:b/>
          <w:bCs/>
          <w:color w:val="auto"/>
          <w:sz w:val="30"/>
          <w:szCs w:val="30"/>
          <w:highlight w:val="none"/>
          <w:lang w:eastAsia="zh-CN"/>
        </w:rPr>
        <w:t>负责人简历表</w:t>
      </w:r>
    </w:p>
    <w:tbl>
      <w:tblPr>
        <w:tblStyle w:val="28"/>
        <w:tblW w:w="9116"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1008"/>
        <w:gridCol w:w="364"/>
        <w:gridCol w:w="1450"/>
        <w:gridCol w:w="1030"/>
        <w:gridCol w:w="1506"/>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70"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姓 名 </w:t>
            </w:r>
          </w:p>
        </w:tc>
        <w:tc>
          <w:tcPr>
            <w:tcW w:w="1372" w:type="dxa"/>
            <w:gridSpan w:val="2"/>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1450"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性 别 </w:t>
            </w:r>
          </w:p>
        </w:tc>
        <w:tc>
          <w:tcPr>
            <w:tcW w:w="1030"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1506"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出生日期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570"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毕业院校及</w:t>
            </w: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专业 </w:t>
            </w:r>
          </w:p>
        </w:tc>
        <w:tc>
          <w:tcPr>
            <w:tcW w:w="3852" w:type="dxa"/>
            <w:gridSpan w:val="4"/>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1506"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毕业时间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942" w:type="dxa"/>
            <w:gridSpan w:val="3"/>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从事本专业时间 </w:t>
            </w:r>
          </w:p>
        </w:tc>
        <w:tc>
          <w:tcPr>
            <w:tcW w:w="1450"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536"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为供应商服务时间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16" w:type="dxa"/>
            <w:gridSpan w:val="7"/>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lang w:val="en-US" w:eastAsia="zh-CN"/>
              </w:rPr>
              <w:t xml:space="preserve">                            </w:t>
            </w:r>
            <w:r>
              <w:rPr>
                <w:rFonts w:hint="eastAsia" w:ascii="仿宋_GB2312" w:hAnsi="仿宋" w:eastAsia="仿宋_GB2312" w:cs="Times New Roman"/>
                <w:sz w:val="28"/>
                <w:szCs w:val="28"/>
              </w:rPr>
              <w:t>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时 间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参加过的类似项目名称及规模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该项目中任职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bl>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rPr>
        <w:t>注：</w:t>
      </w:r>
      <w:r>
        <w:rPr>
          <w:rFonts w:hint="eastAsia" w:ascii="仿宋_GB2312" w:hAnsi="仿宋" w:eastAsia="仿宋_GB2312" w:cs="Times New Roman"/>
          <w:sz w:val="28"/>
          <w:szCs w:val="28"/>
          <w:lang w:val="en-US" w:eastAsia="zh-CN"/>
        </w:rPr>
        <w:t>1、需提供项目负责人类似业绩证明材料须附</w:t>
      </w:r>
      <w:r>
        <w:rPr>
          <w:rFonts w:hint="eastAsia" w:ascii="仿宋_GB2312" w:hAnsi="仿宋_GB2312" w:eastAsia="仿宋_GB2312" w:cs="仿宋_GB2312"/>
          <w:kern w:val="2"/>
          <w:sz w:val="28"/>
          <w:szCs w:val="28"/>
          <w:lang w:val="en-US" w:eastAsia="zh-CN" w:bidi="ar-SA"/>
        </w:rPr>
        <w:t>合同或中标通知书。</w:t>
      </w:r>
    </w:p>
    <w:p>
      <w:pPr>
        <w:topLinePunct/>
        <w:spacing w:line="440" w:lineRule="exact"/>
        <w:ind w:firstLine="1120" w:firstLineChars="400"/>
        <w:jc w:val="both"/>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2、项目负责人需附相关证件的复印件需盖投标人公章。</w:t>
      </w:r>
    </w:p>
    <w:p>
      <w:pPr>
        <w:topLinePunct/>
        <w:spacing w:line="440" w:lineRule="exact"/>
        <w:jc w:val="center"/>
        <w:rPr>
          <w:rFonts w:hint="eastAsia" w:ascii="仿宋_GB2312" w:hAnsi="仿宋" w:eastAsia="仿宋_GB2312" w:cs="Times New Roman"/>
          <w:sz w:val="28"/>
          <w:szCs w:val="28"/>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供应商名称：                        （盖公章）</w:t>
      </w:r>
    </w:p>
    <w:p>
      <w:pPr>
        <w:pStyle w:val="10"/>
        <w:rPr>
          <w:rFonts w:hint="eastAsia"/>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法定代表人或法定代表人授权代表</w:t>
      </w:r>
      <w:r>
        <w:rPr>
          <w:rFonts w:hint="eastAsia" w:ascii="仿宋_GB2312" w:hAnsi="仿宋" w:eastAsia="仿宋_GB2312"/>
          <w:color w:val="000000"/>
          <w:sz w:val="28"/>
          <w:szCs w:val="28"/>
          <w:lang w:val="zh-CN"/>
        </w:rPr>
        <w:t>（</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cs="Times New Roman"/>
          <w:sz w:val="28"/>
          <w:szCs w:val="28"/>
        </w:rPr>
        <w:t xml:space="preserve">：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日期：   年   月   日</w:t>
      </w:r>
    </w:p>
    <w:p>
      <w:pPr>
        <w:pStyle w:val="4"/>
        <w:numPr>
          <w:ilvl w:val="2"/>
          <w:numId w:val="0"/>
        </w:numPr>
        <w:ind w:leftChars="200"/>
        <w:rPr>
          <w:rFonts w:hint="eastAsia"/>
        </w:rPr>
      </w:pPr>
    </w:p>
    <w:p>
      <w:pPr>
        <w:topLinePunct/>
        <w:spacing w:line="440" w:lineRule="exact"/>
        <w:jc w:val="left"/>
        <w:rPr>
          <w:rFonts w:hint="eastAsia" w:ascii="仿宋_GB2312" w:hAnsi="仿宋" w:eastAsia="仿宋_GB2312" w:cs="Times New Roman"/>
          <w:sz w:val="28"/>
          <w:szCs w:val="28"/>
          <w:lang w:eastAsia="zh-CN"/>
        </w:rPr>
      </w:pPr>
    </w:p>
    <w:p>
      <w:pPr>
        <w:numPr>
          <w:ilvl w:val="0"/>
          <w:numId w:val="0"/>
        </w:numPr>
        <w:shd w:val="clear" w:color="auto" w:fill="auto"/>
        <w:tabs>
          <w:tab w:val="left" w:pos="2985"/>
        </w:tabs>
        <w:spacing w:line="480" w:lineRule="auto"/>
        <w:jc w:val="center"/>
        <w:rPr>
          <w:rFonts w:hint="eastAsia" w:ascii="宋体" w:hAnsi="宋体" w:eastAsia="宋体" w:cs="仿宋_GB2312"/>
          <w:b/>
          <w:bCs/>
          <w:color w:val="auto"/>
          <w:sz w:val="30"/>
          <w:szCs w:val="30"/>
          <w:highlight w:val="none"/>
          <w:lang w:val="en-US" w:eastAsia="zh-CN"/>
        </w:rPr>
      </w:pPr>
    </w:p>
    <w:p>
      <w:pPr>
        <w:numPr>
          <w:ilvl w:val="0"/>
          <w:numId w:val="0"/>
        </w:numPr>
        <w:shd w:val="clear" w:color="auto" w:fill="auto"/>
        <w:tabs>
          <w:tab w:val="left" w:pos="2985"/>
        </w:tabs>
        <w:spacing w:line="480" w:lineRule="auto"/>
        <w:jc w:val="center"/>
        <w:rPr>
          <w:rFonts w:hint="eastAsia" w:ascii="宋体" w:hAnsi="宋体" w:eastAsia="宋体" w:cs="仿宋_GB2312"/>
          <w:b/>
          <w:bCs/>
          <w:color w:val="auto"/>
          <w:sz w:val="30"/>
          <w:szCs w:val="30"/>
          <w:highlight w:val="none"/>
          <w:lang w:val="en-US" w:eastAsia="zh-CN"/>
        </w:rPr>
      </w:pPr>
    </w:p>
    <w:p>
      <w:pPr>
        <w:numPr>
          <w:ilvl w:val="0"/>
          <w:numId w:val="0"/>
        </w:numPr>
        <w:shd w:val="clear" w:color="auto" w:fill="auto"/>
        <w:tabs>
          <w:tab w:val="left" w:pos="2985"/>
        </w:tabs>
        <w:spacing w:line="480" w:lineRule="auto"/>
        <w:jc w:val="center"/>
        <w:rPr>
          <w:rFonts w:hint="default" w:ascii="仿宋_GB2312" w:hAnsi="宋体" w:eastAsia="仿宋_GB2312" w:cs="Times New Roman"/>
          <w:b/>
          <w:color w:val="auto"/>
          <w:sz w:val="28"/>
          <w:szCs w:val="28"/>
          <w:lang w:val="en-US" w:eastAsia="zh-CN"/>
        </w:rPr>
      </w:pPr>
      <w:r>
        <w:rPr>
          <w:rFonts w:hint="eastAsia" w:ascii="宋体" w:hAnsi="宋体" w:cs="仿宋_GB2312"/>
          <w:b/>
          <w:bCs/>
          <w:color w:val="auto"/>
          <w:sz w:val="30"/>
          <w:szCs w:val="30"/>
          <w:highlight w:val="none"/>
          <w:lang w:val="en-US" w:eastAsia="zh-CN"/>
        </w:rPr>
        <w:t>（2）</w:t>
      </w:r>
      <w:r>
        <w:rPr>
          <w:rFonts w:hint="eastAsia" w:ascii="宋体" w:hAnsi="宋体" w:eastAsia="宋体" w:cs="仿宋_GB2312"/>
          <w:b/>
          <w:bCs/>
          <w:color w:val="auto"/>
          <w:sz w:val="30"/>
          <w:szCs w:val="30"/>
          <w:highlight w:val="none"/>
          <w:lang w:val="en-US" w:eastAsia="zh-CN"/>
        </w:rPr>
        <w:t>人员配备表</w:t>
      </w:r>
    </w:p>
    <w:p>
      <w:pPr>
        <w:pStyle w:val="10"/>
        <w:numPr>
          <w:ilvl w:val="0"/>
          <w:numId w:val="0"/>
        </w:numPr>
        <w:rPr>
          <w:rFonts w:hint="eastAsia"/>
          <w:sz w:val="22"/>
          <w:szCs w:val="28"/>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12"/>
        <w:gridCol w:w="1685"/>
        <w:gridCol w:w="208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宋体" w:hAnsi="宋体"/>
                <w:color w:val="000000"/>
                <w:sz w:val="24"/>
                <w:highlight w:val="none"/>
              </w:rPr>
            </w:pPr>
            <w:r>
              <w:rPr>
                <w:rFonts w:hint="eastAsia" w:ascii="宋体" w:hAnsi="宋体"/>
                <w:color w:val="000000"/>
                <w:sz w:val="24"/>
                <w:highlight w:val="none"/>
              </w:rPr>
              <w:t>序号</w:t>
            </w:r>
          </w:p>
        </w:tc>
        <w:tc>
          <w:tcPr>
            <w:tcW w:w="2412" w:type="dxa"/>
            <w:noWrap w:val="0"/>
            <w:vAlign w:val="top"/>
          </w:tcPr>
          <w:p>
            <w:pPr>
              <w:spacing w:line="740" w:lineRule="exact"/>
              <w:jc w:val="center"/>
              <w:rPr>
                <w:rFonts w:hint="eastAsia" w:ascii="宋体" w:hAnsi="宋体"/>
                <w:color w:val="000000"/>
                <w:sz w:val="24"/>
                <w:highlight w:val="none"/>
              </w:rPr>
            </w:pPr>
            <w:r>
              <w:rPr>
                <w:rFonts w:hint="eastAsia" w:ascii="宋体" w:hAnsi="宋体"/>
                <w:color w:val="000000"/>
                <w:sz w:val="24"/>
                <w:highlight w:val="none"/>
              </w:rPr>
              <w:t>人员姓名</w:t>
            </w:r>
          </w:p>
        </w:tc>
        <w:tc>
          <w:tcPr>
            <w:tcW w:w="1685" w:type="dxa"/>
            <w:noWrap w:val="0"/>
            <w:vAlign w:val="top"/>
          </w:tcPr>
          <w:p>
            <w:pPr>
              <w:spacing w:line="740" w:lineRule="exact"/>
              <w:jc w:val="center"/>
              <w:rPr>
                <w:rFonts w:hint="eastAsia" w:ascii="宋体" w:hAnsi="宋体"/>
                <w:color w:val="000000"/>
                <w:sz w:val="24"/>
                <w:highlight w:val="none"/>
              </w:rPr>
            </w:pPr>
            <w:r>
              <w:rPr>
                <w:rFonts w:hint="eastAsia" w:ascii="宋体" w:hAnsi="宋体"/>
                <w:color w:val="000000"/>
                <w:sz w:val="24"/>
                <w:highlight w:val="none"/>
              </w:rPr>
              <w:t>年龄</w:t>
            </w:r>
          </w:p>
        </w:tc>
        <w:tc>
          <w:tcPr>
            <w:tcW w:w="2084" w:type="dxa"/>
            <w:noWrap w:val="0"/>
            <w:vAlign w:val="top"/>
          </w:tcPr>
          <w:p>
            <w:pPr>
              <w:spacing w:line="740" w:lineRule="exact"/>
              <w:jc w:val="center"/>
              <w:rPr>
                <w:rFonts w:hint="eastAsia" w:ascii="宋体" w:hAnsi="宋体"/>
                <w:color w:val="000000"/>
                <w:sz w:val="24"/>
                <w:highlight w:val="none"/>
              </w:rPr>
            </w:pPr>
            <w:r>
              <w:rPr>
                <w:rFonts w:hint="eastAsia" w:ascii="宋体" w:hAnsi="宋体"/>
                <w:color w:val="000000"/>
                <w:sz w:val="24"/>
                <w:highlight w:val="none"/>
              </w:rPr>
              <w:t>拟担任职务</w:t>
            </w:r>
          </w:p>
        </w:tc>
        <w:tc>
          <w:tcPr>
            <w:tcW w:w="1458" w:type="dxa"/>
            <w:noWrap w:val="0"/>
            <w:vAlign w:val="top"/>
          </w:tcPr>
          <w:p>
            <w:pPr>
              <w:spacing w:line="740" w:lineRule="exact"/>
              <w:jc w:val="center"/>
              <w:rPr>
                <w:rFonts w:hint="eastAsia" w:ascii="宋体" w:hAnsi="宋体"/>
                <w:color w:val="000000"/>
                <w:sz w:val="24"/>
                <w:highlight w:val="none"/>
              </w:rPr>
            </w:pPr>
            <w:r>
              <w:rPr>
                <w:rFonts w:hint="eastAsia" w:ascii="宋体" w:hAnsi="宋体"/>
                <w:color w:val="000000"/>
                <w:sz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宋体" w:hAnsi="宋体"/>
                <w:color w:val="000000"/>
                <w:sz w:val="24"/>
                <w:highlight w:val="none"/>
              </w:rPr>
            </w:pPr>
          </w:p>
        </w:tc>
        <w:tc>
          <w:tcPr>
            <w:tcW w:w="2412" w:type="dxa"/>
            <w:noWrap w:val="0"/>
            <w:vAlign w:val="top"/>
          </w:tcPr>
          <w:p>
            <w:pPr>
              <w:spacing w:line="740" w:lineRule="exact"/>
              <w:jc w:val="center"/>
              <w:rPr>
                <w:rFonts w:hint="eastAsia" w:ascii="宋体" w:hAnsi="宋体"/>
                <w:color w:val="000000"/>
                <w:sz w:val="24"/>
                <w:highlight w:val="none"/>
              </w:rPr>
            </w:pPr>
          </w:p>
        </w:tc>
        <w:tc>
          <w:tcPr>
            <w:tcW w:w="1685" w:type="dxa"/>
            <w:noWrap w:val="0"/>
            <w:vAlign w:val="top"/>
          </w:tcPr>
          <w:p>
            <w:pPr>
              <w:spacing w:line="740" w:lineRule="exact"/>
              <w:jc w:val="center"/>
              <w:rPr>
                <w:rFonts w:hint="eastAsia" w:ascii="宋体" w:hAnsi="宋体"/>
                <w:color w:val="000000"/>
                <w:sz w:val="24"/>
                <w:highlight w:val="none"/>
              </w:rPr>
            </w:pPr>
          </w:p>
        </w:tc>
        <w:tc>
          <w:tcPr>
            <w:tcW w:w="2084" w:type="dxa"/>
            <w:noWrap w:val="0"/>
            <w:vAlign w:val="top"/>
          </w:tcPr>
          <w:p>
            <w:pPr>
              <w:spacing w:line="740" w:lineRule="exact"/>
              <w:jc w:val="center"/>
              <w:rPr>
                <w:rFonts w:hint="eastAsia" w:ascii="宋体" w:hAnsi="宋体"/>
                <w:color w:val="000000"/>
                <w:sz w:val="24"/>
                <w:highlight w:val="none"/>
              </w:rPr>
            </w:pPr>
          </w:p>
        </w:tc>
        <w:tc>
          <w:tcPr>
            <w:tcW w:w="1458" w:type="dxa"/>
            <w:noWrap w:val="0"/>
            <w:vAlign w:val="top"/>
          </w:tcPr>
          <w:p>
            <w:pPr>
              <w:spacing w:line="74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宋体" w:hAnsi="宋体"/>
                <w:color w:val="000000"/>
                <w:sz w:val="24"/>
                <w:highlight w:val="none"/>
              </w:rPr>
            </w:pPr>
          </w:p>
        </w:tc>
        <w:tc>
          <w:tcPr>
            <w:tcW w:w="2412" w:type="dxa"/>
            <w:noWrap w:val="0"/>
            <w:vAlign w:val="top"/>
          </w:tcPr>
          <w:p>
            <w:pPr>
              <w:spacing w:line="740" w:lineRule="exact"/>
              <w:jc w:val="center"/>
              <w:rPr>
                <w:rFonts w:hint="eastAsia" w:ascii="宋体" w:hAnsi="宋体"/>
                <w:color w:val="000000"/>
                <w:sz w:val="24"/>
                <w:highlight w:val="none"/>
              </w:rPr>
            </w:pPr>
          </w:p>
        </w:tc>
        <w:tc>
          <w:tcPr>
            <w:tcW w:w="1685" w:type="dxa"/>
            <w:noWrap w:val="0"/>
            <w:vAlign w:val="top"/>
          </w:tcPr>
          <w:p>
            <w:pPr>
              <w:spacing w:line="740" w:lineRule="exact"/>
              <w:jc w:val="center"/>
              <w:rPr>
                <w:rFonts w:hint="eastAsia" w:ascii="宋体" w:hAnsi="宋体"/>
                <w:color w:val="000000"/>
                <w:sz w:val="24"/>
                <w:highlight w:val="none"/>
              </w:rPr>
            </w:pPr>
          </w:p>
        </w:tc>
        <w:tc>
          <w:tcPr>
            <w:tcW w:w="2084" w:type="dxa"/>
            <w:noWrap w:val="0"/>
            <w:vAlign w:val="top"/>
          </w:tcPr>
          <w:p>
            <w:pPr>
              <w:spacing w:line="740" w:lineRule="exact"/>
              <w:jc w:val="center"/>
              <w:rPr>
                <w:rFonts w:hint="eastAsia" w:ascii="宋体" w:hAnsi="宋体"/>
                <w:color w:val="000000"/>
                <w:sz w:val="24"/>
                <w:highlight w:val="none"/>
              </w:rPr>
            </w:pPr>
          </w:p>
        </w:tc>
        <w:tc>
          <w:tcPr>
            <w:tcW w:w="1458" w:type="dxa"/>
            <w:noWrap w:val="0"/>
            <w:vAlign w:val="top"/>
          </w:tcPr>
          <w:p>
            <w:pPr>
              <w:spacing w:line="74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宋体" w:hAnsi="宋体"/>
                <w:color w:val="000000"/>
                <w:sz w:val="24"/>
                <w:highlight w:val="none"/>
              </w:rPr>
            </w:pPr>
          </w:p>
        </w:tc>
        <w:tc>
          <w:tcPr>
            <w:tcW w:w="2412" w:type="dxa"/>
            <w:noWrap w:val="0"/>
            <w:vAlign w:val="top"/>
          </w:tcPr>
          <w:p>
            <w:pPr>
              <w:spacing w:line="740" w:lineRule="exact"/>
              <w:jc w:val="center"/>
              <w:rPr>
                <w:rFonts w:hint="eastAsia" w:ascii="宋体" w:hAnsi="宋体"/>
                <w:color w:val="000000"/>
                <w:sz w:val="24"/>
                <w:highlight w:val="none"/>
              </w:rPr>
            </w:pPr>
          </w:p>
        </w:tc>
        <w:tc>
          <w:tcPr>
            <w:tcW w:w="1685" w:type="dxa"/>
            <w:noWrap w:val="0"/>
            <w:vAlign w:val="top"/>
          </w:tcPr>
          <w:p>
            <w:pPr>
              <w:spacing w:line="740" w:lineRule="exact"/>
              <w:jc w:val="center"/>
              <w:rPr>
                <w:rFonts w:hint="eastAsia" w:ascii="宋体" w:hAnsi="宋体"/>
                <w:color w:val="000000"/>
                <w:sz w:val="24"/>
                <w:highlight w:val="none"/>
              </w:rPr>
            </w:pPr>
          </w:p>
        </w:tc>
        <w:tc>
          <w:tcPr>
            <w:tcW w:w="2084" w:type="dxa"/>
            <w:noWrap w:val="0"/>
            <w:vAlign w:val="top"/>
          </w:tcPr>
          <w:p>
            <w:pPr>
              <w:spacing w:line="740" w:lineRule="exact"/>
              <w:jc w:val="center"/>
              <w:rPr>
                <w:rFonts w:hint="eastAsia" w:ascii="宋体" w:hAnsi="宋体"/>
                <w:color w:val="000000"/>
                <w:sz w:val="24"/>
                <w:highlight w:val="none"/>
              </w:rPr>
            </w:pPr>
          </w:p>
        </w:tc>
        <w:tc>
          <w:tcPr>
            <w:tcW w:w="1458" w:type="dxa"/>
            <w:noWrap w:val="0"/>
            <w:vAlign w:val="top"/>
          </w:tcPr>
          <w:p>
            <w:pPr>
              <w:spacing w:line="740" w:lineRule="exact"/>
              <w:jc w:val="center"/>
              <w:rPr>
                <w:rFonts w:hint="eastAsia" w:ascii="宋体" w:hAnsi="宋体"/>
                <w:color w:val="000000"/>
                <w:sz w:val="24"/>
                <w:highlight w:val="none"/>
              </w:rPr>
            </w:pPr>
          </w:p>
        </w:tc>
      </w:tr>
    </w:tbl>
    <w:p>
      <w:pPr>
        <w:rPr>
          <w:rFonts w:hint="eastAsia" w:ascii="仿宋_GB2312" w:hAnsi="仿宋" w:eastAsia="仿宋_GB2312"/>
          <w:b/>
          <w:bCs/>
          <w:color w:val="auto"/>
          <w:kern w:val="2"/>
          <w:sz w:val="28"/>
          <w:szCs w:val="28"/>
          <w:highlight w:val="none"/>
          <w:lang w:val="en-US" w:eastAsia="zh-CN" w:bidi="ar-SA"/>
        </w:rPr>
      </w:pPr>
      <w:r>
        <w:rPr>
          <w:rFonts w:hint="eastAsia" w:ascii="仿宋_GB2312" w:hAnsi="仿宋" w:eastAsia="仿宋_GB2312"/>
          <w:b/>
          <w:bCs/>
          <w:color w:val="auto"/>
          <w:kern w:val="2"/>
          <w:sz w:val="28"/>
          <w:szCs w:val="28"/>
          <w:highlight w:val="none"/>
          <w:lang w:val="en-US" w:eastAsia="zh-CN" w:bidi="ar-SA"/>
        </w:rPr>
        <w:t xml:space="preserve">备注：1、由供应商根据本招标文件自行拟定 </w:t>
      </w:r>
    </w:p>
    <w:p>
      <w:pPr>
        <w:ind w:firstLine="843" w:firstLineChars="300"/>
        <w:rPr>
          <w:rFonts w:hint="eastAsia" w:ascii="仿宋_GB2312" w:hAnsi="仿宋" w:eastAsia="仿宋_GB2312"/>
          <w:b/>
          <w:bCs/>
          <w:color w:val="auto"/>
          <w:kern w:val="2"/>
          <w:sz w:val="28"/>
          <w:szCs w:val="28"/>
          <w:highlight w:val="none"/>
          <w:lang w:val="en-US" w:eastAsia="zh-CN" w:bidi="ar-SA"/>
        </w:rPr>
      </w:pPr>
      <w:r>
        <w:rPr>
          <w:rFonts w:hint="eastAsia" w:ascii="仿宋_GB2312" w:hAnsi="仿宋" w:eastAsia="仿宋_GB2312"/>
          <w:b/>
          <w:bCs/>
          <w:color w:val="auto"/>
          <w:kern w:val="2"/>
          <w:sz w:val="28"/>
          <w:szCs w:val="28"/>
          <w:highlight w:val="none"/>
          <w:lang w:val="en-US" w:eastAsia="zh-CN" w:bidi="ar-SA"/>
        </w:rPr>
        <w:t>2、投标人应在本表后附所填人员证件复印件，所有复印件加盖单位公章。</w:t>
      </w:r>
    </w:p>
    <w:p>
      <w:pPr>
        <w:pStyle w:val="10"/>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rPr>
      </w:pPr>
    </w:p>
    <w:p>
      <w:pPr>
        <w:rPr>
          <w:rFonts w:hint="eastAsia" w:ascii="宋体" w:hAnsi="宋体" w:cs="仿宋_GB2312"/>
          <w:b/>
          <w:bCs/>
          <w:sz w:val="30"/>
          <w:szCs w:val="30"/>
          <w:lang w:eastAsia="zh-CN"/>
        </w:rPr>
      </w:pPr>
    </w:p>
    <w:p>
      <w:pPr>
        <w:pStyle w:val="10"/>
        <w:jc w:val="center"/>
        <w:rPr>
          <w:rFonts w:hint="eastAsia" w:ascii="仿宋_GB2312" w:hAnsi="宋体" w:eastAsia="仿宋_GB2312"/>
          <w:b/>
          <w:sz w:val="32"/>
          <w:szCs w:val="32"/>
        </w:rPr>
      </w:pPr>
      <w:r>
        <w:rPr>
          <w:rFonts w:hint="eastAsia" w:ascii="仿宋_GB2312" w:hAnsi="宋体" w:eastAsia="仿宋_GB2312"/>
          <w:b/>
          <w:sz w:val="32"/>
          <w:szCs w:val="32"/>
          <w:lang w:val="en-US" w:eastAsia="zh-CN"/>
        </w:rPr>
        <w:t>八</w:t>
      </w:r>
      <w:r>
        <w:rPr>
          <w:rFonts w:hint="eastAsia" w:ascii="仿宋_GB2312" w:hAnsi="宋体" w:eastAsia="仿宋_GB2312"/>
          <w:b/>
          <w:sz w:val="32"/>
          <w:szCs w:val="32"/>
        </w:rPr>
        <w:t>、</w:t>
      </w:r>
      <w:r>
        <w:rPr>
          <w:rFonts w:hint="eastAsia" w:ascii="仿宋_GB2312" w:hAnsi="仿宋" w:eastAsia="仿宋_GB2312"/>
          <w:b/>
          <w:color w:val="auto"/>
          <w:sz w:val="32"/>
          <w:szCs w:val="32"/>
          <w:highlight w:val="none"/>
          <w:lang w:val="en-US" w:eastAsia="zh-CN"/>
        </w:rPr>
        <w:t>企业财务状况</w:t>
      </w:r>
    </w:p>
    <w:p>
      <w:pPr>
        <w:pStyle w:val="10"/>
        <w:ind w:firstLine="1960" w:firstLineChars="700"/>
        <w:jc w:val="both"/>
        <w:rPr>
          <w:rFonts w:hint="eastAsia" w:ascii="仿宋_GB2312" w:hAnsi="宋体" w:eastAsia="仿宋_GB2312"/>
          <w:b w:val="0"/>
          <w:bCs/>
          <w:sz w:val="32"/>
          <w:szCs w:val="32"/>
        </w:rPr>
      </w:pPr>
      <w:r>
        <w:rPr>
          <w:rFonts w:hint="eastAsia" w:ascii="仿宋_GB2312" w:hAnsi="仿宋_GB2312" w:eastAsia="仿宋_GB2312" w:cs="仿宋_GB2312"/>
          <w:b w:val="0"/>
          <w:bCs/>
          <w:color w:val="auto"/>
          <w:sz w:val="28"/>
          <w:szCs w:val="28"/>
          <w:highlight w:val="none"/>
          <w:lang w:eastAsia="zh-CN"/>
        </w:rPr>
        <w:t>备注：</w:t>
      </w:r>
      <w:r>
        <w:rPr>
          <w:rFonts w:hint="eastAsia" w:ascii="仿宋_GB2312" w:hAnsi="仿宋_GB2312" w:eastAsia="仿宋_GB2312" w:cs="仿宋_GB2312"/>
          <w:b w:val="0"/>
          <w:bCs/>
          <w:color w:val="auto"/>
          <w:sz w:val="28"/>
          <w:szCs w:val="28"/>
          <w:highlight w:val="none"/>
          <w:lang w:val="en-US" w:eastAsia="zh-CN"/>
        </w:rPr>
        <w:t>企业提供近两年任意一年审计报告或财务报表</w:t>
      </w:r>
    </w:p>
    <w:p>
      <w:pPr>
        <w:pStyle w:val="10"/>
        <w:ind w:firstLine="2249" w:firstLineChars="700"/>
        <w:jc w:val="both"/>
        <w:rPr>
          <w:rFonts w:hint="eastAsia" w:ascii="仿宋_GB2312" w:hAnsi="仿宋" w:eastAsia="仿宋_GB2312"/>
          <w:b/>
          <w:sz w:val="32"/>
          <w:szCs w:val="32"/>
        </w:rPr>
      </w:pPr>
    </w:p>
    <w:p>
      <w:pPr>
        <w:pStyle w:val="22"/>
        <w:rPr>
          <w:rFonts w:hint="eastAsia" w:ascii="仿宋_GB2312" w:hAnsi="仿宋" w:eastAsia="仿宋_GB2312"/>
          <w:b/>
          <w:sz w:val="32"/>
          <w:szCs w:val="32"/>
        </w:rPr>
      </w:pPr>
    </w:p>
    <w:p>
      <w:pPr>
        <w:numPr>
          <w:ilvl w:val="0"/>
          <w:numId w:val="0"/>
        </w:numPr>
        <w:adjustRightInd w:val="0"/>
        <w:snapToGrid w:val="0"/>
        <w:spacing w:line="420" w:lineRule="auto"/>
        <w:jc w:val="both"/>
        <w:rPr>
          <w:rFonts w:hint="eastAsia" w:ascii="仿宋_GB2312" w:hAnsi="仿宋" w:eastAsia="仿宋_GB2312"/>
          <w:b/>
          <w:sz w:val="32"/>
          <w:szCs w:val="32"/>
          <w:lang w:val="en-US" w:eastAsia="zh-CN"/>
        </w:rPr>
      </w:pPr>
    </w:p>
    <w:p>
      <w:pPr>
        <w:pStyle w:val="10"/>
        <w:rPr>
          <w:rFonts w:hint="eastAsia"/>
          <w:lang w:val="en-US" w:eastAsia="zh-CN"/>
        </w:rPr>
      </w:pPr>
    </w:p>
    <w:p>
      <w:pPr>
        <w:adjustRightInd w:val="0"/>
        <w:snapToGrid w:val="0"/>
        <w:spacing w:line="360" w:lineRule="auto"/>
        <w:jc w:val="center"/>
        <w:rPr>
          <w:rFonts w:hint="eastAsia" w:ascii="宋体" w:hAnsi="宋体"/>
          <w:b/>
          <w:sz w:val="30"/>
        </w:rPr>
      </w:pPr>
      <w:r>
        <w:rPr>
          <w:rFonts w:hint="eastAsia" w:ascii="仿宋_GB2312" w:hAnsi="仿宋" w:eastAsia="仿宋_GB2312" w:cs="Times New Roman"/>
          <w:b/>
          <w:color w:val="auto"/>
          <w:sz w:val="32"/>
          <w:szCs w:val="32"/>
          <w:lang w:val="en-US" w:eastAsia="zh-CN"/>
        </w:rPr>
        <w:t>九、</w:t>
      </w:r>
      <w:r>
        <w:rPr>
          <w:rFonts w:hint="eastAsia" w:ascii="仿宋_GB2312" w:hAnsi="宋体" w:eastAsia="仿宋_GB2312"/>
          <w:b/>
          <w:color w:val="auto"/>
          <w:sz w:val="32"/>
          <w:szCs w:val="32"/>
          <w:lang w:eastAsia="zh-CN"/>
        </w:rPr>
        <w:t>投标</w:t>
      </w:r>
      <w:r>
        <w:rPr>
          <w:rFonts w:hint="eastAsia" w:ascii="仿宋_GB2312" w:hAnsi="宋体" w:eastAsia="仿宋_GB2312"/>
          <w:b/>
          <w:color w:val="auto"/>
          <w:sz w:val="32"/>
          <w:szCs w:val="32"/>
        </w:rPr>
        <w:t>企业</w:t>
      </w:r>
      <w:r>
        <w:rPr>
          <w:rFonts w:hint="eastAsia" w:ascii="仿宋_GB2312" w:hAnsi="宋体" w:eastAsia="仿宋_GB2312"/>
          <w:b/>
          <w:sz w:val="32"/>
          <w:szCs w:val="32"/>
        </w:rPr>
        <w:t>能力等级认证</w:t>
      </w:r>
    </w:p>
    <w:p>
      <w:pPr>
        <w:adjustRightInd w:val="0"/>
        <w:snapToGrid w:val="0"/>
        <w:spacing w:line="360" w:lineRule="auto"/>
        <w:ind w:firstLine="562" w:firstLineChars="200"/>
        <w:rPr>
          <w:rFonts w:hint="eastAsia" w:ascii="仿宋_GB2312" w:hAnsi="宋体" w:eastAsia="仿宋_GB2312"/>
          <w:b/>
          <w:sz w:val="28"/>
          <w:szCs w:val="28"/>
          <w:u w:val="single"/>
        </w:rPr>
      </w:pPr>
      <w:r>
        <w:rPr>
          <w:rFonts w:hint="eastAsia" w:ascii="仿宋_GB2312" w:hAnsi="仿宋_GB2312" w:eastAsia="仿宋_GB2312" w:cs="仿宋_GB2312"/>
          <w:b/>
          <w:sz w:val="28"/>
          <w:szCs w:val="28"/>
        </w:rPr>
        <w:t>备注：</w:t>
      </w:r>
      <w:r>
        <w:rPr>
          <w:rFonts w:hint="eastAsia" w:ascii="仿宋_GB2312" w:hAnsi="仿宋_GB2312" w:eastAsia="仿宋_GB2312" w:cs="仿宋_GB2312"/>
          <w:b/>
          <w:sz w:val="28"/>
          <w:szCs w:val="28"/>
          <w:u w:val="single"/>
        </w:rPr>
        <w:t>附企业能力等级认证证书证明材料扫描件或复印件</w:t>
      </w:r>
      <w:r>
        <w:rPr>
          <w:rFonts w:hint="eastAsia" w:ascii="仿宋_GB2312" w:hAnsi="宋体" w:eastAsia="仿宋_GB2312"/>
          <w:b/>
          <w:sz w:val="28"/>
          <w:szCs w:val="28"/>
          <w:u w:val="single"/>
        </w:rPr>
        <w:t>清晰可辨有效）。</w:t>
      </w:r>
    </w:p>
    <w:p>
      <w:pPr>
        <w:adjustRightInd w:val="0"/>
        <w:snapToGrid w:val="0"/>
        <w:spacing w:line="360" w:lineRule="auto"/>
        <w:rPr>
          <w:rFonts w:hint="eastAsia" w:ascii="仿宋_GB2312" w:hAnsi="仿宋" w:eastAsia="仿宋_GB2312"/>
          <w:b/>
          <w:sz w:val="32"/>
          <w:szCs w:val="32"/>
          <w:lang w:val="en-US" w:eastAsia="zh-CN"/>
        </w:rPr>
      </w:pPr>
    </w:p>
    <w:p>
      <w:pPr>
        <w:pStyle w:val="10"/>
        <w:rPr>
          <w:rFonts w:hint="eastAsia" w:ascii="仿宋_GB2312" w:hAnsi="仿宋" w:eastAsia="仿宋_GB2312"/>
          <w:b/>
          <w:sz w:val="32"/>
          <w:szCs w:val="32"/>
          <w:lang w:val="en-US" w:eastAsia="zh-CN"/>
        </w:rPr>
      </w:pPr>
    </w:p>
    <w:p>
      <w:pPr>
        <w:pStyle w:val="22"/>
        <w:rPr>
          <w:rFonts w:hint="eastAsia" w:ascii="仿宋_GB2312" w:hAnsi="仿宋" w:eastAsia="仿宋_GB2312"/>
          <w:b/>
          <w:sz w:val="32"/>
          <w:szCs w:val="32"/>
          <w:lang w:val="en-US" w:eastAsia="zh-CN"/>
        </w:rPr>
      </w:pPr>
    </w:p>
    <w:p>
      <w:pPr>
        <w:pStyle w:val="22"/>
        <w:rPr>
          <w:rFonts w:hint="eastAsia" w:ascii="仿宋_GB2312" w:hAnsi="仿宋" w:eastAsia="仿宋_GB2312"/>
          <w:b/>
          <w:sz w:val="32"/>
          <w:szCs w:val="32"/>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pStyle w:val="22"/>
        <w:rPr>
          <w:rFonts w:hint="eastAsia" w:ascii="仿宋" w:hAnsi="仿宋" w:eastAsia="仿宋" w:cs="仿宋"/>
          <w:b/>
          <w:bCs w:val="0"/>
          <w:color w:val="auto"/>
          <w:sz w:val="28"/>
          <w:szCs w:val="28"/>
          <w:highlight w:val="none"/>
          <w:lang w:val="en-US" w:eastAsia="zh-CN"/>
        </w:rPr>
      </w:pPr>
    </w:p>
    <w:p>
      <w:pPr>
        <w:adjustRightInd w:val="0"/>
        <w:snapToGrid w:val="0"/>
        <w:spacing w:line="360" w:lineRule="auto"/>
        <w:jc w:val="center"/>
        <w:rPr>
          <w:rFonts w:hint="eastAsia" w:ascii="仿宋_GB2312" w:hAnsi="仿宋" w:eastAsia="仿宋_GB2312"/>
          <w:b/>
          <w:sz w:val="32"/>
          <w:szCs w:val="32"/>
        </w:rPr>
      </w:pPr>
      <w:r>
        <w:rPr>
          <w:rFonts w:hint="eastAsia" w:ascii="仿宋_GB2312" w:hAnsi="仿宋" w:eastAsia="仿宋_GB2312"/>
          <w:b/>
          <w:sz w:val="32"/>
          <w:szCs w:val="32"/>
          <w:lang w:val="en-US" w:eastAsia="zh-CN"/>
        </w:rPr>
        <w:t>十、</w:t>
      </w:r>
      <w:r>
        <w:rPr>
          <w:rFonts w:hint="eastAsia" w:ascii="仿宋_GB2312" w:hAnsi="仿宋" w:eastAsia="仿宋_GB2312"/>
          <w:b/>
          <w:sz w:val="32"/>
          <w:szCs w:val="32"/>
        </w:rPr>
        <w:t>（1）投标人的资格声明</w:t>
      </w:r>
    </w:p>
    <w:p>
      <w:pPr>
        <w:spacing w:line="360" w:lineRule="auto"/>
        <w:rPr>
          <w:rFonts w:hint="eastAsia" w:ascii="宋体" w:hAnsi="宋体" w:cs="宋体"/>
          <w:color w:val="000000"/>
          <w:u w:val="single"/>
        </w:rPr>
      </w:pPr>
    </w:p>
    <w:p>
      <w:pPr>
        <w:spacing w:line="360" w:lineRule="auto"/>
        <w:rPr>
          <w:rFonts w:ascii="宋体" w:hAnsi="宋体" w:cs="宋体"/>
          <w:color w:val="000000"/>
        </w:rPr>
      </w:pPr>
      <w:r>
        <w:rPr>
          <w:rFonts w:hint="eastAsia" w:ascii="宋体" w:hAnsi="宋体" w:cs="宋体"/>
          <w:color w:val="000000"/>
          <w:u w:val="single"/>
        </w:rPr>
        <w:t xml:space="preserve">          ：</w:t>
      </w: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关于贵方</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年</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月</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日发出的</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项目招标文件，本报价方愿意参加报价，并证明资格文件中所要求的说明是真实和准确的。本报价方对可能要求的进一步资格资料表示理解和同意，并同意按贵方的要求提供任何有关资料。</w:t>
      </w:r>
    </w:p>
    <w:p>
      <w:pPr>
        <w:spacing w:line="360" w:lineRule="auto"/>
        <w:ind w:firstLine="480"/>
        <w:rPr>
          <w:rFonts w:ascii="宋体" w:hAnsi="宋体" w:cs="宋体"/>
          <w:color w:val="000000"/>
        </w:rPr>
      </w:pPr>
    </w:p>
    <w:p>
      <w:p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sz w:val="28"/>
          <w:szCs w:val="28"/>
        </w:rPr>
        <w:t>投标人</w:t>
      </w:r>
      <w:r>
        <w:rPr>
          <w:rFonts w:hint="eastAsia" w:ascii="仿宋_GB2312" w:hAnsi="仿宋" w:eastAsia="仿宋_GB2312"/>
          <w:color w:val="000000"/>
          <w:sz w:val="28"/>
          <w:szCs w:val="28"/>
        </w:rPr>
        <w:t xml:space="preserve">名称：   </w:t>
      </w:r>
      <w:r>
        <w:rPr>
          <w:rFonts w:hint="eastAsia" w:ascii="宋体" w:hAnsi="宋体" w:cs="宋体"/>
          <w:color w:val="000000"/>
        </w:rPr>
        <w:t xml:space="preserve">                         </w:t>
      </w:r>
      <w:r>
        <w:rPr>
          <w:rFonts w:hint="eastAsia" w:ascii="仿宋_GB2312" w:hAnsi="仿宋" w:eastAsia="仿宋_GB2312"/>
          <w:color w:val="000000"/>
          <w:sz w:val="28"/>
          <w:szCs w:val="28"/>
        </w:rPr>
        <w:t>（公章）：</w:t>
      </w:r>
    </w:p>
    <w:p>
      <w:pPr>
        <w:spacing w:line="360" w:lineRule="auto"/>
        <w:ind w:firstLine="480"/>
        <w:rPr>
          <w:rFonts w:hint="eastAsia" w:ascii="宋体" w:hAnsi="宋体" w:cs="宋体"/>
          <w:color w:val="000000"/>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rPr>
        <w:t>：</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地址：</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传真：</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b/>
          <w:sz w:val="32"/>
          <w:szCs w:val="32"/>
        </w:rPr>
      </w:pPr>
      <w:r>
        <w:rPr>
          <w:rFonts w:hint="eastAsia" w:ascii="仿宋_GB2312" w:hAnsi="仿宋" w:eastAsia="仿宋_GB2312"/>
          <w:color w:val="000000"/>
          <w:sz w:val="28"/>
          <w:szCs w:val="28"/>
        </w:rPr>
        <w:t>电话：</w:t>
      </w:r>
      <w:bookmarkStart w:id="15" w:name="_Toc26374"/>
      <w:bookmarkStart w:id="16" w:name="_Toc15384"/>
    </w:p>
    <w:p>
      <w:pPr>
        <w:adjustRightInd w:val="0"/>
        <w:snapToGrid w:val="0"/>
        <w:spacing w:line="360" w:lineRule="auto"/>
        <w:rPr>
          <w:rFonts w:hint="eastAsia" w:ascii="仿宋_GB2312" w:hAnsi="仿宋" w:eastAsia="仿宋_GB2312"/>
          <w:b/>
          <w:sz w:val="32"/>
          <w:szCs w:val="32"/>
        </w:rPr>
      </w:pPr>
    </w:p>
    <w:p>
      <w:pPr>
        <w:spacing w:line="360" w:lineRule="auto"/>
        <w:ind w:firstLine="480"/>
        <w:rPr>
          <w:rFonts w:hint="eastAsia"/>
        </w:rPr>
      </w:pPr>
      <w:r>
        <w:rPr>
          <w:rFonts w:hint="eastAsia" w:ascii="仿宋_GB2312" w:hAnsi="仿宋" w:eastAsia="仿宋_GB2312" w:cs="Times New Roman"/>
          <w:color w:val="000000"/>
          <w:sz w:val="28"/>
          <w:szCs w:val="28"/>
          <w:lang w:val="en-US" w:eastAsia="zh-CN"/>
        </w:rPr>
        <w:t>备注</w:t>
      </w:r>
      <w:r>
        <w:rPr>
          <w:rFonts w:hint="eastAsia" w:ascii="仿宋_GB2312" w:hAnsi="仿宋" w:eastAsia="仿宋_GB2312" w:cs="Times New Roman"/>
          <w:color w:val="000000"/>
          <w:sz w:val="28"/>
          <w:szCs w:val="28"/>
        </w:rPr>
        <w:t>：供应商承诺不实的，依据《政府采购法》第七十七条“提供虚假材料谋取中标、成交的”有关规定予以处理。</w:t>
      </w:r>
      <w:bookmarkEnd w:id="15"/>
      <w:bookmarkEnd w:id="16"/>
    </w:p>
    <w:p>
      <w:pPr>
        <w:pStyle w:val="10"/>
        <w:rPr>
          <w:rFonts w:hint="eastAsia"/>
        </w:rPr>
      </w:pPr>
    </w:p>
    <w:p>
      <w:pPr>
        <w:adjustRightInd w:val="0"/>
        <w:snapToGrid w:val="0"/>
        <w:spacing w:line="360" w:lineRule="auto"/>
        <w:ind w:firstLine="1606" w:firstLineChars="500"/>
        <w:rPr>
          <w:rFonts w:hint="eastAsia" w:ascii="仿宋_GB2312" w:hAnsi="仿宋" w:eastAsia="仿宋_GB2312"/>
          <w:b/>
          <w:sz w:val="32"/>
          <w:szCs w:val="32"/>
          <w:lang w:val="zh-CN"/>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jc w:val="center"/>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2"/>
          <w:szCs w:val="32"/>
        </w:rPr>
        <w:t>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bCs/>
          <w:spacing w:val="20"/>
          <w:kern w:val="0"/>
          <w:sz w:val="32"/>
          <w:szCs w:val="32"/>
        </w:rPr>
        <w:t>、技术方案</w:t>
      </w:r>
    </w:p>
    <w:p>
      <w:pPr>
        <w:widowControl/>
        <w:tabs>
          <w:tab w:val="left" w:pos="900"/>
        </w:tabs>
        <w:ind w:firstLine="56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rPr>
        <w:t>说明：对本项目的工作实施方案思路清晰、层次明确，根据招标技术要求，并结合项目区域实际，能够对本项目的主要任务内容表述明晰准确等，内容格式自定。</w:t>
      </w:r>
    </w:p>
    <w:p>
      <w:pPr>
        <w:rPr>
          <w:rFonts w:hint="eastAsia" w:ascii="仿宋_GB2312" w:hAnsi="仿宋_GB2312" w:eastAsia="仿宋_GB2312" w:cs="仿宋_GB2312"/>
          <w:b/>
          <w:sz w:val="32"/>
          <w:szCs w:val="32"/>
        </w:rPr>
      </w:pPr>
    </w:p>
    <w:p>
      <w:pPr>
        <w:pStyle w:val="3"/>
        <w:numPr>
          <w:ilvl w:val="1"/>
          <w:numId w:val="0"/>
        </w:numPr>
        <w:ind w:left="210" w:leftChars="0"/>
        <w:rPr>
          <w:rFonts w:hint="eastAsia"/>
        </w:rPr>
      </w:pPr>
    </w:p>
    <w:p>
      <w:pPr>
        <w:rPr>
          <w:rFonts w:hint="eastAsia"/>
        </w:rPr>
      </w:pPr>
    </w:p>
    <w:p>
      <w:pPr>
        <w:pStyle w:val="3"/>
        <w:numPr>
          <w:ilvl w:val="1"/>
          <w:numId w:val="0"/>
        </w:numPr>
        <w:ind w:leftChars="200"/>
        <w:rPr>
          <w:rFonts w:hint="eastAsia"/>
        </w:rPr>
      </w:pPr>
    </w:p>
    <w:p>
      <w:pPr>
        <w:rPr>
          <w:rFonts w:hint="eastAsia"/>
        </w:rPr>
      </w:pPr>
    </w:p>
    <w:p>
      <w:pPr>
        <w:pStyle w:val="3"/>
        <w:numPr>
          <w:ilvl w:val="1"/>
          <w:numId w:val="0"/>
        </w:numPr>
        <w:rPr>
          <w:rFonts w:hint="eastAsia"/>
        </w:rPr>
      </w:pPr>
    </w:p>
    <w:p>
      <w:pPr>
        <w:rPr>
          <w:rFonts w:hint="eastAsia"/>
        </w:rPr>
      </w:pPr>
    </w:p>
    <w:p>
      <w:pPr>
        <w:pStyle w:val="3"/>
        <w:numPr>
          <w:ilvl w:val="1"/>
          <w:numId w:val="0"/>
        </w:numPr>
        <w:ind w:left="420" w:leftChars="0"/>
        <w:rPr>
          <w:rFonts w:hint="eastAsia"/>
        </w:rPr>
      </w:pPr>
    </w:p>
    <w:p>
      <w:pPr>
        <w:rPr>
          <w:rFonts w:hint="eastAsia"/>
        </w:rPr>
      </w:pPr>
    </w:p>
    <w:p>
      <w:pPr>
        <w:pStyle w:val="3"/>
        <w:numPr>
          <w:ilvl w:val="1"/>
          <w:numId w:val="0"/>
        </w:numPr>
        <w:ind w:leftChars="200"/>
        <w:rPr>
          <w:rFonts w:hint="eastAsia"/>
        </w:rPr>
      </w:pPr>
    </w:p>
    <w:p>
      <w:pPr>
        <w:rPr>
          <w:rFonts w:hint="eastAsia"/>
        </w:rPr>
      </w:pPr>
    </w:p>
    <w:p>
      <w:pPr>
        <w:pStyle w:val="3"/>
        <w:numPr>
          <w:ilvl w:val="1"/>
          <w:numId w:val="0"/>
        </w:numPr>
        <w:ind w:leftChars="200"/>
        <w:rPr>
          <w:rFonts w:hint="eastAsia"/>
        </w:rPr>
      </w:pPr>
    </w:p>
    <w:p>
      <w:pPr>
        <w:rPr>
          <w:rFonts w:hint="eastAsia"/>
        </w:rPr>
      </w:pPr>
    </w:p>
    <w:p>
      <w:pPr>
        <w:rPr>
          <w:rFonts w:hint="eastAsia"/>
        </w:rPr>
      </w:pPr>
    </w:p>
    <w:p>
      <w:pPr>
        <w:adjustRightInd w:val="0"/>
        <w:snapToGrid w:val="0"/>
        <w:spacing w:line="360" w:lineRule="auto"/>
        <w:jc w:val="center"/>
        <w:rPr>
          <w:rFonts w:hint="eastAsia" w:ascii="仿宋_GB2312" w:hAnsi="仿宋_GB2312" w:eastAsia="仿宋_GB2312" w:cs="仿宋_GB2312"/>
          <w:b/>
          <w:sz w:val="32"/>
          <w:szCs w:val="32"/>
        </w:rPr>
      </w:pPr>
    </w:p>
    <w:p>
      <w:pPr>
        <w:pStyle w:val="3"/>
        <w:numPr>
          <w:ilvl w:val="1"/>
          <w:numId w:val="0"/>
        </w:numPr>
        <w:ind w:leftChars="200"/>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3"/>
        <w:numPr>
          <w:ilvl w:val="1"/>
          <w:numId w:val="0"/>
        </w:numPr>
        <w:ind w:leftChars="200"/>
        <w:rPr>
          <w:rFonts w:hint="eastAsia"/>
        </w:rPr>
      </w:pPr>
    </w:p>
    <w:p>
      <w:pPr>
        <w:rPr>
          <w:rFonts w:hint="eastAsia" w:ascii="仿宋_GB2312" w:hAnsi="仿宋_GB2312" w:eastAsia="仿宋_GB2312" w:cs="仿宋_GB2312"/>
          <w:b/>
          <w:sz w:val="32"/>
          <w:szCs w:val="32"/>
        </w:rPr>
      </w:pPr>
    </w:p>
    <w:p>
      <w:pPr>
        <w:pStyle w:val="7"/>
        <w:rPr>
          <w:rFonts w:hint="eastAsia"/>
        </w:rPr>
      </w:pPr>
    </w:p>
    <w:p>
      <w:pPr>
        <w:pStyle w:val="3"/>
        <w:numPr>
          <w:ilvl w:val="1"/>
          <w:numId w:val="0"/>
        </w:numPr>
        <w:rPr>
          <w:rFonts w:hint="eastAsia"/>
        </w:rPr>
      </w:pPr>
    </w:p>
    <w:p>
      <w:pPr>
        <w:rPr>
          <w:rFonts w:hint="eastAsia"/>
        </w:rPr>
      </w:pPr>
    </w:p>
    <w:p>
      <w:pPr>
        <w:pStyle w:val="3"/>
        <w:numPr>
          <w:ilvl w:val="1"/>
          <w:numId w:val="0"/>
        </w:numPr>
        <w:ind w:leftChars="200"/>
        <w:rPr>
          <w:rFonts w:hint="eastAsia"/>
        </w:rPr>
      </w:pPr>
    </w:p>
    <w:p>
      <w:pPr>
        <w:adjustRightInd w:val="0"/>
        <w:snapToGrid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、售后及服务承诺书（含优惠条件）（详述）</w:t>
      </w:r>
    </w:p>
    <w:p>
      <w:pPr>
        <w:pStyle w:val="45"/>
        <w:spacing w:line="360" w:lineRule="auto"/>
        <w:ind w:firstLine="562" w:firstLineChars="200"/>
        <w:rPr>
          <w:rFonts w:hint="eastAsia" w:ascii="仿宋_GB2312" w:hAnsi="宋体" w:eastAsia="仿宋_GB2312"/>
          <w:b/>
          <w:color w:val="auto"/>
          <w:sz w:val="28"/>
          <w:szCs w:val="28"/>
          <w:u w:val="single"/>
        </w:rPr>
      </w:pPr>
      <w:r>
        <w:rPr>
          <w:rFonts w:hint="eastAsia" w:ascii="仿宋_GB2312" w:hAnsi="宋体" w:eastAsia="仿宋_GB2312"/>
          <w:b/>
          <w:color w:val="auto"/>
          <w:sz w:val="28"/>
          <w:szCs w:val="28"/>
          <w:u w:val="single"/>
        </w:rPr>
        <w:t>说明：承诺书格式由投标商自行确定，但必须包括以下内容：</w:t>
      </w:r>
    </w:p>
    <w:p>
      <w:pPr>
        <w:widowControl/>
        <w:numPr>
          <w:ilvl w:val="0"/>
          <w:numId w:val="0"/>
        </w:numPr>
        <w:tabs>
          <w:tab w:val="left" w:pos="9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售后服务要求: </w:t>
      </w:r>
    </w:p>
    <w:p>
      <w:pPr>
        <w:pStyle w:val="45"/>
        <w:spacing w:line="360" w:lineRule="auto"/>
        <w:ind w:firstLine="560" w:firstLineChars="200"/>
        <w:rPr>
          <w:rFonts w:hint="eastAsia" w:ascii="仿宋_GB2312" w:eastAsia="仿宋_GB2312" w:cs="Times New Roman"/>
          <w:bCs/>
          <w:color w:val="auto"/>
          <w:sz w:val="28"/>
          <w:szCs w:val="28"/>
          <w:lang w:val="en-US" w:eastAsia="zh-CN"/>
        </w:rPr>
      </w:pPr>
      <w:r>
        <w:rPr>
          <w:rFonts w:hint="eastAsia" w:ascii="仿宋_GB2312" w:eastAsia="仿宋_GB2312" w:cs="Times New Roman"/>
          <w:bCs/>
          <w:color w:val="auto"/>
          <w:sz w:val="28"/>
          <w:szCs w:val="28"/>
          <w:lang w:val="en-US" w:eastAsia="zh-CN"/>
        </w:rPr>
        <w:t>1、按照《全国园地、林地、草地定级和基准地价数据库规范(征求意见稿)》和《全国园地、林地、草地定级和基准地价汇交指引(征求意见稿)》中要求，建立园地、林地、草地等3大类自然资源定级成果数据库，并根据下发的定级质检软件进行数据库质检，质检合格后形成汇交成果提交自治区自然资源厅核查验收。</w:t>
      </w:r>
    </w:p>
    <w:p>
      <w:pPr>
        <w:pStyle w:val="45"/>
        <w:spacing w:line="360" w:lineRule="auto"/>
        <w:ind w:firstLine="560" w:firstLineChars="200"/>
        <w:rPr>
          <w:rFonts w:hint="eastAsia" w:ascii="仿宋_GB2312" w:eastAsia="仿宋_GB2312" w:cs="Times New Roman"/>
          <w:bCs/>
          <w:color w:val="auto"/>
          <w:sz w:val="28"/>
          <w:szCs w:val="28"/>
          <w:lang w:val="en-US" w:eastAsia="zh-CN"/>
        </w:rPr>
      </w:pPr>
      <w:r>
        <w:rPr>
          <w:rFonts w:hint="eastAsia" w:ascii="仿宋_GB2312" w:eastAsia="仿宋_GB2312" w:cs="Times New Roman"/>
          <w:bCs/>
          <w:color w:val="auto"/>
          <w:sz w:val="28"/>
          <w:szCs w:val="28"/>
          <w:lang w:val="en-US" w:eastAsia="zh-CN"/>
        </w:rPr>
        <w:t>2、作业单位评估工作需完成外业资料收集、内业资料整理分析、成果编制、成果汇报、修改完善和成果验收工作。</w:t>
      </w:r>
    </w:p>
    <w:p>
      <w:pPr>
        <w:pStyle w:val="45"/>
        <w:spacing w:line="360" w:lineRule="auto"/>
        <w:ind w:firstLine="560" w:firstLineChars="200"/>
        <w:rPr>
          <w:rFonts w:hint="eastAsia" w:ascii="仿宋_GB2312" w:eastAsia="仿宋_GB2312" w:cs="Times New Roman"/>
          <w:bCs/>
          <w:color w:val="auto"/>
          <w:sz w:val="28"/>
          <w:szCs w:val="28"/>
          <w:lang w:val="en-US" w:eastAsia="zh-CN"/>
        </w:rPr>
      </w:pPr>
      <w:r>
        <w:rPr>
          <w:rFonts w:hint="eastAsia" w:ascii="仿宋_GB2312" w:eastAsia="仿宋_GB2312" w:cs="Times New Roman"/>
          <w:bCs/>
          <w:color w:val="auto"/>
          <w:sz w:val="28"/>
          <w:szCs w:val="28"/>
          <w:lang w:val="en-US" w:eastAsia="zh-CN"/>
        </w:rPr>
        <w:t>3、作业单位成果需通过自治区自然资源主管部门验收，并提交最终成果资料。</w:t>
      </w:r>
    </w:p>
    <w:p>
      <w:pPr>
        <w:pStyle w:val="45"/>
        <w:spacing w:line="360" w:lineRule="auto"/>
        <w:ind w:firstLine="562" w:firstLineChars="200"/>
        <w:rPr>
          <w:rFonts w:hint="eastAsia" w:ascii="仿宋_GB2312" w:eastAsia="仿宋_GB2312" w:cs="Times New Roman"/>
          <w:bCs/>
          <w:color w:val="auto"/>
          <w:sz w:val="28"/>
          <w:szCs w:val="28"/>
        </w:rPr>
      </w:pPr>
      <w:r>
        <w:rPr>
          <w:rFonts w:hint="eastAsia" w:ascii="仿宋_GB2312" w:eastAsia="仿宋_GB2312" w:cs="Times New Roman"/>
          <w:b/>
          <w:bCs w:val="0"/>
          <w:color w:val="auto"/>
          <w:sz w:val="28"/>
          <w:szCs w:val="28"/>
          <w:lang w:val="en-US" w:eastAsia="zh-CN"/>
        </w:rPr>
        <w:t>4</w:t>
      </w:r>
      <w:r>
        <w:rPr>
          <w:rFonts w:hint="eastAsia" w:ascii="仿宋_GB2312" w:eastAsia="仿宋_GB2312" w:cs="Times New Roman"/>
          <w:b/>
          <w:bCs w:val="0"/>
          <w:color w:val="auto"/>
          <w:sz w:val="28"/>
          <w:szCs w:val="28"/>
        </w:rPr>
        <w:t>、其他投标商认为必要的承诺内容及优惠条件。</w:t>
      </w:r>
    </w:p>
    <w:p>
      <w:pPr>
        <w:pStyle w:val="45"/>
        <w:spacing w:line="360" w:lineRule="auto"/>
        <w:ind w:firstLine="560" w:firstLineChars="200"/>
        <w:rPr>
          <w:rFonts w:hint="eastAsia" w:ascii="仿宋_GB2312" w:eastAsia="仿宋_GB2312"/>
          <w:bCs/>
          <w:color w:val="auto"/>
          <w:sz w:val="28"/>
          <w:szCs w:val="28"/>
        </w:rPr>
      </w:pP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法定代表人或法定代表人授权代表（签字或盖章）：</w:t>
      </w:r>
      <w:r>
        <w:rPr>
          <w:rFonts w:hint="eastAsia" w:ascii="仿宋_GB2312" w:hAnsi="仿宋" w:eastAsia="仿宋_GB2312"/>
          <w:sz w:val="28"/>
          <w:szCs w:val="28"/>
          <w:u w:val="single"/>
        </w:rPr>
        <w:t xml:space="preserve">           </w:t>
      </w:r>
    </w:p>
    <w:p>
      <w:pPr>
        <w:spacing w:line="480" w:lineRule="auto"/>
        <w:rPr>
          <w:rFonts w:hint="eastAsia" w:ascii="仿宋_GB2312" w:hAnsi="仿宋" w:eastAsia="仿宋_GB2312"/>
          <w:sz w:val="28"/>
          <w:szCs w:val="28"/>
        </w:rPr>
      </w:pPr>
      <w:r>
        <w:rPr>
          <w:rFonts w:hint="eastAsia" w:ascii="仿宋_GB2312" w:hAnsi="仿宋" w:eastAsia="仿宋_GB2312"/>
          <w:sz w:val="28"/>
          <w:szCs w:val="28"/>
        </w:rPr>
        <w:t>日期：   年   月   日</w:t>
      </w: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widowControl w:val="0"/>
        <w:spacing w:before="120"/>
        <w:jc w:val="both"/>
        <w:rPr>
          <w:rFonts w:hint="default" w:ascii="仿宋_GB2312" w:hAnsi="仿宋" w:eastAsia="仿宋_GB2312" w:cs="Times New Roman"/>
          <w:b/>
          <w:bCs/>
          <w:color w:val="auto"/>
          <w:kern w:val="2"/>
          <w:sz w:val="28"/>
          <w:szCs w:val="28"/>
          <w:lang w:val="en-US" w:eastAsia="zh-CN" w:bidi="ar-SA"/>
        </w:rPr>
      </w:pPr>
      <w:r>
        <w:rPr>
          <w:rFonts w:hint="eastAsia" w:ascii="仿宋_GB2312" w:hAnsi="仿宋" w:eastAsia="仿宋_GB2312" w:cs="Times New Roman"/>
          <w:b/>
          <w:bCs/>
          <w:color w:val="auto"/>
          <w:kern w:val="2"/>
          <w:sz w:val="28"/>
          <w:szCs w:val="28"/>
          <w:lang w:val="en-US" w:eastAsia="zh-CN" w:bidi="ar-SA"/>
        </w:rPr>
        <w:t>附件：</w:t>
      </w:r>
    </w:p>
    <w:p>
      <w:pPr>
        <w:widowControl w:val="0"/>
        <w:spacing w:before="120"/>
        <w:jc w:val="center"/>
        <w:rPr>
          <w:rFonts w:hint="eastAsia" w:ascii="仿宋_GB2312" w:hAnsi="仿宋" w:eastAsia="仿宋_GB2312" w:cs="Times New Roman"/>
          <w:b/>
          <w:bCs/>
          <w:color w:val="auto"/>
          <w:kern w:val="2"/>
          <w:sz w:val="28"/>
          <w:szCs w:val="28"/>
          <w:lang w:val="en-US" w:eastAsia="zh-CN" w:bidi="ar-SA"/>
        </w:rPr>
      </w:pPr>
      <w:r>
        <w:rPr>
          <w:rFonts w:hint="eastAsia" w:ascii="仿宋_GB2312" w:hAnsi="仿宋" w:eastAsia="仿宋_GB2312" w:cs="Times New Roman"/>
          <w:b/>
          <w:bCs/>
          <w:color w:val="auto"/>
          <w:kern w:val="2"/>
          <w:sz w:val="28"/>
          <w:szCs w:val="28"/>
          <w:lang w:val="en-US" w:eastAsia="zh-CN" w:bidi="ar-SA"/>
        </w:rPr>
        <w:t>质疑函范本</w:t>
      </w:r>
    </w:p>
    <w:p>
      <w:pPr>
        <w:pStyle w:val="8"/>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一、质疑供应商基本信息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质疑供应商：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地址：                                  邮编：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联系人：                                联系电话：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授权代表：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联系电话：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地址：                                  邮编： </w:t>
      </w:r>
    </w:p>
    <w:p>
      <w:pPr>
        <w:pStyle w:val="8"/>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二、质疑项目基本情况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质疑项目的名称：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质疑项目的编号：                        包号：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采购人名称：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采购文件获取日期： </w:t>
      </w:r>
    </w:p>
    <w:p>
      <w:pPr>
        <w:pStyle w:val="8"/>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三、质疑事项具体内容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质疑事项 1：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事实依据：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法律依据：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质疑事项 2 </w:t>
      </w:r>
    </w:p>
    <w:p>
      <w:pPr>
        <w:pStyle w:val="8"/>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4"/>
          <w:szCs w:val="24"/>
          <w:lang w:val="en-US" w:eastAsia="zh-CN" w:bidi="ar-SA"/>
        </w:rPr>
        <w:t>……</w:t>
      </w:r>
      <w:r>
        <w:rPr>
          <w:rFonts w:hint="eastAsia" w:ascii="仿宋_GB2312" w:hAnsi="仿宋" w:eastAsia="仿宋_GB2312" w:cs="Times New Roman"/>
          <w:kern w:val="2"/>
          <w:sz w:val="28"/>
          <w:szCs w:val="28"/>
          <w:lang w:val="en-US" w:eastAsia="zh-CN" w:bidi="ar-SA"/>
        </w:rPr>
        <w:t xml:space="preserve"> </w:t>
      </w:r>
    </w:p>
    <w:p>
      <w:pPr>
        <w:pStyle w:val="8"/>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四、与质疑事项相关的质疑请求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请求：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签字（盖章）：                         公章： </w:t>
      </w:r>
    </w:p>
    <w:p>
      <w:pPr>
        <w:pStyle w:val="8"/>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日期：</w:t>
      </w:r>
    </w:p>
    <w:p>
      <w:pPr>
        <w:rPr>
          <w:rFonts w:hint="eastAsia" w:ascii="仿宋_GB2312" w:hAnsi="仿宋" w:eastAsia="仿宋_GB2312" w:cs="Times New Roman"/>
          <w:b/>
          <w:bCs/>
          <w:kern w:val="2"/>
          <w:sz w:val="28"/>
          <w:szCs w:val="28"/>
          <w:lang w:val="en-US" w:eastAsia="zh-CN" w:bidi="ar-SA"/>
        </w:rPr>
      </w:pPr>
    </w:p>
    <w:p>
      <w:pPr>
        <w:rPr>
          <w:rFonts w:hint="eastAsia" w:ascii="仿宋_GB2312" w:hAnsi="仿宋" w:eastAsia="仿宋_GB2312" w:cs="Times New Roman"/>
          <w:b/>
          <w:bCs/>
          <w:kern w:val="2"/>
          <w:sz w:val="28"/>
          <w:szCs w:val="28"/>
          <w:lang w:val="en-US" w:eastAsia="zh-CN" w:bidi="ar-SA"/>
        </w:rPr>
      </w:pPr>
    </w:p>
    <w:p>
      <w:pPr>
        <w:pStyle w:val="8"/>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质疑函制作说明: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1.供应商提出质疑时，应提交质疑函和必要的证明材料。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3.质疑供应商若对项目的某一分包进行质疑，质疑函中应列明具体分包号。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4.质疑函的质疑事项应具体、明确，并有必要的事实依据和法律依据。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5.质疑函的质疑请求应与质疑事项相关。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 w:eastAsia="仿宋_GB2312" w:cs="Times New Roman"/>
          <w:sz w:val="28"/>
          <w:szCs w:val="28"/>
          <w:lang w:val="en-US" w:eastAsia="zh-CN"/>
        </w:rPr>
        <w:t>6.质疑供应商为自然人的，质疑函应由本人签字；质疑供应商为法人或者其他组织的，质疑函应由法定代表人、主要负责人，或者其授权代表签字或者盖章，并加盖公章。</w:t>
      </w: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p>
    <w:p>
      <w:pPr>
        <w:pStyle w:val="45"/>
        <w:spacing w:line="360" w:lineRule="auto"/>
        <w:rPr>
          <w:rFonts w:hint="eastAsia" w:ascii="仿宋_GB2312" w:hAnsi="宋体" w:eastAsia="仿宋_GB2312"/>
          <w:b/>
          <w:bCs w:val="0"/>
          <w:color w:val="auto"/>
          <w:sz w:val="32"/>
          <w:szCs w:val="32"/>
          <w:lang w:eastAsia="zh-CN"/>
        </w:rPr>
      </w:pPr>
      <w:r>
        <w:rPr>
          <w:rFonts w:hint="eastAsia" w:ascii="仿宋_GB2312" w:hAnsi="宋体" w:eastAsia="仿宋_GB2312"/>
          <w:b/>
          <w:bCs w:val="0"/>
          <w:color w:val="auto"/>
          <w:sz w:val="32"/>
          <w:szCs w:val="32"/>
          <w:lang w:eastAsia="zh-CN"/>
        </w:rPr>
        <w:t>附件：</w:t>
      </w:r>
    </w:p>
    <w:p>
      <w:pPr>
        <w:pStyle w:val="45"/>
        <w:spacing w:line="360" w:lineRule="auto"/>
        <w:jc w:val="center"/>
        <w:rPr>
          <w:rFonts w:hint="eastAsia" w:ascii="仿宋_GB2312" w:hAnsi="仿宋" w:eastAsia="仿宋_GB2312"/>
          <w:sz w:val="32"/>
          <w:szCs w:val="32"/>
        </w:rPr>
      </w:pPr>
      <w:r>
        <w:rPr>
          <w:rFonts w:hint="eastAsia" w:ascii="仿宋_GB2312" w:hAnsi="宋体" w:eastAsia="仿宋_GB2312"/>
          <w:b/>
          <w:bCs w:val="0"/>
          <w:color w:val="auto"/>
          <w:sz w:val="28"/>
          <w:szCs w:val="28"/>
        </w:rPr>
        <w:t>关于印发中小企业划型标准规定的通知(工信部联企业〔2011〕300号)</w:t>
      </w:r>
    </w:p>
    <w:p>
      <w:pPr>
        <w:pStyle w:val="22"/>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关于印发中小企业划型标准规定的通知</w:t>
      </w:r>
    </w:p>
    <w:p>
      <w:pPr>
        <w:pStyle w:val="22"/>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(工信部联企业〔2011〕300号)</w:t>
      </w:r>
    </w:p>
    <w:p>
      <w:pPr>
        <w:pStyle w:val="22"/>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各省、自治区、直辖市人民政府，国务院各部委、各直属机构及有关单位：</w:t>
      </w:r>
    </w:p>
    <w:p>
      <w:pPr>
        <w:pStyle w:val="22"/>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2"/>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工业和信息化部　国家统计局</w:t>
      </w:r>
    </w:p>
    <w:p>
      <w:pPr>
        <w:pStyle w:val="22"/>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国家发展和改革委员会　财政部　　　　　　　　　　　　　　　　　　　　　</w:t>
      </w:r>
    </w:p>
    <w:p>
      <w:pPr>
        <w:pStyle w:val="22"/>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二○一一年六月十八日</w:t>
      </w:r>
    </w:p>
    <w:p>
      <w:pPr>
        <w:pStyle w:val="22"/>
        <w:jc w:val="center"/>
        <w:rPr>
          <w:rFonts w:hint="eastAsia" w:ascii="仿宋_GB2312" w:hAnsi="仿宋" w:eastAsia="仿宋_GB2312"/>
          <w:sz w:val="28"/>
          <w:szCs w:val="28"/>
          <w:lang w:val="en-US" w:eastAsia="zh-CN"/>
        </w:rPr>
      </w:pP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一、根据《中华人民共和国中小企业促进法》和《国务院关于进一步促进中小企业发展的若干意见》（国发〔2009〕36号)，制定本规定。</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二、中小企业划分为中型、小型、微型三种类型，具体标准根据企业从业人员、营业收入、资产总额等指标，结合行业特点制定。</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四、各行业划型标准为：</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（一）农、林、牧、渔业。营业收入20000万元以下的为中小微型企业。其中，营业收入500万元及以上的为中型企业，营业收入50万元及以上的为小型企业，营业收入50万元以下的为微型企业。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（十六</w:t>
      </w:r>
      <w:r>
        <w:rPr>
          <w:rFonts w:hint="eastAsia" w:ascii="仿宋_GB2312" w:hAnsi="仿宋" w:eastAsia="仿宋_GB2312" w:cs="Times New Roman"/>
          <w:sz w:val="28"/>
          <w:szCs w:val="28"/>
          <w:highlight w:val="none"/>
          <w:lang w:val="en-US" w:eastAsia="zh-CN"/>
        </w:rPr>
        <w:t>）</w:t>
      </w:r>
      <w:r>
        <w:rPr>
          <w:rFonts w:hint="eastAsia" w:ascii="仿宋_GB2312" w:hAnsi="仿宋" w:eastAsia="仿宋_GB2312" w:cs="Times New Roman"/>
          <w:b w:val="0"/>
          <w:bCs w:val="0"/>
          <w:sz w:val="28"/>
          <w:szCs w:val="28"/>
          <w:highlight w:val="green"/>
          <w:lang w:val="en-US" w:eastAsia="zh-CN"/>
        </w:rPr>
        <w:t>其他未列明行业</w:t>
      </w:r>
      <w:r>
        <w:rPr>
          <w:rFonts w:hint="eastAsia" w:ascii="仿宋_GB2312" w:hAnsi="仿宋" w:eastAsia="仿宋_GB2312" w:cs="Times New Roman"/>
          <w:b w:val="0"/>
          <w:bCs w:val="0"/>
          <w:sz w:val="28"/>
          <w:szCs w:val="28"/>
          <w:highlight w:val="none"/>
          <w:lang w:val="en-US" w:eastAsia="zh-CN"/>
        </w:rPr>
        <w:t>。</w:t>
      </w:r>
      <w:r>
        <w:rPr>
          <w:rFonts w:hint="eastAsia" w:ascii="仿宋_GB2312" w:hAnsi="仿宋" w:eastAsia="仿宋_GB2312" w:cs="Times New Roman"/>
          <w:sz w:val="28"/>
          <w:szCs w:val="28"/>
          <w:lang w:val="en-US" w:eastAsia="zh-CN"/>
        </w:rPr>
        <w:t>从业人员300人以下的为中小微型企业。其中，从业人员100人及以上的为中型企业；从业人员10人及以上的为小型企业；从业人员10人以下的为微型企业。</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五、企业类型的划分以统计部门的统计数据为依据。</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六、本规定适用于在中华人民共和国境内依法设立的各类所有制和各种组织形式的企业。个体工商户和本规定以外的行业，参照本规定进行划型。</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八、本规定由工业和信息化部、国家统计局会同有关部门根据《国民经济行业分类》修订情况和企业发展变化情况适时修订。</w:t>
      </w:r>
    </w:p>
    <w:p>
      <w:pPr>
        <w:pStyle w:val="22"/>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九、本规定由工业和信息化部、国家统计局会同有关部门负责解释。</w:t>
      </w:r>
    </w:p>
    <w:p>
      <w:pPr>
        <w:pStyle w:val="22"/>
        <w:rPr>
          <w:rFonts w:hint="eastAsia"/>
          <w:lang w:val="en-US" w:eastAsia="zh-CN"/>
        </w:rPr>
      </w:pPr>
      <w:r>
        <w:rPr>
          <w:rFonts w:hint="eastAsia" w:ascii="仿宋_GB2312" w:hAnsi="仿宋" w:eastAsia="仿宋_GB2312" w:cs="Times New Roman"/>
          <w:sz w:val="28"/>
          <w:szCs w:val="28"/>
          <w:lang w:val="en-US" w:eastAsia="zh-CN"/>
        </w:rPr>
        <w:t>十、本规定自发布之日起执行，原国家经贸委、原国家计委、财政部和国家统计局2003年颁布的《中小企业标准暂行规定》国经贸中小企[2003]143号同时废止。</w:t>
      </w:r>
    </w:p>
    <w:sectPr>
      <w:footerReference r:id="rId7" w:type="first"/>
      <w:headerReference r:id="rId5" w:type="default"/>
      <w:footerReference r:id="rId6" w:type="default"/>
      <w:pgSz w:w="11906" w:h="16838"/>
      <w:pgMar w:top="1247" w:right="1247" w:bottom="1247" w:left="1247" w:header="907" w:footer="118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简标宋">
    <w:altName w:val="宋体"/>
    <w:panose1 w:val="00000000000000000000"/>
    <w:charset w:val="86"/>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p>
    <w:pPr>
      <w:pStyle w:val="1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0" w:firstLineChars="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AA4CC"/>
    <w:multiLevelType w:val="singleLevel"/>
    <w:tmpl w:val="862AA4CC"/>
    <w:lvl w:ilvl="0" w:tentative="0">
      <w:start w:val="1"/>
      <w:numFmt w:val="decimal"/>
      <w:suff w:val="nothing"/>
      <w:lvlText w:val="%1、"/>
      <w:lvlJc w:val="left"/>
    </w:lvl>
  </w:abstractNum>
  <w:abstractNum w:abstractNumId="1">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3"/>
      <w:lvlText w:val="%1.%2"/>
      <w:lvlJc w:val="left"/>
      <w:pPr>
        <w:ind w:left="326" w:hanging="575"/>
      </w:pPr>
      <w:rPr>
        <w:rFonts w:hint="eastAsia" w:ascii="宋体" w:hAnsi="宋体" w:eastAsia="宋体" w:cs="宋体"/>
      </w:rPr>
    </w:lvl>
    <w:lvl w:ilvl="2" w:tentative="0">
      <w:start w:val="1"/>
      <w:numFmt w:val="decimal"/>
      <w:pStyle w:val="4"/>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93ED3BCD"/>
    <w:multiLevelType w:val="singleLevel"/>
    <w:tmpl w:val="93ED3BCD"/>
    <w:lvl w:ilvl="0" w:tentative="0">
      <w:start w:val="9"/>
      <w:numFmt w:val="decimal"/>
      <w:suff w:val="nothing"/>
      <w:lvlText w:val="%1、"/>
      <w:lvlJc w:val="left"/>
    </w:lvl>
  </w:abstractNum>
  <w:abstractNum w:abstractNumId="3">
    <w:nsid w:val="A0E83976"/>
    <w:multiLevelType w:val="singleLevel"/>
    <w:tmpl w:val="A0E83976"/>
    <w:lvl w:ilvl="0" w:tentative="0">
      <w:start w:val="6"/>
      <w:numFmt w:val="chineseCounting"/>
      <w:suff w:val="space"/>
      <w:lvlText w:val="第%1部分"/>
      <w:lvlJc w:val="left"/>
      <w:rPr>
        <w:rFonts w:hint="eastAsia"/>
      </w:rPr>
    </w:lvl>
  </w:abstractNum>
  <w:abstractNum w:abstractNumId="4">
    <w:nsid w:val="B65FF0E8"/>
    <w:multiLevelType w:val="multilevel"/>
    <w:tmpl w:val="B65FF0E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E794BEE6"/>
    <w:multiLevelType w:val="singleLevel"/>
    <w:tmpl w:val="E794BEE6"/>
    <w:lvl w:ilvl="0" w:tentative="0">
      <w:start w:val="2"/>
      <w:numFmt w:val="chineseCounting"/>
      <w:suff w:val="space"/>
      <w:lvlText w:val="第%1部分"/>
      <w:lvlJc w:val="left"/>
      <w:rPr>
        <w:rFonts w:hint="eastAsia"/>
      </w:rPr>
    </w:lvl>
  </w:abstractNum>
  <w:abstractNum w:abstractNumId="6">
    <w:nsid w:val="2791FE22"/>
    <w:multiLevelType w:val="singleLevel"/>
    <w:tmpl w:val="2791FE22"/>
    <w:lvl w:ilvl="0" w:tentative="0">
      <w:start w:val="2"/>
      <w:numFmt w:val="decimal"/>
      <w:suff w:val="nothing"/>
      <w:lvlText w:val="（%1）"/>
      <w:lvlJc w:val="left"/>
    </w:lvl>
  </w:abstractNum>
  <w:abstractNum w:abstractNumId="7">
    <w:nsid w:val="301F3511"/>
    <w:multiLevelType w:val="singleLevel"/>
    <w:tmpl w:val="301F3511"/>
    <w:lvl w:ilvl="0" w:tentative="0">
      <w:start w:val="1"/>
      <w:numFmt w:val="decimal"/>
      <w:suff w:val="nothing"/>
      <w:lvlText w:val="%1、"/>
      <w:lvlJc w:val="left"/>
    </w:lvl>
  </w:abstractNum>
  <w:abstractNum w:abstractNumId="8">
    <w:nsid w:val="40614333"/>
    <w:multiLevelType w:val="singleLevel"/>
    <w:tmpl w:val="40614333"/>
    <w:lvl w:ilvl="0" w:tentative="0">
      <w:start w:val="1"/>
      <w:numFmt w:val="decimal"/>
      <w:suff w:val="nothing"/>
      <w:lvlText w:val="%1、"/>
      <w:lvlJc w:val="left"/>
    </w:lvl>
  </w:abstractNum>
  <w:abstractNum w:abstractNumId="9">
    <w:nsid w:val="494490BD"/>
    <w:multiLevelType w:val="singleLevel"/>
    <w:tmpl w:val="494490BD"/>
    <w:lvl w:ilvl="0" w:tentative="0">
      <w:start w:val="1"/>
      <w:numFmt w:val="decimal"/>
      <w:suff w:val="nothing"/>
      <w:lvlText w:val="%1、"/>
      <w:lvlJc w:val="left"/>
    </w:lvl>
  </w:abstractNum>
  <w:num w:numId="1">
    <w:abstractNumId w:val="1"/>
  </w:num>
  <w:num w:numId="2">
    <w:abstractNumId w:val="3"/>
  </w:num>
  <w:num w:numId="3">
    <w:abstractNumId w:val="9"/>
  </w:num>
  <w:num w:numId="4">
    <w:abstractNumId w:val="5"/>
  </w:num>
  <w:num w:numId="5">
    <w:abstractNumId w:val="2"/>
  </w:num>
  <w:num w:numId="6">
    <w:abstractNumId w:val="4"/>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YzlhOGE0ZDllOWJhNmE2ZmM2MDA3MjJjNDBjZWEifQ=="/>
  </w:docVars>
  <w:rsids>
    <w:rsidRoot w:val="04811D3B"/>
    <w:rsid w:val="000A7237"/>
    <w:rsid w:val="001D5CB5"/>
    <w:rsid w:val="002571A7"/>
    <w:rsid w:val="00285CFE"/>
    <w:rsid w:val="003D2E63"/>
    <w:rsid w:val="00682065"/>
    <w:rsid w:val="00B0507A"/>
    <w:rsid w:val="00BC257A"/>
    <w:rsid w:val="00BD6BBD"/>
    <w:rsid w:val="00CB5A10"/>
    <w:rsid w:val="00E71E72"/>
    <w:rsid w:val="00EE11B4"/>
    <w:rsid w:val="01092975"/>
    <w:rsid w:val="01167762"/>
    <w:rsid w:val="011F1B96"/>
    <w:rsid w:val="013C06BC"/>
    <w:rsid w:val="01670241"/>
    <w:rsid w:val="018B668A"/>
    <w:rsid w:val="01AE3368"/>
    <w:rsid w:val="01C95A81"/>
    <w:rsid w:val="01D95B22"/>
    <w:rsid w:val="01E26C8F"/>
    <w:rsid w:val="01EA6568"/>
    <w:rsid w:val="0213141D"/>
    <w:rsid w:val="021C443B"/>
    <w:rsid w:val="02317AF5"/>
    <w:rsid w:val="02542EF5"/>
    <w:rsid w:val="028825ED"/>
    <w:rsid w:val="029167A1"/>
    <w:rsid w:val="029E7DF2"/>
    <w:rsid w:val="029F2C5A"/>
    <w:rsid w:val="02AB7AA3"/>
    <w:rsid w:val="02AD0346"/>
    <w:rsid w:val="02E47D45"/>
    <w:rsid w:val="02E71ACC"/>
    <w:rsid w:val="02F4124E"/>
    <w:rsid w:val="02FE0D43"/>
    <w:rsid w:val="032C357F"/>
    <w:rsid w:val="03502C02"/>
    <w:rsid w:val="03606C91"/>
    <w:rsid w:val="03766195"/>
    <w:rsid w:val="039C2886"/>
    <w:rsid w:val="03A859A0"/>
    <w:rsid w:val="03B409DD"/>
    <w:rsid w:val="03CD4191"/>
    <w:rsid w:val="03CD45EE"/>
    <w:rsid w:val="03D41080"/>
    <w:rsid w:val="03FE6B56"/>
    <w:rsid w:val="04396A31"/>
    <w:rsid w:val="043A650A"/>
    <w:rsid w:val="04456A83"/>
    <w:rsid w:val="04493102"/>
    <w:rsid w:val="044C148D"/>
    <w:rsid w:val="044F7DBD"/>
    <w:rsid w:val="0454222C"/>
    <w:rsid w:val="045936ED"/>
    <w:rsid w:val="04811D3B"/>
    <w:rsid w:val="04B037D7"/>
    <w:rsid w:val="04C41E90"/>
    <w:rsid w:val="04CA6661"/>
    <w:rsid w:val="04CA779D"/>
    <w:rsid w:val="04DA0EA4"/>
    <w:rsid w:val="04E42D9E"/>
    <w:rsid w:val="04E61564"/>
    <w:rsid w:val="050A10C0"/>
    <w:rsid w:val="052102F4"/>
    <w:rsid w:val="052C1B67"/>
    <w:rsid w:val="05310F8D"/>
    <w:rsid w:val="055272EE"/>
    <w:rsid w:val="056378AD"/>
    <w:rsid w:val="05735658"/>
    <w:rsid w:val="059F0497"/>
    <w:rsid w:val="05A22F11"/>
    <w:rsid w:val="05A75646"/>
    <w:rsid w:val="05CD6BD4"/>
    <w:rsid w:val="05D8378B"/>
    <w:rsid w:val="06054577"/>
    <w:rsid w:val="063A00DE"/>
    <w:rsid w:val="063C6043"/>
    <w:rsid w:val="063E63E6"/>
    <w:rsid w:val="06401586"/>
    <w:rsid w:val="06592A6D"/>
    <w:rsid w:val="065C6A89"/>
    <w:rsid w:val="066466EB"/>
    <w:rsid w:val="068B0AD9"/>
    <w:rsid w:val="06BD2769"/>
    <w:rsid w:val="06C2590B"/>
    <w:rsid w:val="06FA3E47"/>
    <w:rsid w:val="071B2D7D"/>
    <w:rsid w:val="071C3585"/>
    <w:rsid w:val="07287398"/>
    <w:rsid w:val="072D11D3"/>
    <w:rsid w:val="07530298"/>
    <w:rsid w:val="076C2BD4"/>
    <w:rsid w:val="077E7931"/>
    <w:rsid w:val="078908D1"/>
    <w:rsid w:val="078F7797"/>
    <w:rsid w:val="07CA01B3"/>
    <w:rsid w:val="07FA4EB0"/>
    <w:rsid w:val="07FD5D25"/>
    <w:rsid w:val="082A024B"/>
    <w:rsid w:val="08322416"/>
    <w:rsid w:val="084575D4"/>
    <w:rsid w:val="084679D6"/>
    <w:rsid w:val="08631551"/>
    <w:rsid w:val="087E3464"/>
    <w:rsid w:val="08C42EDF"/>
    <w:rsid w:val="08C443A5"/>
    <w:rsid w:val="08D877D8"/>
    <w:rsid w:val="08EA1B5E"/>
    <w:rsid w:val="08F459A4"/>
    <w:rsid w:val="08FA5F36"/>
    <w:rsid w:val="09046B82"/>
    <w:rsid w:val="09120D35"/>
    <w:rsid w:val="09136D42"/>
    <w:rsid w:val="09371E95"/>
    <w:rsid w:val="0946657C"/>
    <w:rsid w:val="0959521C"/>
    <w:rsid w:val="095A2027"/>
    <w:rsid w:val="098826F0"/>
    <w:rsid w:val="099C2AD0"/>
    <w:rsid w:val="099C36A4"/>
    <w:rsid w:val="09A8199B"/>
    <w:rsid w:val="09C067DB"/>
    <w:rsid w:val="09D75426"/>
    <w:rsid w:val="09E51FB1"/>
    <w:rsid w:val="0A0F3A7D"/>
    <w:rsid w:val="0A242B44"/>
    <w:rsid w:val="0A2B6A7C"/>
    <w:rsid w:val="0A6F38B0"/>
    <w:rsid w:val="0A853895"/>
    <w:rsid w:val="0A905B21"/>
    <w:rsid w:val="0A9753AB"/>
    <w:rsid w:val="0AA16523"/>
    <w:rsid w:val="0AAE7DC8"/>
    <w:rsid w:val="0AD100C7"/>
    <w:rsid w:val="0B00275A"/>
    <w:rsid w:val="0B00334D"/>
    <w:rsid w:val="0B310B66"/>
    <w:rsid w:val="0B493F5F"/>
    <w:rsid w:val="0B4E0BB4"/>
    <w:rsid w:val="0B7A7B3D"/>
    <w:rsid w:val="0B930D7A"/>
    <w:rsid w:val="0B9F5CC9"/>
    <w:rsid w:val="0BA456C1"/>
    <w:rsid w:val="0BAB0780"/>
    <w:rsid w:val="0BAE6535"/>
    <w:rsid w:val="0BB27D18"/>
    <w:rsid w:val="0BBF2615"/>
    <w:rsid w:val="0BC47420"/>
    <w:rsid w:val="0BCB0FBA"/>
    <w:rsid w:val="0BD72676"/>
    <w:rsid w:val="0C170A24"/>
    <w:rsid w:val="0C2B45A8"/>
    <w:rsid w:val="0C436DA2"/>
    <w:rsid w:val="0C580AA0"/>
    <w:rsid w:val="0C624A05"/>
    <w:rsid w:val="0C6423C6"/>
    <w:rsid w:val="0C95698E"/>
    <w:rsid w:val="0CB61845"/>
    <w:rsid w:val="0CE265BB"/>
    <w:rsid w:val="0CF24156"/>
    <w:rsid w:val="0D9D3449"/>
    <w:rsid w:val="0DAC5AAD"/>
    <w:rsid w:val="0DCB52A1"/>
    <w:rsid w:val="0DE62D1A"/>
    <w:rsid w:val="0DF73A45"/>
    <w:rsid w:val="0E077025"/>
    <w:rsid w:val="0E080EA8"/>
    <w:rsid w:val="0E2F12B5"/>
    <w:rsid w:val="0E39220B"/>
    <w:rsid w:val="0E3A1C55"/>
    <w:rsid w:val="0E484B44"/>
    <w:rsid w:val="0E56527B"/>
    <w:rsid w:val="0E5E541B"/>
    <w:rsid w:val="0E7B2823"/>
    <w:rsid w:val="0E7F272F"/>
    <w:rsid w:val="0E85009C"/>
    <w:rsid w:val="0E87741A"/>
    <w:rsid w:val="0E8F1E18"/>
    <w:rsid w:val="0E9253A8"/>
    <w:rsid w:val="0E9953A0"/>
    <w:rsid w:val="0EB845B3"/>
    <w:rsid w:val="0EBD1B2F"/>
    <w:rsid w:val="0F1504F9"/>
    <w:rsid w:val="0F1F3AF7"/>
    <w:rsid w:val="0F2552E4"/>
    <w:rsid w:val="0F390D3E"/>
    <w:rsid w:val="0F7E308E"/>
    <w:rsid w:val="0F87344A"/>
    <w:rsid w:val="0FB11D52"/>
    <w:rsid w:val="0FE21939"/>
    <w:rsid w:val="0FE310CA"/>
    <w:rsid w:val="102F1649"/>
    <w:rsid w:val="10381B43"/>
    <w:rsid w:val="103D4529"/>
    <w:rsid w:val="10805FDB"/>
    <w:rsid w:val="10A41C5E"/>
    <w:rsid w:val="10B07123"/>
    <w:rsid w:val="10CF6E57"/>
    <w:rsid w:val="10D50774"/>
    <w:rsid w:val="10F20D97"/>
    <w:rsid w:val="11413E7A"/>
    <w:rsid w:val="115211D9"/>
    <w:rsid w:val="11577B72"/>
    <w:rsid w:val="11591448"/>
    <w:rsid w:val="116D2A3B"/>
    <w:rsid w:val="117A738F"/>
    <w:rsid w:val="119457F7"/>
    <w:rsid w:val="119837A2"/>
    <w:rsid w:val="119A3BFF"/>
    <w:rsid w:val="119D2A54"/>
    <w:rsid w:val="11A33C08"/>
    <w:rsid w:val="11CD2F1F"/>
    <w:rsid w:val="11D32976"/>
    <w:rsid w:val="11D925CA"/>
    <w:rsid w:val="11E53E32"/>
    <w:rsid w:val="121543C9"/>
    <w:rsid w:val="12310935"/>
    <w:rsid w:val="12355968"/>
    <w:rsid w:val="12397498"/>
    <w:rsid w:val="123D6054"/>
    <w:rsid w:val="123F52A7"/>
    <w:rsid w:val="124402D1"/>
    <w:rsid w:val="124675EC"/>
    <w:rsid w:val="124D44D7"/>
    <w:rsid w:val="125C2907"/>
    <w:rsid w:val="12620EA7"/>
    <w:rsid w:val="12745F08"/>
    <w:rsid w:val="128F2AE0"/>
    <w:rsid w:val="12D84B43"/>
    <w:rsid w:val="12E14D33"/>
    <w:rsid w:val="133D09EF"/>
    <w:rsid w:val="133D510F"/>
    <w:rsid w:val="1341151F"/>
    <w:rsid w:val="134626F7"/>
    <w:rsid w:val="134753E2"/>
    <w:rsid w:val="135C4005"/>
    <w:rsid w:val="13611AA6"/>
    <w:rsid w:val="13724978"/>
    <w:rsid w:val="137F30F2"/>
    <w:rsid w:val="138B75BF"/>
    <w:rsid w:val="13CD3ACF"/>
    <w:rsid w:val="13DB3D64"/>
    <w:rsid w:val="13EF220E"/>
    <w:rsid w:val="13EF4707"/>
    <w:rsid w:val="14025946"/>
    <w:rsid w:val="14214C4A"/>
    <w:rsid w:val="14667680"/>
    <w:rsid w:val="147922D3"/>
    <w:rsid w:val="1480536C"/>
    <w:rsid w:val="149C2B68"/>
    <w:rsid w:val="14C72CC2"/>
    <w:rsid w:val="14E05AD6"/>
    <w:rsid w:val="151F5998"/>
    <w:rsid w:val="15412653"/>
    <w:rsid w:val="15442B39"/>
    <w:rsid w:val="15446628"/>
    <w:rsid w:val="1559394C"/>
    <w:rsid w:val="15597637"/>
    <w:rsid w:val="15663999"/>
    <w:rsid w:val="15873983"/>
    <w:rsid w:val="15BD6DA4"/>
    <w:rsid w:val="15E46F00"/>
    <w:rsid w:val="16085184"/>
    <w:rsid w:val="16235FA5"/>
    <w:rsid w:val="1674297A"/>
    <w:rsid w:val="168515B0"/>
    <w:rsid w:val="16915B0D"/>
    <w:rsid w:val="16A57B71"/>
    <w:rsid w:val="16D60C23"/>
    <w:rsid w:val="16DF3B6C"/>
    <w:rsid w:val="16E82887"/>
    <w:rsid w:val="17017F86"/>
    <w:rsid w:val="171E1E96"/>
    <w:rsid w:val="17433C92"/>
    <w:rsid w:val="17554AC0"/>
    <w:rsid w:val="17822E75"/>
    <w:rsid w:val="178B4D7D"/>
    <w:rsid w:val="178E25A8"/>
    <w:rsid w:val="17A34B99"/>
    <w:rsid w:val="17B166E5"/>
    <w:rsid w:val="17B7101C"/>
    <w:rsid w:val="17B848FF"/>
    <w:rsid w:val="17E0280B"/>
    <w:rsid w:val="17F31258"/>
    <w:rsid w:val="17FC336F"/>
    <w:rsid w:val="17FD6AF1"/>
    <w:rsid w:val="185D2F9A"/>
    <w:rsid w:val="187729D5"/>
    <w:rsid w:val="18882AB8"/>
    <w:rsid w:val="18A94431"/>
    <w:rsid w:val="18B370B7"/>
    <w:rsid w:val="18EE7430"/>
    <w:rsid w:val="19090089"/>
    <w:rsid w:val="19145D4E"/>
    <w:rsid w:val="191A7821"/>
    <w:rsid w:val="19201F3D"/>
    <w:rsid w:val="19341F4D"/>
    <w:rsid w:val="194846E6"/>
    <w:rsid w:val="195E0776"/>
    <w:rsid w:val="1961016F"/>
    <w:rsid w:val="196B5138"/>
    <w:rsid w:val="1970104B"/>
    <w:rsid w:val="198B0DC7"/>
    <w:rsid w:val="19AD1CFF"/>
    <w:rsid w:val="19B1056C"/>
    <w:rsid w:val="19FE04BE"/>
    <w:rsid w:val="19FE237B"/>
    <w:rsid w:val="1A04268A"/>
    <w:rsid w:val="1A18361C"/>
    <w:rsid w:val="1A1C4D69"/>
    <w:rsid w:val="1A381424"/>
    <w:rsid w:val="1A65747C"/>
    <w:rsid w:val="1A667129"/>
    <w:rsid w:val="1A8558A2"/>
    <w:rsid w:val="1A862B9C"/>
    <w:rsid w:val="1A86394E"/>
    <w:rsid w:val="1A933A89"/>
    <w:rsid w:val="1AB12139"/>
    <w:rsid w:val="1AB26DBA"/>
    <w:rsid w:val="1ACC2C8C"/>
    <w:rsid w:val="1ADA002B"/>
    <w:rsid w:val="1AE16104"/>
    <w:rsid w:val="1B102B39"/>
    <w:rsid w:val="1B161E12"/>
    <w:rsid w:val="1B1729EF"/>
    <w:rsid w:val="1B1F42EB"/>
    <w:rsid w:val="1B393B94"/>
    <w:rsid w:val="1B574CEE"/>
    <w:rsid w:val="1B8D06A6"/>
    <w:rsid w:val="1B8F0316"/>
    <w:rsid w:val="1BA4271E"/>
    <w:rsid w:val="1BA56D23"/>
    <w:rsid w:val="1BB859E4"/>
    <w:rsid w:val="1BF563B8"/>
    <w:rsid w:val="1C0E52F2"/>
    <w:rsid w:val="1C343CE4"/>
    <w:rsid w:val="1C524B44"/>
    <w:rsid w:val="1C655B98"/>
    <w:rsid w:val="1CA71624"/>
    <w:rsid w:val="1CB362B0"/>
    <w:rsid w:val="1CB9782F"/>
    <w:rsid w:val="1CBE07BA"/>
    <w:rsid w:val="1CCB0A59"/>
    <w:rsid w:val="1CDC4DD5"/>
    <w:rsid w:val="1CEF464C"/>
    <w:rsid w:val="1D0F4605"/>
    <w:rsid w:val="1D374512"/>
    <w:rsid w:val="1D780A68"/>
    <w:rsid w:val="1D927A0F"/>
    <w:rsid w:val="1DB963EC"/>
    <w:rsid w:val="1DC826E2"/>
    <w:rsid w:val="1DD0420E"/>
    <w:rsid w:val="1DD65455"/>
    <w:rsid w:val="1E0F4D36"/>
    <w:rsid w:val="1E0F6701"/>
    <w:rsid w:val="1E354F27"/>
    <w:rsid w:val="1E360515"/>
    <w:rsid w:val="1E7309D5"/>
    <w:rsid w:val="1ED329E0"/>
    <w:rsid w:val="1ED8781E"/>
    <w:rsid w:val="1EF176F6"/>
    <w:rsid w:val="1F235791"/>
    <w:rsid w:val="1F380483"/>
    <w:rsid w:val="1F3A6E38"/>
    <w:rsid w:val="1F3D58D3"/>
    <w:rsid w:val="1F4645AE"/>
    <w:rsid w:val="1F572012"/>
    <w:rsid w:val="1F877A76"/>
    <w:rsid w:val="1F892A00"/>
    <w:rsid w:val="1F972421"/>
    <w:rsid w:val="1FA50731"/>
    <w:rsid w:val="1FF02946"/>
    <w:rsid w:val="1FFD61E4"/>
    <w:rsid w:val="202677FC"/>
    <w:rsid w:val="202D1DEC"/>
    <w:rsid w:val="20402180"/>
    <w:rsid w:val="20505579"/>
    <w:rsid w:val="205D447F"/>
    <w:rsid w:val="2063684A"/>
    <w:rsid w:val="206D7D9F"/>
    <w:rsid w:val="207E4B46"/>
    <w:rsid w:val="208A774C"/>
    <w:rsid w:val="208B712B"/>
    <w:rsid w:val="2098543A"/>
    <w:rsid w:val="20AA2094"/>
    <w:rsid w:val="20F60119"/>
    <w:rsid w:val="20FD0ACC"/>
    <w:rsid w:val="21260517"/>
    <w:rsid w:val="212925B3"/>
    <w:rsid w:val="21464F13"/>
    <w:rsid w:val="2172729E"/>
    <w:rsid w:val="217A6ACB"/>
    <w:rsid w:val="21E036BA"/>
    <w:rsid w:val="221E0CD0"/>
    <w:rsid w:val="221E5E7E"/>
    <w:rsid w:val="22210C7C"/>
    <w:rsid w:val="22357BFE"/>
    <w:rsid w:val="224973BC"/>
    <w:rsid w:val="22637812"/>
    <w:rsid w:val="22794E74"/>
    <w:rsid w:val="227D3FFB"/>
    <w:rsid w:val="228D5484"/>
    <w:rsid w:val="22997845"/>
    <w:rsid w:val="22A53B24"/>
    <w:rsid w:val="22FD23C7"/>
    <w:rsid w:val="23011995"/>
    <w:rsid w:val="233174FD"/>
    <w:rsid w:val="23335AA4"/>
    <w:rsid w:val="23356AA0"/>
    <w:rsid w:val="233C761B"/>
    <w:rsid w:val="23422032"/>
    <w:rsid w:val="23611D67"/>
    <w:rsid w:val="236274CE"/>
    <w:rsid w:val="236E69A3"/>
    <w:rsid w:val="23905B41"/>
    <w:rsid w:val="239D2DE4"/>
    <w:rsid w:val="23BB11EE"/>
    <w:rsid w:val="23BF01C5"/>
    <w:rsid w:val="23CD25AF"/>
    <w:rsid w:val="23ED791D"/>
    <w:rsid w:val="23F80D20"/>
    <w:rsid w:val="23FB1E25"/>
    <w:rsid w:val="240107E9"/>
    <w:rsid w:val="240715C4"/>
    <w:rsid w:val="24171C6C"/>
    <w:rsid w:val="241E6407"/>
    <w:rsid w:val="241F44DB"/>
    <w:rsid w:val="243454F7"/>
    <w:rsid w:val="243C0E59"/>
    <w:rsid w:val="24520DF3"/>
    <w:rsid w:val="246E16A0"/>
    <w:rsid w:val="246E1CCB"/>
    <w:rsid w:val="247051D2"/>
    <w:rsid w:val="2477582E"/>
    <w:rsid w:val="249A5F09"/>
    <w:rsid w:val="24A7216D"/>
    <w:rsid w:val="24AE2127"/>
    <w:rsid w:val="24B57E6D"/>
    <w:rsid w:val="24CC37D5"/>
    <w:rsid w:val="24CF074D"/>
    <w:rsid w:val="24D37859"/>
    <w:rsid w:val="24E52333"/>
    <w:rsid w:val="24E91D92"/>
    <w:rsid w:val="251C2EEC"/>
    <w:rsid w:val="251D0022"/>
    <w:rsid w:val="253602F7"/>
    <w:rsid w:val="255F65A3"/>
    <w:rsid w:val="2562490E"/>
    <w:rsid w:val="25692601"/>
    <w:rsid w:val="256C5698"/>
    <w:rsid w:val="25E66CC5"/>
    <w:rsid w:val="25ED1E01"/>
    <w:rsid w:val="26160451"/>
    <w:rsid w:val="261D607C"/>
    <w:rsid w:val="26396C75"/>
    <w:rsid w:val="26611E2D"/>
    <w:rsid w:val="2670499E"/>
    <w:rsid w:val="267F37A8"/>
    <w:rsid w:val="268251FF"/>
    <w:rsid w:val="26971F41"/>
    <w:rsid w:val="269A6A01"/>
    <w:rsid w:val="269D6703"/>
    <w:rsid w:val="26AD0F95"/>
    <w:rsid w:val="26CB68B6"/>
    <w:rsid w:val="26D61D2D"/>
    <w:rsid w:val="26E4050C"/>
    <w:rsid w:val="26F61189"/>
    <w:rsid w:val="272E0678"/>
    <w:rsid w:val="273D46C2"/>
    <w:rsid w:val="273E72E1"/>
    <w:rsid w:val="275A34C6"/>
    <w:rsid w:val="27732C6E"/>
    <w:rsid w:val="278C564A"/>
    <w:rsid w:val="27920A3E"/>
    <w:rsid w:val="27A26C1B"/>
    <w:rsid w:val="27CF7A36"/>
    <w:rsid w:val="27D74D77"/>
    <w:rsid w:val="28160073"/>
    <w:rsid w:val="281A2C55"/>
    <w:rsid w:val="281C4009"/>
    <w:rsid w:val="28211A47"/>
    <w:rsid w:val="28654F26"/>
    <w:rsid w:val="28667DD5"/>
    <w:rsid w:val="286F2FA1"/>
    <w:rsid w:val="28AF59A4"/>
    <w:rsid w:val="28B67301"/>
    <w:rsid w:val="28BA5B55"/>
    <w:rsid w:val="28C11323"/>
    <w:rsid w:val="29066374"/>
    <w:rsid w:val="29186688"/>
    <w:rsid w:val="29345F99"/>
    <w:rsid w:val="2935605B"/>
    <w:rsid w:val="296C21E7"/>
    <w:rsid w:val="297072AF"/>
    <w:rsid w:val="29C45D65"/>
    <w:rsid w:val="2A056377"/>
    <w:rsid w:val="2A0572B9"/>
    <w:rsid w:val="2A0B6CFA"/>
    <w:rsid w:val="2A223917"/>
    <w:rsid w:val="2A56404C"/>
    <w:rsid w:val="2A8350AE"/>
    <w:rsid w:val="2A851E68"/>
    <w:rsid w:val="2ABB15CA"/>
    <w:rsid w:val="2ABC6DAF"/>
    <w:rsid w:val="2ABC7492"/>
    <w:rsid w:val="2AC03948"/>
    <w:rsid w:val="2AEB0037"/>
    <w:rsid w:val="2B131128"/>
    <w:rsid w:val="2B193698"/>
    <w:rsid w:val="2B381B30"/>
    <w:rsid w:val="2B493B0A"/>
    <w:rsid w:val="2B624F74"/>
    <w:rsid w:val="2B7B3A0B"/>
    <w:rsid w:val="2B822010"/>
    <w:rsid w:val="2B85686D"/>
    <w:rsid w:val="2B8D5F88"/>
    <w:rsid w:val="2B975F89"/>
    <w:rsid w:val="2B9B40AD"/>
    <w:rsid w:val="2BEA293F"/>
    <w:rsid w:val="2BEA48FB"/>
    <w:rsid w:val="2BEF2D6E"/>
    <w:rsid w:val="2C1F532E"/>
    <w:rsid w:val="2C242C82"/>
    <w:rsid w:val="2C6B61FC"/>
    <w:rsid w:val="2C714B0A"/>
    <w:rsid w:val="2C8244BD"/>
    <w:rsid w:val="2C8C4283"/>
    <w:rsid w:val="2C985399"/>
    <w:rsid w:val="2C9A4365"/>
    <w:rsid w:val="2CA63F45"/>
    <w:rsid w:val="2CE011EC"/>
    <w:rsid w:val="2D0A1B6D"/>
    <w:rsid w:val="2D4B150D"/>
    <w:rsid w:val="2D5A4FC2"/>
    <w:rsid w:val="2D60573C"/>
    <w:rsid w:val="2D773818"/>
    <w:rsid w:val="2D835334"/>
    <w:rsid w:val="2D9A4659"/>
    <w:rsid w:val="2DB81597"/>
    <w:rsid w:val="2DE36B85"/>
    <w:rsid w:val="2DF93DBA"/>
    <w:rsid w:val="2E081CC9"/>
    <w:rsid w:val="2E0F2B31"/>
    <w:rsid w:val="2E181C06"/>
    <w:rsid w:val="2E337A46"/>
    <w:rsid w:val="2E3656C1"/>
    <w:rsid w:val="2E446EDE"/>
    <w:rsid w:val="2E5B05AA"/>
    <w:rsid w:val="2E6609A2"/>
    <w:rsid w:val="2E8220BA"/>
    <w:rsid w:val="2E852D17"/>
    <w:rsid w:val="2E985B3B"/>
    <w:rsid w:val="2EA45ED0"/>
    <w:rsid w:val="2EAB2859"/>
    <w:rsid w:val="2EB21AAA"/>
    <w:rsid w:val="2EB820DA"/>
    <w:rsid w:val="2F0A0757"/>
    <w:rsid w:val="2F0F3D19"/>
    <w:rsid w:val="2F106B60"/>
    <w:rsid w:val="2F3149E0"/>
    <w:rsid w:val="2F3A6867"/>
    <w:rsid w:val="2F432A0D"/>
    <w:rsid w:val="2F4F1437"/>
    <w:rsid w:val="2F810091"/>
    <w:rsid w:val="2F811C6C"/>
    <w:rsid w:val="2F850891"/>
    <w:rsid w:val="2F8B20F2"/>
    <w:rsid w:val="2F9005C8"/>
    <w:rsid w:val="2F9008F9"/>
    <w:rsid w:val="2F9A6BD2"/>
    <w:rsid w:val="2F9C5AF8"/>
    <w:rsid w:val="2FA176FE"/>
    <w:rsid w:val="2FDB4C6B"/>
    <w:rsid w:val="2FDC2F20"/>
    <w:rsid w:val="30030A32"/>
    <w:rsid w:val="30113060"/>
    <w:rsid w:val="30616EBD"/>
    <w:rsid w:val="307529D6"/>
    <w:rsid w:val="30872912"/>
    <w:rsid w:val="30895747"/>
    <w:rsid w:val="30B358B5"/>
    <w:rsid w:val="30CD61CA"/>
    <w:rsid w:val="30E131FF"/>
    <w:rsid w:val="311917F9"/>
    <w:rsid w:val="31217614"/>
    <w:rsid w:val="31356567"/>
    <w:rsid w:val="3159534E"/>
    <w:rsid w:val="317D2112"/>
    <w:rsid w:val="31972E7A"/>
    <w:rsid w:val="31B61C41"/>
    <w:rsid w:val="31CB341E"/>
    <w:rsid w:val="31D8376B"/>
    <w:rsid w:val="31D96150"/>
    <w:rsid w:val="32026925"/>
    <w:rsid w:val="320668F2"/>
    <w:rsid w:val="32335DFE"/>
    <w:rsid w:val="3277265D"/>
    <w:rsid w:val="32792623"/>
    <w:rsid w:val="328A6C2A"/>
    <w:rsid w:val="32950042"/>
    <w:rsid w:val="32A86724"/>
    <w:rsid w:val="32B2531B"/>
    <w:rsid w:val="32B500DB"/>
    <w:rsid w:val="32C31FBA"/>
    <w:rsid w:val="32CC4682"/>
    <w:rsid w:val="32CE2F8D"/>
    <w:rsid w:val="32D46898"/>
    <w:rsid w:val="32DE72A4"/>
    <w:rsid w:val="32E9341B"/>
    <w:rsid w:val="32F1530E"/>
    <w:rsid w:val="33132C32"/>
    <w:rsid w:val="3335116D"/>
    <w:rsid w:val="333E3063"/>
    <w:rsid w:val="3344502A"/>
    <w:rsid w:val="335B15B4"/>
    <w:rsid w:val="3360236F"/>
    <w:rsid w:val="336A55CA"/>
    <w:rsid w:val="33795420"/>
    <w:rsid w:val="338F44F8"/>
    <w:rsid w:val="33A00981"/>
    <w:rsid w:val="33A72602"/>
    <w:rsid w:val="33B95898"/>
    <w:rsid w:val="33E228F6"/>
    <w:rsid w:val="33E84B35"/>
    <w:rsid w:val="33E87F71"/>
    <w:rsid w:val="33FE78CF"/>
    <w:rsid w:val="340B2C2A"/>
    <w:rsid w:val="340E621B"/>
    <w:rsid w:val="34291B93"/>
    <w:rsid w:val="34423F72"/>
    <w:rsid w:val="34427A54"/>
    <w:rsid w:val="344A52F1"/>
    <w:rsid w:val="346B76B9"/>
    <w:rsid w:val="34706B30"/>
    <w:rsid w:val="347215E9"/>
    <w:rsid w:val="3478002D"/>
    <w:rsid w:val="34AD1C34"/>
    <w:rsid w:val="34FE3682"/>
    <w:rsid w:val="3503562A"/>
    <w:rsid w:val="351078BA"/>
    <w:rsid w:val="35307F9B"/>
    <w:rsid w:val="35347D8D"/>
    <w:rsid w:val="35444849"/>
    <w:rsid w:val="35470E02"/>
    <w:rsid w:val="354929AD"/>
    <w:rsid w:val="35721109"/>
    <w:rsid w:val="35727C2D"/>
    <w:rsid w:val="35845BB2"/>
    <w:rsid w:val="35AE4656"/>
    <w:rsid w:val="35C10B9B"/>
    <w:rsid w:val="35C366DA"/>
    <w:rsid w:val="35E04DF9"/>
    <w:rsid w:val="35F83386"/>
    <w:rsid w:val="35F841BB"/>
    <w:rsid w:val="360D204B"/>
    <w:rsid w:val="361138EA"/>
    <w:rsid w:val="36581519"/>
    <w:rsid w:val="3659280D"/>
    <w:rsid w:val="368002F8"/>
    <w:rsid w:val="36803AA7"/>
    <w:rsid w:val="369719B8"/>
    <w:rsid w:val="36AD49E1"/>
    <w:rsid w:val="36CD3041"/>
    <w:rsid w:val="36E4474D"/>
    <w:rsid w:val="36E46F12"/>
    <w:rsid w:val="36E65E56"/>
    <w:rsid w:val="370D7AE8"/>
    <w:rsid w:val="370F6CC1"/>
    <w:rsid w:val="37125E26"/>
    <w:rsid w:val="374D1097"/>
    <w:rsid w:val="37954BBE"/>
    <w:rsid w:val="37A33896"/>
    <w:rsid w:val="37BD47A3"/>
    <w:rsid w:val="37CB574B"/>
    <w:rsid w:val="37DA204D"/>
    <w:rsid w:val="38081283"/>
    <w:rsid w:val="381E7558"/>
    <w:rsid w:val="3838741A"/>
    <w:rsid w:val="385C671A"/>
    <w:rsid w:val="38660462"/>
    <w:rsid w:val="386C3059"/>
    <w:rsid w:val="38743CBC"/>
    <w:rsid w:val="388136B0"/>
    <w:rsid w:val="38A143E1"/>
    <w:rsid w:val="38B64840"/>
    <w:rsid w:val="38C04347"/>
    <w:rsid w:val="38DB3D3B"/>
    <w:rsid w:val="38FE5C7B"/>
    <w:rsid w:val="390726C0"/>
    <w:rsid w:val="39090BC3"/>
    <w:rsid w:val="39213B4E"/>
    <w:rsid w:val="392861DA"/>
    <w:rsid w:val="392C6A98"/>
    <w:rsid w:val="395460C6"/>
    <w:rsid w:val="395626FA"/>
    <w:rsid w:val="39634BDC"/>
    <w:rsid w:val="39D4493D"/>
    <w:rsid w:val="39D60A74"/>
    <w:rsid w:val="39E31CE8"/>
    <w:rsid w:val="39FB2F17"/>
    <w:rsid w:val="39FF66FD"/>
    <w:rsid w:val="3A0B7BA1"/>
    <w:rsid w:val="3A346B5D"/>
    <w:rsid w:val="3A3F4479"/>
    <w:rsid w:val="3A4F678F"/>
    <w:rsid w:val="3A5B771A"/>
    <w:rsid w:val="3A7D3987"/>
    <w:rsid w:val="3AA646F1"/>
    <w:rsid w:val="3AA84388"/>
    <w:rsid w:val="3AA8753E"/>
    <w:rsid w:val="3AB5664A"/>
    <w:rsid w:val="3AB77201"/>
    <w:rsid w:val="3AC979A9"/>
    <w:rsid w:val="3AEA295B"/>
    <w:rsid w:val="3AF10FBE"/>
    <w:rsid w:val="3AF57D89"/>
    <w:rsid w:val="3B024DBA"/>
    <w:rsid w:val="3B37198E"/>
    <w:rsid w:val="3B4262F3"/>
    <w:rsid w:val="3B767D19"/>
    <w:rsid w:val="3B8E3934"/>
    <w:rsid w:val="3BA67E67"/>
    <w:rsid w:val="3BA94B59"/>
    <w:rsid w:val="3BAB1230"/>
    <w:rsid w:val="3BAC6FE9"/>
    <w:rsid w:val="3BB711FC"/>
    <w:rsid w:val="3BCD791B"/>
    <w:rsid w:val="3BDF3345"/>
    <w:rsid w:val="3C347C16"/>
    <w:rsid w:val="3C4D400B"/>
    <w:rsid w:val="3C503E70"/>
    <w:rsid w:val="3C5203FE"/>
    <w:rsid w:val="3C8F5587"/>
    <w:rsid w:val="3C9E70B3"/>
    <w:rsid w:val="3CA07B51"/>
    <w:rsid w:val="3CBB45AF"/>
    <w:rsid w:val="3CBC5E8E"/>
    <w:rsid w:val="3CCA028D"/>
    <w:rsid w:val="3D3F1241"/>
    <w:rsid w:val="3D6048FD"/>
    <w:rsid w:val="3D637DB2"/>
    <w:rsid w:val="3DB876D6"/>
    <w:rsid w:val="3DCB4B19"/>
    <w:rsid w:val="3DCD2295"/>
    <w:rsid w:val="3DD53832"/>
    <w:rsid w:val="3DF64F0C"/>
    <w:rsid w:val="3E1652A8"/>
    <w:rsid w:val="3E2148E6"/>
    <w:rsid w:val="3E244E24"/>
    <w:rsid w:val="3E36091D"/>
    <w:rsid w:val="3E882A88"/>
    <w:rsid w:val="3E9552F5"/>
    <w:rsid w:val="3EB1268C"/>
    <w:rsid w:val="3EB63280"/>
    <w:rsid w:val="3EC61B9D"/>
    <w:rsid w:val="3ECB4852"/>
    <w:rsid w:val="3EF94F1B"/>
    <w:rsid w:val="3F074A73"/>
    <w:rsid w:val="3F356953"/>
    <w:rsid w:val="3F3B3B21"/>
    <w:rsid w:val="3F4F3BE8"/>
    <w:rsid w:val="3F5269F2"/>
    <w:rsid w:val="3F614150"/>
    <w:rsid w:val="3F6E3E0C"/>
    <w:rsid w:val="3F816553"/>
    <w:rsid w:val="3F951B42"/>
    <w:rsid w:val="3F9A47E6"/>
    <w:rsid w:val="3F9B5A2E"/>
    <w:rsid w:val="3FA80E80"/>
    <w:rsid w:val="3FDE6134"/>
    <w:rsid w:val="3FF2003A"/>
    <w:rsid w:val="40115C40"/>
    <w:rsid w:val="403B5FB6"/>
    <w:rsid w:val="405F75D8"/>
    <w:rsid w:val="4067725B"/>
    <w:rsid w:val="4087573B"/>
    <w:rsid w:val="40954117"/>
    <w:rsid w:val="40982564"/>
    <w:rsid w:val="40A00ACF"/>
    <w:rsid w:val="40A73399"/>
    <w:rsid w:val="40A96E29"/>
    <w:rsid w:val="40BB4128"/>
    <w:rsid w:val="40BF2715"/>
    <w:rsid w:val="40C70AEB"/>
    <w:rsid w:val="40C80BED"/>
    <w:rsid w:val="40EC69A2"/>
    <w:rsid w:val="41055DF9"/>
    <w:rsid w:val="410D50A4"/>
    <w:rsid w:val="41272213"/>
    <w:rsid w:val="4145052F"/>
    <w:rsid w:val="41650F8E"/>
    <w:rsid w:val="417411D1"/>
    <w:rsid w:val="41785253"/>
    <w:rsid w:val="418777AE"/>
    <w:rsid w:val="418B36B7"/>
    <w:rsid w:val="41AC5964"/>
    <w:rsid w:val="41C26557"/>
    <w:rsid w:val="41D03BF4"/>
    <w:rsid w:val="41D9390D"/>
    <w:rsid w:val="41EE25C1"/>
    <w:rsid w:val="41F03283"/>
    <w:rsid w:val="41F72FDD"/>
    <w:rsid w:val="424458AB"/>
    <w:rsid w:val="424B2450"/>
    <w:rsid w:val="424E711B"/>
    <w:rsid w:val="42621029"/>
    <w:rsid w:val="426923B8"/>
    <w:rsid w:val="426E5C20"/>
    <w:rsid w:val="427078EB"/>
    <w:rsid w:val="4292190E"/>
    <w:rsid w:val="4294360D"/>
    <w:rsid w:val="42A141E2"/>
    <w:rsid w:val="42A24C6D"/>
    <w:rsid w:val="42A24F03"/>
    <w:rsid w:val="42AF6A1B"/>
    <w:rsid w:val="42BD50C4"/>
    <w:rsid w:val="42C10446"/>
    <w:rsid w:val="42CE1219"/>
    <w:rsid w:val="42EE1B7D"/>
    <w:rsid w:val="43082F31"/>
    <w:rsid w:val="431713DD"/>
    <w:rsid w:val="435C5E1E"/>
    <w:rsid w:val="436B7464"/>
    <w:rsid w:val="43781AD0"/>
    <w:rsid w:val="438E0503"/>
    <w:rsid w:val="439C02DB"/>
    <w:rsid w:val="43A65E0A"/>
    <w:rsid w:val="43AA5716"/>
    <w:rsid w:val="43F020DE"/>
    <w:rsid w:val="43F974BC"/>
    <w:rsid w:val="44032204"/>
    <w:rsid w:val="44054362"/>
    <w:rsid w:val="440B5BE1"/>
    <w:rsid w:val="4415124D"/>
    <w:rsid w:val="44295984"/>
    <w:rsid w:val="44373AB8"/>
    <w:rsid w:val="4450495B"/>
    <w:rsid w:val="44566BBF"/>
    <w:rsid w:val="446952BB"/>
    <w:rsid w:val="4472505D"/>
    <w:rsid w:val="44804AB3"/>
    <w:rsid w:val="448D54DF"/>
    <w:rsid w:val="44A144A7"/>
    <w:rsid w:val="44F627D3"/>
    <w:rsid w:val="450476A8"/>
    <w:rsid w:val="45071373"/>
    <w:rsid w:val="453866DF"/>
    <w:rsid w:val="453A4FE4"/>
    <w:rsid w:val="4557299B"/>
    <w:rsid w:val="456169A5"/>
    <w:rsid w:val="45617CBE"/>
    <w:rsid w:val="456269DB"/>
    <w:rsid w:val="45843A9A"/>
    <w:rsid w:val="458C2B3A"/>
    <w:rsid w:val="45A3160E"/>
    <w:rsid w:val="45C4157B"/>
    <w:rsid w:val="45C66EF4"/>
    <w:rsid w:val="45E06F56"/>
    <w:rsid w:val="45ED50AE"/>
    <w:rsid w:val="45FD2AD7"/>
    <w:rsid w:val="460D5550"/>
    <w:rsid w:val="462F59C5"/>
    <w:rsid w:val="46717A8D"/>
    <w:rsid w:val="46876018"/>
    <w:rsid w:val="469962EF"/>
    <w:rsid w:val="46A40B2E"/>
    <w:rsid w:val="46C329DE"/>
    <w:rsid w:val="46ED105E"/>
    <w:rsid w:val="46F26E20"/>
    <w:rsid w:val="47480035"/>
    <w:rsid w:val="477342FE"/>
    <w:rsid w:val="47A56479"/>
    <w:rsid w:val="47D77DC3"/>
    <w:rsid w:val="47E60C90"/>
    <w:rsid w:val="47E7378E"/>
    <w:rsid w:val="47EF4A76"/>
    <w:rsid w:val="480676FB"/>
    <w:rsid w:val="480E66BA"/>
    <w:rsid w:val="482055B1"/>
    <w:rsid w:val="482C010F"/>
    <w:rsid w:val="48335F43"/>
    <w:rsid w:val="484F715A"/>
    <w:rsid w:val="486C0E54"/>
    <w:rsid w:val="487321E2"/>
    <w:rsid w:val="48767657"/>
    <w:rsid w:val="48872035"/>
    <w:rsid w:val="48951BEB"/>
    <w:rsid w:val="48A27B87"/>
    <w:rsid w:val="48DF33D4"/>
    <w:rsid w:val="48FC49A1"/>
    <w:rsid w:val="49030B0F"/>
    <w:rsid w:val="49261002"/>
    <w:rsid w:val="493A631A"/>
    <w:rsid w:val="49424913"/>
    <w:rsid w:val="495E6E3A"/>
    <w:rsid w:val="49872FB3"/>
    <w:rsid w:val="498B0491"/>
    <w:rsid w:val="49921FC2"/>
    <w:rsid w:val="499D73F3"/>
    <w:rsid w:val="499F6FB1"/>
    <w:rsid w:val="49B90888"/>
    <w:rsid w:val="49C522A1"/>
    <w:rsid w:val="49CF12C3"/>
    <w:rsid w:val="4A062880"/>
    <w:rsid w:val="4A11128D"/>
    <w:rsid w:val="4A2B79C9"/>
    <w:rsid w:val="4A5720E2"/>
    <w:rsid w:val="4A6A2D32"/>
    <w:rsid w:val="4A6D4455"/>
    <w:rsid w:val="4A711C7E"/>
    <w:rsid w:val="4A9F106C"/>
    <w:rsid w:val="4AB80560"/>
    <w:rsid w:val="4ADC43D5"/>
    <w:rsid w:val="4ADD7DE7"/>
    <w:rsid w:val="4AFF5CB6"/>
    <w:rsid w:val="4B185640"/>
    <w:rsid w:val="4B1B182C"/>
    <w:rsid w:val="4B386DCB"/>
    <w:rsid w:val="4B536213"/>
    <w:rsid w:val="4B5A4F93"/>
    <w:rsid w:val="4B642A09"/>
    <w:rsid w:val="4B7623CD"/>
    <w:rsid w:val="4BA257D9"/>
    <w:rsid w:val="4BA33E21"/>
    <w:rsid w:val="4BAA2384"/>
    <w:rsid w:val="4BBC2425"/>
    <w:rsid w:val="4BD5730F"/>
    <w:rsid w:val="4BF947AC"/>
    <w:rsid w:val="4BFA3FC6"/>
    <w:rsid w:val="4C1D163F"/>
    <w:rsid w:val="4C380A84"/>
    <w:rsid w:val="4C3F65C5"/>
    <w:rsid w:val="4C5A3CB0"/>
    <w:rsid w:val="4C5B3372"/>
    <w:rsid w:val="4C981109"/>
    <w:rsid w:val="4CAB0CBB"/>
    <w:rsid w:val="4CB43E94"/>
    <w:rsid w:val="4CB91449"/>
    <w:rsid w:val="4D0258E3"/>
    <w:rsid w:val="4D560C34"/>
    <w:rsid w:val="4D6C3189"/>
    <w:rsid w:val="4D73591C"/>
    <w:rsid w:val="4D862B76"/>
    <w:rsid w:val="4DC86B2C"/>
    <w:rsid w:val="4DD46100"/>
    <w:rsid w:val="4DD8259E"/>
    <w:rsid w:val="4E191136"/>
    <w:rsid w:val="4E374310"/>
    <w:rsid w:val="4E3956E3"/>
    <w:rsid w:val="4E6E2A66"/>
    <w:rsid w:val="4E78496F"/>
    <w:rsid w:val="4E832A53"/>
    <w:rsid w:val="4E8642F1"/>
    <w:rsid w:val="4E9618B1"/>
    <w:rsid w:val="4EA95E43"/>
    <w:rsid w:val="4EAC1FAA"/>
    <w:rsid w:val="4EBA7B2E"/>
    <w:rsid w:val="4F101E10"/>
    <w:rsid w:val="4F103857"/>
    <w:rsid w:val="4F126DF7"/>
    <w:rsid w:val="4F2661EA"/>
    <w:rsid w:val="4F6C798B"/>
    <w:rsid w:val="4F702FD7"/>
    <w:rsid w:val="4F9C61D6"/>
    <w:rsid w:val="4FB325ED"/>
    <w:rsid w:val="4FD2079B"/>
    <w:rsid w:val="4FE61BD1"/>
    <w:rsid w:val="4FEC738C"/>
    <w:rsid w:val="4FFF19B7"/>
    <w:rsid w:val="501716A5"/>
    <w:rsid w:val="502D7A9C"/>
    <w:rsid w:val="5043693E"/>
    <w:rsid w:val="50504BB7"/>
    <w:rsid w:val="50516F12"/>
    <w:rsid w:val="5058126E"/>
    <w:rsid w:val="50842062"/>
    <w:rsid w:val="508E4675"/>
    <w:rsid w:val="509D384A"/>
    <w:rsid w:val="509E6DA8"/>
    <w:rsid w:val="50B7367B"/>
    <w:rsid w:val="50E10E61"/>
    <w:rsid w:val="51257DF2"/>
    <w:rsid w:val="515A2FA3"/>
    <w:rsid w:val="515A72E2"/>
    <w:rsid w:val="515C2D92"/>
    <w:rsid w:val="51644DBE"/>
    <w:rsid w:val="516923D4"/>
    <w:rsid w:val="516C37B4"/>
    <w:rsid w:val="516D1688"/>
    <w:rsid w:val="51716CD2"/>
    <w:rsid w:val="517843C5"/>
    <w:rsid w:val="518053E4"/>
    <w:rsid w:val="518A6C1F"/>
    <w:rsid w:val="518B3EE2"/>
    <w:rsid w:val="5195526C"/>
    <w:rsid w:val="519D5BDA"/>
    <w:rsid w:val="51B353FD"/>
    <w:rsid w:val="51B53FCF"/>
    <w:rsid w:val="51C23156"/>
    <w:rsid w:val="51C55131"/>
    <w:rsid w:val="51EB2DE9"/>
    <w:rsid w:val="51F668C5"/>
    <w:rsid w:val="5208710A"/>
    <w:rsid w:val="520C4967"/>
    <w:rsid w:val="52140128"/>
    <w:rsid w:val="52236FA5"/>
    <w:rsid w:val="52272981"/>
    <w:rsid w:val="5245489C"/>
    <w:rsid w:val="526E7566"/>
    <w:rsid w:val="52A34FEA"/>
    <w:rsid w:val="52A8529D"/>
    <w:rsid w:val="52AA47C9"/>
    <w:rsid w:val="52B23907"/>
    <w:rsid w:val="52D27B05"/>
    <w:rsid w:val="533662E6"/>
    <w:rsid w:val="534A32FB"/>
    <w:rsid w:val="535125C2"/>
    <w:rsid w:val="53650979"/>
    <w:rsid w:val="537312E8"/>
    <w:rsid w:val="537C0BBE"/>
    <w:rsid w:val="537C40DE"/>
    <w:rsid w:val="539B48B4"/>
    <w:rsid w:val="53A95424"/>
    <w:rsid w:val="53B8372D"/>
    <w:rsid w:val="53C61620"/>
    <w:rsid w:val="53F1045F"/>
    <w:rsid w:val="541C68A5"/>
    <w:rsid w:val="542D21E3"/>
    <w:rsid w:val="543E21F2"/>
    <w:rsid w:val="544879DB"/>
    <w:rsid w:val="54520DA1"/>
    <w:rsid w:val="545F053C"/>
    <w:rsid w:val="546022C8"/>
    <w:rsid w:val="546751DA"/>
    <w:rsid w:val="54714353"/>
    <w:rsid w:val="54762D81"/>
    <w:rsid w:val="5489649F"/>
    <w:rsid w:val="548A6E6D"/>
    <w:rsid w:val="548B440F"/>
    <w:rsid w:val="548B5A9A"/>
    <w:rsid w:val="548D2E22"/>
    <w:rsid w:val="54941935"/>
    <w:rsid w:val="54B0031A"/>
    <w:rsid w:val="54B21DD2"/>
    <w:rsid w:val="54B52740"/>
    <w:rsid w:val="54C067AF"/>
    <w:rsid w:val="54C91B19"/>
    <w:rsid w:val="54E97523"/>
    <w:rsid w:val="54FF7392"/>
    <w:rsid w:val="550D751A"/>
    <w:rsid w:val="55105391"/>
    <w:rsid w:val="55230AEC"/>
    <w:rsid w:val="55497FD3"/>
    <w:rsid w:val="55543755"/>
    <w:rsid w:val="557876D7"/>
    <w:rsid w:val="55795EB1"/>
    <w:rsid w:val="55A016F4"/>
    <w:rsid w:val="55AF7E32"/>
    <w:rsid w:val="55B11785"/>
    <w:rsid w:val="55BC0ACD"/>
    <w:rsid w:val="55CD1BB6"/>
    <w:rsid w:val="55CD3730"/>
    <w:rsid w:val="55D65B5E"/>
    <w:rsid w:val="55FF5A11"/>
    <w:rsid w:val="56075D18"/>
    <w:rsid w:val="561E547A"/>
    <w:rsid w:val="564152F9"/>
    <w:rsid w:val="564803F0"/>
    <w:rsid w:val="566A33AF"/>
    <w:rsid w:val="566B77AD"/>
    <w:rsid w:val="567E1394"/>
    <w:rsid w:val="56944013"/>
    <w:rsid w:val="56B04601"/>
    <w:rsid w:val="56CF0DC4"/>
    <w:rsid w:val="56D367BB"/>
    <w:rsid w:val="570379D0"/>
    <w:rsid w:val="57272140"/>
    <w:rsid w:val="5727404A"/>
    <w:rsid w:val="574C5DA2"/>
    <w:rsid w:val="574E74DC"/>
    <w:rsid w:val="57611591"/>
    <w:rsid w:val="576B4BCE"/>
    <w:rsid w:val="57805DDE"/>
    <w:rsid w:val="578D66F1"/>
    <w:rsid w:val="579B02C1"/>
    <w:rsid w:val="57AA744D"/>
    <w:rsid w:val="57AC0002"/>
    <w:rsid w:val="57B215AB"/>
    <w:rsid w:val="57F12F72"/>
    <w:rsid w:val="57FF2851"/>
    <w:rsid w:val="5806220D"/>
    <w:rsid w:val="580721E0"/>
    <w:rsid w:val="58471770"/>
    <w:rsid w:val="585C538F"/>
    <w:rsid w:val="588F2358"/>
    <w:rsid w:val="58914E5E"/>
    <w:rsid w:val="58AE5704"/>
    <w:rsid w:val="58C16ADF"/>
    <w:rsid w:val="58CC1AB2"/>
    <w:rsid w:val="592C4C68"/>
    <w:rsid w:val="5950536F"/>
    <w:rsid w:val="596D7CF1"/>
    <w:rsid w:val="59992D9D"/>
    <w:rsid w:val="59A472A8"/>
    <w:rsid w:val="59B17E32"/>
    <w:rsid w:val="59C36B17"/>
    <w:rsid w:val="59D04E5A"/>
    <w:rsid w:val="59D85016"/>
    <w:rsid w:val="59E4283D"/>
    <w:rsid w:val="5A42303B"/>
    <w:rsid w:val="5A5130DA"/>
    <w:rsid w:val="5A6C7BD0"/>
    <w:rsid w:val="5A75126C"/>
    <w:rsid w:val="5A811BFC"/>
    <w:rsid w:val="5A8D4929"/>
    <w:rsid w:val="5A937DE8"/>
    <w:rsid w:val="5AA45748"/>
    <w:rsid w:val="5AA622A2"/>
    <w:rsid w:val="5AEA47CF"/>
    <w:rsid w:val="5B0F3809"/>
    <w:rsid w:val="5B280C0A"/>
    <w:rsid w:val="5B2D66C7"/>
    <w:rsid w:val="5B34098D"/>
    <w:rsid w:val="5B433C96"/>
    <w:rsid w:val="5B61346B"/>
    <w:rsid w:val="5B7C2D8B"/>
    <w:rsid w:val="5B8878FB"/>
    <w:rsid w:val="5B8E0360"/>
    <w:rsid w:val="5B9E5C91"/>
    <w:rsid w:val="5BD23FD8"/>
    <w:rsid w:val="5BD62658"/>
    <w:rsid w:val="5BE0064A"/>
    <w:rsid w:val="5BFC2107"/>
    <w:rsid w:val="5C136C3D"/>
    <w:rsid w:val="5C333E30"/>
    <w:rsid w:val="5C441D79"/>
    <w:rsid w:val="5C45108B"/>
    <w:rsid w:val="5C4E132E"/>
    <w:rsid w:val="5C76107A"/>
    <w:rsid w:val="5C7C75E2"/>
    <w:rsid w:val="5C870C57"/>
    <w:rsid w:val="5CAE3391"/>
    <w:rsid w:val="5CB25144"/>
    <w:rsid w:val="5CC3116B"/>
    <w:rsid w:val="5CF31B5E"/>
    <w:rsid w:val="5CFA4E8E"/>
    <w:rsid w:val="5D025763"/>
    <w:rsid w:val="5D096819"/>
    <w:rsid w:val="5D194ED2"/>
    <w:rsid w:val="5D2E7E2E"/>
    <w:rsid w:val="5D416DDE"/>
    <w:rsid w:val="5D496F7A"/>
    <w:rsid w:val="5D567EA3"/>
    <w:rsid w:val="5D7F5F0D"/>
    <w:rsid w:val="5DAA0859"/>
    <w:rsid w:val="5DC10EA2"/>
    <w:rsid w:val="5DC614DB"/>
    <w:rsid w:val="5E043FD4"/>
    <w:rsid w:val="5E2B5084"/>
    <w:rsid w:val="5E3F5B89"/>
    <w:rsid w:val="5E523875"/>
    <w:rsid w:val="5E571491"/>
    <w:rsid w:val="5E5D04AF"/>
    <w:rsid w:val="5E620763"/>
    <w:rsid w:val="5E6D4D01"/>
    <w:rsid w:val="5E9F6F1D"/>
    <w:rsid w:val="5ED314C1"/>
    <w:rsid w:val="5ED82947"/>
    <w:rsid w:val="5EEA486F"/>
    <w:rsid w:val="5EF54B24"/>
    <w:rsid w:val="5EFF25D6"/>
    <w:rsid w:val="5F0777B7"/>
    <w:rsid w:val="5F1B786D"/>
    <w:rsid w:val="5F7E5EEE"/>
    <w:rsid w:val="5F93294C"/>
    <w:rsid w:val="5FAE5DE8"/>
    <w:rsid w:val="5FBD029A"/>
    <w:rsid w:val="5FD71E00"/>
    <w:rsid w:val="5FDB6786"/>
    <w:rsid w:val="5FE54626"/>
    <w:rsid w:val="5FEC0367"/>
    <w:rsid w:val="60065BA5"/>
    <w:rsid w:val="600F3F28"/>
    <w:rsid w:val="60152F4E"/>
    <w:rsid w:val="602259C9"/>
    <w:rsid w:val="603E320C"/>
    <w:rsid w:val="607F798B"/>
    <w:rsid w:val="608365E9"/>
    <w:rsid w:val="60E1447A"/>
    <w:rsid w:val="60EA3CA2"/>
    <w:rsid w:val="60F03545"/>
    <w:rsid w:val="6103128B"/>
    <w:rsid w:val="61157DAC"/>
    <w:rsid w:val="61386AD2"/>
    <w:rsid w:val="613E0E43"/>
    <w:rsid w:val="61416A55"/>
    <w:rsid w:val="61581985"/>
    <w:rsid w:val="618E553F"/>
    <w:rsid w:val="619B657A"/>
    <w:rsid w:val="61A42FB4"/>
    <w:rsid w:val="61BE3EAB"/>
    <w:rsid w:val="61C62F2B"/>
    <w:rsid w:val="61F4714B"/>
    <w:rsid w:val="61FE3725"/>
    <w:rsid w:val="61FF3594"/>
    <w:rsid w:val="6220129D"/>
    <w:rsid w:val="6236405C"/>
    <w:rsid w:val="623873EA"/>
    <w:rsid w:val="624376BF"/>
    <w:rsid w:val="62486582"/>
    <w:rsid w:val="62914F88"/>
    <w:rsid w:val="62D0231E"/>
    <w:rsid w:val="62DA5896"/>
    <w:rsid w:val="62EC29A7"/>
    <w:rsid w:val="63412E95"/>
    <w:rsid w:val="634C7AE5"/>
    <w:rsid w:val="634F5672"/>
    <w:rsid w:val="635C3580"/>
    <w:rsid w:val="635D7454"/>
    <w:rsid w:val="63641EB2"/>
    <w:rsid w:val="63932D78"/>
    <w:rsid w:val="63A774F5"/>
    <w:rsid w:val="63C72DC7"/>
    <w:rsid w:val="63D7141F"/>
    <w:rsid w:val="63E36BA9"/>
    <w:rsid w:val="63F773CC"/>
    <w:rsid w:val="64023ACF"/>
    <w:rsid w:val="64080C2E"/>
    <w:rsid w:val="641C6C75"/>
    <w:rsid w:val="64222FEB"/>
    <w:rsid w:val="644410CE"/>
    <w:rsid w:val="64552374"/>
    <w:rsid w:val="647732ED"/>
    <w:rsid w:val="6496506A"/>
    <w:rsid w:val="64A4304B"/>
    <w:rsid w:val="64C10CA7"/>
    <w:rsid w:val="64CA2515"/>
    <w:rsid w:val="6502005B"/>
    <w:rsid w:val="6530528B"/>
    <w:rsid w:val="65515DB5"/>
    <w:rsid w:val="656323AB"/>
    <w:rsid w:val="65736F26"/>
    <w:rsid w:val="65A215B9"/>
    <w:rsid w:val="65AE512C"/>
    <w:rsid w:val="65AE61B0"/>
    <w:rsid w:val="65BC7C58"/>
    <w:rsid w:val="65D5577F"/>
    <w:rsid w:val="65E402F9"/>
    <w:rsid w:val="65E5183B"/>
    <w:rsid w:val="660E2139"/>
    <w:rsid w:val="664A412A"/>
    <w:rsid w:val="665E1984"/>
    <w:rsid w:val="66642A17"/>
    <w:rsid w:val="66730236"/>
    <w:rsid w:val="66875A38"/>
    <w:rsid w:val="66885C5C"/>
    <w:rsid w:val="66D659BE"/>
    <w:rsid w:val="66E5167E"/>
    <w:rsid w:val="66EA2602"/>
    <w:rsid w:val="66F52CC8"/>
    <w:rsid w:val="66FF279D"/>
    <w:rsid w:val="67184229"/>
    <w:rsid w:val="671D1BD5"/>
    <w:rsid w:val="67493861"/>
    <w:rsid w:val="674C36B0"/>
    <w:rsid w:val="6755431D"/>
    <w:rsid w:val="676E5BF7"/>
    <w:rsid w:val="676F196F"/>
    <w:rsid w:val="677B6565"/>
    <w:rsid w:val="677D6B7B"/>
    <w:rsid w:val="67851F89"/>
    <w:rsid w:val="679B0A01"/>
    <w:rsid w:val="67BB0B1C"/>
    <w:rsid w:val="67BD194E"/>
    <w:rsid w:val="67CD04B3"/>
    <w:rsid w:val="67F221F3"/>
    <w:rsid w:val="68026C12"/>
    <w:rsid w:val="6811237B"/>
    <w:rsid w:val="681A4A40"/>
    <w:rsid w:val="68271394"/>
    <w:rsid w:val="6838027A"/>
    <w:rsid w:val="683E7EE5"/>
    <w:rsid w:val="68435509"/>
    <w:rsid w:val="684861C7"/>
    <w:rsid w:val="68653401"/>
    <w:rsid w:val="686676F6"/>
    <w:rsid w:val="68833924"/>
    <w:rsid w:val="68993501"/>
    <w:rsid w:val="689B474F"/>
    <w:rsid w:val="68A267A9"/>
    <w:rsid w:val="68A8668E"/>
    <w:rsid w:val="68B353E3"/>
    <w:rsid w:val="68BA0012"/>
    <w:rsid w:val="68BE78F5"/>
    <w:rsid w:val="68C44A41"/>
    <w:rsid w:val="68D60032"/>
    <w:rsid w:val="68F17C10"/>
    <w:rsid w:val="691B1DAE"/>
    <w:rsid w:val="6921103F"/>
    <w:rsid w:val="6928031F"/>
    <w:rsid w:val="692E4FB6"/>
    <w:rsid w:val="694D5CE0"/>
    <w:rsid w:val="696372B1"/>
    <w:rsid w:val="69797CAD"/>
    <w:rsid w:val="69915B12"/>
    <w:rsid w:val="699532AF"/>
    <w:rsid w:val="69CA0CB1"/>
    <w:rsid w:val="69E00902"/>
    <w:rsid w:val="69FB1B2F"/>
    <w:rsid w:val="6A29066E"/>
    <w:rsid w:val="6A3F7D1E"/>
    <w:rsid w:val="6A527A52"/>
    <w:rsid w:val="6A671FEF"/>
    <w:rsid w:val="6A732EC3"/>
    <w:rsid w:val="6A8150D3"/>
    <w:rsid w:val="6A874175"/>
    <w:rsid w:val="6AB25F68"/>
    <w:rsid w:val="6AB957FE"/>
    <w:rsid w:val="6ABE0BA5"/>
    <w:rsid w:val="6AE0505D"/>
    <w:rsid w:val="6B002D5C"/>
    <w:rsid w:val="6B063725"/>
    <w:rsid w:val="6B136FFE"/>
    <w:rsid w:val="6B1D66C1"/>
    <w:rsid w:val="6B2017A5"/>
    <w:rsid w:val="6B2457CA"/>
    <w:rsid w:val="6B317667"/>
    <w:rsid w:val="6B3D7A59"/>
    <w:rsid w:val="6B5670CE"/>
    <w:rsid w:val="6B731793"/>
    <w:rsid w:val="6B9B1363"/>
    <w:rsid w:val="6BA53BB1"/>
    <w:rsid w:val="6BF22835"/>
    <w:rsid w:val="6C170466"/>
    <w:rsid w:val="6C6274F1"/>
    <w:rsid w:val="6C703C17"/>
    <w:rsid w:val="6C873101"/>
    <w:rsid w:val="6C9A123C"/>
    <w:rsid w:val="6CEB1D13"/>
    <w:rsid w:val="6CEC6FC7"/>
    <w:rsid w:val="6D064702"/>
    <w:rsid w:val="6D0B0A96"/>
    <w:rsid w:val="6D1014FE"/>
    <w:rsid w:val="6D21370B"/>
    <w:rsid w:val="6D467CC2"/>
    <w:rsid w:val="6D856618"/>
    <w:rsid w:val="6D8A715E"/>
    <w:rsid w:val="6DAA38D6"/>
    <w:rsid w:val="6DB67C38"/>
    <w:rsid w:val="6DE50BDD"/>
    <w:rsid w:val="6DE9247B"/>
    <w:rsid w:val="6E011975"/>
    <w:rsid w:val="6E400DE4"/>
    <w:rsid w:val="6E534630"/>
    <w:rsid w:val="6E6A4D34"/>
    <w:rsid w:val="6E722413"/>
    <w:rsid w:val="6E9D3265"/>
    <w:rsid w:val="6EAB3697"/>
    <w:rsid w:val="6EAE6FC8"/>
    <w:rsid w:val="6ECA41CF"/>
    <w:rsid w:val="6ED203C9"/>
    <w:rsid w:val="6ED70525"/>
    <w:rsid w:val="6EE17960"/>
    <w:rsid w:val="6EEE3AC1"/>
    <w:rsid w:val="6EFD5AB2"/>
    <w:rsid w:val="6F0E504C"/>
    <w:rsid w:val="6F3A4D84"/>
    <w:rsid w:val="6F431892"/>
    <w:rsid w:val="6F4F05F7"/>
    <w:rsid w:val="6F535836"/>
    <w:rsid w:val="6F6207D0"/>
    <w:rsid w:val="6F7A532F"/>
    <w:rsid w:val="6F8B0206"/>
    <w:rsid w:val="6F993A2D"/>
    <w:rsid w:val="6F9E6F8F"/>
    <w:rsid w:val="6FAC07A9"/>
    <w:rsid w:val="6FB03BA0"/>
    <w:rsid w:val="6FD92863"/>
    <w:rsid w:val="6FDA417D"/>
    <w:rsid w:val="703958E1"/>
    <w:rsid w:val="703D34F8"/>
    <w:rsid w:val="70426EAB"/>
    <w:rsid w:val="705F07D2"/>
    <w:rsid w:val="706C05B6"/>
    <w:rsid w:val="709B05D5"/>
    <w:rsid w:val="709D25C0"/>
    <w:rsid w:val="709F2893"/>
    <w:rsid w:val="70BF105F"/>
    <w:rsid w:val="70DC0919"/>
    <w:rsid w:val="70E36668"/>
    <w:rsid w:val="70E773B3"/>
    <w:rsid w:val="70ED716E"/>
    <w:rsid w:val="710B3DC7"/>
    <w:rsid w:val="713E4299"/>
    <w:rsid w:val="7150636D"/>
    <w:rsid w:val="7152737F"/>
    <w:rsid w:val="7177415B"/>
    <w:rsid w:val="71A566B9"/>
    <w:rsid w:val="71B40FF2"/>
    <w:rsid w:val="71B76B74"/>
    <w:rsid w:val="71C63582"/>
    <w:rsid w:val="71D41CBE"/>
    <w:rsid w:val="71F5068D"/>
    <w:rsid w:val="72232C38"/>
    <w:rsid w:val="7232685E"/>
    <w:rsid w:val="727B1293"/>
    <w:rsid w:val="72906A52"/>
    <w:rsid w:val="72921465"/>
    <w:rsid w:val="72A06163"/>
    <w:rsid w:val="72C110BD"/>
    <w:rsid w:val="72C214EC"/>
    <w:rsid w:val="72CA7543"/>
    <w:rsid w:val="730A760C"/>
    <w:rsid w:val="731166BA"/>
    <w:rsid w:val="73173A2B"/>
    <w:rsid w:val="73267CCD"/>
    <w:rsid w:val="733A4A56"/>
    <w:rsid w:val="73756218"/>
    <w:rsid w:val="738F5F96"/>
    <w:rsid w:val="73946146"/>
    <w:rsid w:val="73972AAE"/>
    <w:rsid w:val="73AB4BFD"/>
    <w:rsid w:val="73B00038"/>
    <w:rsid w:val="73BA0A2B"/>
    <w:rsid w:val="73DB147E"/>
    <w:rsid w:val="73DB58C5"/>
    <w:rsid w:val="74001F62"/>
    <w:rsid w:val="740578E3"/>
    <w:rsid w:val="7406367D"/>
    <w:rsid w:val="74116E62"/>
    <w:rsid w:val="7414690F"/>
    <w:rsid w:val="742C1313"/>
    <w:rsid w:val="742C55B0"/>
    <w:rsid w:val="745F1820"/>
    <w:rsid w:val="74674869"/>
    <w:rsid w:val="74675AEA"/>
    <w:rsid w:val="747645AC"/>
    <w:rsid w:val="749038C4"/>
    <w:rsid w:val="74A54A99"/>
    <w:rsid w:val="74EB7343"/>
    <w:rsid w:val="75022AA1"/>
    <w:rsid w:val="750C51AD"/>
    <w:rsid w:val="751F7499"/>
    <w:rsid w:val="75516AE7"/>
    <w:rsid w:val="75991F4A"/>
    <w:rsid w:val="759C03A4"/>
    <w:rsid w:val="75B215F4"/>
    <w:rsid w:val="75BE28B6"/>
    <w:rsid w:val="75DA08FB"/>
    <w:rsid w:val="760B3766"/>
    <w:rsid w:val="76167706"/>
    <w:rsid w:val="76234DE9"/>
    <w:rsid w:val="76293958"/>
    <w:rsid w:val="762B1819"/>
    <w:rsid w:val="763168ED"/>
    <w:rsid w:val="763C5112"/>
    <w:rsid w:val="766C7D00"/>
    <w:rsid w:val="766E423F"/>
    <w:rsid w:val="7682176F"/>
    <w:rsid w:val="76B6161D"/>
    <w:rsid w:val="76B8716B"/>
    <w:rsid w:val="76DA4107"/>
    <w:rsid w:val="76DB492B"/>
    <w:rsid w:val="76FD161E"/>
    <w:rsid w:val="771728F8"/>
    <w:rsid w:val="771949DD"/>
    <w:rsid w:val="771B3627"/>
    <w:rsid w:val="771E320F"/>
    <w:rsid w:val="77216F4A"/>
    <w:rsid w:val="7725204A"/>
    <w:rsid w:val="772677DD"/>
    <w:rsid w:val="77320CCF"/>
    <w:rsid w:val="77364257"/>
    <w:rsid w:val="773A0327"/>
    <w:rsid w:val="773B3F01"/>
    <w:rsid w:val="77444BC6"/>
    <w:rsid w:val="774B7D02"/>
    <w:rsid w:val="775767BB"/>
    <w:rsid w:val="7761178C"/>
    <w:rsid w:val="777330AB"/>
    <w:rsid w:val="77A245AF"/>
    <w:rsid w:val="77B2419E"/>
    <w:rsid w:val="77C27899"/>
    <w:rsid w:val="77D67A3B"/>
    <w:rsid w:val="77E14F4E"/>
    <w:rsid w:val="77EA459C"/>
    <w:rsid w:val="78283BDB"/>
    <w:rsid w:val="78286DF7"/>
    <w:rsid w:val="78324BD2"/>
    <w:rsid w:val="783511AA"/>
    <w:rsid w:val="785B3F75"/>
    <w:rsid w:val="788019E0"/>
    <w:rsid w:val="788B2B83"/>
    <w:rsid w:val="78B34F04"/>
    <w:rsid w:val="78B66900"/>
    <w:rsid w:val="78B74C86"/>
    <w:rsid w:val="78EA3B6D"/>
    <w:rsid w:val="78F27EA1"/>
    <w:rsid w:val="790B2BCD"/>
    <w:rsid w:val="791746C7"/>
    <w:rsid w:val="79285F14"/>
    <w:rsid w:val="792A6D12"/>
    <w:rsid w:val="79425789"/>
    <w:rsid w:val="79433099"/>
    <w:rsid w:val="797057FE"/>
    <w:rsid w:val="798340EB"/>
    <w:rsid w:val="798E6073"/>
    <w:rsid w:val="799D5C69"/>
    <w:rsid w:val="79C32947"/>
    <w:rsid w:val="79C536F1"/>
    <w:rsid w:val="79CC1C57"/>
    <w:rsid w:val="79D6777C"/>
    <w:rsid w:val="79E9192E"/>
    <w:rsid w:val="79EF1978"/>
    <w:rsid w:val="7A2707E2"/>
    <w:rsid w:val="7A28028C"/>
    <w:rsid w:val="7A2C0B75"/>
    <w:rsid w:val="7A626141"/>
    <w:rsid w:val="7A656395"/>
    <w:rsid w:val="7A6E097B"/>
    <w:rsid w:val="7A735FD2"/>
    <w:rsid w:val="7A792DD8"/>
    <w:rsid w:val="7A7E5F1D"/>
    <w:rsid w:val="7AA92EC1"/>
    <w:rsid w:val="7AE6715E"/>
    <w:rsid w:val="7AF10792"/>
    <w:rsid w:val="7AF456DE"/>
    <w:rsid w:val="7AFB63F7"/>
    <w:rsid w:val="7B0729FB"/>
    <w:rsid w:val="7B5B0F8E"/>
    <w:rsid w:val="7B5E7952"/>
    <w:rsid w:val="7B7D6D44"/>
    <w:rsid w:val="7BA817AF"/>
    <w:rsid w:val="7BAD1FA8"/>
    <w:rsid w:val="7BB75966"/>
    <w:rsid w:val="7BE57F98"/>
    <w:rsid w:val="7BF32717"/>
    <w:rsid w:val="7BFE2BD9"/>
    <w:rsid w:val="7BFF3F71"/>
    <w:rsid w:val="7C134B67"/>
    <w:rsid w:val="7C240B22"/>
    <w:rsid w:val="7C8D3682"/>
    <w:rsid w:val="7C8D6CE8"/>
    <w:rsid w:val="7CB95F06"/>
    <w:rsid w:val="7CCE72AA"/>
    <w:rsid w:val="7CD47394"/>
    <w:rsid w:val="7D1433B0"/>
    <w:rsid w:val="7D265475"/>
    <w:rsid w:val="7D4A7438"/>
    <w:rsid w:val="7D4F4257"/>
    <w:rsid w:val="7D5A4FF0"/>
    <w:rsid w:val="7D6A3EE0"/>
    <w:rsid w:val="7D793E19"/>
    <w:rsid w:val="7D853EC1"/>
    <w:rsid w:val="7D893333"/>
    <w:rsid w:val="7D952AC7"/>
    <w:rsid w:val="7D995979"/>
    <w:rsid w:val="7D9B0BA3"/>
    <w:rsid w:val="7DC8358B"/>
    <w:rsid w:val="7DD87E16"/>
    <w:rsid w:val="7DE441DA"/>
    <w:rsid w:val="7E467719"/>
    <w:rsid w:val="7E494870"/>
    <w:rsid w:val="7E6779C9"/>
    <w:rsid w:val="7E825BE5"/>
    <w:rsid w:val="7E8C6B41"/>
    <w:rsid w:val="7EC02552"/>
    <w:rsid w:val="7F0226CC"/>
    <w:rsid w:val="7F116062"/>
    <w:rsid w:val="7F1A1A95"/>
    <w:rsid w:val="7F1D1209"/>
    <w:rsid w:val="7F237C6B"/>
    <w:rsid w:val="7F323556"/>
    <w:rsid w:val="7F3A4039"/>
    <w:rsid w:val="7F625BE9"/>
    <w:rsid w:val="7F660355"/>
    <w:rsid w:val="7FBB0E2C"/>
    <w:rsid w:val="7FF017D9"/>
    <w:rsid w:val="7FF6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szCs w:val="32"/>
    </w:rPr>
  </w:style>
  <w:style w:type="paragraph" w:styleId="4">
    <w:name w:val="heading 3"/>
    <w:basedOn w:val="1"/>
    <w:next w:val="1"/>
    <w:qFormat/>
    <w:uiPriority w:val="0"/>
    <w:pPr>
      <w:keepNext/>
      <w:keepLines/>
      <w:numPr>
        <w:ilvl w:val="2"/>
        <w:numId w:val="1"/>
      </w:numPr>
      <w:tabs>
        <w:tab w:val="left" w:pos="720"/>
      </w:tabs>
      <w:spacing w:line="360" w:lineRule="auto"/>
      <w:ind w:left="0" w:firstLine="482" w:firstLineChars="200"/>
      <w:outlineLvl w:val="2"/>
    </w:pPr>
    <w:rPr>
      <w:b/>
      <w:bCs/>
      <w:szCs w:val="32"/>
    </w:rPr>
  </w:style>
  <w:style w:type="paragraph" w:styleId="5">
    <w:name w:val="heading 4"/>
    <w:basedOn w:val="1"/>
    <w:next w:val="1"/>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0">
    <w:name w:val="Default Paragraph Font"/>
    <w:link w:val="31"/>
    <w:semiHidden/>
    <w:qFormat/>
    <w:uiPriority w:val="0"/>
    <w:rPr>
      <w:rFonts w:ascii="宋体" w:hAnsi="宋体"/>
      <w:b/>
      <w:sz w:val="28"/>
      <w:szCs w:val="28"/>
    </w:rPr>
  </w:style>
  <w:style w:type="table" w:default="1" w:styleId="28">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99"/>
    <w:pPr>
      <w:ind w:left="1400" w:leftChars="1400"/>
    </w:pPr>
  </w:style>
  <w:style w:type="paragraph" w:styleId="7">
    <w:name w:val="Normal Inden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kern w:val="0"/>
      <w:sz w:val="24"/>
      <w:szCs w:val="24"/>
    </w:r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kern w:val="0"/>
      <w:szCs w:val="20"/>
    </w:rPr>
  </w:style>
  <w:style w:type="paragraph" w:styleId="13">
    <w:name w:val="Body Text Indent 2"/>
    <w:basedOn w:val="1"/>
    <w:qFormat/>
    <w:uiPriority w:val="0"/>
    <w:pPr>
      <w:spacing w:after="120" w:afterLines="0" w:line="480" w:lineRule="auto"/>
      <w:ind w:left="420" w:leftChars="200"/>
    </w:pPr>
  </w:style>
  <w:style w:type="paragraph" w:styleId="14">
    <w:name w:val="footer"/>
    <w:basedOn w:val="1"/>
    <w:qFormat/>
    <w:uiPriority w:val="0"/>
    <w:pPr>
      <w:tabs>
        <w:tab w:val="center" w:pos="4153"/>
        <w:tab w:val="right" w:pos="8306"/>
      </w:tabs>
      <w:snapToGrid w:val="0"/>
      <w:jc w:val="left"/>
    </w:pPr>
    <w:rPr>
      <w:rFonts w:ascii="Calibri" w:hAnsi="Calibri" w:cs="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6">
    <w:name w:val="toc 1"/>
    <w:basedOn w:val="1"/>
    <w:next w:val="1"/>
    <w:qFormat/>
    <w:uiPriority w:val="39"/>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next w:val="10"/>
    <w:qFormat/>
    <w:uiPriority w:val="0"/>
    <w:pPr>
      <w:snapToGrid w:val="0"/>
    </w:pPr>
    <w:rPr>
      <w:sz w:val="18"/>
    </w:rPr>
  </w:style>
  <w:style w:type="paragraph" w:styleId="19">
    <w:name w:val="Body Text Indent 3"/>
    <w:basedOn w:val="1"/>
    <w:qFormat/>
    <w:uiPriority w:val="0"/>
    <w:pPr>
      <w:spacing w:after="120" w:afterLines="0"/>
      <w:ind w:left="420" w:leftChars="200"/>
    </w:pPr>
    <w:rPr>
      <w:sz w:val="16"/>
      <w:szCs w:val="16"/>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widowControl/>
      <w:spacing w:after="100" w:line="276" w:lineRule="auto"/>
      <w:ind w:left="220"/>
      <w:jc w:val="left"/>
    </w:pPr>
    <w:rPr>
      <w:rFonts w:ascii="Calibri" w:hAnsi="Calibri" w:cs="Calibri"/>
      <w:kern w:val="0"/>
      <w:sz w:val="22"/>
      <w:szCs w:val="22"/>
    </w:rPr>
  </w:style>
  <w:style w:type="paragraph" w:styleId="22">
    <w:name w:val="Body Text 2"/>
    <w:basedOn w:val="1"/>
    <w:unhideWhenUsed/>
    <w:qFormat/>
    <w:uiPriority w:val="99"/>
    <w:rPr>
      <w:sz w:val="28"/>
    </w:rPr>
  </w:style>
  <w:style w:type="paragraph" w:styleId="23">
    <w:name w:val="Normal (Web)"/>
    <w:basedOn w:val="1"/>
    <w:next w:val="24"/>
    <w:qFormat/>
    <w:uiPriority w:val="0"/>
    <w:pPr>
      <w:widowControl/>
      <w:jc w:val="left"/>
    </w:pPr>
    <w:rPr>
      <w:rFonts w:ascii="宋体" w:hAnsi="宋体" w:cs="宋体"/>
      <w:kern w:val="0"/>
      <w:sz w:val="24"/>
    </w:rPr>
  </w:style>
  <w:style w:type="paragraph" w:customStyle="1" w:styleId="2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5">
    <w:name w:val="Title"/>
    <w:basedOn w:val="1"/>
    <w:next w:val="1"/>
    <w:qFormat/>
    <w:uiPriority w:val="0"/>
    <w:pPr>
      <w:spacing w:before="240" w:after="60"/>
      <w:ind w:left="850" w:hanging="425"/>
      <w:jc w:val="center"/>
      <w:outlineLvl w:val="0"/>
    </w:pPr>
    <w:rPr>
      <w:rFonts w:ascii="Cambria" w:hAnsi="Cambria"/>
      <w:b/>
      <w:bCs/>
      <w:sz w:val="32"/>
      <w:szCs w:val="32"/>
    </w:rPr>
  </w:style>
  <w:style w:type="paragraph" w:styleId="26">
    <w:name w:val="Body Text First Indent"/>
    <w:basedOn w:val="10"/>
    <w:qFormat/>
    <w:uiPriority w:val="0"/>
    <w:pPr>
      <w:spacing w:after="0" w:afterLines="0"/>
      <w:ind w:firstLine="200" w:firstLineChars="200"/>
    </w:pPr>
    <w:rPr>
      <w:rFonts w:ascii="Times New Roman" w:hAnsi="Times New Roman" w:eastAsia="宋体" w:cs="Times New Roman"/>
    </w:rPr>
  </w:style>
  <w:style w:type="paragraph" w:styleId="27">
    <w:name w:val="Body Text First Indent 2"/>
    <w:basedOn w:val="11"/>
    <w:unhideWhenUsed/>
    <w:qFormat/>
    <w:uiPriority w:val="99"/>
    <w:pPr>
      <w:spacing w:after="120"/>
      <w:ind w:left="420" w:leftChars="200" w:firstLine="420"/>
    </w:pPr>
    <w:rPr>
      <w:rFonts w:hAnsi="宋体"/>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2 Char"/>
    <w:basedOn w:val="1"/>
    <w:link w:val="30"/>
    <w:qFormat/>
    <w:uiPriority w:val="0"/>
    <w:rPr>
      <w:rFonts w:ascii="宋体" w:hAnsi="宋体"/>
      <w:b/>
      <w:sz w:val="28"/>
      <w:szCs w:val="28"/>
    </w:rPr>
  </w:style>
  <w:style w:type="character" w:styleId="32">
    <w:name w:val="page number"/>
    <w:basedOn w:val="30"/>
    <w:qFormat/>
    <w:uiPriority w:val="0"/>
    <w:rPr>
      <w:rFonts w:cs="Times New Roman"/>
    </w:rPr>
  </w:style>
  <w:style w:type="character" w:styleId="33">
    <w:name w:val="Hyperlink"/>
    <w:basedOn w:val="30"/>
    <w:qFormat/>
    <w:uiPriority w:val="0"/>
    <w:rPr>
      <w:color w:val="0000FF"/>
      <w:u w:val="single"/>
    </w:rPr>
  </w:style>
  <w:style w:type="paragraph" w:customStyle="1" w:styleId="3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List Paragraph"/>
    <w:basedOn w:val="1"/>
    <w:qFormat/>
    <w:uiPriority w:val="99"/>
    <w:pPr>
      <w:ind w:firstLine="420" w:firstLineChars="200"/>
    </w:pPr>
  </w:style>
  <w:style w:type="paragraph" w:customStyle="1" w:styleId="38">
    <w:name w:val="WPS Plain"/>
    <w:qFormat/>
    <w:uiPriority w:val="99"/>
    <w:rPr>
      <w:rFonts w:ascii="Times New Roman" w:hAnsi="Times New Roman" w:eastAsia="宋体" w:cs="Times New Roman"/>
      <w:lang w:val="en-US" w:eastAsia="zh-CN" w:bidi="ar-SA"/>
    </w:rPr>
  </w:style>
  <w:style w:type="paragraph" w:customStyle="1" w:styleId="3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È±Ê¡ÎÄ±¾"/>
    <w:basedOn w:val="1"/>
    <w:qFormat/>
    <w:uiPriority w:val="0"/>
    <w:pPr>
      <w:widowControl/>
      <w:overflowPunct w:val="0"/>
      <w:autoSpaceDE w:val="0"/>
      <w:autoSpaceDN w:val="0"/>
      <w:adjustRightInd w:val="0"/>
      <w:jc w:val="left"/>
    </w:pPr>
    <w:rPr>
      <w:kern w:val="0"/>
      <w:sz w:val="24"/>
      <w:szCs w:val="20"/>
    </w:rPr>
  </w:style>
  <w:style w:type="character" w:customStyle="1" w:styleId="41">
    <w:name w:val="font51"/>
    <w:basedOn w:val="30"/>
    <w:qFormat/>
    <w:uiPriority w:val="0"/>
    <w:rPr>
      <w:rFonts w:hint="eastAsia" w:ascii="宋体" w:hAnsi="宋体" w:eastAsia="宋体" w:cs="宋体"/>
      <w:color w:val="000000"/>
      <w:sz w:val="20"/>
      <w:szCs w:val="20"/>
      <w:u w:val="none"/>
    </w:rPr>
  </w:style>
  <w:style w:type="character" w:customStyle="1" w:styleId="42">
    <w:name w:val="font141"/>
    <w:basedOn w:val="30"/>
    <w:qFormat/>
    <w:uiPriority w:val="0"/>
    <w:rPr>
      <w:rFonts w:hint="eastAsia" w:ascii="宋体" w:hAnsi="宋体" w:eastAsia="宋体" w:cs="宋体"/>
      <w:color w:val="000000"/>
      <w:sz w:val="20"/>
      <w:szCs w:val="20"/>
      <w:u w:val="none"/>
    </w:rPr>
  </w:style>
  <w:style w:type="character" w:customStyle="1" w:styleId="43">
    <w:name w:val="font171"/>
    <w:basedOn w:val="30"/>
    <w:qFormat/>
    <w:uiPriority w:val="0"/>
    <w:rPr>
      <w:rFonts w:hint="eastAsia" w:ascii="宋体" w:hAnsi="宋体" w:eastAsia="宋体" w:cs="宋体"/>
      <w:color w:val="000000"/>
      <w:sz w:val="21"/>
      <w:szCs w:val="21"/>
      <w:u w:val="none"/>
    </w:rPr>
  </w:style>
  <w:style w:type="paragraph" w:customStyle="1" w:styleId="44">
    <w:name w:val="样式5"/>
    <w:basedOn w:val="1"/>
    <w:qFormat/>
    <w:uiPriority w:val="99"/>
    <w:pPr>
      <w:spacing w:line="360" w:lineRule="auto"/>
      <w:ind w:firstLine="485" w:firstLineChars="202"/>
    </w:pPr>
    <w:rPr>
      <w:rFonts w:ascii="Times New Roman" w:hAnsi="Times New Roman" w:cs="宋体"/>
      <w:sz w:val="24"/>
      <w:szCs w:val="24"/>
    </w:rPr>
  </w:style>
  <w:style w:type="paragraph" w:customStyle="1" w:styleId="4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6">
    <w:name w:val="列出段落11"/>
    <w:basedOn w:val="1"/>
    <w:qFormat/>
    <w:uiPriority w:val="0"/>
    <w:pPr>
      <w:ind w:firstLine="420"/>
    </w:pPr>
  </w:style>
  <w:style w:type="paragraph" w:customStyle="1" w:styleId="47">
    <w:name w:val="正文空2格  1."/>
    <w:basedOn w:val="1"/>
    <w:qFormat/>
    <w:uiPriority w:val="0"/>
    <w:pPr>
      <w:ind w:firstLine="480"/>
    </w:pPr>
    <w:rPr>
      <w:rFonts w:cs="宋体"/>
      <w:szCs w:val="20"/>
    </w:rPr>
  </w:style>
  <w:style w:type="table" w:customStyle="1" w:styleId="48">
    <w:name w:val="Table Normal"/>
    <w:unhideWhenUsed/>
    <w:qFormat/>
    <w:uiPriority w:val="2"/>
    <w:tblPr>
      <w:tblCellMar>
        <w:top w:w="0" w:type="dxa"/>
        <w:left w:w="0" w:type="dxa"/>
        <w:bottom w:w="0" w:type="dxa"/>
        <w:right w:w="0" w:type="dxa"/>
      </w:tblCellMar>
    </w:tblPr>
  </w:style>
  <w:style w:type="paragraph" w:customStyle="1" w:styleId="49">
    <w:name w:val="正文文本缩进_0_0"/>
    <w:basedOn w:val="50"/>
    <w:qFormat/>
    <w:uiPriority w:val="0"/>
    <w:pPr>
      <w:spacing w:line="500" w:lineRule="exact"/>
      <w:ind w:left="1588" w:leftChars="832" w:firstLine="433" w:firstLineChars="196"/>
    </w:pPr>
    <w:rPr>
      <w:kern w:val="0"/>
      <w:sz w:val="24"/>
    </w:rPr>
  </w:style>
  <w:style w:type="paragraph" w:customStyle="1" w:styleId="5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NormalCharacter"/>
    <w:qFormat/>
    <w:uiPriority w:val="0"/>
    <w:rPr>
      <w:rFonts w:ascii="Times New Roman" w:hAnsi="Times New Roman" w:eastAsia="宋体" w:cs="Times New Roman"/>
    </w:rPr>
  </w:style>
  <w:style w:type="paragraph" w:customStyle="1" w:styleId="5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3">
    <w:name w:val="正文_3"/>
    <w:qFormat/>
    <w:uiPriority w:val="99"/>
    <w:pPr>
      <w:widowControl w:val="0"/>
      <w:jc w:val="both"/>
    </w:pPr>
    <w:rPr>
      <w:rFonts w:ascii="Times New Roman" w:hAnsi="Times New Roman" w:eastAsia="仿宋_GB2312" w:cs="Times New Roman"/>
      <w:kern w:val="2"/>
      <w:sz w:val="28"/>
      <w:szCs w:val="24"/>
      <w:lang w:val="en-US" w:eastAsia="zh-CN" w:bidi="ar-SA"/>
    </w:rPr>
  </w:style>
  <w:style w:type="paragraph" w:customStyle="1" w:styleId="54">
    <w:name w:val="正文_1_1"/>
    <w:basedOn w:val="55"/>
    <w:qFormat/>
    <w:uiPriority w:val="99"/>
  </w:style>
  <w:style w:type="paragraph" w:customStyle="1" w:styleId="55">
    <w:name w:val="正文_3_0"/>
    <w:basedOn w:val="50"/>
    <w:qFormat/>
    <w:uiPriority w:val="99"/>
  </w:style>
  <w:style w:type="paragraph" w:customStyle="1" w:styleId="56">
    <w:name w:val="正文_0_1"/>
    <w:basedOn w:val="57"/>
    <w:qFormat/>
    <w:uiPriority w:val="99"/>
    <w:rPr>
      <w:rFonts w:ascii="Calibri" w:hAnsi="Calibri" w:eastAsia="仿宋_GB2312"/>
      <w:kern w:val="2"/>
      <w:sz w:val="28"/>
      <w:szCs w:val="24"/>
    </w:rPr>
  </w:style>
  <w:style w:type="paragraph" w:customStyle="1" w:styleId="57">
    <w:name w:val="Normal_0"/>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名单"/>
    <w:basedOn w:val="1"/>
    <w:qFormat/>
    <w:uiPriority w:val="0"/>
    <w:pPr>
      <w:widowControl/>
      <w:ind w:left="560" w:firstLine="560"/>
    </w:pPr>
    <w:rPr>
      <w:rFonts w:ascii="仿宋_GB2312"/>
      <w:b/>
      <w:kern w:val="0"/>
      <w:szCs w:val="28"/>
    </w:rPr>
  </w:style>
  <w:style w:type="character" w:customStyle="1" w:styleId="59">
    <w:name w:val="标题 1 Char"/>
    <w:link w:val="2"/>
    <w:qFormat/>
    <w:uiPriority w:val="0"/>
    <w:rPr>
      <w:b/>
      <w:bCs/>
      <w:kern w:val="44"/>
      <w:sz w:val="44"/>
      <w:szCs w:val="44"/>
    </w:rPr>
  </w:style>
  <w:style w:type="character" w:customStyle="1" w:styleId="60">
    <w:name w:val="font81"/>
    <w:basedOn w:val="30"/>
    <w:qFormat/>
    <w:uiPriority w:val="0"/>
    <w:rPr>
      <w:rFonts w:hint="eastAsia" w:ascii="宋体" w:hAnsi="宋体" w:eastAsia="宋体" w:cs="宋体"/>
      <w:color w:val="000000"/>
      <w:sz w:val="22"/>
      <w:szCs w:val="22"/>
      <w:u w:val="none"/>
    </w:rPr>
  </w:style>
  <w:style w:type="character" w:customStyle="1" w:styleId="61">
    <w:name w:val="font121"/>
    <w:basedOn w:val="30"/>
    <w:qFormat/>
    <w:uiPriority w:val="0"/>
    <w:rPr>
      <w:rFonts w:hint="eastAsia" w:ascii="宋体" w:hAnsi="宋体" w:eastAsia="宋体" w:cs="宋体"/>
      <w:color w:val="FF0000"/>
      <w:sz w:val="20"/>
      <w:szCs w:val="20"/>
      <w:u w:val="none"/>
    </w:rPr>
  </w:style>
  <w:style w:type="character" w:customStyle="1" w:styleId="62">
    <w:name w:val="font41"/>
    <w:basedOn w:val="30"/>
    <w:qFormat/>
    <w:uiPriority w:val="0"/>
    <w:rPr>
      <w:rFonts w:hint="eastAsia" w:ascii="宋体" w:hAnsi="宋体" w:eastAsia="宋体" w:cs="宋体"/>
      <w:color w:val="000000"/>
      <w:sz w:val="22"/>
      <w:szCs w:val="22"/>
      <w:u w:val="single"/>
    </w:rPr>
  </w:style>
  <w:style w:type="character" w:customStyle="1" w:styleId="63">
    <w:name w:val="font71"/>
    <w:basedOn w:val="30"/>
    <w:qFormat/>
    <w:uiPriority w:val="0"/>
    <w:rPr>
      <w:rFonts w:hint="eastAsia" w:ascii="宋体" w:hAnsi="宋体" w:eastAsia="宋体" w:cs="宋体"/>
      <w:color w:val="FF0000"/>
      <w:sz w:val="20"/>
      <w:szCs w:val="20"/>
      <w:u w:val="none"/>
    </w:rPr>
  </w:style>
  <w:style w:type="character" w:customStyle="1" w:styleId="64">
    <w:name w:val="font61"/>
    <w:basedOn w:val="30"/>
    <w:qFormat/>
    <w:uiPriority w:val="0"/>
    <w:rPr>
      <w:rFonts w:hint="eastAsia" w:ascii="宋体" w:hAnsi="宋体" w:eastAsia="宋体" w:cs="宋体"/>
      <w:color w:val="000000"/>
      <w:sz w:val="22"/>
      <w:szCs w:val="22"/>
      <w:u w:val="single"/>
    </w:rPr>
  </w:style>
  <w:style w:type="character" w:customStyle="1" w:styleId="65">
    <w:name w:val="font31"/>
    <w:basedOn w:val="30"/>
    <w:qFormat/>
    <w:uiPriority w:val="0"/>
    <w:rPr>
      <w:rFonts w:hint="eastAsia" w:ascii="宋体" w:hAnsi="宋体" w:eastAsia="宋体" w:cs="宋体"/>
      <w:color w:val="000000"/>
      <w:sz w:val="22"/>
      <w:szCs w:val="22"/>
      <w:u w:val="none"/>
    </w:rPr>
  </w:style>
  <w:style w:type="paragraph" w:customStyle="1" w:styleId="6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kern w:val="2"/>
      <w:sz w:val="24"/>
    </w:rPr>
  </w:style>
  <w:style w:type="paragraph" w:customStyle="1" w:styleId="67">
    <w:name w:val="Table Paragraph"/>
    <w:basedOn w:val="1"/>
    <w:qFormat/>
    <w:uiPriority w:val="1"/>
    <w:rPr>
      <w:rFonts w:ascii="微软雅黑" w:hAnsi="微软雅黑" w:eastAsia="微软雅黑" w:cs="微软雅黑"/>
      <w:lang w:val="zh-CN" w:eastAsia="zh-CN" w:bidi="zh-CN"/>
    </w:rPr>
  </w:style>
  <w:style w:type="paragraph" w:customStyle="1" w:styleId="68">
    <w:name w:val="Normal"/>
    <w:qFormat/>
    <w:uiPriority w:val="0"/>
    <w:rPr>
      <w:rFonts w:ascii="Times New Roman" w:hAnsi="Times New Roman" w:eastAsia="Times New Roman" w:cs="Times New Roman"/>
      <w:sz w:val="24"/>
      <w:szCs w:val="24"/>
      <w:lang w:val="en-US" w:eastAsia="zh-CN" w:bidi="ar-SA"/>
    </w:rPr>
  </w:style>
  <w:style w:type="paragraph" w:customStyle="1" w:styleId="69">
    <w:name w:val="_Style 3"/>
    <w:basedOn w:val="70"/>
    <w:qFormat/>
    <w:uiPriority w:val="99"/>
    <w:pPr>
      <w:ind w:firstLine="200" w:firstLineChars="200"/>
    </w:pPr>
    <w:rPr>
      <w:szCs w:val="24"/>
    </w:rPr>
  </w:style>
  <w:style w:type="paragraph" w:customStyle="1" w:styleId="70">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7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2">
    <w:name w:val="样式1"/>
    <w:basedOn w:val="3"/>
    <w:next w:val="73"/>
    <w:qFormat/>
    <w:uiPriority w:val="0"/>
    <w:pPr>
      <w:tabs>
        <w:tab w:val="left" w:pos="420"/>
        <w:tab w:val="left" w:pos="851"/>
        <w:tab w:val="clear" w:pos="720"/>
      </w:tabs>
      <w:ind w:left="420" w:hanging="420"/>
    </w:pPr>
    <w:rPr>
      <w:rFonts w:cs="Times New Roman"/>
    </w:rPr>
  </w:style>
  <w:style w:type="paragraph" w:customStyle="1" w:styleId="73">
    <w:name w:val="样式2"/>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28081</Words>
  <Characters>29793</Characters>
  <Lines>0</Lines>
  <Paragraphs>0</Paragraphs>
  <TotalTime>5</TotalTime>
  <ScaleCrop>false</ScaleCrop>
  <LinksUpToDate>false</LinksUpToDate>
  <CharactersWithSpaces>32482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2018-08-29T08:33:00Z</dcterms:created>
  <dc:creator>Administrator</dc:creator>
  <cp:lastModifiedBy>Administrator</cp:lastModifiedBy>
  <cp:lastPrinted>2023-11-22T02:10:00Z</cp:lastPrinted>
  <dcterms:modified xsi:type="dcterms:W3CDTF">2023-11-22T02:53:29Z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139286D4B7594A27B8928A772353FC89</vt:lpwstr>
  </property>
</Properties>
</file>