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
          <w:sz w:val="24"/>
        </w:rPr>
      </w:pPr>
    </w:p>
    <w:p>
      <w:pPr>
        <w:spacing w:line="360" w:lineRule="auto"/>
        <w:jc w:val="left"/>
        <w:rPr>
          <w:rFonts w:ascii="仿宋_GB2312" w:hAnsi="仿宋_GB2312" w:eastAsia="仿宋_GB2312" w:cs="仿宋_GB2312"/>
          <w:b/>
          <w:sz w:val="24"/>
        </w:rPr>
      </w:pPr>
      <w:r>
        <w:rPr>
          <w:sz w:val="20"/>
        </w:rPr>
        <w:drawing>
          <wp:inline distT="0" distB="0" distL="0" distR="0">
            <wp:extent cx="1364615" cy="612775"/>
            <wp:effectExtent l="0" t="0" r="6985" b="952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3" cstate="print"/>
                    <a:stretch>
                      <a:fillRect/>
                    </a:stretch>
                  </pic:blipFill>
                  <pic:spPr>
                    <a:xfrm>
                      <a:off x="0" y="0"/>
                      <a:ext cx="1364615" cy="612775"/>
                    </a:xfrm>
                    <a:prstGeom prst="rect">
                      <a:avLst/>
                    </a:prstGeom>
                  </pic:spPr>
                </pic:pic>
              </a:graphicData>
            </a:graphic>
          </wp:inline>
        </w:drawing>
      </w:r>
    </w:p>
    <w:p>
      <w:pPr>
        <w:adjustRightInd/>
        <w:spacing w:line="360" w:lineRule="auto"/>
        <w:jc w:val="center"/>
        <w:rPr>
          <w:rFonts w:ascii="仿宋_GB2312" w:hAnsi="仿宋" w:eastAsia="仿宋_GB2312" w:cs="仿宋_GB2312"/>
          <w:b/>
          <w:sz w:val="44"/>
          <w:szCs w:val="44"/>
        </w:rPr>
      </w:pPr>
    </w:p>
    <w:p>
      <w:pPr>
        <w:adjustRightInd/>
        <w:spacing w:line="360" w:lineRule="auto"/>
        <w:jc w:val="center"/>
        <w:outlineLvl w:val="0"/>
        <w:rPr>
          <w:rFonts w:hint="eastAsia" w:ascii="仿宋" w:hAnsi="仿宋" w:eastAsia="仿宋" w:cs="仿宋"/>
          <w:spacing w:val="40"/>
          <w:w w:val="80"/>
          <w:sz w:val="44"/>
          <w:szCs w:val="44"/>
          <w:lang w:val="zh-CN" w:eastAsia="zh-CN" w:bidi="th-TH"/>
        </w:rPr>
      </w:pPr>
      <w:bookmarkStart w:id="0" w:name="_Toc27571"/>
      <w:r>
        <w:rPr>
          <w:rFonts w:hint="eastAsia" w:ascii="仿宋" w:hAnsi="仿宋" w:eastAsia="仿宋" w:cs="仿宋"/>
          <w:spacing w:val="40"/>
          <w:w w:val="80"/>
          <w:sz w:val="44"/>
          <w:szCs w:val="44"/>
          <w:lang w:val="zh-CN" w:eastAsia="zh-CN" w:bidi="th-TH"/>
        </w:rPr>
        <w:t>东门片区管委会社区卫生服务中心四楼日间照料中心建设项目</w:t>
      </w:r>
    </w:p>
    <w:p>
      <w:pPr>
        <w:adjustRightInd/>
        <w:spacing w:line="360" w:lineRule="auto"/>
        <w:jc w:val="center"/>
        <w:outlineLvl w:val="0"/>
        <w:rPr>
          <w:rFonts w:hint="default" w:ascii="仿宋" w:hAnsi="仿宋" w:eastAsia="仿宋" w:cs="仿宋"/>
          <w:spacing w:val="40"/>
          <w:w w:val="80"/>
          <w:sz w:val="44"/>
          <w:szCs w:val="44"/>
          <w:lang w:val="en-US" w:eastAsia="zh-CN" w:bidi="th-TH"/>
        </w:rPr>
      </w:pPr>
      <w:r>
        <w:rPr>
          <w:rFonts w:hint="eastAsia" w:ascii="仿宋" w:hAnsi="仿宋" w:eastAsia="仿宋" w:cs="仿宋"/>
          <w:spacing w:val="40"/>
          <w:w w:val="80"/>
          <w:sz w:val="44"/>
          <w:szCs w:val="44"/>
          <w:lang w:val="zh-CN" w:eastAsia="zh-CN" w:bidi="th-TH"/>
        </w:rPr>
        <w:t>项目编号:2023-ZFCG-0089</w:t>
      </w:r>
    </w:p>
    <w:p>
      <w:pPr>
        <w:adjustRightInd/>
        <w:spacing w:line="360" w:lineRule="auto"/>
        <w:jc w:val="center"/>
        <w:outlineLvl w:val="0"/>
        <w:rPr>
          <w:rFonts w:hint="eastAsia" w:ascii="仿宋" w:hAnsi="仿宋" w:eastAsia="仿宋" w:cs="仿宋"/>
          <w:spacing w:val="40"/>
          <w:w w:val="80"/>
          <w:sz w:val="44"/>
          <w:szCs w:val="44"/>
          <w:lang w:val="zh-CN" w:eastAsia="zh-CN" w:bidi="th-TH"/>
        </w:rPr>
      </w:pPr>
    </w:p>
    <w:p>
      <w:pPr>
        <w:adjustRightInd/>
        <w:spacing w:line="360" w:lineRule="auto"/>
        <w:jc w:val="center"/>
        <w:outlineLvl w:val="0"/>
        <w:rPr>
          <w:rFonts w:hint="eastAsia" w:ascii="仿宋" w:hAnsi="仿宋" w:eastAsia="仿宋" w:cs="仿宋"/>
          <w:spacing w:val="40"/>
          <w:w w:val="80"/>
          <w:sz w:val="44"/>
          <w:szCs w:val="44"/>
          <w:lang w:val="zh-CN" w:eastAsia="zh-CN" w:bidi="th-TH"/>
        </w:rPr>
      </w:pPr>
    </w:p>
    <w:p>
      <w:pPr>
        <w:adjustRightInd/>
        <w:spacing w:line="360" w:lineRule="auto"/>
        <w:jc w:val="center"/>
        <w:outlineLvl w:val="0"/>
        <w:rPr>
          <w:rFonts w:hint="eastAsia" w:ascii="仿宋" w:hAnsi="仿宋" w:eastAsia="仿宋" w:cs="仿宋"/>
          <w:b w:val="0"/>
          <w:i w:val="0"/>
          <w:w w:val="80"/>
          <w:sz w:val="48"/>
          <w:szCs w:val="48"/>
          <w:lang w:eastAsia="zh-CN" w:bidi="th-TH"/>
        </w:rPr>
      </w:pPr>
      <w:r>
        <w:rPr>
          <w:rFonts w:hint="eastAsia" w:ascii="仿宋" w:hAnsi="仿宋" w:eastAsia="仿宋" w:cs="仿宋"/>
          <w:spacing w:val="40"/>
          <w:w w:val="80"/>
          <w:sz w:val="72"/>
          <w:szCs w:val="72"/>
          <w:lang w:val="zh-CN" w:bidi="th-TH"/>
        </w:rPr>
        <w:t>竞争性磋商</w:t>
      </w:r>
      <w:r>
        <w:rPr>
          <w:rFonts w:hint="eastAsia" w:ascii="仿宋" w:hAnsi="仿宋" w:eastAsia="仿宋" w:cs="仿宋"/>
          <w:spacing w:val="40"/>
          <w:w w:val="80"/>
          <w:sz w:val="72"/>
          <w:szCs w:val="72"/>
          <w:lang w:bidi="th-TH"/>
        </w:rPr>
        <w:t>文件</w:t>
      </w:r>
      <w:bookmarkEnd w:id="0"/>
    </w:p>
    <w:p>
      <w:pPr>
        <w:snapToGrid w:val="0"/>
        <w:spacing w:line="360" w:lineRule="auto"/>
        <w:jc w:val="center"/>
        <w:rPr>
          <w:rFonts w:ascii="仿宋_GB2312" w:hAnsi="仿宋_GB2312" w:eastAsia="仿宋_GB2312" w:cs="仿宋_GB2312"/>
          <w:sz w:val="30"/>
          <w:szCs w:val="30"/>
        </w:rPr>
      </w:pPr>
    </w:p>
    <w:p>
      <w:pPr>
        <w:adjustRightInd/>
        <w:spacing w:line="360" w:lineRule="auto"/>
        <w:rPr>
          <w:rFonts w:ascii="仿宋_GB2312" w:hAnsi="仿宋_GB2312" w:eastAsia="仿宋_GB2312" w:cs="仿宋_GB2312"/>
          <w:sz w:val="28"/>
          <w:szCs w:val="20"/>
        </w:rPr>
      </w:pPr>
    </w:p>
    <w:p>
      <w:pPr>
        <w:adjustRightInd/>
        <w:spacing w:line="360" w:lineRule="auto"/>
        <w:rPr>
          <w:rFonts w:ascii="仿宋_GB2312" w:hAnsi="仿宋_GB2312" w:eastAsia="仿宋_GB2312" w:cs="仿宋_GB2312"/>
          <w:sz w:val="28"/>
          <w:szCs w:val="20"/>
        </w:rPr>
      </w:pPr>
    </w:p>
    <w:p>
      <w:pPr>
        <w:pStyle w:val="185"/>
        <w:widowControl w:val="0"/>
        <w:spacing w:before="0" w:beforeAutospacing="0" w:after="0" w:afterAutospacing="0" w:line="360" w:lineRule="auto"/>
        <w:jc w:val="both"/>
        <w:textAlignment w:val="auto"/>
        <w:rPr>
          <w:rFonts w:hint="default" w:ascii="仿宋_GB2312" w:hAnsi="仿宋_GB2312" w:eastAsia="仿宋_GB2312" w:cs="仿宋_GB2312"/>
          <w:kern w:val="2"/>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sz w:val="24"/>
        </w:rPr>
        <w:t xml:space="preserve">                                      </w:t>
      </w:r>
    </w:p>
    <w:tbl>
      <w:tblPr>
        <w:tblStyle w:val="61"/>
        <w:tblW w:w="0" w:type="auto"/>
        <w:jc w:val="center"/>
        <w:tblLayout w:type="fixed"/>
        <w:tblCellMar>
          <w:top w:w="0" w:type="dxa"/>
          <w:left w:w="57" w:type="dxa"/>
          <w:bottom w:w="0" w:type="dxa"/>
          <w:right w:w="57" w:type="dxa"/>
        </w:tblCellMar>
      </w:tblPr>
      <w:tblGrid>
        <w:gridCol w:w="2142"/>
        <w:gridCol w:w="322"/>
        <w:gridCol w:w="5495"/>
      </w:tblGrid>
      <w:tr>
        <w:tblPrEx>
          <w:tblCellMar>
            <w:top w:w="0" w:type="dxa"/>
            <w:left w:w="57" w:type="dxa"/>
            <w:bottom w:w="0" w:type="dxa"/>
            <w:right w:w="57" w:type="dxa"/>
          </w:tblCellMar>
        </w:tblPrEx>
        <w:trPr>
          <w:trHeight w:val="684" w:hRule="atLeast"/>
          <w:jc w:val="center"/>
        </w:trPr>
        <w:tc>
          <w:tcPr>
            <w:tcW w:w="214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采购人</w:t>
            </w:r>
          </w:p>
        </w:tc>
        <w:tc>
          <w:tcPr>
            <w:tcW w:w="32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w:t>
            </w:r>
          </w:p>
        </w:tc>
        <w:tc>
          <w:tcPr>
            <w:tcW w:w="5495" w:type="dxa"/>
            <w:vAlign w:val="center"/>
          </w:tcPr>
          <w:p>
            <w:pPr>
              <w:snapToGrid w:val="0"/>
              <w:ind w:right="-477" w:rightChars="-227"/>
              <w:jc w:val="both"/>
              <w:rPr>
                <w:rFonts w:hint="eastAsia" w:ascii="仿宋" w:hAnsi="仿宋" w:eastAsia="仿宋" w:cs="仿宋"/>
                <w:kern w:val="21"/>
                <w:sz w:val="30"/>
                <w:szCs w:val="30"/>
                <w:lang w:eastAsia="zh-CN"/>
              </w:rPr>
            </w:pPr>
            <w:r>
              <w:rPr>
                <w:rFonts w:hint="eastAsia" w:ascii="仿宋" w:hAnsi="仿宋" w:eastAsia="仿宋" w:cs="仿宋"/>
                <w:kern w:val="21"/>
                <w:sz w:val="30"/>
                <w:szCs w:val="30"/>
                <w:lang w:eastAsia="zh-CN"/>
              </w:rPr>
              <w:t>乌鲁木齐市天山区东门片区管理委员会</w:t>
            </w:r>
          </w:p>
        </w:tc>
      </w:tr>
      <w:tr>
        <w:tblPrEx>
          <w:tblCellMar>
            <w:top w:w="0" w:type="dxa"/>
            <w:left w:w="57" w:type="dxa"/>
            <w:bottom w:w="0" w:type="dxa"/>
            <w:right w:w="57" w:type="dxa"/>
          </w:tblCellMar>
        </w:tblPrEx>
        <w:trPr>
          <w:trHeight w:val="299" w:hRule="atLeast"/>
          <w:jc w:val="center"/>
        </w:trPr>
        <w:tc>
          <w:tcPr>
            <w:tcW w:w="2142" w:type="dxa"/>
            <w:vAlign w:val="center"/>
          </w:tcPr>
          <w:p>
            <w:pPr>
              <w:snapToGrid w:val="0"/>
              <w:jc w:val="distribute"/>
              <w:rPr>
                <w:rFonts w:ascii="仿宋" w:hAnsi="仿宋" w:eastAsia="仿宋" w:cs="仿宋"/>
                <w:kern w:val="21"/>
                <w:szCs w:val="21"/>
              </w:rPr>
            </w:pPr>
          </w:p>
        </w:tc>
        <w:tc>
          <w:tcPr>
            <w:tcW w:w="322" w:type="dxa"/>
            <w:vAlign w:val="center"/>
          </w:tcPr>
          <w:p>
            <w:pPr>
              <w:snapToGrid w:val="0"/>
              <w:jc w:val="distribute"/>
              <w:rPr>
                <w:rFonts w:ascii="仿宋" w:hAnsi="仿宋" w:eastAsia="仿宋" w:cs="仿宋"/>
                <w:kern w:val="21"/>
                <w:szCs w:val="21"/>
              </w:rPr>
            </w:pPr>
          </w:p>
        </w:tc>
        <w:tc>
          <w:tcPr>
            <w:tcW w:w="5495" w:type="dxa"/>
            <w:vAlign w:val="center"/>
          </w:tcPr>
          <w:p>
            <w:pPr>
              <w:snapToGrid w:val="0"/>
              <w:jc w:val="distribute"/>
              <w:rPr>
                <w:rFonts w:ascii="仿宋" w:hAnsi="仿宋" w:eastAsia="仿宋" w:cs="仿宋"/>
                <w:kern w:val="21"/>
                <w:szCs w:val="21"/>
              </w:rPr>
            </w:pPr>
          </w:p>
        </w:tc>
      </w:tr>
      <w:tr>
        <w:tblPrEx>
          <w:tblCellMar>
            <w:top w:w="0" w:type="dxa"/>
            <w:left w:w="57" w:type="dxa"/>
            <w:bottom w:w="0" w:type="dxa"/>
            <w:right w:w="57" w:type="dxa"/>
          </w:tblCellMar>
        </w:tblPrEx>
        <w:trPr>
          <w:trHeight w:val="684" w:hRule="atLeast"/>
          <w:jc w:val="center"/>
        </w:trPr>
        <w:tc>
          <w:tcPr>
            <w:tcW w:w="214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采购代理机构</w:t>
            </w:r>
          </w:p>
        </w:tc>
        <w:tc>
          <w:tcPr>
            <w:tcW w:w="32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w:t>
            </w:r>
          </w:p>
        </w:tc>
        <w:tc>
          <w:tcPr>
            <w:tcW w:w="5495" w:type="dxa"/>
            <w:vAlign w:val="center"/>
          </w:tcPr>
          <w:p>
            <w:pPr>
              <w:snapToGrid w:val="0"/>
              <w:jc w:val="left"/>
              <w:rPr>
                <w:rFonts w:ascii="仿宋" w:hAnsi="仿宋" w:eastAsia="仿宋" w:cs="仿宋"/>
                <w:kern w:val="21"/>
                <w:sz w:val="30"/>
                <w:szCs w:val="30"/>
              </w:rPr>
            </w:pPr>
            <w:r>
              <w:rPr>
                <w:rFonts w:hint="eastAsia" w:ascii="仿宋" w:hAnsi="仿宋" w:eastAsia="仿宋" w:cs="仿宋"/>
                <w:kern w:val="21"/>
                <w:sz w:val="30"/>
                <w:szCs w:val="30"/>
              </w:rPr>
              <w:t>新疆正禾招投标有限公司</w:t>
            </w:r>
          </w:p>
        </w:tc>
      </w:tr>
      <w:tr>
        <w:tblPrEx>
          <w:tblCellMar>
            <w:top w:w="0" w:type="dxa"/>
            <w:left w:w="57" w:type="dxa"/>
            <w:bottom w:w="0" w:type="dxa"/>
            <w:right w:w="57" w:type="dxa"/>
          </w:tblCellMar>
        </w:tblPrEx>
        <w:trPr>
          <w:trHeight w:val="684" w:hRule="atLeast"/>
          <w:jc w:val="center"/>
        </w:trPr>
        <w:tc>
          <w:tcPr>
            <w:tcW w:w="7959" w:type="dxa"/>
            <w:gridSpan w:val="3"/>
            <w:vAlign w:val="center"/>
          </w:tcPr>
          <w:p>
            <w:pPr>
              <w:snapToGrid w:val="0"/>
              <w:jc w:val="center"/>
              <w:rPr>
                <w:rFonts w:ascii="仿宋" w:hAnsi="仿宋" w:eastAsia="仿宋" w:cs="仿宋"/>
                <w:kern w:val="21"/>
                <w:sz w:val="30"/>
                <w:szCs w:val="30"/>
              </w:rPr>
            </w:pPr>
            <w:r>
              <w:rPr>
                <w:rFonts w:hint="eastAsia" w:ascii="仿宋" w:hAnsi="仿宋" w:eastAsia="仿宋" w:cs="仿宋"/>
                <w:kern w:val="21"/>
                <w:sz w:val="30"/>
                <w:szCs w:val="30"/>
              </w:rPr>
              <w:t>2023年</w:t>
            </w:r>
            <w:r>
              <w:rPr>
                <w:rFonts w:hint="eastAsia" w:ascii="仿宋" w:hAnsi="仿宋" w:eastAsia="仿宋" w:cs="仿宋"/>
                <w:kern w:val="21"/>
                <w:sz w:val="30"/>
                <w:szCs w:val="30"/>
                <w:lang w:val="en-US" w:eastAsia="zh-CN"/>
              </w:rPr>
              <w:t>11</w:t>
            </w:r>
            <w:r>
              <w:rPr>
                <w:rFonts w:hint="eastAsia" w:ascii="仿宋" w:hAnsi="仿宋" w:eastAsia="仿宋" w:cs="仿宋"/>
                <w:kern w:val="21"/>
                <w:sz w:val="30"/>
                <w:szCs w:val="30"/>
              </w:rPr>
              <w:t>月</w:t>
            </w:r>
          </w:p>
        </w:tc>
      </w:tr>
    </w:tbl>
    <w:p>
      <w:pPr>
        <w:snapToGrid w:val="0"/>
        <w:spacing w:line="360" w:lineRule="auto"/>
        <w:jc w:val="center"/>
        <w:rPr>
          <w:rFonts w:ascii="仿宋_GB2312" w:hAnsi="仿宋_GB2312" w:eastAsia="仿宋_GB2312" w:cs="仿宋_GB2312"/>
          <w:bCs/>
          <w:sz w:val="32"/>
          <w:szCs w:val="32"/>
        </w:rPr>
      </w:pPr>
    </w:p>
    <w:p>
      <w:pPr>
        <w:tabs>
          <w:tab w:val="left" w:pos="2268"/>
        </w:tabs>
        <w:spacing w:line="360" w:lineRule="auto"/>
        <w:jc w:val="center"/>
        <w:rPr>
          <w:rFonts w:ascii="仿宋_GB2312" w:hAnsi="仿宋_GB2312" w:eastAsia="仿宋_GB2312" w:cs="仿宋_GB2312"/>
          <w:sz w:val="24"/>
        </w:rPr>
        <w:sectPr>
          <w:headerReference r:id="rId4" w:type="first"/>
          <w:footerReference r:id="rId7" w:type="first"/>
          <w:headerReference r:id="rId3" w:type="default"/>
          <w:footerReference r:id="rId5" w:type="default"/>
          <w:footerReference r:id="rId6" w:type="even"/>
          <w:pgSz w:w="11906" w:h="16838"/>
          <w:pgMar w:top="1174" w:right="1418" w:bottom="1151" w:left="1418" w:header="851" w:footer="992" w:gutter="0"/>
          <w:cols w:space="720" w:num="1"/>
          <w:titlePg/>
          <w:docGrid w:linePitch="312" w:charSpace="0"/>
        </w:sectPr>
      </w:pPr>
    </w:p>
    <w:sdt>
      <w:sdtPr>
        <w:rPr>
          <w:rFonts w:ascii="宋体" w:hAnsi="宋体"/>
        </w:rPr>
        <w:id w:val="147458442"/>
        <w15:color w:val="DBDBDB"/>
        <w:docPartObj>
          <w:docPartGallery w:val="Table of Contents"/>
          <w:docPartUnique/>
        </w:docPartObj>
      </w:sdtPr>
      <w:sdtEndPr>
        <w:rPr>
          <w:rFonts w:ascii="仿宋_GB2312" w:hAnsi="仿宋_GB2312" w:eastAsia="仿宋_GB2312" w:cs="仿宋_GB2312"/>
          <w:sz w:val="24"/>
        </w:rPr>
      </w:sdtEndPr>
      <w:sdtContent>
        <w:p>
          <w:pPr>
            <w:spacing w:line="312" w:lineRule="auto"/>
            <w:jc w:val="center"/>
            <w:rPr>
              <w:rFonts w:ascii="仿宋" w:hAnsi="仿宋" w:eastAsia="仿宋" w:cs="仿宋"/>
              <w:b/>
              <w:bCs/>
              <w:sz w:val="28"/>
              <w:szCs w:val="28"/>
            </w:rPr>
          </w:pPr>
          <w:bookmarkStart w:id="1" w:name="_Toc91899869"/>
          <w:r>
            <w:rPr>
              <w:rFonts w:hint="eastAsia" w:ascii="仿宋" w:hAnsi="仿宋" w:eastAsia="仿宋" w:cs="仿宋"/>
              <w:b/>
              <w:bCs/>
              <w:sz w:val="28"/>
              <w:szCs w:val="28"/>
            </w:rPr>
            <w:t>目   录</w:t>
          </w:r>
        </w:p>
        <w:p>
          <w:pPr>
            <w:pStyle w:val="42"/>
            <w:tabs>
              <w:tab w:val="right" w:leader="dot" w:pos="9070"/>
            </w:tabs>
            <w:spacing w:line="312" w:lineRule="auto"/>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TOC \o "1-1" \h \u </w:instrText>
          </w:r>
          <w:r>
            <w:rPr>
              <w:rFonts w:hint="eastAsia" w:ascii="仿宋" w:hAnsi="仿宋" w:eastAsia="仿宋" w:cs="仿宋"/>
              <w:sz w:val="24"/>
            </w:rPr>
            <w:fldChar w:fldCharType="separate"/>
          </w:r>
          <w:r>
            <w:fldChar w:fldCharType="begin"/>
          </w:r>
          <w:r>
            <w:instrText xml:space="preserve"> HYPERLINK \l "_Toc3829" </w:instrText>
          </w:r>
          <w:r>
            <w:fldChar w:fldCharType="separate"/>
          </w:r>
          <w:r>
            <w:rPr>
              <w:rFonts w:hint="eastAsia" w:ascii="仿宋" w:hAnsi="仿宋" w:eastAsia="仿宋" w:cs="仿宋"/>
              <w:sz w:val="24"/>
            </w:rPr>
            <w:t>第一部分  邀请供应商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_Toc3829 \h </w:instrText>
          </w:r>
          <w:r>
            <w:rPr>
              <w:rFonts w:hint="eastAsia" w:ascii="仿宋" w:hAnsi="仿宋" w:eastAsia="仿宋" w:cs="仿宋"/>
              <w:sz w:val="24"/>
            </w:rPr>
            <w:fldChar w:fldCharType="separate"/>
          </w:r>
          <w:r>
            <w:rPr>
              <w:rFonts w:hint="eastAsia" w:ascii="仿宋" w:hAnsi="仿宋" w:eastAsia="仿宋" w:cs="仿宋"/>
              <w:sz w:val="24"/>
            </w:rPr>
            <w:t>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"_Toc23245" </w:instrText>
          </w:r>
          <w:r>
            <w:fldChar w:fldCharType="separate"/>
          </w:r>
          <w:r>
            <w:rPr>
              <w:rFonts w:hint="eastAsia" w:ascii="仿宋" w:hAnsi="仿宋" w:eastAsia="仿宋" w:cs="仿宋"/>
              <w:sz w:val="24"/>
            </w:rPr>
            <w:t>竞争性磋商邀请公告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_Toc23245 \h </w:instrText>
          </w:r>
          <w:r>
            <w:rPr>
              <w:rFonts w:hint="eastAsia" w:ascii="仿宋" w:hAnsi="仿宋" w:eastAsia="仿宋" w:cs="仿宋"/>
              <w:sz w:val="24"/>
            </w:rPr>
            <w:fldChar w:fldCharType="separate"/>
          </w:r>
          <w:r>
            <w:rPr>
              <w:rFonts w:hint="eastAsia" w:ascii="仿宋" w:hAnsi="仿宋" w:eastAsia="仿宋" w:cs="仿宋"/>
              <w:sz w:val="24"/>
            </w:rPr>
            <w:t>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"_Toc1370" </w:instrText>
          </w:r>
          <w:r>
            <w:fldChar w:fldCharType="separate"/>
          </w:r>
          <w:r>
            <w:rPr>
              <w:rFonts w:hint="eastAsia" w:ascii="仿宋" w:hAnsi="仿宋" w:eastAsia="仿宋" w:cs="仿宋"/>
              <w:sz w:val="24"/>
            </w:rPr>
            <w:t>第二部分 竞争性磋商流程</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_Toc1370 \h </w:instrText>
          </w:r>
          <w:r>
            <w:rPr>
              <w:rFonts w:hint="eastAsia" w:ascii="仿宋" w:hAnsi="仿宋" w:eastAsia="仿宋" w:cs="仿宋"/>
              <w:sz w:val="24"/>
            </w:rPr>
            <w:fldChar w:fldCharType="separate"/>
          </w:r>
          <w:r>
            <w:rPr>
              <w:rFonts w:hint="eastAsia" w:ascii="仿宋" w:hAnsi="仿宋" w:eastAsia="仿宋" w:cs="仿宋"/>
              <w:sz w:val="24"/>
            </w:rPr>
            <w:t>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"_Toc3754" </w:instrText>
          </w:r>
          <w:r>
            <w:fldChar w:fldCharType="separate"/>
          </w:r>
          <w:r>
            <w:rPr>
              <w:rFonts w:hint="eastAsia" w:ascii="仿宋" w:hAnsi="仿宋" w:eastAsia="仿宋" w:cs="仿宋"/>
              <w:sz w:val="24"/>
            </w:rPr>
            <w:t>第三部分  供应商须知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_Toc3754 \h </w:instrText>
          </w:r>
          <w:r>
            <w:rPr>
              <w:rFonts w:hint="eastAsia" w:ascii="仿宋" w:hAnsi="仿宋" w:eastAsia="仿宋" w:cs="仿宋"/>
              <w:sz w:val="24"/>
            </w:rPr>
            <w:fldChar w:fldCharType="separate"/>
          </w:r>
          <w:r>
            <w:rPr>
              <w:rFonts w:hint="eastAsia" w:ascii="仿宋" w:hAnsi="仿宋" w:eastAsia="仿宋" w:cs="仿宋"/>
              <w:sz w:val="24"/>
            </w:rPr>
            <w:t>10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"_Toc32324" </w:instrText>
          </w:r>
          <w:r>
            <w:fldChar w:fldCharType="separate"/>
          </w:r>
          <w:r>
            <w:rPr>
              <w:rFonts w:hint="eastAsia" w:ascii="仿宋" w:hAnsi="仿宋" w:eastAsia="仿宋" w:cs="仿宋"/>
              <w:sz w:val="24"/>
            </w:rPr>
            <w:t>一、前附表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_Toc32324 \h </w:instrText>
          </w:r>
          <w:r>
            <w:rPr>
              <w:rFonts w:hint="eastAsia" w:ascii="仿宋" w:hAnsi="仿宋" w:eastAsia="仿宋" w:cs="仿宋"/>
              <w:sz w:val="24"/>
            </w:rPr>
            <w:fldChar w:fldCharType="separate"/>
          </w:r>
          <w:r>
            <w:rPr>
              <w:rFonts w:hint="eastAsia" w:ascii="仿宋" w:hAnsi="仿宋" w:eastAsia="仿宋" w:cs="仿宋"/>
              <w:sz w:val="24"/>
            </w:rPr>
            <w:t>10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"_Toc22917" </w:instrText>
          </w:r>
          <w:r>
            <w:fldChar w:fldCharType="separate"/>
          </w:r>
          <w:r>
            <w:rPr>
              <w:rFonts w:hint="eastAsia" w:ascii="仿宋" w:hAnsi="仿宋" w:eastAsia="仿宋" w:cs="仿宋"/>
              <w:sz w:val="24"/>
            </w:rPr>
            <w:t>二、总则</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_Toc22917 \h </w:instrText>
          </w:r>
          <w:r>
            <w:rPr>
              <w:rFonts w:hint="eastAsia" w:ascii="仿宋" w:hAnsi="仿宋" w:eastAsia="仿宋" w:cs="仿宋"/>
              <w:sz w:val="24"/>
            </w:rPr>
            <w:fldChar w:fldCharType="separate"/>
          </w:r>
          <w:r>
            <w:rPr>
              <w:rFonts w:hint="eastAsia" w:ascii="仿宋" w:hAnsi="仿宋" w:eastAsia="仿宋" w:cs="仿宋"/>
              <w:sz w:val="24"/>
            </w:rPr>
            <w:t>17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"_Toc9095" </w:instrText>
          </w:r>
          <w:r>
            <w:fldChar w:fldCharType="separate"/>
          </w:r>
          <w:r>
            <w:rPr>
              <w:rFonts w:hint="eastAsia" w:ascii="仿宋" w:hAnsi="仿宋" w:eastAsia="仿宋" w:cs="仿宋"/>
              <w:sz w:val="24"/>
            </w:rPr>
            <w:t>三、磋商文件构成、修改、解释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_Toc9095 \h </w:instrText>
          </w:r>
          <w:r>
            <w:rPr>
              <w:rFonts w:hint="eastAsia" w:ascii="仿宋" w:hAnsi="仿宋" w:eastAsia="仿宋" w:cs="仿宋"/>
              <w:sz w:val="24"/>
            </w:rPr>
            <w:fldChar w:fldCharType="separate"/>
          </w:r>
          <w:r>
            <w:rPr>
              <w:rFonts w:hint="eastAsia" w:ascii="仿宋" w:hAnsi="仿宋" w:eastAsia="仿宋" w:cs="仿宋"/>
              <w:sz w:val="24"/>
            </w:rPr>
            <w:t>21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"_Toc25694" </w:instrText>
          </w:r>
          <w:r>
            <w:fldChar w:fldCharType="separate"/>
          </w:r>
          <w:r>
            <w:rPr>
              <w:rFonts w:hint="eastAsia" w:ascii="仿宋" w:hAnsi="仿宋" w:eastAsia="仿宋" w:cs="仿宋"/>
              <w:sz w:val="24"/>
            </w:rPr>
            <w:t>四、响应文件的编制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_Toc25694 \h </w:instrText>
          </w:r>
          <w:r>
            <w:rPr>
              <w:rFonts w:hint="eastAsia" w:ascii="仿宋" w:hAnsi="仿宋" w:eastAsia="仿宋" w:cs="仿宋"/>
              <w:sz w:val="24"/>
            </w:rPr>
            <w:fldChar w:fldCharType="separate"/>
          </w:r>
          <w:r>
            <w:rPr>
              <w:rFonts w:hint="eastAsia" w:ascii="仿宋" w:hAnsi="仿宋" w:eastAsia="仿宋" w:cs="仿宋"/>
              <w:sz w:val="24"/>
            </w:rPr>
            <w:t>22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"_Toc28341" </w:instrText>
          </w:r>
          <w:r>
            <w:fldChar w:fldCharType="separate"/>
          </w:r>
          <w:r>
            <w:rPr>
              <w:rFonts w:hint="eastAsia" w:ascii="仿宋" w:hAnsi="仿宋" w:eastAsia="仿宋" w:cs="仿宋"/>
              <w:sz w:val="24"/>
            </w:rPr>
            <w:t>五、响应文件的提交和备份</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_Toc28341 \h </w:instrText>
          </w:r>
          <w:r>
            <w:rPr>
              <w:rFonts w:hint="eastAsia" w:ascii="仿宋" w:hAnsi="仿宋" w:eastAsia="仿宋" w:cs="仿宋"/>
              <w:sz w:val="24"/>
            </w:rPr>
            <w:fldChar w:fldCharType="separate"/>
          </w:r>
          <w:r>
            <w:rPr>
              <w:rFonts w:hint="eastAsia" w:ascii="仿宋" w:hAnsi="仿宋" w:eastAsia="仿宋" w:cs="仿宋"/>
              <w:sz w:val="24"/>
            </w:rPr>
            <w:t>24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"_Toc11464" </w:instrText>
          </w:r>
          <w:r>
            <w:fldChar w:fldCharType="separate"/>
          </w:r>
          <w:r>
            <w:rPr>
              <w:rFonts w:hint="eastAsia" w:ascii="仿宋" w:hAnsi="仿宋" w:eastAsia="仿宋" w:cs="仿宋"/>
              <w:sz w:val="24"/>
            </w:rPr>
            <w:t>六、开启响应文件、资格审查与信用信息查询</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_Toc11464 \h </w:instrText>
          </w:r>
          <w:r>
            <w:rPr>
              <w:rFonts w:hint="eastAsia" w:ascii="仿宋" w:hAnsi="仿宋" w:eastAsia="仿宋" w:cs="仿宋"/>
              <w:sz w:val="24"/>
            </w:rPr>
            <w:fldChar w:fldCharType="separate"/>
          </w:r>
          <w:r>
            <w:rPr>
              <w:rFonts w:hint="eastAsia" w:ascii="仿宋" w:hAnsi="仿宋" w:eastAsia="仿宋" w:cs="仿宋"/>
              <w:sz w:val="24"/>
            </w:rPr>
            <w:t>25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"_Toc20533" </w:instrText>
          </w:r>
          <w:r>
            <w:fldChar w:fldCharType="separate"/>
          </w:r>
          <w:r>
            <w:rPr>
              <w:rFonts w:hint="eastAsia" w:ascii="仿宋" w:hAnsi="仿宋" w:eastAsia="仿宋" w:cs="仿宋"/>
              <w:sz w:val="24"/>
            </w:rPr>
            <w:t>七、提交最后报价</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_Toc20533 \h </w:instrText>
          </w:r>
          <w:r>
            <w:rPr>
              <w:rFonts w:hint="eastAsia" w:ascii="仿宋" w:hAnsi="仿宋" w:eastAsia="仿宋" w:cs="仿宋"/>
              <w:sz w:val="24"/>
            </w:rPr>
            <w:fldChar w:fldCharType="separate"/>
          </w:r>
          <w:r>
            <w:rPr>
              <w:rFonts w:hint="eastAsia" w:ascii="仿宋" w:hAnsi="仿宋" w:eastAsia="仿宋" w:cs="仿宋"/>
              <w:sz w:val="24"/>
            </w:rPr>
            <w:t>29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"_Toc11819" </w:instrText>
          </w:r>
          <w:r>
            <w:fldChar w:fldCharType="separate"/>
          </w:r>
          <w:r>
            <w:rPr>
              <w:rFonts w:hint="eastAsia" w:ascii="仿宋" w:hAnsi="仿宋" w:eastAsia="仿宋" w:cs="仿宋"/>
              <w:sz w:val="24"/>
            </w:rPr>
            <w:t>八、评审</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_Toc11819 \h </w:instrText>
          </w:r>
          <w:r>
            <w:rPr>
              <w:rFonts w:hint="eastAsia" w:ascii="仿宋" w:hAnsi="仿宋" w:eastAsia="仿宋" w:cs="仿宋"/>
              <w:sz w:val="24"/>
            </w:rPr>
            <w:fldChar w:fldCharType="separate"/>
          </w:r>
          <w:r>
            <w:rPr>
              <w:rFonts w:hint="eastAsia" w:ascii="仿宋" w:hAnsi="仿宋" w:eastAsia="仿宋" w:cs="仿宋"/>
              <w:sz w:val="24"/>
            </w:rPr>
            <w:t>29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"_Toc22532" </w:instrText>
          </w:r>
          <w:r>
            <w:fldChar w:fldCharType="separate"/>
          </w:r>
          <w:r>
            <w:rPr>
              <w:rFonts w:hint="eastAsia" w:ascii="仿宋" w:hAnsi="仿宋" w:eastAsia="仿宋" w:cs="仿宋"/>
              <w:sz w:val="24"/>
            </w:rPr>
            <w:t>九、成交</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_Toc22532 \h </w:instrText>
          </w:r>
          <w:r>
            <w:rPr>
              <w:rFonts w:hint="eastAsia" w:ascii="仿宋" w:hAnsi="仿宋" w:eastAsia="仿宋" w:cs="仿宋"/>
              <w:sz w:val="24"/>
            </w:rPr>
            <w:fldChar w:fldCharType="separate"/>
          </w:r>
          <w:r>
            <w:rPr>
              <w:rFonts w:hint="eastAsia" w:ascii="仿宋" w:hAnsi="仿宋" w:eastAsia="仿宋" w:cs="仿宋"/>
              <w:sz w:val="24"/>
            </w:rPr>
            <w:t>30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"_Toc31224" </w:instrText>
          </w:r>
          <w:r>
            <w:fldChar w:fldCharType="separate"/>
          </w:r>
          <w:r>
            <w:rPr>
              <w:rFonts w:hint="eastAsia" w:ascii="仿宋" w:hAnsi="仿宋" w:eastAsia="仿宋" w:cs="仿宋"/>
              <w:sz w:val="24"/>
            </w:rPr>
            <w:t>十二、合同授予</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_Toc31224 \h </w:instrText>
          </w:r>
          <w:r>
            <w:rPr>
              <w:rFonts w:hint="eastAsia" w:ascii="仿宋" w:hAnsi="仿宋" w:eastAsia="仿宋" w:cs="仿宋"/>
              <w:sz w:val="24"/>
            </w:rPr>
            <w:fldChar w:fldCharType="separate"/>
          </w:r>
          <w:r>
            <w:rPr>
              <w:rFonts w:hint="eastAsia" w:ascii="仿宋" w:hAnsi="仿宋" w:eastAsia="仿宋" w:cs="仿宋"/>
              <w:sz w:val="24"/>
            </w:rPr>
            <w:t>30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"_Toc13710" </w:instrText>
          </w:r>
          <w:r>
            <w:fldChar w:fldCharType="separate"/>
          </w:r>
          <w:r>
            <w:rPr>
              <w:rFonts w:hint="eastAsia" w:ascii="仿宋" w:hAnsi="仿宋" w:eastAsia="仿宋" w:cs="仿宋"/>
              <w:sz w:val="24"/>
            </w:rPr>
            <w:t>十三、电子交易活动的中止</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_Toc13710 \h </w:instrText>
          </w:r>
          <w:r>
            <w:rPr>
              <w:rFonts w:hint="eastAsia" w:ascii="仿宋" w:hAnsi="仿宋" w:eastAsia="仿宋" w:cs="仿宋"/>
              <w:sz w:val="24"/>
            </w:rPr>
            <w:fldChar w:fldCharType="separate"/>
          </w:r>
          <w:r>
            <w:rPr>
              <w:rFonts w:hint="eastAsia" w:ascii="仿宋" w:hAnsi="仿宋" w:eastAsia="仿宋" w:cs="仿宋"/>
              <w:sz w:val="24"/>
            </w:rPr>
            <w:t>31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"_Toc24231" </w:instrText>
          </w:r>
          <w:r>
            <w:fldChar w:fldCharType="separate"/>
          </w:r>
          <w:r>
            <w:rPr>
              <w:rFonts w:hint="eastAsia" w:ascii="仿宋" w:hAnsi="仿宋" w:eastAsia="仿宋" w:cs="仿宋"/>
              <w:sz w:val="24"/>
            </w:rPr>
            <w:t>十四、验收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_Toc24231 \h </w:instrText>
          </w:r>
          <w:r>
            <w:rPr>
              <w:rFonts w:hint="eastAsia" w:ascii="仿宋" w:hAnsi="仿宋" w:eastAsia="仿宋" w:cs="仿宋"/>
              <w:sz w:val="24"/>
            </w:rPr>
            <w:fldChar w:fldCharType="separate"/>
          </w:r>
          <w:r>
            <w:rPr>
              <w:rFonts w:hint="eastAsia" w:ascii="仿宋" w:hAnsi="仿宋" w:eastAsia="仿宋" w:cs="仿宋"/>
              <w:sz w:val="24"/>
            </w:rPr>
            <w:t>32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"_Toc20290" </w:instrText>
          </w:r>
          <w:r>
            <w:fldChar w:fldCharType="separate"/>
          </w:r>
          <w:r>
            <w:rPr>
              <w:rFonts w:hint="eastAsia" w:ascii="仿宋" w:hAnsi="仿宋" w:eastAsia="仿宋" w:cs="仿宋"/>
              <w:sz w:val="24"/>
            </w:rPr>
            <w:t>第四部分  采购需求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_Toc20290 \h </w:instrText>
          </w:r>
          <w:r>
            <w:rPr>
              <w:rFonts w:hint="eastAsia" w:ascii="仿宋" w:hAnsi="仿宋" w:eastAsia="仿宋" w:cs="仿宋"/>
              <w:sz w:val="24"/>
            </w:rPr>
            <w:fldChar w:fldCharType="separate"/>
          </w:r>
          <w:r>
            <w:rPr>
              <w:rFonts w:hint="eastAsia" w:ascii="仿宋" w:hAnsi="仿宋" w:eastAsia="仿宋" w:cs="仿宋"/>
              <w:sz w:val="24"/>
            </w:rPr>
            <w:t>33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"_Toc31602" </w:instrText>
          </w:r>
          <w:r>
            <w:fldChar w:fldCharType="separate"/>
          </w:r>
          <w:r>
            <w:rPr>
              <w:rFonts w:hint="eastAsia" w:ascii="仿宋" w:hAnsi="仿宋" w:eastAsia="仿宋" w:cs="仿宋"/>
              <w:sz w:val="24"/>
            </w:rPr>
            <w:t>第五部分  评审方法及评审标准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_Toc31602 \h </w:instrText>
          </w:r>
          <w:r>
            <w:rPr>
              <w:rFonts w:hint="eastAsia" w:ascii="仿宋" w:hAnsi="仿宋" w:eastAsia="仿宋" w:cs="仿宋"/>
              <w:sz w:val="24"/>
            </w:rPr>
            <w:fldChar w:fldCharType="separate"/>
          </w:r>
          <w:r>
            <w:rPr>
              <w:rFonts w:hint="eastAsia"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"_Toc30667" </w:instrText>
          </w:r>
          <w:r>
            <w:fldChar w:fldCharType="separate"/>
          </w:r>
          <w:r>
            <w:rPr>
              <w:rFonts w:hint="eastAsia" w:ascii="仿宋" w:hAnsi="仿宋" w:eastAsia="仿宋" w:cs="仿宋"/>
              <w:sz w:val="24"/>
            </w:rPr>
            <w:t>评标办法前附表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_Toc30667 \h </w:instrText>
          </w:r>
          <w:r>
            <w:rPr>
              <w:rFonts w:hint="eastAsia" w:ascii="仿宋" w:hAnsi="仿宋" w:eastAsia="仿宋" w:cs="仿宋"/>
              <w:sz w:val="24"/>
            </w:rPr>
            <w:fldChar w:fldCharType="separate"/>
          </w:r>
          <w:r>
            <w:rPr>
              <w:rFonts w:hint="eastAsia"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"_Toc20273" </w:instrText>
          </w:r>
          <w:r>
            <w:fldChar w:fldCharType="separate"/>
          </w:r>
          <w:r>
            <w:rPr>
              <w:rFonts w:hint="eastAsia" w:ascii="仿宋" w:hAnsi="仿宋" w:eastAsia="仿宋" w:cs="仿宋"/>
              <w:sz w:val="24"/>
            </w:rPr>
            <w:t>一、 评审方法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_Toc20273 \h </w:instrText>
          </w:r>
          <w:r>
            <w:rPr>
              <w:rFonts w:hint="eastAsia" w:ascii="仿宋" w:hAnsi="仿宋" w:eastAsia="仿宋" w:cs="仿宋"/>
              <w:sz w:val="24"/>
            </w:rPr>
            <w:fldChar w:fldCharType="separate"/>
          </w:r>
          <w:r>
            <w:rPr>
              <w:rFonts w:hint="eastAsia" w:ascii="仿宋" w:hAnsi="仿宋" w:eastAsia="仿宋" w:cs="仿宋"/>
              <w:sz w:val="24"/>
            </w:rPr>
            <w:t>42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"_Toc13850" </w:instrText>
          </w:r>
          <w:r>
            <w:fldChar w:fldCharType="separate"/>
          </w:r>
          <w:r>
            <w:rPr>
              <w:rFonts w:hint="eastAsia" w:ascii="仿宋" w:hAnsi="仿宋" w:eastAsia="仿宋" w:cs="仿宋"/>
              <w:sz w:val="24"/>
            </w:rPr>
            <w:t>二、 评标标准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_Toc13850 \h </w:instrText>
          </w:r>
          <w:r>
            <w:rPr>
              <w:rFonts w:hint="eastAsia" w:ascii="仿宋" w:hAnsi="仿宋" w:eastAsia="仿宋" w:cs="仿宋"/>
              <w:sz w:val="24"/>
            </w:rPr>
            <w:fldChar w:fldCharType="separate"/>
          </w:r>
          <w:r>
            <w:rPr>
              <w:rFonts w:hint="eastAsia" w:ascii="仿宋" w:hAnsi="仿宋" w:eastAsia="仿宋" w:cs="仿宋"/>
              <w:sz w:val="24"/>
            </w:rPr>
            <w:t>42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"_Toc704" </w:instrText>
          </w:r>
          <w:r>
            <w:fldChar w:fldCharType="separate"/>
          </w:r>
          <w:r>
            <w:rPr>
              <w:rFonts w:hint="eastAsia" w:ascii="仿宋" w:hAnsi="仿宋" w:eastAsia="仿宋" w:cs="仿宋"/>
              <w:sz w:val="24"/>
            </w:rPr>
            <w:t>三、 磋商小组的组成</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_Toc704 \h </w:instrText>
          </w:r>
          <w:r>
            <w:rPr>
              <w:rFonts w:hint="eastAsia" w:ascii="仿宋" w:hAnsi="仿宋" w:eastAsia="仿宋" w:cs="仿宋"/>
              <w:sz w:val="24"/>
            </w:rPr>
            <w:fldChar w:fldCharType="separate"/>
          </w:r>
          <w:r>
            <w:rPr>
              <w:rFonts w:hint="eastAsia" w:ascii="仿宋" w:hAnsi="仿宋" w:eastAsia="仿宋" w:cs="仿宋"/>
              <w:sz w:val="24"/>
            </w:rPr>
            <w:t>42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"_Toc32413" </w:instrText>
          </w:r>
          <w:r>
            <w:fldChar w:fldCharType="separate"/>
          </w:r>
          <w:r>
            <w:rPr>
              <w:rFonts w:hint="eastAsia" w:ascii="仿宋" w:hAnsi="仿宋" w:eastAsia="仿宋" w:cs="仿宋"/>
              <w:sz w:val="24"/>
            </w:rPr>
            <w:t>四、 磋商小组的职责</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_Toc32413 \h </w:instrText>
          </w:r>
          <w:r>
            <w:rPr>
              <w:rFonts w:hint="eastAsia" w:ascii="仿宋" w:hAnsi="仿宋" w:eastAsia="仿宋" w:cs="仿宋"/>
              <w:sz w:val="24"/>
            </w:rPr>
            <w:fldChar w:fldCharType="separate"/>
          </w:r>
          <w:r>
            <w:rPr>
              <w:rFonts w:hint="eastAsia" w:ascii="仿宋" w:hAnsi="仿宋" w:eastAsia="仿宋" w:cs="仿宋"/>
              <w:sz w:val="24"/>
            </w:rPr>
            <w:t>42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"_Toc29645" </w:instrText>
          </w:r>
          <w:r>
            <w:fldChar w:fldCharType="separate"/>
          </w:r>
          <w:r>
            <w:rPr>
              <w:rFonts w:hint="eastAsia" w:ascii="仿宋" w:hAnsi="仿宋" w:eastAsia="仿宋" w:cs="仿宋"/>
              <w:sz w:val="24"/>
            </w:rPr>
            <w:t>五、 评审程序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_Toc29645 \h </w:instrText>
          </w:r>
          <w:r>
            <w:rPr>
              <w:rFonts w:hint="eastAsia" w:ascii="仿宋" w:hAnsi="仿宋" w:eastAsia="仿宋" w:cs="仿宋"/>
              <w:sz w:val="24"/>
            </w:rPr>
            <w:fldChar w:fldCharType="separate"/>
          </w:r>
          <w:r>
            <w:rPr>
              <w:rFonts w:hint="eastAsia" w:ascii="仿宋" w:hAnsi="仿宋" w:eastAsia="仿宋" w:cs="仿宋"/>
              <w:sz w:val="24"/>
            </w:rPr>
            <w:t>43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"_Toc28505" </w:instrText>
          </w:r>
          <w:r>
            <w:fldChar w:fldCharType="separate"/>
          </w:r>
          <w:r>
            <w:rPr>
              <w:rFonts w:hint="eastAsia" w:ascii="仿宋" w:hAnsi="仿宋" w:eastAsia="仿宋" w:cs="仿宋"/>
              <w:sz w:val="24"/>
            </w:rPr>
            <w:t>六、 评标中的其他事项</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_Toc28505 \h </w:instrText>
          </w:r>
          <w:r>
            <w:rPr>
              <w:rFonts w:hint="eastAsia" w:ascii="仿宋" w:hAnsi="仿宋" w:eastAsia="仿宋" w:cs="仿宋"/>
              <w:sz w:val="24"/>
            </w:rPr>
            <w:fldChar w:fldCharType="separate"/>
          </w:r>
          <w:r>
            <w:rPr>
              <w:rFonts w:hint="eastAsia" w:ascii="仿宋" w:hAnsi="仿宋" w:eastAsia="仿宋" w:cs="仿宋"/>
              <w:sz w:val="24"/>
            </w:rPr>
            <w:t>43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"_Toc27407" </w:instrText>
          </w:r>
          <w:r>
            <w:fldChar w:fldCharType="separate"/>
          </w:r>
          <w:r>
            <w:rPr>
              <w:rFonts w:hint="eastAsia" w:ascii="仿宋" w:hAnsi="仿宋" w:eastAsia="仿宋" w:cs="仿宋"/>
              <w:sz w:val="24"/>
            </w:rPr>
            <w:t>七、 评审过程的保密与录像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_Toc27407 \h </w:instrText>
          </w:r>
          <w:r>
            <w:rPr>
              <w:rFonts w:hint="eastAsia" w:ascii="仿宋" w:hAnsi="仿宋" w:eastAsia="仿宋" w:cs="仿宋"/>
              <w:sz w:val="24"/>
            </w:rPr>
            <w:fldChar w:fldCharType="separate"/>
          </w:r>
          <w:r>
            <w:rPr>
              <w:rFonts w:hint="eastAsia" w:ascii="仿宋" w:hAnsi="仿宋" w:eastAsia="仿宋" w:cs="仿宋"/>
              <w:sz w:val="24"/>
            </w:rPr>
            <w:t>45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"_Toc28107" </w:instrText>
          </w:r>
          <w:r>
            <w:fldChar w:fldCharType="separate"/>
          </w:r>
          <w:r>
            <w:rPr>
              <w:rFonts w:hint="eastAsia" w:ascii="仿宋" w:hAnsi="仿宋" w:eastAsia="仿宋" w:cs="仿宋"/>
              <w:sz w:val="24"/>
            </w:rPr>
            <w:t>第六部分  拟签订的合同文本</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_Toc28107 \h </w:instrText>
          </w:r>
          <w:r>
            <w:rPr>
              <w:rFonts w:hint="eastAsia" w:ascii="仿宋" w:hAnsi="仿宋" w:eastAsia="仿宋" w:cs="仿宋"/>
              <w:sz w:val="24"/>
            </w:rPr>
            <w:fldChar w:fldCharType="separate"/>
          </w:r>
          <w:r>
            <w:rPr>
              <w:rFonts w:hint="eastAsia" w:ascii="仿宋" w:hAnsi="仿宋" w:eastAsia="仿宋" w:cs="仿宋"/>
              <w:sz w:val="24"/>
            </w:rPr>
            <w:t>47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"_Toc303" </w:instrText>
          </w:r>
          <w:r>
            <w:fldChar w:fldCharType="separate"/>
          </w:r>
          <w:r>
            <w:rPr>
              <w:rFonts w:hint="eastAsia" w:ascii="仿宋" w:hAnsi="仿宋" w:eastAsia="仿宋" w:cs="仿宋"/>
              <w:sz w:val="24"/>
            </w:rPr>
            <w:t>第七部分  应提交的有关格式范例</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_Toc303 \h </w:instrText>
          </w:r>
          <w:r>
            <w:rPr>
              <w:rFonts w:hint="eastAsia" w:ascii="仿宋" w:hAnsi="仿宋" w:eastAsia="仿宋" w:cs="仿宋"/>
              <w:sz w:val="24"/>
            </w:rPr>
            <w:fldChar w:fldCharType="separate"/>
          </w:r>
          <w:r>
            <w:rPr>
              <w:rFonts w:hint="eastAsia" w:ascii="仿宋" w:hAnsi="仿宋" w:eastAsia="仿宋" w:cs="仿宋"/>
              <w:sz w:val="24"/>
            </w:rPr>
            <w:t>79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"_Toc15534" </w:instrText>
          </w:r>
          <w:r>
            <w:fldChar w:fldCharType="separate"/>
          </w:r>
          <w:r>
            <w:rPr>
              <w:rFonts w:hint="eastAsia" w:ascii="仿宋" w:hAnsi="仿宋" w:eastAsia="仿宋" w:cs="仿宋"/>
              <w:kern w:val="0"/>
              <w:sz w:val="24"/>
            </w:rPr>
            <w:t>资格文件部分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_Toc15534 \h </w:instrText>
          </w:r>
          <w:r>
            <w:rPr>
              <w:rFonts w:hint="eastAsia" w:ascii="仿宋" w:hAnsi="仿宋" w:eastAsia="仿宋" w:cs="仿宋"/>
              <w:sz w:val="24"/>
            </w:rPr>
            <w:fldChar w:fldCharType="separate"/>
          </w:r>
          <w:r>
            <w:rPr>
              <w:rFonts w:hint="eastAsia" w:ascii="仿宋" w:hAnsi="仿宋" w:eastAsia="仿宋" w:cs="仿宋"/>
              <w:sz w:val="24"/>
            </w:rPr>
            <w:t>79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"_Toc4067" </w:instrText>
          </w:r>
          <w:r>
            <w:fldChar w:fldCharType="separate"/>
          </w:r>
          <w:r>
            <w:rPr>
              <w:rFonts w:hint="eastAsia" w:ascii="仿宋" w:hAnsi="仿宋" w:eastAsia="仿宋" w:cs="仿宋"/>
              <w:kern w:val="0"/>
              <w:sz w:val="24"/>
            </w:rPr>
            <w:t>商务技术文件部分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_Toc4067 \h </w:instrText>
          </w:r>
          <w:r>
            <w:rPr>
              <w:rFonts w:hint="eastAsia" w:ascii="仿宋" w:hAnsi="仿宋" w:eastAsia="仿宋" w:cs="仿宋"/>
              <w:sz w:val="24"/>
            </w:rPr>
            <w:fldChar w:fldCharType="separate"/>
          </w:r>
          <w:r>
            <w:rPr>
              <w:rFonts w:hint="eastAsia" w:ascii="仿宋" w:hAnsi="仿宋" w:eastAsia="仿宋" w:cs="仿宋"/>
              <w:sz w:val="24"/>
            </w:rPr>
            <w:t>89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"_Toc17614" </w:instrText>
          </w:r>
          <w:r>
            <w:fldChar w:fldCharType="separate"/>
          </w:r>
          <w:r>
            <w:rPr>
              <w:rFonts w:hint="eastAsia" w:ascii="仿宋" w:hAnsi="仿宋" w:eastAsia="仿宋" w:cs="仿宋"/>
              <w:kern w:val="0"/>
              <w:sz w:val="24"/>
            </w:rPr>
            <w:t>报价文件部分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_Toc17614 \h </w:instrText>
          </w:r>
          <w:r>
            <w:rPr>
              <w:rFonts w:hint="eastAsia" w:ascii="仿宋" w:hAnsi="仿宋" w:eastAsia="仿宋" w:cs="仿宋"/>
              <w:sz w:val="24"/>
            </w:rPr>
            <w:fldChar w:fldCharType="separate"/>
          </w:r>
          <w:r>
            <w:rPr>
              <w:rFonts w:hint="eastAsia" w:ascii="仿宋" w:hAnsi="仿宋" w:eastAsia="仿宋" w:cs="仿宋"/>
              <w:sz w:val="24"/>
            </w:rPr>
            <w:t>95</w:t>
          </w:r>
          <w:r>
            <w:rPr>
              <w:rFonts w:hint="eastAsia" w:ascii="仿宋" w:hAnsi="仿宋" w:eastAsia="仿宋" w:cs="仿宋"/>
              <w:sz w:val="24"/>
            </w:rPr>
            <w:fldChar w:fldCharType="end"/>
          </w:r>
          <w:r>
            <w:rPr>
              <w:rFonts w:hint="eastAsia" w:ascii="仿宋" w:hAnsi="仿宋" w:eastAsia="仿宋" w:cs="仿宋"/>
              <w:sz w:val="24"/>
            </w:rPr>
            <w:fldChar w:fldCharType="end"/>
          </w:r>
        </w:p>
        <w:p>
          <w:pPr>
            <w:spacing w:line="312" w:lineRule="auto"/>
            <w:ind w:firstLine="549" w:firstLineChars="229"/>
            <w:rPr>
              <w:rFonts w:ascii="仿宋_GB2312" w:hAnsi="仿宋_GB2312" w:eastAsia="仿宋_GB2312" w:cs="仿宋_GB2312"/>
              <w:sz w:val="24"/>
            </w:rPr>
          </w:pPr>
          <w:r>
            <w:rPr>
              <w:rFonts w:hint="eastAsia" w:ascii="仿宋" w:hAnsi="仿宋" w:eastAsia="仿宋" w:cs="仿宋"/>
              <w:sz w:val="24"/>
            </w:rPr>
            <w:fldChar w:fldCharType="end"/>
          </w:r>
        </w:p>
      </w:sdtContent>
    </w:sdt>
    <w:p>
      <w:pPr>
        <w:spacing w:line="360" w:lineRule="auto"/>
        <w:ind w:firstLine="549" w:firstLineChars="229"/>
        <w:rPr>
          <w:rFonts w:ascii="仿宋_GB2312" w:hAnsi="仿宋_GB2312" w:eastAsia="仿宋_GB2312" w:cs="仿宋_GB2312"/>
          <w:sz w:val="24"/>
        </w:rPr>
      </w:pPr>
    </w:p>
    <w:bookmarkEnd w:id="1"/>
    <w:p>
      <w:pPr>
        <w:adjustRightInd/>
        <w:spacing w:line="360" w:lineRule="auto"/>
        <w:jc w:val="center"/>
        <w:outlineLvl w:val="0"/>
        <w:rPr>
          <w:rFonts w:ascii="仿宋_GB2312" w:hAnsi="仿宋_GB2312" w:eastAsia="仿宋_GB2312" w:cs="仿宋_GB2312"/>
          <w:b/>
          <w:sz w:val="36"/>
          <w:szCs w:val="20"/>
        </w:rPr>
      </w:pPr>
      <w:bookmarkStart w:id="2" w:name="_Hlt74728647"/>
      <w:bookmarkEnd w:id="2"/>
      <w:bookmarkStart w:id="3" w:name="_Hlt74729822"/>
      <w:bookmarkEnd w:id="3"/>
      <w:bookmarkStart w:id="4" w:name="_Hlt74707423"/>
      <w:bookmarkEnd w:id="4"/>
      <w:bookmarkStart w:id="5" w:name="_Hlt74649545"/>
      <w:bookmarkEnd w:id="5"/>
      <w:bookmarkStart w:id="6" w:name="_Toc3829"/>
      <w:bookmarkStart w:id="7" w:name="第二部分"/>
      <w:bookmarkStart w:id="8" w:name="_Toc91899870"/>
      <w:bookmarkStart w:id="9" w:name="_Toc91899871"/>
      <w:r>
        <w:rPr>
          <w:rFonts w:hint="eastAsia" w:ascii="仿宋_GB2312" w:hAnsi="仿宋_GB2312" w:eastAsia="仿宋_GB2312" w:cs="仿宋_GB2312"/>
          <w:b/>
          <w:sz w:val="36"/>
          <w:szCs w:val="20"/>
        </w:rPr>
        <w:t>第一部分  邀请供应商</w:t>
      </w:r>
      <w:bookmarkEnd w:id="6"/>
    </w:p>
    <w:p>
      <w:pPr>
        <w:adjustRightInd/>
        <w:spacing w:line="360" w:lineRule="auto"/>
        <w:jc w:val="center"/>
        <w:outlineLvl w:val="0"/>
        <w:rPr>
          <w:rFonts w:ascii="仿宋_GB2312" w:hAnsi="仿宋_GB2312" w:eastAsia="仿宋_GB2312" w:cs="仿宋_GB2312"/>
          <w:b/>
          <w:sz w:val="36"/>
          <w:szCs w:val="20"/>
        </w:rPr>
      </w:pPr>
      <w:bookmarkStart w:id="10" w:name="_Toc23245"/>
      <w:r>
        <w:rPr>
          <w:rFonts w:hint="eastAsia" w:ascii="仿宋_GB2312" w:hAnsi="仿宋_GB2312" w:eastAsia="仿宋_GB2312" w:cs="仿宋_GB2312"/>
          <w:b/>
          <w:sz w:val="36"/>
          <w:szCs w:val="20"/>
        </w:rPr>
        <w:t>竞争性磋商公告</w:t>
      </w:r>
      <w:bookmarkEnd w:id="10"/>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150" w:afterAutospacing="0" w:line="360" w:lineRule="auto"/>
        <w:ind w:left="0" w:right="0"/>
        <w:textAlignment w:val="auto"/>
        <w:rPr>
          <w:rFonts w:hint="eastAsia" w:ascii="仿宋" w:hAnsi="仿宋" w:eastAsia="仿宋" w:cs="仿宋"/>
          <w:b/>
          <w:bCs/>
          <w:sz w:val="24"/>
          <w:szCs w:val="24"/>
        </w:rPr>
      </w:pPr>
      <w:r>
        <w:rPr>
          <w:rFonts w:hint="eastAsia" w:ascii="仿宋" w:hAnsi="仿宋" w:eastAsia="仿宋" w:cs="仿宋"/>
          <w:b/>
          <w:bCs/>
          <w:sz w:val="24"/>
          <w:szCs w:val="24"/>
        </w:rPr>
        <w:t>项目概况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i w:val="0"/>
          <w:sz w:val="24"/>
          <w:szCs w:val="24"/>
          <w:lang w:eastAsia="zh-CN"/>
        </w:rPr>
        <w:t>东门片区管委会社区卫生服务中心四楼日间照料中心建设项目</w:t>
      </w:r>
      <w:r>
        <w:rPr>
          <w:rFonts w:hint="eastAsia" w:ascii="仿宋" w:hAnsi="仿宋" w:eastAsia="仿宋" w:cs="仿宋"/>
          <w:sz w:val="24"/>
          <w:szCs w:val="24"/>
        </w:rPr>
        <w:t>采购项目的潜在供应商应在政采云平台线上</w:t>
      </w:r>
      <w:r>
        <w:rPr>
          <w:rFonts w:hint="eastAsia" w:ascii="仿宋" w:hAnsi="仿宋" w:eastAsia="仿宋" w:cs="仿宋"/>
          <w:sz w:val="24"/>
          <w:szCs w:val="24"/>
          <w:highlight w:val="none"/>
        </w:rPr>
        <w:t>获取获取采购文件，并于</w:t>
      </w:r>
      <w:r>
        <w:rPr>
          <w:rFonts w:hint="eastAsia" w:ascii="仿宋" w:hAnsi="仿宋" w:eastAsia="仿宋" w:cs="仿宋"/>
          <w:sz w:val="24"/>
          <w:szCs w:val="24"/>
          <w:highlight w:val="none"/>
          <w:lang w:eastAsia="zh-CN"/>
        </w:rPr>
        <w:t>2023年12月05日11:00 </w:t>
      </w:r>
      <w:r>
        <w:rPr>
          <w:rFonts w:hint="eastAsia" w:ascii="仿宋" w:hAnsi="仿宋" w:eastAsia="仿宋" w:cs="仿宋"/>
          <w:sz w:val="24"/>
          <w:szCs w:val="24"/>
          <w:highlight w:val="none"/>
        </w:rPr>
        <w:t>（北京时间）前提交响应文件。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highlight w:val="none"/>
        </w:rPr>
      </w:pPr>
      <w:r>
        <w:rPr>
          <w:rStyle w:val="64"/>
          <w:rFonts w:hint="eastAsia" w:ascii="仿宋" w:hAnsi="仿宋" w:eastAsia="仿宋" w:cs="仿宋"/>
          <w:sz w:val="24"/>
          <w:szCs w:val="24"/>
          <w:highlight w:val="none"/>
        </w:rPr>
        <w:t>一、项目基本情况</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项目编号：</w:t>
      </w:r>
      <w:r>
        <w:rPr>
          <w:rFonts w:hint="eastAsia" w:ascii="仿宋" w:hAnsi="仿宋" w:eastAsia="仿宋" w:cs="仿宋"/>
          <w:b w:val="0"/>
          <w:i w:val="0"/>
          <w:sz w:val="24"/>
          <w:szCs w:val="24"/>
          <w:highlight w:val="none"/>
          <w:lang w:eastAsia="zh-CN"/>
        </w:rPr>
        <w:t>2023-ZFCG-0089</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项目名称：</w:t>
      </w:r>
      <w:r>
        <w:rPr>
          <w:rFonts w:hint="eastAsia" w:ascii="仿宋" w:hAnsi="仿宋" w:eastAsia="仿宋" w:cs="仿宋"/>
          <w:sz w:val="24"/>
          <w:szCs w:val="24"/>
          <w:highlight w:val="none"/>
          <w:lang w:eastAsia="zh-CN"/>
        </w:rPr>
        <w:t>东门片区管委会社区卫生服务中心四楼日间照料中心建设项目</w:t>
      </w: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采购方式：竞争性磋商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预算金额（元）：</w:t>
      </w:r>
      <w:r>
        <w:rPr>
          <w:rFonts w:hint="eastAsia" w:ascii="仿宋" w:hAnsi="仿宋" w:eastAsia="仿宋" w:cs="仿宋"/>
          <w:sz w:val="24"/>
          <w:szCs w:val="24"/>
          <w:highlight w:val="none"/>
          <w:lang w:val="en-US" w:eastAsia="zh-CN"/>
        </w:rPr>
        <w:t>913865.65</w:t>
      </w:r>
      <w:r>
        <w:rPr>
          <w:rFonts w:hint="eastAsia" w:ascii="仿宋" w:hAnsi="仿宋" w:eastAsia="仿宋" w:cs="仿宋"/>
          <w:sz w:val="24"/>
          <w:szCs w:val="24"/>
          <w:highlight w:val="none"/>
        </w:rPr>
        <w:t>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最高限价（元）：</w:t>
      </w:r>
      <w:r>
        <w:rPr>
          <w:rFonts w:hint="eastAsia" w:ascii="仿宋" w:hAnsi="仿宋" w:eastAsia="仿宋" w:cs="仿宋"/>
          <w:sz w:val="24"/>
          <w:szCs w:val="24"/>
          <w:highlight w:val="none"/>
          <w:lang w:val="en-US" w:eastAsia="zh-CN"/>
        </w:rPr>
        <w:t>913865.65</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采购需求：</w:t>
      </w:r>
      <w:r>
        <w:rPr>
          <w:rFonts w:hint="eastAsia" w:ascii="仿宋" w:hAnsi="仿宋" w:eastAsia="仿宋" w:cs="仿宋"/>
          <w:kern w:val="0"/>
          <w:sz w:val="24"/>
          <w:szCs w:val="24"/>
          <w:highlight w:val="none"/>
          <w:lang w:val="en-US" w:eastAsia="zh-CN" w:bidi="ar"/>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fill="F7F7F7"/>
        </w:rPr>
        <w:t>   标项名称： </w:t>
      </w:r>
      <w:r>
        <w:rPr>
          <w:rStyle w:val="72"/>
          <w:rFonts w:hint="eastAsia" w:ascii="仿宋" w:hAnsi="仿宋" w:eastAsia="仿宋" w:cs="仿宋"/>
          <w:sz w:val="24"/>
          <w:szCs w:val="24"/>
          <w:highlight w:val="none"/>
          <w:shd w:val="clear" w:fill="F7F7F7"/>
          <w:lang w:eastAsia="zh-CN"/>
        </w:rPr>
        <w:t>东门片区管委会社区卫生服务中心四楼日间照料中心建设项目</w:t>
      </w:r>
      <w:r>
        <w:rPr>
          <w:rFonts w:hint="eastAsia" w:ascii="仿宋" w:hAnsi="仿宋" w:eastAsia="仿宋" w:cs="仿宋"/>
          <w:sz w:val="24"/>
          <w:szCs w:val="24"/>
          <w:highlight w:val="none"/>
          <w:shd w:val="clear" w:fill="F7F7F7"/>
        </w:rPr>
        <w:t> </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   数量：不限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预算金额（元）：</w:t>
      </w:r>
      <w:r>
        <w:rPr>
          <w:rFonts w:hint="eastAsia" w:ascii="仿宋" w:hAnsi="仿宋" w:eastAsia="仿宋" w:cs="仿宋"/>
          <w:sz w:val="24"/>
          <w:szCs w:val="24"/>
          <w:highlight w:val="none"/>
          <w:lang w:val="en-US" w:eastAsia="zh-CN"/>
        </w:rPr>
        <w:t>913865.65</w:t>
      </w: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单位：</w:t>
      </w:r>
      <w:r>
        <w:rPr>
          <w:rFonts w:hint="eastAsia" w:ascii="仿宋" w:hAnsi="仿宋" w:eastAsia="仿宋" w:cs="仿宋"/>
          <w:sz w:val="24"/>
          <w:szCs w:val="24"/>
          <w:highlight w:val="none"/>
          <w:lang w:eastAsia="zh-CN"/>
        </w:rPr>
        <w:t>批</w:t>
      </w: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简要规格描述：总建筑面积为945平方米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详见采购文件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备注：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合同履约期限：标项 1，</w:t>
      </w:r>
      <w:r>
        <w:rPr>
          <w:rFonts w:hint="eastAsia" w:ascii="仿宋" w:hAnsi="仿宋" w:eastAsia="仿宋" w:cs="仿宋"/>
          <w:sz w:val="24"/>
          <w:szCs w:val="24"/>
          <w:highlight w:val="none"/>
          <w:lang w:eastAsia="zh-CN"/>
        </w:rPr>
        <w:t>工期</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30</w:t>
      </w:r>
      <w:r>
        <w:rPr>
          <w:rFonts w:hint="eastAsia" w:ascii="仿宋" w:hAnsi="仿宋" w:eastAsia="仿宋" w:cs="仿宋"/>
          <w:snapToGrid w:val="0"/>
          <w:color w:val="000000" w:themeColor="text1"/>
          <w:szCs w:val="24"/>
          <w:highlight w:val="none"/>
          <w:lang w:eastAsia="zh-CN"/>
          <w14:textFill>
            <w14:solidFill>
              <w14:schemeClr w14:val="tx1"/>
            </w14:solidFill>
          </w14:textFill>
        </w:rPr>
        <w:t>日历日</w:t>
      </w: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本项目（否）接受联合体投标。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二、申请人的资格要求：</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2.落实政府采购政策需满足的资格要求：标项1：供应商</w:t>
      </w:r>
      <w:r>
        <w:rPr>
          <w:rFonts w:hint="eastAsia" w:ascii="仿宋" w:hAnsi="仿宋" w:eastAsia="仿宋" w:cs="仿宋"/>
          <w:sz w:val="24"/>
          <w:szCs w:val="24"/>
          <w:lang w:eastAsia="zh-CN"/>
        </w:rPr>
        <w:t>应</w:t>
      </w:r>
      <w:r>
        <w:rPr>
          <w:rFonts w:hint="eastAsia" w:ascii="仿宋" w:hAnsi="仿宋" w:eastAsia="仿宋" w:cs="仿宋"/>
          <w:sz w:val="24"/>
          <w:szCs w:val="24"/>
        </w:rPr>
        <w:t>为小微企业。</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373"/>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3.本项目的特定资格要求：【标项1】</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373"/>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3.1供应商应具备建筑工程施工总承包资质；</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373"/>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3.2供应商应具备有效的安全生产许可证；</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373"/>
        <w:textAlignment w:val="auto"/>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sz w:val="24"/>
          <w:szCs w:val="24"/>
          <w:highlight w:val="none"/>
          <w:lang w:val="en-US" w:eastAsia="zh-CN"/>
        </w:rPr>
        <w:t>3.3 项目负责人须具备建筑工程专业壹级或贰级注册建造师资格，并取得有效的安全生产考核合格证书。</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highlight w:val="none"/>
        </w:rPr>
      </w:pPr>
      <w:r>
        <w:rPr>
          <w:rStyle w:val="64"/>
          <w:rFonts w:hint="eastAsia" w:ascii="仿宋" w:hAnsi="仿宋" w:eastAsia="仿宋" w:cs="仿宋"/>
          <w:sz w:val="24"/>
          <w:szCs w:val="24"/>
          <w:highlight w:val="none"/>
        </w:rPr>
        <w:t>三、获取采购文件</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r>
        <w:rPr>
          <w:rFonts w:hint="eastAsia" w:ascii="仿宋" w:hAnsi="仿宋" w:eastAsia="仿宋" w:cs="仿宋"/>
          <w:sz w:val="24"/>
          <w:szCs w:val="24"/>
          <w:highlight w:val="none"/>
          <w:u w:val="none"/>
        </w:rPr>
        <w:t>时间：2023年</w:t>
      </w:r>
      <w:r>
        <w:rPr>
          <w:rFonts w:hint="eastAsia" w:ascii="仿宋" w:hAnsi="仿宋" w:eastAsia="仿宋" w:cs="仿宋"/>
          <w:sz w:val="24"/>
          <w:szCs w:val="24"/>
          <w:highlight w:val="none"/>
          <w:u w:val="none"/>
          <w:lang w:val="en-US" w:eastAsia="zh-CN"/>
        </w:rPr>
        <w:t>11</w:t>
      </w:r>
      <w:r>
        <w:rPr>
          <w:rFonts w:hint="eastAsia" w:ascii="仿宋" w:hAnsi="仿宋" w:eastAsia="仿宋" w:cs="仿宋"/>
          <w:sz w:val="24"/>
          <w:szCs w:val="24"/>
          <w:highlight w:val="none"/>
          <w:u w:val="none"/>
        </w:rPr>
        <w:t>月</w:t>
      </w:r>
      <w:r>
        <w:rPr>
          <w:rFonts w:hint="eastAsia" w:ascii="仿宋" w:hAnsi="仿宋" w:eastAsia="仿宋" w:cs="仿宋"/>
          <w:sz w:val="24"/>
          <w:szCs w:val="24"/>
          <w:highlight w:val="none"/>
          <w:u w:val="none"/>
          <w:lang w:val="en-US" w:eastAsia="zh-CN"/>
        </w:rPr>
        <w:t>22</w:t>
      </w:r>
      <w:r>
        <w:rPr>
          <w:rFonts w:hint="eastAsia" w:ascii="仿宋" w:hAnsi="仿宋" w:eastAsia="仿宋" w:cs="仿宋"/>
          <w:sz w:val="24"/>
          <w:szCs w:val="24"/>
          <w:highlight w:val="none"/>
          <w:u w:val="none"/>
        </w:rPr>
        <w:t>日至2023年</w:t>
      </w:r>
      <w:r>
        <w:rPr>
          <w:rFonts w:hint="eastAsia" w:ascii="仿宋" w:hAnsi="仿宋" w:eastAsia="仿宋" w:cs="仿宋"/>
          <w:sz w:val="24"/>
          <w:szCs w:val="24"/>
          <w:highlight w:val="none"/>
          <w:u w:val="none"/>
          <w:lang w:val="en-US" w:eastAsia="zh-CN"/>
        </w:rPr>
        <w:t>11</w:t>
      </w:r>
      <w:r>
        <w:rPr>
          <w:rFonts w:hint="eastAsia" w:ascii="仿宋" w:hAnsi="仿宋" w:eastAsia="仿宋" w:cs="仿宋"/>
          <w:sz w:val="24"/>
          <w:szCs w:val="24"/>
          <w:highlight w:val="none"/>
          <w:u w:val="none"/>
        </w:rPr>
        <w:t>月</w:t>
      </w:r>
      <w:r>
        <w:rPr>
          <w:rFonts w:hint="eastAsia" w:ascii="仿宋" w:hAnsi="仿宋" w:eastAsia="仿宋" w:cs="仿宋"/>
          <w:sz w:val="24"/>
          <w:szCs w:val="24"/>
          <w:highlight w:val="none"/>
          <w:u w:val="none"/>
          <w:lang w:val="en-US" w:eastAsia="zh-CN"/>
        </w:rPr>
        <w:t>29</w:t>
      </w:r>
      <w:r>
        <w:rPr>
          <w:rFonts w:hint="eastAsia" w:ascii="仿宋" w:hAnsi="仿宋" w:eastAsia="仿宋" w:cs="仿宋"/>
          <w:sz w:val="24"/>
          <w:szCs w:val="24"/>
          <w:highlight w:val="none"/>
          <w:u w:val="none"/>
        </w:rPr>
        <w:t>日，每天上午</w:t>
      </w:r>
      <w:r>
        <w:rPr>
          <w:rFonts w:hint="eastAsia" w:ascii="仿宋" w:hAnsi="仿宋" w:eastAsia="仿宋" w:cs="仿宋"/>
          <w:sz w:val="24"/>
          <w:szCs w:val="24"/>
          <w:highlight w:val="none"/>
          <w:u w:val="none"/>
          <w:lang w:val="en-US" w:eastAsia="zh-CN"/>
        </w:rPr>
        <w:t>1</w:t>
      </w:r>
      <w:r>
        <w:rPr>
          <w:rFonts w:hint="eastAsia" w:ascii="仿宋" w:hAnsi="仿宋" w:eastAsia="仿宋" w:cs="仿宋"/>
          <w:sz w:val="24"/>
          <w:szCs w:val="24"/>
          <w:highlight w:val="none"/>
          <w:u w:val="none"/>
        </w:rPr>
        <w:t>0:00</w:t>
      </w:r>
      <w:bookmarkStart w:id="549" w:name="_GoBack"/>
      <w:bookmarkEnd w:id="549"/>
      <w:r>
        <w:rPr>
          <w:rFonts w:hint="eastAsia" w:ascii="仿宋" w:hAnsi="仿宋" w:eastAsia="仿宋" w:cs="仿宋"/>
          <w:sz w:val="24"/>
          <w:szCs w:val="24"/>
          <w:highlight w:val="none"/>
          <w:u w:val="none"/>
        </w:rPr>
        <w:t>至12:00，下午12:00至</w:t>
      </w:r>
      <w:r>
        <w:rPr>
          <w:rFonts w:hint="eastAsia" w:ascii="仿宋" w:hAnsi="仿宋" w:eastAsia="仿宋" w:cs="仿宋"/>
          <w:sz w:val="24"/>
          <w:szCs w:val="24"/>
          <w:highlight w:val="none"/>
          <w:u w:val="none"/>
          <w:lang w:val="en-US" w:eastAsia="zh-CN"/>
        </w:rPr>
        <w:t>19</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00</w:t>
      </w:r>
      <w:r>
        <w:rPr>
          <w:rFonts w:hint="eastAsia" w:ascii="仿宋" w:hAnsi="仿宋" w:eastAsia="仿宋" w:cs="仿宋"/>
          <w:sz w:val="24"/>
          <w:szCs w:val="24"/>
          <w:highlight w:val="none"/>
          <w:u w:val="none"/>
        </w:rPr>
        <w:t>（北京时间，法定节假日除外）</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地点：政采云平台线上获取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方式：供应商登录政采云平台https://www.zcygov.cn/在线申请获取采购文件（进入“项目采购”应用，在获取采购文件菜单中选择项目，申请获取采购文件）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售价（元）： </w:t>
      </w:r>
      <w:r>
        <w:rPr>
          <w:rStyle w:val="72"/>
          <w:rFonts w:hint="eastAsia" w:ascii="仿宋" w:hAnsi="仿宋" w:eastAsia="仿宋" w:cs="仿宋"/>
          <w:sz w:val="24"/>
          <w:szCs w:val="24"/>
        </w:rPr>
        <w:t>0</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四、响应文件提交</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截止时间：</w:t>
      </w:r>
      <w:r>
        <w:rPr>
          <w:rFonts w:hint="eastAsia" w:ascii="仿宋" w:hAnsi="仿宋" w:eastAsia="仿宋" w:cs="仿宋"/>
          <w:sz w:val="24"/>
          <w:szCs w:val="24"/>
          <w:highlight w:val="none"/>
          <w:lang w:eastAsia="zh-CN"/>
        </w:rPr>
        <w:t>2023年12月05日11:00</w:t>
      </w:r>
      <w:r>
        <w:rPr>
          <w:rFonts w:hint="eastAsia" w:ascii="仿宋" w:hAnsi="仿宋" w:eastAsia="仿宋" w:cs="仿宋"/>
          <w:sz w:val="24"/>
          <w:szCs w:val="24"/>
          <w:highlight w:val="none"/>
        </w:rPr>
        <w:t>（</w:t>
      </w:r>
      <w:r>
        <w:rPr>
          <w:rFonts w:hint="eastAsia" w:ascii="仿宋" w:hAnsi="仿宋" w:eastAsia="仿宋" w:cs="仿宋"/>
          <w:sz w:val="24"/>
          <w:szCs w:val="24"/>
        </w:rPr>
        <w:t>北京时间）</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地点：政采云平台（https://www.zcygov.cn/）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highlight w:val="none"/>
        </w:rPr>
      </w:pPr>
      <w:r>
        <w:rPr>
          <w:rStyle w:val="64"/>
          <w:rFonts w:hint="eastAsia" w:ascii="仿宋" w:hAnsi="仿宋" w:eastAsia="仿宋" w:cs="仿宋"/>
          <w:sz w:val="24"/>
          <w:szCs w:val="24"/>
        </w:rPr>
        <w:t>五、响应文件开启</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highlight w:val="none"/>
        </w:rPr>
        <w:t>    开启时间：</w:t>
      </w:r>
      <w:r>
        <w:rPr>
          <w:rFonts w:hint="eastAsia" w:ascii="仿宋" w:hAnsi="仿宋" w:eastAsia="仿宋" w:cs="仿宋"/>
          <w:sz w:val="24"/>
          <w:szCs w:val="24"/>
          <w:highlight w:val="none"/>
          <w:lang w:eastAsia="zh-CN"/>
        </w:rPr>
        <w:t>2023年12月05日11:00 </w:t>
      </w:r>
      <w:r>
        <w:rPr>
          <w:rFonts w:hint="eastAsia" w:ascii="仿宋" w:hAnsi="仿宋" w:eastAsia="仿宋" w:cs="仿宋"/>
          <w:sz w:val="24"/>
          <w:szCs w:val="24"/>
          <w:highlight w:val="none"/>
        </w:rPr>
        <w:t>（北京</w:t>
      </w:r>
      <w:r>
        <w:rPr>
          <w:rFonts w:hint="eastAsia" w:ascii="仿宋" w:hAnsi="仿宋" w:eastAsia="仿宋" w:cs="仿宋"/>
          <w:sz w:val="24"/>
          <w:szCs w:val="24"/>
        </w:rPr>
        <w:t>时间）</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w:t>
      </w:r>
      <w:r>
        <w:rPr>
          <w:rFonts w:hint="eastAsia" w:ascii="仿宋" w:hAnsi="仿宋" w:eastAsia="仿宋" w:cs="仿宋"/>
          <w:sz w:val="24"/>
          <w:szCs w:val="24"/>
          <w:highlight w:val="none"/>
        </w:rPr>
        <w:t>点：政采云平台（https://www.zcygov.cn/）</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六、公告期限</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七、其他补充事宜</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特别提示：</w:t>
      </w:r>
    </w:p>
    <w:p>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1、采购限额标准以上，200万元以下的货物和服务采购项目、400万元以下的工程采购项目，适宜由中小企业提供的，采购人应当专门面向中小企业采购。</w:t>
      </w:r>
    </w:p>
    <w:p>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八、凡对本次招标提出询问，请按以下方式联系</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乌鲁木齐市天山区东门片区管理委员会</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乌鲁木齐市天山区西后街</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0991-2619756</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名 称：新疆正禾招投标有限公司</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地 址：乌鲁木齐市高新区新市区鲤鱼山北路199号集电港A座511</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联系方式：0991-6660570</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杨慧</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pPr>
      <w:r>
        <w:rPr>
          <w:rFonts w:hint="eastAsia" w:ascii="仿宋" w:hAnsi="仿宋" w:eastAsia="仿宋" w:cs="仿宋"/>
          <w:sz w:val="24"/>
          <w:szCs w:val="24"/>
        </w:rPr>
        <w:t>电 话：0991-6660570  </w:t>
      </w:r>
    </w:p>
    <w:p>
      <w:pPr>
        <w:rPr>
          <w:rFonts w:hint="eastAsia" w:ascii="仿宋_GB2312" w:hAnsi="仿宋_GB2312" w:eastAsia="仿宋_GB2312" w:cs="仿宋_GB2312"/>
          <w:b/>
          <w:sz w:val="36"/>
          <w:szCs w:val="20"/>
        </w:rPr>
      </w:pPr>
      <w:bookmarkStart w:id="11" w:name="_Toc1370"/>
      <w:r>
        <w:rPr>
          <w:rFonts w:hint="eastAsia" w:ascii="仿宋_GB2312" w:hAnsi="仿宋_GB2312" w:eastAsia="仿宋_GB2312" w:cs="仿宋_GB2312"/>
          <w:b/>
          <w:sz w:val="36"/>
          <w:szCs w:val="20"/>
        </w:rPr>
        <w:br w:type="page"/>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仿宋_GB2312" w:hAnsi="仿宋_GB2312" w:eastAsia="仿宋_GB2312" w:cs="仿宋_GB2312"/>
          <w:b/>
          <w:sz w:val="32"/>
          <w:szCs w:val="20"/>
        </w:rPr>
      </w:pPr>
      <w:r>
        <w:rPr>
          <w:rFonts w:hint="eastAsia" w:ascii="仿宋_GB2312" w:hAnsi="仿宋_GB2312" w:eastAsia="仿宋_GB2312" w:cs="仿宋_GB2312"/>
          <w:b/>
          <w:sz w:val="36"/>
          <w:szCs w:val="20"/>
        </w:rPr>
        <w:t>第二部分 竞争性磋商流程</w:t>
      </w:r>
      <w:bookmarkEnd w:id="11"/>
    </w:p>
    <w:p>
      <w:pPr>
        <w:pStyle w:val="395"/>
        <w:keepNext w:val="0"/>
        <w:keepLines w:val="0"/>
        <w:pageBreakBefore w:val="0"/>
        <w:widowControl w:val="0"/>
        <w:numPr>
          <w:ilvl w:val="0"/>
          <w:numId w:val="7"/>
        </w:numPr>
        <w:tabs>
          <w:tab w:val="left" w:pos="210"/>
          <w:tab w:val="left" w:pos="420"/>
          <w:tab w:val="clear" w:pos="397"/>
        </w:tabs>
        <w:kinsoku/>
        <w:wordWrap/>
        <w:overflowPunct/>
        <w:topLinePunct w:val="0"/>
        <w:autoSpaceDE/>
        <w:autoSpaceDN/>
        <w:bidi w:val="0"/>
        <w:adjustRightInd w:val="0"/>
        <w:snapToGrid/>
        <w:spacing w:before="0" w:line="360" w:lineRule="auto"/>
        <w:ind w:firstLine="482"/>
        <w:textAlignment w:val="auto"/>
        <w:rPr>
          <w:rFonts w:ascii="仿宋_GB2312" w:hAnsi="仿宋" w:eastAsia="仿宋_GB2312"/>
          <w:b/>
        </w:rPr>
      </w:pPr>
      <w:r>
        <w:rPr>
          <w:rFonts w:hint="eastAsia" w:ascii="仿宋_GB2312" w:hAnsi="仿宋" w:eastAsia="仿宋_GB2312"/>
          <w:b/>
          <w:szCs w:val="24"/>
        </w:rPr>
        <w:t>征集供应商</w:t>
      </w:r>
    </w:p>
    <w:p>
      <w:pPr>
        <w:pStyle w:val="395"/>
        <w:keepNext w:val="0"/>
        <w:keepLines w:val="0"/>
        <w:pageBreakBefore w:val="0"/>
        <w:widowControl w:val="0"/>
        <w:numPr>
          <w:ilvl w:val="1"/>
          <w:numId w:val="8"/>
        </w:numPr>
        <w:kinsoku/>
        <w:wordWrap/>
        <w:overflowPunct/>
        <w:topLinePunct w:val="0"/>
        <w:autoSpaceDE/>
        <w:autoSpaceDN/>
        <w:bidi w:val="0"/>
        <w:adjustRightInd w:val="0"/>
        <w:snapToGrid/>
        <w:spacing w:before="0" w:line="360" w:lineRule="auto"/>
        <w:ind w:firstLineChars="0"/>
        <w:textAlignment w:val="auto"/>
        <w:rPr>
          <w:rFonts w:ascii="仿宋_GB2312" w:hAnsi="仿宋" w:eastAsia="仿宋_GB2312"/>
          <w:szCs w:val="24"/>
        </w:rPr>
      </w:pPr>
      <w:r>
        <w:rPr>
          <w:rFonts w:hint="eastAsia" w:ascii="仿宋_GB2312" w:hAnsi="仿宋" w:eastAsia="仿宋_GB2312"/>
          <w:szCs w:val="24"/>
        </w:rPr>
        <w:t>邀请供应商。</w:t>
      </w:r>
    </w:p>
    <w:p>
      <w:pPr>
        <w:pStyle w:val="395"/>
        <w:keepNext w:val="0"/>
        <w:keepLines w:val="0"/>
        <w:pageBreakBefore w:val="0"/>
        <w:widowControl w:val="0"/>
        <w:numPr>
          <w:ilvl w:val="2"/>
          <w:numId w:val="9"/>
        </w:numPr>
        <w:kinsoku/>
        <w:wordWrap/>
        <w:overflowPunct/>
        <w:topLinePunct w:val="0"/>
        <w:autoSpaceDE/>
        <w:autoSpaceDN/>
        <w:bidi w:val="0"/>
        <w:adjustRightInd w:val="0"/>
        <w:snapToGrid/>
        <w:spacing w:before="0" w:line="360" w:lineRule="auto"/>
        <w:ind w:left="408" w:firstLine="392" w:firstLineChars="0"/>
        <w:textAlignment w:val="auto"/>
        <w:rPr>
          <w:rFonts w:ascii="仿宋_GB2312" w:hAnsi="仿宋" w:eastAsia="仿宋_GB2312"/>
          <w:szCs w:val="24"/>
        </w:rPr>
      </w:pPr>
      <w:r>
        <w:rPr>
          <w:rFonts w:hint="eastAsia" w:ascii="仿宋_GB2312" w:hAnsi="仿宋" w:eastAsia="仿宋_GB2312"/>
          <w:b/>
          <w:szCs w:val="24"/>
        </w:rPr>
        <w:t>采用公告方式邀请供应商的，</w:t>
      </w:r>
      <w:r>
        <w:rPr>
          <w:rFonts w:hint="eastAsia" w:ascii="仿宋_GB2312" w:hAnsi="仿宋" w:eastAsia="仿宋_GB2312"/>
          <w:szCs w:val="24"/>
        </w:rPr>
        <w:t>由采购人、采购代理机构在省级以上人民政府财政部门指定的政府采购信息发布媒体上发布磋商公告，邀请符合相应资格条件的供应商参与竞争性磋商采购活动</w:t>
      </w:r>
      <w:r>
        <w:rPr>
          <w:rFonts w:hint="eastAsia" w:ascii="仿宋_GB2312" w:hAnsi="仿宋" w:eastAsia="仿宋_GB2312"/>
          <w:b/>
          <w:bCs/>
          <w:szCs w:val="24"/>
        </w:rPr>
        <w:t>（本项目采用此方式）</w:t>
      </w:r>
      <w:r>
        <w:rPr>
          <w:rFonts w:hint="eastAsia" w:ascii="仿宋_GB2312" w:hAnsi="仿宋" w:eastAsia="仿宋_GB2312"/>
          <w:szCs w:val="24"/>
        </w:rPr>
        <w:t>。</w:t>
      </w:r>
    </w:p>
    <w:p>
      <w:pPr>
        <w:pStyle w:val="395"/>
        <w:keepNext w:val="0"/>
        <w:keepLines w:val="0"/>
        <w:pageBreakBefore w:val="0"/>
        <w:widowControl w:val="0"/>
        <w:numPr>
          <w:ilvl w:val="2"/>
          <w:numId w:val="9"/>
        </w:numPr>
        <w:kinsoku/>
        <w:wordWrap/>
        <w:overflowPunct/>
        <w:topLinePunct w:val="0"/>
        <w:autoSpaceDE/>
        <w:autoSpaceDN/>
        <w:bidi w:val="0"/>
        <w:adjustRightInd w:val="0"/>
        <w:snapToGrid/>
        <w:spacing w:before="0" w:line="360" w:lineRule="auto"/>
        <w:ind w:left="408" w:firstLine="392" w:firstLineChars="0"/>
        <w:textAlignment w:val="auto"/>
        <w:rPr>
          <w:rFonts w:ascii="仿宋_GB2312" w:hAnsi="仿宋" w:eastAsia="仿宋_GB2312"/>
          <w:szCs w:val="24"/>
        </w:rPr>
      </w:pPr>
      <w:r>
        <w:rPr>
          <w:rFonts w:hint="eastAsia" w:ascii="仿宋_GB2312" w:hAnsi="仿宋" w:eastAsia="仿宋_GB2312"/>
          <w:b/>
          <w:szCs w:val="24"/>
        </w:rPr>
        <w:t>采用随机抽取方式邀请供应商的，</w:t>
      </w:r>
      <w:r>
        <w:rPr>
          <w:rFonts w:hint="eastAsia" w:ascii="仿宋_GB2312" w:hAnsi="仿宋" w:eastAsia="仿宋_GB2312"/>
          <w:szCs w:val="24"/>
        </w:rPr>
        <w:t>由采购人、采购代理机构从省级以上财政部门建立的供应商库中随机抽取不少于3家符合相应资格条件的供应商参与竞争性磋商采购活动。</w:t>
      </w:r>
    </w:p>
    <w:p>
      <w:pPr>
        <w:pStyle w:val="395"/>
        <w:keepNext w:val="0"/>
        <w:keepLines w:val="0"/>
        <w:pageBreakBefore w:val="0"/>
        <w:widowControl w:val="0"/>
        <w:numPr>
          <w:ilvl w:val="2"/>
          <w:numId w:val="9"/>
        </w:numPr>
        <w:kinsoku/>
        <w:wordWrap/>
        <w:overflowPunct/>
        <w:topLinePunct w:val="0"/>
        <w:autoSpaceDE/>
        <w:autoSpaceDN/>
        <w:bidi w:val="0"/>
        <w:adjustRightInd w:val="0"/>
        <w:snapToGrid/>
        <w:spacing w:before="0" w:line="360" w:lineRule="auto"/>
        <w:ind w:left="408" w:firstLine="392" w:firstLineChars="0"/>
        <w:textAlignment w:val="auto"/>
        <w:rPr>
          <w:rFonts w:ascii="仿宋_GB2312" w:hAnsi="仿宋" w:eastAsia="仿宋_GB2312"/>
          <w:szCs w:val="24"/>
        </w:rPr>
      </w:pPr>
      <w:r>
        <w:rPr>
          <w:rFonts w:hint="eastAsia" w:ascii="仿宋_GB2312" w:hAnsi="仿宋" w:eastAsia="仿宋_GB2312"/>
          <w:b/>
          <w:szCs w:val="24"/>
        </w:rPr>
        <w:t>采用书面推荐方式邀请供应商的，</w:t>
      </w:r>
      <w:r>
        <w:rPr>
          <w:rFonts w:hint="eastAsia" w:ascii="仿宋_GB2312" w:hAnsi="仿宋" w:eastAsia="仿宋_GB2312"/>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5"/>
        <w:keepNext w:val="0"/>
        <w:keepLines w:val="0"/>
        <w:pageBreakBefore w:val="0"/>
        <w:widowControl w:val="0"/>
        <w:numPr>
          <w:ilvl w:val="1"/>
          <w:numId w:val="8"/>
        </w:numPr>
        <w:kinsoku/>
        <w:wordWrap/>
        <w:overflowPunct/>
        <w:topLinePunct w:val="0"/>
        <w:autoSpaceDE/>
        <w:autoSpaceDN/>
        <w:bidi w:val="0"/>
        <w:adjustRightInd w:val="0"/>
        <w:snapToGrid/>
        <w:spacing w:before="0" w:line="360" w:lineRule="auto"/>
        <w:ind w:firstLineChars="0"/>
        <w:textAlignment w:val="auto"/>
        <w:rPr>
          <w:rFonts w:ascii="仿宋_GB2312" w:hAnsi="仿宋" w:eastAsia="仿宋_GB2312"/>
          <w:szCs w:val="24"/>
        </w:rPr>
      </w:pPr>
      <w:r>
        <w:rPr>
          <w:rFonts w:hint="eastAsia" w:ascii="仿宋_GB2312" w:hAnsi="仿宋" w:eastAsia="仿宋_GB2312"/>
          <w:szCs w:val="24"/>
        </w:rPr>
        <w:t>供应商获取磋商文件。</w:t>
      </w:r>
    </w:p>
    <w:p>
      <w:pPr>
        <w:pStyle w:val="395"/>
        <w:numPr>
          <w:ilvl w:val="1"/>
          <w:numId w:val="8"/>
        </w:numPr>
        <w:spacing w:before="0"/>
        <w:ind w:firstLineChars="0"/>
        <w:rPr>
          <w:rFonts w:ascii="仿宋_GB2312" w:hAnsi="仿宋" w:eastAsia="仿宋_GB2312"/>
          <w:szCs w:val="24"/>
        </w:rPr>
      </w:pPr>
      <w:r>
        <w:rPr>
          <w:rFonts w:hint="eastAsia" w:ascii="仿宋_GB2312" w:hAnsi="仿宋" w:eastAsia="仿宋_GB2312"/>
          <w:szCs w:val="24"/>
        </w:rPr>
        <w:t>组织现场考察或召开答疑会（如果有）。</w:t>
      </w:r>
    </w:p>
    <w:p>
      <w:pPr>
        <w:pStyle w:val="395"/>
        <w:numPr>
          <w:ilvl w:val="1"/>
          <w:numId w:val="8"/>
        </w:numPr>
        <w:spacing w:before="0"/>
        <w:ind w:firstLineChars="0"/>
        <w:rPr>
          <w:rFonts w:ascii="仿宋_GB2312" w:hAnsi="仿宋" w:eastAsia="仿宋_GB2312"/>
          <w:szCs w:val="24"/>
        </w:rPr>
      </w:pPr>
      <w:r>
        <w:rPr>
          <w:rFonts w:hint="eastAsia" w:ascii="仿宋_GB2312" w:hAnsi="仿宋" w:eastAsia="仿宋_GB2312"/>
          <w:szCs w:val="24"/>
        </w:rPr>
        <w:t>发布更正（延期）公告，澄清或修改磋商文件（如果有）。</w:t>
      </w:r>
    </w:p>
    <w:p>
      <w:pPr>
        <w:pStyle w:val="395"/>
        <w:numPr>
          <w:ilvl w:val="1"/>
          <w:numId w:val="8"/>
        </w:numPr>
        <w:spacing w:before="0"/>
        <w:ind w:firstLineChars="0"/>
        <w:rPr>
          <w:rFonts w:ascii="仿宋_GB2312" w:hAnsi="仿宋" w:eastAsia="仿宋_GB2312"/>
          <w:szCs w:val="24"/>
        </w:rPr>
      </w:pPr>
      <w:r>
        <w:rPr>
          <w:rFonts w:hint="eastAsia" w:ascii="仿宋_GB2312" w:hAnsi="仿宋" w:eastAsia="仿宋_GB2312"/>
          <w:szCs w:val="24"/>
        </w:rPr>
        <w:t>供应商按磋商文件要求编制响应文件。</w:t>
      </w:r>
    </w:p>
    <w:p>
      <w:pPr>
        <w:pStyle w:val="395"/>
        <w:spacing w:before="0"/>
        <w:ind w:left="397" w:firstLine="0" w:firstLineChars="0"/>
        <w:rPr>
          <w:rFonts w:ascii="仿宋_GB2312" w:hAnsi="仿宋" w:eastAsia="仿宋_GB2312"/>
          <w:szCs w:val="24"/>
        </w:rPr>
      </w:pP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响应文件开启与信用信息查询</w:t>
      </w:r>
    </w:p>
    <w:p>
      <w:pPr>
        <w:pStyle w:val="395"/>
        <w:numPr>
          <w:ilvl w:val="1"/>
          <w:numId w:val="10"/>
        </w:numPr>
        <w:spacing w:before="0"/>
        <w:ind w:left="10" w:firstLine="387" w:firstLineChars="0"/>
        <w:rPr>
          <w:rFonts w:ascii="仿宋_GB2312" w:hAnsi="仿宋" w:eastAsia="仿宋_GB2312"/>
          <w:szCs w:val="24"/>
        </w:rPr>
      </w:pPr>
      <w:r>
        <w:rPr>
          <w:rFonts w:hint="eastAsia" w:ascii="仿宋_GB2312" w:hAnsi="仿宋" w:eastAsia="仿宋_GB2312"/>
          <w:szCs w:val="24"/>
        </w:rPr>
        <w:t>供应商依据“提交响应文件的截止时间与地点”通过政采云平台在线提交响应文件。供应商在提交响应文件的截止时间前，可以补充、修改或撤回响应文件。</w:t>
      </w:r>
    </w:p>
    <w:p>
      <w:pPr>
        <w:pStyle w:val="395"/>
        <w:numPr>
          <w:ilvl w:val="1"/>
          <w:numId w:val="10"/>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采购代理机构将通过“信用中国”网站(</w:t>
      </w:r>
      <w:r>
        <w:fldChar w:fldCharType="begin"/>
      </w:r>
      <w:r>
        <w:instrText xml:space="preserve"> HYPERLINK "http://www.creditchina.gov.cn" </w:instrText>
      </w:r>
      <w:r>
        <w:fldChar w:fldCharType="separate"/>
      </w:r>
      <w:r>
        <w:rPr>
          <w:rFonts w:hint="eastAsia" w:ascii="仿宋_GB2312" w:hAnsi="仿宋" w:eastAsia="仿宋_GB2312"/>
          <w:szCs w:val="24"/>
        </w:rPr>
        <w:t>www.creditchina.gov.cn</w:t>
      </w:r>
      <w:r>
        <w:rPr>
          <w:rFonts w:hint="eastAsia" w:ascii="仿宋_GB2312" w:hAnsi="仿宋" w:eastAsia="仿宋_GB2312"/>
          <w:szCs w:val="24"/>
        </w:rPr>
        <w:fldChar w:fldCharType="end"/>
      </w:r>
      <w:r>
        <w:rPr>
          <w:rFonts w:hint="eastAsia" w:ascii="仿宋_GB2312" w:hAnsi="仿宋" w:eastAsia="仿宋_GB2312"/>
          <w:szCs w:val="24"/>
        </w:rPr>
        <w:t>)和中国政府采购网(www.ccgp.gov.cn)渠道查询供应商响应截止时间当日的信用记录。</w:t>
      </w:r>
    </w:p>
    <w:p>
      <w:pPr>
        <w:pStyle w:val="395"/>
        <w:spacing w:before="0"/>
        <w:ind w:left="397" w:firstLine="0" w:firstLineChars="0"/>
        <w:rPr>
          <w:rFonts w:ascii="仿宋_GB2312" w:hAnsi="仿宋" w:eastAsia="仿宋_GB2312"/>
          <w:szCs w:val="24"/>
        </w:rPr>
      </w:pP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磋商与评审</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磋商小组签到。</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采购代理机构宣布有关纪律以及磋商、评审工作程序。</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磋商小组审查确认磋商文件。磋商文件内容违反国家有关强制性规定的，磋商小组应当停止评审并向采购代理机构说明情况。</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采购人或采购代理机构对供应商的资格进行审查。</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磋商小组审查响应文件。</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对于未实质性响应磋商文件的响应文件由磋商小组认定响应无效，并告知该供应商。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w:t>
      </w:r>
      <w:r>
        <w:rPr>
          <w:rFonts w:hint="eastAsia" w:ascii="仿宋_GB2312" w:hAnsi="仿宋" w:eastAsia="仿宋_GB2312"/>
          <w:b/>
          <w:bCs/>
          <w:szCs w:val="24"/>
        </w:rPr>
        <w:t>不得少于半小时</w:t>
      </w:r>
      <w:r>
        <w:rPr>
          <w:rFonts w:hint="eastAsia" w:ascii="仿宋_GB2312" w:hAnsi="仿宋" w:eastAsia="仿宋_GB2312"/>
          <w:szCs w:val="24"/>
        </w:rPr>
        <w:t>，供应商已经明确表示澄清说明或补正完毕的除外。供应商的澄清、说明或者更正不得超出响应文件的范围或者改变响应文件的实质性内容。</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与符合要求的供应商进行磋商。磋商小组所有成员按照响应文件解密次序集中与单一供应商分别进行磋商，并给予所有参加磋商的供应商平等的磋商机会。磋商过程中，磋商小组可以根据磋商情况调整轮次。在磋商过程中，磋商小组可以根据磋商文件和磋商情况实质性变动采购需求中的技术、服务要求以及合同草案条款，但不得变动磋商文件中的其他内容。</w:t>
      </w:r>
    </w:p>
    <w:p>
      <w:pPr>
        <w:pStyle w:val="395"/>
        <w:spacing w:before="0"/>
        <w:ind w:firstLine="480"/>
        <w:rPr>
          <w:rFonts w:ascii="仿宋_GB2312" w:hAnsi="仿宋" w:eastAsia="仿宋_GB2312"/>
          <w:szCs w:val="24"/>
        </w:rPr>
      </w:pPr>
      <w:r>
        <w:rPr>
          <w:rFonts w:hint="eastAsia" w:ascii="仿宋_GB2312" w:hAnsi="仿宋" w:eastAsia="仿宋_GB2312"/>
          <w:szCs w:val="24"/>
        </w:rPr>
        <w:t>磋商形式：</w:t>
      </w:r>
    </w:p>
    <w:p>
      <w:pPr>
        <w:pStyle w:val="395"/>
        <w:spacing w:before="0"/>
        <w:ind w:firstLine="480"/>
        <w:rPr>
          <w:rFonts w:ascii="仿宋_GB2312" w:hAnsi="仿宋" w:eastAsia="仿宋_GB2312"/>
          <w:szCs w:val="24"/>
        </w:rPr>
      </w:pPr>
      <w:r>
        <w:rPr>
          <w:rFonts w:hint="eastAsia" w:ascii="宋体" w:hAnsi="宋体" w:cs="宋体"/>
          <w:szCs w:val="24"/>
        </w:rPr>
        <w:t>□</w:t>
      </w:r>
      <w:r>
        <w:rPr>
          <w:rFonts w:hint="eastAsia" w:ascii="仿宋_GB2312" w:hAnsi="仿宋_GB2312" w:eastAsia="仿宋_GB2312" w:cs="仿宋_GB2312"/>
          <w:szCs w:val="24"/>
        </w:rPr>
        <w:t>远程在线视频磋商：</w:t>
      </w:r>
      <w:r>
        <w:rPr>
          <w:rFonts w:hint="eastAsia" w:ascii="仿宋_GB2312" w:hAnsi="仿宋" w:eastAsia="仿宋_GB2312"/>
          <w:szCs w:val="24"/>
        </w:rPr>
        <w:t>磋商时由采购代理机构利用政采云平台发起磋商邀请，供应商通过政采云“在线评审室”进行远程视频磋商。供应商使用CA数字证书登陆政采云平台——收到视频评审邀请——点击“视频评审”进入“视频评审系统”——开始远程磋商活动;</w:t>
      </w:r>
    </w:p>
    <w:p>
      <w:pPr>
        <w:pStyle w:val="395"/>
        <w:spacing w:before="0"/>
        <w:ind w:firstLine="480"/>
        <w:rPr>
          <w:rFonts w:ascii="仿宋_GB2312" w:hAnsi="仿宋_GB2312" w:eastAsia="仿宋_GB2312" w:cs="仿宋_GB2312"/>
          <w:szCs w:val="24"/>
        </w:rPr>
      </w:pPr>
      <w:r>
        <w:rPr>
          <w:rFonts w:hint="eastAsia" w:ascii="宋体" w:hAnsi="宋体" w:cs="宋体"/>
          <w:szCs w:val="24"/>
        </w:rPr>
        <w:t>☑</w:t>
      </w:r>
      <w:r>
        <w:rPr>
          <w:rFonts w:hint="eastAsia" w:ascii="仿宋_GB2312" w:hAnsi="仿宋_GB2312" w:eastAsia="仿宋_GB2312" w:cs="仿宋_GB2312"/>
          <w:szCs w:val="24"/>
        </w:rPr>
        <w:t>远程在线非视频磋商：</w:t>
      </w:r>
      <w:r>
        <w:rPr>
          <w:rFonts w:hint="eastAsia" w:ascii="仿宋_GB2312" w:hAnsi="仿宋" w:eastAsia="仿宋_GB2312"/>
          <w:szCs w:val="24"/>
        </w:rPr>
        <w:t>磋商时由采购代理机构利用政采云平台发起磋商邀请，磋商小组在线（以书面形式完成的需扫描上传）将磋商问题通知所有参加磋商的供应商，供应商按照磋商小组的要求对问题进行答复，并由授权代表签字或者加盖公章后扫描上传（或直接在线加盖电子签章后提交）；</w:t>
      </w:r>
    </w:p>
    <w:p>
      <w:pPr>
        <w:pStyle w:val="395"/>
        <w:spacing w:before="0"/>
        <w:ind w:firstLine="480"/>
        <w:rPr>
          <w:rFonts w:ascii="仿宋_GB2312" w:hAnsi="仿宋" w:eastAsia="仿宋_GB2312"/>
          <w:szCs w:val="24"/>
        </w:rPr>
      </w:pPr>
      <w:r>
        <w:rPr>
          <w:rFonts w:hint="eastAsia" w:ascii="宋体" w:hAnsi="宋体" w:cs="宋体"/>
          <w:szCs w:val="24"/>
        </w:rPr>
        <w:t>□</w:t>
      </w:r>
      <w:r>
        <w:rPr>
          <w:rFonts w:hint="eastAsia" w:ascii="仿宋_GB2312" w:hAnsi="仿宋_GB2312" w:eastAsia="仿宋_GB2312" w:cs="仿宋_GB2312"/>
          <w:szCs w:val="24"/>
        </w:rPr>
        <w:t>评审现场磋商：</w:t>
      </w:r>
      <w:r>
        <w:rPr>
          <w:rFonts w:hint="eastAsia" w:ascii="仿宋_GB2312" w:hAnsi="仿宋" w:eastAsia="仿宋_GB2312"/>
          <w:szCs w:val="24"/>
        </w:rPr>
        <w:t>对于要求到采购代理机构现场进行磋商的供应商，需在采购代理机构指定会议室开展磋商活动，磋商小组在现场集中与单一供应商分别进行磋商。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经磋商确定磋商文件的变动情况。对磋商文件作出的实质性变动是磋商文件的有效组成部分，磋商小组应当及时通过政采云平台通知所有参加磋商的供应商。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磋商小组按照下列方式确定提交最后报价的供应商，有特殊规定的从其规定：</w:t>
      </w:r>
    </w:p>
    <w:p>
      <w:pPr>
        <w:pStyle w:val="395"/>
        <w:spacing w:before="0"/>
        <w:ind w:firstLine="480"/>
        <w:rPr>
          <w:rFonts w:ascii="仿宋_GB2312" w:hAnsi="仿宋" w:eastAsia="仿宋_GB2312"/>
          <w:szCs w:val="24"/>
        </w:rPr>
      </w:pPr>
      <w:r>
        <w:rPr>
          <w:rFonts w:hint="eastAsia" w:ascii="仿宋_GB2312" w:hAnsi="仿宋" w:eastAsia="仿宋_GB2312"/>
          <w:szCs w:val="24"/>
        </w:rPr>
        <w:t>磋商文件能够详细列明采购标的的技术、服务要求的，磋商结束后，磋商小组应当要求所有实质性响应的供应商在规定时间内在电子交易平台提交最后报价，提交最后报价的供应商不得少于</w:t>
      </w:r>
      <w:r>
        <w:rPr>
          <w:rFonts w:hint="eastAsia" w:ascii="仿宋_GB2312" w:hAnsi="仿宋" w:eastAsia="仿宋_GB2312"/>
          <w:szCs w:val="24"/>
          <w:lang w:val="en-US" w:eastAsia="zh-CN"/>
        </w:rPr>
        <w:t>3</w:t>
      </w:r>
      <w:r>
        <w:rPr>
          <w:rFonts w:hint="eastAsia" w:ascii="仿宋_GB2312" w:hAnsi="仿宋" w:eastAsia="仿宋_GB2312"/>
          <w:szCs w:val="24"/>
        </w:rPr>
        <w:t>家。</w:t>
      </w:r>
    </w:p>
    <w:p>
      <w:pPr>
        <w:pStyle w:val="395"/>
        <w:spacing w:before="0"/>
        <w:ind w:firstLine="480"/>
        <w:rPr>
          <w:rFonts w:ascii="仿宋_GB2312" w:hAnsi="仿宋" w:eastAsia="仿宋_GB2312"/>
          <w:szCs w:val="24"/>
        </w:rPr>
      </w:pPr>
      <w:r>
        <w:rPr>
          <w:rFonts w:hint="eastAsia" w:ascii="仿宋_GB2312" w:hAnsi="仿宋" w:eastAsia="仿宋_GB2312"/>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确定进入最后报价的供应商在规定时间内提交最后报价。</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采购代理机构唱价。</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磋商小组应当根据综合评分情况，按照评审得分由高到低顺序推荐3名以上成交候选供应商，并编写评审报告。</w:t>
      </w: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成交</w:t>
      </w:r>
    </w:p>
    <w:p>
      <w:pPr>
        <w:pStyle w:val="395"/>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采购代理机构应当在评审结束后2个工作日内，将评审报告送采购人确认。</w:t>
      </w:r>
    </w:p>
    <w:p>
      <w:pPr>
        <w:pStyle w:val="395"/>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从评审报告提出的成交候选供应商中，按照排序由高到低的原则确定成交供应商，采购人也可以书面授权磋商小组直接确定成交供应商。成交通知书和结果公告应当在规定时间内同时发出。</w:t>
      </w:r>
    </w:p>
    <w:p>
      <w:pPr>
        <w:pStyle w:val="395"/>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在收到采购人对评审报告的确认意见和对成交供应商的确定结果后，应当在2个工作日内，在新疆政府采购网（政采云）上公告成交结果，同时向成交供应商发出成交通知书，并将磋商文件随成交结果同时公告。</w:t>
      </w: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合同的签订</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5.1 采购人与中标人应当通过电子交易平台在中标通知书发出之日起三十日内，按照采购文件确定的事项签订政府采购合同，并在签订之日起2个工作日内将政府采购合同在</w:t>
      </w:r>
      <w:r>
        <w:rPr>
          <w:rFonts w:hint="eastAsia" w:ascii="仿宋_GB2312" w:hAnsi="仿宋" w:eastAsia="仿宋_GB2312"/>
          <w:szCs w:val="24"/>
        </w:rPr>
        <w:t>新疆</w:t>
      </w:r>
      <w:r>
        <w:rPr>
          <w:rFonts w:hint="eastAsia" w:ascii="仿宋_GB2312" w:hAnsi="仿宋" w:eastAsia="仿宋_GB2312"/>
          <w:szCs w:val="24"/>
          <w:lang w:val="zh-CN"/>
        </w:rPr>
        <w:t>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395"/>
        <w:spacing w:before="0"/>
        <w:ind w:firstLine="480"/>
        <w:rPr>
          <w:rFonts w:ascii="仿宋_GB2312" w:hAnsi="仿宋" w:eastAsia="仿宋_GB2312"/>
          <w:szCs w:val="24"/>
        </w:rPr>
      </w:pPr>
      <w:r>
        <w:rPr>
          <w:rFonts w:hint="eastAsia" w:ascii="仿宋_GB2312" w:hAnsi="仿宋" w:eastAsia="仿宋_GB2312"/>
          <w:szCs w:val="24"/>
          <w:lang w:val="zh-CN"/>
        </w:rPr>
        <w:t>5.2中标人按规定的日期、时间、地点，由法定代表人或其授权代表与采购人代表签订合同。如中标人为联合体的，由联合体成员各方法定代表人或其授权代表与采购人代表签订合同。</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5.3如签订合同并生效后，供应商无故拒绝或延期，除按照合同条款处理外，列入不良行为记录一次，并给予通报。</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5.4中标供应商拒绝与采购人签订合同的，采购人可以按照评审报告推荐的中标或者成交候选人名单排序，确定下一候选人为中标供应商，也可以重新开展政府采购活动。</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5.5采购合同由采购人与中标供应商根据采购文件、投标文件等内容通过政府采购电子交易平台在线签订，自动备案。</w:t>
      </w: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竞争性磋商流程图</w:t>
      </w:r>
    </w:p>
    <w:p>
      <w:pPr>
        <w:rPr>
          <w:rFonts w:ascii="仿宋_GB2312" w:hAnsi="仿宋" w:eastAsia="仿宋_GB2312"/>
          <w:b/>
        </w:rPr>
      </w:pPr>
      <w:r>
        <w:rPr>
          <w:rFonts w:ascii="仿宋_GB2312" w:hAnsi="仿宋" w:eastAsia="仿宋_GB2312"/>
          <w:b/>
        </w:rPr>
        <w:drawing>
          <wp:inline distT="0" distB="0" distL="114300" distR="114300">
            <wp:extent cx="5634990" cy="2319020"/>
            <wp:effectExtent l="0" t="0" r="3810" b="5080"/>
            <wp:docPr id="1" name="ECB019B1-382A-4266-B25C-5B523AA43C14-1" descr="C:/Users/Administrator/AppData/Local/Temp/wps.hNBeP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hNBePfwps"/>
                    <pic:cNvPicPr>
                      <a:picLocks noChangeAspect="1"/>
                    </pic:cNvPicPr>
                  </pic:nvPicPr>
                  <pic:blipFill>
                    <a:blip r:embed="rId14" cstate="print"/>
                    <a:stretch>
                      <a:fillRect/>
                    </a:stretch>
                  </pic:blipFill>
                  <pic:spPr>
                    <a:xfrm>
                      <a:off x="0" y="0"/>
                      <a:ext cx="5634990" cy="2319020"/>
                    </a:xfrm>
                    <a:prstGeom prst="rect">
                      <a:avLst/>
                    </a:prstGeom>
                  </pic:spPr>
                </pic:pic>
              </a:graphicData>
            </a:graphic>
          </wp:inline>
        </w:drawing>
      </w:r>
      <w:r>
        <w:rPr>
          <w:rFonts w:ascii="仿宋_GB2312" w:hAnsi="仿宋" w:eastAsia="仿宋_GB2312"/>
          <w:b/>
        </w:rPr>
        <w:br w:type="page"/>
      </w:r>
    </w:p>
    <w:p>
      <w:pPr>
        <w:widowControl/>
        <w:adjustRightInd/>
        <w:jc w:val="center"/>
        <w:outlineLvl w:val="0"/>
        <w:rPr>
          <w:rFonts w:ascii="仿宋_GB2312" w:hAnsi="仿宋_GB2312" w:eastAsia="仿宋_GB2312" w:cs="仿宋_GB2312"/>
          <w:b/>
          <w:sz w:val="36"/>
          <w:szCs w:val="20"/>
        </w:rPr>
      </w:pPr>
      <w:bookmarkStart w:id="12" w:name="_Toc3754"/>
      <w:r>
        <w:rPr>
          <w:rFonts w:hint="eastAsia" w:ascii="仿宋_GB2312" w:hAnsi="仿宋_GB2312" w:eastAsia="仿宋_GB2312" w:cs="仿宋_GB2312"/>
          <w:b/>
          <w:sz w:val="36"/>
          <w:szCs w:val="20"/>
        </w:rPr>
        <w:t>第三部分</w:t>
      </w:r>
      <w:bookmarkEnd w:id="7"/>
      <w:r>
        <w:rPr>
          <w:rFonts w:hint="eastAsia" w:ascii="仿宋_GB2312" w:hAnsi="仿宋_GB2312" w:eastAsia="仿宋_GB2312" w:cs="仿宋_GB2312"/>
          <w:b/>
          <w:sz w:val="36"/>
          <w:szCs w:val="20"/>
        </w:rPr>
        <w:t xml:space="preserve">  </w:t>
      </w:r>
      <w:r>
        <w:rPr>
          <w:rFonts w:hint="eastAsia" w:ascii="仿宋_GB2312" w:hAnsi="仿宋_GB2312" w:eastAsia="仿宋_GB2312" w:cs="仿宋_GB2312"/>
          <w:b/>
          <w:sz w:val="36"/>
        </w:rPr>
        <w:t>供应商须知</w:t>
      </w:r>
      <w:bookmarkEnd w:id="8"/>
      <w:bookmarkEnd w:id="12"/>
    </w:p>
    <w:p>
      <w:pPr>
        <w:adjustRightInd/>
        <w:spacing w:line="360" w:lineRule="auto"/>
        <w:ind w:firstLine="3845" w:firstLineChars="1197"/>
        <w:outlineLvl w:val="0"/>
        <w:rPr>
          <w:rFonts w:ascii="仿宋_GB2312" w:hAnsi="仿宋_GB2312" w:eastAsia="仿宋_GB2312" w:cs="仿宋_GB2312"/>
          <w:b/>
          <w:sz w:val="32"/>
          <w:szCs w:val="20"/>
        </w:rPr>
      </w:pPr>
      <w:bookmarkStart w:id="13" w:name="_Toc32324"/>
      <w:r>
        <w:rPr>
          <w:rFonts w:hint="eastAsia" w:ascii="仿宋_GB2312" w:hAnsi="仿宋_GB2312" w:eastAsia="仿宋_GB2312" w:cs="仿宋_GB2312"/>
          <w:b/>
          <w:sz w:val="32"/>
          <w:szCs w:val="20"/>
        </w:rPr>
        <w:t>一、前附表</w:t>
      </w:r>
      <w:bookmarkEnd w:id="13"/>
    </w:p>
    <w:tbl>
      <w:tblPr>
        <w:tblStyle w:val="61"/>
        <w:tblW w:w="87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844"/>
        <w:gridCol w:w="60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序号</w:t>
            </w:r>
          </w:p>
        </w:tc>
        <w:tc>
          <w:tcPr>
            <w:tcW w:w="1844"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名称</w:t>
            </w:r>
          </w:p>
        </w:tc>
        <w:tc>
          <w:tcPr>
            <w:tcW w:w="6034"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采购人</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采购人信息</w:t>
            </w:r>
          </w:p>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名 称：</w:t>
            </w:r>
            <w:r>
              <w:rPr>
                <w:rFonts w:hint="eastAsia" w:ascii="仿宋" w:hAnsi="仿宋" w:eastAsia="仿宋" w:cs="仿宋"/>
                <w:snapToGrid w:val="0"/>
                <w:color w:val="000000" w:themeColor="text1"/>
                <w:szCs w:val="24"/>
                <w:highlight w:val="none"/>
                <w:lang w:eastAsia="zh-CN"/>
                <w14:textFill>
                  <w14:solidFill>
                    <w14:schemeClr w14:val="tx1"/>
                  </w14:solidFill>
                </w14:textFill>
              </w:rPr>
              <w:t>乌鲁木齐市天山区东门片区管理委员会</w:t>
            </w:r>
          </w:p>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地 址：</w:t>
            </w:r>
            <w:r>
              <w:rPr>
                <w:rFonts w:hint="eastAsia" w:ascii="仿宋" w:hAnsi="仿宋" w:eastAsia="仿宋" w:cs="仿宋"/>
                <w:snapToGrid w:val="0"/>
                <w:color w:val="000000" w:themeColor="text1"/>
                <w:szCs w:val="24"/>
                <w:highlight w:val="none"/>
                <w:lang w:eastAsia="zh-CN"/>
                <w14:textFill>
                  <w14:solidFill>
                    <w14:schemeClr w14:val="tx1"/>
                  </w14:solidFill>
                </w14:textFill>
              </w:rPr>
              <w:t>新疆乌鲁木齐市天山区西后街</w:t>
            </w:r>
          </w:p>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联系方式：</w:t>
            </w:r>
            <w:r>
              <w:rPr>
                <w:rFonts w:hint="eastAsia" w:ascii="仿宋" w:hAnsi="仿宋" w:eastAsia="仿宋" w:cs="仿宋"/>
                <w:snapToGrid w:val="0"/>
                <w:color w:val="000000" w:themeColor="text1"/>
                <w:szCs w:val="24"/>
                <w:highlight w:val="none"/>
                <w:lang w:eastAsia="zh-CN"/>
                <w14:textFill>
                  <w14:solidFill>
                    <w14:schemeClr w14:val="tx1"/>
                  </w14:solidFill>
                </w14:textFill>
              </w:rPr>
              <w:t>0991-2619756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采购代理机构</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采购代理机构信息</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名 称：新疆正禾招投标有限公司</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地 址：新疆乌鲁木齐高新技术产业开发区（新市区）鲤鱼山北路199号驰达-高新区（新市区）电子信息产业加速器1栋511室</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项目联系人：杨慧</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电 话：0991-6660570</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电子邮箱：zh6660570@qq.com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3</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踏勘现场</w:t>
            </w:r>
          </w:p>
        </w:tc>
        <w:tc>
          <w:tcPr>
            <w:tcW w:w="6034" w:type="dxa"/>
            <w:noWrap/>
            <w:vAlign w:val="center"/>
          </w:tcPr>
          <w:p>
            <w:pPr>
              <w:pStyle w:val="407"/>
              <w:spacing w:before="0" w:after="0" w:line="360" w:lineRule="auto"/>
              <w:ind w:left="0" w:leftChars="0" w:firstLine="0" w:firstLineChars="0"/>
              <w:rPr>
                <w:rStyle w:val="623"/>
                <w:rFonts w:hint="eastAsia" w:ascii="仿宋" w:hAnsi="仿宋" w:eastAsia="仿宋" w:cs="仿宋"/>
                <w:sz w:val="24"/>
                <w:szCs w:val="24"/>
              </w:rPr>
            </w:pPr>
            <w:r>
              <w:rPr>
                <w:rStyle w:val="623"/>
                <w:rFonts w:hint="eastAsia" w:ascii="仿宋" w:hAnsi="仿宋" w:eastAsia="仿宋" w:cs="仿宋"/>
                <w:sz w:val="24"/>
                <w:szCs w:val="24"/>
              </w:rPr>
              <w:fldChar w:fldCharType="begin"/>
            </w:r>
            <w:r>
              <w:rPr>
                <w:rStyle w:val="623"/>
                <w:rFonts w:hint="eastAsia" w:ascii="仿宋" w:hAnsi="仿宋" w:eastAsia="仿宋" w:cs="仿宋"/>
                <w:sz w:val="24"/>
                <w:szCs w:val="24"/>
              </w:rPr>
              <w:instrText xml:space="preserve"> eq \o\ac(</w:instrText>
            </w:r>
            <w:r>
              <w:rPr>
                <w:rStyle w:val="623"/>
                <w:rFonts w:hint="eastAsia" w:ascii="仿宋" w:hAnsi="仿宋" w:eastAsia="仿宋" w:cs="仿宋"/>
                <w:position w:val="-4"/>
                <w:sz w:val="36"/>
                <w:szCs w:val="24"/>
              </w:rPr>
              <w:instrText xml:space="preserve">□</w:instrText>
            </w:r>
            <w:r>
              <w:rPr>
                <w:rStyle w:val="623"/>
                <w:rFonts w:hint="eastAsia" w:ascii="仿宋" w:hAnsi="仿宋" w:eastAsia="仿宋" w:cs="仿宋"/>
                <w:sz w:val="24"/>
                <w:szCs w:val="24"/>
              </w:rPr>
              <w:instrText xml:space="preserve">,√)</w:instrText>
            </w:r>
            <w:r>
              <w:rPr>
                <w:rStyle w:val="623"/>
                <w:rFonts w:hint="eastAsia" w:ascii="仿宋" w:hAnsi="仿宋" w:eastAsia="仿宋" w:cs="仿宋"/>
                <w:sz w:val="24"/>
                <w:szCs w:val="24"/>
              </w:rPr>
              <w:fldChar w:fldCharType="end"/>
            </w:r>
            <w:r>
              <w:rPr>
                <w:rStyle w:val="623"/>
                <w:rFonts w:hint="eastAsia" w:ascii="仿宋" w:hAnsi="仿宋" w:eastAsia="仿宋" w:cs="仿宋"/>
                <w:sz w:val="24"/>
                <w:szCs w:val="24"/>
              </w:rPr>
              <w:t>否，自行踏勘。</w:t>
            </w:r>
          </w:p>
          <w:p>
            <w:pPr>
              <w:pStyle w:val="407"/>
              <w:spacing w:before="0" w:after="0" w:line="360" w:lineRule="auto"/>
              <w:ind w:left="0" w:leftChars="0" w:firstLine="0" w:firstLineChars="0"/>
              <w:rPr>
                <w:rStyle w:val="623"/>
                <w:rFonts w:hint="eastAsia" w:ascii="仿宋" w:hAnsi="仿宋" w:eastAsia="仿宋" w:cs="仿宋"/>
                <w:sz w:val="24"/>
                <w:szCs w:val="24"/>
              </w:rPr>
            </w:pPr>
            <w:r>
              <w:rPr>
                <w:rStyle w:val="623"/>
                <w:rFonts w:hint="eastAsia" w:ascii="仿宋" w:hAnsi="仿宋" w:eastAsia="仿宋" w:cs="仿宋"/>
                <w:sz w:val="24"/>
                <w:szCs w:val="24"/>
              </w:rPr>
              <w:fldChar w:fldCharType="begin"/>
            </w:r>
            <w:r>
              <w:rPr>
                <w:rStyle w:val="623"/>
                <w:rFonts w:hint="eastAsia" w:ascii="仿宋" w:hAnsi="仿宋" w:eastAsia="仿宋" w:cs="仿宋"/>
                <w:sz w:val="24"/>
                <w:szCs w:val="24"/>
              </w:rPr>
              <w:instrText xml:space="preserve"> eq \o\ac(</w:instrText>
            </w:r>
            <w:r>
              <w:rPr>
                <w:rStyle w:val="623"/>
                <w:rFonts w:hint="eastAsia" w:ascii="仿宋" w:hAnsi="仿宋" w:eastAsia="仿宋" w:cs="仿宋"/>
                <w:position w:val="-4"/>
                <w:sz w:val="36"/>
                <w:szCs w:val="24"/>
              </w:rPr>
              <w:instrText xml:space="preserve">□</w:instrText>
            </w:r>
            <w:r>
              <w:rPr>
                <w:rStyle w:val="623"/>
                <w:rFonts w:hint="eastAsia" w:ascii="仿宋" w:hAnsi="仿宋" w:eastAsia="仿宋" w:cs="仿宋"/>
                <w:sz w:val="24"/>
                <w:szCs w:val="24"/>
              </w:rPr>
              <w:instrText xml:space="preserve">)</w:instrText>
            </w:r>
            <w:r>
              <w:rPr>
                <w:rStyle w:val="623"/>
                <w:rFonts w:hint="eastAsia" w:ascii="仿宋" w:hAnsi="仿宋" w:eastAsia="仿宋" w:cs="仿宋"/>
                <w:sz w:val="24"/>
                <w:szCs w:val="24"/>
              </w:rPr>
              <w:fldChar w:fldCharType="end"/>
            </w:r>
            <w:r>
              <w:rPr>
                <w:rStyle w:val="623"/>
                <w:rFonts w:hint="eastAsia" w:ascii="仿宋" w:hAnsi="仿宋" w:eastAsia="仿宋" w:cs="仿宋"/>
                <w:sz w:val="24"/>
                <w:szCs w:val="24"/>
              </w:rPr>
              <w:t>统一组织。</w:t>
            </w:r>
          </w:p>
          <w:p>
            <w:pPr>
              <w:pStyle w:val="407"/>
              <w:spacing w:before="0" w:after="0" w:line="360" w:lineRule="auto"/>
              <w:ind w:left="0" w:leftChars="0" w:firstLine="0" w:firstLineChars="0"/>
              <w:rPr>
                <w:rStyle w:val="623"/>
                <w:rFonts w:hint="eastAsia" w:ascii="仿宋" w:hAnsi="仿宋" w:eastAsia="仿宋" w:cs="仿宋"/>
                <w:sz w:val="24"/>
                <w:szCs w:val="24"/>
              </w:rPr>
            </w:pPr>
            <w:r>
              <w:rPr>
                <w:rStyle w:val="623"/>
                <w:rFonts w:hint="eastAsia" w:ascii="仿宋" w:hAnsi="仿宋" w:eastAsia="仿宋" w:cs="仿宋"/>
                <w:sz w:val="24"/>
                <w:szCs w:val="24"/>
              </w:rPr>
              <w:t>联系人：/    联系电话：/</w:t>
            </w:r>
          </w:p>
          <w:p>
            <w:pPr>
              <w:pStyle w:val="161"/>
              <w:spacing w:line="360" w:lineRule="auto"/>
              <w:ind w:firstLine="0"/>
              <w:rPr>
                <w:rFonts w:hint="eastAsia" w:ascii="仿宋" w:hAnsi="仿宋" w:eastAsia="仿宋" w:cs="仿宋"/>
                <w:snapToGrid w:val="0"/>
                <w:color w:val="000000" w:themeColor="text1"/>
                <w:szCs w:val="24"/>
                <w:lang w:eastAsia="zh-CN"/>
                <w14:textFill>
                  <w14:solidFill>
                    <w14:schemeClr w14:val="tx1"/>
                  </w14:solidFill>
                </w14:textFill>
              </w:rPr>
            </w:pPr>
            <w:r>
              <w:rPr>
                <w:rStyle w:val="623"/>
                <w:rFonts w:hint="eastAsia" w:ascii="仿宋" w:hAnsi="仿宋" w:eastAsia="仿宋" w:cs="仿宋"/>
                <w:sz w:val="24"/>
                <w:szCs w:val="24"/>
              </w:rPr>
              <w:t xml:space="preserve">踏勘时间：/    踏勘地点：/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4</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资金来源</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5</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环境标志产品</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节能产品</w:t>
            </w:r>
          </w:p>
        </w:tc>
        <w:tc>
          <w:tcPr>
            <w:tcW w:w="6034" w:type="dxa"/>
            <w:noWrap/>
            <w:vAlign w:val="center"/>
          </w:tcPr>
          <w:p>
            <w:pPr>
              <w:pStyle w:val="407"/>
              <w:spacing w:before="0" w:after="0" w:line="360" w:lineRule="auto"/>
              <w:ind w:left="0" w:leftChars="0" w:firstLine="0" w:firstLineChars="0"/>
              <w:rPr>
                <w:rStyle w:val="623"/>
                <w:rFonts w:ascii="仿宋" w:hAnsi="仿宋" w:eastAsia="仿宋" w:cs="仿宋"/>
                <w:sz w:val="24"/>
                <w:szCs w:val="24"/>
                <w:highlight w:val="none"/>
              </w:rPr>
            </w:pPr>
            <w:r>
              <w:rPr>
                <w:rStyle w:val="623"/>
                <w:rFonts w:hint="eastAsia" w:ascii="仿宋" w:hAnsi="仿宋" w:eastAsia="仿宋" w:cs="仿宋"/>
                <w:sz w:val="24"/>
                <w:szCs w:val="24"/>
                <w:highlight w:val="none"/>
              </w:rPr>
              <w:t>优先采购环境标志产品政策，节能产品政策</w:t>
            </w:r>
          </w:p>
          <w:p>
            <w:pPr>
              <w:pStyle w:val="407"/>
              <w:spacing w:before="0" w:after="0" w:line="360" w:lineRule="auto"/>
              <w:ind w:left="0" w:leftChars="0" w:firstLine="0" w:firstLineChars="0"/>
              <w:rPr>
                <w:rStyle w:val="623"/>
                <w:rFonts w:ascii="仿宋" w:hAnsi="仿宋" w:eastAsia="仿宋" w:cs="仿宋"/>
                <w:sz w:val="24"/>
                <w:szCs w:val="24"/>
                <w:highlight w:val="none"/>
              </w:rPr>
            </w:pPr>
            <w:r>
              <w:rPr>
                <w:rStyle w:val="623"/>
                <w:rFonts w:hint="eastAsia" w:ascii="仿宋" w:hAnsi="仿宋" w:eastAsia="仿宋" w:cs="仿宋"/>
                <w:sz w:val="24"/>
                <w:szCs w:val="24"/>
                <w:highlight w:val="none"/>
              </w:rPr>
              <w:fldChar w:fldCharType="begin"/>
            </w:r>
            <w:r>
              <w:rPr>
                <w:rStyle w:val="623"/>
                <w:rFonts w:hint="eastAsia" w:ascii="仿宋" w:hAnsi="仿宋" w:eastAsia="仿宋" w:cs="仿宋"/>
                <w:sz w:val="24"/>
                <w:szCs w:val="24"/>
                <w:highlight w:val="none"/>
              </w:rPr>
              <w:instrText xml:space="preserve"> eq \o\ac(</w:instrText>
            </w:r>
            <w:r>
              <w:rPr>
                <w:rStyle w:val="623"/>
                <w:rFonts w:hint="eastAsia" w:ascii="仿宋" w:hAnsi="仿宋" w:eastAsia="仿宋" w:cs="仿宋"/>
                <w:position w:val="-4"/>
                <w:sz w:val="24"/>
                <w:szCs w:val="24"/>
                <w:highlight w:val="none"/>
              </w:rPr>
              <w:instrText xml:space="preserve">□</w:instrText>
            </w:r>
            <w:r>
              <w:rPr>
                <w:rStyle w:val="623"/>
                <w:rFonts w:hint="eastAsia" w:ascii="仿宋" w:hAnsi="仿宋" w:eastAsia="仿宋" w:cs="仿宋"/>
                <w:sz w:val="24"/>
                <w:szCs w:val="24"/>
                <w:highlight w:val="none"/>
              </w:rPr>
              <w:instrText xml:space="preserve">)</w:instrText>
            </w:r>
            <w:r>
              <w:rPr>
                <w:rStyle w:val="623"/>
                <w:rFonts w:hint="eastAsia" w:ascii="仿宋" w:hAnsi="仿宋" w:eastAsia="仿宋" w:cs="仿宋"/>
                <w:sz w:val="24"/>
                <w:szCs w:val="24"/>
                <w:highlight w:val="none"/>
              </w:rPr>
              <w:fldChar w:fldCharType="end"/>
            </w:r>
            <w:r>
              <w:rPr>
                <w:rStyle w:val="623"/>
                <w:rFonts w:hint="eastAsia" w:ascii="仿宋" w:hAnsi="仿宋" w:eastAsia="仿宋" w:cs="仿宋"/>
                <w:sz w:val="24"/>
                <w:szCs w:val="24"/>
                <w:highlight w:val="none"/>
              </w:rPr>
              <w:t xml:space="preserve">适用  </w:t>
            </w:r>
            <w:r>
              <w:rPr>
                <w:rStyle w:val="623"/>
                <w:rFonts w:hint="eastAsia" w:ascii="仿宋" w:hAnsi="仿宋" w:eastAsia="仿宋" w:cs="仿宋"/>
                <w:sz w:val="24"/>
                <w:szCs w:val="24"/>
                <w:highlight w:val="none"/>
              </w:rPr>
              <w:fldChar w:fldCharType="begin"/>
            </w:r>
            <w:r>
              <w:rPr>
                <w:rStyle w:val="623"/>
                <w:rFonts w:hint="eastAsia" w:ascii="仿宋" w:hAnsi="仿宋" w:eastAsia="仿宋" w:cs="仿宋"/>
                <w:sz w:val="24"/>
                <w:szCs w:val="24"/>
                <w:highlight w:val="none"/>
              </w:rPr>
              <w:instrText xml:space="preserve"> eq \o\ac(</w:instrText>
            </w:r>
            <w:r>
              <w:rPr>
                <w:rStyle w:val="623"/>
                <w:rFonts w:hint="eastAsia" w:ascii="仿宋" w:hAnsi="仿宋" w:eastAsia="仿宋" w:cs="仿宋"/>
                <w:position w:val="-4"/>
                <w:sz w:val="24"/>
                <w:szCs w:val="24"/>
                <w:highlight w:val="none"/>
              </w:rPr>
              <w:instrText xml:space="preserve">□</w:instrText>
            </w:r>
            <w:r>
              <w:rPr>
                <w:rStyle w:val="623"/>
                <w:rFonts w:hint="eastAsia" w:ascii="仿宋" w:hAnsi="仿宋" w:eastAsia="仿宋" w:cs="仿宋"/>
                <w:position w:val="-4"/>
                <w:sz w:val="24"/>
                <w:szCs w:val="24"/>
                <w:highlight w:val="none"/>
                <w:lang w:eastAsia="zh-CN"/>
              </w:rPr>
              <w:instrText xml:space="preserve">,</w:instrText>
            </w:r>
            <w:r>
              <w:rPr>
                <w:rStyle w:val="623"/>
                <w:rFonts w:hint="eastAsia" w:ascii="仿宋" w:hAnsi="仿宋" w:eastAsia="仿宋" w:cs="仿宋"/>
                <w:position w:val="-1"/>
                <w:sz w:val="16"/>
                <w:szCs w:val="24"/>
                <w:highlight w:val="none"/>
                <w:lang w:eastAsia="zh-CN"/>
              </w:rPr>
              <w:instrText xml:space="preserve">√</w:instrText>
            </w:r>
            <w:r>
              <w:rPr>
                <w:rStyle w:val="623"/>
                <w:rFonts w:hint="eastAsia" w:ascii="仿宋" w:hAnsi="仿宋" w:eastAsia="仿宋" w:cs="仿宋"/>
                <w:sz w:val="24"/>
                <w:szCs w:val="24"/>
                <w:highlight w:val="none"/>
              </w:rPr>
              <w:instrText xml:space="preserve">)</w:instrText>
            </w:r>
            <w:r>
              <w:rPr>
                <w:rStyle w:val="623"/>
                <w:rFonts w:hint="eastAsia" w:ascii="仿宋" w:hAnsi="仿宋" w:eastAsia="仿宋" w:cs="仿宋"/>
                <w:sz w:val="24"/>
                <w:szCs w:val="24"/>
                <w:highlight w:val="none"/>
              </w:rPr>
              <w:fldChar w:fldCharType="end"/>
            </w:r>
            <w:r>
              <w:rPr>
                <w:rStyle w:val="623"/>
                <w:rFonts w:hint="eastAsia" w:ascii="仿宋" w:hAnsi="仿宋" w:eastAsia="仿宋" w:cs="仿宋"/>
                <w:sz w:val="24"/>
                <w:szCs w:val="24"/>
                <w:highlight w:val="none"/>
              </w:rPr>
              <w:t xml:space="preserve">不适用  </w:t>
            </w:r>
          </w:p>
          <w:p>
            <w:pPr>
              <w:autoSpaceDE w:val="0"/>
              <w:autoSpaceDN w:val="0"/>
              <w:snapToGrid w:val="0"/>
              <w:spacing w:line="360" w:lineRule="auto"/>
              <w:ind w:right="105" w:rightChars="50"/>
              <w:rPr>
                <w:rFonts w:hint="eastAsia" w:ascii="仿宋" w:hAnsi="仿宋" w:eastAsia="仿宋" w:cs="仿宋"/>
                <w:color w:val="000000" w:themeColor="text1"/>
                <w:sz w:val="24"/>
                <w14:textFill>
                  <w14:solidFill>
                    <w14:schemeClr w14:val="tx1"/>
                  </w14:solidFill>
                </w14:textFill>
              </w:rPr>
            </w:pPr>
            <w:r>
              <w:rPr>
                <w:rStyle w:val="623"/>
                <w:rFonts w:hint="eastAsia" w:ascii="仿宋" w:hAnsi="仿宋" w:eastAsia="仿宋" w:cs="仿宋"/>
                <w:sz w:val="24"/>
                <w:szCs w:val="24"/>
                <w:highlight w:val="none"/>
              </w:rPr>
              <w:t>提供中国政府采购网（</w:t>
            </w:r>
            <w:r>
              <w:rPr>
                <w:highlight w:val="none"/>
              </w:rPr>
              <w:fldChar w:fldCharType="begin"/>
            </w:r>
            <w:r>
              <w:rPr>
                <w:highlight w:val="none"/>
              </w:rPr>
              <w:instrText xml:space="preserve"> HYPERLINK "http://www.ccgp.gov.cn/jnhb/jnhbqd/" </w:instrText>
            </w:r>
            <w:r>
              <w:rPr>
                <w:highlight w:val="none"/>
              </w:rPr>
              <w:fldChar w:fldCharType="separate"/>
            </w:r>
            <w:r>
              <w:rPr>
                <w:rStyle w:val="623"/>
                <w:rFonts w:hint="eastAsia" w:ascii="仿宋" w:hAnsi="仿宋" w:eastAsia="仿宋" w:cs="仿宋"/>
                <w:sz w:val="24"/>
                <w:szCs w:val="24"/>
                <w:highlight w:val="none"/>
              </w:rPr>
              <w:t>节能环保清单-中国政府采购网 (ccgp.gov.cn)</w:t>
            </w:r>
            <w:r>
              <w:rPr>
                <w:rStyle w:val="623"/>
                <w:rFonts w:hint="eastAsia" w:ascii="仿宋" w:hAnsi="仿宋" w:eastAsia="仿宋" w:cs="仿宋"/>
                <w:sz w:val="24"/>
                <w:szCs w:val="24"/>
                <w:highlight w:val="none"/>
              </w:rPr>
              <w:fldChar w:fldCharType="end"/>
            </w:r>
            <w:r>
              <w:rPr>
                <w:rStyle w:val="623"/>
                <w:rFonts w:hint="eastAsia" w:ascii="仿宋" w:hAnsi="仿宋" w:eastAsia="仿宋" w:cs="仿宋"/>
                <w:sz w:val="24"/>
                <w:szCs w:val="24"/>
                <w:highlight w:val="none"/>
              </w:rPr>
              <w:t>）网页查询文件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6</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响应产品主体</w:t>
            </w:r>
          </w:p>
        </w:tc>
        <w:tc>
          <w:tcPr>
            <w:tcW w:w="6034" w:type="dxa"/>
            <w:noWrap/>
            <w:vAlign w:val="center"/>
          </w:tcPr>
          <w:p>
            <w:pPr>
              <w:autoSpaceDE w:val="0"/>
              <w:autoSpaceDN w:val="0"/>
              <w:snapToGrid w:val="0"/>
              <w:spacing w:line="360" w:lineRule="auto"/>
              <w:ind w:right="105" w:rightChars="5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7</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投标保证金▲</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lang w:val="en-US" w:eastAsia="zh-CN"/>
                <w14:textFill>
                  <w14:solidFill>
                    <w14:schemeClr w14:val="tx1"/>
                  </w14:solidFill>
                </w14:textFill>
              </w:rPr>
              <w:t>1.</w:t>
            </w:r>
            <w:r>
              <w:rPr>
                <w:rFonts w:hint="eastAsia" w:ascii="仿宋" w:hAnsi="仿宋" w:eastAsia="仿宋" w:cs="仿宋"/>
                <w:snapToGrid w:val="0"/>
                <w:color w:val="000000" w:themeColor="text1"/>
                <w:szCs w:val="24"/>
                <w14:textFill>
                  <w14:solidFill>
                    <w14:schemeClr w14:val="tx1"/>
                  </w14:solidFill>
                </w14:textFill>
              </w:rPr>
              <w:t>投标保证金的金额：</w:t>
            </w:r>
            <w:r>
              <w:rPr>
                <w:rFonts w:hint="eastAsia" w:ascii="仿宋" w:hAnsi="仿宋" w:eastAsia="仿宋" w:cs="仿宋"/>
                <w:snapToGrid w:val="0"/>
                <w:color w:val="000000" w:themeColor="text1"/>
                <w:szCs w:val="24"/>
                <w:lang w:val="en-US" w:eastAsia="zh-CN"/>
                <w14:textFill>
                  <w14:solidFill>
                    <w14:schemeClr w14:val="tx1"/>
                  </w14:solidFill>
                </w14:textFill>
              </w:rPr>
              <w:t>9130</w:t>
            </w:r>
            <w:r>
              <w:rPr>
                <w:rFonts w:hint="eastAsia" w:ascii="仿宋" w:hAnsi="仿宋" w:eastAsia="仿宋" w:cs="仿宋"/>
                <w:snapToGrid w:val="0"/>
                <w:color w:val="000000" w:themeColor="text1"/>
                <w:szCs w:val="24"/>
                <w:highlight w:val="none"/>
                <w14:textFill>
                  <w14:solidFill>
                    <w14:schemeClr w14:val="tx1"/>
                  </w14:solidFill>
                </w14:textFill>
              </w:rPr>
              <w:t>元</w:t>
            </w:r>
            <w:r>
              <w:rPr>
                <w:rFonts w:hint="eastAsia" w:ascii="仿宋" w:hAnsi="仿宋" w:eastAsia="仿宋" w:cs="仿宋"/>
                <w:snapToGrid w:val="0"/>
                <w:color w:val="000000" w:themeColor="text1"/>
                <w:szCs w:val="24"/>
                <w14:textFill>
                  <w14:solidFill>
                    <w14:schemeClr w14:val="tx1"/>
                  </w14:solidFill>
                </w14:textFill>
              </w:rPr>
              <w:t xml:space="preserve"> (大写：</w:t>
            </w:r>
            <w:r>
              <w:rPr>
                <w:rFonts w:hint="eastAsia" w:ascii="仿宋" w:hAnsi="仿宋" w:eastAsia="仿宋" w:cs="仿宋"/>
                <w:snapToGrid w:val="0"/>
                <w:color w:val="000000" w:themeColor="text1"/>
                <w:szCs w:val="24"/>
                <w:lang w:eastAsia="zh-CN"/>
                <w14:textFill>
                  <w14:solidFill>
                    <w14:schemeClr w14:val="tx1"/>
                  </w14:solidFill>
                </w14:textFill>
              </w:rPr>
              <w:t>玖仟壹佰叁拾元整</w:t>
            </w:r>
            <w:r>
              <w:rPr>
                <w:rFonts w:hint="eastAsia" w:ascii="仿宋" w:hAnsi="仿宋" w:eastAsia="仿宋" w:cs="仿宋"/>
                <w:snapToGrid w:val="0"/>
                <w:color w:val="000000" w:themeColor="text1"/>
                <w:szCs w:val="24"/>
                <w14:textFill>
                  <w14:solidFill>
                    <w14:schemeClr w14:val="tx1"/>
                  </w14:solidFill>
                </w14:textFill>
              </w:rPr>
              <w:t>）</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2.投标保证金的形式：现金/银行汇票/银行支票/银行保函。</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如采用银行转账方式，</w:t>
            </w:r>
            <w:r>
              <w:rPr>
                <w:rFonts w:hint="eastAsia" w:ascii="仿宋" w:hAnsi="仿宋" w:eastAsia="仿宋" w:cs="仿宋"/>
                <w:snapToGrid w:val="0"/>
                <w:color w:val="000000" w:themeColor="text1"/>
                <w:szCs w:val="24"/>
                <w:lang w:eastAsia="zh-CN"/>
                <w14:textFill>
                  <w14:solidFill>
                    <w14:schemeClr w14:val="tx1"/>
                  </w14:solidFill>
                </w14:textFill>
              </w:rPr>
              <w:t>供应商</w:t>
            </w:r>
            <w:r>
              <w:rPr>
                <w:rFonts w:hint="eastAsia" w:ascii="仿宋" w:hAnsi="仿宋" w:eastAsia="仿宋" w:cs="仿宋"/>
                <w:snapToGrid w:val="0"/>
                <w:color w:val="000000" w:themeColor="text1"/>
                <w:szCs w:val="24"/>
                <w14:textFill>
                  <w14:solidFill>
                    <w14:schemeClr w14:val="tx1"/>
                  </w14:solidFill>
                </w14:textFill>
              </w:rPr>
              <w:t>必须在投标截止时间之前从</w:t>
            </w:r>
            <w:r>
              <w:rPr>
                <w:rFonts w:hint="eastAsia" w:ascii="仿宋" w:hAnsi="仿宋" w:eastAsia="仿宋" w:cs="仿宋"/>
                <w:snapToGrid w:val="0"/>
                <w:color w:val="000000" w:themeColor="text1"/>
                <w:szCs w:val="24"/>
                <w:lang w:eastAsia="zh-CN"/>
                <w14:textFill>
                  <w14:solidFill>
                    <w14:schemeClr w14:val="tx1"/>
                  </w14:solidFill>
                </w14:textFill>
              </w:rPr>
              <w:t>供应商</w:t>
            </w:r>
            <w:r>
              <w:rPr>
                <w:rFonts w:hint="eastAsia" w:ascii="仿宋" w:hAnsi="仿宋" w:eastAsia="仿宋" w:cs="仿宋"/>
                <w:snapToGrid w:val="0"/>
                <w:color w:val="000000" w:themeColor="text1"/>
                <w:szCs w:val="24"/>
                <w14:textFill>
                  <w14:solidFill>
                    <w14:schemeClr w14:val="tx1"/>
                  </w14:solidFill>
                </w14:textFill>
              </w:rPr>
              <w:t>账户中转出；银行汇票/银行支票/银行保函方式须递交原件（银行保函格式见应答文件格式）</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3.投标保证金有效期与投标有效期一致。</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4.提交投标保证金的截止时间为：投标文件递交截止时间。</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5.保证金提交账号信息如下：</w:t>
            </w:r>
            <w:r>
              <w:rPr>
                <w:rFonts w:hint="eastAsia" w:ascii="仿宋" w:hAnsi="仿宋" w:eastAsia="仿宋" w:cs="仿宋"/>
                <w:snapToGrid w:val="0"/>
                <w:color w:val="000000" w:themeColor="text1"/>
                <w:szCs w:val="24"/>
                <w14:textFill>
                  <w14:solidFill>
                    <w14:schemeClr w14:val="tx1"/>
                  </w14:solidFill>
                </w14:textFill>
              </w:rPr>
              <w:cr/>
            </w:r>
            <w:r>
              <w:rPr>
                <w:rFonts w:hint="eastAsia" w:ascii="仿宋" w:hAnsi="仿宋" w:eastAsia="仿宋" w:cs="仿宋"/>
                <w:snapToGrid w:val="0"/>
                <w:color w:val="000000" w:themeColor="text1"/>
                <w:szCs w:val="24"/>
                <w14:textFill>
                  <w14:solidFill>
                    <w14:schemeClr w14:val="tx1"/>
                  </w14:solidFill>
                </w14:textFill>
              </w:rPr>
              <w:t>【账户名称】：新疆正禾招投标有限公司</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【开 户 行】：中国银行乌鲁木齐市鲤鱼山北路支行  </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【帐   号】：107682142279</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【行   号】：104881004153</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注：须在汇款单上备注“</w:t>
            </w:r>
            <w:r>
              <w:rPr>
                <w:rFonts w:hint="eastAsia" w:ascii="仿宋" w:hAnsi="仿宋" w:eastAsia="仿宋" w:cs="仿宋"/>
                <w:snapToGrid w:val="0"/>
                <w:color w:val="000000" w:themeColor="text1"/>
                <w:szCs w:val="24"/>
                <w:lang w:eastAsia="zh-CN"/>
                <w14:textFill>
                  <w14:solidFill>
                    <w14:schemeClr w14:val="tx1"/>
                  </w14:solidFill>
                </w14:textFill>
              </w:rPr>
              <w:t>00</w:t>
            </w:r>
            <w:r>
              <w:rPr>
                <w:rFonts w:hint="eastAsia" w:ascii="仿宋" w:hAnsi="仿宋" w:eastAsia="仿宋" w:cs="仿宋"/>
                <w:snapToGrid w:val="0"/>
                <w:color w:val="000000" w:themeColor="text1"/>
                <w:szCs w:val="24"/>
                <w:lang w:val="en-US" w:eastAsia="zh-CN"/>
                <w14:textFill>
                  <w14:solidFill>
                    <w14:schemeClr w14:val="tx1"/>
                  </w14:solidFill>
                </w14:textFill>
              </w:rPr>
              <w:t>8</w:t>
            </w:r>
            <w:r>
              <w:rPr>
                <w:rFonts w:hint="eastAsia" w:ascii="仿宋" w:hAnsi="仿宋" w:eastAsia="仿宋" w:cs="仿宋"/>
                <w:snapToGrid w:val="0"/>
                <w:color w:val="000000" w:themeColor="text1"/>
                <w:szCs w:val="24"/>
                <w:lang w:eastAsia="zh-CN"/>
                <w14:textFill>
                  <w14:solidFill>
                    <w14:schemeClr w14:val="tx1"/>
                  </w14:solidFill>
                </w14:textFill>
              </w:rPr>
              <w:t>9保证金</w:t>
            </w:r>
            <w:r>
              <w:rPr>
                <w:rFonts w:hint="eastAsia" w:ascii="仿宋" w:hAnsi="仿宋" w:eastAsia="仿宋" w:cs="仿宋"/>
                <w:snapToGrid w:val="0"/>
                <w:color w:val="000000" w:themeColor="text1"/>
                <w:szCs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8</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响应文件有效期▲</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自响应截止时间起90天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9</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bCs/>
                <w:snapToGrid w:val="0"/>
                <w:color w:val="000000" w:themeColor="text1"/>
                <w:szCs w:val="24"/>
                <w14:textFill>
                  <w14:solidFill>
                    <w14:schemeClr w14:val="tx1"/>
                  </w14:solidFill>
                </w14:textFill>
              </w:rPr>
              <w:t>提交首次响应文件截止时间</w:t>
            </w:r>
            <w:r>
              <w:rPr>
                <w:rFonts w:hint="eastAsia" w:ascii="仿宋" w:hAnsi="仿宋" w:eastAsia="仿宋" w:cs="仿宋"/>
                <w:snapToGrid w:val="0"/>
                <w:color w:val="000000" w:themeColor="text1"/>
                <w:szCs w:val="24"/>
                <w14:textFill>
                  <w14:solidFill>
                    <w14:schemeClr w14:val="tx1"/>
                  </w14:solidFill>
                </w14:textFill>
              </w:rPr>
              <w:t>▲</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10</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响应文件递交地点▲</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11</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响应文件开启时间▲</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12</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lang w:eastAsia="zh-CN"/>
                <w14:textFill>
                  <w14:solidFill>
                    <w14:schemeClr w14:val="tx1"/>
                  </w14:solidFill>
                </w14:textFill>
              </w:rPr>
              <w:t>工期</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40</w:t>
            </w:r>
            <w:r>
              <w:rPr>
                <w:rFonts w:hint="eastAsia" w:ascii="仿宋" w:hAnsi="仿宋" w:eastAsia="仿宋" w:cs="仿宋"/>
                <w:snapToGrid w:val="0"/>
                <w:color w:val="000000" w:themeColor="text1"/>
                <w:szCs w:val="24"/>
                <w:highlight w:val="none"/>
                <w:lang w:eastAsia="zh-CN"/>
                <w14:textFill>
                  <w14:solidFill>
                    <w14:schemeClr w14:val="tx1"/>
                  </w14:solidFill>
                </w14:textFill>
              </w:rPr>
              <w:t>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13</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lang w:eastAsia="zh-CN"/>
                <w14:textFill>
                  <w14:solidFill>
                    <w14:schemeClr w14:val="tx1"/>
                  </w14:solidFill>
                </w14:textFill>
              </w:rPr>
              <w:t>工程</w:t>
            </w:r>
            <w:r>
              <w:rPr>
                <w:rFonts w:hint="eastAsia" w:ascii="仿宋" w:hAnsi="仿宋" w:eastAsia="仿宋" w:cs="仿宋"/>
                <w:snapToGrid w:val="0"/>
                <w:color w:val="000000" w:themeColor="text1"/>
                <w:szCs w:val="24"/>
                <w14:textFill>
                  <w14:solidFill>
                    <w14:schemeClr w14:val="tx1"/>
                  </w14:solidFill>
                </w14:textFill>
              </w:rPr>
              <w:t>地点</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乌鲁木齐市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default" w:ascii="仿宋" w:hAnsi="仿宋" w:eastAsia="仿宋" w:cs="仿宋"/>
                <w:snapToGrid w:val="0"/>
                <w:color w:val="000000" w:themeColor="text1"/>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14</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lang w:eastAsia="zh-CN"/>
                <w14:textFill>
                  <w14:solidFill>
                    <w14:schemeClr w14:val="tx1"/>
                  </w14:solidFill>
                </w14:textFill>
              </w:rPr>
              <w:t>质保期</w:t>
            </w:r>
          </w:p>
        </w:tc>
        <w:tc>
          <w:tcPr>
            <w:tcW w:w="6034" w:type="dxa"/>
            <w:noWrap/>
            <w:vAlign w:val="center"/>
          </w:tcPr>
          <w:p>
            <w:pPr>
              <w:pStyle w:val="161"/>
              <w:spacing w:line="360" w:lineRule="auto"/>
              <w:ind w:firstLine="0"/>
              <w:rPr>
                <w:rFonts w:hint="default" w:ascii="仿宋" w:hAnsi="仿宋" w:eastAsia="仿宋" w:cs="仿宋"/>
                <w:snapToGrid w:val="0"/>
                <w:color w:val="000000" w:themeColor="text1"/>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eastAsia="zh-CN"/>
                <w14:textFill>
                  <w14:solidFill>
                    <w14:schemeClr w14:val="tx1"/>
                  </w14:solidFill>
                </w14:textFill>
              </w:rPr>
              <w:t>符合行业标准要求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14</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答疑</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如认为采购文件表述不清晰的，请于投标截止日48小时之前将疑问发送至该电子邮件（邮箱zh6660570@qq.com）。答疑回复内容是采购文件的组成部份，并将以更正公告的形式在本采购公告发布的同一媒体发布，请供应商密切关注更正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15</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采购文件的澄清与修改</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人或者采购代理机构可以对已发出的采购文件进行必要的澄清或者修改。澄清或者修改的内容可能影响响应文件编制的，采购人或者采购代理机构应当在响应截止时间至少5日前，将以更正公告的形式在采购公告发布的同一媒体发布。采购文件的修改和澄清（答疑）答复的文件作为采购采购文件的补充和组成部分，对所有供应商均有约束力。若后续仍有更正内容，将继续以更正公告形式在本网站发布，请供应商密切关注更正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16</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响应文件形式▲</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本项目实行电子投标。</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响应文件：电子加密响应文件</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（1）“电子加密响应文件”是指通过“政采云电子交易客户端”完成响应文件编制后生成并加密的数据电文形式的响应文件（后缀格式为.jmbs）</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备份响应文件”是指与“电子加密响应文件”同时生成的数据电文形式的电子文件（备份响应文件，用于供应商电子加密响应文件解密异常时应急使用），其他方式编制的备份响应文件视为无效备份响应文件。备份响应文件（后缀格式为.bfbs）以U盘形式提供。备份文件不做强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17</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响应文件的上传和递交</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（1）电子加密响应文件：响应文件制作完成并生成加密文件，在响应截止时间前，供应商需将加密的响应文件上传至新疆政府采购网，到达开标时间后，进行解密。</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供应商未能在响应截止时间前成功上传电子加密响应文件的响应无效。</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（2）备份响应文件：响应截止时间前，供应商应将备份响应文件递交至开标地点，以便电子加密响应文件解密异常时应急使用。</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备份响应文件递交要求：供应商须将备份响应文件以U盘形式单独放在密封袋中，密封后并在密封袋上注明项目名称、响应单位名称并加盖公章。未密封包装或者逾期送达的“备份响应文件”将不予接收。</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若选择非开标当天递交，请确保在投标截止日之前1小时，将备份响应文件通过快递形式或直接送达采购代理机构处，以便标书解密异常时应急使用（地址：乌鲁木齐市高新区新市区鲤鱼山北路199号集电港A座511，接收人：杨慧，电话：0991-6660570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18</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询标澄清</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在评标过程中，如评审小组对响应文件有疑问，由评审组长或代理机构代为将问题汇总后发起询标澄清函，供应商应在规定截止时间前回复相关内容并提交。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19</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质疑</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根据《中华人民共和国政府采购法》第五十二条的规定，供应商认为</w:t>
            </w:r>
            <w:r>
              <w:rPr>
                <w:rFonts w:hint="eastAsia" w:ascii="仿宋" w:hAnsi="仿宋" w:eastAsia="仿宋" w:cs="仿宋"/>
                <w:snapToGrid w:val="0"/>
                <w:color w:val="000000" w:themeColor="text1"/>
                <w:szCs w:val="24"/>
                <w:lang w:eastAsia="zh-CN"/>
                <w14:textFill>
                  <w14:solidFill>
                    <w14:schemeClr w14:val="tx1"/>
                  </w14:solidFill>
                </w14:textFill>
              </w:rPr>
              <w:t>采购文件</w:t>
            </w:r>
            <w:r>
              <w:rPr>
                <w:rFonts w:hint="eastAsia" w:ascii="仿宋" w:hAnsi="仿宋" w:eastAsia="仿宋" w:cs="仿宋"/>
                <w:snapToGrid w:val="0"/>
                <w:color w:val="000000" w:themeColor="text1"/>
                <w:szCs w:val="24"/>
                <w14:textFill>
                  <w14:solidFill>
                    <w14:schemeClr w14:val="tx1"/>
                  </w14:solidFill>
                </w14:textFill>
              </w:rPr>
              <w:t>、采购过程和中标、成交结果使自己的权益受到损害的，可以在知道或者应知其权益受到损害之日起七个工作日内，以书面形式向采购人、采购代理机构提出质疑。</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政府采购法第五十二条规定的供应商应知其权益受到损害之日，是指：</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（一）对可以质疑的采购文件提出质疑的，为收到采购文件之日或者采购文件公告期限届满之日；</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（二）对采购过程提出质疑的，为各采购程序环节结束之日；</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（三）对中标或者成交结果提出质疑的，为中标或者成交结果公告期限届满之日。</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20</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投诉</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中华人民共和国政府采购法》第五十五条的规定，质疑供应商对采购人、采购代理机构的答复不满意或者采购人、采购代理机构未在规定的时间内作出答复的，可以在答复期满后十五个工作日内向同级政府采购监督管理部门投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21</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样品</w:t>
            </w:r>
          </w:p>
        </w:tc>
        <w:tc>
          <w:tcPr>
            <w:tcW w:w="6034" w:type="dxa"/>
            <w:noWrap/>
            <w:vAlign w:val="center"/>
          </w:tcPr>
          <w:p>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eq \o\ac(</w:instrText>
            </w:r>
            <w:r>
              <w:rPr>
                <w:rFonts w:hint="eastAsia" w:ascii="仿宋" w:hAnsi="仿宋" w:eastAsia="仿宋" w:cs="仿宋"/>
                <w:color w:val="000000" w:themeColor="text1"/>
                <w:position w:val="-4"/>
                <w:sz w:val="36"/>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color w:val="000000" w:themeColor="text1"/>
                <w:sz w:val="24"/>
                <w14:textFill>
                  <w14:solidFill>
                    <w14:schemeClr w14:val="tx1"/>
                  </w14:solidFill>
                </w14:textFill>
              </w:rPr>
              <w:t xml:space="preserve"> 不提供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22</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演示</w:t>
            </w:r>
          </w:p>
        </w:tc>
        <w:tc>
          <w:tcPr>
            <w:tcW w:w="6034" w:type="dxa"/>
            <w:noWrap/>
            <w:vAlign w:val="center"/>
          </w:tcPr>
          <w:p>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eq \o\ac(</w:instrText>
            </w:r>
            <w:r>
              <w:rPr>
                <w:rFonts w:hint="eastAsia" w:ascii="仿宋" w:hAnsi="仿宋" w:eastAsia="仿宋" w:cs="仿宋"/>
                <w:color w:val="000000" w:themeColor="text1"/>
                <w:position w:val="-4"/>
                <w:sz w:val="36"/>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color w:val="000000" w:themeColor="text1"/>
                <w:sz w:val="24"/>
                <w14:textFill>
                  <w14:solidFill>
                    <w14:schemeClr w14:val="tx1"/>
                  </w14:solidFill>
                </w14:textFill>
              </w:rPr>
              <w:t xml:space="preserve"> 不要求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23</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支持中小企业</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1.说明</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（1）中小企业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符合中小企业划分标准的个体工商户，在政府采购活动中视同中小企业。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响应文件中须同时出具《政府采购促进中小企业发展管理办法》【财库（2020）46号】规定的《中小企业声明函》，否则不得享受价格扣除。</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（2）残疾人福利性单位</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符合《关于促进残疾人就业政府采购政策的通知》（财库〔2017〕141号）规定的条件并提供提供《残疾人福利性单位声明函》的残疾人福利性单位视同小型、微型企业；</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（3）监狱企业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2.价格扣除：</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本项目对符合规定的小微企业（含小型企业）报价给予</w:t>
            </w:r>
            <w:r>
              <w:rPr>
                <w:rFonts w:hint="eastAsia" w:ascii="仿宋" w:hAnsi="仿宋" w:eastAsia="仿宋" w:cs="仿宋"/>
                <w:color w:val="000000" w:themeColor="text1"/>
                <w:sz w:val="24"/>
                <w:u w:val="single"/>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的扣除。</w:t>
            </w:r>
          </w:p>
          <w:p>
            <w:pPr>
              <w:pStyle w:val="640"/>
              <w:spacing w:line="360" w:lineRule="auto"/>
              <w:ind w:left="0" w:leftChars="0" w:firstLine="0" w:firstLineChars="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3.本项目采购标的名称为：</w:t>
            </w:r>
            <w:r>
              <w:rPr>
                <w:rFonts w:hint="eastAsia" w:ascii="仿宋" w:hAnsi="仿宋" w:eastAsia="仿宋" w:cs="仿宋"/>
                <w:b/>
                <w:bCs/>
                <w:color w:val="000000" w:themeColor="text1"/>
                <w:sz w:val="24"/>
                <w:szCs w:val="24"/>
                <w:lang w:eastAsia="zh-CN"/>
                <w14:textFill>
                  <w14:solidFill>
                    <w14:schemeClr w14:val="tx1"/>
                  </w14:solidFill>
                </w14:textFill>
              </w:rPr>
              <w:t>装修维修</w:t>
            </w:r>
          </w:p>
          <w:p>
            <w:pPr>
              <w:pStyle w:val="640"/>
              <w:spacing w:line="36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4.所属行业为：</w:t>
            </w:r>
            <w:r>
              <w:rPr>
                <w:rFonts w:hint="eastAsia" w:ascii="仿宋" w:hAnsi="仿宋" w:eastAsia="仿宋" w:cs="仿宋"/>
                <w:b/>
                <w:bCs/>
                <w:color w:val="000000" w:themeColor="text1"/>
                <w:sz w:val="24"/>
                <w:szCs w:val="24"/>
                <w14:textFill>
                  <w14:solidFill>
                    <w14:schemeClr w14:val="tx1"/>
                  </w14:solidFill>
                </w14:textFill>
              </w:rPr>
              <w:t>建筑业</w:t>
            </w:r>
          </w:p>
          <w:p>
            <w:pPr>
              <w:pStyle w:val="640"/>
              <w:spacing w:line="360" w:lineRule="auto"/>
              <w:ind w:left="0" w:leftChars="0" w:firstLine="0" w:firstLineChars="0"/>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联合体和分包</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对于联合协议约定小微企业（货物由小微企业制造）的合同份额占到合同总金额30%以上的，其报价给予6%的扣除，用扣除后的价格参加评审。组成联合体的小微企业与联合体内其他企业之间存在直接控股、管理关系的，不享受价格扣除优惠政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对于分包意向协议约定小微企业（货物由小微企业制造）的合同份额占到合同总金额30%以上的，其报价给予6%的扣除，用扣除后的价格参加评审。接受分包的小微企业与分包企业之间存在直接控股、管理关系的，不享受价格扣除优惠政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以联合体形式进行投标的，参加联合体的供应商均应当具备政府采购法第二十二条规定的条件，并应当在投标文件中提交联合协议，载明联合体各方承担的工作和义务。联合体各方应当共同与采购人签订采购合同，就采购合同约定的事项对采购人承担连带责任。</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（5）以联合体形式参加投标的，联合体各方不得再单独参加或者与其他供应商另外组成联合体参加本项目的投标。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25</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联合体投标说明</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（1）联合体投标的，联合体各方的业绩证明材料均认可。</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（2）联合体投标的，联合体中有一方或者联合体成员根据分工按采购文件评标细则要求提供材料的，视为符合了相关要求。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26</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w:t>
            </w:r>
          </w:p>
        </w:tc>
        <w:tc>
          <w:tcPr>
            <w:tcW w:w="6034" w:type="dxa"/>
            <w:noWrap/>
            <w:vAlign w:val="center"/>
          </w:tcPr>
          <w:p>
            <w:pPr>
              <w:pStyle w:val="33"/>
              <w:snapToGrid w:val="0"/>
              <w:spacing w:line="360" w:lineRule="auto"/>
              <w:rPr>
                <w:rFonts w:hint="eastAsia" w:ascii="仿宋" w:hAnsi="仿宋" w:eastAsia="仿宋" w:cs="仿宋"/>
                <w:snapToGrid w:val="0"/>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snapToGrid w:val="0"/>
                <w:color w:val="000000" w:themeColor="text1"/>
                <w:sz w:val="24"/>
                <w:szCs w:val="24"/>
                <w14:textFill>
                  <w14:solidFill>
                    <w14:schemeClr w14:val="tx1"/>
                  </w14:solidFill>
                </w14:textFill>
              </w:rPr>
              <w:t>采购文件中凡标注“▲”的条款均为实质性要求，不响应的响应文件将作无效标处理。</w:t>
            </w:r>
          </w:p>
          <w:p>
            <w:pPr>
              <w:pStyle w:val="33"/>
              <w:snapToGrid w:val="0"/>
              <w:spacing w:line="360" w:lineRule="auto"/>
              <w:rPr>
                <w:rFonts w:hint="eastAsia" w:ascii="仿宋" w:hAnsi="仿宋" w:eastAsia="仿宋" w:cs="仿宋"/>
                <w:snapToGrid w:val="0"/>
                <w:color w:val="000000" w:themeColor="text1"/>
                <w:sz w:val="24"/>
                <w:szCs w:val="24"/>
                <w14:textFill>
                  <w14:solidFill>
                    <w14:schemeClr w14:val="tx1"/>
                  </w14:solidFill>
                </w14:textFill>
              </w:rPr>
            </w:pPr>
            <w:r>
              <w:rPr>
                <w:rFonts w:hint="eastAsia" w:ascii="仿宋" w:hAnsi="仿宋" w:eastAsia="仿宋" w:cs="仿宋"/>
                <w:snapToGrid w:val="0"/>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供应商未上传电子加密响应文件，其响应无效。</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napToGrid w:val="0"/>
                <w:color w:val="000000" w:themeColor="text1"/>
                <w:sz w:val="24"/>
                <w:szCs w:val="24"/>
                <w14:textFill>
                  <w14:solidFill>
                    <w14:schemeClr w14:val="tx1"/>
                  </w14:solidFill>
                </w14:textFill>
              </w:rPr>
              <w:t>（3）供应商上传了</w:t>
            </w:r>
            <w:r>
              <w:rPr>
                <w:rFonts w:hint="eastAsia" w:ascii="仿宋" w:hAnsi="仿宋" w:eastAsia="仿宋" w:cs="仿宋"/>
                <w:color w:val="000000" w:themeColor="text1"/>
                <w:sz w:val="24"/>
                <w:szCs w:val="24"/>
                <w14:textFill>
                  <w14:solidFill>
                    <w14:schemeClr w14:val="tx1"/>
                  </w14:solidFill>
                </w14:textFill>
              </w:rPr>
              <w:t>电子加密响应文件，未提供备份响应文件，解密出现问题后，由此导致对该供应商无法评审的，其后果由该供应商自行承担。</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（4）各供应商自行在新疆政府采购网下载或查阅采购文件和相关更正公告等，不另行通知，如有遗漏采购人、采购代理机构概不负责。</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（5）两家或两家以上供应商提供的响应文件出自同一终端设备的，或在相同Internet主机分配地址（相同IP地址）报名或网上投标的，后果由供应商自行承担。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27</w:t>
            </w:r>
          </w:p>
        </w:tc>
        <w:tc>
          <w:tcPr>
            <w:tcW w:w="1844" w:type="dxa"/>
            <w:noWrap/>
            <w:vAlign w:val="center"/>
          </w:tcPr>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投标文件解密时长▲</w:t>
            </w:r>
          </w:p>
        </w:tc>
        <w:tc>
          <w:tcPr>
            <w:tcW w:w="6034" w:type="dxa"/>
            <w:noWrap/>
            <w:vAlign w:val="center"/>
          </w:tcPr>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30分钟。</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若未在开标时间后30分钟内解密的，视为撤销其投标文件。</w:t>
            </w:r>
          </w:p>
        </w:tc>
      </w:tr>
    </w:tbl>
    <w:p>
      <w:pPr>
        <w:rPr>
          <w:rFonts w:ascii="仿宋_GB2312" w:hAnsi="仿宋_GB2312" w:eastAsia="仿宋_GB2312" w:cs="仿宋_GB2312"/>
          <w:b/>
          <w:sz w:val="32"/>
          <w:szCs w:val="20"/>
        </w:rPr>
      </w:pPr>
    </w:p>
    <w:p>
      <w:pPr>
        <w:adjustRightInd/>
        <w:spacing w:line="360" w:lineRule="auto"/>
        <w:ind w:firstLine="3845" w:firstLineChars="1197"/>
        <w:outlineLvl w:val="0"/>
        <w:rPr>
          <w:rFonts w:ascii="仿宋_GB2312" w:hAnsi="仿宋_GB2312" w:eastAsia="仿宋_GB2312" w:cs="仿宋_GB2312"/>
          <w:b/>
          <w:sz w:val="32"/>
          <w:szCs w:val="20"/>
        </w:rPr>
      </w:pPr>
      <w:bookmarkStart w:id="14" w:name="_Toc22917"/>
      <w:r>
        <w:rPr>
          <w:rFonts w:hint="eastAsia" w:ascii="仿宋_GB2312" w:hAnsi="仿宋_GB2312" w:eastAsia="仿宋_GB2312" w:cs="仿宋_GB2312"/>
          <w:b/>
          <w:sz w:val="32"/>
          <w:szCs w:val="20"/>
        </w:rPr>
        <w:t>二、总则</w:t>
      </w:r>
      <w:bookmarkEnd w:id="14"/>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适用范围</w:t>
      </w:r>
    </w:p>
    <w:p>
      <w:pPr>
        <w:snapToGrid w:val="0"/>
        <w:spacing w:line="360" w:lineRule="auto"/>
        <w:ind w:firstLine="480" w:firstLineChars="200"/>
        <w:jc w:val="left"/>
        <w:rPr>
          <w:rFonts w:ascii="仿宋_GB2312" w:hAnsi="仿宋" w:eastAsia="仿宋_GB2312"/>
          <w:sz w:val="24"/>
        </w:rPr>
      </w:pPr>
      <w:r>
        <w:rPr>
          <w:rFonts w:hint="eastAsia" w:ascii="仿宋_GB2312" w:hAnsi="仿宋" w:eastAsia="仿宋_GB2312"/>
          <w:sz w:val="24"/>
        </w:rPr>
        <w:t>本磋商文件适用于该项目的邀请、响应、开启响应文件、信用信息查询、资格性审查、评审、成交、合同、验收等行为（法律、法规另有规定的，从其规定）。</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定义</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“采购人”系指磋商邀请公告中载明的本项目的采购人。</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“采购代理机构”系指磋商邀请公告中载明的本项目的采购代理机构。</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“供应商”系指响应磋商、参加本次竞争的法人、其他组织或自然人。</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“负责人”系指法人企业的法定负责人，或其他组织为法律、行政法规规定代表单位行使职权的主要负责人，或自然人本人。</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“成交人”系指经评审确定的成交供应商。</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“响应文件”系指供应商提交的商务技术文件。供应商提交最后报价后，最后报价是供应商响应文件的有效组成部分。</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“电子交易平台”是指本项目政府采购活动所依托的政府采购云平台（</w:t>
      </w:r>
      <w:r>
        <w:fldChar w:fldCharType="begin"/>
      </w:r>
      <w:r>
        <w:instrText xml:space="preserve"> HYPERLINK "https://www.zcygov.cn/" </w:instrText>
      </w:r>
      <w:r>
        <w:fldChar w:fldCharType="separate"/>
      </w:r>
      <w:r>
        <w:rPr>
          <w:rStyle w:val="69"/>
          <w:rFonts w:hint="eastAsia" w:ascii="仿宋_GB2312" w:hAnsi="仿宋" w:eastAsia="仿宋_GB2312" w:cs="Times New Roman"/>
          <w:snapToGrid/>
          <w:color w:val="auto"/>
          <w:kern w:val="2"/>
          <w:sz w:val="24"/>
          <w:szCs w:val="24"/>
        </w:rPr>
        <w:t>https://www.zcygov.cn/</w:t>
      </w:r>
      <w:r>
        <w:rPr>
          <w:rStyle w:val="69"/>
          <w:rFonts w:hint="eastAsia" w:ascii="仿宋_GB2312" w:hAnsi="仿宋" w:eastAsia="仿宋_GB2312" w:cs="Times New Roman"/>
          <w:snapToGrid/>
          <w:color w:val="auto"/>
          <w:kern w:val="2"/>
          <w:sz w:val="24"/>
          <w:szCs w:val="24"/>
        </w:rPr>
        <w:fldChar w:fldCharType="end"/>
      </w:r>
      <w:r>
        <w:rPr>
          <w:rFonts w:hint="eastAsia" w:ascii="仿宋_GB2312" w:hAnsi="仿宋" w:eastAsia="仿宋_GB2312"/>
          <w:sz w:val="24"/>
        </w:rPr>
        <w:t>）。</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5）。</w:t>
      </w:r>
    </w:p>
    <w:p>
      <w:pPr>
        <w:numPr>
          <w:ilvl w:val="1"/>
          <w:numId w:val="14"/>
        </w:numPr>
        <w:spacing w:line="360" w:lineRule="auto"/>
        <w:ind w:left="10" w:firstLine="387"/>
        <w:rPr>
          <w:rFonts w:ascii="仿宋_GB2312" w:hAnsi="仿宋" w:eastAsia="仿宋_GB2312"/>
          <w:b/>
          <w:bCs/>
          <w:sz w:val="24"/>
        </w:rPr>
      </w:pPr>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系指实质性要求条款，“</w:t>
      </w:r>
      <w:sdt>
        <w:sdtPr>
          <w:rPr>
            <w:rFonts w:hint="eastAsia" w:ascii="仿宋_GB2312" w:hAnsi="仿宋" w:eastAsia="仿宋_GB2312" w:cs="Arial"/>
            <w:b/>
            <w:bCs/>
            <w:kern w:val="0"/>
            <w:sz w:val="24"/>
          </w:rPr>
          <w:id w:val="512970236"/>
        </w:sdtPr>
        <w:sdtEndPr>
          <w:rPr>
            <w:rFonts w:hint="eastAsia" w:ascii="仿宋_GB2312" w:hAnsi="仿宋" w:eastAsia="仿宋_GB2312" w:cs="Arial"/>
            <w:b/>
            <w:bCs/>
            <w:kern w:val="0"/>
            <w:sz w:val="24"/>
          </w:rPr>
        </w:sdtEndPr>
        <w:sdtContent>
          <w:r>
            <w:rPr>
              <w:rFonts w:ascii="Wingdings" w:hAnsi="Wingdings" w:eastAsia="仿宋_GB2312" w:cs="Arial"/>
              <w:b/>
              <w:bCs/>
              <w:kern w:val="0"/>
              <w:sz w:val="24"/>
            </w:rPr>
            <w:t></w:t>
          </w:r>
        </w:sdtContent>
      </w:sdt>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系指适用本项目的要求，“</w:t>
      </w:r>
      <w:sdt>
        <w:sdtPr>
          <w:rPr>
            <w:rFonts w:hint="eastAsia" w:ascii="仿宋_GB2312" w:hAnsi="仿宋" w:eastAsia="仿宋_GB2312" w:cs="Arial"/>
            <w:b/>
            <w:bCs/>
            <w:kern w:val="0"/>
            <w:sz w:val="24"/>
          </w:rPr>
          <w:id w:val="404888855"/>
        </w:sdtPr>
        <w:sdtEndPr>
          <w:rPr>
            <w:rFonts w:hint="eastAsia" w:ascii="仿宋_GB2312" w:hAnsi="仿宋" w:eastAsia="仿宋_GB2312" w:cs="Arial"/>
            <w:b/>
            <w:bCs/>
            <w:kern w:val="0"/>
            <w:sz w:val="24"/>
          </w:rPr>
        </w:sdtEndPr>
        <w:sdtContent>
          <w:r>
            <w:rPr>
              <w:rFonts w:ascii="MS Gothic" w:hAnsi="MS Gothic" w:eastAsia="MS Gothic" w:cs="Arial"/>
              <w:b/>
              <w:bCs/>
              <w:kern w:val="0"/>
              <w:sz w:val="24"/>
            </w:rPr>
            <w:t>☐</w:t>
          </w:r>
        </w:sdtContent>
      </w:sdt>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系指不适用本项目的要求。</w:t>
      </w:r>
    </w:p>
    <w:p>
      <w:pPr>
        <w:pStyle w:val="23"/>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采购项目需要落实的政府采购政策</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支持绿色发展</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磋商文件要求提供相关产品认证证书。</w:t>
      </w:r>
    </w:p>
    <w:p>
      <w:pPr>
        <w:spacing w:line="360" w:lineRule="auto"/>
        <w:ind w:firstLine="420"/>
        <w:rPr>
          <w:rFonts w:ascii="仿宋_GB2312" w:hAnsi="仿宋" w:eastAsia="仿宋_GB2312"/>
          <w:b/>
          <w:sz w:val="24"/>
        </w:rPr>
      </w:pPr>
      <w:r>
        <w:rPr>
          <w:rFonts w:ascii="仿宋_GB2312" w:hAnsi="仿宋" w:eastAsia="仿宋_GB2312"/>
          <w:sz w:val="24"/>
        </w:rPr>
        <w:t>▲</w:t>
      </w:r>
      <w:r>
        <w:rPr>
          <w:rFonts w:hint="eastAsia" w:ascii="仿宋_GB2312" w:hAnsi="仿宋" w:eastAsia="仿宋_GB2312"/>
          <w:b/>
          <w:sz w:val="24"/>
        </w:rPr>
        <w:t>采购人拟采购的产品属于政府强制采购的节能产品品目清单范围的，供应商未按磋商文件要求提供国家确定的认证机构出具的、处于有效期之内的节能产品认证证书的，响应无效。</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修缮、装修类项目采购建材的，采购人应将绿色建筑和绿色建材性能、指标等作为实质性条件纳入磋商文件和合同。</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支持中小企业发展</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仿宋_GB2312" w:hAnsi="仿宋" w:eastAsia="仿宋_GB2312"/>
          <w:sz w:val="24"/>
        </w:rPr>
      </w:pPr>
      <w:r>
        <w:rPr>
          <w:rFonts w:ascii="仿宋_GB2312" w:hAnsi="仿宋" w:eastAsia="仿宋_GB2312"/>
          <w:sz w:val="24"/>
        </w:rPr>
        <w:t>符合中小企业划分标准的个体工商户，在政府采购活动中视同中小企业。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在政府采购活动中，供应商提供的货物、工程或者服务符合下列情形的，享受中小企业扶持政策：</w:t>
      </w:r>
    </w:p>
    <w:p>
      <w:pPr>
        <w:widowControl/>
        <w:numPr>
          <w:ilvl w:val="3"/>
          <w:numId w:val="15"/>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在货物采购项目中，货物由中小企业制造，即货物由中小企业生产且使用该中小企业商号或者注册商标；</w:t>
      </w:r>
    </w:p>
    <w:p>
      <w:pPr>
        <w:widowControl/>
        <w:numPr>
          <w:ilvl w:val="3"/>
          <w:numId w:val="15"/>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在工程采购项目中，工程由中小企业承建，即工程施工单位为中小企业；</w:t>
      </w:r>
    </w:p>
    <w:p>
      <w:pPr>
        <w:widowControl/>
        <w:numPr>
          <w:ilvl w:val="3"/>
          <w:numId w:val="15"/>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在货物采购项目中，供应商提供的货物既有中小企业制造货物，也有大型企业制造货物的，不享受中小企业扶持政策。</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以联合体形式参加政府采购活动，联合体各方均为中小企业的，联合体视同中小企业。其中，联合体各方均为小微企业的，联合体视同小微企业。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对于未预留份额专门面向中小企业的政府采购货物或服务或工程项目，以及预留份额政府采购货物或服务项目中的非预留部分标项，对小型和微型企业的最后报价给予10%（工程项目为5%）的扣除，用扣除后的价格参与评审。接受大中型企业与小微企业组成联合体或者允许大中型企业向一家或者多家小微企业分包的政府采购货物或服务或工程项目，对于联合协议或者分包意向协议约定小微企业的合同份额占到合同总金额30%以上的，对联合体或者大中型企业的报价给予6%（工程项目为2%）的扣除，用扣除后的价格参加评审。组成联合体或者接受分包的小微企业与联合体内其他企业、分包企业之间存在直接控股、管理关系的，不享受价格扣除优惠政策。</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符合《关于促进残疾人就业政府采购政策的通知》（财库〔2017〕141号）规定的条件并提供《残疾人福利性单位声明函》（附件1）的残疾人福利性单位视同小型、微型企业；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中小企业享受扶持政策获得政府采购合同的，小微企业不得将合同分包给大中型企业，中型企业不得将合同分包给大型企业。</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支持创新发展</w:t>
      </w:r>
    </w:p>
    <w:p>
      <w:pPr>
        <w:spacing w:line="360" w:lineRule="auto"/>
        <w:ind w:firstLine="480" w:firstLineChars="200"/>
        <w:rPr>
          <w:rFonts w:ascii="仿宋_GB2312" w:hAnsi="仿宋" w:eastAsia="仿宋_GB2312"/>
          <w:sz w:val="24"/>
        </w:rPr>
      </w:pPr>
      <w:r>
        <w:rPr>
          <w:rFonts w:ascii="仿宋_GB2312" w:hAnsi="仿宋" w:eastAsia="仿宋_GB2312"/>
          <w:sz w:val="24"/>
        </w:rPr>
        <w:t>3.4.1 采购人优先采购被认定</w:t>
      </w:r>
      <w:r>
        <w:rPr>
          <w:rFonts w:hint="eastAsia" w:ascii="仿宋_GB2312" w:hAnsi="仿宋" w:eastAsia="仿宋_GB2312"/>
          <w:sz w:val="24"/>
        </w:rPr>
        <w:t>为首台套产品和“制造精品”的自主创新产品。</w:t>
      </w:r>
    </w:p>
    <w:p>
      <w:pPr>
        <w:spacing w:line="360" w:lineRule="auto"/>
        <w:ind w:firstLine="480" w:firstLineChars="200"/>
        <w:rPr>
          <w:rFonts w:ascii="仿宋_GB2312" w:hAnsi="仿宋" w:eastAsia="仿宋_GB2312"/>
          <w:sz w:val="24"/>
        </w:rPr>
      </w:pPr>
      <w:r>
        <w:rPr>
          <w:rFonts w:ascii="仿宋_GB2312" w:hAnsi="仿宋" w:eastAsia="仿宋_GB2312"/>
          <w:sz w:val="24"/>
        </w:rPr>
        <w:t>3.4.2</w:t>
      </w:r>
      <w:r>
        <w:rPr>
          <w:rFonts w:hint="eastAsia" w:ascii="仿宋_GB2312" w:hAnsi="仿宋" w:eastAsia="仿宋_GB2312"/>
          <w:sz w:val="24"/>
        </w:rPr>
        <w:t>对省级以上主管部门认定的首台套产品，自纳入《省推广应用指导目录》起三年内参加政府采购活动,视同已具备相应销售业绩,业绩分为满分。产品核心技术高于国内领先水平，并具有明晰自主知识产权的“制造精品”产品，自认定之日起2年内视同已具备相应销售业绩，参加政府采购活动时业绩分值为满分。</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中小企业信用融资</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为支持和促进中小企业发展，进一步发挥政府采购政策功能，供应商若有融资意向，详见《政府采购支持中小企业信用融资相关事项通知》，查看信用融资政策文件及各相关银行服务方案。</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平等对待内外资企业和符合条件的破产重整企业</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平等对待内外资企业和符合条件的破产重整企业，切实保障企业公平竞争，平等维护企业的合法利益。</w:t>
      </w:r>
    </w:p>
    <w:p>
      <w:pPr>
        <w:pStyle w:val="60"/>
        <w:ind w:firstLine="420"/>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询问、质疑、投诉</w:t>
      </w:r>
    </w:p>
    <w:p>
      <w:pPr>
        <w:numPr>
          <w:ilvl w:val="1"/>
          <w:numId w:val="16"/>
        </w:numPr>
        <w:spacing w:line="360" w:lineRule="auto"/>
        <w:rPr>
          <w:rFonts w:ascii="仿宋_GB2312" w:hAnsi="仿宋" w:eastAsia="仿宋_GB2312"/>
          <w:bCs/>
          <w:sz w:val="24"/>
          <w:lang w:val="zh-CN"/>
        </w:rPr>
      </w:pPr>
      <w:r>
        <w:rPr>
          <w:rFonts w:hint="eastAsia" w:ascii="仿宋_GB2312" w:hAnsi="仿宋" w:eastAsia="仿宋_GB2312"/>
          <w:bCs/>
          <w:sz w:val="24"/>
          <w:lang w:val="zh-CN"/>
        </w:rPr>
        <w:t>供应商询问</w:t>
      </w:r>
    </w:p>
    <w:p>
      <w:pPr>
        <w:spacing w:line="360" w:lineRule="auto"/>
        <w:ind w:firstLine="480" w:firstLineChars="200"/>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供应商对政府采购活动事项有疑问的，可以提出询问，采购人或者采购代理机构应当在</w:t>
      </w:r>
      <w:r>
        <w:rPr>
          <w:rFonts w:ascii="仿宋_GB2312" w:hAnsi="仿宋" w:eastAsia="仿宋_GB2312" w:cs="微软雅黑"/>
          <w:kern w:val="0"/>
          <w:sz w:val="24"/>
          <w:lang w:val="zh-CN"/>
        </w:rPr>
        <w:t>3个工作日内对供应</w:t>
      </w:r>
      <w:r>
        <w:rPr>
          <w:rFonts w:hint="eastAsia" w:ascii="仿宋_GB2312" w:hAnsi="仿宋" w:eastAsia="仿宋_GB2312" w:cs="微软雅黑"/>
          <w:kern w:val="0"/>
          <w:sz w:val="24"/>
          <w:lang w:val="zh-CN"/>
        </w:rPr>
        <w:t>商依法提出的询问作出答复，但答复的内容不得涉及商业秘密。供应商提出的询问超出采购人对采购代理机构委托授权范围的，采购代理机构应当告知供应商向采购人提出。</w:t>
      </w:r>
    </w:p>
    <w:p>
      <w:pPr>
        <w:numPr>
          <w:ilvl w:val="1"/>
          <w:numId w:val="16"/>
        </w:numPr>
        <w:spacing w:line="360" w:lineRule="auto"/>
        <w:rPr>
          <w:rFonts w:ascii="仿宋_GB2312" w:hAnsi="仿宋" w:eastAsia="仿宋_GB2312"/>
          <w:bCs/>
          <w:sz w:val="24"/>
          <w:lang w:val="zh-CN"/>
        </w:rPr>
      </w:pPr>
      <w:r>
        <w:rPr>
          <w:rFonts w:hint="eastAsia" w:ascii="仿宋_GB2312" w:hAnsi="仿宋" w:eastAsia="仿宋_GB2312"/>
          <w:bCs/>
          <w:sz w:val="24"/>
          <w:lang w:val="zh-CN"/>
        </w:rPr>
        <w:t>供应商质疑</w:t>
      </w:r>
    </w:p>
    <w:p>
      <w:pPr>
        <w:pStyle w:val="33"/>
        <w:numPr>
          <w:ilvl w:val="2"/>
          <w:numId w:val="16"/>
        </w:numPr>
        <w:spacing w:line="360" w:lineRule="auto"/>
        <w:ind w:left="8" w:firstLine="632"/>
        <w:rPr>
          <w:rFonts w:ascii="仿宋_GB2312" w:hAnsi="仿宋" w:eastAsia="仿宋_GB2312"/>
          <w:sz w:val="24"/>
        </w:rPr>
      </w:pPr>
      <w:r>
        <w:rPr>
          <w:rFonts w:ascii="仿宋_GB2312" w:hAnsi="仿宋" w:eastAsia="仿宋_GB2312"/>
          <w:sz w:val="24"/>
        </w:rPr>
        <w:t>提出质疑的供应商应当是参与所质疑项目采购活动的供应商。潜在供应商已依法获取其可质疑的</w:t>
      </w:r>
      <w:r>
        <w:rPr>
          <w:rFonts w:hint="eastAsia" w:ascii="仿宋_GB2312" w:hAnsi="仿宋" w:eastAsia="仿宋_GB2312"/>
          <w:sz w:val="24"/>
        </w:rPr>
        <w:t>磋商文件</w:t>
      </w:r>
      <w:r>
        <w:rPr>
          <w:rFonts w:ascii="仿宋_GB2312" w:hAnsi="仿宋" w:eastAsia="仿宋_GB2312"/>
          <w:sz w:val="24"/>
        </w:rPr>
        <w:t>的，可以对该文件提出质疑。</w:t>
      </w:r>
    </w:p>
    <w:p>
      <w:pPr>
        <w:pStyle w:val="33"/>
        <w:numPr>
          <w:ilvl w:val="2"/>
          <w:numId w:val="16"/>
        </w:numPr>
        <w:spacing w:line="360" w:lineRule="auto"/>
        <w:ind w:left="8" w:firstLine="632"/>
        <w:rPr>
          <w:rFonts w:ascii="仿宋_GB2312" w:hAnsi="仿宋" w:eastAsia="仿宋_GB2312"/>
          <w:sz w:val="24"/>
        </w:rPr>
      </w:pPr>
      <w:r>
        <w:rPr>
          <w:rFonts w:ascii="仿宋_GB2312" w:hAnsi="仿宋" w:eastAsia="仿宋_GB2312"/>
          <w:sz w:val="24"/>
        </w:rPr>
        <w:t>供应商认为</w:t>
      </w:r>
      <w:r>
        <w:rPr>
          <w:rFonts w:hint="eastAsia" w:ascii="仿宋_GB2312" w:hAnsi="仿宋" w:eastAsia="仿宋_GB2312"/>
          <w:sz w:val="24"/>
        </w:rPr>
        <w:t>磋商文件</w:t>
      </w:r>
      <w:r>
        <w:rPr>
          <w:rFonts w:ascii="仿宋_GB2312" w:hAnsi="仿宋" w:eastAsia="仿宋_GB2312"/>
          <w:sz w:val="24"/>
        </w:rPr>
        <w:t>、采购过程和</w:t>
      </w:r>
      <w:r>
        <w:rPr>
          <w:rFonts w:hint="eastAsia" w:ascii="仿宋_GB2312" w:hAnsi="仿宋" w:eastAsia="仿宋_GB2312"/>
          <w:sz w:val="24"/>
        </w:rPr>
        <w:t>采购</w:t>
      </w:r>
      <w:r>
        <w:rPr>
          <w:rFonts w:ascii="仿宋_GB2312" w:hAnsi="仿宋" w:eastAsia="仿宋_GB2312"/>
          <w:sz w:val="24"/>
        </w:rPr>
        <w:t>结果使自己的权益受到损害的，可以在知道或者应知其权益受到损害之日起七个工作日内，以书面形式向采购人或者</w:t>
      </w:r>
      <w:r>
        <w:rPr>
          <w:rFonts w:hint="eastAsia" w:ascii="仿宋_GB2312" w:hAnsi="仿宋" w:eastAsia="仿宋_GB2312"/>
          <w:sz w:val="24"/>
        </w:rPr>
        <w:t>采购代理机构</w:t>
      </w:r>
      <w:r>
        <w:rPr>
          <w:rFonts w:ascii="仿宋_GB2312" w:hAnsi="仿宋" w:eastAsia="仿宋_GB2312"/>
          <w:sz w:val="24"/>
        </w:rPr>
        <w:t>提出质疑，否则，采购人或者</w:t>
      </w:r>
      <w:r>
        <w:rPr>
          <w:rFonts w:hint="eastAsia" w:ascii="仿宋_GB2312" w:hAnsi="仿宋" w:eastAsia="仿宋_GB2312"/>
          <w:sz w:val="24"/>
        </w:rPr>
        <w:t>采购代理机构</w:t>
      </w:r>
      <w:r>
        <w:rPr>
          <w:rFonts w:ascii="仿宋_GB2312" w:hAnsi="仿宋" w:eastAsia="仿宋_GB2312"/>
          <w:sz w:val="24"/>
        </w:rPr>
        <w:t>不予受理：</w:t>
      </w:r>
    </w:p>
    <w:p>
      <w:pPr>
        <w:pStyle w:val="15"/>
        <w:numPr>
          <w:ilvl w:val="3"/>
          <w:numId w:val="16"/>
        </w:numPr>
        <w:spacing w:line="360" w:lineRule="auto"/>
        <w:ind w:left="13" w:firstLine="627"/>
        <w:rPr>
          <w:rFonts w:ascii="仿宋_GB2312" w:hAnsi="仿宋" w:eastAsia="仿宋_GB2312"/>
          <w:snapToGrid/>
          <w:color w:val="auto"/>
          <w:kern w:val="2"/>
          <w:sz w:val="24"/>
        </w:rPr>
      </w:pPr>
      <w:r>
        <w:rPr>
          <w:rFonts w:ascii="仿宋_GB2312" w:hAnsi="仿宋" w:eastAsia="仿宋_GB2312"/>
          <w:snapToGrid/>
          <w:color w:val="auto"/>
          <w:kern w:val="2"/>
          <w:sz w:val="24"/>
        </w:rPr>
        <w:t>对</w:t>
      </w:r>
      <w:r>
        <w:rPr>
          <w:rFonts w:hint="eastAsia" w:ascii="仿宋_GB2312" w:hAnsi="仿宋" w:eastAsia="仿宋_GB2312"/>
          <w:snapToGrid/>
          <w:color w:val="auto"/>
          <w:kern w:val="2"/>
          <w:sz w:val="24"/>
        </w:rPr>
        <w:t>磋商文件</w:t>
      </w:r>
      <w:r>
        <w:rPr>
          <w:rFonts w:ascii="仿宋_GB2312" w:hAnsi="仿宋" w:eastAsia="仿宋_GB2312"/>
          <w:snapToGrid/>
          <w:color w:val="auto"/>
          <w:kern w:val="2"/>
          <w:sz w:val="24"/>
        </w:rPr>
        <w:t>提出质疑的，质疑期限为供应商获得</w:t>
      </w:r>
      <w:r>
        <w:rPr>
          <w:rFonts w:hint="eastAsia" w:ascii="仿宋_GB2312" w:hAnsi="仿宋" w:eastAsia="仿宋_GB2312"/>
          <w:snapToGrid/>
          <w:color w:val="auto"/>
          <w:kern w:val="2"/>
          <w:sz w:val="24"/>
        </w:rPr>
        <w:t>磋商文件</w:t>
      </w:r>
      <w:r>
        <w:rPr>
          <w:rFonts w:ascii="仿宋_GB2312" w:hAnsi="仿宋" w:eastAsia="仿宋_GB2312"/>
          <w:snapToGrid/>
          <w:color w:val="auto"/>
          <w:kern w:val="2"/>
          <w:sz w:val="24"/>
        </w:rPr>
        <w:t>之日或者</w:t>
      </w:r>
      <w:r>
        <w:rPr>
          <w:rFonts w:hint="eastAsia" w:ascii="仿宋_GB2312" w:hAnsi="仿宋" w:eastAsia="仿宋_GB2312"/>
          <w:snapToGrid/>
          <w:color w:val="auto"/>
          <w:kern w:val="2"/>
          <w:sz w:val="24"/>
        </w:rPr>
        <w:t>磋商</w:t>
      </w:r>
      <w:r>
        <w:rPr>
          <w:rFonts w:ascii="仿宋_GB2312" w:hAnsi="仿宋" w:eastAsia="仿宋_GB2312"/>
          <w:snapToGrid/>
          <w:color w:val="auto"/>
          <w:kern w:val="2"/>
          <w:sz w:val="24"/>
        </w:rPr>
        <w:t>公告期限届满之日起计算。</w:t>
      </w:r>
    </w:p>
    <w:p>
      <w:pPr>
        <w:pStyle w:val="33"/>
        <w:numPr>
          <w:ilvl w:val="3"/>
          <w:numId w:val="16"/>
        </w:numPr>
        <w:spacing w:line="360" w:lineRule="auto"/>
        <w:ind w:left="13" w:firstLine="627"/>
        <w:rPr>
          <w:rFonts w:ascii="仿宋_GB2312" w:hAnsi="仿宋" w:eastAsia="仿宋_GB2312"/>
          <w:sz w:val="24"/>
        </w:rPr>
      </w:pPr>
      <w:r>
        <w:rPr>
          <w:rFonts w:ascii="仿宋_GB2312" w:hAnsi="仿宋" w:eastAsia="仿宋_GB2312"/>
          <w:sz w:val="24"/>
        </w:rPr>
        <w:t>对采购过程提出质疑的，质疑期限为各采购程序环节结束之日起计算。</w:t>
      </w:r>
    </w:p>
    <w:p>
      <w:pPr>
        <w:pStyle w:val="33"/>
        <w:numPr>
          <w:ilvl w:val="3"/>
          <w:numId w:val="16"/>
        </w:numPr>
        <w:spacing w:line="360" w:lineRule="auto"/>
        <w:ind w:left="13" w:firstLine="627"/>
        <w:rPr>
          <w:rFonts w:ascii="仿宋_GB2312" w:hAnsi="仿宋" w:eastAsia="仿宋_GB2312"/>
          <w:sz w:val="24"/>
        </w:rPr>
      </w:pPr>
      <w:r>
        <w:rPr>
          <w:rFonts w:ascii="仿宋_GB2312" w:hAnsi="仿宋" w:eastAsia="仿宋_GB2312"/>
          <w:sz w:val="24"/>
        </w:rPr>
        <w:t>对</w:t>
      </w:r>
      <w:r>
        <w:rPr>
          <w:rFonts w:hint="eastAsia" w:ascii="仿宋_GB2312" w:hAnsi="仿宋" w:eastAsia="仿宋_GB2312"/>
          <w:sz w:val="24"/>
        </w:rPr>
        <w:t>采购</w:t>
      </w:r>
      <w:r>
        <w:rPr>
          <w:rFonts w:ascii="仿宋_GB2312" w:hAnsi="仿宋" w:eastAsia="仿宋_GB2312"/>
          <w:sz w:val="24"/>
        </w:rPr>
        <w:t>结果提出质疑的，质疑期限自采购结果公告期限届满之日起计算。</w:t>
      </w:r>
    </w:p>
    <w:p>
      <w:pPr>
        <w:pStyle w:val="33"/>
        <w:numPr>
          <w:ilvl w:val="2"/>
          <w:numId w:val="16"/>
        </w:numPr>
        <w:spacing w:line="360" w:lineRule="auto"/>
        <w:ind w:left="8" w:firstLine="632"/>
        <w:rPr>
          <w:rFonts w:ascii="仿宋_GB2312" w:hAnsi="仿宋" w:eastAsia="仿宋_GB2312"/>
          <w:sz w:val="24"/>
          <w:lang w:val="zh-CN"/>
        </w:rPr>
      </w:pPr>
      <w:r>
        <w:rPr>
          <w:rFonts w:hint="eastAsia" w:ascii="仿宋_GB2312" w:hAnsi="仿宋" w:eastAsia="仿宋_GB2312"/>
          <w:sz w:val="24"/>
        </w:rPr>
        <w:t>供应商提出质疑应当提交质疑函和必要的证明材料。质疑函应当包括下列内容：</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供应商的姓名或者名称、地址、邮编、联系人及联系电话；</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质疑项目的名称、编号；</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具体、明确的质疑事项和与质疑事项相关的请求；</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事实依据；</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必要的法律依据；</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提出质疑的日期。</w:t>
      </w:r>
    </w:p>
    <w:p>
      <w:pPr>
        <w:pStyle w:val="618"/>
        <w:shd w:val="clear" w:color="auto" w:fill="FFFFFF"/>
        <w:snapToGrid w:val="0"/>
        <w:spacing w:after="240" w:afterAutospacing="0" w:line="360" w:lineRule="auto"/>
        <w:ind w:firstLine="400"/>
        <w:contextualSpacing/>
        <w:rPr>
          <w:rFonts w:ascii="仿宋_GB2312" w:hAnsi="仿宋" w:eastAsia="仿宋_GB2312"/>
        </w:rPr>
      </w:pPr>
      <w:r>
        <w:rPr>
          <w:rFonts w:hint="eastAsia" w:ascii="仿宋_GB2312" w:hAnsi="仿宋" w:eastAsia="仿宋_GB2312"/>
        </w:rPr>
        <w:t>供应商提交的质疑函需一式三份。供应商为自然人的，应当由本人签字；供应商为法人或者其他组织的，应当由法定代表人、主要负责人，或者其授权代表签字或者盖章，并加盖公章。</w:t>
      </w:r>
    </w:p>
    <w:p>
      <w:pPr>
        <w:pStyle w:val="618"/>
        <w:shd w:val="clear" w:color="auto" w:fill="FFFFFF"/>
        <w:snapToGrid w:val="0"/>
        <w:spacing w:after="240" w:afterAutospacing="0" w:line="360" w:lineRule="auto"/>
        <w:ind w:firstLine="420"/>
        <w:contextualSpacing/>
        <w:rPr>
          <w:rFonts w:ascii="仿宋_GB2312" w:hAnsi="仿宋" w:eastAsia="仿宋_GB2312"/>
        </w:rPr>
      </w:pPr>
      <w:r>
        <w:rPr>
          <w:rFonts w:hint="eastAsia" w:ascii="仿宋_GB2312" w:hAnsi="仿宋" w:eastAsia="仿宋_GB2312"/>
        </w:rPr>
        <w:t>质疑函范本及制作说明详见附件</w:t>
      </w:r>
      <w:r>
        <w:rPr>
          <w:rFonts w:ascii="仿宋_GB2312" w:hAnsi="仿宋" w:eastAsia="仿宋_GB2312"/>
        </w:rPr>
        <w:t>2。</w:t>
      </w:r>
    </w:p>
    <w:p>
      <w:pPr>
        <w:pStyle w:val="33"/>
        <w:numPr>
          <w:ilvl w:val="2"/>
          <w:numId w:val="16"/>
        </w:numPr>
        <w:spacing w:line="360" w:lineRule="auto"/>
        <w:ind w:left="8" w:firstLine="632"/>
        <w:rPr>
          <w:rFonts w:ascii="仿宋_GB2312" w:hAnsi="仿宋" w:eastAsia="仿宋_GB2312"/>
          <w:sz w:val="24"/>
          <w:lang w:val="zh-CN"/>
        </w:rPr>
      </w:pPr>
      <w:r>
        <w:rPr>
          <w:rFonts w:hint="eastAsia" w:ascii="仿宋_GB2312" w:hAnsi="仿宋" w:eastAsia="仿宋_GB2312"/>
          <w:sz w:val="24"/>
          <w:lang w:val="zh-CN"/>
        </w:rPr>
        <w:t>对同一采购程序环节的质疑，供应商须在法定质疑期内一次性提出。</w:t>
      </w:r>
    </w:p>
    <w:p>
      <w:pPr>
        <w:pStyle w:val="33"/>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采购人或者采购代理机构应当在收到供应商的书面质疑后七个工作日内作出答复，并以书面形式通知质疑供应商和其他与质疑处理结果有利害关系的政府采购当事人，但答复的内容不得涉及商业秘密。</w:t>
      </w:r>
      <w:r>
        <w:rPr>
          <w:rFonts w:ascii="仿宋_GB2312" w:hAnsi="仿宋" w:eastAsia="仿宋_GB2312"/>
          <w:sz w:val="24"/>
        </w:rPr>
        <w:t>质疑</w:t>
      </w:r>
      <w:r>
        <w:rPr>
          <w:rFonts w:hint="eastAsia" w:ascii="仿宋_GB2312" w:hAnsi="仿宋" w:eastAsia="仿宋_GB2312"/>
          <w:sz w:val="24"/>
        </w:rPr>
        <w:t>函作为附件上传。</w:t>
      </w:r>
    </w:p>
    <w:p>
      <w:pPr>
        <w:pStyle w:val="33"/>
        <w:numPr>
          <w:ilvl w:val="2"/>
          <w:numId w:val="16"/>
        </w:numPr>
        <w:snapToGrid w:val="0"/>
        <w:spacing w:line="360" w:lineRule="auto"/>
        <w:ind w:left="6" w:firstLine="629"/>
        <w:rPr>
          <w:rFonts w:ascii="仿宋_GB2312" w:hAnsi="仿宋" w:eastAsia="仿宋_GB2312"/>
          <w:sz w:val="24"/>
        </w:rPr>
      </w:pPr>
      <w:r>
        <w:rPr>
          <w:rFonts w:ascii="仿宋_GB2312" w:hAnsi="仿宋" w:eastAsia="仿宋_GB2312"/>
          <w:sz w:val="24"/>
        </w:rPr>
        <w:t>询问或者质疑事项可能影响采购结果的，采购人应当暂停签订合同，已经签订合同的，应当中止履行合同。</w:t>
      </w:r>
    </w:p>
    <w:p>
      <w:pPr>
        <w:numPr>
          <w:ilvl w:val="1"/>
          <w:numId w:val="16"/>
        </w:numPr>
        <w:snapToGrid w:val="0"/>
        <w:spacing w:line="360" w:lineRule="auto"/>
        <w:rPr>
          <w:rFonts w:ascii="仿宋_GB2312" w:hAnsi="仿宋" w:eastAsia="仿宋_GB2312"/>
          <w:bCs/>
          <w:sz w:val="24"/>
          <w:lang w:val="zh-CN"/>
        </w:rPr>
      </w:pPr>
      <w:r>
        <w:rPr>
          <w:rFonts w:hint="eastAsia" w:ascii="仿宋_GB2312" w:hAnsi="仿宋" w:eastAsia="仿宋_GB2312"/>
          <w:bCs/>
          <w:sz w:val="24"/>
          <w:lang w:val="zh-CN"/>
        </w:rPr>
        <w:t>供应商投诉</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ascii="仿宋_GB2312" w:hAnsi="仿宋" w:eastAsia="仿宋_GB2312"/>
        </w:rPr>
        <w:t>质疑供应商对采购人、</w:t>
      </w:r>
      <w:r>
        <w:rPr>
          <w:rFonts w:hint="eastAsia" w:ascii="仿宋_GB2312" w:hAnsi="仿宋" w:eastAsia="仿宋_GB2312"/>
        </w:rPr>
        <w:t>采购代理机构</w:t>
      </w:r>
      <w:r>
        <w:rPr>
          <w:rFonts w:ascii="仿宋_GB2312" w:hAnsi="仿宋" w:eastAsia="仿宋_GB2312"/>
        </w:rPr>
        <w:t>的答复不满意或者采购人、</w:t>
      </w:r>
      <w:r>
        <w:rPr>
          <w:rFonts w:hint="eastAsia" w:ascii="仿宋_GB2312" w:hAnsi="仿宋" w:eastAsia="仿宋_GB2312"/>
        </w:rPr>
        <w:t>采购代理机构</w:t>
      </w:r>
      <w:r>
        <w:rPr>
          <w:rFonts w:ascii="仿宋_GB2312" w:hAnsi="仿宋" w:eastAsia="仿宋_GB2312"/>
        </w:rPr>
        <w:t>未在规定的时间内</w:t>
      </w:r>
      <w:r>
        <w:rPr>
          <w:rFonts w:hint="eastAsia" w:ascii="仿宋_GB2312" w:hAnsi="仿宋" w:eastAsia="仿宋_GB2312"/>
        </w:rPr>
        <w:t>作出答复的，可以在答复期满后十五个工作日内向同级政府采购监督管理部门提出投诉。</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hint="eastAsia" w:ascii="仿宋_GB2312" w:hAnsi="仿宋" w:eastAsia="仿宋_GB2312"/>
        </w:rPr>
        <w:t>供应商投诉的事项不得超出已质疑事项的范围，基于质疑答复内容提出的投诉事项除外。</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ascii="仿宋_GB2312" w:hAnsi="仿宋" w:eastAsia="仿宋_GB2312"/>
        </w:rPr>
        <w:t>供应</w:t>
      </w:r>
      <w:r>
        <w:rPr>
          <w:rFonts w:hint="eastAsia" w:ascii="仿宋_GB2312" w:hAnsi="仿宋" w:eastAsia="仿宋_GB2312"/>
        </w:rPr>
        <w:t>商投诉应当有明确的请求和必要的证明材料。</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hint="eastAsia" w:ascii="仿宋_GB2312" w:hAnsi="仿宋" w:eastAsia="仿宋_GB2312"/>
        </w:rPr>
        <w:t>以联合体形式参加政府采购活动的，其投诉应当由组成联合体的所有供应商共同提出。</w:t>
      </w:r>
    </w:p>
    <w:p>
      <w:pPr>
        <w:pStyle w:val="618"/>
        <w:shd w:val="clear" w:color="auto" w:fill="FFFFFF"/>
        <w:adjustRightInd w:val="0"/>
        <w:snapToGrid w:val="0"/>
        <w:spacing w:before="0" w:beforeAutospacing="0" w:after="0" w:afterAutospacing="0" w:line="360" w:lineRule="auto"/>
        <w:ind w:firstLine="480" w:firstLineChars="200"/>
        <w:contextualSpacing/>
        <w:rPr>
          <w:rFonts w:ascii="仿宋_GB2312" w:hAnsi="仿宋" w:eastAsia="仿宋_GB2312"/>
        </w:rPr>
      </w:pPr>
      <w:r>
        <w:rPr>
          <w:rFonts w:hint="eastAsia" w:ascii="仿宋_GB2312" w:hAnsi="仿宋" w:eastAsia="仿宋_GB2312"/>
        </w:rPr>
        <w:t>投诉书范本及制作说明详见附件</w:t>
      </w:r>
      <w:r>
        <w:rPr>
          <w:rFonts w:ascii="仿宋_GB2312" w:hAnsi="仿宋" w:eastAsia="仿宋_GB2312"/>
        </w:rPr>
        <w:t>3。</w:t>
      </w:r>
    </w:p>
    <w:p>
      <w:pPr>
        <w:adjustRightInd/>
        <w:spacing w:line="360" w:lineRule="auto"/>
        <w:jc w:val="center"/>
        <w:outlineLvl w:val="0"/>
        <w:rPr>
          <w:rFonts w:ascii="仿宋_GB2312" w:hAnsi="仿宋_GB2312" w:eastAsia="仿宋_GB2312" w:cs="仿宋_GB2312"/>
          <w:b/>
          <w:sz w:val="32"/>
          <w:szCs w:val="20"/>
        </w:rPr>
      </w:pPr>
      <w:bookmarkStart w:id="15" w:name="_Toc9095"/>
      <w:r>
        <w:rPr>
          <w:rFonts w:hint="eastAsia" w:ascii="仿宋_GB2312" w:hAnsi="仿宋_GB2312" w:eastAsia="仿宋_GB2312" w:cs="仿宋_GB2312"/>
          <w:b/>
          <w:sz w:val="32"/>
          <w:szCs w:val="20"/>
        </w:rPr>
        <w:t>三、磋商文件构成、修改、解释</w:t>
      </w:r>
      <w:bookmarkEnd w:id="15"/>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磋商文件的构成</w:t>
      </w:r>
    </w:p>
    <w:p>
      <w:pPr>
        <w:pStyle w:val="33"/>
        <w:numPr>
          <w:ilvl w:val="1"/>
          <w:numId w:val="18"/>
        </w:numPr>
        <w:spacing w:line="360" w:lineRule="auto"/>
        <w:rPr>
          <w:rFonts w:ascii="仿宋_GB2312" w:hAnsi="仿宋" w:eastAsia="仿宋_GB2312"/>
          <w:sz w:val="24"/>
          <w:szCs w:val="24"/>
        </w:rPr>
      </w:pPr>
      <w:r>
        <w:rPr>
          <w:rFonts w:hint="eastAsia" w:ascii="仿宋_GB2312" w:hAnsi="仿宋" w:eastAsia="仿宋_GB2312"/>
          <w:sz w:val="24"/>
          <w:szCs w:val="24"/>
        </w:rPr>
        <w:t>磋商文件包括下列文件及附件</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供应商邀请</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竞争性磋商流程</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供应商须知</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采购需求</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评审方法及评审标准</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拟签订的合同文本</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应提交的有关格式范例</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最后报价格式</w:t>
      </w:r>
    </w:p>
    <w:p>
      <w:pPr>
        <w:pStyle w:val="33"/>
        <w:numPr>
          <w:ilvl w:val="1"/>
          <w:numId w:val="18"/>
        </w:numPr>
        <w:spacing w:line="360" w:lineRule="auto"/>
        <w:rPr>
          <w:rFonts w:ascii="仿宋_GB2312" w:hAnsi="仿宋" w:eastAsia="仿宋_GB2312"/>
          <w:sz w:val="24"/>
          <w:szCs w:val="24"/>
        </w:rPr>
      </w:pPr>
      <w:r>
        <w:rPr>
          <w:rFonts w:hint="eastAsia" w:ascii="仿宋_GB2312" w:hAnsi="仿宋" w:eastAsia="仿宋_GB2312"/>
          <w:sz w:val="24"/>
          <w:szCs w:val="24"/>
        </w:rPr>
        <w:t>与本项目有关的澄清或者修改的内容为磋商文件的组成部分。</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磋商文件的澄清、修改</w:t>
      </w:r>
    </w:p>
    <w:p>
      <w:pPr>
        <w:pStyle w:val="395"/>
        <w:numPr>
          <w:ilvl w:val="1"/>
          <w:numId w:val="19"/>
        </w:numPr>
        <w:snapToGrid w:val="0"/>
        <w:spacing w:before="0"/>
        <w:ind w:left="10" w:firstLine="387" w:firstLineChars="0"/>
        <w:rPr>
          <w:rFonts w:ascii="仿宋_GB2312" w:hAnsi="仿宋" w:eastAsia="仿宋_GB2312" w:cs="仿宋_GB2312"/>
        </w:rPr>
      </w:pPr>
      <w:r>
        <w:rPr>
          <w:rFonts w:hint="eastAsia" w:ascii="仿宋_GB2312" w:hAnsi="仿宋" w:eastAsia="仿宋_GB2312" w:cs="仿宋_GB2312"/>
        </w:rPr>
        <w:t>已获取磋商文件的潜在供应商，若有问题需要澄清，应于提交首次响应文件截止时间前，以书面形式向采购代理机构提出。</w:t>
      </w:r>
    </w:p>
    <w:p>
      <w:pPr>
        <w:pStyle w:val="395"/>
        <w:numPr>
          <w:ilvl w:val="1"/>
          <w:numId w:val="19"/>
        </w:numPr>
        <w:snapToGrid w:val="0"/>
        <w:spacing w:before="0"/>
        <w:ind w:left="10" w:firstLine="387" w:firstLineChars="0"/>
        <w:rPr>
          <w:rFonts w:ascii="仿宋_GB2312" w:hAnsi="仿宋" w:eastAsia="仿宋_GB2312"/>
        </w:rPr>
      </w:pPr>
      <w:r>
        <w:rPr>
          <w:rFonts w:hint="eastAsia" w:ascii="仿宋_GB2312" w:hAnsi="仿宋" w:eastAsia="仿宋_GB2312"/>
        </w:rPr>
        <w:t>采购代理机构如对已发出的磋商文件进行必要澄清或者修改的，将在发布磋商邀请公告的网站上发布更正（延期）公告，同时视情况延长提交首次响应文件截止时间和响应文件开启时间。该澄清或者修改的内容为磋商文件的组成部分。</w:t>
      </w:r>
    </w:p>
    <w:p>
      <w:pPr>
        <w:pStyle w:val="395"/>
        <w:numPr>
          <w:ilvl w:val="1"/>
          <w:numId w:val="19"/>
        </w:numPr>
        <w:snapToGrid w:val="0"/>
        <w:spacing w:before="0"/>
        <w:ind w:left="10" w:firstLine="387" w:firstLineChars="0"/>
        <w:rPr>
          <w:rFonts w:ascii="仿宋_GB2312" w:hAnsi="仿宋" w:eastAsia="仿宋_GB2312"/>
        </w:rPr>
      </w:pPr>
      <w:r>
        <w:rPr>
          <w:rFonts w:hint="eastAsia" w:ascii="仿宋_GB2312" w:hAnsi="仿宋" w:eastAsia="仿宋_GB2312"/>
        </w:rPr>
        <w:t>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pStyle w:val="395"/>
        <w:snapToGrid w:val="0"/>
        <w:spacing w:before="0"/>
        <w:ind w:firstLine="482"/>
        <w:rPr>
          <w:rFonts w:ascii="仿宋_GB2312" w:hAnsi="仿宋" w:eastAsia="仿宋_GB2312"/>
        </w:rPr>
      </w:pPr>
      <w:r>
        <w:rPr>
          <w:rFonts w:hint="eastAsia" w:ascii="仿宋_GB2312" w:hAnsi="仿宋" w:eastAsia="仿宋_GB2312"/>
          <w:b/>
        </w:rPr>
        <w:t>▲</w:t>
      </w:r>
      <w:r>
        <w:rPr>
          <w:rFonts w:hint="eastAsia" w:ascii="仿宋_GB2312" w:hAnsi="仿宋" w:eastAsia="仿宋_GB2312" w:cs="仿宋_GB2312"/>
          <w:b/>
          <w:szCs w:val="21"/>
        </w:rPr>
        <w:t>响应文件未按磋商文件的澄清、修改的内容编制，又不符合实质性要求的，响应无效。</w:t>
      </w:r>
    </w:p>
    <w:p>
      <w:pPr>
        <w:pStyle w:val="23"/>
        <w:rPr>
          <w:rFonts w:ascii="仿宋_GB2312" w:hAnsi="仿宋_GB2312" w:eastAsia="仿宋_GB2312" w:cs="仿宋_GB2312"/>
          <w:sz w:val="18"/>
          <w:szCs w:val="18"/>
          <w:lang w:val="en-US"/>
        </w:rPr>
      </w:pPr>
      <w:r>
        <w:rPr>
          <w:rFonts w:hint="eastAsia" w:ascii="仿宋_GB2312" w:hAnsi="仿宋_GB2312" w:eastAsia="仿宋_GB2312" w:cs="仿宋_GB2312"/>
          <w:szCs w:val="24"/>
          <w:lang w:val="en-US"/>
        </w:rPr>
        <w:t xml:space="preserve">    </w:t>
      </w:r>
    </w:p>
    <w:p>
      <w:pPr>
        <w:adjustRightInd/>
        <w:spacing w:line="360" w:lineRule="auto"/>
        <w:jc w:val="center"/>
        <w:outlineLvl w:val="0"/>
        <w:rPr>
          <w:rFonts w:ascii="仿宋_GB2312" w:hAnsi="仿宋_GB2312" w:eastAsia="仿宋_GB2312" w:cs="仿宋_GB2312"/>
          <w:b/>
          <w:sz w:val="32"/>
          <w:szCs w:val="20"/>
        </w:rPr>
      </w:pPr>
      <w:bookmarkStart w:id="16" w:name="_Toc25694"/>
      <w:r>
        <w:rPr>
          <w:rFonts w:hint="eastAsia" w:ascii="仿宋_GB2312" w:hAnsi="仿宋_GB2312" w:eastAsia="仿宋_GB2312" w:cs="仿宋_GB2312"/>
          <w:b/>
          <w:sz w:val="32"/>
          <w:szCs w:val="20"/>
        </w:rPr>
        <w:t>四、响应文件的编制</w:t>
      </w:r>
      <w:bookmarkEnd w:id="16"/>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磋商文件的获取</w:t>
      </w:r>
    </w:p>
    <w:p>
      <w:pPr>
        <w:spacing w:line="360" w:lineRule="auto"/>
        <w:ind w:firstLine="420"/>
        <w:rPr>
          <w:rFonts w:ascii="仿宋_GB2312" w:hAnsi="仿宋" w:eastAsia="仿宋_GB2312" w:cs="仿宋_GB2312"/>
          <w:snapToGrid w:val="0"/>
          <w:kern w:val="28"/>
          <w:sz w:val="24"/>
        </w:rPr>
      </w:pPr>
      <w:r>
        <w:rPr>
          <w:rFonts w:hint="eastAsia" w:ascii="仿宋_GB2312" w:hAnsi="仿宋" w:eastAsia="仿宋_GB2312" w:cs="仿宋_GB2312"/>
          <w:snapToGrid w:val="0"/>
          <w:kern w:val="28"/>
          <w:sz w:val="24"/>
        </w:rPr>
        <w:t>详见竞争性磋商邀请公告中获取磋商文件的时间期限、地点、方式。</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磋商前答疑会或现场考察</w:t>
      </w:r>
    </w:p>
    <w:p>
      <w:pPr>
        <w:pStyle w:val="33"/>
        <w:spacing w:line="360" w:lineRule="auto"/>
        <w:ind w:firstLine="420"/>
        <w:rPr>
          <w:rFonts w:ascii="仿宋_GB2312" w:hAnsi="仿宋" w:eastAsia="仿宋_GB2312"/>
          <w:sz w:val="24"/>
          <w:szCs w:val="24"/>
        </w:rPr>
      </w:pPr>
      <w:r>
        <w:rPr>
          <w:rFonts w:hint="eastAsia" w:ascii="仿宋_GB2312" w:hAnsi="仿宋" w:eastAsia="仿宋_GB2312"/>
          <w:sz w:val="24"/>
          <w:szCs w:val="24"/>
        </w:rPr>
        <w:t>采购人组织潜在供应商现场考察或者召开磋商前答疑会的，潜在供应商按第三部分供应商须知前附表的规定参加现场考察或者开标前答疑会。</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磋商保证金</w:t>
      </w:r>
    </w:p>
    <w:p>
      <w:pPr>
        <w:pStyle w:val="15"/>
        <w:spacing w:line="360" w:lineRule="auto"/>
        <w:ind w:firstLine="470" w:firstLineChars="196"/>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按第三部分供应商须知前附表的规定</w:t>
      </w:r>
      <w:r>
        <w:rPr>
          <w:rFonts w:hint="eastAsia" w:ascii="仿宋_GB2312" w:hAnsi="仿宋" w:eastAsia="仿宋_GB2312" w:cs="仿宋_GB2312"/>
          <w:color w:val="auto"/>
          <w:sz w:val="24"/>
          <w:highlight w:val="none"/>
          <w:lang w:eastAsia="zh-CN"/>
        </w:rPr>
        <w:t>缴纳</w:t>
      </w:r>
      <w:r>
        <w:rPr>
          <w:rFonts w:hint="eastAsia" w:ascii="仿宋_GB2312" w:hAnsi="仿宋" w:eastAsia="仿宋_GB2312" w:cs="仿宋_GB2312"/>
          <w:color w:val="auto"/>
          <w:sz w:val="24"/>
          <w:highlight w:val="none"/>
        </w:rPr>
        <w:t>。</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响应文件的语言</w:t>
      </w:r>
    </w:p>
    <w:p>
      <w:pPr>
        <w:pStyle w:val="33"/>
        <w:spacing w:line="360" w:lineRule="auto"/>
        <w:ind w:firstLine="480" w:firstLineChars="200"/>
        <w:rPr>
          <w:rFonts w:ascii="仿宋_GB2312" w:hAnsi="仿宋_GB2312" w:eastAsia="仿宋_GB2312" w:cs="仿宋_GB2312"/>
          <w:b/>
          <w:sz w:val="24"/>
          <w:szCs w:val="24"/>
        </w:rPr>
      </w:pPr>
      <w:r>
        <w:rPr>
          <w:rFonts w:hint="eastAsia" w:ascii="仿宋_GB2312" w:hAnsi="仿宋" w:eastAsia="仿宋_GB2312"/>
          <w:sz w:val="24"/>
        </w:rPr>
        <w:t>响应文件及供应商与采购有关的来往通知、函件和文件均应使用中文。</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响应文件的组成</w:t>
      </w:r>
    </w:p>
    <w:p>
      <w:pPr>
        <w:pStyle w:val="33"/>
        <w:spacing w:line="360" w:lineRule="auto"/>
        <w:ind w:firstLine="480" w:firstLineChars="200"/>
        <w:rPr>
          <w:rFonts w:ascii="仿宋_GB2312" w:hAnsi="仿宋_GB2312" w:eastAsia="仿宋_GB2312" w:cs="仿宋_GB2312"/>
          <w:b/>
          <w:sz w:val="24"/>
          <w:szCs w:val="24"/>
        </w:rPr>
      </w:pPr>
      <w:r>
        <w:rPr>
          <w:rFonts w:hint="eastAsia" w:ascii="仿宋_GB2312" w:hAnsi="仿宋" w:eastAsia="仿宋_GB2312"/>
          <w:sz w:val="24"/>
        </w:rPr>
        <w:t>响应文件应当包括以下主要内容：</w:t>
      </w:r>
    </w:p>
    <w:p>
      <w:pPr>
        <w:numPr>
          <w:ilvl w:val="1"/>
          <w:numId w:val="20"/>
        </w:numPr>
        <w:snapToGrid w:val="0"/>
        <w:spacing w:line="360" w:lineRule="auto"/>
        <w:rPr>
          <w:rFonts w:ascii="仿宋_GB2312" w:hAnsi="仿宋" w:eastAsia="仿宋_GB2312" w:cs="仿宋_GB2312"/>
          <w:b/>
          <w:sz w:val="24"/>
        </w:rPr>
      </w:pPr>
      <w:r>
        <w:rPr>
          <w:rFonts w:hint="eastAsia" w:ascii="仿宋_GB2312" w:hAnsi="仿宋" w:eastAsia="仿宋_GB2312" w:cs="仿宋_GB2312"/>
          <w:b/>
          <w:sz w:val="24"/>
        </w:rPr>
        <w:t>资格文件：</w:t>
      </w:r>
    </w:p>
    <w:p>
      <w:pPr>
        <w:numPr>
          <w:ilvl w:val="2"/>
          <w:numId w:val="21"/>
        </w:numPr>
        <w:snapToGrid w:val="0"/>
        <w:spacing w:line="360" w:lineRule="auto"/>
        <w:rPr>
          <w:rFonts w:ascii="仿宋_GB2312" w:hAnsi="仿宋" w:eastAsia="仿宋_GB2312" w:cs="仿宋_GB2312"/>
          <w:sz w:val="24"/>
        </w:rPr>
      </w:pPr>
      <w:r>
        <w:rPr>
          <w:rFonts w:ascii="仿宋_GB2312" w:hAnsi="仿宋" w:eastAsia="仿宋_GB2312" w:cs="仿宋_GB2312"/>
          <w:sz w:val="24"/>
        </w:rPr>
        <w:t>符合参加政府采购活动应当具备的一般条件的承诺函；</w:t>
      </w:r>
    </w:p>
    <w:p>
      <w:pPr>
        <w:numPr>
          <w:ilvl w:val="2"/>
          <w:numId w:val="21"/>
        </w:numPr>
        <w:snapToGrid w:val="0"/>
        <w:spacing w:line="360" w:lineRule="auto"/>
        <w:rPr>
          <w:rFonts w:ascii="仿宋_GB2312" w:hAnsi="仿宋" w:eastAsia="仿宋_GB2312" w:cs="仿宋_GB2312"/>
          <w:sz w:val="24"/>
        </w:rPr>
      </w:pPr>
      <w:r>
        <w:rPr>
          <w:rFonts w:ascii="仿宋_GB2312" w:hAnsi="仿宋" w:eastAsia="仿宋_GB2312" w:cs="仿宋_GB2312"/>
          <w:sz w:val="24"/>
        </w:rPr>
        <w:t>落实政府采购政策需满足的资格要求；</w:t>
      </w:r>
    </w:p>
    <w:p>
      <w:pPr>
        <w:numPr>
          <w:ilvl w:val="2"/>
          <w:numId w:val="21"/>
        </w:numPr>
        <w:snapToGrid w:val="0"/>
        <w:spacing w:line="360" w:lineRule="auto"/>
        <w:rPr>
          <w:rFonts w:ascii="仿宋_GB2312" w:hAnsi="仿宋" w:eastAsia="仿宋_GB2312" w:cs="仿宋_GB2312"/>
          <w:sz w:val="24"/>
        </w:rPr>
      </w:pPr>
      <w:r>
        <w:rPr>
          <w:rFonts w:ascii="仿宋_GB2312" w:hAnsi="仿宋" w:eastAsia="仿宋_GB2312" w:cs="仿宋_GB2312"/>
          <w:sz w:val="24"/>
        </w:rPr>
        <w:t>本项目的特定资格要求</w:t>
      </w:r>
      <w:r>
        <w:rPr>
          <w:rFonts w:hint="eastAsia" w:ascii="仿宋_GB2312" w:hAnsi="仿宋" w:eastAsia="仿宋_GB2312" w:cs="仿宋_GB2312"/>
          <w:sz w:val="24"/>
        </w:rPr>
        <w:t>；（本项目不适用）</w:t>
      </w:r>
    </w:p>
    <w:p>
      <w:pPr>
        <w:numPr>
          <w:ilvl w:val="2"/>
          <w:numId w:val="21"/>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联合协议。（如有）</w:t>
      </w:r>
    </w:p>
    <w:p>
      <w:pPr>
        <w:numPr>
          <w:ilvl w:val="1"/>
          <w:numId w:val="20"/>
        </w:numPr>
        <w:snapToGrid w:val="0"/>
        <w:spacing w:line="360" w:lineRule="auto"/>
        <w:rPr>
          <w:rFonts w:ascii="仿宋_GB2312" w:hAnsi="仿宋" w:eastAsia="仿宋_GB2312" w:cs="仿宋_GB2312"/>
          <w:b/>
          <w:sz w:val="24"/>
          <w:lang w:val="zh-CN"/>
        </w:rPr>
      </w:pPr>
      <w:r>
        <w:rPr>
          <w:rFonts w:hint="eastAsia" w:ascii="仿宋_GB2312" w:hAnsi="仿宋" w:eastAsia="仿宋_GB2312" w:cs="仿宋_GB2312"/>
          <w:b/>
          <w:sz w:val="24"/>
        </w:rPr>
        <w:t>商务技术</w:t>
      </w:r>
      <w:r>
        <w:rPr>
          <w:rFonts w:hint="eastAsia" w:ascii="仿宋_GB2312" w:hAnsi="仿宋" w:eastAsia="仿宋_GB2312" w:cs="仿宋_GB2312"/>
          <w:b/>
          <w:sz w:val="24"/>
          <w:lang w:val="zh-CN"/>
        </w:rPr>
        <w:t>文件：</w:t>
      </w:r>
    </w:p>
    <w:p>
      <w:pPr>
        <w:numPr>
          <w:ilvl w:val="2"/>
          <w:numId w:val="22"/>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响应</w:t>
      </w:r>
      <w:r>
        <w:rPr>
          <w:rFonts w:ascii="仿宋_GB2312" w:hAnsi="仿宋" w:eastAsia="仿宋_GB2312" w:cs="仿宋_GB2312"/>
          <w:sz w:val="24"/>
        </w:rPr>
        <w:t>函；</w:t>
      </w:r>
      <w:r>
        <w:rPr>
          <w:rFonts w:ascii="仿宋_GB2312" w:hAnsi="仿宋" w:eastAsia="仿宋_GB2312" w:cs="仿宋_GB2312"/>
          <w:sz w:val="24"/>
          <w:lang w:val="zh-CN"/>
        </w:rPr>
        <w:t xml:space="preserve"> </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授权委托书或法定代表人（单位负责人、自然人本人）身份证明；</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分包意向协议；</w:t>
      </w:r>
      <w:r>
        <w:rPr>
          <w:rFonts w:hint="eastAsia" w:ascii="仿宋_GB2312" w:hAnsi="仿宋" w:eastAsia="仿宋_GB2312"/>
          <w:bCs/>
          <w:sz w:val="24"/>
        </w:rPr>
        <w:t>（如有）</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符合性审查资料；</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评标标准相应的商务技术资料；</w:t>
      </w:r>
    </w:p>
    <w:p>
      <w:pPr>
        <w:numPr>
          <w:ilvl w:val="2"/>
          <w:numId w:val="22"/>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标的清单；</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商务技术偏离表；</w:t>
      </w:r>
    </w:p>
    <w:p>
      <w:pPr>
        <w:numPr>
          <w:ilvl w:val="2"/>
          <w:numId w:val="22"/>
        </w:numPr>
        <w:snapToGrid w:val="0"/>
        <w:spacing w:line="360" w:lineRule="auto"/>
        <w:rPr>
          <w:rFonts w:ascii="仿宋_GB2312" w:hAnsi="仿宋" w:eastAsia="仿宋_GB2312" w:cs="仿宋_GB2312"/>
          <w:sz w:val="24"/>
          <w:lang w:val="zh-CN"/>
        </w:rPr>
      </w:pPr>
      <w:r>
        <w:rPr>
          <w:rFonts w:hint="eastAsia" w:ascii="仿宋_GB2312" w:hAnsi="仿宋" w:eastAsia="仿宋_GB2312" w:cs="仿宋_GB2312"/>
          <w:sz w:val="24"/>
          <w:lang w:val="zh-CN"/>
        </w:rPr>
        <w:t>政府采购供应商廉洁自律承诺书。</w:t>
      </w:r>
    </w:p>
    <w:p>
      <w:pPr>
        <w:numPr>
          <w:ilvl w:val="1"/>
          <w:numId w:val="20"/>
        </w:numPr>
        <w:snapToGrid w:val="0"/>
        <w:spacing w:line="360" w:lineRule="auto"/>
        <w:rPr>
          <w:rFonts w:ascii="仿宋_GB2312" w:hAnsi="仿宋" w:eastAsia="仿宋_GB2312" w:cs="仿宋_GB2312"/>
          <w:b/>
          <w:sz w:val="24"/>
          <w:lang w:val="zh-CN"/>
        </w:rPr>
      </w:pPr>
      <w:r>
        <w:rPr>
          <w:rFonts w:hint="eastAsia" w:ascii="仿宋_GB2312" w:hAnsi="仿宋" w:eastAsia="仿宋_GB2312" w:cs="仿宋_GB2312"/>
          <w:b/>
          <w:sz w:val="24"/>
          <w:lang w:val="zh-CN"/>
        </w:rPr>
        <w:t xml:space="preserve">报价文件： </w:t>
      </w:r>
    </w:p>
    <w:p>
      <w:pPr>
        <w:numPr>
          <w:ilvl w:val="2"/>
          <w:numId w:val="23"/>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初始报价一览表；</w:t>
      </w:r>
    </w:p>
    <w:p>
      <w:pPr>
        <w:numPr>
          <w:ilvl w:val="2"/>
          <w:numId w:val="23"/>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报价明细表。</w:t>
      </w:r>
    </w:p>
    <w:p>
      <w:pPr>
        <w:spacing w:line="360" w:lineRule="auto"/>
        <w:ind w:firstLine="420"/>
        <w:rPr>
          <w:rFonts w:ascii="仿宋_GB2312" w:hAnsi="仿宋" w:eastAsia="仿宋_GB2312"/>
          <w:b/>
          <w:sz w:val="24"/>
        </w:rPr>
      </w:pPr>
      <w:r>
        <w:rPr>
          <w:rFonts w:hint="eastAsia" w:ascii="仿宋_GB2312" w:hAnsi="仿宋" w:eastAsia="仿宋_GB2312"/>
          <w:b/>
          <w:sz w:val="24"/>
        </w:rPr>
        <w:t>响应文件含有采购人不能接受的附加条件的，磋商无效；</w:t>
      </w:r>
    </w:p>
    <w:p>
      <w:pPr>
        <w:spacing w:line="360" w:lineRule="auto"/>
        <w:ind w:firstLine="420"/>
        <w:rPr>
          <w:rFonts w:ascii="仿宋_GB2312" w:hAnsi="仿宋" w:eastAsia="仿宋_GB2312"/>
          <w:b/>
          <w:sz w:val="24"/>
        </w:rPr>
      </w:pPr>
      <w:r>
        <w:rPr>
          <w:rFonts w:hint="eastAsia" w:ascii="仿宋_GB2312" w:hAnsi="仿宋" w:eastAsia="仿宋_GB2312"/>
          <w:b/>
          <w:sz w:val="24"/>
        </w:rPr>
        <w:t>供应商提供虚假材料响应的，磋商无效。</w:t>
      </w:r>
    </w:p>
    <w:p>
      <w:pPr>
        <w:pStyle w:val="23"/>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响应文件的编制</w:t>
      </w:r>
    </w:p>
    <w:p>
      <w:pPr>
        <w:numPr>
          <w:ilvl w:val="1"/>
          <w:numId w:val="24"/>
        </w:numPr>
        <w:spacing w:line="360" w:lineRule="auto"/>
        <w:ind w:left="10" w:firstLine="387"/>
        <w:rPr>
          <w:rFonts w:ascii="仿宋_GB2312" w:hAnsi="仿宋" w:eastAsia="仿宋_GB2312" w:cs="仿宋_GB2312"/>
          <w:b/>
          <w:sz w:val="24"/>
        </w:rPr>
      </w:pPr>
      <w:r>
        <w:rPr>
          <w:rFonts w:hint="eastAsia" w:ascii="仿宋_GB2312" w:hAnsi="仿宋" w:eastAsia="仿宋_GB2312" w:cs="仿宋_GB2312"/>
          <w:kern w:val="0"/>
          <w:sz w:val="24"/>
          <w:lang w:val="zh-CN"/>
        </w:rPr>
        <w:t>响应文件分为资格文件、商务技术文件、报价文件三部分。各供应商在编制响应文件时请按照磋商文件第七部分规定的格式进行，混乱的编排导致响应文件被误读或磋商小组查找不到有效文件是供应商的风险。</w:t>
      </w:r>
    </w:p>
    <w:p>
      <w:pPr>
        <w:numPr>
          <w:ilvl w:val="1"/>
          <w:numId w:val="24"/>
        </w:numPr>
        <w:spacing w:line="360" w:lineRule="auto"/>
        <w:ind w:left="10" w:firstLine="387"/>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供应商进行电子交易应安装客户端软件—“政采云电子交易客户端”，并按照磋商文件和电子交易平台的要求编制并加密响应文件。供应商未按规定加密的响应文件，电子交易平台将拒收并提示。</w:t>
      </w:r>
    </w:p>
    <w:p>
      <w:pPr>
        <w:numPr>
          <w:ilvl w:val="1"/>
          <w:numId w:val="24"/>
        </w:numPr>
        <w:spacing w:line="360" w:lineRule="auto"/>
        <w:ind w:left="10" w:firstLine="387"/>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使用“政采云电子交易客户端”需要提前申领CA数字证书，申领流程请自行前往“新疆政府采购网-下载专区-电子交易客户端-CA驱动和申领流程”进行查阅。</w:t>
      </w:r>
    </w:p>
    <w:p>
      <w:pPr>
        <w:pStyle w:val="23"/>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响应文件的签署、盖章</w:t>
      </w:r>
    </w:p>
    <w:p>
      <w:pPr>
        <w:pStyle w:val="395"/>
        <w:numPr>
          <w:ilvl w:val="1"/>
          <w:numId w:val="25"/>
        </w:numPr>
        <w:snapToGrid w:val="0"/>
        <w:spacing w:before="0"/>
        <w:ind w:firstLineChars="0"/>
        <w:rPr>
          <w:rFonts w:ascii="仿宋_GB2312" w:hAnsi="仿宋" w:eastAsia="仿宋_GB2312" w:cs="仿宋_GB2312"/>
        </w:rPr>
      </w:pPr>
      <w:r>
        <w:rPr>
          <w:rFonts w:hint="eastAsia" w:ascii="仿宋_GB2312" w:hAnsi="仿宋" w:eastAsia="仿宋_GB2312" w:cs="仿宋_GB2312"/>
          <w:szCs w:val="24"/>
        </w:rPr>
        <w:t>响应</w:t>
      </w:r>
      <w:r>
        <w:rPr>
          <w:rFonts w:ascii="仿宋_GB2312" w:hAnsi="仿宋" w:eastAsia="仿宋_GB2312" w:cs="仿宋_GB2312"/>
          <w:szCs w:val="24"/>
        </w:rPr>
        <w:t>文件按照</w:t>
      </w:r>
      <w:r>
        <w:rPr>
          <w:rFonts w:hint="eastAsia" w:ascii="仿宋_GB2312" w:hAnsi="仿宋" w:eastAsia="仿宋_GB2312" w:cs="仿宋_GB2312"/>
          <w:szCs w:val="24"/>
        </w:rPr>
        <w:t>磋商</w:t>
      </w:r>
      <w:r>
        <w:rPr>
          <w:rFonts w:ascii="仿宋_GB2312" w:hAnsi="仿宋" w:eastAsia="仿宋_GB2312" w:cs="仿宋_GB2312"/>
          <w:szCs w:val="24"/>
        </w:rPr>
        <w:t>文件第</w:t>
      </w:r>
      <w:r>
        <w:rPr>
          <w:rFonts w:hint="eastAsia" w:ascii="仿宋_GB2312" w:hAnsi="仿宋" w:eastAsia="仿宋_GB2312" w:cs="仿宋_GB2312"/>
          <w:szCs w:val="24"/>
        </w:rPr>
        <w:t>七</w:t>
      </w:r>
      <w:r>
        <w:rPr>
          <w:rFonts w:ascii="仿宋_GB2312" w:hAnsi="仿宋" w:eastAsia="仿宋_GB2312" w:cs="仿宋_GB2312"/>
          <w:szCs w:val="24"/>
        </w:rPr>
        <w:t>部分格式要</w:t>
      </w:r>
      <w:r>
        <w:rPr>
          <w:rFonts w:hint="eastAsia" w:ascii="仿宋_GB2312" w:hAnsi="仿宋" w:eastAsia="仿宋_GB2312" w:cs="仿宋_GB2312"/>
        </w:rPr>
        <w:t>求进行签署、盖章。</w:t>
      </w:r>
    </w:p>
    <w:p>
      <w:pPr>
        <w:pStyle w:val="395"/>
        <w:snapToGrid w:val="0"/>
        <w:spacing w:before="0"/>
        <w:ind w:firstLine="482"/>
        <w:rPr>
          <w:rFonts w:ascii="仿宋_GB2312" w:hAnsi="仿宋" w:eastAsia="仿宋_GB2312" w:cs="仿宋_GB2312"/>
          <w:b/>
        </w:rPr>
      </w:pPr>
      <w:r>
        <w:rPr>
          <w:rFonts w:hint="eastAsia" w:ascii="仿宋_GB2312" w:hAnsi="仿宋" w:eastAsia="仿宋_GB2312"/>
          <w:b/>
        </w:rPr>
        <w:t>▲</w:t>
      </w:r>
      <w:r>
        <w:rPr>
          <w:rFonts w:hint="eastAsia" w:ascii="仿宋_GB2312" w:hAnsi="仿宋" w:eastAsia="仿宋_GB2312" w:cs="仿宋_GB2312"/>
          <w:b/>
        </w:rPr>
        <w:t>供应商的响应文件未按照磋商文件要求签署、盖章的，其磋商无效</w:t>
      </w:r>
      <w:r>
        <w:rPr>
          <w:rFonts w:hint="eastAsia" w:ascii="仿宋_GB2312" w:hAnsi="仿宋" w:eastAsia="仿宋_GB2312" w:cs="仿宋_GB2312"/>
          <w:szCs w:val="24"/>
        </w:rPr>
        <w:t>。</w:t>
      </w:r>
    </w:p>
    <w:p>
      <w:pPr>
        <w:pStyle w:val="395"/>
        <w:numPr>
          <w:ilvl w:val="1"/>
          <w:numId w:val="25"/>
        </w:numPr>
        <w:snapToGrid w:val="0"/>
        <w:spacing w:before="0"/>
        <w:ind w:left="10" w:firstLine="387" w:firstLineChars="0"/>
        <w:rPr>
          <w:rFonts w:ascii="仿宋_GB2312" w:hAnsi="仿宋" w:eastAsia="仿宋_GB2312" w:cs="仿宋_GB2312"/>
          <w:szCs w:val="24"/>
        </w:rPr>
      </w:pPr>
      <w:r>
        <w:rPr>
          <w:rFonts w:hint="eastAsia" w:ascii="仿宋_GB2312" w:hAnsi="仿宋" w:eastAsia="仿宋_GB2312" w:cs="仿宋_GB2312"/>
          <w:szCs w:val="24"/>
        </w:rPr>
        <w:t>为确保网上操作合法、有效和安全，供应商应当在响应截止时间前完成在“政府采购云平台”的身份认证，确保在电子交易过程中能够对相关数据电文进行加密和使用电子签名。</w:t>
      </w:r>
    </w:p>
    <w:p>
      <w:pPr>
        <w:pStyle w:val="395"/>
        <w:numPr>
          <w:ilvl w:val="1"/>
          <w:numId w:val="25"/>
        </w:numPr>
        <w:snapToGrid w:val="0"/>
        <w:spacing w:before="0"/>
        <w:ind w:left="10" w:firstLine="387" w:firstLineChars="0"/>
        <w:rPr>
          <w:lang w:val="zh-CN"/>
        </w:rPr>
      </w:pPr>
      <w:r>
        <w:rPr>
          <w:rFonts w:hint="eastAsia" w:ascii="仿宋_GB2312" w:hAnsi="仿宋" w:eastAsia="仿宋_GB2312" w:cs="仿宋_GB2312"/>
          <w:szCs w:val="24"/>
        </w:rPr>
        <w:t>磋商文件对响应文件签署、盖章的要求适用于电子签名。</w:t>
      </w:r>
    </w:p>
    <w:p/>
    <w:p>
      <w:pPr>
        <w:adjustRightInd/>
        <w:spacing w:line="360" w:lineRule="auto"/>
        <w:jc w:val="center"/>
        <w:outlineLvl w:val="0"/>
        <w:rPr>
          <w:rFonts w:ascii="仿宋_GB2312" w:hAnsi="仿宋_GB2312" w:eastAsia="仿宋_GB2312" w:cs="仿宋_GB2312"/>
          <w:b/>
          <w:sz w:val="32"/>
          <w:szCs w:val="20"/>
        </w:rPr>
      </w:pPr>
      <w:bookmarkStart w:id="17" w:name="_Toc28341"/>
      <w:r>
        <w:rPr>
          <w:rFonts w:hint="eastAsia" w:ascii="仿宋_GB2312" w:hAnsi="仿宋_GB2312" w:eastAsia="仿宋_GB2312" w:cs="仿宋_GB2312"/>
          <w:b/>
          <w:sz w:val="32"/>
          <w:szCs w:val="20"/>
        </w:rPr>
        <w:t>五、</w:t>
      </w:r>
      <w:r>
        <w:rPr>
          <w:rFonts w:hint="eastAsia" w:ascii="仿宋_GB2312" w:hAnsi="仿宋" w:eastAsia="仿宋_GB2312"/>
          <w:b/>
          <w:sz w:val="32"/>
          <w:szCs w:val="32"/>
        </w:rPr>
        <w:t>响应</w:t>
      </w:r>
      <w:r>
        <w:rPr>
          <w:rFonts w:hint="eastAsia" w:ascii="仿宋_GB2312" w:hAnsi="仿宋_GB2312" w:eastAsia="仿宋_GB2312" w:cs="仿宋_GB2312"/>
          <w:b/>
          <w:sz w:val="32"/>
          <w:szCs w:val="20"/>
        </w:rPr>
        <w:t>文件的提交和备份</w:t>
      </w:r>
      <w:bookmarkEnd w:id="17"/>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响应文件的提交、补充、修改、撤回</w:t>
      </w:r>
    </w:p>
    <w:p>
      <w:pPr>
        <w:pStyle w:val="395"/>
        <w:numPr>
          <w:ilvl w:val="1"/>
          <w:numId w:val="26"/>
        </w:numPr>
        <w:ind w:left="10" w:firstLine="387" w:firstLineChars="0"/>
        <w:rPr>
          <w:rFonts w:ascii="仿宋_GB2312" w:hAnsi="仿宋" w:eastAsia="仿宋_GB2312" w:cs="仿宋_GB2312"/>
          <w:szCs w:val="24"/>
        </w:rPr>
      </w:pPr>
      <w:r>
        <w:rPr>
          <w:rFonts w:hint="eastAsia" w:ascii="仿宋_GB2312" w:hAnsi="仿宋" w:eastAsia="仿宋_GB2312" w:cs="仿宋_GB2312"/>
          <w:szCs w:val="24"/>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pPr>
        <w:pStyle w:val="395"/>
        <w:numPr>
          <w:ilvl w:val="1"/>
          <w:numId w:val="26"/>
        </w:numPr>
        <w:ind w:left="10" w:firstLine="387" w:firstLineChars="0"/>
        <w:rPr>
          <w:rFonts w:ascii="仿宋_GB2312" w:hAnsi="仿宋" w:eastAsia="仿宋_GB2312" w:cs="仿宋_GB2312"/>
          <w:szCs w:val="24"/>
        </w:rPr>
      </w:pPr>
      <w:r>
        <w:rPr>
          <w:rFonts w:hint="eastAsia" w:ascii="仿宋_GB2312" w:hAnsi="仿宋" w:eastAsia="仿宋_GB2312"/>
        </w:rPr>
        <w:t>在提交“最后报价一览表”后，供应商不能退出磋商。</w:t>
      </w:r>
    </w:p>
    <w:p>
      <w:pPr>
        <w:numPr>
          <w:ilvl w:val="1"/>
          <w:numId w:val="26"/>
        </w:numPr>
        <w:spacing w:line="360" w:lineRule="auto"/>
        <w:ind w:left="10" w:firstLine="387"/>
        <w:rPr>
          <w:rFonts w:ascii="仿宋_GB2312" w:hAnsi="仿宋" w:eastAsia="仿宋_GB2312"/>
          <w:sz w:val="24"/>
        </w:rPr>
      </w:pPr>
      <w:r>
        <w:rPr>
          <w:rFonts w:hint="eastAsia" w:ascii="仿宋_GB2312" w:hAnsi="仿宋" w:eastAsia="仿宋_GB2312"/>
          <w:sz w:val="24"/>
        </w:rPr>
        <w:t>电子交易平台收到响应文件，将妥善保存并即时向供应商发出确认回执通知。在响应截止时间前，除供应商补充、修改或者撤回响应文件外，任何单位和个人不得解密或提取响应文件。</w:t>
      </w:r>
    </w:p>
    <w:p>
      <w:pPr>
        <w:pStyle w:val="395"/>
        <w:numPr>
          <w:ilvl w:val="1"/>
          <w:numId w:val="26"/>
        </w:numPr>
        <w:spacing w:before="0"/>
        <w:ind w:left="10" w:firstLine="387" w:firstLineChars="0"/>
        <w:rPr>
          <w:rFonts w:ascii="仿宋_GB2312" w:hAnsi="仿宋" w:eastAsia="仿宋_GB2312" w:cs="仿宋_GB2312"/>
          <w:szCs w:val="24"/>
        </w:rPr>
      </w:pPr>
      <w:r>
        <w:rPr>
          <w:rFonts w:ascii="仿宋_GB2312" w:hAnsi="仿宋" w:eastAsia="仿宋_GB2312" w:cs="仿宋_GB2312"/>
          <w:szCs w:val="24"/>
        </w:rPr>
        <w:t>采购人、</w:t>
      </w:r>
      <w:r>
        <w:rPr>
          <w:rFonts w:hint="eastAsia" w:ascii="仿宋_GB2312" w:hAnsi="仿宋" w:eastAsia="仿宋_GB2312" w:cs="仿宋_GB2312"/>
          <w:szCs w:val="24"/>
        </w:rPr>
        <w:t>采购代理机构</w:t>
      </w:r>
      <w:r>
        <w:rPr>
          <w:rFonts w:ascii="仿宋_GB2312" w:hAnsi="仿宋" w:eastAsia="仿宋_GB2312" w:cs="仿宋_GB2312"/>
          <w:szCs w:val="24"/>
        </w:rPr>
        <w:t>可以视情况延长</w:t>
      </w:r>
      <w:r>
        <w:rPr>
          <w:rFonts w:hint="eastAsia" w:ascii="仿宋_GB2312" w:hAnsi="仿宋" w:eastAsia="仿宋_GB2312" w:cs="仿宋_GB2312"/>
          <w:szCs w:val="24"/>
        </w:rPr>
        <w:t>响应</w:t>
      </w:r>
      <w:r>
        <w:rPr>
          <w:rFonts w:ascii="仿宋_GB2312" w:hAnsi="仿宋" w:eastAsia="仿宋_GB2312" w:cs="仿宋_GB2312"/>
          <w:szCs w:val="24"/>
        </w:rPr>
        <w:t>文件提交的截止时间。在上述情况下，</w:t>
      </w:r>
      <w:r>
        <w:rPr>
          <w:rFonts w:hint="eastAsia" w:ascii="仿宋_GB2312" w:hAnsi="仿宋" w:eastAsia="仿宋_GB2312" w:cs="仿宋_GB2312"/>
          <w:szCs w:val="24"/>
        </w:rPr>
        <w:t>采购代理机构</w:t>
      </w:r>
      <w:r>
        <w:rPr>
          <w:rFonts w:ascii="仿宋_GB2312" w:hAnsi="仿宋" w:eastAsia="仿宋_GB2312" w:cs="仿宋_GB2312"/>
          <w:szCs w:val="24"/>
        </w:rPr>
        <w:t>与</w:t>
      </w:r>
      <w:r>
        <w:rPr>
          <w:rFonts w:hint="eastAsia" w:ascii="仿宋_GB2312" w:hAnsi="仿宋" w:eastAsia="仿宋_GB2312" w:cs="仿宋_GB2312"/>
          <w:szCs w:val="24"/>
        </w:rPr>
        <w:t>供应商</w:t>
      </w:r>
      <w:r>
        <w:rPr>
          <w:rFonts w:ascii="仿宋_GB2312" w:hAnsi="仿宋" w:eastAsia="仿宋_GB2312" w:cs="仿宋_GB2312"/>
          <w:szCs w:val="24"/>
        </w:rPr>
        <w:t>以前在</w:t>
      </w:r>
      <w:r>
        <w:rPr>
          <w:rFonts w:hint="eastAsia" w:ascii="仿宋_GB2312" w:hAnsi="仿宋" w:eastAsia="仿宋_GB2312" w:cs="仿宋_GB2312"/>
          <w:szCs w:val="24"/>
        </w:rPr>
        <w:t>响应</w:t>
      </w:r>
      <w:r>
        <w:rPr>
          <w:rFonts w:ascii="仿宋_GB2312" w:hAnsi="仿宋" w:eastAsia="仿宋_GB2312" w:cs="仿宋_GB2312"/>
          <w:szCs w:val="24"/>
        </w:rPr>
        <w:t>截止期方面的全部权利、责任和义务，将适用于延长至新的</w:t>
      </w:r>
      <w:r>
        <w:rPr>
          <w:rFonts w:hint="eastAsia" w:ascii="仿宋_GB2312" w:hAnsi="仿宋" w:eastAsia="仿宋_GB2312" w:cs="仿宋_GB2312"/>
          <w:szCs w:val="24"/>
        </w:rPr>
        <w:t>响应</w:t>
      </w:r>
      <w:r>
        <w:rPr>
          <w:rFonts w:ascii="仿宋_GB2312" w:hAnsi="仿宋" w:eastAsia="仿宋_GB2312" w:cs="仿宋_GB2312"/>
          <w:szCs w:val="24"/>
        </w:rPr>
        <w:t>截止期。</w:t>
      </w:r>
    </w:p>
    <w:p>
      <w:pPr>
        <w:pStyle w:val="395"/>
        <w:spacing w:before="0"/>
        <w:ind w:left="397" w:firstLine="0" w:firstLineChars="0"/>
        <w:rPr>
          <w:rFonts w:ascii="仿宋_GB2312" w:hAnsi="仿宋" w:eastAsia="仿宋_GB2312" w:cs="仿宋_GB2312"/>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备份响应文件（如有需要时）</w:t>
      </w:r>
    </w:p>
    <w:p>
      <w:pPr>
        <w:pStyle w:val="33"/>
        <w:numPr>
          <w:ilvl w:val="1"/>
          <w:numId w:val="27"/>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sz w:val="24"/>
          <w:szCs w:val="24"/>
        </w:rPr>
        <w:t>供应商在电子交易平台传输提交响应文件后，还可以在响应截止时间前直接提交或者以邮政快递方式递交备份响应文件1份，</w:t>
      </w:r>
      <w:r>
        <w:rPr>
          <w:rFonts w:hint="eastAsia" w:ascii="仿宋_GB2312" w:hAnsi="仿宋" w:eastAsia="仿宋_GB2312" w:cs="仿宋_GB2312"/>
          <w:b/>
          <w:bCs/>
          <w:sz w:val="24"/>
          <w:szCs w:val="24"/>
        </w:rPr>
        <w:t>但采购人、采购代理机构不强制或变相强制供应商提交备份响应文件。</w:t>
      </w:r>
    </w:p>
    <w:p>
      <w:pPr>
        <w:pStyle w:val="33"/>
        <w:numPr>
          <w:ilvl w:val="1"/>
          <w:numId w:val="27"/>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sz w:val="24"/>
          <w:szCs w:val="24"/>
        </w:rPr>
        <w:t>备份响应文件须在“政采云投标客户端”制作生成，并储存在DVD光盘或U盘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_GB2312" w:hAnsi="仿宋" w:eastAsia="仿宋_GB2312"/>
          <w:b/>
          <w:bCs/>
          <w:sz w:val="24"/>
        </w:rPr>
        <w:t>不符合上述制作、</w:t>
      </w:r>
      <w:r>
        <w:rPr>
          <w:rFonts w:hint="eastAsia" w:ascii="仿宋_GB2312" w:hAnsi="仿宋" w:eastAsia="仿宋_GB2312" w:cs="仿宋_GB2312"/>
          <w:b/>
          <w:bCs/>
          <w:sz w:val="24"/>
          <w:szCs w:val="24"/>
        </w:rPr>
        <w:t>存储、密封规定的备份响应文件将被视为无效或者被拒绝接收。</w:t>
      </w:r>
    </w:p>
    <w:p>
      <w:pPr>
        <w:pStyle w:val="33"/>
        <w:numPr>
          <w:ilvl w:val="1"/>
          <w:numId w:val="27"/>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直接提交备份响应文件的，供应商应于响应截止时间前在磋商公告中载明的开启响应文件的地点将备份响应文件提交给采购代理机构，采购代理机构将拒绝接受逾期送达的备份响应文件。</w:t>
      </w:r>
    </w:p>
    <w:p>
      <w:pPr>
        <w:pStyle w:val="33"/>
        <w:numPr>
          <w:ilvl w:val="1"/>
          <w:numId w:val="27"/>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3"/>
        <w:numPr>
          <w:ilvl w:val="1"/>
          <w:numId w:val="27"/>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供应商仅提交备份响应文件，未在电子交易平台传输提交响应文件的，响应无效。</w:t>
      </w:r>
    </w:p>
    <w:p>
      <w:pPr>
        <w:pStyle w:val="33"/>
        <w:spacing w:line="360" w:lineRule="auto"/>
        <w:ind w:left="397"/>
        <w:rPr>
          <w:rFonts w:ascii="仿宋_GB2312" w:hAnsi="仿宋" w:eastAsia="仿宋_GB2312" w:cs="仿宋_GB2312"/>
          <w:sz w:val="24"/>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响应文件的无效处理</w:t>
      </w:r>
    </w:p>
    <w:p>
      <w:pPr>
        <w:pStyle w:val="25"/>
        <w:spacing w:line="360" w:lineRule="auto"/>
        <w:ind w:firstLine="360" w:firstLineChars="150"/>
        <w:rPr>
          <w:rFonts w:ascii="仿宋_GB2312" w:hAnsi="仿宋" w:eastAsia="仿宋_GB2312" w:cs="仿宋_GB2312"/>
          <w:szCs w:val="21"/>
        </w:rPr>
      </w:pPr>
      <w:r>
        <w:rPr>
          <w:rFonts w:hint="eastAsia" w:ascii="仿宋_GB2312" w:hAnsi="仿宋" w:eastAsia="仿宋_GB2312" w:cs="仿宋_GB2312"/>
          <w:szCs w:val="21"/>
        </w:rPr>
        <w:t>有磋商文件第五部分</w:t>
      </w:r>
      <w:r>
        <w:rPr>
          <w:rFonts w:hint="eastAsia" w:ascii="仿宋_GB2312" w:hAnsi="仿宋" w:eastAsia="仿宋_GB2312"/>
        </w:rPr>
        <w:t>第6.3</w:t>
      </w:r>
      <w:r>
        <w:rPr>
          <w:rFonts w:ascii="仿宋_GB2312" w:hAnsi="仿宋" w:eastAsia="仿宋_GB2312"/>
        </w:rPr>
        <w:t>项规定</w:t>
      </w:r>
      <w:r>
        <w:rPr>
          <w:rFonts w:hint="eastAsia" w:ascii="仿宋_GB2312" w:hAnsi="仿宋" w:eastAsia="仿宋_GB2312" w:cs="仿宋_GB2312"/>
          <w:szCs w:val="21"/>
        </w:rPr>
        <w:t>的情形之一的，响应无效。</w:t>
      </w:r>
    </w:p>
    <w:p>
      <w:pPr>
        <w:pStyle w:val="395"/>
        <w:spacing w:before="0"/>
        <w:ind w:firstLine="0" w:firstLineChars="0"/>
        <w:rPr>
          <w:rFonts w:ascii="仿宋_GB2312" w:hAnsi="仿宋" w:eastAsia="仿宋_GB2312" w:cs="仿宋_GB2312"/>
          <w:b/>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响应有效期</w:t>
      </w:r>
    </w:p>
    <w:p>
      <w:pPr>
        <w:numPr>
          <w:ilvl w:val="1"/>
          <w:numId w:val="28"/>
        </w:numPr>
        <w:spacing w:line="360" w:lineRule="auto"/>
        <w:rPr>
          <w:rFonts w:ascii="仿宋_GB2312" w:hAnsi="仿宋" w:eastAsia="仿宋_GB2312" w:cs="仿宋_GB2312"/>
          <w:sz w:val="24"/>
          <w:szCs w:val="20"/>
        </w:rPr>
      </w:pPr>
      <w:r>
        <w:rPr>
          <w:rFonts w:hint="eastAsia" w:ascii="仿宋_GB2312" w:hAnsi="仿宋" w:eastAsia="仿宋_GB2312" w:cs="仿宋_GB2312"/>
          <w:sz w:val="24"/>
          <w:szCs w:val="20"/>
        </w:rPr>
        <w:t>响应</w:t>
      </w:r>
      <w:r>
        <w:rPr>
          <w:rFonts w:ascii="仿宋_GB2312" w:hAnsi="仿宋" w:eastAsia="仿宋_GB2312" w:cs="仿宋_GB2312"/>
          <w:sz w:val="24"/>
          <w:szCs w:val="20"/>
        </w:rPr>
        <w:t>有效期为从提交</w:t>
      </w:r>
      <w:r>
        <w:rPr>
          <w:rFonts w:hint="eastAsia" w:ascii="仿宋_GB2312" w:hAnsi="仿宋" w:eastAsia="仿宋_GB2312" w:cs="仿宋_GB2312"/>
          <w:sz w:val="24"/>
          <w:szCs w:val="20"/>
        </w:rPr>
        <w:t>响应</w:t>
      </w:r>
      <w:r>
        <w:rPr>
          <w:rFonts w:ascii="仿宋_GB2312" w:hAnsi="仿宋" w:eastAsia="仿宋_GB2312" w:cs="仿宋_GB2312"/>
          <w:sz w:val="24"/>
          <w:szCs w:val="20"/>
        </w:rPr>
        <w:t>文件的截止之日起90天。</w:t>
      </w:r>
    </w:p>
    <w:p>
      <w:pPr>
        <w:spacing w:line="360" w:lineRule="auto"/>
        <w:ind w:firstLine="480" w:firstLineChars="200"/>
        <w:rPr>
          <w:rFonts w:ascii="仿宋_GB2312" w:hAnsi="仿宋" w:eastAsia="仿宋_GB2312" w:cs="仿宋_GB2312"/>
          <w:b/>
          <w:sz w:val="24"/>
          <w:szCs w:val="21"/>
        </w:rPr>
      </w:pPr>
      <w:r>
        <w:rPr>
          <w:rFonts w:ascii="仿宋_GB2312" w:hAnsi="仿宋" w:eastAsia="仿宋_GB2312" w:cs="仿宋_GB2312"/>
          <w:sz w:val="24"/>
          <w:szCs w:val="20"/>
        </w:rPr>
        <w:t>▲</w:t>
      </w:r>
      <w:r>
        <w:rPr>
          <w:rFonts w:hint="eastAsia" w:ascii="仿宋_GB2312" w:hAnsi="仿宋" w:eastAsia="仿宋_GB2312" w:cs="仿宋_GB2312"/>
          <w:b/>
          <w:sz w:val="24"/>
          <w:szCs w:val="20"/>
        </w:rPr>
        <w:t>供应商的响应文件中承</w:t>
      </w:r>
      <w:r>
        <w:rPr>
          <w:rFonts w:hint="eastAsia" w:ascii="仿宋_GB2312" w:hAnsi="仿宋" w:eastAsia="仿宋_GB2312" w:cs="仿宋_GB2312"/>
          <w:b/>
          <w:sz w:val="24"/>
          <w:szCs w:val="21"/>
        </w:rPr>
        <w:t>诺的响应有效期少于磋商文件中载明的响应有效期的，响应无效。</w:t>
      </w:r>
    </w:p>
    <w:p>
      <w:pPr>
        <w:numPr>
          <w:ilvl w:val="1"/>
          <w:numId w:val="28"/>
        </w:numPr>
        <w:spacing w:line="360" w:lineRule="auto"/>
        <w:ind w:left="10" w:firstLine="387"/>
        <w:rPr>
          <w:rFonts w:ascii="仿宋_GB2312" w:hAnsi="仿宋" w:eastAsia="仿宋_GB2312" w:cs="仿宋_GB2312"/>
          <w:sz w:val="24"/>
          <w:szCs w:val="20"/>
        </w:rPr>
      </w:pPr>
      <w:r>
        <w:rPr>
          <w:rFonts w:hint="eastAsia" w:ascii="仿宋_GB2312" w:hAnsi="仿宋" w:eastAsia="仿宋_GB2312" w:cs="仿宋_GB2312"/>
          <w:sz w:val="24"/>
          <w:szCs w:val="20"/>
        </w:rPr>
        <w:t>响应文件合格投递后，自响应截止日期起，在响应有效期内有效。</w:t>
      </w:r>
    </w:p>
    <w:p>
      <w:pPr>
        <w:numPr>
          <w:ilvl w:val="1"/>
          <w:numId w:val="28"/>
        </w:numPr>
        <w:spacing w:line="360" w:lineRule="auto"/>
        <w:ind w:left="10" w:firstLine="387"/>
        <w:rPr>
          <w:rFonts w:ascii="仿宋_GB2312" w:hAnsi="仿宋" w:eastAsia="仿宋_GB2312" w:cs="仿宋_GB2312"/>
          <w:sz w:val="24"/>
          <w:szCs w:val="20"/>
        </w:rPr>
      </w:pPr>
      <w:r>
        <w:rPr>
          <w:rFonts w:hint="eastAsia" w:ascii="仿宋_GB2312" w:hAnsi="仿宋" w:eastAsia="仿宋_GB2312" w:cs="仿宋_GB2312"/>
          <w:sz w:val="24"/>
          <w:szCs w:val="20"/>
        </w:rPr>
        <w:t>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
      <w:pPr>
        <w:adjustRightInd/>
        <w:spacing w:line="360" w:lineRule="auto"/>
        <w:jc w:val="center"/>
        <w:outlineLvl w:val="0"/>
        <w:rPr>
          <w:rFonts w:ascii="仿宋_GB2312" w:hAnsi="仿宋_GB2312" w:eastAsia="仿宋_GB2312" w:cs="仿宋_GB2312"/>
          <w:b/>
          <w:sz w:val="32"/>
          <w:szCs w:val="20"/>
        </w:rPr>
      </w:pPr>
      <w:bookmarkStart w:id="18" w:name="_Toc11464"/>
      <w:r>
        <w:rPr>
          <w:rFonts w:hint="eastAsia" w:ascii="仿宋_GB2312" w:hAnsi="仿宋_GB2312" w:eastAsia="仿宋_GB2312" w:cs="仿宋_GB2312"/>
          <w:b/>
          <w:sz w:val="32"/>
          <w:szCs w:val="20"/>
        </w:rPr>
        <w:t>六、</w:t>
      </w:r>
      <w:r>
        <w:rPr>
          <w:rFonts w:hint="eastAsia" w:ascii="仿宋_GB2312" w:hAnsi="仿宋" w:eastAsia="仿宋_GB2312"/>
          <w:b/>
          <w:sz w:val="32"/>
          <w:szCs w:val="32"/>
        </w:rPr>
        <w:t>开启响应文件、资格审查与信用信息查询</w:t>
      </w:r>
      <w:bookmarkEnd w:id="18"/>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开启响应文件</w:t>
      </w:r>
    </w:p>
    <w:p>
      <w:pPr>
        <w:pStyle w:val="33"/>
        <w:numPr>
          <w:ilvl w:val="1"/>
          <w:numId w:val="29"/>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采购代理机构按照磋商文件规定的时间通过电子交易平台组织响应文件开启，所有供应商均应当准时在线参加。</w:t>
      </w:r>
      <w:r>
        <w:rPr>
          <w:rFonts w:hint="eastAsia" w:ascii="仿宋_GB2312" w:hAnsi="仿宋" w:eastAsia="仿宋_GB2312" w:cs="仿宋_GB2312"/>
          <w:b/>
          <w:sz w:val="24"/>
          <w:szCs w:val="24"/>
        </w:rPr>
        <w:t>供应商数量不符合规定的，不得开启响应文件。</w:t>
      </w:r>
    </w:p>
    <w:p>
      <w:pPr>
        <w:pStyle w:val="33"/>
        <w:numPr>
          <w:ilvl w:val="1"/>
          <w:numId w:val="29"/>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开启响应文件时，电子交易平台按开启响应文件时间自动提取所有响应文件。采购代理机构依托电子交易平台发起开始解密指令，供应商按照平台提示和磋商文件的规定在半小时内完成在线解密。</w:t>
      </w:r>
    </w:p>
    <w:p>
      <w:pPr>
        <w:pStyle w:val="33"/>
        <w:numPr>
          <w:ilvl w:val="1"/>
          <w:numId w:val="29"/>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b/>
          <w:bCs/>
          <w:sz w:val="24"/>
          <w:szCs w:val="24"/>
        </w:rPr>
        <w:t>响应文件未在规定时间内成功解密的供应商，如提交了备份响应文件的，以备份响应文件作为依据，否则视为响应文件撤回。响应文件解密成功的供应商，其备份响应文件自动失效。</w:t>
      </w:r>
    </w:p>
    <w:p>
      <w:pPr>
        <w:pStyle w:val="33"/>
        <w:spacing w:line="360" w:lineRule="auto"/>
        <w:ind w:left="397"/>
        <w:rPr>
          <w:rFonts w:ascii="仿宋_GB2312" w:hAnsi="仿宋" w:eastAsia="仿宋_GB2312" w:cs="仿宋_GB2312"/>
          <w:b/>
          <w:bCs/>
          <w:sz w:val="24"/>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资格审查</w:t>
      </w:r>
    </w:p>
    <w:p>
      <w:pPr>
        <w:pStyle w:val="395"/>
        <w:numPr>
          <w:ilvl w:val="1"/>
          <w:numId w:val="30"/>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响应截止</w:t>
      </w:r>
      <w:r>
        <w:rPr>
          <w:rFonts w:ascii="仿宋_GB2312" w:hAnsi="仿宋" w:eastAsia="仿宋_GB2312" w:cs="Arial"/>
          <w:kern w:val="0"/>
          <w:szCs w:val="24"/>
        </w:rPr>
        <w:t>后，采购人或</w:t>
      </w:r>
      <w:r>
        <w:rPr>
          <w:rFonts w:hint="eastAsia" w:ascii="仿宋_GB2312" w:hAnsi="仿宋" w:eastAsia="仿宋_GB2312" w:cs="Arial"/>
          <w:kern w:val="0"/>
          <w:szCs w:val="24"/>
        </w:rPr>
        <w:t>采购代理机构</w:t>
      </w:r>
      <w:r>
        <w:rPr>
          <w:rFonts w:ascii="仿宋_GB2312" w:hAnsi="仿宋" w:eastAsia="仿宋_GB2312" w:cs="Arial"/>
          <w:kern w:val="0"/>
          <w:szCs w:val="24"/>
        </w:rPr>
        <w:t>将依法对</w:t>
      </w:r>
      <w:r>
        <w:rPr>
          <w:rFonts w:hint="eastAsia" w:ascii="仿宋_GB2312" w:hAnsi="仿宋" w:eastAsia="仿宋_GB2312" w:cs="Arial"/>
          <w:kern w:val="0"/>
          <w:szCs w:val="24"/>
        </w:rPr>
        <w:t>供应商</w:t>
      </w:r>
      <w:r>
        <w:rPr>
          <w:rFonts w:ascii="仿宋_GB2312" w:hAnsi="仿宋" w:eastAsia="仿宋_GB2312" w:cs="Arial"/>
          <w:kern w:val="0"/>
          <w:szCs w:val="24"/>
        </w:rPr>
        <w:t>的资格进行审查。</w:t>
      </w:r>
    </w:p>
    <w:p>
      <w:pPr>
        <w:numPr>
          <w:ilvl w:val="1"/>
          <w:numId w:val="30"/>
        </w:numPr>
        <w:snapToGrid w:val="0"/>
        <w:spacing w:line="360" w:lineRule="auto"/>
        <w:ind w:left="10" w:firstLine="387"/>
        <w:rPr>
          <w:rFonts w:ascii="仿宋_GB2312" w:hAnsi="仿宋" w:eastAsia="仿宋_GB2312" w:cs="仿宋_GB2312"/>
          <w:sz w:val="24"/>
        </w:rPr>
      </w:pPr>
      <w:r>
        <w:rPr>
          <w:rFonts w:hint="eastAsia" w:ascii="仿宋_GB2312" w:hAnsi="仿宋" w:eastAsia="仿宋_GB2312" w:cs="仿宋_GB2312"/>
          <w:sz w:val="24"/>
        </w:rPr>
        <w:t>采购人或采购代理机构依据法律法规和磋商文件的规定，对供应商的基本资格条件、特定资格条件进行审查。</w:t>
      </w:r>
    </w:p>
    <w:p>
      <w:pPr>
        <w:pStyle w:val="395"/>
        <w:numPr>
          <w:ilvl w:val="1"/>
          <w:numId w:val="30"/>
        </w:numPr>
        <w:spacing w:before="0"/>
        <w:ind w:left="10" w:firstLine="387" w:firstLineChars="0"/>
        <w:rPr>
          <w:rFonts w:ascii="仿宋_GB2312" w:hAnsi="仿宋" w:eastAsia="仿宋_GB2312" w:cs="仿宋_GB2312"/>
        </w:rPr>
      </w:pPr>
      <w:r>
        <w:rPr>
          <w:rFonts w:hint="eastAsia" w:ascii="仿宋_GB2312" w:hAnsi="仿宋" w:eastAsia="仿宋_GB2312" w:cs="Arial"/>
          <w:kern w:val="0"/>
          <w:szCs w:val="24"/>
        </w:rPr>
        <w:t>供应商</w:t>
      </w:r>
      <w:r>
        <w:rPr>
          <w:rFonts w:ascii="仿宋_GB2312" w:hAnsi="仿宋" w:eastAsia="仿宋_GB2312" w:cs="Arial"/>
          <w:kern w:val="0"/>
          <w:szCs w:val="24"/>
        </w:rPr>
        <w:t>未按照</w:t>
      </w:r>
      <w:r>
        <w:rPr>
          <w:rFonts w:hint="eastAsia" w:ascii="仿宋_GB2312" w:hAnsi="仿宋" w:eastAsia="仿宋_GB2312" w:cs="Arial"/>
          <w:kern w:val="0"/>
          <w:szCs w:val="24"/>
        </w:rPr>
        <w:t>磋商</w:t>
      </w:r>
      <w:r>
        <w:rPr>
          <w:rFonts w:ascii="仿宋_GB2312" w:hAnsi="仿宋" w:eastAsia="仿宋_GB2312" w:cs="Arial"/>
          <w:kern w:val="0"/>
          <w:szCs w:val="24"/>
        </w:rPr>
        <w:t>文件要求提供与</w:t>
      </w:r>
      <w:r>
        <w:rPr>
          <w:rFonts w:hint="eastAsia" w:ascii="仿宋_GB2312" w:hAnsi="仿宋" w:eastAsia="仿宋_GB2312" w:cs="仿宋_GB2312"/>
        </w:rPr>
        <w:t>基本资格条件、特定资格条件相应的</w:t>
      </w:r>
      <w:r>
        <w:rPr>
          <w:rFonts w:hint="eastAsia" w:ascii="仿宋_GB2312" w:hAnsi="仿宋" w:eastAsia="仿宋_GB2312" w:cs="Arial"/>
          <w:kern w:val="0"/>
          <w:szCs w:val="24"/>
        </w:rPr>
        <w:t>有效资格证明材料的，视为</w:t>
      </w:r>
      <w:r>
        <w:rPr>
          <w:rFonts w:hint="eastAsia" w:ascii="仿宋_GB2312" w:hAnsi="仿宋" w:eastAsia="仿宋_GB2312" w:cs="仿宋_GB2312"/>
        </w:rPr>
        <w:t>供应商不具备磋商文件中规定的资格要求，其响应无效。</w:t>
      </w:r>
    </w:p>
    <w:p>
      <w:pPr>
        <w:pStyle w:val="395"/>
        <w:numPr>
          <w:ilvl w:val="1"/>
          <w:numId w:val="30"/>
        </w:numPr>
        <w:spacing w:before="0"/>
        <w:ind w:left="10" w:firstLine="387" w:firstLineChars="0"/>
        <w:rPr>
          <w:rFonts w:ascii="仿宋_GB2312" w:hAnsi="仿宋" w:eastAsia="仿宋_GB2312" w:cs="仿宋_GB2312"/>
        </w:rPr>
      </w:pPr>
      <w:r>
        <w:rPr>
          <w:rFonts w:ascii="仿宋_GB2312" w:hAnsi="仿宋" w:eastAsia="仿宋_GB2312" w:cs="仿宋_GB2312"/>
        </w:rPr>
        <w:t>对未通过资格审查的</w:t>
      </w:r>
      <w:r>
        <w:rPr>
          <w:rFonts w:hint="eastAsia" w:ascii="仿宋_GB2312" w:hAnsi="仿宋" w:eastAsia="仿宋_GB2312" w:cs="仿宋_GB2312"/>
        </w:rPr>
        <w:t>供应商</w:t>
      </w:r>
      <w:r>
        <w:rPr>
          <w:rFonts w:ascii="仿宋_GB2312" w:hAnsi="仿宋" w:eastAsia="仿宋_GB2312" w:cs="仿宋_GB2312"/>
        </w:rPr>
        <w:t>，采购人或</w:t>
      </w:r>
      <w:r>
        <w:rPr>
          <w:rFonts w:hint="eastAsia" w:ascii="仿宋_GB2312" w:hAnsi="仿宋" w:eastAsia="仿宋_GB2312" w:cs="仿宋_GB2312"/>
        </w:rPr>
        <w:t>采购代理机构</w:t>
      </w:r>
      <w:r>
        <w:rPr>
          <w:rFonts w:ascii="仿宋_GB2312" w:hAnsi="仿宋" w:eastAsia="仿宋_GB2312" w:cs="仿宋_GB2312"/>
        </w:rPr>
        <w:t>告知其未通过的原因。</w:t>
      </w:r>
    </w:p>
    <w:p>
      <w:pPr>
        <w:pStyle w:val="23"/>
        <w:numPr>
          <w:ilvl w:val="1"/>
          <w:numId w:val="30"/>
        </w:numPr>
        <w:ind w:left="10" w:firstLine="387"/>
      </w:pPr>
      <w:r>
        <w:rPr>
          <w:rFonts w:ascii="仿宋_GB2312" w:hAnsi="仿宋" w:eastAsia="仿宋_GB2312" w:cs="仿宋_GB2312"/>
        </w:rPr>
        <w:t>合格</w:t>
      </w:r>
      <w:r>
        <w:rPr>
          <w:rFonts w:hint="eastAsia" w:ascii="仿宋_GB2312" w:hAnsi="仿宋" w:eastAsia="仿宋_GB2312" w:cs="仿宋_GB2312"/>
        </w:rPr>
        <w:t>供应商</w:t>
      </w:r>
      <w:r>
        <w:rPr>
          <w:rFonts w:ascii="仿宋_GB2312" w:hAnsi="仿宋" w:eastAsia="仿宋_GB2312" w:cs="仿宋_GB2312"/>
        </w:rPr>
        <w:t>不足</w:t>
      </w:r>
      <w:r>
        <w:rPr>
          <w:rFonts w:hint="eastAsia" w:ascii="仿宋_GB2312" w:hAnsi="仿宋" w:eastAsia="仿宋_GB2312" w:cs="仿宋_GB2312"/>
          <w:lang w:val="en-US" w:eastAsia="zh-CN"/>
        </w:rPr>
        <w:t>3</w:t>
      </w:r>
      <w:r>
        <w:rPr>
          <w:rFonts w:ascii="仿宋_GB2312" w:hAnsi="仿宋" w:eastAsia="仿宋_GB2312" w:cs="仿宋_GB2312"/>
        </w:rPr>
        <w:t>家的，不再</w:t>
      </w:r>
      <w:r>
        <w:rPr>
          <w:rFonts w:hint="eastAsia" w:ascii="仿宋_GB2312" w:hAnsi="仿宋" w:eastAsia="仿宋_GB2312" w:cs="仿宋_GB2312"/>
        </w:rPr>
        <w:t>磋商</w:t>
      </w:r>
      <w:r>
        <w:rPr>
          <w:rFonts w:ascii="仿宋_GB2312" w:hAnsi="仿宋" w:eastAsia="仿宋_GB2312" w:cs="仿宋_GB2312"/>
        </w:rPr>
        <w:t>。</w:t>
      </w:r>
    </w:p>
    <w:tbl>
      <w:tblPr>
        <w:tblStyle w:val="61"/>
        <w:tblW w:w="9258" w:type="dxa"/>
        <w:tblInd w:w="0" w:type="dxa"/>
        <w:tblLayout w:type="autofit"/>
        <w:tblCellMar>
          <w:top w:w="0" w:type="dxa"/>
          <w:left w:w="108" w:type="dxa"/>
          <w:bottom w:w="0" w:type="dxa"/>
          <w:right w:w="108" w:type="dxa"/>
        </w:tblCellMar>
      </w:tblPr>
      <w:tblGrid>
        <w:gridCol w:w="964"/>
        <w:gridCol w:w="1995"/>
        <w:gridCol w:w="6299"/>
      </w:tblGrid>
      <w:tr>
        <w:tblPrEx>
          <w:tblCellMar>
            <w:top w:w="0" w:type="dxa"/>
            <w:left w:w="108" w:type="dxa"/>
            <w:bottom w:w="0" w:type="dxa"/>
            <w:right w:w="108" w:type="dxa"/>
          </w:tblCellMar>
        </w:tblPrEx>
        <w:trPr>
          <w:trHeight w:val="850" w:hRule="atLeast"/>
        </w:trPr>
        <w:tc>
          <w:tcPr>
            <w:tcW w:w="96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9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资格要求</w:t>
            </w:r>
          </w:p>
        </w:tc>
        <w:tc>
          <w:tcPr>
            <w:tcW w:w="629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评审内容</w:t>
            </w:r>
          </w:p>
        </w:tc>
      </w:tr>
      <w:tr>
        <w:tblPrEx>
          <w:tblCellMar>
            <w:top w:w="0" w:type="dxa"/>
            <w:left w:w="108" w:type="dxa"/>
            <w:bottom w:w="0" w:type="dxa"/>
            <w:right w:w="108" w:type="dxa"/>
          </w:tblCellMar>
        </w:tblPrEx>
        <w:trPr>
          <w:trHeight w:val="409"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仿宋" w:hAnsi="仿宋" w:eastAsia="仿宋" w:cs="仿宋"/>
                <w:color w:val="000000"/>
                <w:kern w:val="0"/>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仿宋" w:hAnsi="仿宋" w:eastAsia="仿宋" w:cs="仿宋"/>
                <w:color w:val="000000"/>
                <w:kern w:val="0"/>
                <w:sz w:val="24"/>
                <w:szCs w:val="24"/>
              </w:rPr>
            </w:pPr>
          </w:p>
        </w:tc>
        <w:tc>
          <w:tcPr>
            <w:tcW w:w="62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具有独立承担民事责任的能力</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（1）供应商是企业（包括合伙企业），提供有效的营业执照。</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（2）供应商是事业单位，提供有效的事业单位法人证书。</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（3）供应商是非企业专业服务机构的，提供有效的执业许可证等证明文件。</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（4）供应商是个体工商户，提供有效的个体工商户营业执照。</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具有良好的商业信誉和健全的财务会计制度</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（1）供应商是法人且成立一年或以上的,提供上一年度经审计的财务报告（上市公司或大型企业上一年度经审计的财务报告未完成的，提供投标截止日前六个月中任意</w:t>
            </w:r>
            <w:r>
              <w:rPr>
                <w:rFonts w:hint="eastAsia" w:ascii="仿宋" w:hAnsi="仿宋" w:eastAsia="仿宋" w:cs="仿宋"/>
                <w:sz w:val="24"/>
                <w:szCs w:val="24"/>
                <w:lang w:eastAsia="zh-CN"/>
              </w:rPr>
              <w:t>一</w:t>
            </w:r>
            <w:r>
              <w:rPr>
                <w:rFonts w:hint="eastAsia" w:ascii="仿宋" w:hAnsi="仿宋" w:eastAsia="仿宋" w:cs="仿宋"/>
                <w:sz w:val="24"/>
                <w:szCs w:val="24"/>
              </w:rPr>
              <w:t>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（2）无法按第（1）条提供财务报告的供应商可以提供银行出具的资信证明。</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（3）供应商也可以提供财政部门认可的政府采购专业担保机构出具的投标担保函（原件），代替财务状况报告。</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提供具备足够数量的设施设备及技术人员的证明材料或承诺。</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有依法缴纳税收的良好记录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有依法缴纳税收的良好记录，由供应商对以下内容提供书面承诺及声明，或提供相应证明材料。</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 供应商依法交纳税收的证明材料：本项目公告发布时间前</w:t>
            </w:r>
            <w:r>
              <w:rPr>
                <w:rFonts w:hint="eastAsia" w:ascii="仿宋" w:hAnsi="仿宋" w:eastAsia="仿宋" w:cs="仿宋"/>
                <w:sz w:val="24"/>
                <w:szCs w:val="24"/>
                <w:lang w:eastAsia="zh-CN"/>
              </w:rPr>
              <w:t>六</w:t>
            </w:r>
            <w:r>
              <w:rPr>
                <w:rFonts w:hint="eastAsia" w:ascii="仿宋" w:hAnsi="仿宋" w:eastAsia="仿宋" w:cs="仿宋"/>
                <w:sz w:val="24"/>
                <w:szCs w:val="24"/>
              </w:rPr>
              <w:t>个月内（至少提供</w:t>
            </w:r>
            <w:r>
              <w:rPr>
                <w:rFonts w:hint="eastAsia" w:ascii="仿宋" w:hAnsi="仿宋" w:eastAsia="仿宋" w:cs="仿宋"/>
                <w:sz w:val="24"/>
                <w:szCs w:val="24"/>
                <w:lang w:eastAsia="zh-CN"/>
              </w:rPr>
              <w:t>一</w:t>
            </w:r>
            <w:r>
              <w:rPr>
                <w:rFonts w:hint="eastAsia" w:ascii="仿宋" w:hAnsi="仿宋" w:eastAsia="仿宋" w:cs="仿宋"/>
                <w:sz w:val="24"/>
                <w:szCs w:val="24"/>
              </w:rPr>
              <w:t>个月）交纳增值税、企业所得税的凭据（完税证、缴款书、印花税票、银行代扣（代缴）转账凭证等均可）；</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 供应商为其他组织或自然人的，也需要按此项规定提供交纳税收的凭据；</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 依法免税的供应商，应提供相应文件证明其依法免税；</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有依法缴纳社会保障资金的良好记录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有依法缴纳社会保障资金的良好记录，由供应商对以下内容提供书面承诺及声明，或提供相应证明材料。</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 供应商依法交纳社会保障资金的证明材料： 本项目公告发布时间前6 个月内（至少提供1 个月） 交纳社会保险的凭据（专用收据或社会保险交纳清单）；</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 供应商为其他组织或自然人的，也需要按此项规定提供交纳社会保险的凭据；</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 依法不需要交纳社会保障资金的供应商，应提供相应文件证明其依法不需要交纳社会保障资金。</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474"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参加政府采购活动前三年内，在经营活动中没有重大违法记录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按照采购文件响应文件格式附件的格式要求，根据相关法规规定，提交书面声明。</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法律、行政法规规定的其他条件</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如国家对提供相关服务有专门法律、行政法规规定的，须提供相关许可的证明材料。</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8</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highlight w:val="yellow"/>
              </w:rPr>
            </w:pPr>
            <w:r>
              <w:rPr>
                <w:rFonts w:hint="eastAsia" w:ascii="仿宋" w:hAnsi="仿宋" w:eastAsia="仿宋" w:cs="仿宋"/>
                <w:color w:val="000000"/>
                <w:kern w:val="0"/>
                <w:sz w:val="24"/>
                <w:szCs w:val="24"/>
                <w:highlight w:val="yellow"/>
              </w:rPr>
              <w:t>资质要求</w:t>
            </w:r>
          </w:p>
        </w:tc>
        <w:tc>
          <w:tcPr>
            <w:tcW w:w="6299" w:type="dxa"/>
            <w:tcBorders>
              <w:top w:val="nil"/>
              <w:left w:val="nil"/>
              <w:bottom w:val="single" w:color="auto" w:sz="4" w:space="0"/>
              <w:right w:val="single" w:color="auto" w:sz="4" w:space="0"/>
            </w:tcBorders>
            <w:vAlign w:val="center"/>
          </w:tcPr>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right="0"/>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3.1供应商应具备建筑工程施工总承包资质；</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right="0"/>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3.2供应商应具备有效的安全生产许可证；</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right="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lang w:val="en-US" w:eastAsia="zh-CN"/>
              </w:rPr>
              <w:t>3.3 项目负责人须具备建筑工程专业壹级或贰级注册建造师资格，并取得有效的安全生产考核合格证书。</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highlight w:val="none"/>
              </w:rPr>
              <w:t>落实政府采购政策需满足的资格要求</w:t>
            </w:r>
          </w:p>
        </w:tc>
        <w:tc>
          <w:tcPr>
            <w:tcW w:w="6299" w:type="dxa"/>
            <w:tcBorders>
              <w:top w:val="nil"/>
              <w:left w:val="nil"/>
              <w:bottom w:val="single" w:color="auto" w:sz="4" w:space="0"/>
              <w:right w:val="single" w:color="auto" w:sz="4" w:space="0"/>
            </w:tcBorders>
            <w:vAlign w:val="center"/>
          </w:tcPr>
          <w:p>
            <w:pPr>
              <w:widowControl/>
              <w:spacing w:line="360" w:lineRule="auto"/>
              <w:rPr>
                <w:rFonts w:hint="eastAsia" w:ascii="仿宋" w:hAnsi="仿宋" w:eastAsia="仿宋" w:cs="仿宋"/>
                <w:sz w:val="24"/>
                <w:szCs w:val="24"/>
              </w:rPr>
            </w:pPr>
            <w:r>
              <w:rPr>
                <w:rFonts w:hint="eastAsia" w:ascii="仿宋" w:hAnsi="仿宋" w:eastAsia="仿宋" w:cs="仿宋"/>
                <w:color w:val="000000"/>
                <w:kern w:val="0"/>
                <w:sz w:val="24"/>
                <w:szCs w:val="24"/>
                <w:highlight w:val="none"/>
              </w:rPr>
              <w:t>供应商为小微企业</w:t>
            </w:r>
            <w:r>
              <w:rPr>
                <w:rFonts w:hint="eastAsia" w:ascii="仿宋" w:hAnsi="仿宋" w:eastAsia="仿宋" w:cs="仿宋"/>
                <w:color w:val="000000"/>
                <w:kern w:val="0"/>
                <w:sz w:val="24"/>
                <w:szCs w:val="24"/>
                <w:highlight w:val="none"/>
                <w:lang w:eastAsia="zh-CN"/>
              </w:rPr>
              <w:t>。提供相关声明函。</w:t>
            </w:r>
          </w:p>
        </w:tc>
      </w:tr>
      <w:tr>
        <w:tblPrEx>
          <w:tblCellMar>
            <w:top w:w="0" w:type="dxa"/>
            <w:left w:w="108" w:type="dxa"/>
            <w:bottom w:w="0" w:type="dxa"/>
            <w:right w:w="108" w:type="dxa"/>
          </w:tblCellMar>
        </w:tblPrEx>
        <w:trPr>
          <w:trHeight w:val="850" w:hRule="atLeast"/>
        </w:trPr>
        <w:tc>
          <w:tcPr>
            <w:tcW w:w="925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结论：是否通过评审（注：供应商有一项未通过不得参与下阶段评审，视为废标。）</w:t>
            </w:r>
          </w:p>
        </w:tc>
      </w:tr>
    </w:tbl>
    <w:p>
      <w:pPr>
        <w:spacing w:line="360" w:lineRule="auto"/>
        <w:ind w:firstLine="472" w:firstLineChars="196"/>
        <w:rPr>
          <w:rFonts w:ascii="仿宋_GB2312" w:hAnsi="仿宋" w:eastAsia="仿宋_GB2312" w:cs="Arial"/>
          <w:b/>
          <w:kern w:val="0"/>
          <w:sz w:val="24"/>
        </w:rPr>
      </w:pPr>
    </w:p>
    <w:p>
      <w:pPr>
        <w:spacing w:line="360" w:lineRule="auto"/>
        <w:ind w:firstLine="472" w:firstLineChars="196"/>
        <w:rPr>
          <w:rFonts w:ascii="仿宋_GB2312" w:hAnsi="仿宋" w:eastAsia="仿宋_GB2312" w:cs="Arial"/>
          <w:kern w:val="0"/>
          <w:sz w:val="24"/>
        </w:rPr>
      </w:pPr>
      <w:r>
        <w:rPr>
          <w:rFonts w:ascii="仿宋_GB2312" w:hAnsi="仿宋" w:eastAsia="仿宋_GB2312" w:cs="Arial"/>
          <w:b/>
          <w:kern w:val="0"/>
          <w:sz w:val="24"/>
        </w:rPr>
        <w:t>符合性审查。</w:t>
      </w:r>
      <w:r>
        <w:rPr>
          <w:rFonts w:ascii="仿宋_GB2312" w:hAnsi="仿宋" w:eastAsia="仿宋_GB2312" w:cs="Arial"/>
          <w:kern w:val="0"/>
          <w:sz w:val="24"/>
        </w:rPr>
        <w:t>评标委员会应当对符合资格的</w:t>
      </w:r>
      <w:r>
        <w:rPr>
          <w:rFonts w:hint="eastAsia" w:ascii="仿宋_GB2312" w:hAnsi="仿宋" w:eastAsia="仿宋_GB2312" w:cs="Arial"/>
          <w:kern w:val="0"/>
          <w:sz w:val="24"/>
          <w:lang w:eastAsia="zh-CN"/>
        </w:rPr>
        <w:t>供应商</w:t>
      </w:r>
      <w:r>
        <w:rPr>
          <w:rFonts w:ascii="仿宋_GB2312" w:hAnsi="仿宋" w:eastAsia="仿宋_GB2312" w:cs="Arial"/>
          <w:kern w:val="0"/>
          <w:sz w:val="24"/>
        </w:rPr>
        <w:t>的投标文件进行符合性审查，以确定其是否满足</w:t>
      </w:r>
      <w:r>
        <w:rPr>
          <w:rFonts w:hint="eastAsia" w:ascii="仿宋_GB2312" w:hAnsi="仿宋" w:eastAsia="仿宋_GB2312" w:cs="Arial"/>
          <w:kern w:val="0"/>
          <w:sz w:val="24"/>
          <w:lang w:eastAsia="zh-CN"/>
        </w:rPr>
        <w:t>采购文件</w:t>
      </w:r>
      <w:r>
        <w:rPr>
          <w:rFonts w:ascii="仿宋_GB2312" w:hAnsi="仿宋" w:eastAsia="仿宋_GB2312" w:cs="Arial"/>
          <w:kern w:val="0"/>
          <w:sz w:val="24"/>
        </w:rPr>
        <w:t>的实质性要求。</w:t>
      </w:r>
      <w:r>
        <w:rPr>
          <w:rFonts w:hint="eastAsia" w:ascii="仿宋_GB2312" w:hAnsi="仿宋" w:eastAsia="仿宋_GB2312" w:cs="Arial"/>
          <w:kern w:val="0"/>
          <w:sz w:val="24"/>
        </w:rPr>
        <w:t>不</w:t>
      </w:r>
      <w:r>
        <w:rPr>
          <w:rFonts w:ascii="仿宋_GB2312" w:hAnsi="仿宋" w:eastAsia="仿宋_GB2312" w:cs="Arial"/>
          <w:kern w:val="0"/>
          <w:sz w:val="24"/>
        </w:rPr>
        <w:t>满足</w:t>
      </w:r>
      <w:r>
        <w:rPr>
          <w:rFonts w:hint="eastAsia" w:ascii="仿宋_GB2312" w:hAnsi="仿宋" w:eastAsia="仿宋_GB2312" w:cs="Arial"/>
          <w:kern w:val="0"/>
          <w:sz w:val="24"/>
          <w:lang w:eastAsia="zh-CN"/>
        </w:rPr>
        <w:t>采购文件</w:t>
      </w:r>
      <w:r>
        <w:rPr>
          <w:rFonts w:ascii="仿宋_GB2312" w:hAnsi="仿宋" w:eastAsia="仿宋_GB2312" w:cs="Arial"/>
          <w:kern w:val="0"/>
          <w:sz w:val="24"/>
        </w:rPr>
        <w:t>的实质性要求</w:t>
      </w:r>
      <w:r>
        <w:rPr>
          <w:rFonts w:hint="eastAsia" w:ascii="仿宋_GB2312" w:hAnsi="仿宋" w:eastAsia="仿宋_GB2312" w:cs="Arial"/>
          <w:kern w:val="0"/>
          <w:sz w:val="24"/>
        </w:rPr>
        <w:t>的，投标无效。</w:t>
      </w:r>
    </w:p>
    <w:p>
      <w:pPr>
        <w:widowControl/>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符合性审查表</w:t>
      </w:r>
    </w:p>
    <w:tbl>
      <w:tblPr>
        <w:tblStyle w:val="61"/>
        <w:tblW w:w="4997" w:type="pct"/>
        <w:tblInd w:w="0" w:type="dxa"/>
        <w:tblLayout w:type="autofit"/>
        <w:tblCellMar>
          <w:top w:w="0" w:type="dxa"/>
          <w:left w:w="108" w:type="dxa"/>
          <w:bottom w:w="0" w:type="dxa"/>
          <w:right w:w="108" w:type="dxa"/>
        </w:tblCellMar>
      </w:tblPr>
      <w:tblGrid>
        <w:gridCol w:w="939"/>
        <w:gridCol w:w="1907"/>
        <w:gridCol w:w="6096"/>
      </w:tblGrid>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序号</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审查事项</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审查内容</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响应函</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响应函是否按规定格式填写，且投标有效期满足</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文件要求；</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投标保证金</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保证金按</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文件要求递交</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按要求提供法定代表人身份证明或法定代表人授权委托书；</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响应</w:t>
            </w:r>
            <w:r>
              <w:rPr>
                <w:rFonts w:hint="eastAsia" w:ascii="仿宋" w:hAnsi="仿宋" w:eastAsia="仿宋" w:cs="仿宋"/>
                <w:color w:val="000000"/>
                <w:kern w:val="0"/>
                <w:sz w:val="24"/>
              </w:rPr>
              <w:t>文件盖章</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响应</w:t>
            </w:r>
            <w:r>
              <w:rPr>
                <w:rFonts w:hint="eastAsia" w:ascii="仿宋" w:hAnsi="仿宋" w:eastAsia="仿宋" w:cs="仿宋"/>
                <w:color w:val="000000"/>
                <w:kern w:val="0"/>
                <w:sz w:val="24"/>
              </w:rPr>
              <w:t>文件按要求盖章</w:t>
            </w:r>
            <w:r>
              <w:rPr>
                <w:rFonts w:hint="eastAsia" w:ascii="仿宋" w:hAnsi="仿宋" w:eastAsia="仿宋" w:cs="仿宋"/>
                <w:color w:val="000000"/>
                <w:kern w:val="0"/>
                <w:sz w:val="24"/>
                <w:lang w:eastAsia="zh-CN"/>
              </w:rPr>
              <w:t>；</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6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有效报价</w:t>
            </w:r>
          </w:p>
        </w:tc>
        <w:tc>
          <w:tcPr>
            <w:tcW w:w="34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按照</w:t>
            </w:r>
            <w:r>
              <w:rPr>
                <w:rFonts w:hint="eastAsia" w:ascii="仿宋" w:hAnsi="仿宋" w:eastAsia="仿宋" w:cs="仿宋"/>
                <w:color w:val="000000"/>
                <w:kern w:val="0"/>
                <w:sz w:val="24"/>
                <w:lang w:eastAsia="zh-CN"/>
              </w:rPr>
              <w:t>采购文件</w:t>
            </w:r>
            <w:r>
              <w:rPr>
                <w:rFonts w:hint="eastAsia" w:ascii="仿宋" w:hAnsi="仿宋" w:eastAsia="仿宋" w:cs="仿宋"/>
                <w:color w:val="000000"/>
                <w:kern w:val="0"/>
                <w:sz w:val="24"/>
              </w:rPr>
              <w:t>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其他</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1.不存在串通投标、弄虚作假、行贿等违法行为；</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2.符合国家及</w:t>
            </w:r>
            <w:r>
              <w:rPr>
                <w:rFonts w:hint="eastAsia" w:ascii="仿宋" w:hAnsi="仿宋" w:eastAsia="仿宋" w:cs="仿宋"/>
                <w:color w:val="000000"/>
                <w:kern w:val="0"/>
                <w:sz w:val="24"/>
                <w:lang w:eastAsia="zh-CN"/>
              </w:rPr>
              <w:t>采购文件</w:t>
            </w:r>
            <w:r>
              <w:rPr>
                <w:rFonts w:hint="eastAsia" w:ascii="仿宋" w:hAnsi="仿宋" w:eastAsia="仿宋" w:cs="仿宋"/>
                <w:color w:val="000000"/>
                <w:kern w:val="0"/>
                <w:sz w:val="24"/>
              </w:rPr>
              <w:t>规定的其他要求；</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3.不存在单位负责人为同一人或者存在直接控股、管理关系的不同</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4.未出现采购人不能接受的附加条件。</w:t>
            </w:r>
          </w:p>
        </w:tc>
      </w:tr>
    </w:tbl>
    <w:p>
      <w:pPr>
        <w:pStyle w:val="23"/>
        <w:ind w:left="397"/>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信用信息查询</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信用信息查询渠道及截止时间：采购代理机构将通过“信用中国”网站(</w:t>
      </w:r>
      <w:r>
        <w:fldChar w:fldCharType="begin"/>
      </w:r>
      <w:r>
        <w:instrText xml:space="preserve"> HYPERLINK "http://www.creditchina.gov.cn" </w:instrText>
      </w:r>
      <w:r>
        <w:fldChar w:fldCharType="separate"/>
      </w:r>
      <w:r>
        <w:rPr>
          <w:rStyle w:val="69"/>
          <w:rFonts w:hint="eastAsia" w:ascii="仿宋_GB2312" w:hAnsi="仿宋" w:eastAsia="仿宋_GB2312"/>
          <w:snapToGrid/>
          <w:color w:val="auto"/>
          <w:sz w:val="24"/>
          <w:szCs w:val="24"/>
        </w:rPr>
        <w:t>www.creditchina.gov.cn</w:t>
      </w:r>
      <w:r>
        <w:rPr>
          <w:rStyle w:val="69"/>
          <w:rFonts w:hint="eastAsia" w:ascii="仿宋_GB2312" w:hAnsi="仿宋" w:eastAsia="仿宋_GB2312"/>
          <w:snapToGrid/>
          <w:color w:val="auto"/>
          <w:sz w:val="24"/>
          <w:szCs w:val="24"/>
        </w:rPr>
        <w:fldChar w:fldCharType="end"/>
      </w:r>
      <w:r>
        <w:rPr>
          <w:rFonts w:hint="eastAsia" w:ascii="仿宋_GB2312" w:hAnsi="仿宋" w:eastAsia="仿宋_GB2312" w:cs="Arial"/>
          <w:kern w:val="0"/>
          <w:szCs w:val="24"/>
        </w:rPr>
        <w:t>)、中国政府采购网(www.ccgp.gov.cn)渠道查询供应商响应截止时间前的信用记录。</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信用信息查询记录和证据留存的具体方式：现场查询的供应商的信用记录、查询结果经确认后将与磋商文件一起存档。</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信用信息的使用规则：经查询列入失信被执行人名单、重大税收违法案件当事人名单、政府采购严重违法失信行为记录名单的供应商将被拒绝参与政府采购活动。</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3"/>
        <w:spacing w:line="360" w:lineRule="auto"/>
        <w:rPr>
          <w:rFonts w:ascii="仿宋_GB2312" w:hAnsi="仿宋_GB2312" w:eastAsia="仿宋_GB2312" w:cs="仿宋_GB2312"/>
          <w:b/>
          <w:sz w:val="24"/>
          <w:szCs w:val="24"/>
        </w:rPr>
      </w:pPr>
    </w:p>
    <w:p>
      <w:pPr>
        <w:adjustRightInd/>
        <w:spacing w:line="360" w:lineRule="auto"/>
        <w:jc w:val="center"/>
        <w:outlineLvl w:val="0"/>
        <w:rPr>
          <w:rFonts w:ascii="仿宋_GB2312" w:hAnsi="仿宋" w:eastAsia="仿宋_GB2312"/>
          <w:b/>
          <w:sz w:val="32"/>
          <w:szCs w:val="32"/>
        </w:rPr>
      </w:pPr>
      <w:bookmarkStart w:id="19" w:name="_Toc20533"/>
      <w:r>
        <w:rPr>
          <w:rFonts w:hint="eastAsia" w:ascii="仿宋_GB2312" w:hAnsi="仿宋_GB2312" w:eastAsia="仿宋_GB2312" w:cs="仿宋_GB2312"/>
          <w:b/>
          <w:sz w:val="32"/>
        </w:rPr>
        <w:t>七</w:t>
      </w:r>
      <w:r>
        <w:rPr>
          <w:rFonts w:hint="eastAsia" w:ascii="仿宋_GB2312" w:hAnsi="仿宋_GB2312" w:eastAsia="仿宋_GB2312" w:cs="仿宋_GB2312"/>
          <w:b/>
          <w:sz w:val="32"/>
          <w:szCs w:val="20"/>
        </w:rPr>
        <w:t>、提交</w:t>
      </w:r>
      <w:r>
        <w:rPr>
          <w:rFonts w:hint="eastAsia" w:ascii="仿宋_GB2312" w:hAnsi="仿宋" w:eastAsia="仿宋_GB2312"/>
          <w:b/>
          <w:sz w:val="32"/>
          <w:szCs w:val="32"/>
        </w:rPr>
        <w:t>最后报价</w:t>
      </w:r>
      <w:bookmarkEnd w:id="19"/>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提交最后报价</w:t>
      </w:r>
    </w:p>
    <w:p>
      <w:pPr>
        <w:pStyle w:val="33"/>
        <w:snapToGrid w:val="0"/>
        <w:spacing w:line="360" w:lineRule="auto"/>
        <w:ind w:firstLine="480" w:firstLineChars="200"/>
        <w:rPr>
          <w:rFonts w:ascii="仿宋_GB2312" w:hAnsi="仿宋" w:eastAsia="仿宋_GB2312" w:cs="仿宋_GB2312"/>
          <w:sz w:val="24"/>
          <w:szCs w:val="24"/>
        </w:rPr>
      </w:pPr>
      <w:r>
        <w:rPr>
          <w:rFonts w:hint="eastAsia" w:ascii="仿宋_GB2312" w:hAnsi="仿宋" w:eastAsia="仿宋_GB2312" w:cs="Arial"/>
          <w:kern w:val="0"/>
          <w:sz w:val="24"/>
          <w:szCs w:val="24"/>
          <w:lang w:val="zh-CN"/>
        </w:rPr>
        <w:t>供应商应在规定时间内提交最后报价一览表。</w:t>
      </w:r>
    </w:p>
    <w:p/>
    <w:p>
      <w:pPr>
        <w:adjustRightInd/>
        <w:spacing w:line="360" w:lineRule="auto"/>
        <w:jc w:val="center"/>
        <w:outlineLvl w:val="0"/>
        <w:rPr>
          <w:rFonts w:ascii="仿宋_GB2312" w:hAnsi="仿宋_GB2312" w:eastAsia="仿宋_GB2312" w:cs="仿宋_GB2312"/>
          <w:b/>
          <w:sz w:val="32"/>
        </w:rPr>
      </w:pPr>
      <w:bookmarkStart w:id="20" w:name="_Toc11819"/>
      <w:r>
        <w:rPr>
          <w:rFonts w:hint="eastAsia" w:ascii="仿宋_GB2312" w:hAnsi="仿宋_GB2312" w:eastAsia="仿宋_GB2312" w:cs="仿宋_GB2312"/>
          <w:b/>
          <w:sz w:val="32"/>
          <w:szCs w:val="20"/>
        </w:rPr>
        <w:t>八、</w:t>
      </w:r>
      <w:r>
        <w:rPr>
          <w:rFonts w:hint="eastAsia" w:ascii="仿宋_GB2312" w:hAnsi="仿宋" w:eastAsia="仿宋_GB2312"/>
          <w:b/>
          <w:sz w:val="32"/>
          <w:szCs w:val="32"/>
        </w:rPr>
        <w:t>评审</w:t>
      </w:r>
      <w:bookmarkEnd w:id="20"/>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评审</w:t>
      </w:r>
    </w:p>
    <w:p>
      <w:pPr>
        <w:autoSpaceDE w:val="0"/>
        <w:autoSpaceDN w:val="0"/>
        <w:spacing w:line="360" w:lineRule="auto"/>
        <w:ind w:firstLine="480" w:firstLineChars="200"/>
        <w:rPr>
          <w:rFonts w:ascii="仿宋_GB2312" w:hAnsi="仿宋" w:eastAsia="仿宋_GB2312"/>
        </w:rPr>
      </w:pPr>
      <w:r>
        <w:rPr>
          <w:rFonts w:hint="eastAsia" w:ascii="仿宋_GB2312" w:hAnsi="仿宋" w:eastAsia="仿宋_GB2312" w:cs="仿宋_GB2312"/>
          <w:sz w:val="24"/>
        </w:rPr>
        <w:t>磋商小组将根据磋商文件和有关规定，履行评标工作职责，并按照评标方法及评分标准，全面衡量各供应商对磋商文件的响应情况。对实质上响应磋商文件的供应商，按照评审因素的量化指标排出推荐成交的供应商的先后顺序，并按顺序提出授标建议。</w:t>
      </w:r>
      <w:r>
        <w:rPr>
          <w:rFonts w:hint="eastAsia" w:ascii="仿宋_GB2312" w:hAnsi="仿宋" w:eastAsia="仿宋_GB2312" w:cs="仿宋_GB2312"/>
          <w:b/>
          <w:sz w:val="24"/>
        </w:rPr>
        <w:t>详见磋商文件第五部分评审方法及评审标准。</w:t>
      </w:r>
    </w:p>
    <w:p/>
    <w:p>
      <w:pPr>
        <w:adjustRightInd/>
        <w:spacing w:line="360" w:lineRule="auto"/>
        <w:jc w:val="center"/>
        <w:outlineLvl w:val="0"/>
        <w:rPr>
          <w:rFonts w:ascii="仿宋_GB2312" w:hAnsi="仿宋_GB2312" w:eastAsia="仿宋_GB2312" w:cs="仿宋_GB2312"/>
          <w:b/>
          <w:sz w:val="32"/>
          <w:szCs w:val="20"/>
        </w:rPr>
      </w:pPr>
      <w:bookmarkStart w:id="21" w:name="_Toc22532"/>
      <w:r>
        <w:rPr>
          <w:rFonts w:hint="eastAsia" w:ascii="仿宋_GB2312" w:hAnsi="仿宋_GB2312" w:eastAsia="仿宋_GB2312" w:cs="仿宋_GB2312"/>
          <w:b/>
          <w:sz w:val="32"/>
          <w:szCs w:val="20"/>
        </w:rPr>
        <w:t>九、</w:t>
      </w:r>
      <w:r>
        <w:rPr>
          <w:rFonts w:hint="eastAsia" w:ascii="仿宋_GB2312" w:hAnsi="仿宋" w:eastAsia="仿宋_GB2312"/>
          <w:b/>
          <w:sz w:val="32"/>
          <w:szCs w:val="32"/>
        </w:rPr>
        <w:t>成交</w:t>
      </w:r>
      <w:bookmarkEnd w:id="21"/>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推荐成交候选供应商</w:t>
      </w:r>
    </w:p>
    <w:p>
      <w:pPr>
        <w:spacing w:line="360" w:lineRule="auto"/>
        <w:ind w:firstLine="465" w:firstLineChars="194"/>
        <w:rPr>
          <w:rFonts w:ascii="仿宋_GB2312" w:hAnsi="仿宋" w:eastAsia="仿宋_GB2312"/>
          <w:sz w:val="24"/>
          <w:szCs w:val="21"/>
        </w:rPr>
      </w:pPr>
      <w:r>
        <w:rPr>
          <w:rFonts w:hint="eastAsia" w:ascii="仿宋_GB2312" w:hAnsi="仿宋" w:eastAsia="仿宋_GB2312"/>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确定成交供应商</w:t>
      </w:r>
    </w:p>
    <w:p>
      <w:pPr>
        <w:spacing w:line="360" w:lineRule="auto"/>
        <w:ind w:firstLine="360" w:firstLineChars="150"/>
        <w:rPr>
          <w:rFonts w:ascii="仿宋_GB2312" w:hAnsi="仿宋" w:eastAsia="仿宋_GB2312"/>
          <w:sz w:val="24"/>
          <w:szCs w:val="21"/>
        </w:rPr>
      </w:pPr>
      <w:r>
        <w:rPr>
          <w:rFonts w:hint="eastAsia" w:ascii="仿宋_GB2312" w:hAnsi="仿宋" w:eastAsia="仿宋_GB2312"/>
          <w:sz w:val="24"/>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通过电子交易平台，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成交通知及成交结果公告</w:t>
      </w:r>
    </w:p>
    <w:p>
      <w:pPr>
        <w:pStyle w:val="395"/>
        <w:numPr>
          <w:ilvl w:val="1"/>
          <w:numId w:val="32"/>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代理机构将在自成交人确定之日起2个工作日内，通过电子交易平台向成交人发出成交通知书，向未成交人发出成交结果通知书，同时在省级以上财政部门指定的政府采购信息发布媒体上公告成交结果。成交结果公告内容包括采购人及其委托的采购代理机构的名称、地址、联系方式，项目名称和项目编号，成交人名称、地址和成交金额，主要成交标的的名称、规格型号、数量、单价、服务要求，成交公告期限以及评审专家名单、评分汇总及明细等。采购代理机构也可以以纸质形式进行成交通知。</w:t>
      </w:r>
    </w:p>
    <w:p>
      <w:pPr>
        <w:pStyle w:val="395"/>
        <w:numPr>
          <w:ilvl w:val="1"/>
          <w:numId w:val="32"/>
        </w:numPr>
        <w:spacing w:before="0"/>
        <w:ind w:left="10" w:firstLine="387" w:firstLineChars="0"/>
        <w:rPr>
          <w:rFonts w:ascii="仿宋_GB2312" w:hAnsi="仿宋" w:eastAsia="仿宋_GB2312"/>
          <w:szCs w:val="21"/>
        </w:rPr>
      </w:pPr>
      <w:r>
        <w:rPr>
          <w:rFonts w:hint="eastAsia" w:ascii="仿宋_GB2312" w:hAnsi="仿宋" w:eastAsia="仿宋_GB2312" w:cs="Arial"/>
          <w:kern w:val="0"/>
          <w:szCs w:val="24"/>
        </w:rPr>
        <w:t>公告期限为1个工作日。</w:t>
      </w:r>
    </w:p>
    <w:p/>
    <w:p>
      <w:pPr>
        <w:snapToGrid w:val="0"/>
        <w:spacing w:line="360" w:lineRule="auto"/>
        <w:jc w:val="center"/>
        <w:outlineLvl w:val="0"/>
        <w:rPr>
          <w:rFonts w:ascii="仿宋_GB2312" w:hAnsi="仿宋_GB2312" w:eastAsia="仿宋_GB2312" w:cs="仿宋_GB2312"/>
          <w:b/>
          <w:sz w:val="36"/>
          <w:szCs w:val="36"/>
        </w:rPr>
      </w:pPr>
      <w:bookmarkStart w:id="22" w:name="_Toc31224"/>
      <w:r>
        <w:rPr>
          <w:rFonts w:hint="eastAsia" w:ascii="仿宋_GB2312" w:hAnsi="仿宋_GB2312" w:eastAsia="仿宋_GB2312" w:cs="仿宋_GB2312"/>
          <w:b/>
          <w:sz w:val="36"/>
          <w:szCs w:val="36"/>
        </w:rPr>
        <w:t>十二、合同授予</w:t>
      </w:r>
      <w:bookmarkEnd w:id="22"/>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合同授予</w:t>
      </w:r>
    </w:p>
    <w:p>
      <w:pPr>
        <w:pStyle w:val="23"/>
        <w:ind w:firstLine="480" w:firstLineChars="200"/>
        <w:rPr>
          <w:rFonts w:ascii="仿宋_GB2312" w:hAnsi="仿宋" w:eastAsia="仿宋_GB2312" w:cs="仿宋_GB2312"/>
        </w:rPr>
      </w:pPr>
      <w:r>
        <w:rPr>
          <w:rFonts w:hint="eastAsia" w:ascii="仿宋_GB2312" w:hAnsi="仿宋" w:eastAsia="仿宋_GB2312" w:cs="仿宋_GB2312"/>
        </w:rPr>
        <w:t>合同主要条款详见第六部分拟签订的合同文本。</w:t>
      </w: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合同的签订</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与成交供应商应当通过电子交易平台在成交通知书发出之日起三十日内，按照磋商文件确定的事项签订政府采购合同，并在签订之日起2个工作日内将政府采购合同在新疆政府采购网上公告。鼓励有条件的采购人视情缩减采购合同签订时限，提高采购效率，杜绝“冷、硬、横、推”等不当行为。除不可抗力等特殊情况外，原则上应当在成交通知书发出之日起10个工作日内，与成交供应商按照磋商文件确定的事项签订政府采购合同。</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成交供应商按规定的日期、时间、地点，由法定代表人或其授权代表与采购人代表签订合同。如成交供应商为联合体的，由联合体成员各方法定代表人或其授权代表与采购人代表签订合同。</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如签订合同并生效后，供应商无故拒绝或延期，除按照合同条款处理外，列入不良行为记录一次，并给予通报。</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采购合同由采购人与成交供应商根据磋商文件、响应文件等内容通过政府采购电子交易平台在线签订，自动备案。</w:t>
      </w:r>
    </w:p>
    <w:p>
      <w:pPr>
        <w:pStyle w:val="395"/>
        <w:spacing w:before="0"/>
        <w:ind w:left="397" w:firstLine="0" w:firstLineChars="0"/>
        <w:rPr>
          <w:rFonts w:ascii="仿宋_GB2312" w:hAnsi="仿宋" w:eastAsia="仿宋_GB2312" w:cs="Arial"/>
          <w:kern w:val="0"/>
          <w:szCs w:val="24"/>
        </w:rPr>
      </w:pP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履约保证金</w:t>
      </w:r>
    </w:p>
    <w:p>
      <w:pPr>
        <w:tabs>
          <w:tab w:val="left" w:pos="0"/>
        </w:tabs>
        <w:spacing w:line="360" w:lineRule="auto"/>
        <w:ind w:firstLine="480"/>
        <w:rPr>
          <w:rFonts w:ascii="仿宋_GB2312" w:hAnsi="Helvetica" w:eastAsia="仿宋_GB2312" w:cs="Helvetica"/>
          <w:b/>
          <w:bCs/>
          <w:kern w:val="0"/>
          <w:sz w:val="24"/>
        </w:rPr>
      </w:pPr>
      <w:r>
        <w:rPr>
          <w:rFonts w:hint="eastAsia" w:ascii="仿宋_GB2312" w:hAnsi="Helvetica" w:eastAsia="仿宋_GB2312" w:cs="Helvetica"/>
          <w:kern w:val="0"/>
          <w:sz w:val="24"/>
        </w:rPr>
        <w:t>拟签订的合同文本要求中标供应商提交履约保证金的，供应商应当以支票、汇票、本票或者金融机构、担保机构出具的保函等非现金形式提交。履约保证金的数额不得超过政府采购合同金额的10%。鼓励和支持供应商以银行、保险公司出具的保函形式提供履约保证金。</w:t>
      </w:r>
      <w:r>
        <w:rPr>
          <w:rFonts w:hint="eastAsia" w:ascii="仿宋_GB2312" w:hAnsi="Helvetica" w:eastAsia="仿宋_GB2312" w:cs="Helvetica"/>
          <w:b/>
          <w:bCs/>
          <w:kern w:val="0"/>
          <w:sz w:val="24"/>
        </w:rPr>
        <w:t>采购人不得拒收履约保函。</w:t>
      </w:r>
      <w:r>
        <w:rPr>
          <w:rFonts w:hint="eastAsia" w:ascii="仿宋_GB2312" w:hAnsi="仿宋" w:eastAsia="仿宋_GB2312"/>
          <w:bCs/>
          <w:sz w:val="24"/>
          <w:lang w:val="zh-CN"/>
        </w:rPr>
        <w:t>项目验收结束后应及时退还，延迟退还的，应当按照合同约定和法律规定承担相应的赔偿责任。</w:t>
      </w:r>
    </w:p>
    <w:p>
      <w:pPr>
        <w:tabs>
          <w:tab w:val="left" w:pos="0"/>
        </w:tabs>
        <w:spacing w:line="360" w:lineRule="auto"/>
        <w:ind w:firstLine="480"/>
        <w:jc w:val="center"/>
        <w:rPr>
          <w:rFonts w:ascii="仿宋_GB2312" w:hAnsi="仿宋" w:eastAsia="仿宋_GB2312" w:cs="仿宋_GB2312"/>
          <w:b/>
          <w:sz w:val="36"/>
          <w:szCs w:val="36"/>
        </w:rPr>
      </w:pPr>
      <w:bookmarkStart w:id="23" w:name="_Toc13710"/>
      <w:r>
        <w:rPr>
          <w:rFonts w:hint="eastAsia" w:ascii="仿宋_GB2312" w:hAnsi="仿宋_GB2312" w:eastAsia="仿宋_GB2312" w:cs="仿宋_GB2312"/>
          <w:b/>
          <w:sz w:val="36"/>
          <w:szCs w:val="36"/>
        </w:rPr>
        <w:t>十三、电子交易活动的中止</w:t>
      </w:r>
      <w:bookmarkEnd w:id="23"/>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电子交易活动的中止。</w:t>
      </w:r>
    </w:p>
    <w:p>
      <w:pPr>
        <w:pStyle w:val="395"/>
        <w:snapToGrid w:val="0"/>
        <w:spacing w:before="0"/>
        <w:ind w:firstLine="480"/>
        <w:rPr>
          <w:rFonts w:ascii="仿宋_GB2312" w:hAnsi="仿宋" w:eastAsia="仿宋_GB2312" w:cs="仿宋_GB2312"/>
        </w:rPr>
      </w:pPr>
      <w:r>
        <w:rPr>
          <w:rFonts w:hint="eastAsia" w:ascii="仿宋_GB2312" w:hAnsi="仿宋" w:eastAsia="仿宋_GB2312" w:cs="仿宋_GB2312"/>
        </w:rPr>
        <w:t>采购过程中出现以下情形，导致电子交易平台无法正常运行，或者无法保证电子交易的公平、公正和安全时，采购代理机构可中止电子交易活动：</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 xml:space="preserve">电子交易平台发生故障而无法登录访问的； </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电子交易平台应用或数据库出现错误，不能进行正常操作的；</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电子交易平台发现严重安全漏洞，有潜在泄密危险的；</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 xml:space="preserve">病毒发作导致不能进行正常操作的； </w:t>
      </w:r>
    </w:p>
    <w:p>
      <w:pPr>
        <w:pStyle w:val="395"/>
        <w:numPr>
          <w:ilvl w:val="1"/>
          <w:numId w:val="34"/>
        </w:numPr>
        <w:spacing w:before="0"/>
        <w:ind w:firstLineChars="0"/>
        <w:rPr>
          <w:rFonts w:ascii="仿宋_GB2312" w:hAnsi="仿宋" w:eastAsia="仿宋_GB2312" w:cs="仿宋_GB2312"/>
        </w:rPr>
      </w:pPr>
      <w:r>
        <w:rPr>
          <w:rFonts w:hint="eastAsia" w:ascii="仿宋_GB2312" w:hAnsi="仿宋" w:eastAsia="仿宋_GB2312" w:cs="Arial"/>
          <w:kern w:val="0"/>
          <w:szCs w:val="24"/>
        </w:rPr>
        <w:t>其他无法保证电子交易的公平、公正和安全的情况。</w:t>
      </w:r>
    </w:p>
    <w:p>
      <w:pPr>
        <w:numPr>
          <w:ilvl w:val="0"/>
          <w:numId w:val="13"/>
        </w:numPr>
        <w:snapToGrid w:val="0"/>
        <w:spacing w:line="360" w:lineRule="auto"/>
        <w:ind w:left="11" w:firstLine="15"/>
        <w:jc w:val="left"/>
        <w:outlineLvl w:val="1"/>
        <w:rPr>
          <w:rFonts w:ascii="仿宋_GB2312" w:hAnsi="仿宋" w:eastAsia="仿宋_GB2312"/>
          <w:b/>
          <w:sz w:val="24"/>
          <w:lang w:val="zh-CN"/>
        </w:rPr>
      </w:pPr>
      <w:r>
        <w:rPr>
          <w:rFonts w:hint="eastAsia" w:ascii="仿宋_GB2312" w:hAnsi="仿宋" w:eastAsia="仿宋_GB2312"/>
          <w:b/>
          <w:sz w:val="24"/>
          <w:lang w:val="zh-CN"/>
        </w:rPr>
        <w:t>出现以上情形，不影响采购公平、公正性的，采购组织机构可以待上述情形消除后继续组织电子交易活动，也可以决定某些环节以纸质形式进行；影响或可能影响采购公平、公正性的，应当重新采购。</w:t>
      </w:r>
    </w:p>
    <w:p/>
    <w:p>
      <w:pPr>
        <w:snapToGrid w:val="0"/>
        <w:spacing w:line="360" w:lineRule="auto"/>
        <w:jc w:val="center"/>
        <w:outlineLvl w:val="0"/>
        <w:rPr>
          <w:rFonts w:ascii="仿宋_GB2312" w:hAnsi="仿宋_GB2312" w:eastAsia="仿宋_GB2312" w:cs="仿宋_GB2312"/>
          <w:b/>
          <w:sz w:val="36"/>
          <w:szCs w:val="36"/>
        </w:rPr>
      </w:pPr>
      <w:bookmarkStart w:id="24" w:name="_Toc24231"/>
      <w:r>
        <w:rPr>
          <w:rFonts w:hint="eastAsia" w:ascii="仿宋_GB2312" w:hAnsi="仿宋_GB2312" w:eastAsia="仿宋_GB2312" w:cs="仿宋_GB2312"/>
          <w:b/>
          <w:sz w:val="36"/>
          <w:szCs w:val="36"/>
        </w:rPr>
        <w:t>十四、验收</w:t>
      </w:r>
      <w:bookmarkEnd w:id="24"/>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验收</w:t>
      </w:r>
    </w:p>
    <w:p>
      <w:pPr>
        <w:pStyle w:val="395"/>
        <w:numPr>
          <w:ilvl w:val="1"/>
          <w:numId w:val="35"/>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Style w:val="395"/>
        <w:numPr>
          <w:ilvl w:val="1"/>
          <w:numId w:val="35"/>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采购人可以邀请参加本项目的其他供应商或者第三方机构参与验收。参与验收的供应商或者第三方机构的意见作为验收书的参考资料一并存档。</w:t>
      </w:r>
    </w:p>
    <w:p>
      <w:pPr>
        <w:pStyle w:val="395"/>
        <w:numPr>
          <w:ilvl w:val="1"/>
          <w:numId w:val="35"/>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Style w:val="395"/>
        <w:numPr>
          <w:ilvl w:val="1"/>
          <w:numId w:val="35"/>
        </w:numPr>
        <w:spacing w:before="0"/>
        <w:ind w:left="10" w:firstLine="387" w:firstLineChars="0"/>
        <w:rPr>
          <w:rFonts w:ascii="仿宋_GB2312" w:hAnsi="Helvetica" w:eastAsia="仿宋_GB2312" w:cs="Helvetica"/>
          <w:kern w:val="0"/>
        </w:rPr>
      </w:pPr>
      <w:r>
        <w:rPr>
          <w:rFonts w:hint="eastAsia" w:ascii="仿宋_GB2312" w:hAnsi="仿宋" w:eastAsia="仿宋_GB2312" w:cs="Arial"/>
          <w:kern w:val="0"/>
          <w:szCs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9"/>
    <w:p>
      <w:pPr>
        <w:widowControl/>
        <w:adjustRightInd/>
        <w:jc w:val="left"/>
        <w:rPr>
          <w:rFonts w:ascii="仿宋_GB2312" w:hAnsi="仿宋_GB2312" w:eastAsia="仿宋_GB2312" w:cs="仿宋_GB2312"/>
          <w:b/>
          <w:sz w:val="36"/>
          <w:szCs w:val="36"/>
        </w:rPr>
      </w:pPr>
      <w:bookmarkStart w:id="25" w:name="_Hlt74714665"/>
      <w:bookmarkEnd w:id="25"/>
      <w:bookmarkStart w:id="26" w:name="_Hlt74729768"/>
      <w:bookmarkEnd w:id="26"/>
      <w:bookmarkStart w:id="27" w:name="_Hlt68057669"/>
      <w:bookmarkEnd w:id="27"/>
      <w:bookmarkStart w:id="28" w:name="_Hlt74707468"/>
      <w:bookmarkEnd w:id="28"/>
      <w:bookmarkStart w:id="29" w:name="_Hlt75236101"/>
      <w:bookmarkEnd w:id="29"/>
      <w:bookmarkStart w:id="30" w:name="_Hlt68072990"/>
      <w:bookmarkEnd w:id="30"/>
      <w:bookmarkStart w:id="31" w:name="_Hlt74730295"/>
      <w:bookmarkEnd w:id="31"/>
      <w:bookmarkStart w:id="32" w:name="_Hlt75236290"/>
      <w:bookmarkEnd w:id="32"/>
      <w:bookmarkStart w:id="33" w:name="_Hlt75236011"/>
      <w:bookmarkEnd w:id="33"/>
      <w:bookmarkStart w:id="34" w:name="_Toc164416483"/>
      <w:bookmarkStart w:id="35" w:name="第三部分"/>
      <w:r>
        <w:rPr>
          <w:rFonts w:ascii="仿宋_GB2312" w:hAnsi="仿宋_GB2312" w:eastAsia="仿宋_GB2312" w:cs="仿宋_GB2312"/>
          <w:b/>
          <w:sz w:val="36"/>
          <w:szCs w:val="36"/>
        </w:rPr>
        <w:br w:type="page"/>
      </w:r>
    </w:p>
    <w:p>
      <w:pPr>
        <w:adjustRightInd/>
        <w:spacing w:line="360" w:lineRule="auto"/>
        <w:jc w:val="center"/>
        <w:outlineLvl w:val="0"/>
        <w:rPr>
          <w:rFonts w:ascii="仿宋_GB2312" w:hAnsi="仿宋_GB2312" w:eastAsia="仿宋_GB2312" w:cs="仿宋_GB2312"/>
          <w:b/>
          <w:sz w:val="36"/>
          <w:szCs w:val="36"/>
        </w:rPr>
      </w:pPr>
      <w:bookmarkStart w:id="36" w:name="_Toc20290"/>
      <w:r>
        <w:rPr>
          <w:rFonts w:hint="eastAsia" w:ascii="仿宋_GB2312" w:hAnsi="仿宋_GB2312" w:eastAsia="仿宋_GB2312" w:cs="仿宋_GB2312"/>
          <w:b/>
          <w:sz w:val="36"/>
          <w:szCs w:val="36"/>
        </w:rPr>
        <w:t>第四部分  采购需求</w:t>
      </w:r>
      <w:bookmarkEnd w:id="36"/>
    </w:p>
    <w:p>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详</w:t>
      </w:r>
      <w:r>
        <w:rPr>
          <w:rFonts w:hint="eastAsia" w:ascii="仿宋" w:hAnsi="仿宋" w:eastAsia="仿宋" w:cs="仿宋"/>
          <w:kern w:val="0"/>
          <w:sz w:val="24"/>
          <w:szCs w:val="24"/>
        </w:rPr>
        <w:t>见工程量清单</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建设单位：乌鲁木齐市天山区东门片区管委会</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工程名称：乌鲁木齐市天山区东门片区管委会东门片区管委会社区卫生服务中心四楼日间照料中心建设项目</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工程地点：乌鲁木齐市</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工程规模：总建筑面积为945平方米。其中康养房奴13间、餐厅一间、活动中心一间、办公室一间、会议室一间、储物间一间。</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二、招标范围</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1、本次招标范围为</w:t>
      </w:r>
      <w:r>
        <w:rPr>
          <w:rFonts w:hint="eastAsia" w:ascii="仿宋" w:hAnsi="仿宋" w:eastAsia="仿宋" w:cs="仿宋"/>
          <w:sz w:val="24"/>
          <w:szCs w:val="24"/>
          <w:highlight w:val="none"/>
          <w:lang w:eastAsia="zh-CN"/>
        </w:rPr>
        <w:t>服务中心四楼的局部装修改造，包括增加卫生间、给排水、洁具、卫生间装修、电气改造消防增加喷淋头改造、餐厅、活动中心、会议室及接待厅装修等</w:t>
      </w:r>
      <w:r>
        <w:rPr>
          <w:rFonts w:hint="eastAsia" w:ascii="仿宋" w:hAnsi="仿宋" w:eastAsia="仿宋" w:cs="仿宋"/>
          <w:sz w:val="24"/>
          <w:szCs w:val="24"/>
          <w:highlight w:val="none"/>
        </w:rPr>
        <w:t>，具体参见工程量清单。</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2、工期要求：</w:t>
      </w:r>
      <w:r>
        <w:rPr>
          <w:rFonts w:hint="eastAsia" w:ascii="仿宋" w:hAnsi="仿宋" w:eastAsia="仿宋" w:cs="仿宋"/>
          <w:sz w:val="24"/>
          <w:szCs w:val="24"/>
          <w:highlight w:val="none"/>
          <w:lang w:val="en-US" w:eastAsia="zh-CN"/>
        </w:rPr>
        <w:t>30日历日</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3、施工现场实际情况、交通运输情况、自然地理要求：自行勘察。</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三、工程量清单编制依据</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1、《建设工程工程量清单计价规范》GB 50500-2013、《房屋建筑与装饰工程工程量计算规范》GB 50854-2013《通用安装工程工程量计算规范》GB 50856-2013；</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2、本工程根据施工图纸内容编制；</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3、《新疆房屋建筑与装饰工程消耗量定额乌鲁木齐估价汇总表》(2020)版；《全统安装工程消耗量定额乌鲁木齐估价汇总表》(2020)版；《2020版新疆维吾尔自治区市政工程消耗量定额》；</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4、材料价差执行《乌鲁木齐地区2023年7月份建设工程综合价格信息》价格信息文件。</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5、本预算书根据甲方对康养院使用功能内容描述与设计图纸编制工程预算，如施工中发生变更，根据实际情况进行调整。</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四、相关说明</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1、本工程属于增值税模式的计税工程项目。</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2、土方的运输施工根据合理、经济的施工方案自行考虑。</w:t>
      </w:r>
      <w:r>
        <w:rPr>
          <w:rFonts w:hint="eastAsia" w:ascii="仿宋" w:hAnsi="仿宋" w:eastAsia="仿宋" w:cs="仿宋"/>
          <w:kern w:val="0"/>
          <w:sz w:val="24"/>
          <w:szCs w:val="24"/>
          <w:highlight w:val="none"/>
          <w:lang w:val="en-US" w:eastAsia="zh-CN" w:bidi="ar-SA"/>
        </w:rPr>
        <w:tab/>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3、本工程相应专业规费及不可竞争费费率按招标文件及工程量清单相关所列费率填报，结算时根据政府有关部门颁发的文件执行。</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4、本工程为室内维修改造项目。</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5、其他未尽事项详见招标文件、设计图纸、相关规范及业主其他书面要求。</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五、施工技术要求</w:t>
      </w:r>
    </w:p>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en-US" w:eastAsia="zh-CN"/>
        </w:rPr>
        <w:t>室内</w:t>
      </w:r>
      <w:r>
        <w:rPr>
          <w:rFonts w:hint="eastAsia" w:ascii="仿宋" w:hAnsi="仿宋" w:eastAsia="仿宋" w:cs="仿宋"/>
          <w:b/>
          <w:color w:val="auto"/>
          <w:sz w:val="24"/>
          <w:szCs w:val="24"/>
          <w:highlight w:val="none"/>
          <w:lang w:val="zh-CN" w:eastAsia="zh-CN"/>
        </w:rPr>
        <w:t>墙面饰面板部分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color w:val="auto"/>
          <w:sz w:val="24"/>
          <w:szCs w:val="24"/>
          <w:highlight w:val="none"/>
        </w:rPr>
        <w:t>工序/ 工艺 质量控制要点：</w:t>
      </w:r>
    </w:p>
    <w:p>
      <w:pPr>
        <w:keepNext w:val="0"/>
        <w:keepLines w:val="0"/>
        <w:pageBreakBefore w:val="0"/>
        <w:widowControl w:val="0"/>
        <w:numPr>
          <w:ilvl w:val="0"/>
          <w:numId w:val="36"/>
        </w:numPr>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墙面罩面板的安装工艺：基层防潮处理→放线→骨架连接件固定→固定龙骨→基层板安装→安装饰面板。</w:t>
      </w:r>
    </w:p>
    <w:p>
      <w:pPr>
        <w:keepNext w:val="0"/>
        <w:keepLines w:val="0"/>
        <w:pageBreakBefore w:val="0"/>
        <w:widowControl w:val="0"/>
        <w:numPr>
          <w:ilvl w:val="0"/>
          <w:numId w:val="36"/>
        </w:numPr>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若隔断墙内有管线安装则应在封罩面板之前完成。隔断墙上有插座等物件，则应在相应位置设加强垫木。</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基层板和木饰面板的安装</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）基层防潮处理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了防止墙面的潮气使夹板产生翘曲，墙面应采取防潮措施。其方法有两种：一种在基层上先做防潮砂浆抹灰，干燥后再涂一道防水涂料如1mm涂膜橡胶；另一种是在墙面比较干燥的情况下，采用护墙面板与墙面之间通气，即在罩面板的上、下留透气孔，保证墙龙骨、罩面板干燥。</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本工程采取防潮砂浆抹灰来进行防潮处理，并采取在龙骨、基层板两面刷涂防火涂料来保证木结构基层、龙骨的防火要求。</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放线</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放线前要检查墙面的质量情况，弹出竖筋和横筋的龙骨装钉垂直线和水平线。其墙筋的间距应参照罩面板的长、宽规格尺寸确定，本工程设计要求间距为400mm。</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木骨架固定</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墙体内预埋木砖或嵌入木楔，或者用射钉枪射钉将竖向墙筋钉入墙面上。横竖墙筋的间距按放线钉好。</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安装夹板基层</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龙骨安装完成后,将基层夹板按照龙骨间距并根据基层板的规格进行排板,并用铁钉进行安装固定,要求固定牢固,钉帽要隐入板内不得漏出钉头。要求衬板表面无翘曲、起皮现象，表面平整、清洁。板与板之间缝隙应在竖木筋处。</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安装饰面板</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将饰面夹板好面朝外，按墙筋间距、拼缝要求进行排板，并将加工后的饰面板试铺后，用粘贴、钉、上螺丝等方法固定在墙筋上。所用的钉子钉头应隐入饰面板内不的露头。</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饰面板接点处理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木饰面板安装时的细部接点处理是木装修效果及质量的重要影响因素。通常细部处理有：板与板的拼接处理方法：斜缝、平缝、压条等。</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室内吊顶部分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color w:val="auto"/>
          <w:sz w:val="24"/>
          <w:szCs w:val="24"/>
          <w:highlight w:val="none"/>
        </w:rPr>
        <w:t>工序/ 工艺 质量控制要点：</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1、</w:t>
      </w:r>
      <w:r>
        <w:rPr>
          <w:rFonts w:hint="eastAsia" w:ascii="仿宋" w:hAnsi="仿宋" w:eastAsia="仿宋" w:cs="仿宋"/>
          <w:snapToGrid w:val="0"/>
          <w:color w:val="auto"/>
          <w:kern w:val="0"/>
          <w:sz w:val="24"/>
          <w:szCs w:val="24"/>
          <w:highlight w:val="none"/>
        </w:rPr>
        <w:t>暗龙</w:t>
      </w:r>
      <w:r>
        <w:rPr>
          <w:rFonts w:hint="eastAsia" w:ascii="仿宋" w:hAnsi="仿宋" w:eastAsia="仿宋" w:cs="仿宋"/>
          <w:snapToGrid w:val="0"/>
          <w:color w:val="auto"/>
          <w:kern w:val="0"/>
          <w:sz w:val="24"/>
          <w:szCs w:val="24"/>
          <w:highlight w:val="none"/>
          <w:lang w:eastAsia="zh-CN"/>
        </w:rPr>
        <w:t>、明龙</w:t>
      </w:r>
      <w:r>
        <w:rPr>
          <w:rFonts w:hint="eastAsia" w:ascii="仿宋" w:hAnsi="仿宋" w:eastAsia="仿宋" w:cs="仿宋"/>
          <w:snapToGrid w:val="0"/>
          <w:color w:val="auto"/>
          <w:kern w:val="0"/>
          <w:sz w:val="24"/>
          <w:szCs w:val="24"/>
          <w:highlight w:val="none"/>
        </w:rPr>
        <w:t xml:space="preserve">骨吊顶工程   质量要求符合《建筑装饰装修工程施工质量验收规范》的规定。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2、工序：</w:t>
      </w:r>
      <w:r>
        <w:rPr>
          <w:rFonts w:hint="eastAsia" w:ascii="仿宋" w:hAnsi="仿宋" w:eastAsia="仿宋" w:cs="仿宋"/>
          <w:snapToGrid w:val="0"/>
          <w:color w:val="auto"/>
          <w:kern w:val="0"/>
          <w:sz w:val="24"/>
          <w:szCs w:val="24"/>
          <w:highlight w:val="none"/>
        </w:rPr>
        <w:t xml:space="preserve">弹顶棚标高水平线--画龙骨分档线--安装主龙骨吊杆--安装主龙骨--安装边龙骨--安装次龙骨--安装---清理--分项--检验批验收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rPr>
        <w:t>弹顶棚水平线：根据设计标高，沿墙四周弹顶棚标高水平线，并沿顶棚的标高水平线，在墙上画好龙骨分档位置线。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 xml:space="preserve">安装主龙骨吊杆：在弹好顶棚标高水平线及龙位置线后，确定吊杆下端头的标高，安装8mm吊杆。直安装选用膨胀螺栓固定到结构顶棚上。吊杆选 用规格符合设计要求，间距小于1200mm。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5、</w:t>
      </w:r>
      <w:r>
        <w:rPr>
          <w:rFonts w:hint="eastAsia" w:ascii="仿宋" w:hAnsi="仿宋" w:eastAsia="仿宋" w:cs="仿宋"/>
          <w:snapToGrid w:val="0"/>
          <w:color w:val="auto"/>
          <w:kern w:val="0"/>
          <w:sz w:val="24"/>
          <w:szCs w:val="24"/>
          <w:highlight w:val="none"/>
        </w:rPr>
        <w:t xml:space="preserve">安装主龙骨：主龙间距为900~1200mm主龙骨用与之配套的龙吊件与吊杆相连。   </w:t>
      </w:r>
      <w:r>
        <w:rPr>
          <w:rFonts w:hint="eastAsia" w:ascii="仿宋" w:hAnsi="仿宋" w:eastAsia="仿宋" w:cs="仿宋"/>
          <w:snapToGrid w:val="0"/>
          <w:color w:val="auto"/>
          <w:kern w:val="0"/>
          <w:sz w:val="24"/>
          <w:szCs w:val="24"/>
          <w:highlight w:val="none"/>
          <w:lang w:val="en-US" w:eastAsia="zh-CN"/>
        </w:rPr>
        <w:t>6、</w:t>
      </w:r>
      <w:r>
        <w:rPr>
          <w:rFonts w:hint="eastAsia" w:ascii="仿宋" w:hAnsi="仿宋" w:eastAsia="仿宋" w:cs="仿宋"/>
          <w:snapToGrid w:val="0"/>
          <w:color w:val="auto"/>
          <w:kern w:val="0"/>
          <w:sz w:val="24"/>
          <w:szCs w:val="24"/>
          <w:highlight w:val="none"/>
        </w:rPr>
        <w:t xml:space="preserve">安装次龙骨：次龙骨间距为500mm～600mm采用次挂件与主龙骨连接。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 xml:space="preserve">刷防锈漆：轻钢骨架罩面板顶棚吊杆固定吊杆铁件，在封罩面板前应刷防锈漆。   </w:t>
      </w:r>
      <w:r>
        <w:rPr>
          <w:rFonts w:hint="eastAsia" w:ascii="仿宋" w:hAnsi="仿宋" w:eastAsia="仿宋" w:cs="仿宋"/>
          <w:snapToGrid w:val="0"/>
          <w:color w:val="auto"/>
          <w:kern w:val="0"/>
          <w:sz w:val="24"/>
          <w:szCs w:val="24"/>
          <w:highlight w:val="none"/>
          <w:lang w:val="en-US" w:eastAsia="zh-CN"/>
        </w:rPr>
        <w:t>7、</w:t>
      </w:r>
      <w:r>
        <w:rPr>
          <w:rFonts w:hint="eastAsia" w:ascii="仿宋" w:hAnsi="仿宋" w:eastAsia="仿宋" w:cs="仿宋"/>
          <w:snapToGrid w:val="0"/>
          <w:color w:val="auto"/>
          <w:kern w:val="0"/>
          <w:sz w:val="24"/>
          <w:szCs w:val="24"/>
          <w:highlight w:val="none"/>
        </w:rPr>
        <w:t xml:space="preserve">安装石膏板：石膏板与轻钢骨架固定的方式采用自攻螺钉固定法，在已装好并经验收轻钢骨架下面（即做隐蔽验收工作）安装9.5mm厚反。安装石膏板用自攻螺丝固定，固定间距板边为200mm板中为300mm自攻螺丝固定后点刷防锈漆。   </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snapToGrid w:val="0"/>
          <w:color w:val="auto"/>
          <w:kern w:val="0"/>
          <w:sz w:val="24"/>
          <w:szCs w:val="24"/>
          <w:highlight w:val="none"/>
        </w:rPr>
        <w:t xml:space="preserve">接缝处理：在板缝间采用粘贴纸带嵌缝膏进行嵌缝处理。 </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室内电气安装部分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工序/ 工艺 质量控制要点：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（一）</w:t>
      </w:r>
      <w:r>
        <w:rPr>
          <w:rFonts w:hint="eastAsia" w:ascii="仿宋" w:hAnsi="仿宋" w:eastAsia="仿宋" w:cs="仿宋"/>
          <w:snapToGrid w:val="0"/>
          <w:color w:val="auto"/>
          <w:kern w:val="0"/>
          <w:sz w:val="24"/>
          <w:szCs w:val="24"/>
          <w:highlight w:val="none"/>
        </w:rPr>
        <w:t>、管线敷设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1、电线管、钢管敷设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⑴ 设计选用电线管、钢管暗敷，施工按照电线管、钢管敷设分项工程施工工艺标准进行。要严把电线管、钢管进货关，接线盒、灯头盒、开关盒等均要有产品合格证。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⑵ 预埋管要与土建施工密切配合，首先满足水管的布置，其次安排电气配管位置。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⑶ 暗配管应沿最近线路敷设并减少弯曲，弯曲半径不应小于管外径的10倍，与建筑物表面的距离不应小于15mm，进入落地式配电箱管口应高出基础面50～80mm，进入盒、箱管口应高出基础面50～80mm，进入盒、箱管口宜高出内壁3～5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2、穿线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⑴ 管内穿线要严把电线进货关，电线的规格型号必须符合设计要求，并有出厂合格证，到货后检查绝缘电阻、线芯直径、材质和每卷的重量是否符合要求。应按管径的大小选择相应规格的护口，尼龙压线帽、接线鼻子等规格和材质均要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⑵ 管内穿线应在建筑结构及土建施工作业完成后进行，选穿带线，用φ1.2～φ2.0铁丝，两端留10～15cm的余量，然后清扫管道、开关盒、插座盒等的泥土、灰尘。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⑶ 穿线时注意同一交流回路的导线必须穿于同一管内，不同回路、不同电压的交流与直线的导线不得穿入同一管内，但以下几种情况除外：标准电压为50V以下的回路；同一设备或同一流水作业设备的电力回路和无特殊防干扰要求的控制回路；同一花灯的几个回路；同类照明的几个回路，但管内的导管总数不应多于8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⑷ 导线预留长度：接线盒、开关盒、插座盒及灯头盒为15cm，配电箱内为箱体周长的1/2。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（二）、</w:t>
      </w:r>
      <w:r>
        <w:rPr>
          <w:rFonts w:hint="eastAsia" w:ascii="仿宋" w:hAnsi="仿宋" w:eastAsia="仿宋" w:cs="仿宋"/>
          <w:snapToGrid w:val="0"/>
          <w:color w:val="auto"/>
          <w:kern w:val="0"/>
          <w:sz w:val="24"/>
          <w:szCs w:val="24"/>
          <w:highlight w:val="none"/>
        </w:rPr>
        <w:t>配电柜（箱）安装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⑴ 开箱检查。柜（箱）到达现场应与业主、监理共同进行开箱检查、验收。柜（箱）包装及密封应良好，制造厂的技术文件应齐全，型号、规格应符合设计要求，附件备件齐全。主体外观应无损及变形，油漆完好无损，柜内原器件及附件齐全，无损伤等缺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⑵ 柜（箱）的固定。先按图纸规定的顺序将柜做好标记，然后放置到安装位置上固定。盘面每米高的垂直度应小于1.5mm，相邻两盘顶部的水平偏差应小于2mm。柜（箱）安装要求牢固、连接紧密。柜（箱）固定好后，应进行内部清扫，用抹布将各种设备擦干净，柜内不应有杂物。</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⑶ 母线安装。柜（箱）的电源及母线的连接要按规范及国际通行相位色杯表示，相位应正确一致，保证进线电源的相序正确。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⑷ 二次回路检查，送电及功能测试。检查电气回路、信号回路接线牢固可靠，进行送电前的绝缘电阻检查应符合有关规定。按前后调试的顺序送电分别模拟试验、连锁、操作继电保护和信号动作，应正确无误、灵活可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⑸ 安装完毕，应对接地干线和各支线的外露部分以及电气设备的接地部分进行外观检查，检查电气设备是否按接地的要求接有接地线，各接地线的螺丝连接是否接妥，螺丝连接是否使用了弹簧垫圈。接地电阻应小于4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灯具、开关安装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1、灯具安装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⑴ 灯具、光源按设计要求采用，所用灯具应有产品合格证，灯内配线严禁外露，灯具配件齐全。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⑵ 根据安装场所检查灯具（庭园灯）是否符合要求，检查灯内配线。灯具安装必须牢固，位置正确，整齐美观，接线正确无误。3kg以上的灯具，必须用镁吊钩或螺栓，低于2.4m灯具的金属外壳应做好接地。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⑶ 安装完毕，测得各条支路的绝缘电阻合格后，方允许通电运行。通电后应仔细检查灯具的控制是否灵活，开关与灯具控制顺序是否相对应。如发现问题必须先断电，然后查找原因进行修复。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2、开关插座安装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⑴ 各种开关、插座的规格型号必须符合设计要求，并有产品合格证。安装开关插座的面板应端正、严密并与墙面平、成排安装的开关高度应一致。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⑵ 开关接线应由开关控制相线，同一场所的开关切断位置应一致，且操作灵活，接点接触可靠。插座接线注意单相两孔插座左零右相或下零上相。单相三孔及三相四孔的接地线均应在上方。交、直流或不同电压的插座安装在同一场所时，应有明显区别，且其插座配套、均不能互相代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（四）</w:t>
      </w:r>
      <w:r>
        <w:rPr>
          <w:rFonts w:hint="eastAsia" w:ascii="仿宋" w:hAnsi="仿宋" w:eastAsia="仿宋" w:cs="仿宋"/>
          <w:snapToGrid w:val="0"/>
          <w:color w:val="auto"/>
          <w:kern w:val="0"/>
          <w:sz w:val="24"/>
          <w:szCs w:val="24"/>
          <w:highlight w:val="none"/>
        </w:rPr>
        <w:t>、接地安装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施工时按照接地分项工程施工工艺标准《电气装置安装工程接地装置施工及验收规范》（GB50169-2006）和《利用建筑物金属体做防雷及接地装置安装标准图集》（03D501-3）进行施工。土建结构施工时，严格按照规范和设计要求对结构钢筋进行焊接，钢筋搭接长度双面焊接不小于8cm，单面焊接不小于16cm。特别注意按设计要求做好等电位连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（五）</w:t>
      </w:r>
      <w:r>
        <w:rPr>
          <w:rFonts w:hint="eastAsia" w:ascii="仿宋" w:hAnsi="仿宋" w:eastAsia="仿宋" w:cs="仿宋"/>
          <w:snapToGrid w:val="0"/>
          <w:color w:val="auto"/>
          <w:kern w:val="0"/>
          <w:sz w:val="24"/>
          <w:szCs w:val="24"/>
          <w:highlight w:val="none"/>
        </w:rPr>
        <w:t>、电气调试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⑴ 电气设备安装结束后，对电气设备、配电系统及控制保护装置进行调整试验，调试项目和标准应按国家施工验收规范电气交接试验标准执行。</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⑵ 电气设备和线路经调试合格后，动力设备才能进行单体试车。单体试车结束后可会同建设单位进行联动试车，并做好记录。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⑶ 照明工程的线路，应按电路进行绝缘电阻的测试，并作好记录。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⑷ 接地装置要进行电阻测试并作好测试记录。</w:t>
      </w:r>
    </w:p>
    <w:p>
      <w:pPr>
        <w:bidi w:val="0"/>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六、其他说明事项</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1、环境保护要求：执行省、市及当地政府对环境保护的相关要求和规定；</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工程量清单中的每一个项目都需填入综合单价及合价，对于没有填入综合单价及合价的项目，不同单项及单位工程中的分部分项工程量清单中相同项目（项目特征及工作内容相同）的报价应统一，如有差异，按最低一个报价进行结算；</w:t>
      </w:r>
    </w:p>
    <w:p>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工程清单中的分部分项工程量及措施项目工程量均是根据甲方提供的工程量清单进行计算的，仅作为施工企业投标报价的共同基础，不能作为最终结算与支付价款的依据，工程量的变化调整以业主与承包商签字的合同约定为准，或按《建设工程工程量清单计价规范》有关规定执行；</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4、工程量清单及其计价格式中的任何内容不得随意删除或涂改，若有错误，在招标答疑时及时提出，以“补遗”资料为准；</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5、分部分项工程量清单中对工程项目的项目特征及具体做法只作重点描述，详细情况见施工图设计、技术说明及相关标准图集。组价时应结合投标人现场勘查情况包括完成所有工序工作内容的全部费用；</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6、投标人应充分考虑施工现场周边的实际情况对施工的影响，编制施工方案，并作出报价；</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highlight w:val="none"/>
        </w:rPr>
        <w:sectPr>
          <w:pgSz w:w="11907" w:h="16840"/>
          <w:pgMar w:top="1304" w:right="1588" w:bottom="1304" w:left="1588" w:header="720" w:footer="720" w:gutter="0"/>
          <w:cols w:space="720" w:num="1"/>
          <w:docGrid w:linePitch="285" w:charSpace="0"/>
        </w:sectPr>
      </w:pPr>
      <w:r>
        <w:rPr>
          <w:rFonts w:hint="eastAsia" w:ascii="仿宋" w:hAnsi="仿宋" w:eastAsia="仿宋" w:cs="仿宋"/>
          <w:sz w:val="24"/>
          <w:szCs w:val="24"/>
          <w:highlight w:val="none"/>
        </w:rPr>
        <w:t>7、本工程未尽事项，以计价规范、工程量计算规范、计价管理办法、招标文件以及有关的法律、法规、建设行政主管部门颁发的文件为准。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b/>
          <w:sz w:val="36"/>
          <w:szCs w:val="36"/>
        </w:rPr>
      </w:pPr>
      <w:bookmarkStart w:id="37" w:name="_Toc31602"/>
      <w:r>
        <w:rPr>
          <w:rFonts w:hint="eastAsia" w:ascii="仿宋_GB2312" w:hAnsi="仿宋_GB2312" w:eastAsia="仿宋_GB2312" w:cs="仿宋_GB2312"/>
          <w:b/>
          <w:sz w:val="36"/>
          <w:szCs w:val="36"/>
        </w:rPr>
        <w:t xml:space="preserve">第五部分  </w:t>
      </w:r>
      <w:bookmarkEnd w:id="34"/>
      <w:bookmarkEnd w:id="35"/>
      <w:bookmarkStart w:id="38" w:name="第四部分"/>
      <w:r>
        <w:rPr>
          <w:rFonts w:hint="eastAsia" w:ascii="仿宋_GB2312" w:hAnsi="仿宋_GB2312" w:eastAsia="仿宋_GB2312" w:cs="仿宋_GB2312"/>
          <w:b/>
          <w:sz w:val="36"/>
          <w:szCs w:val="36"/>
        </w:rPr>
        <w:t>评审方法及评审标准</w:t>
      </w:r>
      <w:bookmarkEnd w:id="37"/>
    </w:p>
    <w:p>
      <w:pPr>
        <w:snapToGrid w:val="0"/>
        <w:spacing w:before="120" w:beforeLines="50" w:after="120" w:afterLines="50" w:line="360" w:lineRule="auto"/>
        <w:jc w:val="center"/>
        <w:outlineLvl w:val="0"/>
        <w:rPr>
          <w:rFonts w:ascii="仿宋_GB2312" w:hAnsi="仿宋" w:eastAsia="仿宋_GB2312" w:cs="仿宋_GB2312"/>
          <w:b/>
          <w:sz w:val="28"/>
          <w:szCs w:val="28"/>
        </w:rPr>
      </w:pPr>
      <w:bookmarkStart w:id="39" w:name="_Toc30667"/>
      <w:r>
        <w:rPr>
          <w:rFonts w:hint="eastAsia" w:ascii="仿宋_GB2312" w:hAnsi="仿宋" w:eastAsia="仿宋_GB2312" w:cs="仿宋_GB2312"/>
          <w:b/>
          <w:sz w:val="28"/>
          <w:szCs w:val="28"/>
        </w:rPr>
        <w:t>评标办法前附表</w:t>
      </w:r>
      <w:bookmarkEnd w:id="39"/>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280"/>
        <w:gridCol w:w="810"/>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bottom w:val="single" w:color="auto" w:sz="4" w:space="0"/>
            </w:tcBorders>
            <w:noWrap w:val="0"/>
            <w:vAlign w:val="center"/>
          </w:tcPr>
          <w:p>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商务标评审标准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15分</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tcBorders>
              <w:bottom w:val="single" w:color="auto" w:sz="4" w:space="0"/>
            </w:tcBorders>
            <w:noWrap w:val="0"/>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08" w:type="pct"/>
            <w:tcBorders>
              <w:bottom w:val="single" w:color="auto" w:sz="4" w:space="0"/>
            </w:tcBorders>
            <w:noWrap w:val="0"/>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spacing w:line="360" w:lineRule="auto"/>
              <w:ind w:left="227"/>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448"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3462"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8"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经理</w:t>
            </w:r>
          </w:p>
        </w:tc>
        <w:tc>
          <w:tcPr>
            <w:tcW w:w="448"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3462" w:type="pct"/>
            <w:tcBorders>
              <w:bottom w:val="single" w:color="auto" w:sz="4" w:space="0"/>
            </w:tcBorders>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项目经理具有类似业绩，有一项得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分，无不得分。</w:t>
            </w:r>
          </w:p>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附已完工程中标通知书和合同协议书或工程竣工验收证明材料。未提供的，本项不得分；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08"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项目管理人员</w:t>
            </w:r>
          </w:p>
        </w:tc>
        <w:tc>
          <w:tcPr>
            <w:tcW w:w="448"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462"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项目工程师、质量管理员、安全管理员、材料管理员、计划管理员、施工资料管理员等要配备齐全，其中项目工程师须附职称证书，其他人员如果有上岗证复印件也应附带。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08"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业绩</w:t>
            </w:r>
          </w:p>
        </w:tc>
        <w:tc>
          <w:tcPr>
            <w:tcW w:w="448"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3462"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近三年已完成的（20</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1月1日</w:t>
            </w:r>
            <w:r>
              <w:rPr>
                <w:rFonts w:hint="eastAsia" w:ascii="仿宋" w:hAnsi="仿宋" w:eastAsia="仿宋" w:cs="仿宋"/>
                <w:color w:val="auto"/>
                <w:sz w:val="24"/>
                <w:szCs w:val="24"/>
                <w:highlight w:val="none"/>
                <w:lang w:val="zh-CN"/>
              </w:rPr>
              <w:t>至今）类似工程业绩，</w:t>
            </w:r>
            <w:r>
              <w:rPr>
                <w:rFonts w:hint="eastAsia" w:ascii="仿宋" w:hAnsi="仿宋" w:eastAsia="仿宋" w:cs="仿宋"/>
                <w:color w:val="auto"/>
                <w:sz w:val="24"/>
                <w:szCs w:val="24"/>
                <w:highlight w:val="none"/>
              </w:rPr>
              <w:t>每有一项得1分</w:t>
            </w:r>
            <w:r>
              <w:rPr>
                <w:rFonts w:hint="eastAsia" w:ascii="仿宋" w:hAnsi="仿宋" w:eastAsia="仿宋" w:cs="仿宋"/>
                <w:color w:val="auto"/>
                <w:sz w:val="24"/>
                <w:szCs w:val="24"/>
                <w:highlight w:val="none"/>
                <w:lang w:eastAsia="zh-CN"/>
              </w:rPr>
              <w:t>，最高得</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val="zh-CN"/>
              </w:rPr>
              <w:t>须提供中标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val="zh-CN"/>
              </w:rPr>
              <w:t>通知书</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rPr>
              <w:t>施工合同</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rPr>
              <w:t>竣工验收表。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08"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zh-CN"/>
              </w:rPr>
            </w:pPr>
            <w:r>
              <w:rPr>
                <w:rStyle w:val="642"/>
                <w:rFonts w:hint="eastAsia" w:ascii="仿宋" w:hAnsi="仿宋" w:eastAsia="仿宋" w:cs="仿宋"/>
                <w:sz w:val="24"/>
                <w:szCs w:val="24"/>
              </w:rPr>
              <w:t>企业信用</w:t>
            </w:r>
          </w:p>
        </w:tc>
        <w:tc>
          <w:tcPr>
            <w:tcW w:w="448"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462"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具有质量管理体系认证证书、环境管理体系认证证书、职业健康管理体系认证证书、企业信用等级证书等，每有一项得1分。最多得3分。</w:t>
            </w:r>
          </w:p>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gridSpan w:val="4"/>
            <w:noWrap w:val="0"/>
            <w:vAlign w:val="center"/>
          </w:tcPr>
          <w:p>
            <w:pPr>
              <w:keepNext w:val="0"/>
              <w:keepLines w:val="0"/>
              <w:pageBreakBefore w:val="0"/>
              <w:tabs>
                <w:tab w:val="center" w:pos="4832"/>
                <w:tab w:val="left" w:pos="7140"/>
              </w:tabs>
              <w:kinsoku/>
              <w:wordWrap/>
              <w:overflowPunct/>
              <w:topLinePunct w:val="0"/>
              <w:autoSpaceDE/>
              <w:autoSpaceDN/>
              <w:bidi w:val="0"/>
              <w:spacing w:line="360" w:lineRule="auto"/>
              <w:jc w:val="center"/>
              <w:textAlignment w:val="auto"/>
              <w:outlineLvl w:val="1"/>
              <w:rPr>
                <w:rFonts w:hint="eastAsia" w:ascii="仿宋" w:hAnsi="仿宋" w:eastAsia="仿宋" w:cs="仿宋"/>
                <w:bCs/>
                <w:color w:val="auto"/>
                <w:kern w:val="0"/>
                <w:sz w:val="24"/>
                <w:szCs w:val="24"/>
                <w:highlight w:val="none"/>
                <w:lang w:eastAsia="zh-CN"/>
              </w:rPr>
            </w:pPr>
            <w:r>
              <w:rPr>
                <w:rFonts w:hint="eastAsia" w:ascii="仿宋" w:hAnsi="仿宋" w:eastAsia="仿宋" w:cs="仿宋"/>
                <w:b/>
                <w:color w:val="auto"/>
                <w:sz w:val="24"/>
                <w:szCs w:val="24"/>
                <w:highlight w:val="none"/>
              </w:rPr>
              <w:t>技术标评审标准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50分</w:t>
            </w:r>
            <w:r>
              <w:rPr>
                <w:rFonts w:hint="eastAsia" w:ascii="仿宋" w:hAnsi="仿宋" w:eastAsia="仿宋" w:cs="仿宋"/>
                <w:b/>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序号</w:t>
            </w:r>
          </w:p>
        </w:tc>
        <w:tc>
          <w:tcPr>
            <w:tcW w:w="708"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评审项目</w:t>
            </w:r>
          </w:p>
        </w:tc>
        <w:tc>
          <w:tcPr>
            <w:tcW w:w="448"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标准分</w:t>
            </w:r>
          </w:p>
        </w:tc>
        <w:tc>
          <w:tcPr>
            <w:tcW w:w="3462"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5</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施工方案</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default" w:ascii="仿宋" w:hAnsi="仿宋" w:eastAsia="仿宋" w:cs="仿宋"/>
                <w:bCs/>
                <w:color w:val="auto"/>
                <w:kern w:val="0"/>
                <w:sz w:val="24"/>
                <w:szCs w:val="24"/>
                <w:highlight w:val="none"/>
                <w:lang w:val="en-US"/>
              </w:rPr>
            </w:pPr>
            <w:r>
              <w:rPr>
                <w:rFonts w:hint="eastAsia" w:ascii="仿宋" w:hAnsi="仿宋" w:eastAsia="仿宋" w:cs="仿宋"/>
                <w:bCs/>
                <w:color w:val="auto"/>
                <w:kern w:val="0"/>
                <w:sz w:val="24"/>
                <w:szCs w:val="24"/>
                <w:highlight w:val="none"/>
                <w:lang w:val="en-US" w:eastAsia="zh-CN"/>
              </w:rPr>
              <w:t>10</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评审小组根据供应商针对本项目提供的项目施工方案进行评审，方案内容至少包含：</w:t>
            </w:r>
          </w:p>
          <w:p>
            <w:pPr>
              <w:keepNext w:val="0"/>
              <w:keepLines w:val="0"/>
              <w:pageBreakBefore w:val="0"/>
              <w:widowControl/>
              <w:numPr>
                <w:ilvl w:val="0"/>
                <w:numId w:val="0"/>
              </w:numPr>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项目部各职能机构设置（2）本项目施工的具体方法与流程（3）施工环节的注意事项及施工现场管控措施（4）施工组织管理体系（5）针对本项目施工过程的重难点分析及应对措施</w:t>
            </w:r>
            <w:r>
              <w:rPr>
                <w:rFonts w:hint="eastAsia" w:ascii="仿宋" w:hAnsi="仿宋" w:eastAsia="仿宋" w:cs="仿宋"/>
                <w:bCs/>
                <w:color w:val="auto"/>
                <w:kern w:val="0"/>
                <w:sz w:val="24"/>
                <w:szCs w:val="24"/>
                <w:highlight w:val="none"/>
                <w:lang w:eastAsia="zh-CN"/>
              </w:rPr>
              <w:t>。施工</w:t>
            </w:r>
            <w:r>
              <w:rPr>
                <w:rFonts w:hint="eastAsia" w:ascii="仿宋" w:hAnsi="仿宋" w:eastAsia="仿宋" w:cs="仿宋"/>
                <w:bCs/>
                <w:color w:val="auto"/>
                <w:kern w:val="0"/>
                <w:sz w:val="24"/>
                <w:szCs w:val="24"/>
                <w:highlight w:val="none"/>
              </w:rPr>
              <w:t>方案完整包含以上内容且满足本项目要求得</w:t>
            </w:r>
            <w:r>
              <w:rPr>
                <w:rFonts w:hint="eastAsia" w:ascii="仿宋" w:hAnsi="仿宋" w:eastAsia="仿宋" w:cs="仿宋"/>
                <w:bCs/>
                <w:color w:val="auto"/>
                <w:kern w:val="0"/>
                <w:sz w:val="24"/>
                <w:szCs w:val="24"/>
                <w:highlight w:val="none"/>
                <w:lang w:val="en-US" w:eastAsia="zh-CN"/>
              </w:rPr>
              <w:t>10</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每缺一项扣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eastAsia="zh-CN"/>
              </w:rPr>
              <w:t>，满分</w:t>
            </w:r>
            <w:r>
              <w:rPr>
                <w:rFonts w:hint="eastAsia" w:ascii="仿宋" w:hAnsi="仿宋" w:eastAsia="仿宋" w:cs="仿宋"/>
                <w:bCs/>
                <w:color w:val="auto"/>
                <w:kern w:val="0"/>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质量保证措施</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10</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评审小组根据供应商针对本项目提供的质量保证措施进行评审，措施内容至少包含：（1）质量管理目标（2）质量管理体系（3）施工原材料质量保证措施（4）工程施工的质量保证措施。 方案完整包含以上内容且满足本项目要求得10分，每缺一项扣2.5分，每有一处不符合本项目特点或实际采购需求的扣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.5分，本项最多扣10分。 备注：不符合本项目特点或实际采购需求指：项目名称、实施地点、涉及的规范、标准与本项目要求不一致</w:t>
            </w:r>
            <w:r>
              <w:rPr>
                <w:rFonts w:hint="eastAsia" w:ascii="仿宋" w:hAnsi="仿宋" w:eastAsia="仿宋" w:cs="仿宋"/>
                <w:bCs/>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7</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安全管理体系与措施</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8</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评审小组根据供应商针对本项目提供的安全管理体系与措施进行评审，内容至少包含：（1）安全生产管理目标（2）安全管理体系及职责划分（3）安全技术措施（4）安全应急救援预案。 方案完整包含以上内容且满足本项目要求得</w:t>
            </w:r>
            <w:r>
              <w:rPr>
                <w:rFonts w:hint="eastAsia" w:ascii="仿宋" w:hAnsi="仿宋" w:eastAsia="仿宋" w:cs="仿宋"/>
                <w:bCs/>
                <w:color w:val="auto"/>
                <w:kern w:val="0"/>
                <w:sz w:val="24"/>
                <w:szCs w:val="24"/>
                <w:highlight w:val="none"/>
                <w:lang w:val="en-US" w:eastAsia="zh-CN"/>
              </w:rPr>
              <w:t>8</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8</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8</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环保和文明施工措施</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4</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评审小组根据供应商针对本项目提供的环保和文明施工措施进行评审，方案内容至少包含：（1）环境保护管理目标（2）噪音控制管理措施（3）扬尘管理措施（4）施工现场环境管理和污染物处理及排放措施。 方案完整包含以上内容且满足本项目要求得</w:t>
            </w: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分，每有一处不符合本项目特点或实际采购需求的扣1分，本项最多扣</w:t>
            </w: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9</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工程进度计划</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3462" w:type="pct"/>
            <w:tcBorders>
              <w:bottom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val="en-US" w:eastAsia="zh-Hans"/>
              </w:rPr>
            </w:pPr>
            <w:r>
              <w:rPr>
                <w:rFonts w:hint="eastAsia" w:ascii="仿宋" w:hAnsi="仿宋" w:eastAsia="仿宋" w:cs="仿宋"/>
                <w:bCs/>
                <w:color w:val="auto"/>
                <w:kern w:val="0"/>
                <w:sz w:val="24"/>
                <w:szCs w:val="24"/>
                <w:highlight w:val="none"/>
              </w:rPr>
              <w:t>评审小组根据供应商针对本项目提供的工程进度计划方案进行评审，方案内容至少包含：（1）工程进度计划时间安排及计划（2）影响工程施工的因素分析及解决措施（3）进度保障措施。 方案完整包含以上内容且满足本项目要求得</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10</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应急预案</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评审小组根据供应商针对本项目提供的应急预案进行评审，方案内容至少包含：（1）应急预案的方针与原则（2）应急保证措施（3）应急事故发生处理流程（4）应急设备配置。 方案完整包含以上内容且满足本项目要求得</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11</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后续服务</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后续服务方案进行评审，方案内容至少包含：（1）质保期内外服务措施（2）响应时间及问题处理措施（3）后续服务质量保障措施（4）针对本项目提供的后续服务人员配备方案及服务承诺。 方案完整包含以上内容且满足本项目要求得</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gridSpan w:val="4"/>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
                <w:color w:val="auto"/>
                <w:sz w:val="24"/>
                <w:szCs w:val="24"/>
                <w:highlight w:val="none"/>
                <w:lang w:eastAsia="zh-CN"/>
              </w:rPr>
              <w:t>价格</w:t>
            </w:r>
            <w:r>
              <w:rPr>
                <w:rFonts w:hint="eastAsia" w:ascii="仿宋" w:hAnsi="仿宋" w:eastAsia="仿宋" w:cs="仿宋"/>
                <w:b/>
                <w:color w:val="auto"/>
                <w:sz w:val="24"/>
                <w:szCs w:val="24"/>
                <w:highlight w:val="none"/>
              </w:rPr>
              <w:t>评审标准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35分</w:t>
            </w:r>
            <w:r>
              <w:rPr>
                <w:rFonts w:hint="eastAsia" w:ascii="仿宋" w:hAnsi="仿宋" w:eastAsia="仿宋" w:cs="仿宋"/>
                <w:b/>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sz w:val="24"/>
                <w:szCs w:val="24"/>
              </w:rPr>
              <w:t>供应商报价</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35</w:t>
            </w:r>
          </w:p>
        </w:tc>
        <w:tc>
          <w:tcPr>
            <w:tcW w:w="3462" w:type="pct"/>
            <w:tcBorders>
              <w:bottom w:val="single" w:color="auto" w:sz="4" w:space="0"/>
            </w:tcBorders>
            <w:noWrap w:val="0"/>
            <w:vAlign w:val="center"/>
          </w:tcPr>
          <w:p>
            <w:pPr>
              <w:pStyle w:val="407"/>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sz w:val="24"/>
                <w:szCs w:val="24"/>
              </w:rPr>
              <w:t>在满足磋商文件要求的前提下，取各供应商有效报价的最低价作为评标基准价,满分为</w:t>
            </w:r>
            <w:r>
              <w:rPr>
                <w:rFonts w:hint="eastAsia" w:ascii="仿宋" w:hAnsi="仿宋" w:eastAsia="仿宋" w:cs="仿宋"/>
                <w:sz w:val="24"/>
                <w:szCs w:val="24"/>
                <w:lang w:val="en-US" w:eastAsia="zh-CN"/>
              </w:rPr>
              <w:t>35</w:t>
            </w:r>
            <w:r>
              <w:rPr>
                <w:rFonts w:hint="eastAsia" w:ascii="仿宋" w:hAnsi="仿宋" w:eastAsia="仿宋" w:cs="仿宋"/>
                <w:sz w:val="24"/>
                <w:szCs w:val="24"/>
              </w:rPr>
              <w:t>分；磋商报价得分=（磋商基准价/最后磋商报价）×价格权值×100。（计算分值时，百分比按四舍五入原则，保留小数点后二位数）</w:t>
            </w:r>
          </w:p>
        </w:tc>
      </w:tr>
    </w:tbl>
    <w:p>
      <w:pPr>
        <w:snapToGrid w:val="0"/>
        <w:spacing w:line="360" w:lineRule="auto"/>
        <w:rPr>
          <w:rFonts w:ascii="仿宋" w:hAnsi="仿宋" w:eastAsia="仿宋" w:cs="仿宋_GB2312"/>
          <w:sz w:val="22"/>
          <w:szCs w:val="22"/>
        </w:rPr>
      </w:pPr>
      <w:r>
        <w:rPr>
          <w:rFonts w:ascii="Arial" w:hAnsi="Arial" w:cs="Arial"/>
          <w:sz w:val="18"/>
          <w:szCs w:val="18"/>
          <w:shd w:val="clear" w:color="auto" w:fill="FFFFFF"/>
        </w:rPr>
        <w:t> *</w:t>
      </w:r>
      <w:r>
        <w:rPr>
          <w:rFonts w:hint="eastAsia" w:ascii="仿宋" w:hAnsi="仿宋" w:eastAsia="仿宋" w:cs="仿宋_GB2312"/>
          <w:b/>
          <w:sz w:val="22"/>
          <w:szCs w:val="22"/>
        </w:rPr>
        <w:t>备注：</w:t>
      </w:r>
      <w:r>
        <w:rPr>
          <w:rFonts w:hint="eastAsia" w:ascii="仿宋" w:hAnsi="仿宋" w:eastAsia="仿宋" w:cs="仿宋_GB2312"/>
          <w:sz w:val="22"/>
          <w:szCs w:val="22"/>
        </w:rPr>
        <w:t>供应商编制响应文件（商务技术文件部分）时，建议按此目录（序号和内容）提供评标标准相应的商务技术资料。</w:t>
      </w:r>
      <w:r>
        <w:rPr>
          <w:rFonts w:ascii="仿宋" w:hAnsi="仿宋" w:eastAsia="仿宋" w:cs="仿宋_GB2312"/>
          <w:sz w:val="22"/>
          <w:szCs w:val="22"/>
        </w:rPr>
        <w:t> </w:t>
      </w:r>
    </w:p>
    <w:p>
      <w:pPr>
        <w:rPr>
          <w:rFonts w:ascii="仿宋_GB2312" w:hAnsi="仿宋" w:eastAsia="仿宋_GB2312" w:cs="仿宋_GB2312"/>
          <w:b/>
          <w:sz w:val="32"/>
        </w:rPr>
      </w:pPr>
    </w:p>
    <w:p>
      <w:pPr>
        <w:rPr>
          <w:rFonts w:ascii="仿宋_GB2312" w:hAnsi="仿宋" w:eastAsia="仿宋_GB2312" w:cs="仿宋_GB2312"/>
          <w:b/>
          <w:sz w:val="28"/>
          <w:szCs w:val="28"/>
        </w:rPr>
      </w:pPr>
      <w:bookmarkStart w:id="40" w:name="_Toc20273"/>
      <w:r>
        <w:rPr>
          <w:rFonts w:hint="eastAsia" w:ascii="仿宋_GB2312" w:hAnsi="仿宋" w:eastAsia="仿宋_GB2312" w:cs="仿宋_GB2312"/>
          <w:b/>
          <w:sz w:val="28"/>
          <w:szCs w:val="28"/>
        </w:rPr>
        <w:br w:type="page"/>
      </w:r>
    </w:p>
    <w:p>
      <w:pPr>
        <w:keepNext w:val="0"/>
        <w:keepLines w:val="0"/>
        <w:pageBreakBefore w:val="0"/>
        <w:widowControl w:val="0"/>
        <w:numPr>
          <w:ilvl w:val="0"/>
          <w:numId w:val="37"/>
        </w:numPr>
        <w:kinsoku/>
        <w:wordWrap/>
        <w:overflowPunct/>
        <w:topLinePunct w:val="0"/>
        <w:autoSpaceDE/>
        <w:autoSpaceDN/>
        <w:bidi w:val="0"/>
        <w:snapToGrid w:val="0"/>
        <w:spacing w:before="120" w:beforeLines="50" w:after="120" w:afterLines="50" w:line="360" w:lineRule="auto"/>
        <w:ind w:firstLine="0"/>
        <w:jc w:val="left"/>
        <w:textAlignment w:val="auto"/>
        <w:outlineLvl w:val="0"/>
        <w:rPr>
          <w:rFonts w:ascii="仿宋_GB2312" w:hAnsi="仿宋" w:eastAsia="仿宋_GB2312" w:cs="仿宋_GB2312"/>
          <w:b/>
          <w:sz w:val="28"/>
          <w:szCs w:val="28"/>
        </w:rPr>
      </w:pPr>
      <w:r>
        <w:rPr>
          <w:rFonts w:hint="eastAsia" w:ascii="仿宋_GB2312" w:hAnsi="仿宋" w:eastAsia="仿宋_GB2312" w:cs="仿宋_GB2312"/>
          <w:b/>
          <w:sz w:val="28"/>
          <w:szCs w:val="28"/>
        </w:rPr>
        <w:t>评审方法</w:t>
      </w:r>
      <w:bookmarkEnd w:id="40"/>
    </w:p>
    <w:p>
      <w:pPr>
        <w:keepNext w:val="0"/>
        <w:keepLines w:val="0"/>
        <w:pageBreakBefore w:val="0"/>
        <w:widowControl w:val="0"/>
        <w:numPr>
          <w:ilvl w:val="0"/>
          <w:numId w:val="38"/>
        </w:numPr>
        <w:kinsoku/>
        <w:wordWrap/>
        <w:overflowPunct/>
        <w:topLinePunct w:val="0"/>
        <w:autoSpaceDE/>
        <w:autoSpaceDN/>
        <w:bidi w:val="0"/>
        <w:adjustRightInd/>
        <w:spacing w:line="360" w:lineRule="auto"/>
        <w:ind w:left="5" w:firstLine="415"/>
        <w:textAlignment w:val="auto"/>
        <w:rPr>
          <w:rFonts w:ascii="仿宋_GB2312" w:hAnsi="仿宋" w:eastAsia="仿宋_GB2312" w:cs="Arial"/>
          <w:kern w:val="0"/>
          <w:sz w:val="24"/>
        </w:rPr>
      </w:pPr>
      <w:r>
        <w:rPr>
          <w:rFonts w:hint="eastAsia" w:ascii="仿宋_GB2312" w:hAnsi="仿宋" w:eastAsia="仿宋_GB2312" w:cs="Arial"/>
          <w:b/>
          <w:kern w:val="0"/>
          <w:sz w:val="24"/>
        </w:rPr>
        <w:t>本项目采用综合评分法。</w:t>
      </w:r>
      <w:r>
        <w:rPr>
          <w:rFonts w:hint="eastAsia" w:ascii="仿宋_GB2312" w:hAnsi="仿宋" w:eastAsia="仿宋_GB2312" w:cs="Arial"/>
          <w:kern w:val="0"/>
          <w:sz w:val="24"/>
        </w:rPr>
        <w:t>综合评分法，是指响应文件满足磋商文件全部实质性要求，且按照评审因素的量化指标评审得分最高的供应商为成交候选人的评审方法。</w:t>
      </w:r>
    </w:p>
    <w:p>
      <w:pPr>
        <w:keepNext w:val="0"/>
        <w:keepLines w:val="0"/>
        <w:pageBreakBefore w:val="0"/>
        <w:widowControl w:val="0"/>
        <w:numPr>
          <w:ilvl w:val="0"/>
          <w:numId w:val="37"/>
        </w:numPr>
        <w:kinsoku/>
        <w:wordWrap/>
        <w:overflowPunct/>
        <w:topLinePunct w:val="0"/>
        <w:autoSpaceDE/>
        <w:autoSpaceDN/>
        <w:bidi w:val="0"/>
        <w:snapToGrid w:val="0"/>
        <w:spacing w:before="120" w:beforeLines="50" w:after="120" w:afterLines="50" w:line="360" w:lineRule="auto"/>
        <w:ind w:firstLine="0"/>
        <w:jc w:val="left"/>
        <w:textAlignment w:val="auto"/>
        <w:outlineLvl w:val="0"/>
        <w:rPr>
          <w:rFonts w:ascii="仿宋_GB2312" w:hAnsi="仿宋" w:eastAsia="仿宋_GB2312" w:cs="仿宋_GB2312"/>
          <w:b/>
          <w:sz w:val="28"/>
          <w:szCs w:val="28"/>
        </w:rPr>
      </w:pPr>
      <w:bookmarkStart w:id="41" w:name="_Toc13850"/>
      <w:r>
        <w:rPr>
          <w:rFonts w:hint="eastAsia" w:ascii="仿宋_GB2312" w:hAnsi="仿宋" w:eastAsia="仿宋_GB2312" w:cs="仿宋_GB2312"/>
          <w:b/>
          <w:sz w:val="28"/>
          <w:szCs w:val="28"/>
        </w:rPr>
        <w:t>评标标准</w:t>
      </w:r>
      <w:bookmarkEnd w:id="41"/>
    </w:p>
    <w:p>
      <w:pPr>
        <w:keepNext w:val="0"/>
        <w:keepLines w:val="0"/>
        <w:pageBreakBefore w:val="0"/>
        <w:widowControl w:val="0"/>
        <w:numPr>
          <w:ilvl w:val="0"/>
          <w:numId w:val="38"/>
        </w:numPr>
        <w:kinsoku/>
        <w:wordWrap/>
        <w:overflowPunct/>
        <w:topLinePunct w:val="0"/>
        <w:autoSpaceDE/>
        <w:autoSpaceDN/>
        <w:bidi w:val="0"/>
        <w:adjustRightInd/>
        <w:spacing w:line="360" w:lineRule="auto"/>
        <w:ind w:left="5" w:firstLine="415"/>
        <w:textAlignment w:val="auto"/>
        <w:rPr>
          <w:rFonts w:ascii="仿宋_GB2312" w:hAnsi="仿宋" w:eastAsia="仿宋_GB2312" w:cs="Arial"/>
          <w:kern w:val="0"/>
          <w:sz w:val="24"/>
        </w:rPr>
      </w:pPr>
      <w:r>
        <w:rPr>
          <w:rFonts w:hint="eastAsia" w:ascii="仿宋_GB2312" w:hAnsi="仿宋" w:eastAsia="仿宋_GB2312" w:cs="Arial"/>
          <w:b/>
          <w:bCs/>
          <w:kern w:val="0"/>
          <w:sz w:val="24"/>
        </w:rPr>
        <w:t>评标标准：</w:t>
      </w:r>
      <w:r>
        <w:rPr>
          <w:rFonts w:hint="eastAsia" w:ascii="仿宋_GB2312" w:hAnsi="仿宋" w:eastAsia="仿宋_GB2312" w:cs="Arial"/>
          <w:kern w:val="0"/>
          <w:sz w:val="24"/>
        </w:rPr>
        <w:t>见评标办法前附表。</w:t>
      </w:r>
    </w:p>
    <w:p>
      <w:pPr>
        <w:keepNext w:val="0"/>
        <w:keepLines w:val="0"/>
        <w:pageBreakBefore w:val="0"/>
        <w:widowControl w:val="0"/>
        <w:numPr>
          <w:ilvl w:val="0"/>
          <w:numId w:val="37"/>
        </w:numPr>
        <w:kinsoku/>
        <w:wordWrap/>
        <w:overflowPunct/>
        <w:topLinePunct w:val="0"/>
        <w:autoSpaceDE/>
        <w:autoSpaceDN/>
        <w:bidi w:val="0"/>
        <w:snapToGrid w:val="0"/>
        <w:spacing w:before="120" w:beforeLines="50" w:after="120" w:afterLines="50" w:line="360" w:lineRule="auto"/>
        <w:ind w:firstLine="0"/>
        <w:jc w:val="left"/>
        <w:textAlignment w:val="auto"/>
        <w:outlineLvl w:val="0"/>
        <w:rPr>
          <w:rFonts w:ascii="仿宋_GB2312" w:hAnsi="仿宋" w:eastAsia="仿宋_GB2312" w:cs="仿宋_GB2312"/>
          <w:b/>
          <w:sz w:val="28"/>
          <w:szCs w:val="28"/>
        </w:rPr>
      </w:pPr>
      <w:bookmarkStart w:id="42" w:name="_Toc704"/>
      <w:r>
        <w:rPr>
          <w:rFonts w:hint="eastAsia" w:ascii="仿宋_GB2312" w:hAnsi="仿宋" w:eastAsia="仿宋_GB2312" w:cs="仿宋_GB2312"/>
          <w:b/>
          <w:sz w:val="28"/>
          <w:szCs w:val="28"/>
        </w:rPr>
        <w:t>磋商小组的组成</w:t>
      </w:r>
      <w:bookmarkEnd w:id="42"/>
    </w:p>
    <w:p>
      <w:pPr>
        <w:pStyle w:val="395"/>
        <w:keepNext w:val="0"/>
        <w:keepLines w:val="0"/>
        <w:pageBreakBefore w:val="0"/>
        <w:widowControl w:val="0"/>
        <w:numPr>
          <w:ilvl w:val="1"/>
          <w:numId w:val="39"/>
        </w:numPr>
        <w:kinsoku/>
        <w:wordWrap/>
        <w:overflowPunct/>
        <w:topLinePunct w:val="0"/>
        <w:autoSpaceDE/>
        <w:autoSpaceDN/>
        <w:bidi w:val="0"/>
        <w:spacing w:before="0"/>
        <w:ind w:firstLineChars="0"/>
        <w:textAlignment w:val="auto"/>
        <w:rPr>
          <w:rFonts w:ascii="仿宋_GB2312" w:hAnsi="仿宋" w:eastAsia="仿宋_GB2312" w:cs="Arial"/>
          <w:b/>
          <w:kern w:val="0"/>
        </w:rPr>
      </w:pPr>
      <w:r>
        <w:rPr>
          <w:rFonts w:hint="eastAsia" w:ascii="仿宋_GB2312" w:hAnsi="仿宋" w:eastAsia="仿宋_GB2312" w:cs="Arial"/>
          <w:b/>
          <w:kern w:val="0"/>
        </w:rPr>
        <w:t>磋商小组的组成。</w:t>
      </w:r>
    </w:p>
    <w:p>
      <w:pPr>
        <w:pStyle w:val="395"/>
        <w:keepNext w:val="0"/>
        <w:keepLines w:val="0"/>
        <w:pageBreakBefore w:val="0"/>
        <w:widowControl w:val="0"/>
        <w:kinsoku/>
        <w:wordWrap/>
        <w:overflowPunct/>
        <w:topLinePunct w:val="0"/>
        <w:autoSpaceDE/>
        <w:autoSpaceDN/>
        <w:bidi w:val="0"/>
        <w:spacing w:before="0"/>
        <w:ind w:firstLine="480"/>
        <w:textAlignment w:val="auto"/>
        <w:rPr>
          <w:rFonts w:ascii="仿宋_GB2312" w:hAnsi="仿宋" w:eastAsia="仿宋_GB2312"/>
        </w:rPr>
      </w:pPr>
      <w:r>
        <w:rPr>
          <w:rFonts w:hint="eastAsia" w:ascii="仿宋_GB2312" w:hAnsi="仿宋" w:eastAsia="仿宋_GB2312"/>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5"/>
        <w:keepNext w:val="0"/>
        <w:keepLines w:val="0"/>
        <w:pageBreakBefore w:val="0"/>
        <w:widowControl w:val="0"/>
        <w:kinsoku/>
        <w:wordWrap/>
        <w:overflowPunct/>
        <w:topLinePunct w:val="0"/>
        <w:autoSpaceDE/>
        <w:autoSpaceDN/>
        <w:bidi w:val="0"/>
        <w:spacing w:before="0"/>
        <w:ind w:firstLine="480"/>
        <w:textAlignment w:val="auto"/>
        <w:rPr>
          <w:rFonts w:ascii="仿宋_GB2312" w:hAnsi="仿宋" w:eastAsia="仿宋_GB2312"/>
        </w:rPr>
      </w:pPr>
      <w:r>
        <w:rPr>
          <w:rFonts w:hint="eastAsia" w:ascii="仿宋_GB2312" w:hAnsi="仿宋" w:eastAsia="仿宋_GB2312"/>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pStyle w:val="395"/>
        <w:keepNext w:val="0"/>
        <w:keepLines w:val="0"/>
        <w:pageBreakBefore w:val="0"/>
        <w:widowControl w:val="0"/>
        <w:numPr>
          <w:ilvl w:val="1"/>
          <w:numId w:val="39"/>
        </w:numPr>
        <w:kinsoku/>
        <w:wordWrap/>
        <w:overflowPunct/>
        <w:topLinePunct w:val="0"/>
        <w:autoSpaceDE/>
        <w:autoSpaceDN/>
        <w:bidi w:val="0"/>
        <w:spacing w:before="0"/>
        <w:ind w:firstLineChars="0"/>
        <w:textAlignment w:val="auto"/>
        <w:rPr>
          <w:rFonts w:ascii="仿宋_GB2312" w:hAnsi="仿宋" w:eastAsia="仿宋_GB2312" w:cs="Arial"/>
          <w:b/>
          <w:kern w:val="0"/>
        </w:rPr>
      </w:pPr>
      <w:r>
        <w:rPr>
          <w:rFonts w:hint="eastAsia" w:ascii="仿宋_GB2312" w:hAnsi="仿宋" w:eastAsia="仿宋_GB2312" w:cs="Arial"/>
          <w:b/>
          <w:kern w:val="0"/>
        </w:rPr>
        <w:t>磋商小组的组成人员的回避。</w:t>
      </w:r>
    </w:p>
    <w:p>
      <w:pPr>
        <w:pStyle w:val="395"/>
        <w:keepNext w:val="0"/>
        <w:keepLines w:val="0"/>
        <w:pageBreakBefore w:val="0"/>
        <w:widowControl w:val="0"/>
        <w:kinsoku/>
        <w:wordWrap/>
        <w:overflowPunct/>
        <w:topLinePunct w:val="0"/>
        <w:autoSpaceDE/>
        <w:autoSpaceDN/>
        <w:bidi w:val="0"/>
        <w:spacing w:before="0"/>
        <w:ind w:firstLine="480"/>
        <w:textAlignment w:val="auto"/>
        <w:rPr>
          <w:rFonts w:ascii="仿宋_GB2312" w:hAnsi="仿宋" w:eastAsia="仿宋_GB2312"/>
        </w:rPr>
      </w:pPr>
      <w:r>
        <w:rPr>
          <w:rFonts w:hint="eastAsia" w:ascii="仿宋_GB2312" w:hAnsi="仿宋" w:eastAsia="仿宋_GB2312"/>
        </w:rPr>
        <w:t>在政府采购活动中，磋商小组的组成人员与供应商有下列利害关系之一的，应当回避：</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参加采购活动前3年内与供应商存在劳动关系；</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参加采购活动前3年内担任供应商的董事、监事；</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参加采购活动前3年内是供应商的控股股东或者实际控制人；</w:t>
      </w:r>
    </w:p>
    <w:p>
      <w:pPr>
        <w:pStyle w:val="395"/>
        <w:keepNext w:val="0"/>
        <w:keepLines w:val="0"/>
        <w:pageBreakBefore w:val="0"/>
        <w:widowControl w:val="0"/>
        <w:numPr>
          <w:ilvl w:val="2"/>
          <w:numId w:val="39"/>
        </w:numPr>
        <w:kinsoku/>
        <w:wordWrap/>
        <w:overflowPunct/>
        <w:topLinePunct w:val="0"/>
        <w:autoSpaceDE/>
        <w:autoSpaceDN/>
        <w:bidi w:val="0"/>
        <w:spacing w:before="0"/>
        <w:ind w:left="8" w:firstLine="792" w:firstLineChars="0"/>
        <w:textAlignment w:val="auto"/>
        <w:rPr>
          <w:rFonts w:ascii="仿宋_GB2312" w:hAnsi="仿宋" w:eastAsia="仿宋_GB2312" w:cs="Arial"/>
          <w:kern w:val="0"/>
        </w:rPr>
      </w:pPr>
      <w:r>
        <w:rPr>
          <w:rFonts w:hint="eastAsia" w:ascii="仿宋_GB2312" w:hAnsi="仿宋" w:eastAsia="仿宋_GB2312" w:cs="Arial"/>
          <w:kern w:val="0"/>
        </w:rPr>
        <w:t>与供应商的法定代表人或者负责人有夫妻、直系血亲、三代以内旁系血亲或者近姻亲关系；</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与供应商有其他可能影响政府采购活动公平、公正进行的关系。</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3" w:name="_Toc32413"/>
      <w:r>
        <w:rPr>
          <w:rFonts w:hint="eastAsia" w:ascii="仿宋_GB2312" w:hAnsi="仿宋" w:eastAsia="仿宋_GB2312" w:cs="仿宋_GB2312"/>
          <w:b/>
          <w:sz w:val="28"/>
          <w:szCs w:val="28"/>
        </w:rPr>
        <w:t>磋商小组的职责</w:t>
      </w:r>
      <w:bookmarkEnd w:id="43"/>
    </w:p>
    <w:p>
      <w:pPr>
        <w:pStyle w:val="395"/>
        <w:numPr>
          <w:ilvl w:val="1"/>
          <w:numId w:val="40"/>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磋商小组负责具体评审事务，并独立履行下列职责：</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对响应文件的有效性、完整性和响应程度进行审查；</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审查、评价响应文件是否符合磋商文件的商务、技术等实质性要求；</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要求供应商对响应文件有关事项作出澄清、说明或者更正；</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磋商小组集中与单一供应商分别进行磋商；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确定磋商文件的变动情况，并确定提交最后报价的供应商；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根据磋商文件确定的评审办法及评审标准对提交最后报价的供应商的响应文件和最后报价采用综合评分法进行综合评分；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编制评审报告，确定成交候选人名单，以及根据采购人委托直接确定成交人；</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向采购人、采购代理机构或者有关部门报告评审中发现的违法行为；</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法律、法规、规章、磋商文件等规定的其它事项。</w:t>
      </w:r>
    </w:p>
    <w:p>
      <w:pPr>
        <w:pStyle w:val="395"/>
        <w:numPr>
          <w:ilvl w:val="1"/>
          <w:numId w:val="40"/>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磋商小组及其成员不得有下列行为：</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确定参与本项目至评审结束前私自接触供应商；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 xml:space="preserve">接受供应商提出的“超出响应文件的范围或者改变响应文件的实质性内容”的澄清、说明或者更正； </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违反评审纪律发表倾向性意见或者征询采购人的倾向性意见；</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对需要专业判断的主观评审因素协商评分；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在评审过程中擅离职守，影响评审程序正常进行的；</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记录、复制或者带走任何评审资料；</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其他不遵守评审纪律的行为。</w:t>
      </w:r>
    </w:p>
    <w:p>
      <w:pPr>
        <w:pStyle w:val="395"/>
        <w:spacing w:before="0"/>
        <w:ind w:firstLine="480"/>
        <w:rPr>
          <w:rFonts w:ascii="仿宋_GB2312" w:hAnsi="仿宋" w:eastAsia="仿宋_GB2312"/>
        </w:rPr>
      </w:pPr>
      <w:r>
        <w:rPr>
          <w:rFonts w:hint="eastAsia" w:ascii="仿宋_GB2312" w:hAnsi="仿宋" w:eastAsia="仿宋_GB2312"/>
        </w:rPr>
        <w:t>磋商小组成员有2.1-2.5行为之一的，其评审意见无效，并不得获取评审劳务报酬和报销异地评审差旅费。</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4" w:name="_Toc29645"/>
      <w:r>
        <w:rPr>
          <w:rFonts w:hint="eastAsia" w:ascii="仿宋_GB2312" w:hAnsi="仿宋" w:eastAsia="仿宋_GB2312" w:cs="仿宋_GB2312"/>
          <w:b/>
          <w:sz w:val="28"/>
          <w:szCs w:val="28"/>
        </w:rPr>
        <w:t>评审程序</w:t>
      </w:r>
      <w:bookmarkEnd w:id="44"/>
    </w:p>
    <w:p>
      <w:pPr>
        <w:pStyle w:val="395"/>
        <w:spacing w:before="0"/>
        <w:ind w:firstLine="470" w:firstLineChars="196"/>
        <w:rPr>
          <w:rFonts w:ascii="仿宋_GB2312" w:hAnsi="仿宋" w:eastAsia="仿宋_GB2312"/>
          <w:b/>
        </w:rPr>
      </w:pPr>
      <w:r>
        <w:rPr>
          <w:rFonts w:hint="eastAsia" w:ascii="仿宋_GB2312" w:hAnsi="仿宋" w:eastAsia="仿宋_GB2312"/>
          <w:b/>
        </w:rPr>
        <w:t>详见磋商文件“第二部分 竞争性磋商流程”。</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5" w:name="_Toc28505"/>
      <w:r>
        <w:rPr>
          <w:rFonts w:hint="eastAsia" w:ascii="仿宋_GB2312" w:hAnsi="仿宋" w:eastAsia="仿宋_GB2312" w:cs="仿宋_GB2312"/>
          <w:b/>
          <w:sz w:val="28"/>
          <w:szCs w:val="28"/>
        </w:rPr>
        <w:t>评标中的其他事项</w:t>
      </w:r>
      <w:bookmarkEnd w:id="45"/>
    </w:p>
    <w:p>
      <w:pPr>
        <w:pStyle w:val="395"/>
        <w:numPr>
          <w:ilvl w:val="1"/>
          <w:numId w:val="41"/>
        </w:numPr>
        <w:spacing w:before="0"/>
        <w:ind w:firstLineChars="0"/>
        <w:rPr>
          <w:rFonts w:ascii="仿宋_GB2312" w:hAnsi="仿宋_GB2312" w:eastAsia="仿宋_GB2312" w:cs="仿宋_GB2312"/>
          <w:b/>
          <w:szCs w:val="24"/>
        </w:rPr>
      </w:pPr>
      <w:r>
        <w:rPr>
          <w:rFonts w:hint="eastAsia" w:ascii="仿宋_GB2312" w:hAnsi="仿宋" w:eastAsia="仿宋_GB2312"/>
          <w:b/>
          <w:szCs w:val="24"/>
        </w:rPr>
        <w:t>响应文件的澄清</w:t>
      </w:r>
    </w:p>
    <w:p>
      <w:pPr>
        <w:spacing w:line="360" w:lineRule="auto"/>
        <w:ind w:firstLine="480"/>
        <w:rPr>
          <w:rFonts w:ascii="仿宋_GB2312" w:hAnsi="仿宋" w:eastAsia="仿宋_GB2312"/>
          <w:sz w:val="24"/>
        </w:rPr>
      </w:pPr>
      <w:r>
        <w:rPr>
          <w:rFonts w:hint="eastAsia" w:ascii="仿宋_GB2312" w:hAnsi="仿宋" w:eastAsia="仿宋_GB2312"/>
          <w:sz w:val="24"/>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最后报价的修正原则</w:t>
      </w:r>
    </w:p>
    <w:p>
      <w:pPr>
        <w:spacing w:line="360" w:lineRule="auto"/>
        <w:ind w:firstLine="480"/>
        <w:rPr>
          <w:rFonts w:ascii="仿宋_GB2312" w:hAnsi="仿宋" w:eastAsia="仿宋_GB2312"/>
          <w:sz w:val="24"/>
        </w:rPr>
      </w:pPr>
      <w:r>
        <w:rPr>
          <w:rFonts w:hint="eastAsia" w:ascii="仿宋_GB2312" w:hAnsi="仿宋" w:eastAsia="仿宋_GB2312"/>
          <w:sz w:val="24"/>
        </w:rPr>
        <w:t>磋商小组对响应文件的最后报价进行审核，对发现计算、书写等错误的，按以下原则进行修正：</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《最后报价一览表》内容与响应文件中响应内容不一致的，以《最后报价一览表》为准;</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大写金额和小写金额不一致的，以大写金额为准;</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单价金额小数点或者百分比有明显错位的，以《最后报价一览表》的总价为准，并修改单价;</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总价金额与按单价汇总金额不一致的，以单价金额计算结果为准。</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同时出现两种以上不一致的，按照前款规定的顺序修正。</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以修正后的总价作为最后报价。</w:t>
      </w:r>
    </w:p>
    <w:p>
      <w:pPr>
        <w:spacing w:line="360" w:lineRule="auto"/>
        <w:ind w:firstLine="480" w:firstLineChars="200"/>
        <w:rPr>
          <w:rFonts w:ascii="仿宋_GB2312" w:hAnsi="仿宋" w:eastAsia="仿宋_GB2312" w:cs="仿宋_GB2312"/>
          <w:b/>
          <w:bCs/>
          <w:sz w:val="24"/>
        </w:rPr>
      </w:pPr>
      <w:r>
        <w:rPr>
          <w:rFonts w:hint="eastAsia" w:ascii="仿宋_GB2312" w:hAnsi="仿宋" w:eastAsia="仿宋_GB2312" w:cs="仿宋_GB2312"/>
          <w:bCs/>
          <w:sz w:val="24"/>
        </w:rPr>
        <w:t>▲</w:t>
      </w:r>
      <w:r>
        <w:rPr>
          <w:rFonts w:hint="eastAsia" w:ascii="仿宋_GB2312" w:hAnsi="仿宋" w:eastAsia="仿宋_GB2312" w:cs="仿宋_GB2312"/>
          <w:b/>
          <w:bCs/>
          <w:sz w:val="24"/>
        </w:rPr>
        <w:t>供应商对根据修正原则修正后的最后报价不确认的，响应无效。</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响应无效</w:t>
      </w:r>
    </w:p>
    <w:p>
      <w:pPr>
        <w:pStyle w:val="25"/>
        <w:spacing w:line="360" w:lineRule="auto"/>
        <w:ind w:firstLine="600" w:firstLineChars="250"/>
        <w:rPr>
          <w:rFonts w:ascii="仿宋_GB2312" w:hAnsi="仿宋" w:eastAsia="仿宋_GB2312"/>
          <w:szCs w:val="21"/>
        </w:rPr>
      </w:pPr>
      <w:r>
        <w:rPr>
          <w:rFonts w:hint="eastAsia" w:ascii="仿宋_GB2312" w:hAnsi="仿宋" w:eastAsia="仿宋_GB2312" w:cs="仿宋_GB2312"/>
          <w:szCs w:val="21"/>
        </w:rPr>
        <w:t>有下列情况之一的，响应无效</w:t>
      </w:r>
      <w:r>
        <w:rPr>
          <w:rFonts w:hint="eastAsia" w:ascii="仿宋_GB2312" w:hAnsi="仿宋" w:eastAsia="仿宋_GB2312"/>
          <w:szCs w:val="21"/>
        </w:rPr>
        <w:t>：</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供应商不具备磋商文件中规定的资格要求的（供应商未提供有效的资格证明文件的，视为供应商不具备磋商文件中规定的资格要求）；</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响应文件未按照磋商文件要求签署、盖章的；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 xml:space="preserve">采购人拟采购的产品属于政府强制采购的节能产品品目清单范围的，供应商未按磋商文件要求提供国家确定的认证机构出具的、处于有效期之内的节能产品认证证书的； </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响应文件含有采购人不能接受的附加条件的；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响应文件中承诺的响应有效期少于磋商文件中载明的响应有效期的；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所提交的《最后报价一览表》中出现不是唯一的、有选择性的报价的;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最后报价高于本项目采购预算或者最高限价的;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最后报价明显低于其他供应商的最后报价，有可能影响产品质量或者不能诚信履约的，未能按要求提供书面说明或者提交相关证明材料，不能证明其报价合理性的;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《最后报价一览表》填写不完整或字迹不能辨认或有漏项的；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供应商对根据修正原则修正后的最后报价不确认的；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供应商提供虚假材料响应的（包括但不限于以下情节）；</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供应商有恶意串通、妨碍其他供应商的竞争行为、损害采购人或者其他供应商的合法权益情形的。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供应商仅提交备份响应文件，没有在电子交易平台传输提交响应文件的，响应无效；</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cs="Arial"/>
          <w:b/>
          <w:bCs/>
          <w:kern w:val="0"/>
        </w:rPr>
        <w:t>响应文件不满足磋商文件的其它实质性要求的；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法律、法规、规章（适用本市的）及省级以上规范性文件（适用本市的）规定的其他无效情形。</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重新开展采购活动</w:t>
      </w:r>
    </w:p>
    <w:p>
      <w:pPr>
        <w:spacing w:line="360" w:lineRule="auto"/>
        <w:ind w:firstLine="407" w:firstLineChars="194"/>
        <w:rPr>
          <w:rFonts w:ascii="仿宋_GB2312" w:hAnsi="仿宋" w:eastAsia="仿宋_GB2312"/>
          <w:sz w:val="24"/>
          <w:szCs w:val="21"/>
        </w:rPr>
      </w:pPr>
      <w:r>
        <w:rPr>
          <w:rFonts w:hint="eastAsia" w:ascii="仿宋_GB2312" w:hAnsi="仿宋" w:eastAsia="仿宋_GB2312" w:cs="Arial"/>
          <w:szCs w:val="21"/>
        </w:rPr>
        <w:t xml:space="preserve"> </w:t>
      </w:r>
      <w:r>
        <w:rPr>
          <w:rFonts w:hint="eastAsia" w:ascii="仿宋_GB2312" w:hAnsi="仿宋" w:eastAsia="仿宋_GB2312"/>
          <w:sz w:val="24"/>
          <w:szCs w:val="21"/>
        </w:rPr>
        <w:t>出现下列情形之一的，采购代理机构应当终止竞争性磋商采购活动，通过电子交易平台发布项目终止公告并说明原因，重新开展采购活动：</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因情况变化，不再符合规定的竞争性磋商采购方式适用情形的；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出现影响采购公正的违法、违规行为的；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在采购过程中符合要求的供应商或者最后报价未超过采购预算的供应商不足</w:t>
      </w:r>
      <w:r>
        <w:rPr>
          <w:rFonts w:hint="eastAsia" w:ascii="仿宋_GB2312" w:hAnsi="仿宋" w:eastAsia="仿宋_GB2312"/>
          <w:b/>
          <w:szCs w:val="24"/>
          <w:lang w:val="en-US" w:eastAsia="zh-CN"/>
        </w:rPr>
        <w:t>3</w:t>
      </w:r>
      <w:r>
        <w:rPr>
          <w:rFonts w:hint="eastAsia" w:ascii="仿宋_GB2312" w:hAnsi="仿宋" w:eastAsia="仿宋_GB2312"/>
          <w:b/>
          <w:szCs w:val="24"/>
        </w:rPr>
        <w:t>家的（有特殊规定的从其规定）。</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终止采购活动</w:t>
      </w:r>
    </w:p>
    <w:p>
      <w:pPr>
        <w:spacing w:line="360" w:lineRule="auto"/>
        <w:ind w:firstLine="465" w:firstLineChars="194"/>
        <w:rPr>
          <w:rFonts w:ascii="仿宋_GB2312" w:hAnsi="仿宋" w:eastAsia="仿宋_GB2312"/>
          <w:sz w:val="24"/>
          <w:szCs w:val="21"/>
        </w:rPr>
      </w:pPr>
      <w:r>
        <w:rPr>
          <w:rFonts w:hint="eastAsia" w:ascii="仿宋_GB2312" w:hAnsi="仿宋" w:eastAsia="仿宋_GB2312"/>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pStyle w:val="395"/>
        <w:numPr>
          <w:ilvl w:val="1"/>
          <w:numId w:val="41"/>
        </w:numPr>
        <w:spacing w:before="0"/>
        <w:ind w:left="10" w:firstLine="387" w:firstLineChars="0"/>
        <w:rPr>
          <w:rFonts w:ascii="仿宋_GB2312" w:hAnsi="仿宋" w:eastAsia="仿宋_GB2312"/>
          <w:b/>
          <w:szCs w:val="24"/>
        </w:rPr>
      </w:pPr>
      <w:r>
        <w:rPr>
          <w:rFonts w:hint="eastAsia" w:ascii="仿宋_GB2312" w:hAnsi="仿宋" w:eastAsia="仿宋_GB2312"/>
          <w:b/>
          <w:szCs w:val="24"/>
        </w:rPr>
        <w:t>采购代理机构有权对磋商小组各成员的评分情况和评审意见进行合理性和合规性审查，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6" w:name="_Toc27407"/>
      <w:r>
        <w:rPr>
          <w:rFonts w:hint="eastAsia" w:ascii="仿宋_GB2312" w:hAnsi="仿宋" w:eastAsia="仿宋_GB2312" w:cs="仿宋_GB2312"/>
          <w:b/>
          <w:sz w:val="28"/>
          <w:szCs w:val="28"/>
        </w:rPr>
        <w:t>评审过程的保密与录像</w:t>
      </w:r>
      <w:bookmarkEnd w:id="46"/>
    </w:p>
    <w:p>
      <w:pPr>
        <w:widowControl/>
        <w:numPr>
          <w:ilvl w:val="1"/>
          <w:numId w:val="42"/>
        </w:numPr>
        <w:spacing w:line="360" w:lineRule="auto"/>
        <w:ind w:left="10" w:firstLine="387"/>
        <w:rPr>
          <w:rFonts w:ascii="仿宋_GB2312" w:hAnsi="仿宋" w:eastAsia="仿宋_GB2312" w:cs="仿宋_GB2312"/>
          <w:sz w:val="24"/>
        </w:rPr>
      </w:pPr>
      <w:r>
        <w:rPr>
          <w:rFonts w:hint="eastAsia" w:ascii="仿宋_GB2312" w:hAnsi="仿宋" w:eastAsia="仿宋_GB2312" w:cs="仿宋_GB2312"/>
          <w:b/>
          <w:sz w:val="24"/>
        </w:rPr>
        <w:t>保密。</w:t>
      </w:r>
      <w:r>
        <w:rPr>
          <w:rFonts w:hint="eastAsia" w:ascii="仿宋_GB2312" w:hAnsi="仿宋" w:eastAsia="仿宋_GB2312" w:cs="仿宋_GB2312"/>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pPr>
        <w:widowControl/>
        <w:numPr>
          <w:ilvl w:val="1"/>
          <w:numId w:val="42"/>
        </w:numPr>
        <w:spacing w:line="360" w:lineRule="auto"/>
        <w:ind w:left="10" w:firstLine="387"/>
        <w:rPr>
          <w:rFonts w:ascii="仿宋_GB2312" w:hAnsi="仿宋" w:eastAsia="仿宋_GB2312" w:cs="仿宋_GB2312"/>
          <w:sz w:val="24"/>
        </w:rPr>
      </w:pPr>
      <w:r>
        <w:rPr>
          <w:rFonts w:hint="eastAsia" w:ascii="仿宋_GB2312" w:hAnsi="仿宋" w:eastAsia="仿宋_GB2312" w:cs="仿宋_GB2312"/>
          <w:b/>
          <w:sz w:val="24"/>
        </w:rPr>
        <w:t>录音录像。</w:t>
      </w:r>
      <w:r>
        <w:rPr>
          <w:rFonts w:hint="eastAsia" w:ascii="仿宋_GB2312" w:hAnsi="仿宋" w:eastAsia="仿宋_GB2312" w:cs="仿宋_GB2312"/>
          <w:sz w:val="24"/>
        </w:rPr>
        <w:t>采购代理机构对评审工作现场进行全过程录音录像，录音录像资料作为采购项目文件随其他文件一并存档。</w:t>
      </w:r>
    </w:p>
    <w:p>
      <w:pPr>
        <w:snapToGrid w:val="0"/>
        <w:spacing w:line="360" w:lineRule="auto"/>
        <w:ind w:firstLine="465" w:firstLineChars="194"/>
        <w:rPr>
          <w:rFonts w:ascii="仿宋_GB2312" w:hAnsi="仿宋_GB2312" w:eastAsia="仿宋_GB2312" w:cs="仿宋_GB2312"/>
          <w:b/>
          <w:sz w:val="24"/>
        </w:rPr>
      </w:pPr>
    </w:p>
    <w:p>
      <w:pPr>
        <w:rPr>
          <w:rFonts w:hint="eastAsia" w:ascii="仿宋_GB2312" w:hAnsi="仿宋_GB2312" w:eastAsia="仿宋_GB2312" w:cs="仿宋_GB2312"/>
          <w:b/>
          <w:sz w:val="36"/>
          <w:szCs w:val="36"/>
        </w:rPr>
      </w:pPr>
      <w:bookmarkStart w:id="47" w:name="_Toc28107"/>
      <w:r>
        <w:rPr>
          <w:rFonts w:hint="eastAsia" w:ascii="仿宋_GB2312" w:hAnsi="仿宋_GB2312" w:eastAsia="仿宋_GB2312" w:cs="仿宋_GB2312"/>
          <w:b/>
          <w:sz w:val="36"/>
          <w:szCs w:val="36"/>
        </w:rPr>
        <w:br w:type="page"/>
      </w:r>
    </w:p>
    <w:p>
      <w:pPr>
        <w:keepNext w:val="0"/>
        <w:keepLines w:val="0"/>
        <w:pageBreakBefore w:val="0"/>
        <w:kinsoku/>
        <w:wordWrap/>
        <w:overflowPunct/>
        <w:topLinePunct w:val="0"/>
        <w:autoSpaceDE/>
        <w:autoSpaceDN/>
        <w:bidi w:val="0"/>
        <w:adjustRightInd w:val="0"/>
        <w:snapToGrid/>
        <w:spacing w:line="360" w:lineRule="auto"/>
        <w:jc w:val="center"/>
        <w:textAlignment w:val="auto"/>
        <w:outlineLvl w:val="0"/>
        <w:rPr>
          <w:rFonts w:ascii="仿宋_GB2312" w:hAnsi="仿宋_GB2312" w:eastAsia="仿宋_GB2312" w:cs="仿宋_GB2312"/>
          <w:b/>
          <w:sz w:val="36"/>
          <w:szCs w:val="36"/>
        </w:rPr>
      </w:pPr>
      <w:r>
        <w:rPr>
          <w:rFonts w:hint="eastAsia" w:ascii="仿宋_GB2312" w:hAnsi="仿宋_GB2312" w:eastAsia="仿宋_GB2312" w:cs="仿宋_GB2312"/>
          <w:b/>
          <w:sz w:val="36"/>
          <w:szCs w:val="36"/>
        </w:rPr>
        <w:t>第六部分</w:t>
      </w:r>
      <w:bookmarkEnd w:id="38"/>
      <w:r>
        <w:rPr>
          <w:rFonts w:hint="eastAsia" w:ascii="仿宋_GB2312" w:hAnsi="仿宋_GB2312" w:eastAsia="仿宋_GB2312" w:cs="仿宋_GB2312"/>
          <w:b/>
          <w:sz w:val="36"/>
          <w:szCs w:val="36"/>
        </w:rPr>
        <w:t xml:space="preserve">  拟签订的合同文本</w:t>
      </w:r>
      <w:bookmarkEnd w:id="47"/>
    </w:p>
    <w:p>
      <w:pPr>
        <w:keepNext w:val="0"/>
        <w:keepLines w:val="0"/>
        <w:pageBreakBefore w:val="0"/>
        <w:kinsoku/>
        <w:wordWrap/>
        <w:overflowPunct/>
        <w:topLinePunct w:val="0"/>
        <w:autoSpaceDE/>
        <w:autoSpaceDN/>
        <w:bidi w:val="0"/>
        <w:adjustRightInd w:val="0"/>
        <w:snapToGrid/>
        <w:spacing w:line="360" w:lineRule="auto"/>
        <w:textAlignment w:val="auto"/>
        <w:rPr>
          <w:rFonts w:ascii="仿宋_GB2312" w:hAnsi="楷体" w:eastAsia="仿宋_GB2312"/>
          <w:sz w:val="24"/>
        </w:rPr>
      </w:pPr>
      <w:bookmarkStart w:id="48" w:name="第五部分"/>
      <w:bookmarkStart w:id="49" w:name="_Toc86217003"/>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第一部分 合同协议书</w:t>
      </w:r>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合同协议书</w:t>
      </w: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发包人（全称）</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承包人（全称）：</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根据《中华人民共和国民法典》、《中华人民共和国建筑法》及有关法律规定，遵循平等、自愿、公平和诚实信用的原则，双方就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工程施工及有关事项协商一致，共同达成如下协议：</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一、工程概况</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1.工程名称：</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2.工程地点：</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3.工程立项批准文号：</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4.资金来源：</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5.工程内容：</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群体工程应附《承包人承揽工程项目一览表》（附件1）。</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6.工程承包范围：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二、合同工期</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计划开工日期：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计划竣工日期：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工期总日历天数：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天。工期总日历天数与根据前述计划开竣工日期计算的工期天数不一致的，以工期总日历天数为准。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三、质量标准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工程质量符合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标准。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四、签约合同价与合同价格形式</w:t>
      </w:r>
      <w:r>
        <w:rPr>
          <w:rFonts w:hint="eastAsia" w:ascii="仿宋" w:hAnsi="仿宋" w:eastAsia="仿宋" w:cs="仿宋"/>
          <w:color w:val="auto"/>
          <w:kern w:val="0"/>
          <w:sz w:val="24"/>
          <w:szCs w:val="24"/>
          <w:highlight w:val="none"/>
        </w:rPr>
        <w:tab/>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1.签约合同价为：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（1）安全文明施工费：</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（2）材料和工程设备暂估价金额：</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（3）专业工程暂估价金额：</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（4）暂列金额：</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2.合同价格形式：</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五、项目负责人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承包人项目负责人：</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六、合同文件构成</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本协议书与下列文件一起构成合同文件：</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rPr>
        <w:t>通知书（如果有）；</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 xml:space="preserve">函及其附录（如果有）；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（3）专用合同条款及其附件；</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（4）通用合同条款；</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（5）技术标准和要求；</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（6）图纸；</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（7）已标价工程量清单或预算书；</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（8）其他合同文件。</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在合同订立及履行过程中形成的与合同有关的文件均构成合同文件组成部分。</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七、承诺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1.发包人承诺按照法律规定履行项目审批手续、筹集工程建设资金并</w:t>
      </w:r>
      <w:r>
        <w:rPr>
          <w:rFonts w:hint="eastAsia" w:ascii="仿宋" w:hAnsi="仿宋" w:eastAsia="仿宋" w:cs="仿宋"/>
          <w:color w:val="auto"/>
          <w:kern w:val="0"/>
          <w:sz w:val="24"/>
          <w:szCs w:val="24"/>
          <w:highlight w:val="none"/>
          <w:lang w:eastAsia="zh-CN"/>
        </w:rPr>
        <w:t>按照合同约定，最终按照审计决算报告为依据付款。</w:t>
      </w:r>
      <w:r>
        <w:rPr>
          <w:rFonts w:hint="eastAsia" w:ascii="仿宋" w:hAnsi="仿宋" w:eastAsia="仿宋" w:cs="仿宋"/>
          <w:color w:val="auto"/>
          <w:kern w:val="0"/>
          <w:sz w:val="24"/>
          <w:szCs w:val="24"/>
          <w:highlight w:val="none"/>
        </w:rPr>
        <w:t>的期限和方式支付合同价款。</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3.发包人和承包人通过招投标形式签订合同的，双方理解并承诺不再就同一工程另行签订与合同实质性内容相背离的协议。</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八、词语含义</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本协议书中词语含义与第二部分通用合同条款中赋予的含义相同。</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九、签订时间</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日签订。</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十、签订地点</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签订。</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十一、补充协议</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合同未尽事宜，合同当事人另行签订补充协议，补充协议是合同的组成部分。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十二、合同生效</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本合同自</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生效。</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十三、合同份数</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本合同一式    份，均具有同等法律效力，发包人执</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份，承包人执</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  (公章)             承包人：  (公章)</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  法定代表人或其委托代理人：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（签字）                    （签字）</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组织机构代码：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组织机构代码：</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地  址：</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邮政编码：</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法定代表人：</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委托代理人：</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电  话：</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传  真：</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电子信箱：</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开户银行：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开户银行：</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账  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账  号：</w:t>
      </w:r>
      <w:r>
        <w:rPr>
          <w:rFonts w:hint="eastAsia" w:ascii="仿宋" w:hAnsi="仿宋" w:eastAsia="仿宋" w:cs="仿宋"/>
          <w:color w:val="auto"/>
          <w:kern w:val="0"/>
          <w:sz w:val="24"/>
          <w:szCs w:val="24"/>
          <w:highlight w:val="none"/>
          <w:u w:val="single"/>
        </w:rPr>
        <w:t xml:space="preserve">                   </w:t>
      </w:r>
    </w:p>
    <w:p>
      <w:pPr>
        <w:pStyle w:val="3"/>
        <w:keepNext w:val="0"/>
        <w:keepLines w:val="0"/>
        <w:numPr>
          <w:ilvl w:val="1"/>
          <w:numId w:val="0"/>
        </w:numPr>
        <w:tabs>
          <w:tab w:val="left" w:pos="576"/>
        </w:tabs>
        <w:spacing w:line="460" w:lineRule="exact"/>
        <w:ind w:left="576" w:hanging="576"/>
        <w:jc w:val="center"/>
        <w:rPr>
          <w:rFonts w:hint="eastAsia" w:ascii="仿宋" w:hAnsi="仿宋" w:eastAsia="仿宋" w:cs="仿宋"/>
          <w:bCs w:val="0"/>
          <w:color w:val="auto"/>
          <w:sz w:val="24"/>
          <w:szCs w:val="24"/>
          <w:highlight w:val="none"/>
        </w:rPr>
      </w:pPr>
      <w:r>
        <w:rPr>
          <w:rFonts w:hint="eastAsia" w:ascii="宋体" w:hAnsi="宋体" w:eastAsia="宋体" w:cs="宋体"/>
          <w:color w:val="auto"/>
          <w:sz w:val="24"/>
          <w:szCs w:val="24"/>
          <w:highlight w:val="none"/>
        </w:rPr>
        <w:br w:type="page"/>
      </w:r>
      <w:bookmarkStart w:id="50" w:name="_Toc13562"/>
      <w:r>
        <w:rPr>
          <w:rFonts w:hint="eastAsia" w:ascii="仿宋" w:hAnsi="仿宋" w:eastAsia="仿宋" w:cs="仿宋"/>
          <w:bCs w:val="0"/>
          <w:color w:val="auto"/>
          <w:sz w:val="24"/>
          <w:szCs w:val="24"/>
          <w:highlight w:val="none"/>
        </w:rPr>
        <w:t>第二部分 通用合同条款</w:t>
      </w:r>
      <w:bookmarkEnd w:id="50"/>
    </w:p>
    <w:p>
      <w:pPr>
        <w:autoSpaceDE w:val="0"/>
        <w:autoSpaceDN w:val="0"/>
        <w:adjustRightInd w:val="0"/>
        <w:spacing w:line="460" w:lineRule="exact"/>
        <w:ind w:firstLine="420"/>
        <w:jc w:val="center"/>
        <w:rPr>
          <w:rFonts w:hint="eastAsia" w:ascii="仿宋" w:hAnsi="仿宋" w:eastAsia="仿宋" w:cs="仿宋"/>
          <w:b/>
          <w:color w:val="auto"/>
          <w:sz w:val="24"/>
          <w:szCs w:val="24"/>
          <w:highlight w:val="none"/>
          <w:lang w:val="zh-CN"/>
        </w:rPr>
      </w:pP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执行《建设工程施工合同（示范文本）》（GF-2017-0201）通用合同条款，此处略。</w:t>
      </w:r>
    </w:p>
    <w:p>
      <w:pPr>
        <w:spacing w:line="460" w:lineRule="exact"/>
        <w:ind w:firstLine="420" w:firstLineChars="175"/>
        <w:rPr>
          <w:rFonts w:hint="eastAsia" w:ascii="宋体" w:hAnsi="宋体" w:cs="宋体"/>
          <w:color w:val="auto"/>
          <w:sz w:val="24"/>
          <w:szCs w:val="24"/>
          <w:highlight w:val="none"/>
        </w:rPr>
      </w:pPr>
    </w:p>
    <w:p>
      <w:pPr>
        <w:autoSpaceDE w:val="0"/>
        <w:autoSpaceDN w:val="0"/>
        <w:adjustRightInd w:val="0"/>
        <w:spacing w:line="460" w:lineRule="exact"/>
        <w:ind w:firstLine="480" w:firstLineChars="200"/>
        <w:rPr>
          <w:rFonts w:hint="eastAsia" w:ascii="宋体" w:hAnsi="宋体" w:cs="宋体"/>
          <w:color w:val="auto"/>
          <w:sz w:val="24"/>
          <w:szCs w:val="24"/>
          <w:highlight w:val="none"/>
        </w:rPr>
      </w:pPr>
    </w:p>
    <w:p>
      <w:pPr>
        <w:pStyle w:val="3"/>
        <w:keepNext w:val="0"/>
        <w:keepLines w:val="0"/>
        <w:pageBreakBefore w:val="0"/>
        <w:widowControl w:val="0"/>
        <w:numPr>
          <w:ilvl w:val="1"/>
          <w:numId w:val="0"/>
        </w:numPr>
        <w:tabs>
          <w:tab w:val="left" w:pos="576"/>
        </w:tabs>
        <w:kinsoku/>
        <w:wordWrap/>
        <w:overflowPunct/>
        <w:topLinePunct w:val="0"/>
        <w:bidi w:val="0"/>
        <w:spacing w:line="360" w:lineRule="auto"/>
        <w:ind w:left="576" w:hanging="576"/>
        <w:jc w:val="center"/>
        <w:textAlignment w:val="auto"/>
        <w:rPr>
          <w:rFonts w:hint="eastAsia" w:ascii="仿宋" w:hAnsi="仿宋" w:eastAsia="仿宋" w:cs="仿宋"/>
          <w:bCs w:val="0"/>
          <w:color w:val="auto"/>
          <w:sz w:val="24"/>
          <w:szCs w:val="24"/>
          <w:highlight w:val="none"/>
        </w:rPr>
      </w:pPr>
      <w:r>
        <w:rPr>
          <w:rFonts w:hint="eastAsia" w:ascii="宋体" w:hAnsi="宋体" w:eastAsia="宋体" w:cs="宋体"/>
          <w:color w:val="auto"/>
          <w:sz w:val="24"/>
          <w:szCs w:val="24"/>
          <w:highlight w:val="none"/>
        </w:rPr>
        <w:br w:type="page"/>
      </w:r>
      <w:bookmarkStart w:id="51" w:name="_Toc2460"/>
      <w:r>
        <w:rPr>
          <w:rFonts w:hint="eastAsia" w:ascii="仿宋" w:hAnsi="仿宋" w:eastAsia="仿宋" w:cs="仿宋"/>
          <w:bCs w:val="0"/>
          <w:color w:val="auto"/>
          <w:sz w:val="24"/>
          <w:szCs w:val="24"/>
          <w:highlight w:val="none"/>
        </w:rPr>
        <w:t>第三部分 专用合同条款</w:t>
      </w:r>
      <w:bookmarkEnd w:id="51"/>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一般约定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词语定义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1.1.1.10其他合同文件包括：</w:t>
      </w:r>
      <w:r>
        <w:rPr>
          <w:rFonts w:hint="eastAsia" w:ascii="仿宋" w:hAnsi="仿宋" w:eastAsia="仿宋" w:cs="仿宋"/>
          <w:color w:val="auto"/>
          <w:sz w:val="24"/>
          <w:szCs w:val="24"/>
          <w:highlight w:val="none"/>
          <w:u w:val="single"/>
        </w:rPr>
        <w:t>施工组织设计、招标文件（含澄清文件、暂列金、暂估价）、洽谈记录、会议纪要、图纸会审记录、发包人相关制度等</w:t>
      </w:r>
      <w:r>
        <w:rPr>
          <w:rFonts w:hint="eastAsia" w:ascii="仿宋" w:hAnsi="仿宋" w:eastAsia="仿宋" w:cs="仿宋"/>
          <w:color w:val="auto"/>
          <w:sz w:val="24"/>
          <w:szCs w:val="24"/>
          <w:highlight w:val="none"/>
          <w:u w:val="single"/>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设计人：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1.1.3.7 作为施工现场组成部分的其他场所括</w:t>
      </w:r>
      <w:r>
        <w:rPr>
          <w:rFonts w:hint="eastAsia" w:ascii="仿宋" w:hAnsi="仿宋" w:eastAsia="仿宋" w:cs="仿宋"/>
          <w:color w:val="auto"/>
          <w:sz w:val="24"/>
          <w:szCs w:val="24"/>
          <w:highlight w:val="none"/>
          <w:u w:val="single"/>
        </w:rPr>
        <w:t>：生活、办公等临时设施及设备、材料加工、堆放场地。</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1.1.3.9 永久占地包括：</w:t>
      </w:r>
      <w:r>
        <w:rPr>
          <w:rFonts w:hint="eastAsia" w:ascii="仿宋" w:hAnsi="仿宋" w:eastAsia="仿宋" w:cs="仿宋"/>
          <w:color w:val="auto"/>
          <w:sz w:val="24"/>
          <w:szCs w:val="24"/>
          <w:highlight w:val="none"/>
          <w:u w:val="single"/>
        </w:rPr>
        <w:t xml:space="preserve">     见规划红线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1.1.3.10 临时占地包括：生活、办公等临时设施及设备、材料加工，堆放场地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1.3法律 </w:t>
      </w:r>
    </w:p>
    <w:p>
      <w:pPr>
        <w:keepNext w:val="0"/>
        <w:keepLines w:val="0"/>
        <w:pageBreakBefore w:val="0"/>
        <w:widowControl w:val="0"/>
        <w:kinsoku/>
        <w:wordWrap/>
        <w:overflowPunct/>
        <w:topLinePunct w:val="0"/>
        <w:bidi w:val="0"/>
        <w:spacing w:line="360" w:lineRule="auto"/>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    执行通用条款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标准和规范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1.4.1适用于工程的标准规范包括：</w:t>
      </w:r>
      <w:r>
        <w:rPr>
          <w:rFonts w:hint="eastAsia" w:ascii="仿宋" w:hAnsi="仿宋" w:eastAsia="仿宋" w:cs="仿宋"/>
          <w:color w:val="auto"/>
          <w:sz w:val="24"/>
          <w:szCs w:val="24"/>
          <w:highlight w:val="none"/>
          <w:u w:val="single"/>
        </w:rPr>
        <w:t>执行建筑、市政等工程国家、自治区、州、市现行施工及验收规范标准以及材料设备所涉及的现行国家，省，市或行业的工程建设标准。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发包人提供国外标准、规范的名称：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发包人提供国外标准、规范的份数：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发包人提供国外标准、规范的名称：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left="596" w:leftChars="2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1.4.3发包人对工程的技术标准和功能要求的特殊要求：</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合同文件的优先顺序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图纸和承包人文件</w:t>
      </w:r>
      <w:r>
        <w:rPr>
          <w:rFonts w:hint="eastAsia" w:ascii="仿宋" w:hAnsi="仿宋" w:eastAsia="仿宋" w:cs="仿宋"/>
          <w:color w:val="auto"/>
          <w:sz w:val="24"/>
          <w:szCs w:val="24"/>
          <w:highlight w:val="none"/>
        </w:rPr>
        <w:tab/>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合同签订后七日内提供审查合格的施工图。</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2套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xml:space="preserve">本合同发包内容中的全部图纸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承包人文件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现场图纸准备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联络</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1.7.1发包人和承包人应当在</w:t>
      </w:r>
      <w:r>
        <w:rPr>
          <w:rFonts w:hint="eastAsia" w:ascii="仿宋" w:hAnsi="仿宋" w:eastAsia="仿宋" w:cs="仿宋"/>
          <w:color w:val="auto"/>
          <w:sz w:val="24"/>
          <w:szCs w:val="24"/>
          <w:highlight w:val="none"/>
          <w:u w:val="single"/>
        </w:rPr>
        <w:t xml:space="preserve">5  </w:t>
      </w:r>
      <w:r>
        <w:rPr>
          <w:rFonts w:hint="eastAsia" w:ascii="仿宋" w:hAnsi="仿宋" w:eastAsia="仿宋" w:cs="仿宋"/>
          <w:color w:val="auto"/>
          <w:sz w:val="24"/>
          <w:szCs w:val="24"/>
          <w:highlight w:val="none"/>
        </w:rPr>
        <w:t>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发包人接收文件的地点：  发包人办公场所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发包人指定的接收人为：</w:t>
      </w:r>
      <w:r>
        <w:rPr>
          <w:rFonts w:hint="eastAsia" w:ascii="仿宋" w:hAnsi="仿宋" w:eastAsia="仿宋" w:cs="仿宋"/>
          <w:color w:val="auto"/>
          <w:sz w:val="24"/>
          <w:szCs w:val="24"/>
          <w:highlight w:val="none"/>
          <w:u w:val="single"/>
        </w:rPr>
        <w:t xml:space="preserve">  发包人代表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承包人接收文件的地点：</w:t>
      </w:r>
      <w:r>
        <w:rPr>
          <w:rFonts w:hint="eastAsia" w:ascii="仿宋" w:hAnsi="仿宋" w:eastAsia="仿宋" w:cs="仿宋"/>
          <w:color w:val="auto"/>
          <w:sz w:val="24"/>
          <w:szCs w:val="24"/>
          <w:highlight w:val="none"/>
          <w:u w:val="single"/>
        </w:rPr>
        <w:t xml:space="preserve">  项目所在地承包人项目部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承包人指定的接收人为： </w:t>
      </w:r>
      <w:r>
        <w:rPr>
          <w:rFonts w:hint="eastAsia" w:ascii="仿宋" w:hAnsi="仿宋" w:eastAsia="仿宋" w:cs="仿宋"/>
          <w:color w:val="auto"/>
          <w:sz w:val="24"/>
          <w:szCs w:val="24"/>
          <w:highlight w:val="none"/>
          <w:u w:val="single"/>
        </w:rPr>
        <w:t xml:space="preserve"> 项目经理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监理人接收文件的地点： </w:t>
      </w:r>
      <w:r>
        <w:rPr>
          <w:rFonts w:hint="eastAsia" w:ascii="仿宋" w:hAnsi="仿宋" w:eastAsia="仿宋" w:cs="仿宋"/>
          <w:color w:val="auto"/>
          <w:sz w:val="24"/>
          <w:szCs w:val="24"/>
          <w:highlight w:val="none"/>
          <w:u w:val="single"/>
        </w:rPr>
        <w:t xml:space="preserve"> 项目所在地监理人办公室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监理人指定的接收人为： </w:t>
      </w:r>
      <w:r>
        <w:rPr>
          <w:rFonts w:hint="eastAsia" w:ascii="仿宋" w:hAnsi="仿宋" w:eastAsia="仿宋" w:cs="仿宋"/>
          <w:color w:val="auto"/>
          <w:sz w:val="24"/>
          <w:szCs w:val="24"/>
          <w:highlight w:val="none"/>
          <w:u w:val="single"/>
        </w:rPr>
        <w:t xml:space="preserve"> 总监理工程师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 交通运输</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出入现场的权利</w:t>
      </w:r>
    </w:p>
    <w:p>
      <w:pPr>
        <w:keepNext w:val="0"/>
        <w:keepLines w:val="0"/>
        <w:pageBreakBefore w:val="0"/>
        <w:widowControl w:val="0"/>
        <w:kinsoku/>
        <w:wordWrap/>
        <w:overflowPunct/>
        <w:topLinePunct w:val="0"/>
        <w:bidi w:val="0"/>
        <w:spacing w:line="360" w:lineRule="auto"/>
        <w:ind w:left="596" w:leftChars="2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 xml:space="preserve"> 根据施工需要，由承包方负责办理出入施工现场的相关手续、负责建设并承担相关费用</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场内交通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关于场外交通和场内交通的边界的约定：</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发包方协助，承包方办理并承担相应费用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1.10.4超大件和超重件的运输</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运输超大件或超重件所需的道路和桥梁临时加固改造费用和其他有关费用由 </w:t>
      </w:r>
      <w:r>
        <w:rPr>
          <w:rFonts w:hint="eastAsia" w:ascii="仿宋" w:hAnsi="仿宋" w:eastAsia="仿宋" w:cs="仿宋"/>
          <w:color w:val="auto"/>
          <w:sz w:val="24"/>
          <w:szCs w:val="24"/>
          <w:highlight w:val="none"/>
          <w:u w:val="single"/>
        </w:rPr>
        <w:t xml:space="preserve"> 承包人 </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知识产权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：按通用条款执行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sz w:val="24"/>
          <w:szCs w:val="24"/>
          <w:highlight w:val="none"/>
          <w:u w:val="single"/>
        </w:rPr>
        <w:t>按通用条款执行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rPr>
        <w:t>按通用条款执行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按通用条款执行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承包人在施工过程中所采用的专利、专有技术、技术秘密的使用费的承担方式：</w:t>
      </w:r>
      <w:r>
        <w:rPr>
          <w:rFonts w:hint="eastAsia" w:ascii="仿宋" w:hAnsi="仿宋" w:eastAsia="仿宋" w:cs="仿宋"/>
          <w:color w:val="auto"/>
          <w:sz w:val="24"/>
          <w:szCs w:val="24"/>
          <w:highlight w:val="none"/>
          <w:u w:val="single"/>
        </w:rPr>
        <w:t>包含在合同价中</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1.13工程量清单错误的修正</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允许调整合同价格的工程量偏差范围：</w:t>
      </w:r>
      <w:r>
        <w:rPr>
          <w:rFonts w:hint="eastAsia" w:ascii="仿宋" w:hAnsi="仿宋" w:eastAsia="仿宋" w:cs="仿宋"/>
          <w:color w:val="auto"/>
          <w:sz w:val="24"/>
          <w:szCs w:val="24"/>
          <w:highlight w:val="none"/>
          <w:u w:val="single"/>
        </w:rPr>
        <w:t xml:space="preserve">当工程量清单项目工程量的变化幅度在±15%（含15%）以内时，其综合单价不做调整，执行原有综合单价。当工程量清单项目工程量的变化幅度在±15%以外时，其综合单价调整方法为：工程量偏差+15%以上的部分原综合单价下浮10%；工程量偏差-15%以下的，剩余部分执行原综合单价。当清单出现漏项项目，漏项造价超出投标总价（不含暂列金额）的5%时，5%以内（含5%）按当地预算定额进行结算。超出5%部分按当地预算定额取费后下浮10%结算。当确认变更的费用发生争议时，施工方不得以该争议作为怠工、停工等的理由，必须正常施工。       </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发包人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发包人代表</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协调各部门工作，施工现场全过程的质量、进度、安全、投资等进行全面协调管理。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施工现场、施工条件和基础资料的提供</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提供施工现场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提供施工条件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sz w:val="24"/>
          <w:szCs w:val="24"/>
          <w:highlight w:val="none"/>
          <w:u w:val="single"/>
        </w:rPr>
        <w:t xml:space="preserve">发包人协调，承包人完成，费用包含在合同价中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资金来源证明及支付担保</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承包人</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（1）承包人提交的竣工资料的内容：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承包人需要提交的竣工资料套数：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承包人提交的竣工资料的费用承担：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承包人提交的竣工资料移交时间：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（2）承包人应履行的其他义务：</w:t>
      </w:r>
      <w:r>
        <w:rPr>
          <w:rFonts w:hint="eastAsia" w:ascii="仿宋" w:hAnsi="仿宋" w:eastAsia="仿宋" w:cs="仿宋"/>
          <w:color w:val="auto"/>
          <w:sz w:val="24"/>
          <w:szCs w:val="24"/>
          <w:highlight w:val="none"/>
          <w:u w:val="single"/>
        </w:rPr>
        <w:t>1.配合发包人办理项目前期手续；  2.配合发包人办理施工过程所需手续；  3.配合发包人办理竣工验收手续；  4.配合发包人办理其他相关手续；  5.配合费用均含在合同价中。</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项目经理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项目经理：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关于项目经理每月在施工现场的时间要求：</w:t>
      </w:r>
      <w:r>
        <w:rPr>
          <w:rFonts w:hint="eastAsia" w:ascii="仿宋" w:hAnsi="仿宋" w:eastAsia="仿宋" w:cs="仿宋"/>
          <w:color w:val="auto"/>
          <w:sz w:val="24"/>
          <w:szCs w:val="24"/>
          <w:highlight w:val="none"/>
          <w:u w:val="single"/>
        </w:rPr>
        <w:t xml:space="preserve">        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承包人未提交劳动合同，以及没有为项目经理缴纳社会保险证明的违约责任：</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项目经理未经批准，擅自离开施工现场的违约责任：</w:t>
      </w:r>
      <w:r>
        <w:rPr>
          <w:rFonts w:hint="eastAsia" w:ascii="仿宋" w:hAnsi="仿宋" w:eastAsia="仿宋" w:cs="仿宋"/>
          <w:color w:val="auto"/>
          <w:sz w:val="24"/>
          <w:szCs w:val="24"/>
          <w:highlight w:val="none"/>
          <w:u w:val="single"/>
        </w:rPr>
        <w:t xml:space="preserve">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3.2.3 承包人擅自更换项目经理的违约责任：</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          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3.2.4 承包人无正当理由拒绝更换项目经理的违约责任：</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 承包人人员：</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3.3.4 承包人主要施工管理人员离开施工现场的批准要求：</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3.3.5承包人擅自更换主要施工管理人员的违约责任：</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left="420"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3.4承包人主要施工管理人员擅自离开施工现场的违约责任：</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52" w:name="_Toc292559364"/>
      <w:bookmarkStart w:id="53" w:name="_Toc300934945"/>
      <w:bookmarkStart w:id="54" w:name="_Toc296944498"/>
      <w:bookmarkStart w:id="55" w:name="_Toc297123492"/>
      <w:bookmarkStart w:id="56" w:name="_Toc292559869"/>
      <w:bookmarkStart w:id="57" w:name="_Toc296890987"/>
      <w:bookmarkStart w:id="58" w:name="_Toc296891199"/>
      <w:bookmarkStart w:id="59" w:name="_Toc297216151"/>
      <w:bookmarkStart w:id="60" w:name="_Toc304295523"/>
      <w:bookmarkStart w:id="61" w:name="_Toc296346660"/>
      <w:bookmarkStart w:id="62" w:name="_Toc297048345"/>
      <w:bookmarkStart w:id="63" w:name="_Toc303539102"/>
      <w:bookmarkStart w:id="64" w:name="_Toc296503159"/>
      <w:bookmarkStart w:id="65" w:name="_Toc297120459"/>
      <w:bookmarkStart w:id="66" w:name="_Toc296347158"/>
      <w:bookmarkStart w:id="67" w:name="_Toc312677988"/>
      <w:r>
        <w:rPr>
          <w:rFonts w:hint="eastAsia" w:ascii="仿宋" w:hAnsi="仿宋" w:eastAsia="仿宋" w:cs="仿宋"/>
          <w:color w:val="auto"/>
          <w:sz w:val="24"/>
          <w:szCs w:val="24"/>
          <w:highlight w:val="none"/>
        </w:rPr>
        <w:t>.5 分包</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68" w:name="_Toc296347159"/>
      <w:bookmarkStart w:id="69" w:name="_Toc297048346"/>
      <w:bookmarkStart w:id="70" w:name="_Toc300934946"/>
      <w:bookmarkStart w:id="71" w:name="_Toc292559870"/>
      <w:bookmarkStart w:id="72" w:name="_Toc297123493"/>
      <w:bookmarkStart w:id="73" w:name="_Toc304295524"/>
      <w:bookmarkStart w:id="74" w:name="_Toc297216152"/>
      <w:bookmarkStart w:id="75" w:name="_Toc296503160"/>
      <w:bookmarkStart w:id="76" w:name="_Toc303539103"/>
      <w:bookmarkStart w:id="77" w:name="_Toc296346661"/>
      <w:bookmarkStart w:id="78" w:name="_Toc292559365"/>
      <w:bookmarkStart w:id="79" w:name="_Toc296944499"/>
      <w:bookmarkStart w:id="80" w:name="_Toc296890988"/>
      <w:bookmarkStart w:id="81" w:name="_Toc296891200"/>
      <w:bookmarkStart w:id="82" w:name="_Toc297120460"/>
      <w:bookmarkStart w:id="83" w:name="_Toc312677989"/>
      <w:bookmarkStart w:id="84" w:name="_Toc318581158"/>
      <w:r>
        <w:rPr>
          <w:rFonts w:hint="eastAsia" w:ascii="仿宋" w:hAnsi="仿宋" w:eastAsia="仿宋" w:cs="仿宋"/>
          <w:color w:val="auto"/>
          <w:sz w:val="24"/>
          <w:szCs w:val="24"/>
          <w:highlight w:val="none"/>
        </w:rPr>
        <w:t>.5.1 分包的一般约定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5" w:name="_Toc296503161"/>
      <w:bookmarkStart w:id="86" w:name="_Toc297123494"/>
      <w:bookmarkStart w:id="87" w:name="_Toc296891201"/>
      <w:bookmarkStart w:id="88" w:name="_Toc297048347"/>
      <w:bookmarkStart w:id="89" w:name="_Toc304295525"/>
      <w:bookmarkStart w:id="90" w:name="_Toc296347160"/>
      <w:bookmarkStart w:id="91" w:name="_Toc297120461"/>
      <w:bookmarkStart w:id="92" w:name="_Toc296890989"/>
      <w:bookmarkStart w:id="93" w:name="_Toc296346662"/>
      <w:bookmarkStart w:id="94" w:name="_Toc303539104"/>
      <w:bookmarkStart w:id="95" w:name="_Toc297216153"/>
      <w:bookmarkStart w:id="96" w:name="_Toc296944500"/>
      <w:bookmarkStart w:id="97" w:name="_Toc300934947"/>
      <w:r>
        <w:rPr>
          <w:rFonts w:hint="eastAsia" w:ascii="仿宋" w:hAnsi="仿宋" w:eastAsia="仿宋" w:cs="仿宋"/>
          <w:color w:val="auto"/>
          <w:sz w:val="24"/>
          <w:szCs w:val="24"/>
          <w:highlight w:val="none"/>
          <w:u w:val="single"/>
        </w:rPr>
        <w:t xml:space="preserve"> </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98" w:name="_Toc312677990"/>
      <w:bookmarkStart w:id="99" w:name="_Toc318581159"/>
      <w:r>
        <w:rPr>
          <w:rFonts w:hint="eastAsia" w:ascii="仿宋" w:hAnsi="仿宋" w:eastAsia="仿宋" w:cs="仿宋"/>
          <w:color w:val="auto"/>
          <w:sz w:val="24"/>
          <w:szCs w:val="24"/>
          <w:highlight w:val="none"/>
        </w:rPr>
        <w:t>.5.2分包的确定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其他关于分包的约定：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 分包合同价款</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98"/>
    <w:bookmarkEnd w:id="9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提供10%的履约担保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承包人提供履约担保的形式、金额及期限的：</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商定或确定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00" w:name="_Toc351203637"/>
      <w:r>
        <w:rPr>
          <w:rFonts w:hint="eastAsia" w:ascii="仿宋" w:hAnsi="仿宋" w:eastAsia="仿宋" w:cs="仿宋"/>
          <w:b/>
          <w:color w:val="auto"/>
          <w:sz w:val="24"/>
          <w:szCs w:val="24"/>
          <w:highlight w:val="none"/>
        </w:rPr>
        <w:t>5. 工程质量</w:t>
      </w:r>
      <w:bookmarkEnd w:id="100"/>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质量要求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5.1.1 特殊质量标准和要求：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关于工程奖项的约定：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隐蔽工程检查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5.3.2承包人提前通知监理人隐蔽工程检查的期限的约定：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小时提交书面延期要求。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01" w:name="_Toc351203638"/>
      <w:r>
        <w:rPr>
          <w:rFonts w:hint="eastAsia" w:ascii="仿宋" w:hAnsi="仿宋" w:eastAsia="仿宋" w:cs="仿宋"/>
          <w:b/>
          <w:color w:val="auto"/>
          <w:sz w:val="24"/>
          <w:szCs w:val="24"/>
          <w:highlight w:val="none"/>
        </w:rPr>
        <w:t>6. 安全文明施工与环境保护</w:t>
      </w:r>
      <w:bookmarkEnd w:id="101"/>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6.1.1 项目安全生产的达标目标及相应事项的约定：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6.1.4 关于治安保卫的特别约定：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关于编制施工场地治安管理计划的约定：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 文明施工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合同当事人对文明施工的要求：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6.1.6 关于安全文明施工费支付比例和支付期限的约定：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02" w:name="_Toc351203639"/>
      <w:r>
        <w:rPr>
          <w:rFonts w:hint="eastAsia" w:ascii="仿宋" w:hAnsi="仿宋" w:eastAsia="仿宋" w:cs="仿宋"/>
          <w:b/>
          <w:color w:val="auto"/>
          <w:sz w:val="24"/>
          <w:szCs w:val="24"/>
          <w:highlight w:val="none"/>
        </w:rPr>
        <w:t>7. 工期和进度</w:t>
      </w:r>
      <w:bookmarkEnd w:id="102"/>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7.1.1 合同当事人约定的施工组织设计应包括的其他内容：</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7.1.2 施工组织设计的提交和修改</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承包人提交详细施工组织设计的期限的约定：</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03" w:name="_Toc304295541"/>
      <w:bookmarkStart w:id="104" w:name="_Toc303539123"/>
      <w:bookmarkStart w:id="105" w:name="_Toc297123514"/>
      <w:bookmarkStart w:id="106" w:name="_Toc297216173"/>
      <w:bookmarkStart w:id="107" w:name="_Toc312678005"/>
      <w:bookmarkStart w:id="108" w:name="_Toc300934966"/>
      <w:bookmarkStart w:id="109" w:name="_Toc312677479"/>
      <w:r>
        <w:rPr>
          <w:rFonts w:hint="eastAsia" w:ascii="仿宋" w:hAnsi="仿宋" w:eastAsia="仿宋" w:cs="仿宋"/>
          <w:color w:val="auto"/>
          <w:sz w:val="24"/>
          <w:szCs w:val="24"/>
          <w:highlight w:val="none"/>
        </w:rPr>
        <w:t>.2 施工进度计划</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施工进度计划的修订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关于承包人提交工程开工报审表的期限：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关于发包人应完成的其他开工准备工作及期限：</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关于承包人应完成的其他开工准备工作及期限：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天内发出开工通知的，承包人有权提出价格调整要求，或者解除合同。</w:t>
      </w:r>
    </w:p>
    <w:bookmarkEnd w:id="103"/>
    <w:bookmarkEnd w:id="104"/>
    <w:bookmarkEnd w:id="105"/>
    <w:bookmarkEnd w:id="106"/>
    <w:bookmarkEnd w:id="107"/>
    <w:bookmarkEnd w:id="108"/>
    <w:bookmarkEnd w:id="10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10" w:name="_Toc312677484"/>
      <w:bookmarkStart w:id="111" w:name="_Toc312678010"/>
      <w:bookmarkStart w:id="112" w:name="_Toc303539125"/>
      <w:bookmarkStart w:id="113" w:name="_Toc297123516"/>
      <w:bookmarkStart w:id="114" w:name="_Toc304295546"/>
      <w:bookmarkStart w:id="115" w:name="_Toc300934968"/>
      <w:bookmarkStart w:id="116" w:name="_Toc297216175"/>
      <w:r>
        <w:rPr>
          <w:rFonts w:hint="eastAsia" w:ascii="仿宋" w:hAnsi="仿宋" w:eastAsia="仿宋" w:cs="仿宋"/>
          <w:color w:val="auto"/>
          <w:sz w:val="24"/>
          <w:szCs w:val="24"/>
          <w:highlight w:val="none"/>
        </w:rPr>
        <w:t>.5 工期延误</w:t>
      </w:r>
    </w:p>
    <w:bookmarkEnd w:id="110"/>
    <w:bookmarkEnd w:id="111"/>
    <w:bookmarkEnd w:id="112"/>
    <w:bookmarkEnd w:id="113"/>
    <w:bookmarkEnd w:id="114"/>
    <w:bookmarkEnd w:id="115"/>
    <w:bookmarkEnd w:id="116"/>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（7）因发包人原因导致工期延误的其他情形：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17" w:name="_Toc312678012"/>
      <w:bookmarkStart w:id="118" w:name="_Toc318581169"/>
      <w:bookmarkStart w:id="119" w:name="_Toc312677486"/>
      <w:bookmarkStart w:id="120" w:name="_Toc297123518"/>
      <w:bookmarkStart w:id="121" w:name="_Toc304295548"/>
      <w:bookmarkStart w:id="122" w:name="_Toc297216177"/>
      <w:bookmarkStart w:id="123" w:name="_Toc300934970"/>
      <w:bookmarkStart w:id="124" w:name="_Toc303539127"/>
      <w:r>
        <w:rPr>
          <w:rFonts w:hint="eastAsia" w:ascii="仿宋" w:hAnsi="仿宋" w:eastAsia="仿宋" w:cs="仿宋"/>
          <w:color w:val="auto"/>
          <w:sz w:val="24"/>
          <w:szCs w:val="24"/>
          <w:highlight w:val="none"/>
        </w:rPr>
        <w:t>.5.2 因承包人原因导致工期延误</w:t>
      </w:r>
    </w:p>
    <w:bookmarkEnd w:id="117"/>
    <w:bookmarkEnd w:id="118"/>
    <w:bookmarkEnd w:id="119"/>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w:t>
      </w:r>
      <w:bookmarkStart w:id="125" w:name="_Toc312678013"/>
      <w:bookmarkStart w:id="126" w:name="_Toc318581170"/>
      <w:bookmarkStart w:id="127" w:name="_Toc312677487"/>
      <w:r>
        <w:rPr>
          <w:rFonts w:hint="eastAsia" w:ascii="仿宋" w:hAnsi="仿宋" w:eastAsia="仿宋" w:cs="仿宋"/>
          <w:color w:val="auto"/>
          <w:sz w:val="24"/>
          <w:szCs w:val="24"/>
          <w:highlight w:val="none"/>
        </w:rPr>
        <w:t>承包人原因造成工期延误，逾期竣工违约金的计算方法为：</w:t>
      </w:r>
    </w:p>
    <w:bookmarkEnd w:id="120"/>
    <w:bookmarkEnd w:id="121"/>
    <w:bookmarkEnd w:id="122"/>
    <w:bookmarkEnd w:id="123"/>
    <w:bookmarkEnd w:id="124"/>
    <w:bookmarkEnd w:id="125"/>
    <w:bookmarkEnd w:id="126"/>
    <w:bookmarkEnd w:id="12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因承包人原因造成工期延误，逾</w:t>
      </w:r>
      <w:bookmarkStart w:id="128" w:name="_Toc312678014"/>
      <w:bookmarkStart w:id="129" w:name="_Toc318581171"/>
      <w:r>
        <w:rPr>
          <w:rFonts w:hint="eastAsia" w:ascii="仿宋" w:hAnsi="仿宋" w:eastAsia="仿宋" w:cs="仿宋"/>
          <w:color w:val="auto"/>
          <w:sz w:val="24"/>
          <w:szCs w:val="24"/>
          <w:highlight w:val="none"/>
        </w:rPr>
        <w:t>期竣工违约金的上限：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28"/>
    <w:bookmarkEnd w:id="12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30" w:name="_Toc300934971"/>
      <w:bookmarkStart w:id="131" w:name="_Toc312678015"/>
      <w:bookmarkStart w:id="132" w:name="_Toc297216178"/>
      <w:bookmarkStart w:id="133" w:name="_Toc303539128"/>
      <w:bookmarkStart w:id="134" w:name="_Toc297123519"/>
      <w:bookmarkStart w:id="135" w:name="_Toc304295549"/>
      <w:r>
        <w:rPr>
          <w:rFonts w:hint="eastAsia" w:ascii="仿宋" w:hAnsi="仿宋" w:eastAsia="仿宋" w:cs="仿宋"/>
          <w:color w:val="auto"/>
          <w:sz w:val="24"/>
          <w:szCs w:val="24"/>
          <w:highlight w:val="none"/>
        </w:rPr>
        <w:t>.6 不</w:t>
      </w:r>
      <w:bookmarkEnd w:id="130"/>
      <w:bookmarkEnd w:id="131"/>
      <w:bookmarkEnd w:id="132"/>
      <w:bookmarkEnd w:id="133"/>
      <w:bookmarkEnd w:id="134"/>
      <w:bookmarkEnd w:id="135"/>
      <w:r>
        <w:rPr>
          <w:rFonts w:hint="eastAsia" w:ascii="仿宋" w:hAnsi="仿宋" w:eastAsia="仿宋" w:cs="仿宋"/>
          <w:color w:val="auto"/>
          <w:sz w:val="24"/>
          <w:szCs w:val="24"/>
          <w:highlight w:val="none"/>
        </w:rPr>
        <w:t>利物质条件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bookmarkStart w:id="136" w:name="_Toc312678016"/>
      <w:bookmarkStart w:id="137" w:name="_Toc297216179"/>
      <w:bookmarkStart w:id="138" w:name="_Toc318581172"/>
      <w:bookmarkStart w:id="139" w:name="_Toc303539129"/>
      <w:bookmarkStart w:id="140" w:name="_Toc297123520"/>
      <w:bookmarkStart w:id="141" w:name="_Toc300934972"/>
      <w:bookmarkStart w:id="142" w:name="_Toc304295550"/>
      <w:r>
        <w:rPr>
          <w:rFonts w:hint="eastAsia" w:ascii="仿宋" w:hAnsi="仿宋" w:eastAsia="仿宋" w:cs="仿宋"/>
          <w:color w:val="auto"/>
          <w:sz w:val="24"/>
          <w:szCs w:val="24"/>
          <w:highlight w:val="none"/>
        </w:rPr>
        <w:t>不利物质条件的其他情形和有关约定：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36"/>
    <w:bookmarkEnd w:id="137"/>
    <w:bookmarkEnd w:id="138"/>
    <w:bookmarkEnd w:id="139"/>
    <w:bookmarkEnd w:id="140"/>
    <w:bookmarkEnd w:id="141"/>
    <w:bookmarkEnd w:id="142"/>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43" w:name="_Toc312678017"/>
      <w:bookmarkStart w:id="144" w:name="_Toc297123521"/>
      <w:bookmarkStart w:id="145" w:name="_Toc300934973"/>
      <w:bookmarkStart w:id="146" w:name="_Toc304295551"/>
      <w:bookmarkStart w:id="147" w:name="_Toc297216180"/>
      <w:bookmarkStart w:id="148" w:name="_Toc303539130"/>
      <w:r>
        <w:rPr>
          <w:rFonts w:hint="eastAsia" w:ascii="仿宋" w:hAnsi="仿宋" w:eastAsia="仿宋" w:cs="仿宋"/>
          <w:color w:val="auto"/>
          <w:sz w:val="24"/>
          <w:szCs w:val="24"/>
          <w:highlight w:val="none"/>
        </w:rPr>
        <w:t>.7异常恶劣的气候条件</w:t>
      </w:r>
    </w:p>
    <w:bookmarkEnd w:id="143"/>
    <w:bookmarkEnd w:id="144"/>
    <w:bookmarkEnd w:id="145"/>
    <w:bookmarkEnd w:id="146"/>
    <w:bookmarkEnd w:id="147"/>
    <w:bookmarkEnd w:id="148"/>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 提前竣工的奖励</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7.9.2提前竣工的奖励：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49" w:name="_Toc351203640"/>
      <w:r>
        <w:rPr>
          <w:rFonts w:hint="eastAsia" w:ascii="仿宋" w:hAnsi="仿宋" w:eastAsia="仿宋" w:cs="仿宋"/>
          <w:b/>
          <w:color w:val="auto"/>
          <w:sz w:val="24"/>
          <w:szCs w:val="24"/>
          <w:highlight w:val="none"/>
        </w:rPr>
        <w:t>8. 材料与设备</w:t>
      </w:r>
      <w:bookmarkEnd w:id="149"/>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150" w:name="_Toc280868654"/>
      <w:bookmarkStart w:id="151" w:name="_Toc296890995"/>
      <w:bookmarkStart w:id="152" w:name="_Toc297120467"/>
      <w:bookmarkStart w:id="153" w:name="_Toc297123527"/>
      <w:bookmarkStart w:id="154" w:name="_Toc296503167"/>
      <w:bookmarkStart w:id="155" w:name="_Toc304295556"/>
      <w:bookmarkStart w:id="156" w:name="_Toc297216186"/>
      <w:bookmarkStart w:id="157" w:name="_Toc312678019"/>
      <w:bookmarkStart w:id="158" w:name="_Toc296944506"/>
      <w:bookmarkStart w:id="159" w:name="_Toc300934979"/>
      <w:bookmarkStart w:id="160" w:name="_Toc303539136"/>
      <w:bookmarkStart w:id="161" w:name="_Toc292559372"/>
      <w:bookmarkStart w:id="162" w:name="_Toc312677493"/>
      <w:bookmarkStart w:id="163" w:name="_Toc296347166"/>
      <w:bookmarkStart w:id="164" w:name="_Toc296346668"/>
      <w:bookmarkStart w:id="165" w:name="_Toc297048353"/>
      <w:bookmarkStart w:id="166" w:name="_Toc296891207"/>
      <w:bookmarkStart w:id="167" w:name="_Toc292559877"/>
      <w:bookmarkStart w:id="168" w:name="_Toc280868655"/>
      <w:bookmarkStart w:id="169" w:name="_Toc267251424"/>
      <w:bookmarkStart w:id="170" w:name="_Toc280868656"/>
      <w:r>
        <w:rPr>
          <w:rFonts w:hint="eastAsia" w:ascii="仿宋" w:hAnsi="仿宋" w:eastAsia="仿宋" w:cs="仿宋"/>
          <w:color w:val="auto"/>
          <w:sz w:val="24"/>
          <w:szCs w:val="24"/>
          <w:highlight w:val="none"/>
        </w:rPr>
        <w:t>.4材料与工程设备的保管与使用</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8</w:t>
      </w:r>
      <w:bookmarkStart w:id="171" w:name="_Toc292559373"/>
      <w:bookmarkStart w:id="172" w:name="_Toc292559878"/>
      <w:bookmarkStart w:id="173" w:name="_Toc296890996"/>
      <w:bookmarkStart w:id="174" w:name="_Toc296891208"/>
      <w:bookmarkStart w:id="175" w:name="_Toc312678020"/>
      <w:bookmarkStart w:id="176" w:name="_Toc303539137"/>
      <w:bookmarkStart w:id="177" w:name="_Toc304295557"/>
      <w:bookmarkStart w:id="178" w:name="_Toc296346669"/>
      <w:bookmarkStart w:id="179" w:name="_Toc297216187"/>
      <w:bookmarkStart w:id="180" w:name="_Toc296944507"/>
      <w:bookmarkStart w:id="181" w:name="_Toc297123528"/>
      <w:bookmarkStart w:id="182" w:name="_Toc296503168"/>
      <w:bookmarkStart w:id="183" w:name="_Toc296347167"/>
      <w:bookmarkStart w:id="184" w:name="_Toc297048354"/>
      <w:bookmarkStart w:id="185" w:name="_Toc297120468"/>
      <w:bookmarkStart w:id="186" w:name="_Toc312677494"/>
      <w:bookmarkStart w:id="187" w:name="_Toc318581173"/>
      <w:bookmarkStart w:id="188" w:name="_Toc300934980"/>
      <w:r>
        <w:rPr>
          <w:rFonts w:hint="eastAsia" w:ascii="仿宋" w:hAnsi="仿宋" w:eastAsia="仿宋" w:cs="仿宋"/>
          <w:color w:val="auto"/>
          <w:sz w:val="24"/>
          <w:szCs w:val="24"/>
          <w:highlight w:val="none"/>
        </w:rPr>
        <w:t>.4.1发包人供应的材料设备的保管费用的承担：</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171"/>
      <w:bookmarkEnd w:id="172"/>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样品</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样品的报送与封存</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需要承包人报送样品的材料或工程设备，样品的种类、名称、规格、数量要求：</w:t>
      </w:r>
    </w:p>
    <w:p>
      <w:pPr>
        <w:keepNext w:val="0"/>
        <w:keepLines w:val="0"/>
        <w:pageBreakBefore w:val="0"/>
        <w:widowControl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 施工设备和临时设施</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8.8.1 承包人提供的施工设备和临时设施</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关于修建临时设施费用承担的约定：</w:t>
      </w:r>
    </w:p>
    <w:p>
      <w:pPr>
        <w:keepNext w:val="0"/>
        <w:keepLines w:val="0"/>
        <w:pageBreakBefore w:val="0"/>
        <w:widowControl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89" w:name="_Toc351203641"/>
      <w:r>
        <w:rPr>
          <w:rFonts w:hint="eastAsia" w:ascii="仿宋" w:hAnsi="仿宋" w:eastAsia="仿宋" w:cs="仿宋"/>
          <w:b/>
          <w:color w:val="auto"/>
          <w:sz w:val="24"/>
          <w:szCs w:val="24"/>
          <w:highlight w:val="none"/>
        </w:rPr>
        <w:t>9</w:t>
      </w:r>
      <w:bookmarkEnd w:id="168"/>
      <w:bookmarkEnd w:id="169"/>
      <w:bookmarkEnd w:id="170"/>
      <w:bookmarkStart w:id="190" w:name="_Toc297123533"/>
      <w:bookmarkStart w:id="191" w:name="_Toc312678021"/>
      <w:bookmarkStart w:id="192" w:name="_Toc300934982"/>
      <w:bookmarkStart w:id="193" w:name="_Toc304295559"/>
      <w:bookmarkStart w:id="194" w:name="_Toc312677495"/>
      <w:bookmarkStart w:id="195" w:name="_Toc303539139"/>
      <w:bookmarkStart w:id="196" w:name="_Toc297216192"/>
      <w:bookmarkStart w:id="197" w:name="_Toc267251428"/>
      <w:bookmarkStart w:id="198" w:name="_Toc296503173"/>
      <w:bookmarkStart w:id="199" w:name="_Toc296891213"/>
      <w:bookmarkStart w:id="200" w:name="_Toc296346674"/>
      <w:bookmarkStart w:id="201" w:name="_Toc297120473"/>
      <w:bookmarkStart w:id="202" w:name="_Toc296944512"/>
      <w:bookmarkStart w:id="203" w:name="_Toc292559378"/>
      <w:bookmarkStart w:id="204" w:name="_Toc267251427"/>
      <w:bookmarkStart w:id="205" w:name="_Toc297048359"/>
      <w:bookmarkStart w:id="206" w:name="_Toc292559883"/>
      <w:bookmarkStart w:id="207" w:name="_Toc296347172"/>
      <w:bookmarkStart w:id="208" w:name="_Toc296891001"/>
      <w:r>
        <w:rPr>
          <w:rFonts w:hint="eastAsia" w:ascii="仿宋" w:hAnsi="仿宋" w:eastAsia="仿宋" w:cs="仿宋"/>
          <w:b/>
          <w:color w:val="auto"/>
          <w:sz w:val="24"/>
          <w:szCs w:val="24"/>
          <w:highlight w:val="none"/>
        </w:rPr>
        <w:t>. 试验与检验</w:t>
      </w:r>
      <w:bookmarkEnd w:id="189"/>
    </w:p>
    <w:bookmarkEnd w:id="190"/>
    <w:bookmarkEnd w:id="191"/>
    <w:bookmarkEnd w:id="192"/>
    <w:bookmarkEnd w:id="193"/>
    <w:bookmarkEnd w:id="194"/>
    <w:bookmarkEnd w:id="195"/>
    <w:bookmarkEnd w:id="196"/>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209" w:name="_Toc303539140"/>
      <w:bookmarkStart w:id="210" w:name="_Toc297216193"/>
      <w:bookmarkStart w:id="211" w:name="_Toc312678022"/>
      <w:bookmarkStart w:id="212" w:name="_Toc304295560"/>
      <w:bookmarkStart w:id="213" w:name="_Toc300934983"/>
      <w:bookmarkStart w:id="214" w:name="_Toc312677496"/>
      <w:bookmarkStart w:id="215" w:name="_Toc297123534"/>
      <w:r>
        <w:rPr>
          <w:rFonts w:hint="eastAsia" w:ascii="仿宋" w:hAnsi="仿宋" w:eastAsia="仿宋" w:cs="仿宋"/>
          <w:color w:val="auto"/>
          <w:sz w:val="24"/>
          <w:szCs w:val="24"/>
          <w:highlight w:val="none"/>
        </w:rPr>
        <w:t>.1试验设备与试验人员</w:t>
      </w:r>
    </w:p>
    <w:bookmarkEnd w:id="209"/>
    <w:bookmarkEnd w:id="210"/>
    <w:bookmarkEnd w:id="211"/>
    <w:bookmarkEnd w:id="212"/>
    <w:bookmarkEnd w:id="213"/>
    <w:bookmarkEnd w:id="214"/>
    <w:bookmarkEnd w:id="215"/>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216" w:name="_Toc312678023"/>
      <w:bookmarkStart w:id="217" w:name="_Toc303539141"/>
      <w:bookmarkStart w:id="218" w:name="_Toc300934984"/>
      <w:bookmarkStart w:id="219" w:name="_Toc297123535"/>
      <w:bookmarkStart w:id="220" w:name="_Toc312677497"/>
      <w:bookmarkStart w:id="221" w:name="_Toc297216194"/>
      <w:bookmarkStart w:id="222" w:name="_Toc304295561"/>
      <w:bookmarkStart w:id="223" w:name="_Toc318581174"/>
      <w:r>
        <w:rPr>
          <w:rFonts w:hint="eastAsia" w:ascii="仿宋" w:hAnsi="仿宋" w:eastAsia="仿宋" w:cs="仿宋"/>
          <w:color w:val="auto"/>
          <w:sz w:val="24"/>
          <w:szCs w:val="24"/>
          <w:highlight w:val="none"/>
        </w:rPr>
        <w:t>.1.2 试验设备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施工现场需要配置的试验场所：</w:t>
      </w:r>
      <w:bookmarkEnd w:id="216"/>
      <w:bookmarkEnd w:id="217"/>
      <w:bookmarkEnd w:id="218"/>
      <w:bookmarkEnd w:id="219"/>
      <w:bookmarkEnd w:id="220"/>
      <w:bookmarkEnd w:id="221"/>
      <w:bookmarkEnd w:id="222"/>
      <w:bookmarkStart w:id="224" w:name="_Toc300934985"/>
      <w:bookmarkStart w:id="225" w:name="_Toc304295562"/>
      <w:bookmarkStart w:id="226" w:name="_Toc312678024"/>
      <w:bookmarkStart w:id="227" w:name="_Toc297216195"/>
      <w:bookmarkStart w:id="228" w:name="_Toc312677498"/>
      <w:bookmarkStart w:id="229" w:name="_Toc297123536"/>
      <w:bookmarkStart w:id="230" w:name="_Toc303539142"/>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施工现场需要配备的试验设备：</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施工现场需要具备的其他试验条件：</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9.4 现场工艺试验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现场工艺试验的有关约定：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223"/>
    <w:bookmarkEnd w:id="224"/>
    <w:bookmarkEnd w:id="225"/>
    <w:bookmarkEnd w:id="226"/>
    <w:bookmarkEnd w:id="227"/>
    <w:bookmarkEnd w:id="228"/>
    <w:bookmarkEnd w:id="229"/>
    <w:bookmarkEnd w:id="230"/>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231" w:name="_Toc351203642"/>
      <w:r>
        <w:rPr>
          <w:rFonts w:hint="eastAsia" w:ascii="仿宋" w:hAnsi="仿宋" w:eastAsia="仿宋" w:cs="仿宋"/>
          <w:b/>
          <w:color w:val="auto"/>
          <w:sz w:val="24"/>
          <w:szCs w:val="24"/>
          <w:highlight w:val="none"/>
        </w:rPr>
        <w:t>1</w:t>
      </w:r>
      <w:bookmarkEnd w:id="197"/>
      <w:bookmarkEnd w:id="198"/>
      <w:bookmarkEnd w:id="199"/>
      <w:bookmarkEnd w:id="200"/>
      <w:bookmarkEnd w:id="201"/>
      <w:bookmarkEnd w:id="202"/>
      <w:bookmarkEnd w:id="203"/>
      <w:bookmarkEnd w:id="204"/>
      <w:bookmarkEnd w:id="205"/>
      <w:bookmarkEnd w:id="206"/>
      <w:bookmarkEnd w:id="207"/>
      <w:bookmarkEnd w:id="208"/>
      <w:bookmarkStart w:id="232" w:name="_Toc304295566"/>
      <w:bookmarkStart w:id="233" w:name="_Toc300934989"/>
      <w:bookmarkStart w:id="234" w:name="_Toc297123540"/>
      <w:bookmarkStart w:id="235" w:name="_Toc296347192"/>
      <w:bookmarkStart w:id="236" w:name="_Toc296503193"/>
      <w:bookmarkStart w:id="237" w:name="_Toc297048379"/>
      <w:bookmarkStart w:id="238" w:name="_Toc292559398"/>
      <w:bookmarkStart w:id="239" w:name="_Toc296944532"/>
      <w:bookmarkStart w:id="240" w:name="_Toc297120493"/>
      <w:bookmarkStart w:id="241" w:name="_Toc296891021"/>
      <w:bookmarkStart w:id="242" w:name="_Toc292559903"/>
      <w:bookmarkStart w:id="243" w:name="_Toc296346694"/>
      <w:bookmarkStart w:id="244" w:name="_Toc297216199"/>
      <w:bookmarkStart w:id="245" w:name="_Toc303539146"/>
      <w:bookmarkStart w:id="246" w:name="_Toc296891233"/>
      <w:bookmarkStart w:id="247" w:name="_Toc312677499"/>
      <w:bookmarkStart w:id="248" w:name="_Toc312678025"/>
      <w:r>
        <w:rPr>
          <w:rFonts w:hint="eastAsia" w:ascii="仿宋" w:hAnsi="仿宋" w:eastAsia="仿宋" w:cs="仿宋"/>
          <w:b/>
          <w:color w:val="auto"/>
          <w:sz w:val="24"/>
          <w:szCs w:val="24"/>
          <w:highlight w:val="none"/>
        </w:rPr>
        <w:t>0. 变更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249" w:name="_Toc300934990"/>
      <w:bookmarkStart w:id="250" w:name="_Toc304295567"/>
      <w:bookmarkStart w:id="251" w:name="_Toc312677500"/>
      <w:bookmarkStart w:id="252" w:name="_Toc312678026"/>
      <w:bookmarkStart w:id="253" w:name="_Toc296891234"/>
      <w:bookmarkStart w:id="254" w:name="_Toc303539147"/>
      <w:bookmarkStart w:id="255" w:name="_Toc297216200"/>
      <w:bookmarkStart w:id="256" w:name="_Toc296346695"/>
      <w:bookmarkStart w:id="257" w:name="_Toc296347193"/>
      <w:bookmarkStart w:id="258" w:name="_Toc297120494"/>
      <w:bookmarkStart w:id="259" w:name="_Toc296944533"/>
      <w:bookmarkStart w:id="260" w:name="_Toc297123541"/>
      <w:bookmarkStart w:id="261" w:name="_Toc296503194"/>
      <w:bookmarkStart w:id="262" w:name="_Toc292559904"/>
      <w:bookmarkStart w:id="263" w:name="_Toc296891022"/>
      <w:bookmarkStart w:id="264" w:name="_Toc297048380"/>
      <w:bookmarkStart w:id="265" w:name="_Toc292559399"/>
      <w:r>
        <w:rPr>
          <w:rFonts w:hint="eastAsia" w:ascii="仿宋" w:hAnsi="仿宋" w:eastAsia="仿宋" w:cs="仿宋"/>
          <w:color w:val="auto"/>
          <w:sz w:val="24"/>
          <w:szCs w:val="24"/>
          <w:highlight w:val="none"/>
        </w:rPr>
        <w:t>0.1变更的范围</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关于变更的范围的约定：</w:t>
      </w:r>
    </w:p>
    <w:p>
      <w:pPr>
        <w:keepNext w:val="0"/>
        <w:keepLines w:val="0"/>
        <w:pageBreakBefore w:val="0"/>
        <w:widowControl w:val="0"/>
        <w:kinsoku/>
        <w:wordWrap/>
        <w:overflowPunct/>
        <w:topLinePunct w:val="0"/>
        <w:bidi w:val="0"/>
        <w:spacing w:line="360" w:lineRule="auto"/>
        <w:ind w:firstLine="4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 变更估价</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10.4.1 变更估价原则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关于变更估价的约定：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Start w:id="266" w:name="_Toc296503197"/>
      <w:bookmarkStart w:id="267" w:name="_Toc296891237"/>
      <w:bookmarkStart w:id="268" w:name="_Toc296944536"/>
      <w:bookmarkStart w:id="269" w:name="_Toc297216203"/>
      <w:bookmarkStart w:id="270" w:name="_Toc292559402"/>
      <w:bookmarkStart w:id="271" w:name="_Toc297123544"/>
      <w:bookmarkStart w:id="272" w:name="_Toc296346698"/>
      <w:bookmarkStart w:id="273" w:name="_Toc303539150"/>
      <w:bookmarkStart w:id="274" w:name="_Toc296891025"/>
      <w:bookmarkStart w:id="275" w:name="_Toc300934993"/>
      <w:bookmarkStart w:id="276" w:name="_Toc297120497"/>
      <w:bookmarkStart w:id="277" w:name="_Toc292559907"/>
      <w:bookmarkStart w:id="278" w:name="_Toc297048383"/>
      <w:bookmarkStart w:id="279" w:name="_Toc296347196"/>
      <w:bookmarkStart w:id="280" w:name="_Toc312678029"/>
      <w:bookmarkStart w:id="281" w:name="_Toc304295570"/>
      <w:bookmarkStart w:id="282" w:name="_Toc312677503"/>
      <w:r>
        <w:rPr>
          <w:rFonts w:hint="eastAsia" w:ascii="仿宋" w:hAnsi="仿宋" w:eastAsia="仿宋" w:cs="仿宋"/>
          <w:color w:val="auto"/>
          <w:sz w:val="24"/>
          <w:szCs w:val="24"/>
          <w:highlight w:val="none"/>
        </w:rPr>
        <w:t>0.5承</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3" w:name="_Toc303539151"/>
      <w:bookmarkStart w:id="284" w:name="_Toc292559408"/>
      <w:bookmarkStart w:id="285" w:name="_Toc300934994"/>
      <w:bookmarkStart w:id="286" w:name="_Toc297048389"/>
      <w:bookmarkStart w:id="287" w:name="_Toc296347202"/>
      <w:bookmarkStart w:id="288" w:name="_Toc296891243"/>
      <w:bookmarkStart w:id="289" w:name="_Toc296891031"/>
      <w:bookmarkStart w:id="290" w:name="_Toc296346704"/>
      <w:bookmarkStart w:id="291" w:name="_Toc297123545"/>
      <w:bookmarkStart w:id="292" w:name="_Toc296944542"/>
      <w:bookmarkStart w:id="293" w:name="_Toc296503203"/>
      <w:bookmarkStart w:id="294" w:name="_Toc297120503"/>
      <w:bookmarkStart w:id="295" w:name="_Toc292559913"/>
      <w:bookmarkStart w:id="296" w:name="_Toc297216204"/>
      <w:r>
        <w:rPr>
          <w:rFonts w:hint="eastAsia" w:ascii="仿宋" w:hAnsi="仿宋" w:eastAsia="仿宋" w:cs="仿宋"/>
          <w:color w:val="auto"/>
          <w:sz w:val="24"/>
          <w:szCs w:val="24"/>
          <w:highlight w:val="none"/>
        </w:rPr>
        <w:t>包人的合理化建议</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w:t>
      </w:r>
      <w:bookmarkStart w:id="297" w:name="_Toc292559409"/>
      <w:bookmarkStart w:id="298" w:name="_Toc296891244"/>
      <w:bookmarkStart w:id="299" w:name="_Toc318581175"/>
      <w:bookmarkStart w:id="300" w:name="_Toc296944543"/>
      <w:bookmarkStart w:id="301" w:name="_Toc296347203"/>
      <w:bookmarkStart w:id="302" w:name="_Toc300934995"/>
      <w:bookmarkStart w:id="303" w:name="_Toc297216205"/>
      <w:bookmarkStart w:id="304" w:name="_Toc296346705"/>
      <w:bookmarkStart w:id="305" w:name="_Toc297048390"/>
      <w:bookmarkStart w:id="306" w:name="_Toc297123546"/>
      <w:bookmarkStart w:id="307" w:name="_Toc303539152"/>
      <w:bookmarkStart w:id="308" w:name="_Toc296503204"/>
      <w:bookmarkStart w:id="309" w:name="_Toc304295571"/>
      <w:bookmarkStart w:id="310" w:name="_Toc296891032"/>
      <w:bookmarkStart w:id="311" w:name="_Toc312678030"/>
      <w:bookmarkStart w:id="312" w:name="_Toc292559914"/>
      <w:bookmarkStart w:id="313" w:name="_Toc312677504"/>
      <w:bookmarkStart w:id="314" w:name="_Toc297120504"/>
      <w:r>
        <w:rPr>
          <w:rFonts w:hint="eastAsia" w:ascii="仿宋" w:hAnsi="仿宋" w:eastAsia="仿宋" w:cs="仿宋"/>
          <w:color w:val="auto"/>
          <w:sz w:val="24"/>
          <w:szCs w:val="24"/>
          <w:highlight w:val="none"/>
        </w:rPr>
        <w:t>包人提出的合理化建议降低了合同价格或者提高了工程经济效益的奖励的方法和金额为：</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315" w:name="_Toc297048385"/>
      <w:bookmarkStart w:id="316" w:name="_Toc296503199"/>
      <w:bookmarkStart w:id="317" w:name="_Toc312678033"/>
      <w:bookmarkStart w:id="318" w:name="_Toc297120499"/>
      <w:bookmarkStart w:id="319" w:name="_Toc312677507"/>
      <w:bookmarkStart w:id="320" w:name="_Toc296891239"/>
      <w:bookmarkStart w:id="321" w:name="_Toc296347198"/>
      <w:bookmarkStart w:id="322" w:name="_Toc297123548"/>
      <w:bookmarkStart w:id="323" w:name="_Toc296346700"/>
      <w:bookmarkStart w:id="324" w:name="_Toc300934997"/>
      <w:bookmarkStart w:id="325" w:name="_Toc304295574"/>
      <w:bookmarkStart w:id="326" w:name="_Toc292559909"/>
      <w:bookmarkStart w:id="327" w:name="_Toc296891027"/>
      <w:bookmarkStart w:id="328" w:name="_Toc296944538"/>
      <w:bookmarkStart w:id="329" w:name="_Toc292559404"/>
      <w:bookmarkStart w:id="330" w:name="_Toc297216207"/>
      <w:bookmarkStart w:id="331" w:name="_Toc303539154"/>
      <w:r>
        <w:rPr>
          <w:rFonts w:hint="eastAsia" w:ascii="仿宋" w:hAnsi="仿宋" w:eastAsia="仿宋" w:cs="仿宋"/>
          <w:color w:val="auto"/>
          <w:sz w:val="24"/>
          <w:szCs w:val="24"/>
          <w:highlight w:val="none"/>
        </w:rPr>
        <w:t>0.7 暂估价</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w:t>
      </w:r>
      <w:bookmarkStart w:id="332" w:name="_Toc312678034"/>
      <w:bookmarkStart w:id="333" w:name="_Toc318581176"/>
      <w:bookmarkStart w:id="334" w:name="_Toc312677508"/>
      <w:r>
        <w:rPr>
          <w:rFonts w:hint="eastAsia" w:ascii="仿宋" w:hAnsi="仿宋" w:eastAsia="仿宋" w:cs="仿宋"/>
          <w:color w:val="auto"/>
          <w:sz w:val="24"/>
          <w:szCs w:val="24"/>
          <w:highlight w:val="none"/>
        </w:rPr>
        <w:t>估价材料和工程设备的明细详见附件11：《暂估价一览表》。</w:t>
      </w:r>
    </w:p>
    <w:bookmarkEnd w:id="332"/>
    <w:bookmarkEnd w:id="333"/>
    <w:bookmarkEnd w:id="33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335" w:name="_Toc312678035"/>
      <w:bookmarkStart w:id="336" w:name="_Toc312677509"/>
      <w:bookmarkStart w:id="337" w:name="_Toc318581177"/>
      <w:r>
        <w:rPr>
          <w:rFonts w:hint="eastAsia" w:ascii="仿宋" w:hAnsi="仿宋" w:eastAsia="仿宋" w:cs="仿宋"/>
          <w:color w:val="auto"/>
          <w:sz w:val="24"/>
          <w:szCs w:val="24"/>
          <w:highlight w:val="none"/>
        </w:rPr>
        <w:t>0.7.1 依法必须招标的暂估价项目</w:t>
      </w:r>
    </w:p>
    <w:bookmarkEnd w:id="335"/>
    <w:bookmarkEnd w:id="336"/>
    <w:bookmarkEnd w:id="33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10.7.2 不属于依法必须招标的暂估价项目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第3种方式：承包人直接实施的暂估价项目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 暂列金额</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合同当事人关于暂列金额使用的约定：</w:t>
      </w:r>
    </w:p>
    <w:p>
      <w:pPr>
        <w:keepNext w:val="0"/>
        <w:keepLines w:val="0"/>
        <w:pageBreakBefore w:val="0"/>
        <w:widowControl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338" w:name="_Toc351203643"/>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价格调整</w:t>
      </w:r>
      <w:bookmarkEnd w:id="338"/>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339" w:name="_Toc296346702"/>
      <w:bookmarkStart w:id="340" w:name="_Toc296891029"/>
      <w:bookmarkStart w:id="341" w:name="_Toc304295577"/>
      <w:bookmarkStart w:id="342" w:name="_Toc296891241"/>
      <w:bookmarkStart w:id="343" w:name="_Toc297048387"/>
      <w:bookmarkStart w:id="344" w:name="_Toc297120501"/>
      <w:bookmarkStart w:id="345" w:name="_Toc300935000"/>
      <w:bookmarkStart w:id="346" w:name="_Toc296347200"/>
      <w:bookmarkStart w:id="347" w:name="_Toc296944540"/>
      <w:bookmarkStart w:id="348" w:name="_Toc312678039"/>
      <w:bookmarkStart w:id="349" w:name="_Toc296503201"/>
      <w:bookmarkStart w:id="350" w:name="_Toc292559911"/>
      <w:bookmarkStart w:id="351" w:name="_Toc297216209"/>
      <w:bookmarkStart w:id="352" w:name="_Toc297123550"/>
      <w:bookmarkStart w:id="353" w:name="_Toc292559406"/>
      <w:bookmarkStart w:id="354" w:name="_Toc303539157"/>
      <w:r>
        <w:rPr>
          <w:rFonts w:hint="eastAsia" w:ascii="仿宋" w:hAnsi="仿宋" w:eastAsia="仿宋" w:cs="仿宋"/>
          <w:color w:val="auto"/>
          <w:sz w:val="24"/>
          <w:szCs w:val="24"/>
          <w:highlight w:val="none"/>
        </w:rPr>
        <w:t>11.1 市场价格波动引起的调整</w:t>
      </w: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种方式对合同价格进行调整：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关于各可调因子、定值和变值权重，以及基本价格指数及其来源的约定：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第3种方式：其他价格调整方式：</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355" w:name="_Toc296503205"/>
      <w:bookmarkStart w:id="356" w:name="_Toc296891245"/>
      <w:bookmarkStart w:id="357" w:name="_Toc296891033"/>
      <w:bookmarkStart w:id="358" w:name="_Toc296347204"/>
      <w:bookmarkStart w:id="359" w:name="_Toc292559410"/>
      <w:bookmarkStart w:id="360" w:name="_Toc296346706"/>
      <w:bookmarkStart w:id="361" w:name="_Toc297048391"/>
      <w:bookmarkStart w:id="362" w:name="_Toc292559915"/>
      <w:bookmarkStart w:id="363" w:name="_Toc296944544"/>
      <w:bookmarkStart w:id="364" w:name="_Toc297120505"/>
      <w:bookmarkStart w:id="365" w:name="_Toc351203644"/>
      <w:bookmarkStart w:id="366" w:name="_Toc297123552"/>
      <w:bookmarkStart w:id="367" w:name="_Toc297216211"/>
      <w:bookmarkStart w:id="368" w:name="_Toc304295579"/>
      <w:bookmarkStart w:id="369" w:name="_Toc303539159"/>
      <w:bookmarkStart w:id="370" w:name="_Toc312678040"/>
      <w:bookmarkStart w:id="371" w:name="_Toc300935002"/>
      <w:r>
        <w:rPr>
          <w:rFonts w:hint="eastAsia" w:ascii="仿宋" w:hAnsi="仿宋" w:eastAsia="仿宋" w:cs="仿宋"/>
          <w:b/>
          <w:color w:val="auto"/>
          <w:sz w:val="24"/>
          <w:szCs w:val="24"/>
          <w:highlight w:val="none"/>
        </w:rPr>
        <w:t xml:space="preserve">12. </w:t>
      </w:r>
      <w:bookmarkEnd w:id="355"/>
      <w:bookmarkEnd w:id="356"/>
      <w:bookmarkEnd w:id="357"/>
      <w:bookmarkEnd w:id="358"/>
      <w:bookmarkEnd w:id="359"/>
      <w:bookmarkEnd w:id="360"/>
      <w:bookmarkEnd w:id="361"/>
      <w:bookmarkEnd w:id="362"/>
      <w:bookmarkEnd w:id="363"/>
      <w:bookmarkEnd w:id="364"/>
      <w:r>
        <w:rPr>
          <w:rFonts w:hint="eastAsia" w:ascii="仿宋" w:hAnsi="仿宋" w:eastAsia="仿宋" w:cs="仿宋"/>
          <w:b/>
          <w:color w:val="auto"/>
          <w:sz w:val="24"/>
          <w:szCs w:val="24"/>
          <w:highlight w:val="none"/>
        </w:rPr>
        <w:t>合同价格、计量与支付</w:t>
      </w:r>
      <w:bookmarkEnd w:id="365"/>
    </w:p>
    <w:bookmarkEnd w:id="366"/>
    <w:bookmarkEnd w:id="367"/>
    <w:bookmarkEnd w:id="368"/>
    <w:bookmarkEnd w:id="369"/>
    <w:bookmarkEnd w:id="370"/>
    <w:bookmarkEnd w:id="371"/>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372" w:name="_Toc292559916"/>
      <w:bookmarkStart w:id="373" w:name="_Toc267251461"/>
      <w:bookmarkStart w:id="374" w:name="_Toc292559411"/>
      <w:bookmarkStart w:id="375" w:name="_Toc296346707"/>
      <w:bookmarkStart w:id="376" w:name="_Toc296347205"/>
      <w:bookmarkStart w:id="377" w:name="_Toc297048392"/>
      <w:bookmarkStart w:id="378" w:name="_Toc296891246"/>
      <w:bookmarkStart w:id="379" w:name="_Toc296503206"/>
      <w:bookmarkStart w:id="380" w:name="_Toc296891034"/>
      <w:bookmarkStart w:id="381" w:name="_Toc296944545"/>
      <w:bookmarkStart w:id="382" w:name="_Toc297120506"/>
      <w:bookmarkStart w:id="383" w:name="_Toc303539160"/>
      <w:bookmarkStart w:id="384" w:name="_Toc304295580"/>
      <w:bookmarkStart w:id="385" w:name="_Toc300935003"/>
      <w:bookmarkStart w:id="386" w:name="_Toc297216212"/>
      <w:bookmarkStart w:id="387" w:name="_Toc312678041"/>
      <w:bookmarkStart w:id="388" w:name="_Toc297123553"/>
      <w:r>
        <w:rPr>
          <w:rFonts w:hint="eastAsia" w:ascii="仿宋" w:hAnsi="仿宋" w:eastAsia="仿宋" w:cs="仿宋"/>
          <w:color w:val="auto"/>
          <w:sz w:val="24"/>
          <w:szCs w:val="24"/>
          <w:highlight w:val="none"/>
        </w:rPr>
        <w:t>12.1 合</w:t>
      </w:r>
      <w:bookmarkEnd w:id="372"/>
      <w:bookmarkEnd w:id="373"/>
      <w:bookmarkEnd w:id="374"/>
      <w:r>
        <w:rPr>
          <w:rFonts w:hint="eastAsia" w:ascii="仿宋" w:hAnsi="仿宋" w:eastAsia="仿宋" w:cs="仿宋"/>
          <w:color w:val="auto"/>
          <w:sz w:val="24"/>
          <w:szCs w:val="24"/>
          <w:highlight w:val="none"/>
        </w:rPr>
        <w:t>同价</w:t>
      </w:r>
      <w:bookmarkEnd w:id="375"/>
      <w:bookmarkEnd w:id="376"/>
      <w:bookmarkEnd w:id="377"/>
      <w:bookmarkEnd w:id="378"/>
      <w:bookmarkEnd w:id="379"/>
      <w:bookmarkEnd w:id="380"/>
      <w:bookmarkEnd w:id="381"/>
      <w:bookmarkEnd w:id="382"/>
      <w:r>
        <w:rPr>
          <w:rFonts w:hint="eastAsia" w:ascii="仿宋" w:hAnsi="仿宋" w:eastAsia="仿宋" w:cs="仿宋"/>
          <w:color w:val="auto"/>
          <w:sz w:val="24"/>
          <w:szCs w:val="24"/>
          <w:highlight w:val="none"/>
        </w:rPr>
        <w:t>格形式</w:t>
      </w:r>
    </w:p>
    <w:bookmarkEnd w:id="383"/>
    <w:bookmarkEnd w:id="384"/>
    <w:bookmarkEnd w:id="385"/>
    <w:bookmarkEnd w:id="386"/>
    <w:bookmarkEnd w:id="387"/>
    <w:bookmarkEnd w:id="388"/>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综合单价包含的风险范围：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本合同为           ，结算时按实际工程量结算。当工程量偏差在15%以内，结算时按实际完成的工程量乘以综合单价，当工程量增加15%以上时，增加部分的工程量的综合单价应予调低；当工程量减少15%以上时，减少后剩余部分的工程量的综合单价应予调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风险费用的计算方法：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总价包含的风险范围：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风险费用的计算方法：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p>
    <w:p>
      <w:pPr>
        <w:keepNext w:val="0"/>
        <w:keepLines w:val="0"/>
        <w:pageBreakBefore w:val="0"/>
        <w:widowControl w:val="0"/>
        <w:kinsoku/>
        <w:wordWrap/>
        <w:overflowPunct/>
        <w:topLinePunct w:val="0"/>
        <w:bidi w:val="0"/>
        <w:spacing w:line="360" w:lineRule="auto"/>
        <w:ind w:left="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389" w:name="_Toc304295581"/>
      <w:bookmarkStart w:id="390" w:name="_Toc297123554"/>
      <w:bookmarkStart w:id="391" w:name="_Toc312678042"/>
      <w:bookmarkStart w:id="392" w:name="_Toc297216213"/>
      <w:bookmarkStart w:id="393" w:name="_Toc300935004"/>
      <w:bookmarkStart w:id="394" w:name="_Toc303539161"/>
      <w:bookmarkStart w:id="395" w:name="_Toc292559917"/>
      <w:bookmarkStart w:id="396" w:name="_Toc296503207"/>
      <w:bookmarkStart w:id="397" w:name="_Toc296346708"/>
      <w:bookmarkStart w:id="398" w:name="_Toc297120507"/>
      <w:bookmarkStart w:id="399" w:name="_Toc296944546"/>
      <w:bookmarkStart w:id="400" w:name="_Toc296891035"/>
      <w:bookmarkStart w:id="401" w:name="_Toc296891247"/>
      <w:bookmarkStart w:id="402" w:name="_Toc297048393"/>
      <w:bookmarkStart w:id="403" w:name="_Toc296347206"/>
      <w:bookmarkStart w:id="404" w:name="_Toc292559412"/>
      <w:r>
        <w:rPr>
          <w:rFonts w:hint="eastAsia" w:ascii="仿宋" w:hAnsi="仿宋" w:eastAsia="仿宋" w:cs="仿宋"/>
          <w:color w:val="auto"/>
          <w:sz w:val="24"/>
          <w:szCs w:val="24"/>
          <w:highlight w:val="none"/>
        </w:rPr>
        <w:t>12.2 预付款</w:t>
      </w:r>
    </w:p>
    <w:bookmarkEnd w:id="389"/>
    <w:bookmarkEnd w:id="390"/>
    <w:bookmarkEnd w:id="391"/>
    <w:bookmarkEnd w:id="392"/>
    <w:bookmarkEnd w:id="393"/>
    <w:bookmarkEnd w:id="39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预付款扣回的方式：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12.2.2 预付款担保</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承包人提交预付款担保的期限：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预付款担保的形式为：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95"/>
    <w:bookmarkEnd w:id="396"/>
    <w:bookmarkEnd w:id="397"/>
    <w:bookmarkEnd w:id="398"/>
    <w:bookmarkEnd w:id="399"/>
    <w:bookmarkEnd w:id="400"/>
    <w:bookmarkEnd w:id="401"/>
    <w:bookmarkEnd w:id="402"/>
    <w:bookmarkEnd w:id="403"/>
    <w:bookmarkEnd w:id="404"/>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12.3.4 总价合同的计量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12.3.5总价合同采用支付分解表计量支付的，是否适用第12.3.4 项〔总价合同的计量〕约定进行计量：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12.3.6 其他价格形式合同的计量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其他价格形式的计量方式和程序：</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405" w:name="_Toc297048397"/>
      <w:bookmarkStart w:id="406" w:name="_Toc297120511"/>
      <w:bookmarkStart w:id="407" w:name="_Toc296944550"/>
      <w:bookmarkStart w:id="408" w:name="_Toc296347210"/>
      <w:bookmarkStart w:id="409" w:name="_Toc292559921"/>
      <w:bookmarkStart w:id="410" w:name="_Toc292559416"/>
      <w:bookmarkStart w:id="411" w:name="_Toc297216215"/>
      <w:bookmarkStart w:id="412" w:name="_Toc297123556"/>
      <w:bookmarkStart w:id="413" w:name="_Toc300935006"/>
      <w:bookmarkStart w:id="414" w:name="_Toc303539163"/>
      <w:bookmarkStart w:id="415" w:name="_Toc296891039"/>
      <w:bookmarkStart w:id="416" w:name="_Toc296503211"/>
      <w:bookmarkStart w:id="417" w:name="_Toc296891251"/>
      <w:bookmarkStart w:id="418" w:name="_Toc296346712"/>
      <w:r>
        <w:rPr>
          <w:rFonts w:hint="eastAsia" w:ascii="仿宋" w:hAnsi="仿宋" w:eastAsia="仿宋" w:cs="仿宋"/>
          <w:color w:val="auto"/>
          <w:sz w:val="24"/>
          <w:szCs w:val="24"/>
          <w:highlight w:val="none"/>
        </w:rPr>
        <w:t>12.4.1 付款周期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z w:val="24"/>
          <w:szCs w:val="24"/>
          <w:highlight w:val="none"/>
          <w:u w:val="single"/>
        </w:rPr>
        <w:t xml:space="preserve"> 项目完工后付项目金额的97%，剩余3%缺陷维护期满后支付</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关于进度付款申请单编制的约定：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ascii="仿宋" w:hAnsi="仿宋" w:eastAsia="仿宋" w:cs="仿宋"/>
          <w:color w:val="auto"/>
          <w:sz w:val="24"/>
          <w:szCs w:val="24"/>
          <w:highlight w:val="none"/>
        </w:rPr>
        <w:t>2.4.3 进度付款申请单的提交</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（3）其他价格形式合同进度付款申请单提交的约定：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发包人完成审批并签发进度款支付证书的期限：</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600" w:firstLineChars="2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发包人逾期支付进度款的违约金的计算方式：</w:t>
      </w:r>
    </w:p>
    <w:p>
      <w:pPr>
        <w:keepNext w:val="0"/>
        <w:keepLines w:val="0"/>
        <w:pageBreakBefore w:val="0"/>
        <w:widowControl w:val="0"/>
        <w:kinsoku/>
        <w:wordWrap/>
        <w:overflowPunct/>
        <w:topLinePunct w:val="0"/>
        <w:bidi w:val="0"/>
        <w:spacing w:line="360" w:lineRule="auto"/>
        <w:ind w:left="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numPr>
          <w:ilvl w:val="2"/>
          <w:numId w:val="43"/>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支付分解表的编制</w:t>
      </w:r>
    </w:p>
    <w:p>
      <w:pPr>
        <w:keepNext w:val="0"/>
        <w:keepLines w:val="0"/>
        <w:pageBreakBefore w:val="0"/>
        <w:widowControl w:val="0"/>
        <w:numPr>
          <w:ilvl w:val="0"/>
          <w:numId w:val="4"/>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总价合同支付分解表的编制与审批：</w:t>
      </w:r>
    </w:p>
    <w:p>
      <w:pPr>
        <w:keepNext w:val="0"/>
        <w:keepLines w:val="0"/>
        <w:pageBreakBefore w:val="0"/>
        <w:widowControl w:val="0"/>
        <w:kinsoku/>
        <w:wordWrap/>
        <w:overflowPunct/>
        <w:topLinePunct w:val="0"/>
        <w:bidi w:val="0"/>
        <w:spacing w:line="360" w:lineRule="auto"/>
        <w:ind w:left="11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numPr>
          <w:ilvl w:val="0"/>
          <w:numId w:val="4"/>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单价合同的总价项目支付分解表的编制与审批：</w:t>
      </w:r>
    </w:p>
    <w:p>
      <w:pPr>
        <w:keepNext w:val="0"/>
        <w:keepLines w:val="0"/>
        <w:pageBreakBefore w:val="0"/>
        <w:widowControl w:val="0"/>
        <w:kinsoku/>
        <w:wordWrap/>
        <w:overflowPunct/>
        <w:topLinePunct w:val="0"/>
        <w:bidi w:val="0"/>
        <w:spacing w:line="360" w:lineRule="auto"/>
        <w:ind w:left="11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419" w:name="_Toc351203645"/>
      <w:bookmarkStart w:id="420" w:name="_Toc292559424"/>
      <w:bookmarkStart w:id="421" w:name="_Toc297216223"/>
      <w:bookmarkStart w:id="422" w:name="_Toc296503219"/>
      <w:bookmarkStart w:id="423" w:name="_Toc304295593"/>
      <w:bookmarkStart w:id="424" w:name="_Toc297123564"/>
      <w:bookmarkStart w:id="425" w:name="_Toc296347218"/>
      <w:bookmarkStart w:id="426" w:name="_Toc296346720"/>
      <w:bookmarkStart w:id="427" w:name="_Toc292559929"/>
      <w:bookmarkStart w:id="428" w:name="_Toc296944558"/>
      <w:bookmarkStart w:id="429" w:name="_Toc297048405"/>
      <w:bookmarkStart w:id="430" w:name="_Toc296891047"/>
      <w:bookmarkStart w:id="431" w:name="_Toc297120519"/>
      <w:bookmarkStart w:id="432" w:name="_Toc296891259"/>
      <w:bookmarkStart w:id="433" w:name="_Toc312678053"/>
      <w:bookmarkStart w:id="434" w:name="_Toc303539172"/>
      <w:bookmarkStart w:id="435" w:name="_Toc300935015"/>
      <w:r>
        <w:rPr>
          <w:rFonts w:hint="eastAsia" w:ascii="仿宋" w:hAnsi="仿宋" w:eastAsia="仿宋" w:cs="仿宋"/>
          <w:b/>
          <w:color w:val="auto"/>
          <w:sz w:val="24"/>
          <w:szCs w:val="24"/>
          <w:highlight w:val="none"/>
        </w:rPr>
        <w:t>13. 验收和工程试车</w:t>
      </w:r>
      <w:bookmarkEnd w:id="419"/>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436" w:name="_Toc296891051"/>
      <w:bookmarkStart w:id="437" w:name="_Toc297048409"/>
      <w:bookmarkStart w:id="438" w:name="_Toc304295596"/>
      <w:bookmarkStart w:id="439" w:name="_Toc296346724"/>
      <w:bookmarkStart w:id="440" w:name="_Toc300935016"/>
      <w:bookmarkStart w:id="441" w:name="_Toc297120523"/>
      <w:bookmarkStart w:id="442" w:name="_Toc296891263"/>
      <w:bookmarkStart w:id="443" w:name="_Toc297123565"/>
      <w:bookmarkStart w:id="444" w:name="_Toc296503223"/>
      <w:bookmarkStart w:id="445" w:name="_Toc296944562"/>
      <w:bookmarkStart w:id="446" w:name="_Toc292559933"/>
      <w:bookmarkStart w:id="447" w:name="_Toc292559428"/>
      <w:bookmarkStart w:id="448" w:name="_Toc312678056"/>
      <w:bookmarkStart w:id="449" w:name="_Toc297216224"/>
      <w:bookmarkStart w:id="450" w:name="_Toc296347222"/>
      <w:bookmarkStart w:id="451" w:name="_Toc303539173"/>
      <w:bookmarkStart w:id="452" w:name="_Toc267251473"/>
      <w:bookmarkStart w:id="453" w:name="_Toc267251476"/>
      <w:bookmarkStart w:id="454" w:name="_Toc267251475"/>
      <w:bookmarkStart w:id="455" w:name="_Toc267251471"/>
      <w:bookmarkStart w:id="456" w:name="_Toc267251472"/>
      <w:bookmarkStart w:id="457" w:name="_Toc267251470"/>
      <w:bookmarkStart w:id="458" w:name="_Toc267251474"/>
      <w:r>
        <w:rPr>
          <w:rFonts w:hint="eastAsia" w:ascii="仿宋" w:hAnsi="仿宋" w:eastAsia="仿宋" w:cs="仿宋"/>
          <w:color w:val="auto"/>
          <w:sz w:val="24"/>
          <w:szCs w:val="24"/>
          <w:highlight w:val="none"/>
        </w:rPr>
        <w:t>13.2 竣工验收</w:t>
      </w:r>
    </w:p>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459" w:name="_Toc280868704"/>
      <w:bookmarkStart w:id="460" w:name="_Toc280868705"/>
      <w:bookmarkStart w:id="461" w:name="_Toc280868706"/>
      <w:bookmarkStart w:id="462" w:name="_Toc280868707"/>
      <w:bookmarkStart w:id="463" w:name="_Toc280868708"/>
      <w:bookmarkStart w:id="464" w:name="_Toc280868709"/>
      <w:r>
        <w:rPr>
          <w:rFonts w:hint="eastAsia" w:ascii="仿宋" w:hAnsi="仿宋" w:eastAsia="仿宋" w:cs="仿宋"/>
          <w:color w:val="auto"/>
          <w:sz w:val="24"/>
          <w:szCs w:val="24"/>
          <w:highlight w:val="none"/>
        </w:rPr>
        <w:t>13.2.2竣工验收程序</w:t>
      </w:r>
    </w:p>
    <w:bookmarkEnd w:id="459"/>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关于竣工验收程序的约定：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发包人不按照本项约定组织竣工验收、颁发工程接收证书的违约金的计算方法：</w:t>
      </w:r>
    </w:p>
    <w:bookmarkEnd w:id="460"/>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461"/>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发包人未按本合同约定接收全部或部分工程的，违约金的计算方法为：</w:t>
      </w:r>
    </w:p>
    <w:bookmarkEnd w:id="462"/>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承包人未按时移交工程的，违约金的计算方法为：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工程试车</w:t>
      </w:r>
    </w:p>
    <w:bookmarkEnd w:id="463"/>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试车程序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工程试车内容：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（1）单机无负荷试车费用由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（2）无负荷联动试车费用由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投料试车</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关于投料试车相关事项的约定：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竣工退场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竣工退场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465" w:name="_Toc351203646"/>
      <w:r>
        <w:rPr>
          <w:rFonts w:hint="eastAsia" w:ascii="仿宋" w:hAnsi="仿宋" w:eastAsia="仿宋" w:cs="仿宋"/>
          <w:b/>
          <w:color w:val="auto"/>
          <w:sz w:val="24"/>
          <w:szCs w:val="24"/>
          <w:highlight w:val="none"/>
        </w:rPr>
        <w:t>14. 竣工结算</w:t>
      </w:r>
      <w:bookmarkEnd w:id="465"/>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竣工付款申请</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竣工付款申请单应包括的内容：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竣工结算审核</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关于竣工付款证书异议部分复核的方式和程序：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最终结清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14.4.1 最终结清申请单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52"/>
    <w:bookmarkEnd w:id="453"/>
    <w:bookmarkEnd w:id="454"/>
    <w:bookmarkEnd w:id="455"/>
    <w:bookmarkEnd w:id="456"/>
    <w:bookmarkEnd w:id="457"/>
    <w:bookmarkEnd w:id="458"/>
    <w:bookmarkEnd w:id="464"/>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466" w:name="_Toc351203647"/>
      <w:bookmarkStart w:id="467" w:name="_Toc267251483"/>
      <w:bookmarkStart w:id="468" w:name="_Toc267251482"/>
      <w:bookmarkStart w:id="469" w:name="_Toc267251484"/>
      <w:bookmarkStart w:id="470" w:name="_Toc267251485"/>
      <w:bookmarkStart w:id="471" w:name="_Toc267251488"/>
      <w:bookmarkStart w:id="472" w:name="_Toc267251490"/>
      <w:bookmarkStart w:id="473" w:name="_Toc267251486"/>
      <w:bookmarkStart w:id="474" w:name="_Toc267251489"/>
      <w:bookmarkStart w:id="475" w:name="_Toc267251501"/>
      <w:bookmarkStart w:id="476" w:name="_Toc267251498"/>
      <w:bookmarkStart w:id="477" w:name="_Toc267251493"/>
      <w:bookmarkStart w:id="478" w:name="_Toc267251491"/>
      <w:bookmarkStart w:id="479" w:name="_Toc267251496"/>
      <w:bookmarkStart w:id="480" w:name="_Toc267251497"/>
      <w:bookmarkStart w:id="481" w:name="_Toc267251492"/>
      <w:bookmarkStart w:id="482" w:name="_Toc267251494"/>
      <w:bookmarkStart w:id="483" w:name="_Toc267251503"/>
      <w:bookmarkStart w:id="484" w:name="_Toc267251495"/>
      <w:bookmarkStart w:id="485" w:name="_Toc267251499"/>
      <w:bookmarkStart w:id="486" w:name="_Toc267251502"/>
      <w:bookmarkStart w:id="487" w:name="_Toc267251504"/>
      <w:bookmarkStart w:id="488" w:name="_Toc267251506"/>
      <w:bookmarkStart w:id="489" w:name="_Toc267251507"/>
      <w:bookmarkStart w:id="490" w:name="_Toc267251508"/>
      <w:bookmarkStart w:id="491" w:name="_Toc267251515"/>
      <w:bookmarkStart w:id="492" w:name="_Toc267251509"/>
      <w:bookmarkStart w:id="493" w:name="_Toc267251511"/>
      <w:bookmarkStart w:id="494" w:name="_Toc267251514"/>
      <w:bookmarkStart w:id="495" w:name="_Toc267251510"/>
      <w:bookmarkStart w:id="496" w:name="_Toc267251513"/>
      <w:r>
        <w:rPr>
          <w:rFonts w:hint="eastAsia" w:ascii="仿宋" w:hAnsi="仿宋" w:eastAsia="仿宋" w:cs="仿宋"/>
          <w:b/>
          <w:color w:val="auto"/>
          <w:sz w:val="24"/>
          <w:szCs w:val="24"/>
          <w:highlight w:val="none"/>
        </w:rPr>
        <w:t>15. 缺陷责任期与保修</w:t>
      </w:r>
      <w:bookmarkEnd w:id="466"/>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15.2缺陷责任期</w:t>
      </w:r>
      <w:bookmarkEnd w:id="467"/>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缺陷责任期的具体期限：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质量保证金</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承包人提供质量保证金的方式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种方式：</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（1）质量保证金保函，保证金额为：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%的工程款；</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（3）其他方式: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15.3.2 质量保证金的扣留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（1）在支付工程进度款时逐次扣留，在此情形下，质量保证金的计算基数不包括预付款的支付、扣回以及价格调整的金额；</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（2）工程竣工结算时一次性扣留质量保证金；</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（3）其他扣留方式: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关于质量保证金的补充约定：</w:t>
      </w:r>
    </w:p>
    <w:bookmarkEnd w:id="468"/>
    <w:bookmarkEnd w:id="469"/>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15.4保修</w:t>
      </w:r>
    </w:p>
    <w:bookmarkEnd w:id="470"/>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保修责任</w:t>
      </w:r>
    </w:p>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工程保修期为：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修复通知</w:t>
      </w:r>
    </w:p>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承包人收到保修通知并到达工程现场的合理时间：</w:t>
      </w:r>
    </w:p>
    <w:bookmarkEnd w:id="471"/>
    <w:bookmarkEnd w:id="472"/>
    <w:bookmarkEnd w:id="473"/>
    <w:bookmarkEnd w:id="47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bookmarkStart w:id="497" w:name="_Toc351203648"/>
      <w:bookmarkStart w:id="498" w:name="_Toc280868717"/>
      <w:bookmarkStart w:id="499" w:name="_Toc280868718"/>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违约</w:t>
      </w:r>
      <w:bookmarkEnd w:id="497"/>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发包人违约</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发包人违约的其他情形：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numPr>
          <w:ilvl w:val="2"/>
          <w:numId w:val="44"/>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发包人违约责任的承担方式和计算方法：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（1）因发包人原因未能在计划开工日期前7天内下达开工通知的违约责任：</w:t>
      </w:r>
    </w:p>
    <w:p>
      <w:pPr>
        <w:keepNext w:val="0"/>
        <w:keepLines w:val="0"/>
        <w:pageBreakBefore w:val="0"/>
        <w:widowControl w:val="0"/>
        <w:kinsoku/>
        <w:wordWrap/>
        <w:overflowPunct/>
        <w:topLinePunct w:val="0"/>
        <w:bidi w:val="0"/>
        <w:spacing w:line="360" w:lineRule="auto"/>
        <w:ind w:left="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（3）发包人违反第10.1款〔变更的范围〕第（2）项约定，自行实施被取消的工作或转由他人实施的违约责任：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（4）发包人提供的材料、工程设备的规格、数量或质量不符合合同约定，或因发包人原因导致交货日期延误或交货地点变更等情况的违约责任：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（5）因发包人违反合同约定造成暂停施工的违约责任：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（6）发包人无正当理由没有在约定期限内发出复工指示，导致承包人无法复工的违约责任：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承包人按16.1.1项〔发包人违约的情形〕约定暂停施工满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天后发包人仍不纠正其违约行为并致使合同目的不能实现的，承包人有权解除合同。</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承包人违约</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16.2.1 承包人违约的情形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承包人违约的其他情形：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16.2.2承包人违约的责任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承包人违约责任的承担方式和计算方法：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关于承包人违约解除合同的特别约定：</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发包人继续使用承包人在施工现场的材料、设备、临时工程、承包人文件和由承包人或以其名义编制的其他文件的费用承担方式：</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名义编制的其他文件的费用承担方式：</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500" w:name="_Toc351203649"/>
      <w:r>
        <w:rPr>
          <w:rFonts w:hint="eastAsia" w:ascii="仿宋" w:hAnsi="仿宋" w:eastAsia="仿宋" w:cs="仿宋"/>
          <w:b/>
          <w:color w:val="auto"/>
          <w:sz w:val="24"/>
          <w:szCs w:val="24"/>
          <w:highlight w:val="none"/>
        </w:rPr>
        <w:t>17. 不可抗力</w:t>
      </w:r>
      <w:bookmarkEnd w:id="500"/>
      <w:r>
        <w:rPr>
          <w:rFonts w:hint="eastAsia" w:ascii="仿宋" w:hAnsi="仿宋" w:eastAsia="仿宋" w:cs="仿宋"/>
          <w:b/>
          <w:color w:val="auto"/>
          <w:sz w:val="24"/>
          <w:szCs w:val="24"/>
          <w:highlight w:val="none"/>
        </w:rPr>
        <w:t xml:space="preserve"> </w:t>
      </w:r>
      <w:bookmarkEnd w:id="498"/>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除通用合同条款约定的不可抗力事件之外，视为不可抗力的其他情形：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因不可抗力解除合同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天内完成款项的支付。</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501" w:name="_Toc351203650"/>
      <w:r>
        <w:rPr>
          <w:rFonts w:hint="eastAsia" w:ascii="仿宋" w:hAnsi="仿宋" w:eastAsia="仿宋" w:cs="仿宋"/>
          <w:b/>
          <w:color w:val="auto"/>
          <w:sz w:val="24"/>
          <w:szCs w:val="24"/>
          <w:highlight w:val="none"/>
        </w:rPr>
        <w:t>18. 保险</w:t>
      </w:r>
      <w:bookmarkEnd w:id="501"/>
    </w:p>
    <w:bookmarkEnd w:id="49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其他保险</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关于其他保险的约定：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承包人是否应为其施工设备等办理财产保险：</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通知义务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关于变更保险合同时的通知义务的约定：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75"/>
    <w:bookmarkEnd w:id="476"/>
    <w:bookmarkEnd w:id="477"/>
    <w:bookmarkEnd w:id="478"/>
    <w:bookmarkEnd w:id="479"/>
    <w:bookmarkEnd w:id="480"/>
    <w:bookmarkEnd w:id="481"/>
    <w:bookmarkEnd w:id="482"/>
    <w:bookmarkEnd w:id="483"/>
    <w:bookmarkEnd w:id="484"/>
    <w:bookmarkEnd w:id="485"/>
    <w:bookmarkEnd w:id="486"/>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502" w:name="_Toc351203651"/>
      <w:r>
        <w:rPr>
          <w:rFonts w:hint="eastAsia" w:ascii="仿宋" w:hAnsi="仿宋" w:eastAsia="仿宋" w:cs="仿宋"/>
          <w:b/>
          <w:color w:val="auto"/>
          <w:sz w:val="24"/>
          <w:szCs w:val="24"/>
          <w:highlight w:val="none"/>
        </w:rPr>
        <w:t>20. 争议解决</w:t>
      </w:r>
      <w:bookmarkEnd w:id="502"/>
    </w:p>
    <w:bookmarkEnd w:id="487"/>
    <w:bookmarkEnd w:id="488"/>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争</w:t>
      </w:r>
      <w:bookmarkEnd w:id="489"/>
      <w:r>
        <w:rPr>
          <w:rFonts w:hint="eastAsia" w:ascii="仿宋" w:hAnsi="仿宋" w:eastAsia="仿宋" w:cs="仿宋"/>
          <w:color w:val="auto"/>
          <w:sz w:val="24"/>
          <w:szCs w:val="24"/>
          <w:highlight w:val="none"/>
        </w:rPr>
        <w:t>议评审</w:t>
      </w:r>
    </w:p>
    <w:p>
      <w:pPr>
        <w:keepNext w:val="0"/>
        <w:keepLines w:val="0"/>
        <w:pageBreakBefore w:val="0"/>
        <w:widowControl w:val="0"/>
        <w:kinsoku/>
        <w:wordWrap/>
        <w:overflowPunct/>
        <w:topLinePunct w:val="0"/>
        <w:bidi w:val="0"/>
        <w:spacing w:line="360" w:lineRule="auto"/>
        <w:ind w:left="149" w:leftChars="71" w:firstLine="360" w:firstLineChars="1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合同当事人是否同意将工程争议提交争议评审小组决定：</w:t>
      </w:r>
    </w:p>
    <w:p>
      <w:pPr>
        <w:keepNext w:val="0"/>
        <w:keepLines w:val="0"/>
        <w:pageBreakBefore w:val="0"/>
        <w:widowControl w:val="0"/>
        <w:kinsoku/>
        <w:wordWrap/>
        <w:overflowPunct/>
        <w:topLinePunct w:val="0"/>
        <w:bidi w:val="0"/>
        <w:spacing w:line="360" w:lineRule="auto"/>
        <w:ind w:left="149" w:leftChars="71" w:firstLine="360" w:firstLineChars="1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争议评审小组的确定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争议评审小组的决定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20.4仲裁或诉讼</w:t>
      </w:r>
      <w:bookmarkEnd w:id="490"/>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bookmarkEnd w:id="491"/>
      <w:bookmarkEnd w:id="492"/>
      <w:bookmarkEnd w:id="493"/>
      <w:bookmarkEnd w:id="494"/>
      <w:bookmarkEnd w:id="495"/>
      <w:bookmarkEnd w:id="496"/>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附件1：承包人承揽工程项目一览表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专用合同条款附件：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附件2：发包人供应材料设备一览表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附件3：工程质量保修书</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附件4：主要建设工程文件目录</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附件5：承包人用于本工程施工的机械设备表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附件6：承包人主要施工管理人员表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附件7：分包人主要施工管理人员表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附件8：履约担保格式</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附件9：预付款担保格式</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附件10：支付担保格式</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附件11：暂估价一览表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承包人承揽工程项目一览表</w:t>
      </w:r>
    </w:p>
    <w:tbl>
      <w:tblPr>
        <w:tblStyle w:val="6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7"/>
        <w:gridCol w:w="1120"/>
        <w:gridCol w:w="863"/>
        <w:gridCol w:w="1465"/>
        <w:gridCol w:w="517"/>
        <w:gridCol w:w="948"/>
        <w:gridCol w:w="1292"/>
        <w:gridCol w:w="861"/>
        <w:gridCol w:w="517"/>
        <w:gridCol w:w="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38"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单位工程名称</w:t>
            </w:r>
          </w:p>
        </w:tc>
        <w:tc>
          <w:tcPr>
            <w:tcW w:w="63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建设规模</w:t>
            </w:r>
          </w:p>
        </w:tc>
        <w:tc>
          <w:tcPr>
            <w:tcW w:w="486"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建筑面积(平方米)</w:t>
            </w:r>
          </w:p>
        </w:tc>
        <w:tc>
          <w:tcPr>
            <w:tcW w:w="825"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w:t>
            </w:r>
          </w:p>
        </w:tc>
        <w:tc>
          <w:tcPr>
            <w:tcW w:w="29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层数</w:t>
            </w:r>
          </w:p>
        </w:tc>
        <w:tc>
          <w:tcPr>
            <w:tcW w:w="534"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728"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设备安装内容</w:t>
            </w:r>
          </w:p>
        </w:tc>
        <w:tc>
          <w:tcPr>
            <w:tcW w:w="485"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合同价格（元）</w:t>
            </w:r>
          </w:p>
        </w:tc>
        <w:tc>
          <w:tcPr>
            <w:tcW w:w="29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29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63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486"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25"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29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534"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728"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485"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29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29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nil"/>
            </w:tcBorders>
            <w:noWrap w:val="0"/>
            <w:vAlign w:val="center"/>
          </w:tcPr>
          <w:p>
            <w:pPr>
              <w:rPr>
                <w:rFonts w:hint="eastAsia" w:ascii="仿宋" w:hAnsi="仿宋" w:eastAsia="仿宋" w:cs="仿宋"/>
                <w:color w:val="auto"/>
                <w:sz w:val="24"/>
                <w:szCs w:val="24"/>
                <w:highlight w:val="none"/>
              </w:rPr>
            </w:pPr>
          </w:p>
        </w:tc>
        <w:tc>
          <w:tcPr>
            <w:tcW w:w="631" w:type="pct"/>
            <w:tcBorders>
              <w:top w:val="nil"/>
            </w:tcBorders>
            <w:noWrap w:val="0"/>
            <w:vAlign w:val="center"/>
          </w:tcPr>
          <w:p>
            <w:pPr>
              <w:rPr>
                <w:rFonts w:hint="eastAsia" w:ascii="仿宋" w:hAnsi="仿宋" w:eastAsia="仿宋" w:cs="仿宋"/>
                <w:color w:val="auto"/>
                <w:sz w:val="24"/>
                <w:szCs w:val="24"/>
                <w:highlight w:val="none"/>
              </w:rPr>
            </w:pPr>
          </w:p>
        </w:tc>
        <w:tc>
          <w:tcPr>
            <w:tcW w:w="486" w:type="pct"/>
            <w:tcBorders>
              <w:top w:val="nil"/>
            </w:tcBorders>
            <w:noWrap w:val="0"/>
            <w:vAlign w:val="center"/>
          </w:tcPr>
          <w:p>
            <w:pPr>
              <w:rPr>
                <w:rFonts w:hint="eastAsia" w:ascii="仿宋" w:hAnsi="仿宋" w:eastAsia="仿宋" w:cs="仿宋"/>
                <w:color w:val="auto"/>
                <w:sz w:val="24"/>
                <w:szCs w:val="24"/>
                <w:highlight w:val="none"/>
              </w:rPr>
            </w:pPr>
          </w:p>
        </w:tc>
        <w:tc>
          <w:tcPr>
            <w:tcW w:w="82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534" w:type="pct"/>
            <w:tcBorders>
              <w:top w:val="nil"/>
            </w:tcBorders>
            <w:noWrap w:val="0"/>
            <w:vAlign w:val="center"/>
          </w:tcPr>
          <w:p>
            <w:pPr>
              <w:rPr>
                <w:rFonts w:hint="eastAsia" w:ascii="仿宋" w:hAnsi="仿宋" w:eastAsia="仿宋" w:cs="仿宋"/>
                <w:color w:val="auto"/>
                <w:sz w:val="24"/>
                <w:szCs w:val="24"/>
                <w:highlight w:val="none"/>
              </w:rPr>
            </w:pPr>
          </w:p>
        </w:tc>
        <w:tc>
          <w:tcPr>
            <w:tcW w:w="728" w:type="pct"/>
            <w:tcBorders>
              <w:top w:val="nil"/>
            </w:tcBorders>
            <w:noWrap w:val="0"/>
            <w:vAlign w:val="center"/>
          </w:tcPr>
          <w:p>
            <w:pPr>
              <w:rPr>
                <w:rFonts w:hint="eastAsia" w:ascii="仿宋" w:hAnsi="仿宋" w:eastAsia="仿宋" w:cs="仿宋"/>
                <w:color w:val="auto"/>
                <w:sz w:val="24"/>
                <w:szCs w:val="24"/>
                <w:highlight w:val="none"/>
              </w:rPr>
            </w:pPr>
          </w:p>
        </w:tc>
        <w:tc>
          <w:tcPr>
            <w:tcW w:w="48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nil"/>
            </w:tcBorders>
            <w:noWrap w:val="0"/>
            <w:vAlign w:val="center"/>
          </w:tcPr>
          <w:p>
            <w:pPr>
              <w:rPr>
                <w:rFonts w:hint="eastAsia" w:ascii="仿宋" w:hAnsi="仿宋" w:eastAsia="仿宋" w:cs="仿宋"/>
                <w:color w:val="auto"/>
                <w:sz w:val="24"/>
                <w:szCs w:val="24"/>
                <w:highlight w:val="none"/>
              </w:rPr>
            </w:pPr>
          </w:p>
        </w:tc>
        <w:tc>
          <w:tcPr>
            <w:tcW w:w="631" w:type="pct"/>
            <w:tcBorders>
              <w:top w:val="nil"/>
            </w:tcBorders>
            <w:noWrap w:val="0"/>
            <w:vAlign w:val="center"/>
          </w:tcPr>
          <w:p>
            <w:pPr>
              <w:rPr>
                <w:rFonts w:hint="eastAsia" w:ascii="仿宋" w:hAnsi="仿宋" w:eastAsia="仿宋" w:cs="仿宋"/>
                <w:color w:val="auto"/>
                <w:sz w:val="24"/>
                <w:szCs w:val="24"/>
                <w:highlight w:val="none"/>
              </w:rPr>
            </w:pPr>
          </w:p>
        </w:tc>
        <w:tc>
          <w:tcPr>
            <w:tcW w:w="486" w:type="pct"/>
            <w:tcBorders>
              <w:top w:val="nil"/>
            </w:tcBorders>
            <w:noWrap w:val="0"/>
            <w:vAlign w:val="center"/>
          </w:tcPr>
          <w:p>
            <w:pPr>
              <w:rPr>
                <w:rFonts w:hint="eastAsia" w:ascii="仿宋" w:hAnsi="仿宋" w:eastAsia="仿宋" w:cs="仿宋"/>
                <w:color w:val="auto"/>
                <w:sz w:val="24"/>
                <w:szCs w:val="24"/>
                <w:highlight w:val="none"/>
              </w:rPr>
            </w:pPr>
          </w:p>
        </w:tc>
        <w:tc>
          <w:tcPr>
            <w:tcW w:w="82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534" w:type="pct"/>
            <w:tcBorders>
              <w:top w:val="nil"/>
            </w:tcBorders>
            <w:noWrap w:val="0"/>
            <w:vAlign w:val="center"/>
          </w:tcPr>
          <w:p>
            <w:pPr>
              <w:rPr>
                <w:rFonts w:hint="eastAsia" w:ascii="仿宋" w:hAnsi="仿宋" w:eastAsia="仿宋" w:cs="仿宋"/>
                <w:color w:val="auto"/>
                <w:sz w:val="24"/>
                <w:szCs w:val="24"/>
                <w:highlight w:val="none"/>
              </w:rPr>
            </w:pPr>
          </w:p>
        </w:tc>
        <w:tc>
          <w:tcPr>
            <w:tcW w:w="728" w:type="pct"/>
            <w:tcBorders>
              <w:top w:val="nil"/>
            </w:tcBorders>
            <w:noWrap w:val="0"/>
            <w:vAlign w:val="center"/>
          </w:tcPr>
          <w:p>
            <w:pPr>
              <w:rPr>
                <w:rFonts w:hint="eastAsia" w:ascii="仿宋" w:hAnsi="仿宋" w:eastAsia="仿宋" w:cs="仿宋"/>
                <w:color w:val="auto"/>
                <w:sz w:val="24"/>
                <w:szCs w:val="24"/>
                <w:highlight w:val="none"/>
              </w:rPr>
            </w:pPr>
          </w:p>
        </w:tc>
        <w:tc>
          <w:tcPr>
            <w:tcW w:w="48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noWrap w:val="0"/>
            <w:vAlign w:val="center"/>
          </w:tcPr>
          <w:p>
            <w:pPr>
              <w:rPr>
                <w:rFonts w:hint="eastAsia" w:ascii="仿宋" w:hAnsi="仿宋" w:eastAsia="仿宋" w:cs="仿宋"/>
                <w:color w:val="auto"/>
                <w:sz w:val="24"/>
                <w:szCs w:val="24"/>
                <w:highlight w:val="none"/>
              </w:rPr>
            </w:pPr>
          </w:p>
        </w:tc>
        <w:tc>
          <w:tcPr>
            <w:tcW w:w="631" w:type="pct"/>
            <w:noWrap w:val="0"/>
            <w:vAlign w:val="center"/>
          </w:tcPr>
          <w:p>
            <w:pPr>
              <w:rPr>
                <w:rFonts w:hint="eastAsia" w:ascii="仿宋" w:hAnsi="仿宋" w:eastAsia="仿宋" w:cs="仿宋"/>
                <w:color w:val="auto"/>
                <w:sz w:val="24"/>
                <w:szCs w:val="24"/>
                <w:highlight w:val="none"/>
              </w:rPr>
            </w:pPr>
          </w:p>
        </w:tc>
        <w:tc>
          <w:tcPr>
            <w:tcW w:w="486" w:type="pct"/>
            <w:noWrap w:val="0"/>
            <w:vAlign w:val="center"/>
          </w:tcPr>
          <w:p>
            <w:pPr>
              <w:rPr>
                <w:rFonts w:hint="eastAsia" w:ascii="仿宋" w:hAnsi="仿宋" w:eastAsia="仿宋" w:cs="仿宋"/>
                <w:color w:val="auto"/>
                <w:sz w:val="24"/>
                <w:szCs w:val="24"/>
                <w:highlight w:val="none"/>
              </w:rPr>
            </w:pPr>
          </w:p>
        </w:tc>
        <w:tc>
          <w:tcPr>
            <w:tcW w:w="825" w:type="pct"/>
            <w:noWrap w:val="0"/>
            <w:vAlign w:val="center"/>
          </w:tcPr>
          <w:p>
            <w:pPr>
              <w:rPr>
                <w:rFonts w:hint="eastAsia" w:ascii="仿宋" w:hAnsi="仿宋" w:eastAsia="仿宋" w:cs="仿宋"/>
                <w:color w:val="auto"/>
                <w:sz w:val="24"/>
                <w:szCs w:val="24"/>
                <w:highlight w:val="none"/>
              </w:rPr>
            </w:pPr>
          </w:p>
        </w:tc>
        <w:tc>
          <w:tcPr>
            <w:tcW w:w="291" w:type="pct"/>
            <w:noWrap w:val="0"/>
            <w:vAlign w:val="center"/>
          </w:tcPr>
          <w:p>
            <w:pPr>
              <w:rPr>
                <w:rFonts w:hint="eastAsia" w:ascii="仿宋" w:hAnsi="仿宋" w:eastAsia="仿宋" w:cs="仿宋"/>
                <w:color w:val="auto"/>
                <w:sz w:val="24"/>
                <w:szCs w:val="24"/>
                <w:highlight w:val="none"/>
              </w:rPr>
            </w:pPr>
          </w:p>
        </w:tc>
        <w:tc>
          <w:tcPr>
            <w:tcW w:w="534" w:type="pct"/>
            <w:noWrap w:val="0"/>
            <w:vAlign w:val="center"/>
          </w:tcPr>
          <w:p>
            <w:pPr>
              <w:rPr>
                <w:rFonts w:hint="eastAsia" w:ascii="仿宋" w:hAnsi="仿宋" w:eastAsia="仿宋" w:cs="仿宋"/>
                <w:color w:val="auto"/>
                <w:sz w:val="24"/>
                <w:szCs w:val="24"/>
                <w:highlight w:val="none"/>
              </w:rPr>
            </w:pPr>
          </w:p>
        </w:tc>
        <w:tc>
          <w:tcPr>
            <w:tcW w:w="728" w:type="pct"/>
            <w:noWrap w:val="0"/>
            <w:vAlign w:val="center"/>
          </w:tcPr>
          <w:p>
            <w:pPr>
              <w:rPr>
                <w:rFonts w:hint="eastAsia" w:ascii="仿宋" w:hAnsi="仿宋" w:eastAsia="仿宋" w:cs="仿宋"/>
                <w:color w:val="auto"/>
                <w:sz w:val="24"/>
                <w:szCs w:val="24"/>
                <w:highlight w:val="none"/>
              </w:rPr>
            </w:pPr>
          </w:p>
        </w:tc>
        <w:tc>
          <w:tcPr>
            <w:tcW w:w="485" w:type="pct"/>
            <w:noWrap w:val="0"/>
            <w:vAlign w:val="center"/>
          </w:tcPr>
          <w:p>
            <w:pPr>
              <w:rPr>
                <w:rFonts w:hint="eastAsia" w:ascii="仿宋" w:hAnsi="仿宋" w:eastAsia="仿宋" w:cs="仿宋"/>
                <w:color w:val="auto"/>
                <w:sz w:val="24"/>
                <w:szCs w:val="24"/>
                <w:highlight w:val="none"/>
              </w:rPr>
            </w:pPr>
          </w:p>
        </w:tc>
        <w:tc>
          <w:tcPr>
            <w:tcW w:w="291" w:type="pct"/>
            <w:noWrap w:val="0"/>
            <w:vAlign w:val="center"/>
          </w:tcPr>
          <w:p>
            <w:pPr>
              <w:rPr>
                <w:rFonts w:hint="eastAsia" w:ascii="仿宋" w:hAnsi="仿宋" w:eastAsia="仿宋" w:cs="仿宋"/>
                <w:color w:val="auto"/>
                <w:sz w:val="24"/>
                <w:szCs w:val="24"/>
                <w:highlight w:val="none"/>
              </w:rPr>
            </w:pPr>
          </w:p>
        </w:tc>
        <w:tc>
          <w:tcPr>
            <w:tcW w:w="291" w:type="pct"/>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nil"/>
            </w:tcBorders>
            <w:noWrap w:val="0"/>
            <w:vAlign w:val="center"/>
          </w:tcPr>
          <w:p>
            <w:pPr>
              <w:rPr>
                <w:rFonts w:hint="eastAsia" w:ascii="仿宋" w:hAnsi="仿宋" w:eastAsia="仿宋" w:cs="仿宋"/>
                <w:color w:val="auto"/>
                <w:sz w:val="24"/>
                <w:szCs w:val="24"/>
                <w:highlight w:val="none"/>
              </w:rPr>
            </w:pPr>
          </w:p>
        </w:tc>
        <w:tc>
          <w:tcPr>
            <w:tcW w:w="631" w:type="pct"/>
            <w:tcBorders>
              <w:top w:val="nil"/>
            </w:tcBorders>
            <w:noWrap w:val="0"/>
            <w:vAlign w:val="center"/>
          </w:tcPr>
          <w:p>
            <w:pPr>
              <w:rPr>
                <w:rFonts w:hint="eastAsia" w:ascii="仿宋" w:hAnsi="仿宋" w:eastAsia="仿宋" w:cs="仿宋"/>
                <w:color w:val="auto"/>
                <w:sz w:val="24"/>
                <w:szCs w:val="24"/>
                <w:highlight w:val="none"/>
              </w:rPr>
            </w:pPr>
          </w:p>
        </w:tc>
        <w:tc>
          <w:tcPr>
            <w:tcW w:w="486" w:type="pct"/>
            <w:tcBorders>
              <w:top w:val="nil"/>
            </w:tcBorders>
            <w:noWrap w:val="0"/>
            <w:vAlign w:val="center"/>
          </w:tcPr>
          <w:p>
            <w:pPr>
              <w:rPr>
                <w:rFonts w:hint="eastAsia" w:ascii="仿宋" w:hAnsi="仿宋" w:eastAsia="仿宋" w:cs="仿宋"/>
                <w:color w:val="auto"/>
                <w:sz w:val="24"/>
                <w:szCs w:val="24"/>
                <w:highlight w:val="none"/>
              </w:rPr>
            </w:pPr>
          </w:p>
        </w:tc>
        <w:tc>
          <w:tcPr>
            <w:tcW w:w="82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534" w:type="pct"/>
            <w:tcBorders>
              <w:top w:val="nil"/>
            </w:tcBorders>
            <w:noWrap w:val="0"/>
            <w:vAlign w:val="center"/>
          </w:tcPr>
          <w:p>
            <w:pPr>
              <w:rPr>
                <w:rFonts w:hint="eastAsia" w:ascii="仿宋" w:hAnsi="仿宋" w:eastAsia="仿宋" w:cs="仿宋"/>
                <w:color w:val="auto"/>
                <w:sz w:val="24"/>
                <w:szCs w:val="24"/>
                <w:highlight w:val="none"/>
              </w:rPr>
            </w:pPr>
          </w:p>
        </w:tc>
        <w:tc>
          <w:tcPr>
            <w:tcW w:w="728" w:type="pct"/>
            <w:tcBorders>
              <w:top w:val="nil"/>
            </w:tcBorders>
            <w:noWrap w:val="0"/>
            <w:vAlign w:val="center"/>
          </w:tcPr>
          <w:p>
            <w:pPr>
              <w:rPr>
                <w:rFonts w:hint="eastAsia" w:ascii="仿宋" w:hAnsi="仿宋" w:eastAsia="仿宋" w:cs="仿宋"/>
                <w:color w:val="auto"/>
                <w:sz w:val="24"/>
                <w:szCs w:val="24"/>
                <w:highlight w:val="none"/>
              </w:rPr>
            </w:pPr>
          </w:p>
        </w:tc>
        <w:tc>
          <w:tcPr>
            <w:tcW w:w="48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r>
    </w:tbl>
    <w:p>
      <w:pPr>
        <w:rPr>
          <w:color w:val="auto"/>
          <w:highlight w:val="none"/>
        </w:rPr>
        <w:sectPr>
          <w:footerReference r:id="rId9" w:type="first"/>
          <w:footerReference r:id="rId8" w:type="default"/>
          <w:pgSz w:w="11906" w:h="16838"/>
          <w:pgMar w:top="1418" w:right="1531" w:bottom="1418" w:left="1554" w:header="851" w:footer="992" w:gutter="0"/>
          <w:cols w:space="720" w:num="1"/>
          <w:docGrid w:type="linesAndChars" w:linePitch="312" w:charSpace="0"/>
        </w:sect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503" w:name="_Toc296944564"/>
      <w:bookmarkStart w:id="504" w:name="_Toc267261692"/>
      <w:bookmarkStart w:id="505" w:name="_Toc296346726"/>
      <w:bookmarkStart w:id="506" w:name="_Toc296891265"/>
      <w:bookmarkStart w:id="507" w:name="_Toc296347224"/>
      <w:bookmarkStart w:id="508" w:name="_Toc296503225"/>
      <w:bookmarkStart w:id="509" w:name="_Toc296891053"/>
      <w:r>
        <w:rPr>
          <w:rFonts w:hint="eastAsia" w:ascii="仿宋" w:hAnsi="仿宋" w:eastAsia="仿宋" w:cs="仿宋"/>
          <w:color w:val="auto"/>
          <w:sz w:val="24"/>
          <w:szCs w:val="24"/>
          <w:highlight w:val="none"/>
        </w:rPr>
        <w:t>件2：</w:t>
      </w:r>
    </w:p>
    <w:p>
      <w:pPr>
        <w:rPr>
          <w:rFonts w:hint="eastAsia" w:ascii="仿宋" w:hAnsi="仿宋" w:eastAsia="仿宋" w:cs="仿宋"/>
          <w:color w:val="auto"/>
          <w:sz w:val="24"/>
          <w:szCs w:val="24"/>
          <w:highlight w:val="none"/>
        </w:rPr>
      </w:pPr>
    </w:p>
    <w:bookmarkEnd w:id="503"/>
    <w:bookmarkEnd w:id="504"/>
    <w:bookmarkEnd w:id="505"/>
    <w:bookmarkEnd w:id="506"/>
    <w:bookmarkEnd w:id="507"/>
    <w:bookmarkEnd w:id="508"/>
    <w:bookmarkEnd w:id="509"/>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发包人供应材料设备一览表</w:t>
      </w:r>
    </w:p>
    <w:tbl>
      <w:tblPr>
        <w:tblStyle w:val="61"/>
        <w:tblW w:w="10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1"/>
        <w:gridCol w:w="1201"/>
        <w:gridCol w:w="1335"/>
        <w:gridCol w:w="885"/>
        <w:gridCol w:w="801"/>
        <w:gridCol w:w="983"/>
        <w:gridCol w:w="934"/>
        <w:gridCol w:w="801"/>
        <w:gridCol w:w="1400"/>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8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材料、</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设备品种</w:t>
            </w:r>
          </w:p>
        </w:tc>
        <w:tc>
          <w:tcPr>
            <w:tcW w:w="1335"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85"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83"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9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质量等级</w:t>
            </w:r>
          </w:p>
        </w:tc>
        <w:tc>
          <w:tcPr>
            <w:tcW w:w="8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供应时间</w:t>
            </w:r>
          </w:p>
        </w:tc>
        <w:tc>
          <w:tcPr>
            <w:tcW w:w="140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送达地点</w:t>
            </w:r>
          </w:p>
        </w:tc>
        <w:tc>
          <w:tcPr>
            <w:tcW w:w="9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2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335"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85"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83"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34"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0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34"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tcBorders>
              <w:top w:val="nil"/>
            </w:tcBorders>
            <w:noWrap w:val="0"/>
            <w:vAlign w:val="center"/>
          </w:tcPr>
          <w:p>
            <w:pPr>
              <w:rPr>
                <w:rFonts w:hint="eastAsia" w:ascii="仿宋" w:hAnsi="仿宋" w:eastAsia="仿宋" w:cs="仿宋"/>
                <w:color w:val="auto"/>
                <w:sz w:val="24"/>
                <w:szCs w:val="24"/>
                <w:highlight w:val="none"/>
              </w:rPr>
            </w:pPr>
          </w:p>
        </w:tc>
        <w:tc>
          <w:tcPr>
            <w:tcW w:w="1201" w:type="dxa"/>
            <w:tcBorders>
              <w:top w:val="nil"/>
            </w:tcBorders>
            <w:noWrap w:val="0"/>
            <w:vAlign w:val="center"/>
          </w:tcPr>
          <w:p>
            <w:pPr>
              <w:rPr>
                <w:rFonts w:hint="eastAsia" w:ascii="仿宋" w:hAnsi="仿宋" w:eastAsia="仿宋" w:cs="仿宋"/>
                <w:color w:val="auto"/>
                <w:sz w:val="24"/>
                <w:szCs w:val="24"/>
                <w:highlight w:val="none"/>
              </w:rPr>
            </w:pPr>
          </w:p>
        </w:tc>
        <w:tc>
          <w:tcPr>
            <w:tcW w:w="1335" w:type="dxa"/>
            <w:tcBorders>
              <w:top w:val="nil"/>
            </w:tcBorders>
            <w:noWrap w:val="0"/>
            <w:vAlign w:val="center"/>
          </w:tcPr>
          <w:p>
            <w:pPr>
              <w:rPr>
                <w:rFonts w:hint="eastAsia" w:ascii="仿宋" w:hAnsi="仿宋" w:eastAsia="仿宋" w:cs="仿宋"/>
                <w:color w:val="auto"/>
                <w:sz w:val="24"/>
                <w:szCs w:val="24"/>
                <w:highlight w:val="none"/>
              </w:rPr>
            </w:pPr>
          </w:p>
        </w:tc>
        <w:tc>
          <w:tcPr>
            <w:tcW w:w="885" w:type="dxa"/>
            <w:tcBorders>
              <w:top w:val="nil"/>
            </w:tcBorders>
            <w:noWrap w:val="0"/>
            <w:vAlign w:val="center"/>
          </w:tcPr>
          <w:p>
            <w:pPr>
              <w:rPr>
                <w:rFonts w:hint="eastAsia" w:ascii="仿宋" w:hAnsi="仿宋" w:eastAsia="仿宋" w:cs="仿宋"/>
                <w:color w:val="auto"/>
                <w:sz w:val="24"/>
                <w:szCs w:val="24"/>
                <w:highlight w:val="none"/>
              </w:rPr>
            </w:pPr>
          </w:p>
        </w:tc>
        <w:tc>
          <w:tcPr>
            <w:tcW w:w="801" w:type="dxa"/>
            <w:tcBorders>
              <w:top w:val="nil"/>
            </w:tcBorders>
            <w:noWrap w:val="0"/>
            <w:vAlign w:val="center"/>
          </w:tcPr>
          <w:p>
            <w:pPr>
              <w:rPr>
                <w:rFonts w:hint="eastAsia" w:ascii="仿宋" w:hAnsi="仿宋" w:eastAsia="仿宋" w:cs="仿宋"/>
                <w:color w:val="auto"/>
                <w:sz w:val="24"/>
                <w:szCs w:val="24"/>
                <w:highlight w:val="none"/>
              </w:rPr>
            </w:pPr>
          </w:p>
        </w:tc>
        <w:tc>
          <w:tcPr>
            <w:tcW w:w="983" w:type="dxa"/>
            <w:tcBorders>
              <w:top w:val="nil"/>
            </w:tcBorders>
            <w:noWrap w:val="0"/>
            <w:vAlign w:val="center"/>
          </w:tcPr>
          <w:p>
            <w:pPr>
              <w:rPr>
                <w:rFonts w:hint="eastAsia" w:ascii="仿宋" w:hAnsi="仿宋" w:eastAsia="仿宋" w:cs="仿宋"/>
                <w:color w:val="auto"/>
                <w:sz w:val="24"/>
                <w:szCs w:val="24"/>
                <w:highlight w:val="none"/>
              </w:rPr>
            </w:pPr>
          </w:p>
        </w:tc>
        <w:tc>
          <w:tcPr>
            <w:tcW w:w="934" w:type="dxa"/>
            <w:tcBorders>
              <w:top w:val="nil"/>
            </w:tcBorders>
            <w:noWrap w:val="0"/>
            <w:vAlign w:val="center"/>
          </w:tcPr>
          <w:p>
            <w:pPr>
              <w:rPr>
                <w:rFonts w:hint="eastAsia" w:ascii="仿宋" w:hAnsi="仿宋" w:eastAsia="仿宋" w:cs="仿宋"/>
                <w:color w:val="auto"/>
                <w:sz w:val="24"/>
                <w:szCs w:val="24"/>
                <w:highlight w:val="none"/>
              </w:rPr>
            </w:pPr>
          </w:p>
        </w:tc>
        <w:tc>
          <w:tcPr>
            <w:tcW w:w="801" w:type="dxa"/>
            <w:tcBorders>
              <w:top w:val="nil"/>
            </w:tcBorders>
            <w:noWrap w:val="0"/>
            <w:vAlign w:val="center"/>
          </w:tcPr>
          <w:p>
            <w:pPr>
              <w:rPr>
                <w:rFonts w:hint="eastAsia" w:ascii="仿宋" w:hAnsi="仿宋" w:eastAsia="仿宋" w:cs="仿宋"/>
                <w:color w:val="auto"/>
                <w:sz w:val="24"/>
                <w:szCs w:val="24"/>
                <w:highlight w:val="none"/>
              </w:rPr>
            </w:pPr>
          </w:p>
        </w:tc>
        <w:tc>
          <w:tcPr>
            <w:tcW w:w="1400" w:type="dxa"/>
            <w:tcBorders>
              <w:top w:val="nil"/>
            </w:tcBorders>
            <w:noWrap w:val="0"/>
            <w:vAlign w:val="center"/>
          </w:tcPr>
          <w:p>
            <w:pPr>
              <w:rPr>
                <w:rFonts w:hint="eastAsia" w:ascii="仿宋" w:hAnsi="仿宋" w:eastAsia="仿宋" w:cs="仿宋"/>
                <w:color w:val="auto"/>
                <w:sz w:val="24"/>
                <w:szCs w:val="24"/>
                <w:highlight w:val="none"/>
              </w:rPr>
            </w:pPr>
          </w:p>
        </w:tc>
        <w:tc>
          <w:tcPr>
            <w:tcW w:w="934"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bl>
    <w:p>
      <w:pPr>
        <w:rPr>
          <w:color w:val="auto"/>
          <w:highlight w:val="none"/>
        </w:rPr>
      </w:pPr>
    </w:p>
    <w:p>
      <w:pPr>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510" w:name="_Toc267261693"/>
      <w:bookmarkStart w:id="511" w:name="_Toc296944565"/>
      <w:bookmarkStart w:id="512" w:name="_Toc296503226"/>
      <w:bookmarkStart w:id="513" w:name="_Toc296347225"/>
      <w:bookmarkStart w:id="514" w:name="_Toc296891054"/>
      <w:bookmarkStart w:id="515" w:name="_Toc296891266"/>
      <w:bookmarkStart w:id="516" w:name="_Toc296346727"/>
      <w:r>
        <w:rPr>
          <w:rFonts w:hint="eastAsia" w:ascii="仿宋" w:hAnsi="仿宋" w:eastAsia="仿宋" w:cs="仿宋"/>
          <w:color w:val="auto"/>
          <w:sz w:val="24"/>
          <w:szCs w:val="24"/>
          <w:highlight w:val="none"/>
        </w:rPr>
        <w:t>件3：</w:t>
      </w:r>
      <w:bookmarkEnd w:id="510"/>
      <w:bookmarkEnd w:id="511"/>
      <w:bookmarkEnd w:id="512"/>
      <w:bookmarkEnd w:id="513"/>
      <w:bookmarkEnd w:id="514"/>
      <w:bookmarkEnd w:id="515"/>
      <w:bookmarkEnd w:id="516"/>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发包人和承包人根据《中华人民共和国建筑法》和《建设工程质量管理条例》，经协商一致就 </w:t>
      </w:r>
      <w:r>
        <w:rPr>
          <w:rFonts w:hint="eastAsia" w:ascii="仿宋" w:hAnsi="仿宋" w:eastAsia="仿宋" w:cs="仿宋"/>
          <w:color w:val="auto"/>
          <w:sz w:val="24"/>
          <w:szCs w:val="24"/>
          <w:highlight w:val="none"/>
          <w:u w:val="single"/>
        </w:rPr>
        <w:t xml:space="preserve">               （工程全称）</w:t>
      </w:r>
      <w:r>
        <w:rPr>
          <w:rFonts w:hint="eastAsia" w:ascii="仿宋" w:hAnsi="仿宋" w:eastAsia="仿宋" w:cs="仿宋"/>
          <w:color w:val="auto"/>
          <w:sz w:val="24"/>
          <w:szCs w:val="24"/>
          <w:highlight w:val="none"/>
        </w:rPr>
        <w:t>签订工程质量保修书。</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一、工程质量保修范围和内容</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承包人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承包人对所施工的全部内容保修。</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二、质量保修期</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 xml:space="preserve">   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3．装饰装修工程为 </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 xml:space="preserve"> 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个采暖期、供冷期；</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 xml:space="preserve"> 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节能分部工程为</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年</w:t>
      </w:r>
    </w:p>
    <w:p>
      <w:pPr>
        <w:keepNext w:val="0"/>
        <w:keepLines w:val="0"/>
        <w:pageBreakBefore w:val="0"/>
        <w:widowControl w:val="0"/>
        <w:kinsoku/>
        <w:wordWrap/>
        <w:overflowPunct/>
        <w:topLinePunct w:val="0"/>
        <w:autoSpaceDE/>
        <w:autoSpaceDN/>
        <w:bidi w:val="0"/>
        <w:adjustRightInd w:val="0"/>
        <w:snapToGrid/>
        <w:spacing w:line="360" w:lineRule="auto"/>
        <w:ind w:left="480" w:hanging="480" w:hanging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8．绿化工景观程如下：景观装修工程为 </w:t>
      </w:r>
      <w:r>
        <w:rPr>
          <w:rFonts w:hint="eastAsia" w:ascii="仿宋" w:hAnsi="仿宋" w:eastAsia="仿宋" w:cs="仿宋"/>
          <w:color w:val="auto"/>
          <w:sz w:val="24"/>
          <w:szCs w:val="24"/>
          <w:highlight w:val="none"/>
          <w:u w:val="single"/>
        </w:rPr>
        <w:t xml:space="preserve">2 </w:t>
      </w:r>
      <w:r>
        <w:rPr>
          <w:rFonts w:hint="eastAsia" w:ascii="仿宋" w:hAnsi="仿宋" w:eastAsia="仿宋" w:cs="仿宋"/>
          <w:color w:val="auto"/>
          <w:sz w:val="24"/>
          <w:szCs w:val="24"/>
          <w:highlight w:val="none"/>
        </w:rPr>
        <w:t>年；灌溉系统为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年；园路工程为</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 xml:space="preserve"> 年；保活期为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年，在缺陷责任期内苗木、草坪成活率为100%</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质量保修期自工程竣工验收合格之日起计算。</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四、质量保修责任</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五、保修费用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保修费用由造成质量缺陷的责任方承担。</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六、双方约定的其他工程质量保修事项：       /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发包人(公章)：         承包人(公章)：          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地  址： 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法定代表人(签字)：       法定代表人(签字)：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委托代理人(签字)：       委托代理人(签字)：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电  话：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真：                 传  真：  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  号：                      账  号：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color w:val="auto"/>
          <w:sz w:val="24"/>
          <w:szCs w:val="24"/>
          <w:highlight w:val="none"/>
        </w:rPr>
      </w:pPr>
      <w:r>
        <w:rPr>
          <w:rFonts w:hint="eastAsia" w:ascii="仿宋" w:hAnsi="仿宋" w:eastAsia="仿宋" w:cs="仿宋"/>
          <w:color w:val="auto"/>
          <w:sz w:val="24"/>
          <w:szCs w:val="24"/>
          <w:highlight w:val="none"/>
        </w:rPr>
        <w:t xml:space="preserve">邮政编码：                    邮政编码：  </w:t>
      </w:r>
      <w:r>
        <w:rPr>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color w:val="auto"/>
          <w:sz w:val="24"/>
          <w:szCs w:val="24"/>
          <w:highlight w:val="none"/>
        </w:rPr>
        <w:br w:type="page"/>
      </w:r>
      <w:r>
        <w:rPr>
          <w:rFonts w:hint="eastAsia" w:ascii="仿宋" w:hAnsi="仿宋" w:eastAsia="仿宋" w:cs="仿宋"/>
          <w:color w:val="auto"/>
          <w:sz w:val="24"/>
          <w:szCs w:val="24"/>
          <w:highlight w:val="none"/>
        </w:rPr>
        <w:t>附件4：</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主要建设工程文件目录</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文件名称</w:t>
            </w:r>
          </w:p>
        </w:tc>
        <w:tc>
          <w:tcPr>
            <w:tcW w:w="1276"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套数</w:t>
            </w:r>
          </w:p>
        </w:tc>
        <w:tc>
          <w:tcPr>
            <w:tcW w:w="145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费用（元）</w:t>
            </w:r>
          </w:p>
        </w:tc>
        <w:tc>
          <w:tcPr>
            <w:tcW w:w="1243"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1450" w:type="dxa"/>
            <w:tcBorders>
              <w:top w:val="single" w:color="auto" w:sz="12" w:space="0"/>
              <w:bottom w:val="double" w:color="auto" w:sz="6" w:space="0"/>
            </w:tcBorders>
            <w:noWrap w:val="0"/>
            <w:vAlign w:val="top"/>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移交时间</w:t>
            </w:r>
          </w:p>
        </w:tc>
        <w:tc>
          <w:tcPr>
            <w:tcW w:w="1667" w:type="dxa"/>
            <w:tcBorders>
              <w:top w:val="single" w:color="auto" w:sz="12" w:space="0"/>
              <w:bottom w:val="double" w:color="auto" w:sz="6" w:space="0"/>
            </w:tcBorders>
            <w:noWrap w:val="0"/>
            <w:vAlign w:val="top"/>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276"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5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243"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5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667"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rPr>
                <w:rFonts w:hint="eastAsia" w:ascii="仿宋" w:hAnsi="仿宋" w:eastAsia="仿宋" w:cs="仿宋"/>
                <w:color w:val="auto"/>
                <w:sz w:val="24"/>
                <w:szCs w:val="24"/>
                <w:highlight w:val="none"/>
              </w:rPr>
            </w:pPr>
          </w:p>
        </w:tc>
        <w:tc>
          <w:tcPr>
            <w:tcW w:w="1276" w:type="dxa"/>
            <w:tcBorders>
              <w:top w:val="nil"/>
            </w:tcBorders>
            <w:noWrap w:val="0"/>
            <w:vAlign w:val="center"/>
          </w:tcPr>
          <w:p>
            <w:pPr>
              <w:rPr>
                <w:rFonts w:hint="eastAsia" w:ascii="仿宋" w:hAnsi="仿宋" w:eastAsia="仿宋" w:cs="仿宋"/>
                <w:color w:val="auto"/>
                <w:sz w:val="24"/>
                <w:szCs w:val="24"/>
                <w:highlight w:val="none"/>
              </w:rPr>
            </w:pPr>
          </w:p>
        </w:tc>
        <w:tc>
          <w:tcPr>
            <w:tcW w:w="1450" w:type="dxa"/>
            <w:tcBorders>
              <w:top w:val="nil"/>
            </w:tcBorders>
            <w:noWrap w:val="0"/>
            <w:vAlign w:val="center"/>
          </w:tcPr>
          <w:p>
            <w:pPr>
              <w:rPr>
                <w:rFonts w:hint="eastAsia" w:ascii="仿宋" w:hAnsi="仿宋" w:eastAsia="仿宋" w:cs="仿宋"/>
                <w:color w:val="auto"/>
                <w:sz w:val="24"/>
                <w:szCs w:val="24"/>
                <w:highlight w:val="none"/>
              </w:rPr>
            </w:pPr>
          </w:p>
        </w:tc>
        <w:tc>
          <w:tcPr>
            <w:tcW w:w="1243" w:type="dxa"/>
            <w:tcBorders>
              <w:top w:val="nil"/>
            </w:tcBorders>
            <w:noWrap w:val="0"/>
            <w:vAlign w:val="center"/>
          </w:tcPr>
          <w:p>
            <w:pPr>
              <w:rPr>
                <w:rFonts w:hint="eastAsia" w:ascii="仿宋" w:hAnsi="仿宋" w:eastAsia="仿宋" w:cs="仿宋"/>
                <w:color w:val="auto"/>
                <w:sz w:val="24"/>
                <w:szCs w:val="24"/>
                <w:highlight w:val="none"/>
              </w:rPr>
            </w:pPr>
          </w:p>
        </w:tc>
        <w:tc>
          <w:tcPr>
            <w:tcW w:w="1450" w:type="dxa"/>
            <w:tcBorders>
              <w:top w:val="nil"/>
            </w:tcBorders>
            <w:noWrap w:val="0"/>
            <w:vAlign w:val="center"/>
          </w:tcPr>
          <w:p>
            <w:pPr>
              <w:rPr>
                <w:rFonts w:hint="eastAsia" w:ascii="仿宋" w:hAnsi="仿宋" w:eastAsia="仿宋" w:cs="仿宋"/>
                <w:color w:val="auto"/>
                <w:sz w:val="24"/>
                <w:szCs w:val="24"/>
                <w:highlight w:val="none"/>
              </w:rPr>
            </w:pPr>
          </w:p>
        </w:tc>
        <w:tc>
          <w:tcPr>
            <w:tcW w:w="1667"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注：详见双方签收单</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bookmarkStart w:id="517" w:name="_Toc296503227"/>
      <w:bookmarkStart w:id="518" w:name="_Toc296944566"/>
      <w:bookmarkStart w:id="519" w:name="_Toc296891055"/>
      <w:bookmarkStart w:id="520" w:name="_Toc296346728"/>
      <w:bookmarkStart w:id="521" w:name="_Toc267261698"/>
      <w:bookmarkStart w:id="522" w:name="_Toc296891267"/>
      <w:bookmarkStart w:id="523" w:name="_Toc296347226"/>
      <w:r>
        <w:rPr>
          <w:rFonts w:hint="eastAsia" w:ascii="仿宋" w:hAnsi="仿宋" w:eastAsia="仿宋" w:cs="仿宋"/>
          <w:color w:val="auto"/>
          <w:sz w:val="24"/>
          <w:szCs w:val="24"/>
          <w:highlight w:val="none"/>
        </w:rPr>
        <w:t>件5：</w:t>
      </w:r>
    </w:p>
    <w:bookmarkEnd w:id="517"/>
    <w:bookmarkEnd w:id="518"/>
    <w:bookmarkEnd w:id="519"/>
    <w:bookmarkEnd w:id="520"/>
    <w:bookmarkEnd w:id="521"/>
    <w:bookmarkEnd w:id="522"/>
    <w:bookmarkEnd w:id="523"/>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承包人用于本工程施工的机械设备表</w:t>
      </w:r>
    </w:p>
    <w:tbl>
      <w:tblPr>
        <w:tblStyle w:val="6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05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8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2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制造年份</w:t>
            </w:r>
          </w:p>
        </w:tc>
        <w:tc>
          <w:tcPr>
            <w:tcW w:w="148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额定功率(kW)</w:t>
            </w:r>
          </w:p>
        </w:tc>
        <w:tc>
          <w:tcPr>
            <w:tcW w:w="102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92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18"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5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058"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8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02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8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02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2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rPr>
                <w:rFonts w:hint="eastAsia" w:ascii="仿宋" w:hAnsi="仿宋" w:eastAsia="仿宋" w:cs="仿宋"/>
                <w:color w:val="auto"/>
                <w:sz w:val="24"/>
                <w:szCs w:val="24"/>
                <w:highlight w:val="none"/>
              </w:rPr>
            </w:pPr>
          </w:p>
        </w:tc>
        <w:tc>
          <w:tcPr>
            <w:tcW w:w="1418" w:type="dxa"/>
            <w:tcBorders>
              <w:top w:val="nil"/>
            </w:tcBorders>
            <w:noWrap w:val="0"/>
            <w:vAlign w:val="center"/>
          </w:tcPr>
          <w:p>
            <w:pPr>
              <w:rPr>
                <w:rFonts w:hint="eastAsia" w:ascii="仿宋" w:hAnsi="仿宋" w:eastAsia="仿宋" w:cs="仿宋"/>
                <w:color w:val="auto"/>
                <w:sz w:val="24"/>
                <w:szCs w:val="24"/>
                <w:highlight w:val="none"/>
              </w:rPr>
            </w:pPr>
          </w:p>
        </w:tc>
        <w:tc>
          <w:tcPr>
            <w:tcW w:w="850" w:type="dxa"/>
            <w:tcBorders>
              <w:top w:val="nil"/>
            </w:tcBorders>
            <w:noWrap w:val="0"/>
            <w:vAlign w:val="center"/>
          </w:tcPr>
          <w:p>
            <w:pPr>
              <w:rPr>
                <w:rFonts w:hint="eastAsia" w:ascii="仿宋" w:hAnsi="仿宋" w:eastAsia="仿宋" w:cs="仿宋"/>
                <w:color w:val="auto"/>
                <w:sz w:val="24"/>
                <w:szCs w:val="24"/>
                <w:highlight w:val="none"/>
              </w:rPr>
            </w:pPr>
          </w:p>
        </w:tc>
        <w:tc>
          <w:tcPr>
            <w:tcW w:w="1058" w:type="dxa"/>
            <w:tcBorders>
              <w:top w:val="nil"/>
            </w:tcBorders>
            <w:noWrap w:val="0"/>
            <w:vAlign w:val="center"/>
          </w:tcPr>
          <w:p>
            <w:pPr>
              <w:rPr>
                <w:rFonts w:hint="eastAsia" w:ascii="仿宋" w:hAnsi="仿宋" w:eastAsia="仿宋" w:cs="仿宋"/>
                <w:color w:val="auto"/>
                <w:sz w:val="24"/>
                <w:szCs w:val="24"/>
                <w:highlight w:val="none"/>
              </w:rPr>
            </w:pPr>
          </w:p>
        </w:tc>
        <w:tc>
          <w:tcPr>
            <w:tcW w:w="880" w:type="dxa"/>
            <w:tcBorders>
              <w:top w:val="nil"/>
            </w:tcBorders>
            <w:noWrap w:val="0"/>
            <w:vAlign w:val="center"/>
          </w:tcPr>
          <w:p>
            <w:pPr>
              <w:rPr>
                <w:rFonts w:hint="eastAsia" w:ascii="仿宋" w:hAnsi="仿宋" w:eastAsia="仿宋" w:cs="仿宋"/>
                <w:color w:val="auto"/>
                <w:sz w:val="24"/>
                <w:szCs w:val="24"/>
                <w:highlight w:val="none"/>
              </w:rPr>
            </w:pPr>
          </w:p>
        </w:tc>
        <w:tc>
          <w:tcPr>
            <w:tcW w:w="1020" w:type="dxa"/>
            <w:tcBorders>
              <w:top w:val="nil"/>
            </w:tcBorders>
            <w:noWrap w:val="0"/>
            <w:vAlign w:val="center"/>
          </w:tcPr>
          <w:p>
            <w:pPr>
              <w:rPr>
                <w:rFonts w:hint="eastAsia" w:ascii="仿宋" w:hAnsi="仿宋" w:eastAsia="仿宋" w:cs="仿宋"/>
                <w:color w:val="auto"/>
                <w:sz w:val="24"/>
                <w:szCs w:val="24"/>
                <w:highlight w:val="none"/>
              </w:rPr>
            </w:pPr>
          </w:p>
        </w:tc>
        <w:tc>
          <w:tcPr>
            <w:tcW w:w="1480" w:type="dxa"/>
            <w:tcBorders>
              <w:top w:val="nil"/>
            </w:tcBorders>
            <w:noWrap w:val="0"/>
            <w:vAlign w:val="center"/>
          </w:tcPr>
          <w:p>
            <w:pPr>
              <w:rPr>
                <w:rFonts w:hint="eastAsia" w:ascii="仿宋" w:hAnsi="仿宋" w:eastAsia="仿宋" w:cs="仿宋"/>
                <w:color w:val="auto"/>
                <w:sz w:val="24"/>
                <w:szCs w:val="24"/>
                <w:highlight w:val="none"/>
              </w:rPr>
            </w:pPr>
          </w:p>
        </w:tc>
        <w:tc>
          <w:tcPr>
            <w:tcW w:w="1020" w:type="dxa"/>
            <w:tcBorders>
              <w:top w:val="nil"/>
            </w:tcBorders>
            <w:noWrap w:val="0"/>
            <w:vAlign w:val="center"/>
          </w:tcPr>
          <w:p>
            <w:pPr>
              <w:rPr>
                <w:rFonts w:hint="eastAsia" w:ascii="仿宋" w:hAnsi="仿宋" w:eastAsia="仿宋" w:cs="仿宋"/>
                <w:color w:val="auto"/>
                <w:sz w:val="24"/>
                <w:szCs w:val="24"/>
                <w:highlight w:val="none"/>
              </w:rPr>
            </w:pPr>
          </w:p>
        </w:tc>
        <w:tc>
          <w:tcPr>
            <w:tcW w:w="921"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850" w:type="dxa"/>
            <w:noWrap w:val="0"/>
            <w:vAlign w:val="center"/>
          </w:tcPr>
          <w:p>
            <w:pPr>
              <w:rPr>
                <w:rFonts w:hint="eastAsia" w:ascii="仿宋" w:hAnsi="仿宋" w:eastAsia="仿宋" w:cs="仿宋"/>
                <w:color w:val="auto"/>
                <w:sz w:val="24"/>
                <w:szCs w:val="24"/>
                <w:highlight w:val="none"/>
              </w:rPr>
            </w:pPr>
          </w:p>
        </w:tc>
        <w:tc>
          <w:tcPr>
            <w:tcW w:w="1058" w:type="dxa"/>
            <w:noWrap w:val="0"/>
            <w:vAlign w:val="center"/>
          </w:tcPr>
          <w:p>
            <w:pPr>
              <w:rPr>
                <w:rFonts w:hint="eastAsia" w:ascii="仿宋" w:hAnsi="仿宋" w:eastAsia="仿宋" w:cs="仿宋"/>
                <w:color w:val="auto"/>
                <w:sz w:val="24"/>
                <w:szCs w:val="24"/>
                <w:highlight w:val="none"/>
              </w:rPr>
            </w:pPr>
          </w:p>
        </w:tc>
        <w:tc>
          <w:tcPr>
            <w:tcW w:w="8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14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921"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850" w:type="dxa"/>
            <w:noWrap w:val="0"/>
            <w:vAlign w:val="center"/>
          </w:tcPr>
          <w:p>
            <w:pPr>
              <w:rPr>
                <w:rFonts w:hint="eastAsia" w:ascii="仿宋" w:hAnsi="仿宋" w:eastAsia="仿宋" w:cs="仿宋"/>
                <w:color w:val="auto"/>
                <w:sz w:val="24"/>
                <w:szCs w:val="24"/>
                <w:highlight w:val="none"/>
              </w:rPr>
            </w:pPr>
          </w:p>
        </w:tc>
        <w:tc>
          <w:tcPr>
            <w:tcW w:w="1058" w:type="dxa"/>
            <w:noWrap w:val="0"/>
            <w:vAlign w:val="center"/>
          </w:tcPr>
          <w:p>
            <w:pPr>
              <w:rPr>
                <w:rFonts w:hint="eastAsia" w:ascii="仿宋" w:hAnsi="仿宋" w:eastAsia="仿宋" w:cs="仿宋"/>
                <w:color w:val="auto"/>
                <w:sz w:val="24"/>
                <w:szCs w:val="24"/>
                <w:highlight w:val="none"/>
              </w:rPr>
            </w:pPr>
          </w:p>
        </w:tc>
        <w:tc>
          <w:tcPr>
            <w:tcW w:w="8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14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921"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524" w:name="_Toc296944567"/>
      <w:bookmarkStart w:id="525" w:name="_Toc296347227"/>
      <w:bookmarkStart w:id="526" w:name="_Toc296346729"/>
      <w:bookmarkStart w:id="527" w:name="_Toc296503228"/>
      <w:bookmarkStart w:id="528" w:name="_Toc296891268"/>
      <w:bookmarkStart w:id="529" w:name="_Toc296891056"/>
      <w:bookmarkStart w:id="530" w:name="_Toc267261699"/>
      <w:r>
        <w:rPr>
          <w:rFonts w:hint="eastAsia" w:ascii="仿宋" w:hAnsi="仿宋" w:eastAsia="仿宋" w:cs="仿宋"/>
          <w:color w:val="auto"/>
          <w:sz w:val="24"/>
          <w:szCs w:val="24"/>
          <w:highlight w:val="none"/>
        </w:rPr>
        <w:t>件6：</w:t>
      </w:r>
    </w:p>
    <w:bookmarkEnd w:id="524"/>
    <w:bookmarkEnd w:id="525"/>
    <w:bookmarkEnd w:id="526"/>
    <w:bookmarkEnd w:id="527"/>
    <w:bookmarkEnd w:id="528"/>
    <w:bookmarkEnd w:id="529"/>
    <w:bookmarkEnd w:id="530"/>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承包人主要施工管理人员表</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52"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8"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4252"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4252" w:type="dxa"/>
            <w:tcBorders>
              <w:bottom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418"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4252"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bookmarkStart w:id="531" w:name="_Toc296347228"/>
      <w:bookmarkStart w:id="532" w:name="_Toc296503229"/>
      <w:bookmarkStart w:id="533" w:name="_Toc296891269"/>
      <w:bookmarkStart w:id="534" w:name="_Toc296346730"/>
      <w:bookmarkStart w:id="535" w:name="_Toc296944568"/>
      <w:bookmarkStart w:id="536" w:name="_Toc296891057"/>
      <w:r>
        <w:rPr>
          <w:rFonts w:hint="eastAsia" w:ascii="仿宋" w:hAnsi="仿宋" w:eastAsia="仿宋" w:cs="仿宋"/>
          <w:color w:val="auto"/>
          <w:sz w:val="24"/>
          <w:szCs w:val="24"/>
          <w:highlight w:val="none"/>
        </w:rPr>
        <w:t>件7：</w:t>
      </w:r>
    </w:p>
    <w:bookmarkEnd w:id="531"/>
    <w:bookmarkEnd w:id="532"/>
    <w:bookmarkEnd w:id="533"/>
    <w:bookmarkEnd w:id="534"/>
    <w:bookmarkEnd w:id="535"/>
    <w:bookmarkEnd w:id="536"/>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分包人主要施工管理人员表</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52"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8"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4252"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4252" w:type="dxa"/>
            <w:tcBorders>
              <w:bottom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418"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4252"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附件8</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11-1：材料暂估价表</w:t>
      </w:r>
    </w:p>
    <w:p>
      <w:pPr>
        <w:rPr>
          <w:rFonts w:hint="eastAsia" w:ascii="仿宋" w:hAnsi="仿宋" w:eastAsia="仿宋" w:cs="仿宋"/>
          <w:color w:val="auto"/>
          <w:sz w:val="24"/>
          <w:szCs w:val="24"/>
          <w:highlight w:val="none"/>
        </w:rPr>
      </w:pPr>
    </w:p>
    <w:tbl>
      <w:tblPr>
        <w:tblStyle w:val="61"/>
        <w:tblW w:w="0" w:type="auto"/>
        <w:tblInd w:w="70" w:type="dxa"/>
        <w:tblLayout w:type="fixed"/>
        <w:tblCellMar>
          <w:top w:w="0" w:type="dxa"/>
          <w:left w:w="0" w:type="dxa"/>
          <w:bottom w:w="0" w:type="dxa"/>
          <w:right w:w="0" w:type="dxa"/>
        </w:tblCellMar>
      </w:tblPr>
      <w:tblGrid>
        <w:gridCol w:w="1040"/>
        <w:gridCol w:w="2020"/>
        <w:gridCol w:w="860"/>
        <w:gridCol w:w="820"/>
        <w:gridCol w:w="1420"/>
        <w:gridCol w:w="1480"/>
        <w:gridCol w:w="860"/>
      </w:tblGrid>
      <w:tr>
        <w:tblPrEx>
          <w:tblCellMar>
            <w:top w:w="0" w:type="dxa"/>
            <w:left w:w="0" w:type="dxa"/>
            <w:bottom w:w="0" w:type="dxa"/>
            <w:right w:w="0" w:type="dxa"/>
          </w:tblCellMar>
        </w:tblPrEx>
        <w:trPr>
          <w:trHeight w:val="371" w:hRule="atLeast"/>
        </w:trPr>
        <w:tc>
          <w:tcPr>
            <w:tcW w:w="1040" w:type="dxa"/>
            <w:tcBorders>
              <w:top w:val="single" w:color="auto" w:sz="8" w:space="0"/>
              <w:left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4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48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8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0" w:type="dxa"/>
            <w:bottom w:w="0" w:type="dxa"/>
            <w:right w:w="0" w:type="dxa"/>
          </w:tblCellMar>
        </w:tblPrEx>
        <w:trPr>
          <w:trHeight w:val="128"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20" w:hRule="atLeast"/>
        </w:trPr>
        <w:tc>
          <w:tcPr>
            <w:tcW w:w="1040" w:type="dxa"/>
            <w:tcBorders>
              <w:left w:val="single" w:color="auto" w:sz="8" w:space="0"/>
              <w:bottom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54"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8"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1" locked="0" layoutInCell="0" allowOverlap="1">
                <wp:simplePos x="0" y="0"/>
                <wp:positionH relativeFrom="column">
                  <wp:posOffset>33020</wp:posOffset>
                </wp:positionH>
                <wp:positionV relativeFrom="paragraph">
                  <wp:posOffset>-5922010</wp:posOffset>
                </wp:positionV>
                <wp:extent cx="18415" cy="27305"/>
                <wp:effectExtent l="4445" t="5080" r="15240" b="5715"/>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pt;margin-top:-466.3pt;height:2.15pt;width:1.45pt;z-index:-251654144;mso-width-relative:page;mso-height-relative:page;" fillcolor="#000000" filled="t" stroked="t" coordsize="21600,21600" o:allowincell="f" o:gfxdata="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enqWXXAAAACQEAAA8AAAAAAAAAAQAgAAAAIgAAAGRycy9k&#10;b3ducmV2LnhtbFBLAQIUABQAAAAIAIdO4kDKjtmu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1" locked="0" layoutInCell="0" allowOverlap="1">
                <wp:simplePos x="0" y="0"/>
                <wp:positionH relativeFrom="column">
                  <wp:posOffset>5412740</wp:posOffset>
                </wp:positionH>
                <wp:positionV relativeFrom="paragraph">
                  <wp:posOffset>-5922010</wp:posOffset>
                </wp:positionV>
                <wp:extent cx="18415" cy="27305"/>
                <wp:effectExtent l="4445" t="5080" r="15240" b="5715"/>
                <wp:wrapNone/>
                <wp:docPr id="68" name="矩形 68"/>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6.2pt;margin-top:-466.3pt;height:2.15pt;width:1.45pt;z-index:-251653120;mso-width-relative:page;mso-height-relative:page;" fillcolor="#000000" filled="t" stroked="t" coordsize="21600,21600" o:allowincell="f" o:gfxdata="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3dqGXaAAAADQEAAA8AAAAAAAAAAQAgAAAAIgAAAGRy&#10;cy9kb3ducmV2LnhtbFBLAQIUABQAAAAIAIdO4kC3N1ERPAIAAIcEAAAOAAAAAAAAAAEAIAAAACkB&#10;AABkcnMvZTJvRG9jLnhtbFBLBQYAAAAABgAGAFkBAADX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1" locked="0" layoutInCell="0" allowOverlap="1">
                <wp:simplePos x="0" y="0"/>
                <wp:positionH relativeFrom="column">
                  <wp:posOffset>3934460</wp:posOffset>
                </wp:positionH>
                <wp:positionV relativeFrom="paragraph">
                  <wp:posOffset>-4047490</wp:posOffset>
                </wp:positionV>
                <wp:extent cx="12065" cy="12065"/>
                <wp:effectExtent l="4445" t="4445" r="21590" b="12065"/>
                <wp:wrapNone/>
                <wp:docPr id="67" name="矩形 67"/>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9.8pt;margin-top:-318.7pt;height:0.95pt;width:0.95pt;z-index:-251652096;mso-width-relative:page;mso-height-relative:page;" fillcolor="#000000" filled="t" stroked="t" coordsize="21600,21600" o:allowincell="f" o:gfxdata="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gbR4PaAAAADQEAAA8AAAAAAAAAAQAgAAAAIgAAAGRycy9k&#10;b3ducmV2LnhtbFBLAQIUABQAAAAIAIdO4kBqGB3WOQIAAIcEAAAOAAAAAAAAAAEAIAAAACk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5408" behindDoc="1" locked="0" layoutInCell="0" allowOverlap="1">
                <wp:simplePos x="0" y="0"/>
                <wp:positionH relativeFrom="column">
                  <wp:posOffset>3934460</wp:posOffset>
                </wp:positionH>
                <wp:positionV relativeFrom="paragraph">
                  <wp:posOffset>-3117850</wp:posOffset>
                </wp:positionV>
                <wp:extent cx="12065" cy="12065"/>
                <wp:effectExtent l="4445" t="4445" r="21590" b="12065"/>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9.8pt;margin-top:-245.5pt;height:0.95pt;width:0.95pt;z-index:-251651072;mso-width-relative:page;mso-height-relative:page;" fillcolor="#000000" filled="t" stroked="t" coordsize="21600,21600" o:allowincell="f" o:gfxdata="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HGtkAAAANAQAADwAAAAAAAAABACAAAAAiAAAAZHJzL2Rv&#10;d25yZXYueG1sUEsBAhQAFAAAAAgAh07iQBehlWk5AgAAhwQAAA4AAAAAAAAAAQAgAAAAKAEAAGRy&#10;cy9lMm9Eb2MueG1sUEsFBgAAAAAGAAYAWQEAANMFA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1" locked="0" layoutInCell="0" allowOverlap="1">
                <wp:simplePos x="0" y="0"/>
                <wp:positionH relativeFrom="column">
                  <wp:posOffset>3934460</wp:posOffset>
                </wp:positionH>
                <wp:positionV relativeFrom="paragraph">
                  <wp:posOffset>-1877060</wp:posOffset>
                </wp:positionV>
                <wp:extent cx="12065" cy="12065"/>
                <wp:effectExtent l="4445" t="4445" r="21590" b="12065"/>
                <wp:wrapNone/>
                <wp:docPr id="65" name="矩形 65"/>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9.8pt;margin-top:-147.8pt;height:0.95pt;width:0.95pt;z-index:-251650048;mso-width-relative:page;mso-height-relative:page;" fillcolor="#000000" filled="t" stroked="t" coordsize="21600,21600" o:allowincell="f" o:gfxdata="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YcAlrZAAAADQEAAA8AAAAAAAAAAQAgAAAAIgAAAGRycy9kb3du&#10;cmV2LnhtbFBLAQIUABQAAAAIAIdO4kDRbH1yNwIAAIc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w:t>注：详见工程量清单。</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11-2：工程设备暂估价表</w:t>
      </w:r>
    </w:p>
    <w:tbl>
      <w:tblPr>
        <w:tblStyle w:val="61"/>
        <w:tblW w:w="0" w:type="auto"/>
        <w:tblInd w:w="70" w:type="dxa"/>
        <w:tblLayout w:type="fixed"/>
        <w:tblCellMar>
          <w:top w:w="0" w:type="dxa"/>
          <w:left w:w="0" w:type="dxa"/>
          <w:bottom w:w="0" w:type="dxa"/>
          <w:right w:w="0" w:type="dxa"/>
        </w:tblCellMar>
      </w:tblPr>
      <w:tblGrid>
        <w:gridCol w:w="940"/>
        <w:gridCol w:w="1800"/>
        <w:gridCol w:w="800"/>
        <w:gridCol w:w="740"/>
        <w:gridCol w:w="1300"/>
        <w:gridCol w:w="1360"/>
        <w:gridCol w:w="1560"/>
      </w:tblGrid>
      <w:tr>
        <w:tblPrEx>
          <w:tblCellMar>
            <w:top w:w="0" w:type="dxa"/>
            <w:left w:w="0" w:type="dxa"/>
            <w:bottom w:w="0" w:type="dxa"/>
            <w:right w:w="0" w:type="dxa"/>
          </w:tblCellMar>
        </w:tblPrEx>
        <w:trPr>
          <w:trHeight w:val="376" w:hRule="atLeast"/>
        </w:trPr>
        <w:tc>
          <w:tcPr>
            <w:tcW w:w="940" w:type="dxa"/>
            <w:tcBorders>
              <w:top w:val="single" w:color="auto" w:sz="8" w:space="0"/>
              <w:left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0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0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4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0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3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15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0" w:type="dxa"/>
            <w:bottom w:w="0" w:type="dxa"/>
            <w:right w:w="0" w:type="dxa"/>
          </w:tblCellMar>
        </w:tblPrEx>
        <w:trPr>
          <w:trHeight w:val="12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20" w:hRule="atLeast"/>
        </w:trPr>
        <w:tc>
          <w:tcPr>
            <w:tcW w:w="940" w:type="dxa"/>
            <w:tcBorders>
              <w:left w:val="single" w:color="auto" w:sz="8" w:space="0"/>
              <w:bottom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5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8"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7456" behindDoc="1" locked="0" layoutInCell="0" allowOverlap="1">
                <wp:simplePos x="0" y="0"/>
                <wp:positionH relativeFrom="column">
                  <wp:posOffset>33020</wp:posOffset>
                </wp:positionH>
                <wp:positionV relativeFrom="paragraph">
                  <wp:posOffset>-5922010</wp:posOffset>
                </wp:positionV>
                <wp:extent cx="18415" cy="27305"/>
                <wp:effectExtent l="4445" t="5080" r="15240" b="5715"/>
                <wp:wrapNone/>
                <wp:docPr id="64" name="矩形 64"/>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pt;margin-top:-466.3pt;height:2.15pt;width:1.45pt;z-index:-251649024;mso-width-relative:page;mso-height-relative:page;" fillcolor="#000000" filled="t" stroked="t" coordsize="21600,21600" o:allowincell="f" o:gfxdata="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enqWXXAAAACQEAAA8AAAAAAAAAAQAgAAAAIgAAAGRycy9k&#10;b3ducmV2LnhtbFBLAQIUABQAAAAIAIdO4kCvAPJ+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8480" behindDoc="1" locked="0" layoutInCell="0" allowOverlap="1">
                <wp:simplePos x="0" y="0"/>
                <wp:positionH relativeFrom="column">
                  <wp:posOffset>5412740</wp:posOffset>
                </wp:positionH>
                <wp:positionV relativeFrom="paragraph">
                  <wp:posOffset>-5922010</wp:posOffset>
                </wp:positionV>
                <wp:extent cx="18415" cy="27305"/>
                <wp:effectExtent l="4445" t="5080" r="15240" b="5715"/>
                <wp:wrapNone/>
                <wp:docPr id="63" name="矩形 63"/>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6.2pt;margin-top:-466.3pt;height:2.15pt;width:1.45pt;z-index:-251648000;mso-width-relative:page;mso-height-relative:page;" fillcolor="#000000" filled="t" stroked="t" coordsize="21600,21600" o:allowincell="f" o:gfxdata="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3dqGXaAAAADQEAAA8AAAAAAAAAAQAgAAAAIgAAAGRy&#10;cy9kb3ducmV2LnhtbFBLAQIUABQAAAAIAIdO4kBeIqv2PAIAAIcEAAAOAAAAAAAAAAEAIAAAACkB&#10;AABkcnMvZTJvRG9jLnhtbFBLBQYAAAAABgAGAFkBAADX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9504" behindDoc="1" locked="0" layoutInCell="0" allowOverlap="1">
                <wp:simplePos x="0" y="0"/>
                <wp:positionH relativeFrom="column">
                  <wp:posOffset>3568700</wp:posOffset>
                </wp:positionH>
                <wp:positionV relativeFrom="paragraph">
                  <wp:posOffset>-4665980</wp:posOffset>
                </wp:positionV>
                <wp:extent cx="12065" cy="12065"/>
                <wp:effectExtent l="4445" t="4445" r="21590" b="12065"/>
                <wp:wrapNone/>
                <wp:docPr id="62" name="矩形 62"/>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1pt;margin-top:-367.4pt;height:0.95pt;width:0.95pt;z-index:-251646976;mso-width-relative:page;mso-height-relative:page;" fillcolor="#000000" filled="t" stroked="t" coordsize="21600,21600" o:allowincell="f" o:gfxdata="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Cr0fjaAAAADQEAAA8AAAAAAAAAAQAgAAAAIgAAAGRycy9k&#10;b3ducmV2LnhtbFBLAQIUABQAAAAIAIdO4kAgTiT6OQIAAIcEAAAOAAAAAAAAAAEAIAAAACk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70528" behindDoc="1" locked="0" layoutInCell="0" allowOverlap="1">
                <wp:simplePos x="0" y="0"/>
                <wp:positionH relativeFrom="column">
                  <wp:posOffset>3568700</wp:posOffset>
                </wp:positionH>
                <wp:positionV relativeFrom="paragraph">
                  <wp:posOffset>-2188210</wp:posOffset>
                </wp:positionV>
                <wp:extent cx="12065" cy="12065"/>
                <wp:effectExtent l="4445" t="4445" r="21590" b="12065"/>
                <wp:wrapNone/>
                <wp:docPr id="61" name="矩形 61"/>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1pt;margin-top:-172.3pt;height:0.95pt;width:0.95pt;z-index:-251645952;mso-width-relative:page;mso-height-relative:page;" fillcolor="#000000" filled="t" stroked="t" coordsize="21600,21600" o:allowincell="f" o:gfxdata="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amdsAAAANAQAADwAAAAAAAAABACAAAAAiAAAAZHJz&#10;L2Rvd25yZXYueG1sUEsBAhQAFAAAAAgAh07iQOaDzOE6AgAAhwQAAA4AAAAAAAAAAQAgAAAAKgEA&#10;AGRycy9lMm9Eb2MueG1sUEsFBgAAAAAGAAYAWQEAANYFA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w:t>注：详见工程量清单。</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11-3：专业工程暂估价表</w:t>
      </w:r>
    </w:p>
    <w:p>
      <w:pPr>
        <w:rPr>
          <w:rFonts w:hint="eastAsia" w:ascii="仿宋" w:hAnsi="仿宋" w:eastAsia="仿宋" w:cs="仿宋"/>
          <w:color w:val="auto"/>
          <w:sz w:val="24"/>
          <w:szCs w:val="24"/>
          <w:highlight w:val="none"/>
        </w:rPr>
      </w:pPr>
    </w:p>
    <w:tbl>
      <w:tblPr>
        <w:tblStyle w:val="61"/>
        <w:tblW w:w="0" w:type="auto"/>
        <w:tblInd w:w="70" w:type="dxa"/>
        <w:tblLayout w:type="fixed"/>
        <w:tblCellMar>
          <w:top w:w="0" w:type="dxa"/>
          <w:left w:w="0" w:type="dxa"/>
          <w:bottom w:w="0" w:type="dxa"/>
          <w:right w:w="0" w:type="dxa"/>
        </w:tblCellMar>
      </w:tblPr>
      <w:tblGrid>
        <w:gridCol w:w="940"/>
        <w:gridCol w:w="1080"/>
        <w:gridCol w:w="720"/>
        <w:gridCol w:w="720"/>
        <w:gridCol w:w="1120"/>
        <w:gridCol w:w="1140"/>
        <w:gridCol w:w="3120"/>
      </w:tblGrid>
      <w:tr>
        <w:tblPrEx>
          <w:tblCellMar>
            <w:top w:w="0" w:type="dxa"/>
            <w:left w:w="0" w:type="dxa"/>
            <w:bottom w:w="0" w:type="dxa"/>
            <w:right w:w="0" w:type="dxa"/>
          </w:tblCellMar>
        </w:tblPrEx>
        <w:trPr>
          <w:trHeight w:val="376" w:hRule="atLeast"/>
        </w:trPr>
        <w:tc>
          <w:tcPr>
            <w:tcW w:w="940" w:type="dxa"/>
            <w:tcBorders>
              <w:top w:val="single" w:color="auto" w:sz="8" w:space="0"/>
              <w:left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8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7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14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31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0" w:type="dxa"/>
            <w:bottom w:w="0" w:type="dxa"/>
            <w:right w:w="0" w:type="dxa"/>
          </w:tblCellMar>
        </w:tblPrEx>
        <w:trPr>
          <w:trHeight w:val="12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20" w:hRule="atLeast"/>
        </w:trPr>
        <w:tc>
          <w:tcPr>
            <w:tcW w:w="940" w:type="dxa"/>
            <w:tcBorders>
              <w:left w:val="single" w:color="auto" w:sz="8" w:space="0"/>
              <w:bottom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81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8"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71552" behindDoc="1" locked="0" layoutInCell="0" allowOverlap="1">
                <wp:simplePos x="0" y="0"/>
                <wp:positionH relativeFrom="column">
                  <wp:posOffset>33020</wp:posOffset>
                </wp:positionH>
                <wp:positionV relativeFrom="paragraph">
                  <wp:posOffset>-6150610</wp:posOffset>
                </wp:positionV>
                <wp:extent cx="18415" cy="27305"/>
                <wp:effectExtent l="4445" t="5080" r="15240" b="5715"/>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pt;margin-top:-484.3pt;height:2.15pt;width:1.45pt;z-index:-251644928;mso-width-relative:page;mso-height-relative:page;" fillcolor="#000000" filled="t" stroked="t" coordsize="21600,21600" o:allowincell="f" o:gfxdata="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8baXTXAAAACQEAAA8AAAAAAAAAAQAgAAAAIgAAAGRycy9k&#10;b3ducmV2LnhtbFBLAQIUABQAAAAIAIdO4kCY70Pt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72576" behindDoc="1" locked="0" layoutInCell="0" allowOverlap="1">
                <wp:simplePos x="0" y="0"/>
                <wp:positionH relativeFrom="column">
                  <wp:posOffset>5629275</wp:posOffset>
                </wp:positionH>
                <wp:positionV relativeFrom="paragraph">
                  <wp:posOffset>-6150610</wp:posOffset>
                </wp:positionV>
                <wp:extent cx="18415" cy="27305"/>
                <wp:effectExtent l="4445" t="5080" r="15240" b="5715"/>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43.25pt;margin-top:-484.3pt;height:2.15pt;width:1.45pt;z-index:-251643904;mso-width-relative:page;mso-height-relative:page;" fillcolor="#000000" filled="t" stroked="t" coordsize="21600,21600" o:allowincell="f" o:gfxdata="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hc1SNkAAAANAQAADwAAAAAAAAABACAAAAAiAAAAZHJzL2Rvd25y&#10;ZXYueG1sUEsBAhQAFAAAAAgAh07iQCYku6M2AgAAfAQAAA4AAAAAAAAAAQAgAAAAKAEAAGRycy9l&#10;Mm9Eb2MueG1sUEsFBgAAAAAGAAYAWQEAANAFAAAAAA==&#10;">
                <v:fill on="t" focussize="0,0"/>
                <v:stroke color="#FFFFFF" miterlimit="8" joinstyle="miter"/>
                <v:imagedata o:title=""/>
                <o:lock v:ext="edit" aspectratio="f"/>
              </v:rect>
            </w:pict>
          </mc:Fallback>
        </mc:AlternateContent>
      </w:r>
    </w:p>
    <w:p>
      <w:pPr>
        <w:rPr>
          <w:rFonts w:hint="eastAsia" w:ascii="仿宋" w:hAnsi="仿宋" w:eastAsia="仿宋" w:cs="仿宋"/>
          <w:color w:val="auto"/>
          <w:sz w:val="24"/>
          <w:szCs w:val="24"/>
          <w:highlight w:val="none"/>
        </w:rPr>
      </w:pPr>
    </w:p>
    <w:p>
      <w:pPr>
        <w:rPr>
          <w:color w:val="auto"/>
          <w:highlight w:val="none"/>
        </w:rPr>
      </w:pPr>
      <w:r>
        <w:rPr>
          <w:rFonts w:hint="eastAsia" w:ascii="仿宋" w:hAnsi="仿宋" w:eastAsia="仿宋" w:cs="仿宋"/>
          <w:color w:val="auto"/>
          <w:sz w:val="24"/>
          <w:szCs w:val="24"/>
          <w:highlight w:val="none"/>
        </w:rPr>
        <w:t>注：详见工程量清单。</w:t>
      </w:r>
    </w:p>
    <w:p>
      <w:pPr>
        <w:rPr>
          <w:rFonts w:ascii="仿宋_GB2312" w:hAnsi="仿宋_GB2312" w:eastAsia="仿宋_GB2312" w:cs="仿宋_GB2312"/>
          <w:b/>
          <w:sz w:val="36"/>
          <w:szCs w:val="20"/>
        </w:rPr>
      </w:pPr>
      <w:r>
        <w:rPr>
          <w:rFonts w:hint="eastAsia" w:ascii="仿宋_GB2312" w:hAnsi="楷体" w:eastAsia="仿宋_GB2312"/>
          <w:sz w:val="24"/>
          <w:u w:val="single"/>
          <w:lang w:val="zh-CN"/>
        </w:rPr>
        <w:br w:type="page"/>
      </w:r>
    </w:p>
    <w:p>
      <w:pPr>
        <w:snapToGrid w:val="0"/>
        <w:spacing w:line="360" w:lineRule="auto"/>
        <w:jc w:val="center"/>
        <w:outlineLvl w:val="0"/>
        <w:rPr>
          <w:rFonts w:ascii="仿宋_GB2312" w:hAnsi="仿宋_GB2312" w:eastAsia="仿宋_GB2312" w:cs="仿宋_GB2312"/>
          <w:b/>
          <w:sz w:val="36"/>
          <w:szCs w:val="20"/>
        </w:rPr>
      </w:pPr>
      <w:bookmarkStart w:id="537" w:name="_Toc303"/>
      <w:r>
        <w:rPr>
          <w:rFonts w:hint="eastAsia" w:ascii="仿宋_GB2312" w:hAnsi="仿宋_GB2312" w:eastAsia="仿宋_GB2312" w:cs="仿宋_GB2312"/>
          <w:b/>
          <w:sz w:val="36"/>
          <w:szCs w:val="20"/>
        </w:rPr>
        <w:t>第七部分</w:t>
      </w:r>
      <w:bookmarkEnd w:id="48"/>
      <w:r>
        <w:rPr>
          <w:rFonts w:hint="eastAsia" w:ascii="仿宋_GB2312" w:hAnsi="仿宋_GB2312" w:eastAsia="仿宋_GB2312" w:cs="仿宋_GB2312"/>
          <w:b/>
          <w:sz w:val="36"/>
          <w:szCs w:val="20"/>
        </w:rPr>
        <w:t xml:space="preserve">  </w:t>
      </w:r>
      <w:bookmarkEnd w:id="49"/>
      <w:r>
        <w:rPr>
          <w:rFonts w:hint="eastAsia" w:ascii="仿宋_GB2312" w:hAnsi="仿宋_GB2312" w:eastAsia="仿宋_GB2312" w:cs="仿宋_GB2312"/>
          <w:b/>
          <w:sz w:val="36"/>
          <w:szCs w:val="20"/>
        </w:rPr>
        <w:t>应提交的有关格式范例</w:t>
      </w:r>
      <w:bookmarkEnd w:id="537"/>
    </w:p>
    <w:p>
      <w:pPr>
        <w:spacing w:line="360" w:lineRule="auto"/>
        <w:jc w:val="center"/>
        <w:outlineLvl w:val="0"/>
        <w:rPr>
          <w:rFonts w:ascii="仿宋_GB2312" w:hAnsi="仿宋" w:eastAsia="仿宋_GB2312" w:cs="仿宋_GB2312"/>
          <w:b/>
          <w:kern w:val="0"/>
          <w:sz w:val="36"/>
          <w:szCs w:val="36"/>
        </w:rPr>
      </w:pPr>
      <w:bookmarkStart w:id="538" w:name="_Toc15534"/>
      <w:r>
        <w:rPr>
          <w:rFonts w:hint="eastAsia" w:ascii="仿宋_GB2312" w:hAnsi="仿宋" w:eastAsia="仿宋_GB2312" w:cs="仿宋_GB2312"/>
          <w:b/>
          <w:kern w:val="0"/>
          <w:sz w:val="36"/>
          <w:szCs w:val="36"/>
        </w:rPr>
        <w:t>资格文件部分</w:t>
      </w:r>
      <w:bookmarkEnd w:id="538"/>
    </w:p>
    <w:p>
      <w:pPr>
        <w:snapToGrid w:val="0"/>
        <w:spacing w:line="360" w:lineRule="auto"/>
        <w:ind w:right="480"/>
        <w:rPr>
          <w:rFonts w:ascii="仿宋_GB2312" w:hAnsi="仿宋" w:eastAsia="仿宋_GB2312" w:cs="仿宋_GB2312"/>
          <w:b/>
          <w:kern w:val="0"/>
          <w:sz w:val="32"/>
          <w:szCs w:val="32"/>
        </w:rPr>
      </w:pPr>
      <w:r>
        <w:rPr>
          <w:rFonts w:ascii="仿宋_GB2312" w:hAnsi="仿宋" w:eastAsia="仿宋_GB2312" w:cs="仿宋_GB2312"/>
          <w:b/>
          <w:kern w:val="0"/>
          <w:sz w:val="32"/>
          <w:szCs w:val="32"/>
        </w:rPr>
        <w:t>一、 符合参加政府采购活动应当具备的一般条件的承诺函</w:t>
      </w:r>
    </w:p>
    <w:p>
      <w:pPr>
        <w:snapToGrid w:val="0"/>
        <w:spacing w:line="360" w:lineRule="auto"/>
        <w:rPr>
          <w:rFonts w:ascii="仿宋_GB2312" w:hAnsi="仿宋" w:eastAsia="仿宋_GB2312" w:cs="仿宋_GB2312"/>
          <w:sz w:val="24"/>
        </w:rPr>
      </w:pPr>
      <w:r>
        <w:rPr>
          <w:rFonts w:hint="eastAsia" w:ascii="仿宋_GB2312" w:hAnsi="仿宋" w:eastAsia="仿宋_GB2312" w:cs="仿宋_GB2312"/>
          <w:sz w:val="24"/>
          <w:u w:val="single"/>
        </w:rPr>
        <w:t>（采购人）、（采购代理机构）</w:t>
      </w:r>
      <w:r>
        <w:rPr>
          <w:rFonts w:hint="eastAsia" w:ascii="仿宋_GB2312" w:hAnsi="仿宋" w:eastAsia="仿宋_GB2312" w:cs="仿宋_GB2312"/>
          <w:sz w:val="24"/>
        </w:rPr>
        <w:t>：</w:t>
      </w:r>
    </w:p>
    <w:p>
      <w:pPr>
        <w:snapToGrid w:val="0"/>
        <w:spacing w:line="360" w:lineRule="auto"/>
        <w:ind w:firstLine="420"/>
        <w:rPr>
          <w:rFonts w:ascii="仿宋_GB2312" w:hAnsi="仿宋" w:eastAsia="仿宋_GB2312" w:cs="仿宋_GB2312"/>
          <w:sz w:val="24"/>
        </w:rPr>
      </w:pPr>
      <w:r>
        <w:rPr>
          <w:rFonts w:hint="eastAsia" w:ascii="仿宋_GB2312" w:hAnsi="仿宋" w:eastAsia="仿宋_GB2312" w:cs="仿宋_GB2312"/>
          <w:sz w:val="24"/>
        </w:rPr>
        <w:t>我方参与</w:t>
      </w:r>
      <w:r>
        <w:rPr>
          <w:rFonts w:hint="eastAsia" w:ascii="仿宋_GB2312" w:hAnsi="仿宋" w:eastAsia="仿宋_GB2312" w:cs="仿宋_GB2312"/>
          <w:sz w:val="24"/>
          <w:u w:val="single"/>
          <w:lang w:val="en-US" w:eastAsia="zh-CN"/>
        </w:rPr>
        <w:t xml:space="preserve">  （项目名称）  </w:t>
      </w:r>
      <w:r>
        <w:rPr>
          <w:rFonts w:hint="eastAsia" w:ascii="仿宋_GB2312" w:hAnsi="仿宋" w:eastAsia="仿宋_GB2312" w:cs="仿宋_GB2312"/>
          <w:sz w:val="24"/>
        </w:rPr>
        <w:t>【编号：</w:t>
      </w:r>
      <w:r>
        <w:rPr>
          <w:rFonts w:hint="eastAsia" w:ascii="仿宋_GB2312" w:hAnsi="仿宋" w:eastAsia="仿宋_GB2312"/>
          <w:b w:val="0"/>
          <w:i w:val="0"/>
          <w:sz w:val="24"/>
          <w:lang w:eastAsia="zh-CN"/>
        </w:rPr>
        <w:t>2023-ZFCG-0089</w:t>
      </w:r>
      <w:r>
        <w:rPr>
          <w:rFonts w:hint="eastAsia" w:ascii="仿宋_GB2312" w:hAnsi="仿宋" w:eastAsia="仿宋_GB2312" w:cs="仿宋_GB2312"/>
          <w:sz w:val="24"/>
        </w:rPr>
        <w:t>】政府采购活动，郑重承诺：</w:t>
      </w:r>
    </w:p>
    <w:p>
      <w:pPr>
        <w:snapToGrid w:val="0"/>
        <w:spacing w:line="360" w:lineRule="auto"/>
        <w:ind w:firstLine="360" w:firstLineChars="150"/>
        <w:rPr>
          <w:rFonts w:ascii="仿宋_GB2312" w:hAnsi="仿宋" w:eastAsia="仿宋_GB2312" w:cs="仿宋_GB2312"/>
          <w:sz w:val="24"/>
        </w:rPr>
      </w:pPr>
      <w:r>
        <w:rPr>
          <w:rFonts w:hint="eastAsia" w:ascii="仿宋_GB2312" w:hAnsi="仿宋" w:eastAsia="仿宋_GB2312" w:cs="仿宋_GB2312"/>
          <w:sz w:val="24"/>
        </w:rPr>
        <w:t>（一）具备《中华人民共和国政府采购法》第二十二条第一款规定的条件，并提供相关证明材料：</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具有独立承担民事责任的能力；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 xml:space="preserve">具有良好的商业信誉和健全的财务会计制度； </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具有履行合同所必需的设备和专业技术能力；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w:t>
      </w:r>
      <w:r>
        <w:rPr>
          <w:rFonts w:ascii="仿宋_GB2312" w:hAnsi="仿宋" w:eastAsia="仿宋_GB2312"/>
          <w:sz w:val="24"/>
        </w:rPr>
        <w:t>有依法缴纳税收和社会保障资金的良好记录；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5、</w:t>
      </w:r>
      <w:r>
        <w:rPr>
          <w:rFonts w:ascii="仿宋_GB2312" w:hAnsi="仿宋" w:eastAsia="仿宋_GB2312"/>
          <w:sz w:val="24"/>
        </w:rPr>
        <w:t>参加政府采购活动前三年内，在经营活动中没有重大违法记录；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6、</w:t>
      </w:r>
      <w:r>
        <w:rPr>
          <w:rFonts w:ascii="仿宋_GB2312" w:hAnsi="仿宋" w:eastAsia="仿宋_GB2312"/>
          <w:sz w:val="24"/>
        </w:rPr>
        <w:t>具有法律、行政法规规定的其他条件。</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（二）未被信用中国（</w:t>
      </w:r>
      <w:r>
        <w:rPr>
          <w:rFonts w:ascii="仿宋_GB2312" w:hAnsi="仿宋" w:eastAsia="仿宋_GB2312"/>
          <w:sz w:val="24"/>
        </w:rPr>
        <w:t>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（三）不存在以下情况：</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单位负责人为同一人或者存在直接控股、管理关系的不同供应商参加同一合同项下的政府采购活动的；</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ascii="仿宋_GB2312" w:hAnsi="仿宋" w:eastAsia="仿宋_GB2312" w:cs="仿宋_GB2312"/>
          <w:sz w:val="24"/>
        </w:rPr>
        <w:t>为采购项目提供整体设计、规范编制或者项目管理、监理、检测等服务后再参加该采购项目的其他采购活动的。</w:t>
      </w:r>
    </w:p>
    <w:p>
      <w:pPr>
        <w:pStyle w:val="25"/>
        <w:rPr>
          <w:rFonts w:ascii="仿宋_GB2312" w:hAnsi="仿宋" w:eastAsia="仿宋_GB2312" w:cs="仿宋_GB2312"/>
        </w:rPr>
      </w:pPr>
    </w:p>
    <w:p/>
    <w:p>
      <w:pPr>
        <w:snapToGrid w:val="0"/>
        <w:spacing w:line="360" w:lineRule="auto"/>
        <w:jc w:val="right"/>
        <w:rPr>
          <w:rFonts w:ascii="仿宋_GB2312" w:hAnsi="仿宋" w:eastAsia="仿宋_GB2312" w:cs="仿宋_GB2312"/>
          <w:kern w:val="0"/>
          <w:sz w:val="24"/>
        </w:rPr>
      </w:pPr>
      <w:r>
        <w:rPr>
          <w:rFonts w:hint="eastAsia" w:ascii="仿宋_GB2312" w:hAnsi="仿宋" w:eastAsia="仿宋_GB2312" w:cs="仿宋_GB2312"/>
          <w:kern w:val="0"/>
          <w:sz w:val="24"/>
          <w:lang w:val="zh-CN"/>
        </w:rPr>
        <w:t>供应商全称（盖单位公章或电子签章）</w:t>
      </w:r>
      <w:r>
        <w:rPr>
          <w:rFonts w:ascii="仿宋_GB2312" w:hAnsi="仿宋" w:eastAsia="仿宋_GB2312" w:cs="仿宋_GB2312"/>
          <w:kern w:val="0"/>
          <w:sz w:val="24"/>
          <w:lang w:val="zh-CN"/>
        </w:rPr>
        <w:t>：</w:t>
      </w:r>
    </w:p>
    <w:p>
      <w:pPr>
        <w:snapToGrid w:val="0"/>
        <w:spacing w:line="360" w:lineRule="auto"/>
        <w:rPr>
          <w:rFonts w:ascii="仿宋_GB2312" w:hAnsi="仿宋" w:eastAsia="仿宋_GB2312" w:cs="仿宋_GB2312"/>
          <w:kern w:val="0"/>
          <w:sz w:val="24"/>
        </w:rPr>
      </w:pPr>
      <w:r>
        <w:rPr>
          <w:rFonts w:ascii="仿宋_GB2312" w:hAnsi="仿宋" w:eastAsia="仿宋_GB2312" w:cs="仿宋_GB2312"/>
          <w:kern w:val="0"/>
          <w:sz w:val="24"/>
          <w:lang w:val="zh-CN"/>
        </w:rPr>
        <w:t xml:space="preserve">                        </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snapToGrid w:val="0"/>
        <w:spacing w:line="360" w:lineRule="auto"/>
        <w:ind w:right="480"/>
        <w:jc w:val="center"/>
        <w:rPr>
          <w:rFonts w:ascii="仿宋_GB2312" w:hAnsi="仿宋" w:eastAsia="仿宋_GB2312" w:cs="仿宋_GB2312"/>
          <w:b/>
          <w:kern w:val="0"/>
          <w:sz w:val="32"/>
          <w:szCs w:val="32"/>
        </w:rPr>
      </w:pPr>
    </w:p>
    <w:p>
      <w:pPr>
        <w:snapToGrid w:val="0"/>
        <w:spacing w:line="360" w:lineRule="auto"/>
        <w:ind w:right="480"/>
        <w:jc w:val="center"/>
        <w:rPr>
          <w:rFonts w:ascii="仿宋_GB2312" w:hAnsi="仿宋" w:eastAsia="仿宋_GB2312" w:cs="仿宋_GB2312"/>
          <w:b/>
          <w:kern w:val="0"/>
          <w:sz w:val="32"/>
          <w:szCs w:val="32"/>
        </w:rPr>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r>
        <w:rPr>
          <w:rFonts w:hint="eastAsia" w:ascii="仿宋_GB2312" w:hAnsi="仿宋" w:eastAsia="仿宋_GB2312" w:cs="仿宋_GB2312"/>
          <w:b/>
          <w:kern w:val="0"/>
          <w:sz w:val="32"/>
          <w:szCs w:val="32"/>
        </w:rPr>
        <w:t>1、具有独立承担民事责任的能力；</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是企业（包括合伙企业），提供有效 的营业执照。</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是事业单位，提供有效的事业单位法人证书。</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是非企业专业服务机构的，提供有效的执业许可证等证明文件。</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（4）</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是个体工商户，提供有效的个体工商户营业执照。</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（5）</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是自然人，提供有效的自然人身份证明。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2、具有良好的商业信誉和健全的财务会计制度；</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法人且成立一年或以上的,提供上一年度经审计的财务报告（上市公司或大型企业上一年度经审计的财务报告未完成的，提供投标截止日前6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（2）无法按第（1）条提供财务报告的</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可以提供银行出具的资信证明。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也可以提供财政部门认可的政府采购专业担保机构出具的投标担保函（原件），代替财务状况报告。</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3、具有履行合同所必需的设备和专业技术能力；</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提供具备足够数量的设施设备及技术人员的证明材料或承诺</w:t>
      </w: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4、有依法缴纳税收的良好记录；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（1）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依法交纳税收的证明材料：本项目公告发布时间前 6 个月内（至少提供 1 个月）交纳增值税、企业所得税的凭据（完税证、缴款书、印花税票、银行代扣（代缴）转账凭证等均可）；</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为其他组织或自然人的，也需要按此项规定提供交纳税收的凭据；</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 依法免税的</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，应提供相应文件证明其依法免税；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5、有依法缴纳社会保障资金的良好记录；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（1）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依法交纳社会保障资金的证明材料： 本项目公告发布时间前6 个月内（至少提供1 个月） 交纳社会保险的凭据（专用收据或社会保险交纳清单）；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为其他组织或自然人的，也需要按此项规定提供交纳社会保险的凭据；</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 依法不需要交纳社会保障资金的</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，应提供相应文件证明其依法不需要交纳社会保障资金。</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6、参加政府采购活动前三年内，在经营活动中没有重大违法记录；</w:t>
      </w:r>
    </w:p>
    <w:p>
      <w:pPr>
        <w:widowControl/>
        <w:spacing w:line="480" w:lineRule="auto"/>
        <w:jc w:val="center"/>
        <w:rPr>
          <w:rFonts w:ascii="仿宋" w:hAnsi="仿宋" w:eastAsia="仿宋" w:cs="仿宋"/>
          <w:color w:val="000000"/>
          <w:kern w:val="0"/>
          <w:sz w:val="24"/>
        </w:rPr>
      </w:pPr>
    </w:p>
    <w:p>
      <w:pPr>
        <w:widowControl/>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在经营活动中没有重大违法记录的声明函</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特此声明。</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lang w:eastAsia="zh-CN"/>
        </w:rPr>
        <w:t>供应商名称</w:t>
      </w:r>
      <w:r>
        <w:rPr>
          <w:rFonts w:hint="eastAsia" w:ascii="仿宋" w:hAnsi="仿宋" w:eastAsia="仿宋" w:cs="仿宋"/>
          <w:color w:val="000000"/>
          <w:kern w:val="0"/>
          <w:sz w:val="24"/>
        </w:rPr>
        <w:t>（盖章）：XXXXXXX有限公司</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日期： 年  月  日</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注：[近三年：指成立三年以上的，为提交首次投标文件截止时间前三年内；成立不足三年的，为实际时间。]</w:t>
      </w:r>
    </w:p>
    <w:p>
      <w:pPr>
        <w:widowControl/>
        <w:spacing w:line="480" w:lineRule="auto"/>
        <w:rPr>
          <w:rFonts w:ascii="仿宋" w:hAnsi="仿宋" w:eastAsia="仿宋" w:cs="仿宋"/>
          <w:b/>
          <w:kern w:val="0"/>
          <w:sz w:val="24"/>
        </w:rPr>
      </w:pPr>
    </w:p>
    <w:p>
      <w:pPr>
        <w:widowControl/>
        <w:spacing w:line="480" w:lineRule="auto"/>
        <w:rPr>
          <w:rFonts w:ascii="仿宋" w:hAnsi="仿宋" w:eastAsia="仿宋" w:cs="仿宋"/>
          <w:b/>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7、法律、行政法规规定的其他条件；</w:t>
      </w:r>
    </w:p>
    <w:p>
      <w:pPr>
        <w:widowControl/>
        <w:spacing w:line="480" w:lineRule="auto"/>
        <w:jc w:val="center"/>
        <w:rPr>
          <w:rFonts w:ascii="仿宋" w:hAnsi="仿宋" w:eastAsia="仿宋" w:cs="仿宋"/>
          <w:color w:val="000000"/>
          <w:kern w:val="0"/>
          <w:sz w:val="24"/>
        </w:rPr>
      </w:pPr>
    </w:p>
    <w:p>
      <w:pPr>
        <w:widowControl/>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符合法律、行政法规规定的其他条件的声明函</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pPr>
        <w:widowControl/>
        <w:spacing w:line="48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不符合法律、行政法规规定的其他条件的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特此声明。</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lang w:eastAsia="zh-CN"/>
        </w:rPr>
        <w:t>供应商名称</w:t>
      </w:r>
      <w:r>
        <w:rPr>
          <w:rFonts w:hint="eastAsia" w:ascii="仿宋" w:hAnsi="仿宋" w:eastAsia="仿宋" w:cs="仿宋"/>
          <w:color w:val="000000"/>
          <w:kern w:val="0"/>
          <w:sz w:val="24"/>
        </w:rPr>
        <w:t>（盖章）：XXXXXXX有限公司</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日期： 年  月  日</w:t>
      </w:r>
    </w:p>
    <w:p>
      <w:pPr>
        <w:widowControl/>
        <w:rPr>
          <w:rFonts w:ascii="仿宋_GB2312" w:hAnsi="仿宋" w:eastAsia="仿宋_GB2312" w:cs="仿宋_GB2312"/>
          <w:b/>
          <w:kern w:val="0"/>
          <w:sz w:val="32"/>
          <w:szCs w:val="32"/>
        </w:rPr>
      </w:pPr>
      <w:r>
        <w:rPr>
          <w:rFonts w:hint="eastAsia" w:ascii="仿宋" w:hAnsi="仿宋" w:eastAsia="仿宋" w:cs="仿宋"/>
          <w:color w:val="000000"/>
          <w:kern w:val="0"/>
          <w:sz w:val="24"/>
        </w:rPr>
        <w:t>注：[近三年：指成立三年以上的，为提交首次投标文件截止时间前三年内；成立不足三年的，为实际时间。]</w:t>
      </w:r>
    </w:p>
    <w:p>
      <w:pPr>
        <w:rPr>
          <w:rFonts w:ascii="仿宋_GB2312" w:hAnsi="仿宋" w:eastAsia="仿宋_GB2312" w:cs="仿宋_GB2312"/>
          <w:b/>
          <w:kern w:val="0"/>
          <w:sz w:val="32"/>
          <w:szCs w:val="32"/>
        </w:rPr>
      </w:pPr>
      <w:r>
        <w:rPr>
          <w:rFonts w:hint="eastAsia" w:ascii="仿宋" w:hAnsi="仿宋" w:eastAsia="仿宋" w:cs="仿宋"/>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8、投标保证金</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trPr>
        <w:tc>
          <w:tcPr>
            <w:tcW w:w="9286" w:type="dxa"/>
          </w:tcPr>
          <w:p>
            <w:pPr>
              <w:pStyle w:val="4"/>
              <w:numPr>
                <w:ilvl w:val="2"/>
                <w:numId w:val="0"/>
              </w:numPr>
            </w:pPr>
          </w:p>
          <w:p/>
          <w:p>
            <w:pPr>
              <w:pStyle w:val="4"/>
              <w:numPr>
                <w:ilvl w:val="2"/>
                <w:numId w:val="0"/>
              </w:numPr>
              <w:ind w:left="180"/>
              <w:jc w:val="center"/>
              <w:rPr>
                <w:b w:val="0"/>
                <w:bCs w:val="0"/>
                <w:sz w:val="24"/>
                <w:szCs w:val="24"/>
              </w:rPr>
            </w:pPr>
            <w:r>
              <w:rPr>
                <w:rFonts w:hint="eastAsia"/>
                <w:b w:val="0"/>
                <w:bCs w:val="0"/>
                <w:sz w:val="24"/>
                <w:szCs w:val="24"/>
              </w:rPr>
              <w:t>附投标保证金汇款凭证</w:t>
            </w:r>
          </w:p>
          <w:p/>
          <w:p/>
        </w:tc>
      </w:tr>
    </w:tbl>
    <w:p>
      <w:pPr>
        <w:bidi w:val="0"/>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widowControl/>
        <w:spacing w:line="360" w:lineRule="auto"/>
        <w:ind w:left="150"/>
        <w:jc w:val="left"/>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9、本项目的特定资格要求</w:t>
      </w:r>
    </w:p>
    <w:p>
      <w:pPr>
        <w:spacing w:line="360" w:lineRule="auto"/>
        <w:jc w:val="center"/>
        <w:rPr>
          <w:rFonts w:ascii="仿宋" w:hAnsi="仿宋" w:eastAsia="仿宋" w:cs="仿宋"/>
          <w:sz w:val="24"/>
        </w:rPr>
      </w:pPr>
      <w:r>
        <w:rPr>
          <w:rFonts w:hint="eastAsia" w:ascii="仿宋_GB2312" w:hAnsi="仿宋" w:eastAsia="仿宋_GB2312" w:cs="仿宋_GB2312"/>
          <w:sz w:val="24"/>
        </w:rPr>
        <w:t>（根据竞争性磋商邀请公告本项目的特定资格要求</w:t>
      </w:r>
      <w:r>
        <w:rPr>
          <w:rFonts w:hint="eastAsia" w:ascii="仿宋_GB2312" w:hAnsi="仿宋" w:eastAsia="仿宋_GB2312"/>
          <w:sz w:val="24"/>
        </w:rPr>
        <w:t>提供相应的材料；未要求的，无需提</w:t>
      </w:r>
      <w:r>
        <w:rPr>
          <w:rFonts w:hint="eastAsia" w:ascii="仿宋" w:hAnsi="仿宋" w:eastAsia="仿宋" w:cs="仿宋"/>
          <w:sz w:val="24"/>
        </w:rPr>
        <w:t>供）</w:t>
      </w:r>
    </w:p>
    <w:p>
      <w:pPr>
        <w:rPr>
          <w:rFonts w:ascii="仿宋" w:hAnsi="仿宋" w:eastAsia="仿宋" w:cs="仿宋"/>
          <w:sz w:val="24"/>
        </w:rPr>
      </w:pPr>
    </w:p>
    <w:p>
      <w:pP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br w:type="page"/>
      </w:r>
    </w:p>
    <w:p>
      <w:pPr>
        <w:spacing w:line="360" w:lineRule="auto"/>
        <w:jc w:val="center"/>
        <w:outlineLvl w:val="0"/>
      </w:pPr>
      <w:bookmarkStart w:id="539" w:name="_Toc4067"/>
      <w:r>
        <w:rPr>
          <w:rFonts w:hint="eastAsia" w:ascii="仿宋_GB2312" w:hAnsi="仿宋" w:eastAsia="仿宋_GB2312" w:cs="仿宋_GB2312"/>
          <w:b/>
          <w:kern w:val="0"/>
          <w:sz w:val="36"/>
          <w:szCs w:val="36"/>
        </w:rPr>
        <w:t>商务技术文件部分</w:t>
      </w:r>
      <w:bookmarkEnd w:id="539"/>
    </w:p>
    <w:p>
      <w:pPr>
        <w:snapToGrid w:val="0"/>
        <w:spacing w:line="360" w:lineRule="auto"/>
        <w:ind w:right="480"/>
        <w:rPr>
          <w:rFonts w:ascii="仿宋_GB2312" w:hAnsi="仿宋" w:eastAsia="仿宋_GB2312" w:cs="仿宋_GB2312"/>
          <w:b/>
          <w:kern w:val="0"/>
          <w:sz w:val="32"/>
          <w:szCs w:val="32"/>
          <w:lang w:val="zh-CN"/>
        </w:rPr>
      </w:pPr>
      <w:bookmarkStart w:id="540" w:name="_Toc4380"/>
      <w:r>
        <w:rPr>
          <w:rFonts w:hint="eastAsia" w:ascii="仿宋_GB2312" w:hAnsi="仿宋" w:eastAsia="仿宋_GB2312" w:cs="仿宋_GB2312"/>
          <w:b/>
          <w:kern w:val="0"/>
          <w:sz w:val="32"/>
          <w:szCs w:val="32"/>
          <w:lang w:val="zh-CN"/>
        </w:rPr>
        <w:t>一、响应函</w:t>
      </w:r>
      <w:bookmarkEnd w:id="540"/>
    </w:p>
    <w:p>
      <w:pPr>
        <w:snapToGrid w:val="0"/>
        <w:spacing w:line="360" w:lineRule="exact"/>
        <w:rPr>
          <w:rFonts w:ascii="仿宋_GB2312" w:hAnsi="仿宋_GB2312" w:eastAsia="仿宋_GB2312" w:cs="仿宋_GB2312"/>
          <w:sz w:val="24"/>
        </w:rPr>
      </w:pPr>
      <w:r>
        <w:rPr>
          <w:rFonts w:hint="eastAsia" w:ascii="仿宋_GB2312" w:hAnsi="仿宋" w:eastAsia="仿宋_GB2312" w:cs="仿宋_GB2312"/>
          <w:sz w:val="24"/>
          <w:u w:val="single"/>
        </w:rPr>
        <w:t>（采购人）、（采购代理机构）</w:t>
      </w:r>
      <w:r>
        <w:rPr>
          <w:rFonts w:hint="eastAsia" w:ascii="仿宋_GB2312" w:hAnsi="仿宋_GB2312" w:eastAsia="仿宋_GB2312" w:cs="仿宋_GB2312"/>
          <w:sz w:val="24"/>
        </w:rPr>
        <w:t>：</w:t>
      </w:r>
    </w:p>
    <w:p>
      <w:pPr>
        <w:snapToGrid w:val="0"/>
        <w:spacing w:line="360" w:lineRule="exact"/>
        <w:ind w:firstLine="480" w:firstLineChars="200"/>
        <w:rPr>
          <w:rFonts w:ascii="仿宋_GB2312" w:hAnsi="仿宋_GB2312" w:eastAsia="仿宋_GB2312" w:cs="仿宋_GB2312"/>
          <w:sz w:val="24"/>
        </w:rPr>
      </w:pPr>
      <w:r>
        <w:rPr>
          <w:rFonts w:hint="eastAsia" w:ascii="仿宋_GB2312" w:hAnsi="仿宋" w:eastAsia="仿宋_GB2312" w:cs="仿宋_GB2312"/>
          <w:sz w:val="24"/>
        </w:rPr>
        <w:t>我方参加你方组织的</w:t>
      </w:r>
      <w:r>
        <w:rPr>
          <w:rFonts w:hint="eastAsia" w:ascii="仿宋_GB2312" w:hAnsi="仿宋" w:eastAsia="仿宋_GB2312" w:cs="仿宋_GB2312"/>
          <w:sz w:val="24"/>
          <w:u w:val="single"/>
          <w:lang w:eastAsia="zh-CN"/>
        </w:rPr>
        <w:t>（项目名称）</w:t>
      </w:r>
      <w:r>
        <w:rPr>
          <w:rFonts w:hint="eastAsia" w:ascii="仿宋_GB2312" w:hAnsi="仿宋" w:eastAsia="仿宋_GB2312" w:cs="仿宋_GB2312"/>
          <w:sz w:val="24"/>
          <w:u w:val="single"/>
          <w:lang w:val="en-US" w:eastAsia="zh-CN"/>
        </w:rPr>
        <w:t xml:space="preserve">       </w:t>
      </w:r>
      <w:r>
        <w:rPr>
          <w:rFonts w:hint="eastAsia" w:ascii="仿宋_GB2312" w:hAnsi="仿宋" w:eastAsia="仿宋_GB2312" w:cs="仿宋_GB2312"/>
          <w:sz w:val="24"/>
          <w:u w:val="single"/>
        </w:rPr>
        <w:t>【编号：</w:t>
      </w:r>
      <w:r>
        <w:rPr>
          <w:rFonts w:hint="eastAsia" w:ascii="仿宋_GB2312" w:hAnsi="仿宋" w:eastAsia="仿宋_GB2312"/>
          <w:b w:val="0"/>
          <w:i w:val="0"/>
          <w:sz w:val="24"/>
          <w:u w:val="single"/>
          <w:lang w:eastAsia="zh-CN"/>
        </w:rPr>
        <w:t>2023-ZFCG-0089</w:t>
      </w:r>
      <w:r>
        <w:rPr>
          <w:rFonts w:hint="eastAsia" w:ascii="仿宋_GB2312" w:hAnsi="仿宋" w:eastAsia="仿宋_GB2312" w:cs="仿宋_GB2312"/>
          <w:sz w:val="24"/>
          <w:u w:val="single"/>
        </w:rPr>
        <w:t>】</w:t>
      </w:r>
      <w:r>
        <w:rPr>
          <w:rFonts w:hint="eastAsia" w:ascii="仿宋_GB2312" w:hAnsi="仿宋" w:eastAsia="仿宋_GB2312" w:cs="仿宋_GB2312"/>
          <w:sz w:val="24"/>
          <w:lang w:eastAsia="zh-CN"/>
        </w:rPr>
        <w:t>竞争</w:t>
      </w:r>
      <w:r>
        <w:rPr>
          <w:rFonts w:hint="eastAsia" w:ascii="仿宋_GB2312" w:hAnsi="仿宋" w:eastAsia="仿宋_GB2312" w:cs="仿宋_GB2312"/>
          <w:sz w:val="24"/>
        </w:rPr>
        <w:t>性磋商的有关活动，并对此项目进行响应。</w:t>
      </w:r>
      <w:r>
        <w:rPr>
          <w:rFonts w:hint="eastAsia" w:ascii="仿宋_GB2312" w:hAnsi="仿宋_GB2312" w:eastAsia="仿宋_GB2312" w:cs="仿宋_GB2312"/>
          <w:sz w:val="24"/>
        </w:rPr>
        <w:t>为此：</w:t>
      </w:r>
    </w:p>
    <w:p>
      <w:pPr>
        <w:numPr>
          <w:ilvl w:val="0"/>
          <w:numId w:val="45"/>
        </w:numPr>
        <w:snapToGrid w:val="0"/>
        <w:spacing w:line="360" w:lineRule="exact"/>
        <w:rPr>
          <w:rFonts w:ascii="仿宋_GB2312" w:hAnsi="仿宋_GB2312" w:eastAsia="仿宋_GB2312" w:cs="仿宋_GB2312"/>
          <w:sz w:val="24"/>
        </w:rPr>
      </w:pPr>
      <w:r>
        <w:rPr>
          <w:rFonts w:ascii="仿宋_GB2312" w:hAnsi="仿宋" w:eastAsia="仿宋_GB2312" w:cs="仿宋_GB2312"/>
          <w:sz w:val="24"/>
        </w:rPr>
        <w:t>我方承诺</w:t>
      </w:r>
      <w:r>
        <w:rPr>
          <w:rFonts w:hint="eastAsia" w:ascii="仿宋_GB2312" w:hAnsi="仿宋" w:eastAsia="仿宋_GB2312" w:cs="仿宋_GB2312"/>
          <w:sz w:val="24"/>
        </w:rPr>
        <w:t>响应</w:t>
      </w:r>
      <w:r>
        <w:rPr>
          <w:rFonts w:ascii="仿宋_GB2312" w:hAnsi="仿宋" w:eastAsia="仿宋_GB2312" w:cs="仿宋_GB2312"/>
          <w:sz w:val="24"/>
        </w:rPr>
        <w:t>有效期从提交</w:t>
      </w:r>
      <w:r>
        <w:rPr>
          <w:rFonts w:hint="eastAsia" w:ascii="仿宋_GB2312" w:hAnsi="仿宋" w:eastAsia="仿宋_GB2312" w:cs="仿宋_GB2312"/>
          <w:sz w:val="24"/>
        </w:rPr>
        <w:t>响应</w:t>
      </w:r>
      <w:r>
        <w:rPr>
          <w:rFonts w:ascii="仿宋_GB2312" w:hAnsi="仿宋" w:eastAsia="仿宋_GB2312" w:cs="仿宋_GB2312"/>
          <w:sz w:val="24"/>
        </w:rPr>
        <w:t>文件的截止之日起</w:t>
      </w:r>
      <w:r>
        <w:rPr>
          <w:rFonts w:ascii="仿宋_GB2312" w:hAnsi="仿宋" w:eastAsia="仿宋_GB2312" w:cs="仿宋_GB2312"/>
          <w:sz w:val="24"/>
          <w:u w:val="single"/>
        </w:rPr>
        <w:t xml:space="preserve">   </w:t>
      </w:r>
      <w:r>
        <w:rPr>
          <w:rFonts w:hint="eastAsia" w:ascii="仿宋_GB2312" w:hAnsi="仿宋" w:eastAsia="仿宋_GB2312" w:cs="仿宋_GB2312"/>
          <w:sz w:val="24"/>
          <w:u w:val="single"/>
        </w:rPr>
        <w:t xml:space="preserve">  </w:t>
      </w:r>
      <w:r>
        <w:rPr>
          <w:rFonts w:ascii="仿宋_GB2312" w:hAnsi="仿宋" w:eastAsia="仿宋_GB2312" w:cs="仿宋_GB2312"/>
          <w:sz w:val="24"/>
          <w:u w:val="single"/>
        </w:rPr>
        <w:t xml:space="preserve">  </w:t>
      </w:r>
      <w:r>
        <w:rPr>
          <w:rFonts w:hint="eastAsia" w:ascii="仿宋_GB2312" w:hAnsi="仿宋" w:eastAsia="仿宋_GB2312" w:cs="仿宋_GB2312"/>
          <w:sz w:val="24"/>
        </w:rPr>
        <w:t>天（不少于</w:t>
      </w:r>
      <w:r>
        <w:rPr>
          <w:rFonts w:ascii="仿宋_GB2312" w:hAnsi="仿宋" w:eastAsia="仿宋_GB2312" w:cs="仿宋_GB2312"/>
          <w:sz w:val="24"/>
        </w:rPr>
        <w:t>90天）</w:t>
      </w:r>
      <w:r>
        <w:rPr>
          <w:rFonts w:hint="eastAsia"/>
        </w:rPr>
        <w:t>，</w:t>
      </w:r>
      <w:r>
        <w:rPr>
          <w:rFonts w:hint="eastAsia" w:ascii="仿宋_GB2312" w:hAnsi="仿宋" w:eastAsia="仿宋_GB2312" w:cs="仿宋_GB2312"/>
          <w:sz w:val="24"/>
        </w:rPr>
        <w:t>本响应文件在响应有效期满之前均具有约束力</w:t>
      </w:r>
      <w:r>
        <w:rPr>
          <w:rFonts w:hint="eastAsia" w:ascii="仿宋_GB2312" w:hAnsi="仿宋_GB2312" w:eastAsia="仿宋_GB2312" w:cs="仿宋_GB2312"/>
          <w:sz w:val="24"/>
        </w:rPr>
        <w:t>。</w:t>
      </w:r>
    </w:p>
    <w:p>
      <w:pPr>
        <w:numPr>
          <w:ilvl w:val="0"/>
          <w:numId w:val="45"/>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我方的响应文件包括以下内容：</w:t>
      </w:r>
    </w:p>
    <w:p>
      <w:pPr>
        <w:numPr>
          <w:ilvl w:val="1"/>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资格文件：</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符合参加政府采购活动应当具备的一般条件的承诺函；</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落实政府采购政策需满足的资格要求；</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本项目的特定资格要求；</w:t>
      </w:r>
      <w:r>
        <w:rPr>
          <w:rFonts w:hint="eastAsia" w:ascii="仿宋_GB2312" w:hAnsi="仿宋" w:eastAsia="仿宋_GB2312"/>
          <w:bCs/>
          <w:sz w:val="24"/>
        </w:rPr>
        <w:t>（本项目不适用）</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联合体协议。（如有）</w:t>
      </w:r>
    </w:p>
    <w:p>
      <w:pPr>
        <w:numPr>
          <w:ilvl w:val="1"/>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rPr>
        <w:t>商务技术</w:t>
      </w:r>
      <w:r>
        <w:rPr>
          <w:rFonts w:hint="eastAsia" w:ascii="仿宋_GB2312" w:hAnsi="仿宋" w:eastAsia="仿宋_GB2312" w:cs="仿宋_GB2312"/>
          <w:bCs/>
          <w:sz w:val="24"/>
          <w:lang w:val="zh-CN"/>
        </w:rPr>
        <w:t>文件：</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响应函；</w:t>
      </w:r>
      <w:r>
        <w:rPr>
          <w:rFonts w:hint="eastAsia" w:ascii="仿宋_GB2312" w:hAnsi="仿宋" w:eastAsia="仿宋_GB2312" w:cs="仿宋_GB2312"/>
          <w:bCs/>
          <w:sz w:val="24"/>
          <w:lang w:val="zh-CN"/>
        </w:rPr>
        <w:t xml:space="preserve"> </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授权委托书或法定代表人（单位负责人、自然人本人）身份证明；</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分包意向协议；</w:t>
      </w:r>
      <w:r>
        <w:rPr>
          <w:rFonts w:hint="eastAsia" w:ascii="仿宋_GB2312" w:hAnsi="仿宋" w:eastAsia="仿宋_GB2312"/>
          <w:bCs/>
          <w:sz w:val="24"/>
        </w:rPr>
        <w:t>（如有）</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符合性审查资料；</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评标标准相应的商务技术资料；</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标的清单；</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商务技术偏离表；</w:t>
      </w:r>
    </w:p>
    <w:p>
      <w:pPr>
        <w:numPr>
          <w:ilvl w:val="2"/>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政府采购供应商廉洁自律承诺书。</w:t>
      </w:r>
    </w:p>
    <w:p>
      <w:pPr>
        <w:numPr>
          <w:ilvl w:val="1"/>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报价文件： </w:t>
      </w:r>
    </w:p>
    <w:p>
      <w:pPr>
        <w:numPr>
          <w:ilvl w:val="2"/>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初始报价一览表；</w:t>
      </w:r>
    </w:p>
    <w:p>
      <w:pPr>
        <w:numPr>
          <w:ilvl w:val="2"/>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报价明细表</w:t>
      </w:r>
    </w:p>
    <w:p>
      <w:pPr>
        <w:snapToGrid w:val="0"/>
        <w:spacing w:line="360" w:lineRule="exact"/>
        <w:ind w:firstLine="420"/>
        <w:rPr>
          <w:rFonts w:ascii="仿宋_GB2312" w:hAnsi="仿宋" w:eastAsia="仿宋_GB2312" w:cs="仿宋_GB2312"/>
          <w:sz w:val="24"/>
        </w:rPr>
      </w:pPr>
      <w:r>
        <w:rPr>
          <w:rFonts w:ascii="仿宋_GB2312" w:hAnsi="仿宋" w:eastAsia="仿宋_GB2312" w:cs="仿宋_GB2312"/>
          <w:sz w:val="24"/>
        </w:rPr>
        <w:t>我方承诺除商务技术偏离表列出的偏离外，我方响应</w:t>
      </w:r>
      <w:r>
        <w:rPr>
          <w:rFonts w:hint="eastAsia" w:ascii="仿宋_GB2312" w:hAnsi="仿宋" w:eastAsia="仿宋_GB2312" w:cs="仿宋_GB2312"/>
          <w:sz w:val="24"/>
        </w:rPr>
        <w:t>磋商</w:t>
      </w:r>
      <w:r>
        <w:rPr>
          <w:rFonts w:ascii="仿宋_GB2312" w:hAnsi="仿宋" w:eastAsia="仿宋_GB2312" w:cs="仿宋_GB2312"/>
          <w:sz w:val="24"/>
        </w:rPr>
        <w:t>文件的全部要求。</w:t>
      </w:r>
    </w:p>
    <w:p>
      <w:pPr>
        <w:numPr>
          <w:ilvl w:val="0"/>
          <w:numId w:val="45"/>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如我方成交，我方承诺：</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在收到成交通知书后，在成交通知书规定的期限内与你方签订合同； </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在签订合同时不向你方提出附加条件； </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按照磋商文件要求提交履约保证金； </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在合同约定的期限内完成合同规定的全部义务。 </w:t>
      </w:r>
    </w:p>
    <w:p>
      <w:pPr>
        <w:numPr>
          <w:ilvl w:val="0"/>
          <w:numId w:val="45"/>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其他补充说明: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utoSpaceDE w:val="0"/>
        <w:autoSpaceDN w:val="0"/>
        <w:snapToGrid w:val="0"/>
        <w:spacing w:line="360" w:lineRule="exact"/>
        <w:ind w:firstLine="3960" w:firstLineChars="1650"/>
        <w:rPr>
          <w:rFonts w:ascii="仿宋_GB2312" w:hAnsi="仿宋_GB2312" w:eastAsia="仿宋_GB2312" w:cs="仿宋_GB2312"/>
          <w:kern w:val="0"/>
          <w:sz w:val="24"/>
          <w:lang w:val="zh-CN"/>
        </w:rPr>
      </w:pPr>
    </w:p>
    <w:p>
      <w:pPr>
        <w:snapToGrid w:val="0"/>
        <w:spacing w:line="360" w:lineRule="exact"/>
        <w:ind w:firstLine="3600" w:firstLineChars="1500"/>
        <w:rPr>
          <w:rFonts w:ascii="仿宋_GB2312" w:hAnsi="仿宋" w:eastAsia="仿宋_GB2312" w:cs="仿宋_GB2312"/>
          <w:sz w:val="24"/>
        </w:rPr>
      </w:pPr>
      <w:r>
        <w:rPr>
          <w:rFonts w:hint="eastAsia" w:ascii="仿宋_GB2312" w:hAnsi="仿宋" w:eastAsia="仿宋_GB2312" w:cs="仿宋_GB2312"/>
          <w:sz w:val="24"/>
          <w:lang w:eastAsia="zh-CN"/>
        </w:rPr>
        <w:t>供应商全称（盖单位公章或电子签章）</w:t>
      </w:r>
      <w:r>
        <w:rPr>
          <w:rFonts w:hint="eastAsia" w:ascii="仿宋_GB2312" w:hAnsi="仿宋" w:eastAsia="仿宋_GB2312" w:cs="仿宋_GB2312"/>
          <w:sz w:val="24"/>
        </w:rPr>
        <w:t xml:space="preserve">：                          </w:t>
      </w:r>
    </w:p>
    <w:p>
      <w:pPr>
        <w:snapToGrid w:val="0"/>
        <w:spacing w:line="360" w:lineRule="exact"/>
        <w:jc w:val="center"/>
        <w:rPr>
          <w:rFonts w:ascii="仿宋_GB2312" w:hAnsi="仿宋" w:eastAsia="仿宋_GB2312" w:cs="仿宋_GB2312"/>
          <w:sz w:val="24"/>
        </w:rPr>
      </w:pPr>
      <w:r>
        <w:rPr>
          <w:rFonts w:hint="eastAsia" w:ascii="仿宋_GB2312" w:hAnsi="仿宋" w:eastAsia="仿宋_GB2312" w:cs="仿宋_GB2312"/>
          <w:sz w:val="24"/>
        </w:rPr>
        <w:t xml:space="preserve">     日期：  年   月   日</w:t>
      </w:r>
    </w:p>
    <w:p>
      <w:pPr>
        <w:rPr>
          <w:rFonts w:ascii="仿宋_GB2312" w:hAnsi="仿宋" w:eastAsia="仿宋_GB2312" w:cs="仿宋_GB2312"/>
          <w:sz w:val="24"/>
        </w:rPr>
      </w:pPr>
      <w:r>
        <w:rPr>
          <w:rFonts w:hint="eastAsia" w:ascii="仿宋_GB2312" w:hAnsi="仿宋" w:eastAsia="仿宋_GB2312" w:cs="仿宋_GB2312"/>
          <w:sz w:val="24"/>
        </w:rPr>
        <w:br w:type="page"/>
      </w:r>
    </w:p>
    <w:p>
      <w:pPr>
        <w:widowControl/>
        <w:adjustRightInd/>
        <w:jc w:val="left"/>
        <w:rPr>
          <w:rFonts w:ascii="仿宋_GB2312" w:hAnsi="仿宋_GB2312" w:eastAsia="仿宋_GB2312" w:cs="仿宋_GB2312"/>
          <w:b/>
          <w:kern w:val="0"/>
          <w:sz w:val="32"/>
          <w:szCs w:val="32"/>
          <w:lang w:val="zh-CN"/>
        </w:rPr>
      </w:pPr>
    </w:p>
    <w:p>
      <w:pPr>
        <w:snapToGrid w:val="0"/>
        <w:spacing w:line="360" w:lineRule="auto"/>
        <w:ind w:right="480"/>
        <w:rPr>
          <w:rFonts w:ascii="仿宋_GB2312" w:hAnsi="仿宋" w:eastAsia="仿宋_GB2312" w:cs="仿宋_GB2312"/>
          <w:b/>
          <w:kern w:val="0"/>
          <w:sz w:val="32"/>
          <w:szCs w:val="32"/>
          <w:lang w:val="zh-CN"/>
        </w:rPr>
      </w:pPr>
      <w:bookmarkStart w:id="541" w:name="_Toc14613"/>
      <w:r>
        <w:rPr>
          <w:rFonts w:hint="eastAsia" w:ascii="仿宋_GB2312" w:hAnsi="仿宋" w:eastAsia="仿宋_GB2312" w:cs="仿宋_GB2312"/>
          <w:b/>
          <w:kern w:val="0"/>
          <w:sz w:val="32"/>
          <w:szCs w:val="32"/>
          <w:lang w:val="zh-CN"/>
        </w:rPr>
        <w:t>二、授权委托书或法定代表人（单位负责人、自然人本人）身份证明</w:t>
      </w:r>
      <w:bookmarkEnd w:id="541"/>
    </w:p>
    <w:p>
      <w:pPr>
        <w:snapToGrid w:val="0"/>
        <w:spacing w:line="360" w:lineRule="auto"/>
        <w:jc w:val="center"/>
        <w:rPr>
          <w:rFonts w:ascii="仿宋_GB2312" w:hAnsi="仿宋_GB2312" w:eastAsia="仿宋_GB2312" w:cs="仿宋_GB2312"/>
          <w:sz w:val="24"/>
        </w:rPr>
      </w:pPr>
      <w:r>
        <w:rPr>
          <w:rFonts w:hint="eastAsia" w:ascii="仿宋_GB2312" w:hAnsi="仿宋" w:eastAsia="仿宋_GB2312" w:cs="仿宋_GB2312"/>
          <w:b/>
          <w:kern w:val="0"/>
          <w:sz w:val="32"/>
          <w:szCs w:val="32"/>
          <w:lang w:val="zh-CN"/>
        </w:rPr>
        <w:t>授权委托书</w:t>
      </w:r>
    </w:p>
    <w:p>
      <w:pPr>
        <w:snapToGrid w:val="0"/>
        <w:spacing w:line="360" w:lineRule="auto"/>
        <w:rPr>
          <w:rFonts w:ascii="仿宋_GB2312" w:hAnsi="仿宋" w:eastAsia="仿宋_GB2312" w:cs="仿宋_GB2312"/>
          <w:sz w:val="24"/>
        </w:rPr>
      </w:pPr>
    </w:p>
    <w:p>
      <w:pPr>
        <w:snapToGrid w:val="0"/>
        <w:spacing w:line="360" w:lineRule="auto"/>
        <w:rPr>
          <w:rFonts w:ascii="仿宋_GB2312" w:hAnsi="仿宋_GB2312" w:eastAsia="仿宋_GB2312" w:cs="仿宋_GB2312"/>
          <w:kern w:val="0"/>
          <w:sz w:val="24"/>
        </w:rPr>
      </w:pPr>
      <w:r>
        <w:rPr>
          <w:rFonts w:hint="eastAsia" w:ascii="仿宋_GB2312" w:hAnsi="仿宋" w:eastAsia="仿宋_GB2312" w:cs="仿宋_GB2312"/>
          <w:sz w:val="24"/>
        </w:rPr>
        <w:t>（采购人）、（采购代理机构）</w:t>
      </w:r>
      <w:r>
        <w:rPr>
          <w:rFonts w:hint="eastAsia" w:ascii="仿宋_GB2312" w:hAnsi="仿宋_GB2312" w:eastAsia="仿宋_GB2312" w:cs="仿宋_GB2312"/>
          <w:kern w:val="0"/>
          <w:sz w:val="24"/>
          <w:lang w:val="zh-CN"/>
        </w:rPr>
        <w:t>：</w:t>
      </w:r>
    </w:p>
    <w:p>
      <w:pPr>
        <w:snapToGrid w:val="0"/>
        <w:spacing w:line="360" w:lineRule="auto"/>
        <w:ind w:firstLine="576"/>
        <w:rPr>
          <w:rFonts w:ascii="仿宋_GB2312" w:hAnsi="仿宋" w:eastAsia="仿宋_GB2312" w:cs="仿宋_GB2312"/>
          <w:kern w:val="0"/>
          <w:sz w:val="24"/>
        </w:rPr>
      </w:pPr>
      <w:r>
        <w:rPr>
          <w:rFonts w:hint="eastAsia" w:ascii="仿宋_GB2312" w:hAnsi="仿宋" w:eastAsia="仿宋_GB2312" w:cs="仿宋_GB2312"/>
          <w:kern w:val="0"/>
          <w:sz w:val="24"/>
        </w:rPr>
        <w:t>现</w:t>
      </w:r>
      <w:r>
        <w:rPr>
          <w:rFonts w:hint="eastAsia" w:ascii="仿宋_GB2312" w:hAnsi="仿宋" w:eastAsia="仿宋_GB2312" w:cs="仿宋_GB2312"/>
          <w:kern w:val="0"/>
          <w:sz w:val="24"/>
          <w:lang w:val="zh-CN"/>
        </w:rPr>
        <w:t>委托</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（姓名）为我方代理人（身份证号码：</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，手机：</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），以我方名义处理</w:t>
      </w:r>
      <w:r>
        <w:rPr>
          <w:rFonts w:hint="eastAsia" w:ascii="仿宋_GB2312" w:hAnsi="仿宋" w:eastAsia="仿宋_GB2312" w:cs="仿宋_GB2312"/>
          <w:sz w:val="24"/>
          <w:lang w:eastAsia="zh-CN"/>
        </w:rPr>
        <w:t>一层-三层局部装修改造，室外长廊、外墙局部装修等；装饰装修、电气、隔断及拆改等工程</w:t>
      </w:r>
      <w:r>
        <w:rPr>
          <w:rFonts w:hint="eastAsia" w:ascii="仿宋_GB2312" w:hAnsi="仿宋" w:eastAsia="仿宋_GB2312" w:cs="仿宋_GB2312"/>
          <w:sz w:val="24"/>
        </w:rPr>
        <w:t>【编号：</w:t>
      </w:r>
      <w:r>
        <w:rPr>
          <w:rFonts w:hint="eastAsia" w:ascii="仿宋_GB2312" w:hAnsi="仿宋" w:eastAsia="仿宋_GB2312"/>
          <w:b w:val="0"/>
          <w:i w:val="0"/>
          <w:sz w:val="24"/>
          <w:lang w:eastAsia="zh-CN"/>
        </w:rPr>
        <w:t>2023-ZFCG-0089</w:t>
      </w:r>
      <w:r>
        <w:rPr>
          <w:rFonts w:hint="eastAsia" w:ascii="仿宋_GB2312" w:hAnsi="仿宋" w:eastAsia="仿宋_GB2312" w:cs="仿宋_GB2312"/>
          <w:sz w:val="24"/>
        </w:rPr>
        <w:t>】</w:t>
      </w:r>
      <w:r>
        <w:rPr>
          <w:rFonts w:hint="eastAsia" w:ascii="仿宋_GB2312" w:hAnsi="仿宋" w:eastAsia="仿宋_GB2312" w:cs="仿宋_GB2312"/>
          <w:kern w:val="0"/>
          <w:sz w:val="24"/>
          <w:lang w:val="zh-CN"/>
        </w:rPr>
        <w:t>政府采购响应的一切事项，其法律后果由我方承担。</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 w:eastAsia="仿宋_GB2312" w:cs="仿宋_GB2312"/>
          <w:kern w:val="0"/>
          <w:sz w:val="24"/>
          <w:lang w:val="zh-CN"/>
        </w:rPr>
        <w:t>委托期限</w:t>
      </w:r>
      <w:r>
        <w:rPr>
          <w:rFonts w:hint="eastAsia" w:ascii="仿宋_GB2312" w:hAnsi="仿宋" w:eastAsia="仿宋_GB2312" w:cs="仿宋_GB2312"/>
          <w:kern w:val="0"/>
          <w:sz w:val="24"/>
        </w:rPr>
        <w:t>：</w:t>
      </w:r>
      <w:r>
        <w:rPr>
          <w:rFonts w:hint="eastAsia" w:ascii="仿宋_GB2312" w:hAnsi="仿宋" w:eastAsia="仿宋_GB2312" w:cs="仿宋_GB2312"/>
          <w:kern w:val="0"/>
          <w:sz w:val="24"/>
          <w:lang w:val="zh-CN"/>
        </w:rPr>
        <w:t>自</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日起至</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日止</w:t>
      </w:r>
      <w:r>
        <w:rPr>
          <w:rFonts w:hint="eastAsia" w:ascii="仿宋_GB2312" w:hAnsi="仿宋_GB2312" w:eastAsia="仿宋_GB2312" w:cs="仿宋_GB2312"/>
          <w:kern w:val="0"/>
          <w:sz w:val="24"/>
          <w:lang w:val="zh-CN"/>
        </w:rPr>
        <w:t>。</w:t>
      </w:r>
    </w:p>
    <w:tbl>
      <w:tblPr>
        <w:tblStyle w:val="61"/>
        <w:tblW w:w="8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2"/>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4352" w:type="dxa"/>
            <w:vAlign w:val="center"/>
          </w:tcPr>
          <w:p>
            <w:pPr>
              <w:pStyle w:val="297"/>
              <w:spacing w:line="360" w:lineRule="auto"/>
              <w:jc w:val="center"/>
            </w:pPr>
            <w:r>
              <w:rPr>
                <w:rFonts w:hint="eastAsia"/>
              </w:rPr>
              <w:t>法定代表人身份证复印件</w:t>
            </w:r>
          </w:p>
          <w:p>
            <w:pPr>
              <w:pStyle w:val="297"/>
              <w:spacing w:line="360" w:lineRule="auto"/>
              <w:jc w:val="center"/>
            </w:pPr>
            <w:r>
              <w:rPr>
                <w:rFonts w:hint="eastAsia"/>
              </w:rPr>
              <w:t>正面</w:t>
            </w:r>
          </w:p>
          <w:p>
            <w:pPr>
              <w:pStyle w:val="297"/>
              <w:spacing w:line="360" w:lineRule="auto"/>
              <w:jc w:val="center"/>
            </w:pPr>
            <w:r>
              <w:rPr>
                <w:rFonts w:hint="eastAsia"/>
              </w:rPr>
              <w:t>（身份证复印件需清晰可辨认）</w:t>
            </w:r>
          </w:p>
        </w:tc>
        <w:tc>
          <w:tcPr>
            <w:tcW w:w="4307" w:type="dxa"/>
            <w:vAlign w:val="center"/>
          </w:tcPr>
          <w:p>
            <w:pPr>
              <w:pStyle w:val="297"/>
              <w:spacing w:line="360" w:lineRule="auto"/>
              <w:jc w:val="center"/>
            </w:pPr>
            <w:r>
              <w:rPr>
                <w:rFonts w:hint="eastAsia"/>
              </w:rPr>
              <w:t>被授权人身份证复印件</w:t>
            </w:r>
          </w:p>
          <w:p>
            <w:pPr>
              <w:pStyle w:val="297"/>
              <w:spacing w:line="360" w:lineRule="auto"/>
              <w:jc w:val="center"/>
            </w:pPr>
            <w:r>
              <w:rPr>
                <w:rFonts w:hint="eastAsia"/>
              </w:rPr>
              <w:t>正面</w:t>
            </w:r>
          </w:p>
          <w:p>
            <w:pPr>
              <w:pStyle w:val="297"/>
              <w:spacing w:line="360" w:lineRule="auto"/>
              <w:jc w:val="center"/>
            </w:pPr>
            <w:r>
              <w:rPr>
                <w:rFonts w:hint="eastAsia"/>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352" w:type="dxa"/>
            <w:vAlign w:val="center"/>
          </w:tcPr>
          <w:p>
            <w:pPr>
              <w:pStyle w:val="297"/>
              <w:spacing w:line="360" w:lineRule="auto"/>
              <w:jc w:val="center"/>
            </w:pPr>
            <w:r>
              <w:rPr>
                <w:rFonts w:hint="eastAsia"/>
              </w:rPr>
              <w:t>法定代表人身份证复印件</w:t>
            </w:r>
          </w:p>
          <w:p>
            <w:pPr>
              <w:pStyle w:val="297"/>
              <w:spacing w:line="360" w:lineRule="auto"/>
              <w:jc w:val="center"/>
            </w:pPr>
            <w:r>
              <w:rPr>
                <w:rFonts w:hint="eastAsia"/>
              </w:rPr>
              <w:t>反面</w:t>
            </w:r>
          </w:p>
          <w:p>
            <w:pPr>
              <w:pStyle w:val="297"/>
              <w:spacing w:line="360" w:lineRule="auto"/>
              <w:jc w:val="center"/>
            </w:pPr>
            <w:r>
              <w:rPr>
                <w:rFonts w:hint="eastAsia"/>
              </w:rPr>
              <w:t>（身份证复印件需清晰可辨认）</w:t>
            </w:r>
          </w:p>
        </w:tc>
        <w:tc>
          <w:tcPr>
            <w:tcW w:w="4307" w:type="dxa"/>
            <w:vAlign w:val="center"/>
          </w:tcPr>
          <w:p>
            <w:pPr>
              <w:pStyle w:val="297"/>
              <w:spacing w:line="360" w:lineRule="auto"/>
              <w:jc w:val="center"/>
            </w:pPr>
            <w:r>
              <w:rPr>
                <w:rFonts w:hint="eastAsia"/>
              </w:rPr>
              <w:t>被授权人身份证复印件</w:t>
            </w:r>
          </w:p>
          <w:p>
            <w:pPr>
              <w:pStyle w:val="297"/>
              <w:spacing w:line="360" w:lineRule="auto"/>
              <w:jc w:val="center"/>
            </w:pPr>
            <w:r>
              <w:rPr>
                <w:rFonts w:hint="eastAsia"/>
              </w:rPr>
              <w:t>反面</w:t>
            </w:r>
          </w:p>
          <w:p>
            <w:pPr>
              <w:pStyle w:val="297"/>
              <w:spacing w:line="360" w:lineRule="auto"/>
              <w:jc w:val="center"/>
            </w:pPr>
            <w:r>
              <w:rPr>
                <w:rFonts w:hint="eastAsia"/>
              </w:rPr>
              <w:t>（身份证复印件需清晰可辨认）</w:t>
            </w:r>
          </w:p>
        </w:tc>
      </w:tr>
    </w:tbl>
    <w:p>
      <w:pPr>
        <w:snapToGrid w:val="0"/>
        <w:spacing w:line="360" w:lineRule="auto"/>
        <w:ind w:firstLine="480" w:firstLineChars="200"/>
        <w:rPr>
          <w:rFonts w:ascii="仿宋_GB2312" w:hAnsi="仿宋_GB2312" w:eastAsia="仿宋_GB2312" w:cs="仿宋_GB2312"/>
          <w:kern w:val="0"/>
          <w:sz w:val="24"/>
        </w:rPr>
      </w:pPr>
    </w:p>
    <w:p>
      <w:pPr>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特此告知。</w:t>
      </w:r>
    </w:p>
    <w:p>
      <w:pPr>
        <w:keepNext w:val="0"/>
        <w:keepLines w:val="0"/>
        <w:pageBreakBefore w:val="0"/>
        <w:kinsoku/>
        <w:wordWrap/>
        <w:overflowPunct/>
        <w:topLinePunct w:val="0"/>
        <w:autoSpaceDE/>
        <w:autoSpaceDN/>
        <w:bidi w:val="0"/>
        <w:snapToGrid w:val="0"/>
        <w:spacing w:line="360" w:lineRule="auto"/>
        <w:ind w:firstLine="5760" w:firstLineChars="2400"/>
        <w:jc w:val="both"/>
        <w:textAlignment w:val="auto"/>
        <w:rPr>
          <w:rFonts w:ascii="仿宋" w:hAnsi="仿宋" w:eastAsia="仿宋" w:cs="仿宋"/>
          <w:kern w:val="0"/>
          <w:sz w:val="24"/>
          <w:highlight w:val="none"/>
        </w:rPr>
      </w:pPr>
      <w:r>
        <w:rPr>
          <w:rFonts w:hint="eastAsia" w:ascii="仿宋" w:hAnsi="仿宋" w:eastAsia="仿宋" w:cs="仿宋"/>
          <w:kern w:val="0"/>
          <w:sz w:val="24"/>
          <w:highlight w:val="none"/>
          <w:lang w:val="zh-CN"/>
        </w:rPr>
        <w:t>供应商名称(盖章)：</w:t>
      </w:r>
    </w:p>
    <w:p>
      <w:pPr>
        <w:keepNext w:val="0"/>
        <w:keepLines w:val="0"/>
        <w:pageBreakBefore w:val="0"/>
        <w:kinsoku/>
        <w:wordWrap/>
        <w:overflowPunct/>
        <w:topLinePunct w:val="0"/>
        <w:autoSpaceDE/>
        <w:autoSpaceDN/>
        <w:bidi w:val="0"/>
        <w:snapToGrid w:val="0"/>
        <w:spacing w:line="360" w:lineRule="auto"/>
        <w:jc w:val="both"/>
        <w:textAlignment w:val="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w:t>
      </w:r>
    </w:p>
    <w:p>
      <w:pPr>
        <w:pStyle w:val="15"/>
        <w:keepNext w:val="0"/>
        <w:keepLines w:val="0"/>
        <w:pageBreakBefore w:val="0"/>
        <w:kinsoku/>
        <w:wordWrap/>
        <w:overflowPunct/>
        <w:topLinePunct w:val="0"/>
        <w:autoSpaceDE/>
        <w:autoSpaceDN/>
        <w:bidi w:val="0"/>
        <w:adjustRightInd w:val="0"/>
        <w:spacing w:line="360" w:lineRule="auto"/>
        <w:ind w:firstLine="5040" w:firstLineChars="2100"/>
        <w:jc w:val="both"/>
        <w:textAlignment w:val="auto"/>
        <w:rPr>
          <w:rFonts w:hint="eastAsia" w:ascii="仿宋_GB2312" w:hAnsi="仿宋" w:eastAsia="仿宋_GB2312" w:cs="仿宋_GB2312"/>
          <w:kern w:val="0"/>
          <w:sz w:val="24"/>
          <w:lang w:val="en-US" w:eastAsia="zh-CN"/>
        </w:rPr>
      </w:pPr>
      <w:r>
        <w:rPr>
          <w:rFonts w:hint="eastAsia" w:ascii="仿宋_GB2312" w:hAnsi="仿宋" w:eastAsia="仿宋_GB2312" w:cs="仿宋_GB2312"/>
          <w:kern w:val="0"/>
          <w:sz w:val="24"/>
          <w:lang w:val="zh-CN"/>
        </w:rPr>
        <w:t>法定代表人（签字或盖章）：</w:t>
      </w:r>
      <w:r>
        <w:rPr>
          <w:rFonts w:hint="eastAsia" w:ascii="仿宋_GB2312" w:hAnsi="仿宋" w:eastAsia="仿宋_GB2312" w:cs="仿宋_GB2312"/>
          <w:kern w:val="0"/>
          <w:sz w:val="24"/>
          <w:lang w:val="en-US" w:eastAsia="zh-CN"/>
        </w:rPr>
        <w:t xml:space="preserve"> </w:t>
      </w:r>
    </w:p>
    <w:p>
      <w:pPr>
        <w:keepNext w:val="0"/>
        <w:keepLines w:val="0"/>
        <w:pageBreakBefore w:val="0"/>
        <w:kinsoku/>
        <w:wordWrap/>
        <w:overflowPunct/>
        <w:topLinePunct w:val="0"/>
        <w:autoSpaceDE/>
        <w:autoSpaceDN/>
        <w:bidi w:val="0"/>
        <w:spacing w:line="360" w:lineRule="auto"/>
        <w:jc w:val="both"/>
        <w:textAlignment w:val="auto"/>
        <w:rPr>
          <w:rFonts w:hint="eastAsia" w:ascii="仿宋_GB2312" w:hAnsi="仿宋" w:eastAsia="仿宋_GB2312" w:cs="仿宋_GB2312"/>
          <w:kern w:val="0"/>
          <w:sz w:val="24"/>
          <w:lang w:val="en-US" w:eastAsia="zh-CN"/>
        </w:rPr>
      </w:pPr>
    </w:p>
    <w:p>
      <w:pPr>
        <w:pStyle w:val="15"/>
        <w:keepNext w:val="0"/>
        <w:keepLines w:val="0"/>
        <w:pageBreakBefore w:val="0"/>
        <w:kinsoku/>
        <w:wordWrap/>
        <w:overflowPunct/>
        <w:topLinePunct w:val="0"/>
        <w:autoSpaceDE/>
        <w:autoSpaceDN/>
        <w:bidi w:val="0"/>
        <w:spacing w:line="360" w:lineRule="auto"/>
        <w:ind w:firstLine="5760" w:firstLineChars="2400"/>
        <w:jc w:val="both"/>
        <w:textAlignment w:val="auto"/>
        <w:rPr>
          <w:rFonts w:hint="eastAsia" w:ascii="仿宋_GB2312" w:hAnsi="仿宋" w:eastAsia="仿宋_GB2312" w:cs="仿宋_GB2312"/>
          <w:snapToGrid/>
          <w:color w:val="auto"/>
          <w:kern w:val="0"/>
          <w:sz w:val="24"/>
          <w:szCs w:val="24"/>
          <w:lang w:val="en-US" w:eastAsia="zh-CN" w:bidi="ar-SA"/>
        </w:rPr>
      </w:pPr>
      <w:r>
        <w:rPr>
          <w:rFonts w:hint="eastAsia" w:ascii="仿宋_GB2312" w:hAnsi="仿宋" w:eastAsia="仿宋_GB2312" w:cs="仿宋_GB2312"/>
          <w:snapToGrid/>
          <w:color w:val="auto"/>
          <w:kern w:val="0"/>
          <w:sz w:val="24"/>
          <w:szCs w:val="24"/>
          <w:lang w:val="zh-CN" w:eastAsia="zh-CN" w:bidi="ar-SA"/>
        </w:rPr>
        <w:t>被授权人（签字）：</w:t>
      </w:r>
    </w:p>
    <w:p>
      <w:pPr>
        <w:keepNext w:val="0"/>
        <w:keepLines w:val="0"/>
        <w:pageBreakBefore w:val="0"/>
        <w:kinsoku/>
        <w:wordWrap/>
        <w:overflowPunct/>
        <w:topLinePunct w:val="0"/>
        <w:autoSpaceDE/>
        <w:autoSpaceDN/>
        <w:bidi w:val="0"/>
        <w:spacing w:line="360" w:lineRule="auto"/>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jc w:val="right"/>
        <w:textAlignment w:val="auto"/>
        <w:rPr>
          <w:rFonts w:ascii="仿宋_GB2312" w:hAnsi="仿宋_GB2312" w:eastAsia="仿宋_GB2312" w:cs="仿宋_GB2312"/>
          <w:b/>
          <w:bCs/>
          <w:sz w:val="30"/>
          <w:szCs w:val="30"/>
        </w:rPr>
      </w:pPr>
      <w:r>
        <w:rPr>
          <w:rFonts w:hint="eastAsia" w:ascii="仿宋_GB2312" w:hAnsi="仿宋" w:eastAsia="仿宋_GB2312" w:cs="仿宋_GB2312"/>
          <w:kern w:val="0"/>
          <w:sz w:val="24"/>
          <w:lang w:val="zh-CN"/>
        </w:rPr>
        <w:t>签发日期：  年  月   日</w:t>
      </w:r>
      <w:r>
        <w:rPr>
          <w:rFonts w:hint="eastAsia" w:ascii="仿宋_GB2312" w:hAnsi="仿宋" w:eastAsia="仿宋_GB2312" w:cs="仿宋_GB2312"/>
          <w:kern w:val="0"/>
          <w:sz w:val="24"/>
          <w:lang w:val="en-US" w:eastAsia="zh-CN"/>
        </w:rPr>
        <w:t xml:space="preserve"> </w:t>
      </w:r>
    </w:p>
    <w:p>
      <w:pPr>
        <w:rPr>
          <w:rFonts w:hint="eastAsia" w:ascii="仿宋_GB2312" w:hAnsi="仿宋" w:eastAsia="仿宋_GB2312" w:cs="仿宋_GB2312"/>
          <w:b/>
          <w:kern w:val="0"/>
          <w:sz w:val="32"/>
          <w:szCs w:val="32"/>
          <w:lang w:val="zh-CN"/>
        </w:rPr>
      </w:pPr>
      <w:r>
        <w:rPr>
          <w:rFonts w:hint="eastAsia" w:ascii="仿宋_GB2312" w:hAnsi="仿宋" w:eastAsia="仿宋_GB2312" w:cs="仿宋_GB2312"/>
          <w:b/>
          <w:kern w:val="0"/>
          <w:sz w:val="32"/>
          <w:szCs w:val="32"/>
          <w:lang w:val="zh-CN"/>
        </w:rPr>
        <w:br w:type="page"/>
      </w:r>
    </w:p>
    <w:p>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kern w:val="0"/>
          <w:sz w:val="32"/>
          <w:szCs w:val="32"/>
          <w:lang w:val="zh-CN"/>
        </w:rPr>
        <w:t>法定代表人、单位负责人或自然人本人</w:t>
      </w:r>
      <w:r>
        <w:rPr>
          <w:rFonts w:hint="eastAsia" w:ascii="仿宋_GB2312" w:hAnsi="仿宋" w:eastAsia="仿宋_GB2312" w:cs="仿宋_GB2312"/>
          <w:b/>
          <w:sz w:val="30"/>
          <w:szCs w:val="30"/>
        </w:rPr>
        <w:t>的身份证明（适用于法定代表人、单位负责人或者自然人本人代表供应商参加响应）</w:t>
      </w:r>
    </w:p>
    <w:p>
      <w:pPr>
        <w:pStyle w:val="621"/>
        <w:spacing w:line="360" w:lineRule="auto"/>
        <w:rPr>
          <w:rFonts w:ascii="仿宋_GB2312" w:hAnsi="仿宋" w:eastAsia="仿宋_GB2312"/>
          <w:bCs/>
          <w:sz w:val="24"/>
        </w:rPr>
      </w:pPr>
      <w:r>
        <w:rPr>
          <w:rFonts w:hint="eastAsia" w:ascii="仿宋_GB2312" w:hAnsi="仿宋" w:eastAsia="仿宋_GB2312"/>
          <w:bCs/>
          <w:sz w:val="24"/>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621"/>
              <w:adjustRightInd w:val="0"/>
              <w:spacing w:line="360" w:lineRule="auto"/>
              <w:rPr>
                <w:rFonts w:ascii="仿宋_GB2312" w:hAnsi="仿宋" w:eastAsia="仿宋_GB2312"/>
                <w:bCs/>
                <w:sz w:val="24"/>
              </w:rPr>
            </w:pPr>
            <w:r>
              <w:rPr>
                <w:rFonts w:hint="eastAsia" w:ascii="仿宋_GB2312" w:hAnsi="仿宋" w:eastAsia="仿宋_GB2312"/>
                <w:bCs/>
                <w:sz w:val="24"/>
              </w:rPr>
              <w:t>正面：</w:t>
            </w:r>
            <w:r>
              <w:rPr>
                <w:rFonts w:ascii="仿宋_GB2312" w:hAnsi="仿宋" w:eastAsia="仿宋_GB2312"/>
                <w:bCs/>
                <w:sz w:val="24"/>
              </w:rPr>
              <w:t xml:space="preserve">                                 </w:t>
            </w:r>
            <w:r>
              <w:rPr>
                <w:rFonts w:hint="eastAsia" w:ascii="仿宋_GB2312" w:hAnsi="仿宋" w:eastAsia="仿宋_GB2312"/>
                <w:bCs/>
                <w:sz w:val="24"/>
              </w:rPr>
              <w:t>反面：</w:t>
            </w:r>
          </w:p>
          <w:p>
            <w:pPr>
              <w:pStyle w:val="621"/>
              <w:adjustRightInd w:val="0"/>
              <w:spacing w:line="360" w:lineRule="auto"/>
              <w:rPr>
                <w:rFonts w:ascii="仿宋_GB2312" w:hAnsi="仿宋" w:eastAsia="仿宋_GB2312"/>
                <w:bCs/>
                <w:sz w:val="24"/>
              </w:rPr>
            </w:pPr>
          </w:p>
        </w:tc>
      </w:tr>
    </w:tbl>
    <w:p>
      <w:pPr>
        <w:snapToGrid w:val="0"/>
        <w:spacing w:line="360" w:lineRule="auto"/>
        <w:ind w:firstLine="576"/>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w:t>
      </w:r>
    </w:p>
    <w:p>
      <w:pPr>
        <w:snapToGrid w:val="0"/>
        <w:spacing w:line="360" w:lineRule="auto"/>
        <w:ind w:firstLine="576"/>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w:t>
      </w:r>
      <w:r>
        <w:rPr>
          <w:rFonts w:hint="eastAsia" w:ascii="仿宋_GB2312" w:hAnsi="仿宋" w:eastAsia="仿宋_GB2312" w:cs="仿宋_GB2312"/>
          <w:kern w:val="0"/>
          <w:sz w:val="24"/>
          <w:lang w:val="zh-CN"/>
        </w:rPr>
        <w:t>供应商全称（盖单位公章或电子签章）</w:t>
      </w:r>
      <w:r>
        <w:rPr>
          <w:rFonts w:ascii="仿宋_GB2312" w:hAnsi="仿宋" w:eastAsia="仿宋_GB2312" w:cs="仿宋_GB2312"/>
          <w:kern w:val="0"/>
          <w:sz w:val="24"/>
          <w:lang w:val="zh-CN"/>
        </w:rPr>
        <w:t xml:space="preserve">：                              </w:t>
      </w:r>
    </w:p>
    <w:p>
      <w:pPr>
        <w:spacing w:line="360" w:lineRule="auto"/>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  年  月  日</w:t>
      </w:r>
    </w:p>
    <w:p>
      <w:pPr>
        <w:pStyle w:val="23"/>
      </w:pPr>
    </w:p>
    <w:p>
      <w:pPr>
        <w:autoSpaceDE w:val="0"/>
        <w:autoSpaceDN w:val="0"/>
        <w:spacing w:line="360" w:lineRule="auto"/>
        <w:jc w:val="center"/>
        <w:rPr>
          <w:rFonts w:ascii="仿宋_GB2312" w:hAnsi="仿宋_GB2312" w:eastAsia="仿宋_GB2312" w:cs="仿宋_GB2312"/>
          <w:sz w:val="24"/>
        </w:rPr>
      </w:pPr>
      <w:r>
        <w:rPr>
          <w:rFonts w:hint="eastAsia" w:ascii="仿宋_GB2312" w:hAnsi="仿宋_GB2312" w:eastAsia="仿宋_GB2312" w:cs="仿宋_GB2312"/>
          <w:b/>
          <w:sz w:val="30"/>
          <w:szCs w:val="30"/>
        </w:rPr>
        <w:t>授权代表的身份证（复印件）</w:t>
      </w:r>
    </w:p>
    <w:p>
      <w:pPr>
        <w:pStyle w:val="621"/>
        <w:spacing w:line="360" w:lineRule="auto"/>
        <w:rPr>
          <w:rFonts w:ascii="仿宋_GB2312" w:eastAsia="仿宋_GB2312"/>
          <w:bCs/>
          <w:sz w:val="24"/>
        </w:rPr>
      </w:pPr>
      <w:r>
        <w:rPr>
          <w:rFonts w:hint="eastAsia" w:ascii="仿宋_GB2312" w:eastAsia="仿宋_GB2312"/>
          <w:bCs/>
          <w:sz w:val="24"/>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9207" w:type="dxa"/>
            <w:shd w:val="clear" w:color="auto" w:fill="auto"/>
          </w:tcPr>
          <w:p>
            <w:pPr>
              <w:pStyle w:val="621"/>
              <w:spacing w:line="360" w:lineRule="auto"/>
              <w:rPr>
                <w:rFonts w:ascii="仿宋_GB2312" w:eastAsia="仿宋_GB2312"/>
                <w:bCs/>
                <w:sz w:val="24"/>
              </w:rPr>
            </w:pPr>
            <w:r>
              <w:rPr>
                <w:rFonts w:hint="eastAsia" w:ascii="仿宋_GB2312" w:eastAsia="仿宋_GB2312"/>
                <w:bCs/>
                <w:sz w:val="24"/>
              </w:rPr>
              <w:t>正面：                                 反面：</w:t>
            </w:r>
          </w:p>
          <w:p>
            <w:pPr>
              <w:pStyle w:val="621"/>
              <w:spacing w:line="360" w:lineRule="auto"/>
              <w:rPr>
                <w:rFonts w:ascii="仿宋_GB2312" w:eastAsia="仿宋_GB2312"/>
                <w:bCs/>
                <w:sz w:val="24"/>
              </w:rPr>
            </w:pPr>
          </w:p>
        </w:tc>
      </w:tr>
    </w:tbl>
    <w:p>
      <w:pPr>
        <w:snapToGrid w:val="0"/>
        <w:spacing w:line="360" w:lineRule="auto"/>
        <w:ind w:firstLine="576"/>
        <w:jc w:val="right"/>
        <w:rPr>
          <w:rFonts w:ascii="仿宋_GB2312" w:hAnsi="仿宋" w:eastAsia="仿宋_GB2312" w:cs="仿宋_GB2312"/>
          <w:kern w:val="0"/>
          <w:sz w:val="24"/>
          <w:lang w:val="zh-CN"/>
        </w:rPr>
      </w:pPr>
    </w:p>
    <w:p>
      <w:pPr>
        <w:snapToGrid w:val="0"/>
        <w:spacing w:line="360" w:lineRule="auto"/>
        <w:ind w:firstLine="576"/>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供应商全称（盖单位公章或电子签章）：                              </w:t>
      </w:r>
    </w:p>
    <w:p>
      <w:pPr>
        <w:spacing w:line="360" w:lineRule="auto"/>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日期：  年  月</w:t>
      </w:r>
    </w:p>
    <w:p>
      <w:pPr>
        <w:snapToGrid w:val="0"/>
        <w:spacing w:line="360" w:lineRule="auto"/>
        <w:ind w:firstLine="576"/>
        <w:jc w:val="center"/>
        <w:rPr>
          <w:rFonts w:ascii="仿宋_GB2312" w:hAnsi="仿宋_GB2312" w:eastAsia="仿宋_GB2312" w:cs="仿宋_GB2312"/>
          <w:sz w:val="28"/>
          <w:szCs w:val="28"/>
        </w:rPr>
      </w:pPr>
    </w:p>
    <w:p>
      <w:pPr>
        <w:widowControl/>
        <w:adjustRightInd/>
        <w:jc w:val="left"/>
        <w:rPr>
          <w:rFonts w:ascii="仿宋_GB2312" w:hAnsi="仿宋_GB2312" w:eastAsia="仿宋_GB2312" w:cs="仿宋_GB2312"/>
          <w:b/>
          <w:kern w:val="0"/>
          <w:sz w:val="32"/>
          <w:szCs w:val="32"/>
          <w:lang w:val="zh-CN"/>
        </w:rPr>
      </w:pPr>
      <w:r>
        <w:rPr>
          <w:rFonts w:ascii="仿宋_GB2312" w:hAnsi="仿宋_GB2312" w:eastAsia="仿宋_GB2312" w:cs="仿宋_GB2312"/>
          <w:b/>
          <w:kern w:val="0"/>
          <w:sz w:val="32"/>
          <w:szCs w:val="32"/>
          <w:lang w:val="zh-CN"/>
        </w:rPr>
        <w:br w:type="page"/>
      </w:r>
    </w:p>
    <w:p>
      <w:pPr>
        <w:rPr>
          <w:rFonts w:ascii="仿宋_GB2312" w:hAnsi="仿宋" w:eastAsia="仿宋_GB2312" w:cs="仿宋_GB2312"/>
          <w:b/>
          <w:kern w:val="0"/>
          <w:sz w:val="32"/>
          <w:szCs w:val="32"/>
          <w:lang w:val="zh-CN"/>
        </w:rPr>
      </w:pPr>
      <w:bookmarkStart w:id="542" w:name="_Toc16247"/>
    </w:p>
    <w:p>
      <w:pPr>
        <w:snapToGrid w:val="0"/>
        <w:spacing w:line="360" w:lineRule="auto"/>
        <w:outlineLvl w:val="0"/>
        <w:rPr>
          <w:rFonts w:ascii="仿宋_GB2312" w:hAnsi="仿宋" w:eastAsia="仿宋_GB2312" w:cs="仿宋_GB2312"/>
          <w:b/>
          <w:kern w:val="0"/>
          <w:sz w:val="32"/>
          <w:szCs w:val="32"/>
          <w:lang w:val="zh-CN"/>
        </w:rPr>
      </w:pPr>
      <w:r>
        <w:rPr>
          <w:rFonts w:hint="eastAsia" w:ascii="仿宋_GB2312" w:hAnsi="仿宋" w:eastAsia="仿宋_GB2312" w:cs="仿宋_GB2312"/>
          <w:b/>
          <w:kern w:val="0"/>
          <w:sz w:val="32"/>
          <w:szCs w:val="32"/>
          <w:lang w:val="zh-CN"/>
        </w:rPr>
        <w:t>三、评标标准相应的商务技术资料</w:t>
      </w:r>
      <w:bookmarkEnd w:id="542"/>
    </w:p>
    <w:p>
      <w:pPr>
        <w:snapToGrid w:val="0"/>
        <w:spacing w:line="360" w:lineRule="auto"/>
        <w:jc w:val="left"/>
        <w:rPr>
          <w:rFonts w:ascii="仿宋_GB2312" w:hAnsi="仿宋" w:eastAsia="仿宋_GB2312" w:cs="仿宋_GB2312"/>
          <w:b/>
          <w:sz w:val="24"/>
        </w:rPr>
      </w:pPr>
      <w:r>
        <w:rPr>
          <w:rFonts w:hint="eastAsia" w:ascii="仿宋_GB2312" w:hAnsi="仿宋" w:eastAsia="仿宋_GB2312" w:cs="仿宋_GB2312"/>
          <w:b/>
          <w:sz w:val="24"/>
        </w:rPr>
        <w:t>（按磋商文件第五部分评标办法前附表中“响应文件中评标标准相应的商务技术资料目录”提供资料）</w:t>
      </w:r>
    </w:p>
    <w:p>
      <w:pPr>
        <w:snapToGrid w:val="0"/>
        <w:spacing w:line="360" w:lineRule="auto"/>
        <w:ind w:right="480"/>
        <w:rPr>
          <w:rFonts w:ascii="仿宋_GB2312" w:hAnsi="仿宋" w:eastAsia="仿宋_GB2312" w:cs="仿宋_GB2312"/>
          <w:b/>
          <w:kern w:val="0"/>
          <w:sz w:val="32"/>
          <w:szCs w:val="32"/>
        </w:rPr>
      </w:pP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3.1技术参数偏离表</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185"/>
        <w:gridCol w:w="3066"/>
        <w:gridCol w:w="135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序号</w:t>
            </w:r>
          </w:p>
        </w:tc>
        <w:tc>
          <w:tcPr>
            <w:tcW w:w="1715"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磋商文件章节及具体内容</w:t>
            </w:r>
          </w:p>
        </w:tc>
        <w:tc>
          <w:tcPr>
            <w:tcW w:w="1651"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响应文件章节及具体内容</w:t>
            </w:r>
          </w:p>
        </w:tc>
        <w:tc>
          <w:tcPr>
            <w:tcW w:w="732"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偏离说明</w:t>
            </w:r>
          </w:p>
        </w:tc>
        <w:tc>
          <w:tcPr>
            <w:tcW w:w="454" w:type="pct"/>
            <w:vAlign w:val="center"/>
          </w:tcPr>
          <w:p>
            <w:pPr>
              <w:snapToGrid w:val="0"/>
              <w:spacing w:line="400" w:lineRule="exact"/>
              <w:jc w:val="center"/>
              <w:rPr>
                <w:rFonts w:hint="eastAsia" w:ascii="仿宋_GB2312" w:hAnsi="仿宋" w:eastAsia="仿宋_GB2312"/>
                <w:b/>
                <w:bCs/>
                <w:sz w:val="24"/>
                <w:lang w:eastAsia="zh-CN"/>
              </w:rPr>
            </w:pPr>
            <w:r>
              <w:rPr>
                <w:rFonts w:hint="eastAsia" w:ascii="仿宋_GB2312" w:hAnsi="仿宋" w:eastAsia="仿宋_GB2312"/>
                <w:b/>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ascii="仿宋_GB2312" w:hAnsi="仿宋" w:eastAsia="仿宋_GB2312" w:cs="仿宋_GB2312"/>
                <w:kern w:val="0"/>
                <w:sz w:val="24"/>
              </w:rPr>
              <w:t>1</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ascii="仿宋_GB2312" w:hAnsi="仿宋" w:eastAsia="仿宋_GB2312" w:cs="仿宋_GB2312"/>
                <w:kern w:val="0"/>
                <w:sz w:val="24"/>
              </w:rPr>
              <w:t>2</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hint="eastAsia" w:ascii="仿宋_GB2312" w:hAnsi="仿宋" w:eastAsia="仿宋_GB2312" w:cs="仿宋_GB2312"/>
                <w:kern w:val="0"/>
                <w:sz w:val="24"/>
              </w:rPr>
              <w:t>……</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bl>
    <w:p>
      <w:pPr>
        <w:jc w:val="left"/>
        <w:rPr>
          <w:rFonts w:ascii="仿宋_GB2312" w:hAnsi="仿宋" w:eastAsia="仿宋_GB2312" w:cs="仿宋_GB2312"/>
          <w:kern w:val="0"/>
          <w:sz w:val="24"/>
        </w:rPr>
      </w:pPr>
      <w:r>
        <w:rPr>
          <w:rFonts w:hint="eastAsia" w:ascii="仿宋_GB2312" w:hAnsi="仿宋" w:eastAsia="仿宋_GB2312" w:cs="仿宋_GB2312"/>
          <w:kern w:val="0"/>
          <w:sz w:val="24"/>
        </w:rPr>
        <w:t>供应商保证：除商务技术偏离表列出的偏离外，供应商响应磋商文件的全部要求</w:t>
      </w:r>
    </w:p>
    <w:p>
      <w:pPr>
        <w:autoSpaceDE w:val="0"/>
        <w:autoSpaceDN w:val="0"/>
        <w:spacing w:line="360" w:lineRule="auto"/>
        <w:rPr>
          <w:rFonts w:ascii="仿宋_GB2312" w:hAnsi="仿宋_GB2312" w:eastAsia="仿宋_GB2312" w:cs="仿宋_GB2312"/>
          <w:kern w:val="0"/>
          <w:sz w:val="24"/>
        </w:rPr>
      </w:pPr>
    </w:p>
    <w:p>
      <w:pPr>
        <w:autoSpaceDE w:val="0"/>
        <w:autoSpaceDN w:val="0"/>
        <w:spacing w:line="360" w:lineRule="auto"/>
        <w:ind w:firstLine="4560" w:firstLineChars="1900"/>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供应商全称（盖单位公章或电子签章）</w:t>
      </w:r>
      <w:r>
        <w:rPr>
          <w:rFonts w:hint="eastAsia" w:ascii="仿宋_GB2312" w:hAnsi="仿宋_GB2312" w:eastAsia="仿宋_GB2312" w:cs="仿宋_GB2312"/>
          <w:kern w:val="0"/>
          <w:sz w:val="24"/>
        </w:rPr>
        <w:t xml:space="preserve">：                       </w:t>
      </w:r>
    </w:p>
    <w:p>
      <w:pPr>
        <w:spacing w:line="360" w:lineRule="auto"/>
        <w:rPr>
          <w:rFonts w:ascii="仿宋_GB2312" w:hAnsi="仿宋_GB2312" w:eastAsia="仿宋_GB2312" w:cs="仿宋_GB2312"/>
          <w:b/>
          <w:bCs/>
          <w:sz w:val="24"/>
        </w:rPr>
      </w:pPr>
      <w:r>
        <w:rPr>
          <w:rFonts w:hint="eastAsia" w:ascii="仿宋_GB2312" w:hAnsi="仿宋_GB2312" w:eastAsia="仿宋_GB2312" w:cs="仿宋_GB2312"/>
          <w:kern w:val="0"/>
          <w:sz w:val="24"/>
        </w:rPr>
        <w:t xml:space="preserve">                                      日期：  年  月   日</w:t>
      </w:r>
    </w:p>
    <w:p>
      <w:pPr>
        <w:spacing w:line="360" w:lineRule="auto"/>
        <w:ind w:firstLine="218" w:firstLineChars="91"/>
        <w:jc w:val="left"/>
        <w:rPr>
          <w:rFonts w:ascii="仿宋_GB2312" w:hAnsi="仿宋" w:eastAsia="仿宋_GB2312" w:cs="仿宋_GB2312"/>
          <w:kern w:val="0"/>
          <w:sz w:val="24"/>
        </w:rPr>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pStyle w:val="4"/>
        <w:numPr>
          <w:ilvl w:val="2"/>
          <w:numId w:val="0"/>
        </w:numPr>
        <w:ind w:left="180" w:leftChars="0"/>
        <w:rPr>
          <w:rFonts w:hint="eastAsia" w:ascii="Times New Roman" w:hAnsi="Times New Roman" w:eastAsia="宋体" w:cs="Times New Roman"/>
          <w:lang w:val="en-US" w:eastAsia="zh-CN"/>
        </w:rPr>
      </w:pPr>
      <w:r>
        <w:rPr>
          <w:rFonts w:hint="eastAsia"/>
          <w:lang w:val="en-US" w:eastAsia="zh-CN"/>
        </w:rPr>
        <w:t>3.2业绩</w:t>
      </w:r>
    </w:p>
    <w:p>
      <w:pPr>
        <w:pStyle w:val="4"/>
        <w:numPr>
          <w:ilvl w:val="2"/>
          <w:numId w:val="0"/>
        </w:numPr>
        <w:ind w:left="180" w:left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3.3...</w:t>
      </w:r>
    </w:p>
    <w:p>
      <w:pPr>
        <w:pStyle w:val="4"/>
        <w:numPr>
          <w:ilvl w:val="2"/>
          <w:numId w:val="0"/>
        </w:numPr>
        <w:ind w:left="180" w:left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3.4...</w:t>
      </w:r>
    </w:p>
    <w:p>
      <w:pPr>
        <w:rPr>
          <w:rFonts w:hint="default"/>
          <w:lang w:val="en-US" w:eastAsia="zh-CN"/>
        </w:rPr>
      </w:pPr>
    </w:p>
    <w:p>
      <w:pPr>
        <w:snapToGrid w:val="0"/>
        <w:spacing w:line="720" w:lineRule="auto"/>
        <w:ind w:right="480"/>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rPr>
          <w:rFonts w:ascii="仿宋_GB2312" w:hAnsi="仿宋" w:eastAsia="仿宋_GB2312" w:cs="仿宋_GB2312"/>
          <w:b/>
          <w:kern w:val="0"/>
          <w:sz w:val="32"/>
          <w:szCs w:val="32"/>
          <w:lang w:val="zh-CN"/>
        </w:rPr>
      </w:pPr>
      <w:bookmarkStart w:id="543" w:name="_Toc10266"/>
      <w:r>
        <w:rPr>
          <w:rFonts w:hint="eastAsia" w:ascii="仿宋_GB2312" w:hAnsi="仿宋" w:eastAsia="仿宋_GB2312" w:cs="仿宋_GB2312"/>
          <w:b/>
          <w:kern w:val="0"/>
          <w:sz w:val="32"/>
          <w:szCs w:val="32"/>
          <w:lang w:val="zh-CN"/>
        </w:rPr>
        <w:t>四、政府采购供应商廉洁自律承诺书</w:t>
      </w:r>
      <w:bookmarkEnd w:id="543"/>
    </w:p>
    <w:p>
      <w:pPr>
        <w:snapToGrid w:val="0"/>
        <w:spacing w:line="360" w:lineRule="auto"/>
        <w:rPr>
          <w:rFonts w:ascii="仿宋_GB2312" w:hAnsi="仿宋" w:eastAsia="仿宋_GB2312" w:cs="仿宋_GB2312"/>
          <w:sz w:val="24"/>
        </w:rPr>
      </w:pPr>
    </w:p>
    <w:p>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u w:val="single"/>
        </w:rPr>
        <w:t>（采购人）、（采购代理机构）</w:t>
      </w:r>
      <w:r>
        <w:rPr>
          <w:rFonts w:hint="eastAsia" w:ascii="仿宋_GB2312" w:hAnsi="仿宋" w:eastAsia="仿宋_GB2312" w:cs="仿宋_GB2312"/>
          <w:kern w:val="0"/>
          <w:sz w:val="24"/>
          <w:lang w:val="zh-CN"/>
        </w:rPr>
        <w:t>：</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我单位响应你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一、不向项目有关人员及部门赠送礼金礼物、有价证券、回扣以及中介费、介绍费、咨询费等好处费；</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二、不为项目有关人员及部门报销应由你方单位或个人支付的费用；</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三、不向项目有关人员及部门提供有可能影响公正的宴请和健身娱乐等活动；</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四、不为项目有关人员及部门出国（境）、旅游等提供方便；</w:t>
      </w:r>
    </w:p>
    <w:p>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五、不为项目有关人员个人装修住房、婚丧嫁娶、配偶子女工作安排等提供</w:t>
      </w:r>
    </w:p>
    <w:p>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好处；</w:t>
      </w:r>
    </w:p>
    <w:p>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六、严格遵守《</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政府采购法》《</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招标投标</w:t>
      </w:r>
    </w:p>
    <w:p>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法》</w:t>
      </w:r>
      <w:r>
        <w:rPr>
          <w:rFonts w:hint="eastAsia" w:ascii="仿宋_GB2312" w:hAnsi="楷体" w:eastAsia="仿宋_GB2312"/>
          <w:sz w:val="24"/>
          <w:lang w:val="zh-CN"/>
        </w:rPr>
        <w:t>《中华人民共和国民法典》</w:t>
      </w:r>
      <w:r>
        <w:rPr>
          <w:rFonts w:hint="eastAsia" w:ascii="仿宋_GB2312" w:hAnsi="仿宋_GB2312" w:eastAsia="仿宋_GB2312" w:cs="仿宋_GB2312"/>
          <w:kern w:val="0"/>
          <w:sz w:val="24"/>
          <w:lang w:val="zh-CN"/>
        </w:rPr>
        <w:t>等法律法规，诚实守信，合法经营，坚决抵制各种违法违纪行为。</w:t>
      </w:r>
      <w:r>
        <w:rPr>
          <w:rFonts w:ascii="仿宋_GB2312" w:hAnsi="仿宋_GB2312" w:eastAsia="仿宋_GB2312" w:cs="仿宋_GB2312"/>
          <w:kern w:val="0"/>
          <w:sz w:val="24"/>
          <w:lang w:val="zh-CN"/>
        </w:rPr>
        <w:t xml:space="preserve"> </w:t>
      </w:r>
    </w:p>
    <w:p>
      <w:pPr>
        <w:autoSpaceDE w:val="0"/>
        <w:autoSpaceDN w:val="0"/>
        <w:spacing w:line="360" w:lineRule="auto"/>
        <w:ind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如违反上述承诺，你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有权立即取消我单位响应、成交或在建项目的建设资格，有权拒绝我单位在一定时期内进入你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仿宋_GB2312" w:hAnsi="仿宋_GB2312" w:eastAsia="仿宋_GB2312" w:cs="仿宋_GB2312"/>
          <w:kern w:val="0"/>
          <w:sz w:val="24"/>
          <w:lang w:val="zh-CN"/>
        </w:rPr>
      </w:pPr>
    </w:p>
    <w:p>
      <w:pPr>
        <w:autoSpaceDE w:val="0"/>
        <w:autoSpaceDN w:val="0"/>
        <w:spacing w:line="360" w:lineRule="auto"/>
        <w:ind w:left="2"/>
        <w:jc w:val="left"/>
        <w:rPr>
          <w:rFonts w:ascii="仿宋_GB2312" w:hAnsi="仿宋_GB2312" w:eastAsia="仿宋_GB2312" w:cs="仿宋_GB2312"/>
          <w:kern w:val="0"/>
          <w:sz w:val="24"/>
          <w:lang w:val="zh-CN"/>
        </w:rPr>
      </w:pPr>
    </w:p>
    <w:p>
      <w:pPr>
        <w:autoSpaceDE w:val="0"/>
        <w:autoSpaceDN w:val="0"/>
        <w:spacing w:line="360" w:lineRule="auto"/>
        <w:ind w:firstLine="5040" w:firstLineChars="2100"/>
        <w:jc w:val="left"/>
        <w:rPr>
          <w:rFonts w:ascii="仿宋_GB2312" w:hAnsi="仿宋" w:eastAsia="仿宋_GB2312" w:cs="仿宋_GB2312"/>
          <w:kern w:val="0"/>
          <w:sz w:val="24"/>
        </w:rPr>
      </w:pPr>
      <w:r>
        <w:rPr>
          <w:rFonts w:hint="eastAsia" w:ascii="仿宋_GB2312" w:hAnsi="仿宋_GB2312" w:eastAsia="仿宋_GB2312" w:cs="仿宋_GB2312"/>
          <w:kern w:val="0"/>
          <w:sz w:val="24"/>
          <w:lang w:eastAsia="zh-CN"/>
        </w:rPr>
        <w:t>供应商全称（盖单位公章或电子签章）</w:t>
      </w:r>
      <w:r>
        <w:rPr>
          <w:rFonts w:hint="eastAsia" w:ascii="仿宋_GB2312" w:hAnsi="仿宋" w:eastAsia="仿宋_GB2312" w:cs="仿宋_GB2312"/>
          <w:kern w:val="0"/>
          <w:sz w:val="24"/>
          <w:lang w:val="zh-CN"/>
        </w:rPr>
        <w:t>：</w:t>
      </w:r>
    </w:p>
    <w:p>
      <w:pPr>
        <w:autoSpaceDE w:val="0"/>
        <w:autoSpaceDN w:val="0"/>
        <w:spacing w:line="360" w:lineRule="auto"/>
        <w:ind w:right="960" w:firstLine="5040" w:firstLineChars="21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tabs>
          <w:tab w:val="left" w:pos="0"/>
        </w:tabs>
        <w:autoSpaceDE w:val="0"/>
        <w:autoSpaceDN w:val="0"/>
        <w:spacing w:line="360" w:lineRule="auto"/>
        <w:ind w:firstLine="2409" w:firstLineChars="800"/>
        <w:rPr>
          <w:rFonts w:ascii="仿宋_GB2312" w:hAnsi="仿宋" w:eastAsia="仿宋_GB2312" w:cs="仿宋_GB2312"/>
          <w:b/>
          <w:bCs/>
          <w:sz w:val="30"/>
          <w:szCs w:val="30"/>
        </w:rPr>
      </w:pPr>
    </w:p>
    <w:p>
      <w:pPr>
        <w:tabs>
          <w:tab w:val="left" w:pos="0"/>
        </w:tabs>
        <w:autoSpaceDE w:val="0"/>
        <w:autoSpaceDN w:val="0"/>
        <w:spacing w:line="360" w:lineRule="auto"/>
        <w:ind w:firstLine="2409" w:firstLineChars="800"/>
        <w:rPr>
          <w:rFonts w:ascii="仿宋_GB2312" w:hAnsi="仿宋" w:eastAsia="仿宋_GB2312" w:cs="仿宋_GB2312"/>
          <w:b/>
          <w:bCs/>
          <w:sz w:val="30"/>
          <w:szCs w:val="30"/>
        </w:rPr>
      </w:pPr>
    </w:p>
    <w:p>
      <w:pPr>
        <w:tabs>
          <w:tab w:val="left" w:pos="0"/>
        </w:tabs>
        <w:autoSpaceDE w:val="0"/>
        <w:autoSpaceDN w:val="0"/>
        <w:spacing w:line="360" w:lineRule="auto"/>
        <w:jc w:val="center"/>
        <w:rPr>
          <w:rFonts w:ascii="仿宋_GB2312" w:hAnsi="仿宋" w:eastAsia="仿宋_GB2312" w:cs="仿宋_GB2312"/>
          <w:b/>
          <w:bCs/>
          <w:sz w:val="30"/>
          <w:szCs w:val="30"/>
        </w:rPr>
      </w:pPr>
    </w:p>
    <w:p>
      <w:pPr>
        <w:widowControl/>
        <w:adjustRightInd/>
        <w:jc w:val="left"/>
        <w:rPr>
          <w:rFonts w:ascii="仿宋_GB2312" w:hAnsi="仿宋" w:eastAsia="仿宋_GB2312" w:cs="仿宋_GB2312"/>
          <w:b/>
          <w:bCs/>
          <w:sz w:val="30"/>
          <w:szCs w:val="30"/>
        </w:rPr>
      </w:pPr>
      <w:r>
        <w:rPr>
          <w:rFonts w:ascii="仿宋_GB2312" w:hAnsi="仿宋" w:eastAsia="仿宋_GB2312" w:cs="仿宋_GB2312"/>
          <w:b/>
          <w:bCs/>
          <w:sz w:val="30"/>
          <w:szCs w:val="30"/>
        </w:rPr>
        <w:br w:type="page"/>
      </w:r>
    </w:p>
    <w:p>
      <w:pPr>
        <w:spacing w:line="360" w:lineRule="auto"/>
        <w:jc w:val="center"/>
        <w:outlineLvl w:val="0"/>
        <w:rPr>
          <w:rFonts w:ascii="仿宋_GB2312" w:hAnsi="仿宋" w:eastAsia="仿宋_GB2312" w:cs="仿宋_GB2312"/>
          <w:b/>
          <w:kern w:val="0"/>
          <w:sz w:val="36"/>
          <w:szCs w:val="36"/>
        </w:rPr>
      </w:pPr>
      <w:bookmarkStart w:id="544" w:name="_Toc17614"/>
      <w:r>
        <w:rPr>
          <w:rFonts w:hint="eastAsia" w:ascii="仿宋_GB2312" w:hAnsi="仿宋" w:eastAsia="仿宋_GB2312" w:cs="仿宋_GB2312"/>
          <w:b/>
          <w:kern w:val="0"/>
          <w:sz w:val="36"/>
          <w:szCs w:val="36"/>
        </w:rPr>
        <w:t>报价文件部分</w:t>
      </w:r>
      <w:bookmarkEnd w:id="544"/>
    </w:p>
    <w:p>
      <w:pPr>
        <w:snapToGrid w:val="0"/>
        <w:spacing w:line="360" w:lineRule="auto"/>
        <w:jc w:val="center"/>
        <w:outlineLvl w:val="0"/>
        <w:rPr>
          <w:rFonts w:ascii="仿宋_GB2312" w:hAnsi="仿宋" w:eastAsia="仿宋_GB2312" w:cs="仿宋_GB2312"/>
          <w:b/>
          <w:kern w:val="0"/>
          <w:sz w:val="32"/>
          <w:szCs w:val="32"/>
        </w:rPr>
      </w:pPr>
      <w:bookmarkStart w:id="545" w:name="_Toc31049"/>
      <w:r>
        <w:rPr>
          <w:rFonts w:hint="eastAsia" w:ascii="仿宋_GB2312" w:hAnsi="仿宋" w:eastAsia="仿宋_GB2312" w:cs="仿宋_GB2312"/>
          <w:b/>
          <w:kern w:val="0"/>
          <w:sz w:val="32"/>
          <w:szCs w:val="32"/>
        </w:rPr>
        <w:t>一、初始报价一览表</w:t>
      </w:r>
      <w:bookmarkEnd w:id="545"/>
    </w:p>
    <w:p>
      <w:pPr>
        <w:ind w:right="480"/>
        <w:rPr>
          <w:color w:val="000000" w:themeColor="text1"/>
          <w:szCs w:val="21"/>
          <w14:textFill>
            <w14:solidFill>
              <w14:schemeClr w14:val="tx1"/>
            </w14:solidFill>
          </w14:textFill>
        </w:rPr>
      </w:pPr>
    </w:p>
    <w:p>
      <w:pPr>
        <w:ind w:righ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p>
      <w:pPr>
        <w:ind w:righ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项目编号</w:t>
      </w:r>
      <w:r>
        <w:rPr>
          <w:rFonts w:hint="eastAsia" w:ascii="仿宋" w:hAnsi="仿宋" w:eastAsia="仿宋" w:cs="仿宋"/>
          <w:color w:val="000000" w:themeColor="text1"/>
          <w:szCs w:val="21"/>
          <w14:textFill>
            <w14:solidFill>
              <w14:schemeClr w14:val="tx1"/>
            </w14:solidFill>
          </w14:textFill>
        </w:rPr>
        <w:t>：</w:t>
      </w:r>
    </w:p>
    <w:p>
      <w:pPr>
        <w:ind w:righ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价格单位：元人民币</w:t>
      </w:r>
    </w:p>
    <w:tbl>
      <w:tblPr>
        <w:tblStyle w:val="61"/>
        <w:tblW w:w="92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08"/>
        <w:gridCol w:w="54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3808" w:type="dxa"/>
            <w:noWrap/>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初始报价</w:t>
            </w:r>
          </w:p>
        </w:tc>
        <w:tc>
          <w:tcPr>
            <w:tcW w:w="5471" w:type="dxa"/>
            <w:noWrap/>
            <w:vAlign w:val="center"/>
          </w:tcPr>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小写：</w:t>
            </w:r>
            <w:r>
              <w:rPr>
                <w:rFonts w:hint="eastAsia" w:ascii="仿宋" w:hAnsi="仿宋" w:eastAsia="仿宋" w:cs="仿宋"/>
                <w:color w:val="000000" w:themeColor="text1"/>
                <w:sz w:val="24"/>
                <w:szCs w:val="24"/>
                <w:u w:val="single"/>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大写：</w:t>
            </w:r>
            <w:r>
              <w:rPr>
                <w:rFonts w:hint="eastAsia" w:ascii="仿宋" w:hAnsi="仿宋" w:eastAsia="仿宋" w:cs="仿宋"/>
                <w:color w:val="000000" w:themeColor="text1"/>
                <w:sz w:val="24"/>
                <w:szCs w:val="24"/>
                <w:u w:val="single"/>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808" w:type="dxa"/>
            <w:noWrap/>
            <w:vAlign w:val="center"/>
          </w:tcPr>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项目经理</w:t>
            </w:r>
          </w:p>
        </w:tc>
        <w:tc>
          <w:tcPr>
            <w:tcW w:w="5471" w:type="dxa"/>
            <w:noWrap/>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808" w:type="dxa"/>
            <w:noWrap/>
            <w:vAlign w:val="center"/>
          </w:tcPr>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工</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期</w:t>
            </w:r>
          </w:p>
        </w:tc>
        <w:tc>
          <w:tcPr>
            <w:tcW w:w="5471" w:type="dxa"/>
            <w:noWrap/>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808" w:type="dxa"/>
            <w:noWrap/>
            <w:vAlign w:val="center"/>
          </w:tcPr>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备</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注（如有）</w:t>
            </w:r>
          </w:p>
        </w:tc>
        <w:tc>
          <w:tcPr>
            <w:tcW w:w="5471" w:type="dxa"/>
            <w:noWrap/>
            <w:vAlign w:val="center"/>
          </w:tcPr>
          <w:p>
            <w:pPr>
              <w:rPr>
                <w:rFonts w:hint="eastAsia" w:ascii="仿宋" w:hAnsi="仿宋" w:eastAsia="仿宋" w:cs="仿宋"/>
                <w:color w:val="000000" w:themeColor="text1"/>
                <w:sz w:val="24"/>
                <w:szCs w:val="24"/>
                <w14:textFill>
                  <w14:solidFill>
                    <w14:schemeClr w14:val="tx1"/>
                  </w14:solidFill>
                </w14:textFill>
              </w:rPr>
            </w:pPr>
          </w:p>
        </w:tc>
      </w:tr>
    </w:tbl>
    <w:p>
      <w:pPr>
        <w:spacing w:line="360" w:lineRule="auto"/>
        <w:jc w:val="left"/>
        <w:rPr>
          <w:rFonts w:hint="eastAsia" w:ascii="仿宋" w:hAnsi="仿宋" w:eastAsia="仿宋" w:cs="仿宋"/>
          <w:color w:val="000000" w:themeColor="text1"/>
          <w:szCs w:val="21"/>
          <w14:textFill>
            <w14:solidFill>
              <w14:schemeClr w14:val="tx1"/>
            </w14:solidFill>
          </w14:textFill>
        </w:rPr>
      </w:pPr>
    </w:p>
    <w:p>
      <w:pPr>
        <w:snapToGrid w:val="0"/>
        <w:spacing w:line="360" w:lineRule="auto"/>
        <w:ind w:left="480"/>
        <w:rPr>
          <w:rFonts w:ascii="仿宋_GB2312" w:hAnsi="仿宋" w:eastAsia="仿宋_GB2312" w:cs="仿宋_GB2312"/>
          <w:b/>
          <w:kern w:val="0"/>
          <w:szCs w:val="21"/>
          <w:lang w:val="zh-CN"/>
        </w:rPr>
      </w:pPr>
      <w:r>
        <w:rPr>
          <w:rFonts w:hint="eastAsia" w:ascii="仿宋_GB2312" w:hAnsi="仿宋" w:eastAsia="仿宋_GB2312" w:cs="仿宋_GB2312"/>
          <w:b/>
          <w:kern w:val="0"/>
          <w:szCs w:val="21"/>
          <w:lang w:val="zh-CN"/>
        </w:rPr>
        <w:t>注：</w:t>
      </w:r>
    </w:p>
    <w:p>
      <w:pPr>
        <w:snapToGrid w:val="0"/>
        <w:spacing w:line="360" w:lineRule="auto"/>
        <w:ind w:left="-2" w:leftChars="-1" w:firstLine="420" w:firstLineChars="200"/>
        <w:rPr>
          <w:rFonts w:ascii="仿宋_GB2312" w:hAnsi="仿宋" w:eastAsia="仿宋_GB2312" w:cs="仿宋_GB2312"/>
          <w:kern w:val="0"/>
          <w:szCs w:val="21"/>
          <w:lang w:val="zh-CN"/>
        </w:rPr>
      </w:pPr>
      <w:r>
        <w:rPr>
          <w:rFonts w:ascii="仿宋_GB2312" w:hAnsi="仿宋" w:eastAsia="仿宋_GB2312" w:cs="仿宋_GB2312"/>
          <w:kern w:val="0"/>
          <w:szCs w:val="21"/>
          <w:lang w:val="zh-CN"/>
        </w:rPr>
        <w:t>1、</w:t>
      </w:r>
      <w:r>
        <w:rPr>
          <w:rFonts w:hint="eastAsia" w:ascii="仿宋_GB2312" w:hAnsi="仿宋" w:eastAsia="仿宋_GB2312" w:cs="仿宋_GB2312"/>
          <w:kern w:val="0"/>
          <w:szCs w:val="21"/>
          <w:lang w:val="zh-CN"/>
        </w:rPr>
        <w:t>供应商</w:t>
      </w:r>
      <w:r>
        <w:rPr>
          <w:rFonts w:ascii="仿宋_GB2312" w:hAnsi="仿宋" w:eastAsia="仿宋_GB2312" w:cs="仿宋_GB2312"/>
          <w:kern w:val="0"/>
          <w:szCs w:val="21"/>
          <w:lang w:val="zh-CN"/>
        </w:rPr>
        <w:t>需按本表格式填写，不得自行更改。</w:t>
      </w:r>
    </w:p>
    <w:p>
      <w:pPr>
        <w:snapToGrid w:val="0"/>
        <w:spacing w:line="360" w:lineRule="auto"/>
        <w:ind w:firstLine="420" w:firstLineChars="200"/>
        <w:rPr>
          <w:rFonts w:ascii="仿宋_GB2312" w:hAnsi="仿宋" w:eastAsia="仿宋_GB2312" w:cs="仿宋_GB2312"/>
          <w:kern w:val="0"/>
          <w:szCs w:val="21"/>
          <w:lang w:val="zh-CN"/>
        </w:rPr>
      </w:pPr>
      <w:r>
        <w:rPr>
          <w:rFonts w:ascii="仿宋_GB2312" w:hAnsi="仿宋" w:eastAsia="仿宋_GB2312" w:cs="仿宋_GB2312"/>
          <w:kern w:val="0"/>
          <w:szCs w:val="21"/>
          <w:lang w:val="zh-CN"/>
        </w:rPr>
        <w:t>2、有关本项目实施所涉及的一切费用均计入报价。</w:t>
      </w:r>
      <w:r>
        <w:rPr>
          <w:rFonts w:hint="eastAsia" w:ascii="仿宋_GB2312" w:hAnsi="仿宋" w:eastAsia="仿宋_GB2312" w:cs="仿宋_GB2312"/>
          <w:b/>
          <w:kern w:val="0"/>
          <w:szCs w:val="21"/>
          <w:lang w:val="zh-CN"/>
        </w:rPr>
        <w:t>采购人将以合同形式有偿取得货物或服务，不接受供应商给予的赠品、回扣或者与采购无关的其他商品、服务</w:t>
      </w:r>
      <w:r>
        <w:rPr>
          <w:rFonts w:hint="eastAsia" w:ascii="仿宋_GB2312" w:hAnsi="仿宋" w:eastAsia="仿宋_GB2312" w:cs="仿宋_GB2312"/>
          <w:kern w:val="0"/>
          <w:szCs w:val="21"/>
          <w:lang w:val="zh-CN"/>
        </w:rPr>
        <w:t>，</w:t>
      </w:r>
      <w:r>
        <w:rPr>
          <w:rFonts w:hint="eastAsia" w:ascii="仿宋_GB2312" w:hAnsi="仿宋" w:eastAsia="仿宋_GB2312" w:cs="仿宋_GB2312"/>
          <w:b/>
          <w:kern w:val="0"/>
          <w:szCs w:val="21"/>
          <w:lang w:val="zh-CN"/>
        </w:rPr>
        <w:t>不得出现“</w:t>
      </w:r>
      <w:r>
        <w:rPr>
          <w:rFonts w:ascii="仿宋_GB2312" w:hAnsi="仿宋" w:eastAsia="仿宋_GB2312" w:cs="仿宋_GB2312"/>
          <w:b/>
          <w:kern w:val="0"/>
          <w:szCs w:val="21"/>
          <w:lang w:val="zh-CN"/>
        </w:rPr>
        <w:t>0元”“免费赠送”等形式的无偿报价</w:t>
      </w:r>
      <w:r>
        <w:rPr>
          <w:rFonts w:hint="eastAsia" w:ascii="仿宋_GB2312" w:hAnsi="仿宋" w:eastAsia="仿宋_GB2312" w:cs="仿宋_GB2312"/>
          <w:b/>
          <w:kern w:val="0"/>
          <w:szCs w:val="21"/>
          <w:lang w:val="zh-CN"/>
        </w:rPr>
        <w:t>，</w:t>
      </w:r>
      <w:r>
        <w:rPr>
          <w:rFonts w:hint="eastAsia" w:ascii="仿宋_GB2312" w:hAnsi="仿宋" w:eastAsia="仿宋_GB2312" w:cs="仿宋_GB2312"/>
          <w:b/>
          <w:kern w:val="0"/>
          <w:szCs w:val="21"/>
        </w:rPr>
        <w:t>否则视为</w:t>
      </w:r>
      <w:r>
        <w:rPr>
          <w:rFonts w:hint="eastAsia" w:ascii="仿宋_GB2312" w:hAnsi="仿宋" w:eastAsia="仿宋_GB2312"/>
          <w:b/>
          <w:szCs w:val="21"/>
        </w:rPr>
        <w:t>响应文件含有采购人不能接受的附加条件的，响应无效</w:t>
      </w:r>
      <w:r>
        <w:rPr>
          <w:rFonts w:hint="eastAsia" w:ascii="仿宋_GB2312" w:hAnsi="仿宋" w:eastAsia="仿宋_GB2312" w:cs="仿宋_GB2312"/>
          <w:b/>
          <w:kern w:val="0"/>
          <w:szCs w:val="21"/>
          <w:lang w:val="zh-CN"/>
        </w:rPr>
        <w:t>。采购内容未包含在《初始报价一览表》名称栏中，供应商不能作出合理解释的，视为磋商响应文件含有采购人不能接受的附加条件的，响应无效。</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3、以上表格要求细分项目及报价，在“规格型号（或具体服务）”一栏中，货物类项目填写规格型号，服务类项目填写具体服务。</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4、特别提示：</w:t>
      </w:r>
      <w:r>
        <w:rPr>
          <w:rFonts w:hint="eastAsia" w:ascii="仿宋_GB2312" w:hAnsi="仿宋" w:eastAsia="仿宋_GB2312" w:cs="仿宋_GB2312"/>
          <w:kern w:val="0"/>
          <w:szCs w:val="21"/>
          <w:lang w:val="zh-CN"/>
        </w:rPr>
        <w:t>采购代理机构</w:t>
      </w:r>
      <w:r>
        <w:rPr>
          <w:rFonts w:ascii="仿宋_GB2312" w:hAnsi="仿宋" w:eastAsia="仿宋_GB2312" w:cs="仿宋_GB2312"/>
          <w:kern w:val="0"/>
          <w:szCs w:val="21"/>
          <w:lang w:val="zh-CN"/>
        </w:rPr>
        <w:t>将对项目名称和项目编号，</w:t>
      </w:r>
      <w:r>
        <w:rPr>
          <w:rFonts w:hint="eastAsia" w:ascii="仿宋_GB2312" w:hAnsi="仿宋" w:eastAsia="仿宋_GB2312" w:cs="仿宋_GB2312"/>
          <w:kern w:val="0"/>
          <w:szCs w:val="21"/>
          <w:lang w:val="zh-CN"/>
        </w:rPr>
        <w:t>成交</w:t>
      </w:r>
      <w:r>
        <w:rPr>
          <w:rFonts w:ascii="仿宋_GB2312" w:hAnsi="仿宋" w:eastAsia="仿宋_GB2312" w:cs="仿宋_GB2312"/>
          <w:kern w:val="0"/>
          <w:szCs w:val="21"/>
          <w:lang w:val="zh-CN"/>
        </w:rPr>
        <w:t>供应商名称、地址和中标金额，主要中标标的</w:t>
      </w:r>
      <w:r>
        <w:rPr>
          <w:rFonts w:hint="eastAsia" w:ascii="仿宋_GB2312" w:hAnsi="仿宋" w:eastAsia="仿宋_GB2312" w:cs="仿宋_GB2312"/>
          <w:kern w:val="0"/>
          <w:szCs w:val="21"/>
          <w:lang w:val="zh-CN"/>
        </w:rPr>
        <w:t>的名称、规格型号、数量、单价、服务要求等予以公示。</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5、</w:t>
      </w:r>
      <w:r>
        <w:rPr>
          <w:rFonts w:hint="eastAsia" w:ascii="仿宋_GB2312" w:hAnsi="仿宋" w:eastAsia="仿宋_GB2312" w:cs="仿宋_GB2312"/>
          <w:kern w:val="0"/>
          <w:szCs w:val="21"/>
          <w:lang w:val="zh-CN"/>
        </w:rPr>
        <w:t>符合磋商文件中列明的可享受中小企业扶持政策的供应商，请填写中小企业声明函。注：供应商</w:t>
      </w:r>
      <w:r>
        <w:rPr>
          <w:rFonts w:ascii="仿宋_GB2312" w:hAnsi="仿宋" w:eastAsia="仿宋_GB2312" w:cs="仿宋_GB2312"/>
          <w:kern w:val="0"/>
          <w:szCs w:val="21"/>
          <w:lang w:val="zh-CN"/>
        </w:rPr>
        <w:t>提供</w:t>
      </w:r>
      <w:r>
        <w:rPr>
          <w:rFonts w:hint="eastAsia" w:ascii="仿宋_GB2312" w:hAnsi="仿宋" w:eastAsia="仿宋_GB2312" w:cs="仿宋_GB2312"/>
          <w:kern w:val="0"/>
          <w:szCs w:val="21"/>
          <w:lang w:val="zh-CN"/>
        </w:rPr>
        <w:t>的中小企业</w:t>
      </w:r>
      <w:r>
        <w:rPr>
          <w:rFonts w:ascii="仿宋_GB2312" w:hAnsi="仿宋" w:eastAsia="仿宋_GB2312" w:cs="仿宋_GB2312"/>
          <w:kern w:val="0"/>
          <w:szCs w:val="21"/>
          <w:lang w:val="zh-CN"/>
        </w:rPr>
        <w:t>声明函内容不实的，属于提供虚假材料谋取中标、成交，依照《中华人民共和国政府采购法》等国家有关规定追究相应责任。</w:t>
      </w:r>
    </w:p>
    <w:p>
      <w:pPr>
        <w:spacing w:line="360" w:lineRule="auto"/>
        <w:ind w:right="-874" w:rightChars="-416" w:firstLine="5280" w:firstLineChars="2200"/>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供应商全称（盖单位公章或电子签章）：</w:t>
      </w:r>
    </w:p>
    <w:p>
      <w:pPr>
        <w:autoSpaceDE w:val="0"/>
        <w:autoSpaceDN w:val="0"/>
        <w:spacing w:line="360" w:lineRule="auto"/>
        <w:ind w:left="5040" w:hanging="5040" w:hangingChars="21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                                            日期：    年  月   日</w:t>
      </w:r>
    </w:p>
    <w:p>
      <w:pPr>
        <w:pStyle w:val="60"/>
        <w:ind w:firstLine="420"/>
        <w:sectPr>
          <w:footerReference r:id="rId11" w:type="first"/>
          <w:footerReference r:id="rId10" w:type="default"/>
          <w:pgSz w:w="11906" w:h="16838"/>
          <w:pgMar w:top="1174" w:right="1417" w:bottom="1151" w:left="1417" w:header="851" w:footer="992" w:gutter="0"/>
          <w:cols w:space="0" w:num="1"/>
          <w:titlePg/>
          <w:docGrid w:linePitch="312" w:charSpace="0"/>
        </w:sectPr>
      </w:pPr>
    </w:p>
    <w:p>
      <w:pPr>
        <w:spacing w:line="240" w:lineRule="auto"/>
        <w:ind w:firstLine="0" w:firstLineChars="0"/>
        <w:jc w:val="center"/>
        <w:rPr>
          <w:rFonts w:hint="eastAsia" w:ascii="宋体" w:hAnsi="宋体" w:eastAsia="宋体" w:cs="Times New Roman"/>
          <w:sz w:val="36"/>
          <w:szCs w:val="36"/>
          <w:lang w:eastAsia="zh-CN"/>
        </w:rPr>
      </w:pPr>
      <w:r>
        <w:rPr>
          <w:rFonts w:hint="eastAsia" w:ascii="仿宋_GB2312" w:hAnsi="仿宋" w:eastAsia="仿宋_GB2312" w:cs="仿宋_GB2312"/>
          <w:b/>
          <w:kern w:val="0"/>
          <w:sz w:val="32"/>
          <w:szCs w:val="32"/>
        </w:rPr>
        <w:t>二、</w:t>
      </w:r>
      <w:r>
        <w:rPr>
          <w:rFonts w:hint="eastAsia" w:ascii="宋体" w:hAnsi="宋体" w:eastAsia="宋体" w:cs="Times New Roman"/>
          <w:sz w:val="36"/>
          <w:szCs w:val="36"/>
          <w:lang w:eastAsia="zh-CN"/>
        </w:rPr>
        <w:t>工程量清单</w:t>
      </w:r>
    </w:p>
    <w:p>
      <w:pPr>
        <w:pStyle w:val="15"/>
        <w:rPr>
          <w:rFonts w:hint="eastAsia"/>
        </w:rPr>
      </w:pPr>
    </w:p>
    <w:p>
      <w:pPr>
        <w:snapToGrid w:val="0"/>
        <w:spacing w:line="360" w:lineRule="auto"/>
        <w:jc w:val="center"/>
        <w:outlineLvl w:val="1"/>
        <w:rPr>
          <w:rFonts w:ascii="仿宋_GB2312" w:hAnsi="仿宋" w:eastAsia="仿宋_GB2312" w:cs="仿宋_GB2312"/>
          <w:b/>
          <w:kern w:val="0"/>
          <w:sz w:val="32"/>
          <w:szCs w:val="32"/>
        </w:rPr>
      </w:pPr>
      <w:r>
        <w:rPr>
          <w:rFonts w:hint="eastAsia" w:ascii="宋体" w:hAnsi="宋体" w:eastAsia="宋体" w:cs="宋体"/>
          <w:b w:val="0"/>
          <w:bCs/>
          <w:sz w:val="24"/>
          <w:szCs w:val="24"/>
          <w:lang w:eastAsia="zh-CN"/>
        </w:rPr>
        <w:t>详见附件。</w:t>
      </w:r>
    </w:p>
    <w:p>
      <w:pPr>
        <w:snapToGrid w:val="0"/>
        <w:spacing w:line="300" w:lineRule="auto"/>
        <w:rPr>
          <w:color w:val="000000" w:themeColor="text1"/>
          <w:szCs w:val="21"/>
          <w14:textFill>
            <w14:solidFill>
              <w14:schemeClr w14:val="tx1"/>
            </w14:solidFill>
          </w14:textFill>
        </w:rPr>
      </w:pPr>
    </w:p>
    <w:p>
      <w:pPr>
        <w:tabs>
          <w:tab w:val="left" w:pos="720"/>
        </w:tabs>
        <w:spacing w:after="120" w:afterLines="50" w:line="360" w:lineRule="auto"/>
        <w:jc w:val="center"/>
        <w:rPr>
          <w:rFonts w:ascii="Arial" w:hAnsi="Arial" w:eastAsia="黑体" w:cs="Arial"/>
          <w:bCs/>
          <w:color w:val="auto"/>
          <w:sz w:val="36"/>
          <w:szCs w:val="48"/>
          <w:highlight w:val="none"/>
        </w:rPr>
      </w:pPr>
      <w:r>
        <w:rPr>
          <w:rFonts w:hint="eastAsia" w:ascii="Arial" w:hAnsi="Arial" w:eastAsia="黑体" w:cs="Arial"/>
          <w:bCs/>
          <w:color w:val="auto"/>
          <w:sz w:val="36"/>
          <w:szCs w:val="48"/>
          <w:highlight w:val="none"/>
        </w:rPr>
        <w:t>磋商总报价</w:t>
      </w:r>
    </w:p>
    <w:p>
      <w:pPr>
        <w:tabs>
          <w:tab w:val="left" w:pos="720"/>
        </w:tabs>
        <w:spacing w:after="120" w:afterLines="50" w:line="360" w:lineRule="auto"/>
        <w:rPr>
          <w:rFonts w:ascii="Arial" w:hAnsi="Arial" w:cs="Arial"/>
          <w:color w:val="auto"/>
          <w:highlight w:val="none"/>
        </w:rPr>
      </w:pPr>
    </w:p>
    <w:p>
      <w:pPr>
        <w:tabs>
          <w:tab w:val="left" w:pos="720"/>
        </w:tabs>
        <w:spacing w:after="120" w:afterLines="50" w:line="360" w:lineRule="auto"/>
        <w:rPr>
          <w:rFonts w:ascii="宋体" w:hAnsi="宋体" w:cs="Arial"/>
          <w:color w:val="auto"/>
          <w:highlight w:val="none"/>
        </w:rPr>
      </w:pPr>
    </w:p>
    <w:p>
      <w:pPr>
        <w:tabs>
          <w:tab w:val="left" w:pos="720"/>
        </w:tabs>
        <w:spacing w:after="240" w:afterLines="100" w:line="360" w:lineRule="auto"/>
        <w:ind w:firstLine="960" w:firstLineChars="400"/>
        <w:rPr>
          <w:rFonts w:ascii="宋体" w:hAnsi="宋体" w:cs="Arial"/>
          <w:color w:val="auto"/>
          <w:sz w:val="24"/>
          <w:highlight w:val="none"/>
          <w:u w:val="single"/>
        </w:rPr>
      </w:pPr>
      <w:r>
        <w:rPr>
          <w:rFonts w:hint="eastAsia" w:ascii="宋体" w:hAnsi="宋体" w:cs="Arial"/>
          <w:color w:val="auto"/>
          <w:sz w:val="24"/>
          <w:highlight w:val="none"/>
        </w:rPr>
        <w:t>采购</w:t>
      </w:r>
      <w:r>
        <w:rPr>
          <w:rFonts w:ascii="宋体" w:hAnsi="宋体" w:cs="Arial"/>
          <w:color w:val="auto"/>
          <w:sz w:val="24"/>
          <w:highlight w:val="none"/>
        </w:rPr>
        <w:t>人：</w:t>
      </w:r>
      <w:r>
        <w:rPr>
          <w:rFonts w:ascii="宋体" w:hAnsi="宋体" w:cs="Arial"/>
          <w:color w:val="auto"/>
          <w:sz w:val="24"/>
          <w:highlight w:val="none"/>
          <w:u w:val="single"/>
        </w:rPr>
        <w:t xml:space="preserve">                                                  </w:t>
      </w:r>
    </w:p>
    <w:p>
      <w:pPr>
        <w:tabs>
          <w:tab w:val="left" w:pos="720"/>
        </w:tabs>
        <w:spacing w:after="240" w:afterLines="100" w:line="360" w:lineRule="auto"/>
        <w:ind w:firstLine="960" w:firstLineChars="400"/>
        <w:rPr>
          <w:rFonts w:ascii="宋体" w:hAnsi="宋体" w:cs="Arial"/>
          <w:color w:val="auto"/>
          <w:sz w:val="24"/>
          <w:highlight w:val="none"/>
        </w:rPr>
      </w:pPr>
      <w:r>
        <w:rPr>
          <w:rFonts w:ascii="宋体" w:hAnsi="宋体" w:cs="Arial"/>
          <w:color w:val="auto"/>
          <w:sz w:val="24"/>
          <w:highlight w:val="none"/>
        </w:rPr>
        <w:t>工程名称：</w:t>
      </w:r>
      <w:r>
        <w:rPr>
          <w:rFonts w:ascii="宋体" w:hAnsi="宋体" w:cs="Arial"/>
          <w:color w:val="auto"/>
          <w:sz w:val="24"/>
          <w:highlight w:val="none"/>
          <w:u w:val="single"/>
        </w:rPr>
        <w:t xml:space="preserve">                                                  </w:t>
      </w:r>
    </w:p>
    <w:p>
      <w:pPr>
        <w:tabs>
          <w:tab w:val="left" w:pos="720"/>
        </w:tabs>
        <w:spacing w:after="240" w:afterLines="100" w:line="360" w:lineRule="auto"/>
        <w:ind w:firstLine="960" w:firstLineChars="400"/>
        <w:rPr>
          <w:rFonts w:ascii="宋体" w:hAnsi="宋体" w:cs="Arial"/>
          <w:color w:val="auto"/>
          <w:highlight w:val="none"/>
          <w:u w:val="single"/>
        </w:rPr>
      </w:pPr>
      <w:r>
        <w:rPr>
          <w:rFonts w:hint="eastAsia" w:ascii="宋体" w:hAnsi="宋体" w:cs="Arial"/>
          <w:color w:val="auto"/>
          <w:sz w:val="24"/>
          <w:highlight w:val="none"/>
        </w:rPr>
        <w:t>磋商</w:t>
      </w:r>
      <w:r>
        <w:rPr>
          <w:rFonts w:ascii="宋体" w:hAnsi="宋体" w:cs="Arial"/>
          <w:color w:val="auto"/>
          <w:sz w:val="24"/>
          <w:highlight w:val="none"/>
        </w:rPr>
        <w:t>总价</w:t>
      </w:r>
      <w:r>
        <w:rPr>
          <w:rFonts w:ascii="宋体" w:hAnsi="宋体" w:cs="Arial"/>
          <w:color w:val="auto"/>
          <w:highlight w:val="none"/>
        </w:rPr>
        <w:t>（小写）：</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p>
    <w:p>
      <w:pPr>
        <w:tabs>
          <w:tab w:val="left" w:pos="720"/>
        </w:tabs>
        <w:spacing w:after="240" w:afterLines="100" w:line="360" w:lineRule="auto"/>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 xml:space="preserve">          </w:t>
      </w:r>
      <w:r>
        <w:rPr>
          <w:rFonts w:ascii="宋体" w:hAnsi="宋体" w:cs="Arial"/>
          <w:color w:val="auto"/>
          <w:highlight w:val="none"/>
        </w:rPr>
        <w:t>（大写）：</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p>
    <w:p>
      <w:pPr>
        <w:tabs>
          <w:tab w:val="left" w:pos="720"/>
        </w:tabs>
        <w:spacing w:after="120" w:afterLines="50" w:line="360" w:lineRule="auto"/>
        <w:ind w:firstLine="3675" w:firstLineChars="1750"/>
        <w:rPr>
          <w:rFonts w:ascii="宋体" w:hAnsi="宋体" w:cs="Arial"/>
          <w:color w:val="auto"/>
          <w:highlight w:val="none"/>
        </w:rPr>
      </w:pPr>
    </w:p>
    <w:p>
      <w:pPr>
        <w:tabs>
          <w:tab w:val="left" w:pos="720"/>
        </w:tabs>
        <w:spacing w:after="120" w:afterLines="50" w:line="360" w:lineRule="auto"/>
        <w:ind w:firstLine="960" w:firstLineChars="400"/>
        <w:rPr>
          <w:rFonts w:ascii="宋体" w:hAnsi="宋体" w:cs="Arial"/>
          <w:color w:val="auto"/>
          <w:sz w:val="24"/>
          <w:highlight w:val="none"/>
          <w:u w:val="single"/>
        </w:rPr>
      </w:pPr>
      <w:r>
        <w:rPr>
          <w:rFonts w:hint="eastAsia" w:ascii="宋体" w:hAnsi="宋体" w:cs="Arial"/>
          <w:color w:val="auto"/>
          <w:sz w:val="24"/>
          <w:highlight w:val="none"/>
        </w:rPr>
        <w:t>供应商</w:t>
      </w:r>
      <w:r>
        <w:rPr>
          <w:rFonts w:ascii="宋体" w:hAnsi="宋体" w:cs="Arial"/>
          <w:color w:val="auto"/>
          <w:sz w:val="24"/>
          <w:highlight w:val="none"/>
        </w:rPr>
        <w:t>：</w:t>
      </w:r>
      <w:r>
        <w:rPr>
          <w:rFonts w:ascii="宋体" w:hAnsi="宋体" w:cs="Arial"/>
          <w:color w:val="auto"/>
          <w:sz w:val="24"/>
          <w:highlight w:val="none"/>
          <w:u w:val="single"/>
        </w:rPr>
        <w:t xml:space="preserve">    </w:t>
      </w:r>
      <w:r>
        <w:rPr>
          <w:rFonts w:hint="eastAsia" w:ascii="宋体" w:hAnsi="宋体" w:cs="Arial"/>
          <w:color w:val="auto"/>
          <w:sz w:val="24"/>
          <w:highlight w:val="none"/>
          <w:u w:val="single"/>
        </w:rPr>
        <w:t xml:space="preserve">              </w:t>
      </w:r>
      <w:r>
        <w:rPr>
          <w:rFonts w:ascii="宋体" w:hAnsi="宋体" w:cs="Arial"/>
          <w:color w:val="auto"/>
          <w:sz w:val="24"/>
          <w:highlight w:val="none"/>
          <w:u w:val="single"/>
        </w:rPr>
        <w:t xml:space="preserve">                                </w:t>
      </w:r>
      <w:r>
        <w:rPr>
          <w:rFonts w:ascii="宋体" w:hAnsi="宋体" w:cs="Arial"/>
          <w:color w:val="auto"/>
          <w:sz w:val="24"/>
          <w:highlight w:val="none"/>
        </w:rPr>
        <w:t xml:space="preserve">  </w:t>
      </w:r>
    </w:p>
    <w:p>
      <w:pPr>
        <w:tabs>
          <w:tab w:val="left" w:pos="720"/>
        </w:tabs>
        <w:spacing w:after="120" w:afterLines="50" w:line="360" w:lineRule="auto"/>
        <w:jc w:val="center"/>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 xml:space="preserve">   </w:t>
      </w:r>
      <w:r>
        <w:rPr>
          <w:rFonts w:ascii="Arial" w:hAnsi="Arial" w:cs="Arial"/>
          <w:color w:val="auto"/>
          <w:highlight w:val="none"/>
        </w:rPr>
        <w:t>（单位盖章）</w:t>
      </w:r>
    </w:p>
    <w:p>
      <w:pPr>
        <w:tabs>
          <w:tab w:val="left" w:pos="720"/>
        </w:tabs>
        <w:spacing w:after="120" w:afterLines="50" w:line="360" w:lineRule="auto"/>
        <w:rPr>
          <w:rFonts w:ascii="宋体" w:hAnsi="宋体" w:cs="Arial"/>
          <w:color w:val="auto"/>
          <w:highlight w:val="none"/>
        </w:rPr>
      </w:pPr>
    </w:p>
    <w:p>
      <w:pPr>
        <w:tabs>
          <w:tab w:val="left" w:pos="720"/>
        </w:tabs>
        <w:spacing w:after="120" w:afterLines="50" w:line="360" w:lineRule="auto"/>
        <w:ind w:firstLine="960" w:firstLineChars="400"/>
        <w:rPr>
          <w:rFonts w:ascii="宋体" w:hAnsi="宋体" w:cs="Arial"/>
          <w:color w:val="auto"/>
          <w:sz w:val="24"/>
          <w:highlight w:val="none"/>
        </w:rPr>
      </w:pPr>
      <w:r>
        <w:rPr>
          <w:rFonts w:ascii="宋体" w:hAnsi="宋体" w:cs="Arial"/>
          <w:color w:val="auto"/>
          <w:sz w:val="24"/>
          <w:highlight w:val="none"/>
        </w:rPr>
        <w:t xml:space="preserve">法定代表人                          </w:t>
      </w:r>
    </w:p>
    <w:p>
      <w:pPr>
        <w:tabs>
          <w:tab w:val="left" w:pos="720"/>
        </w:tabs>
        <w:spacing w:after="120" w:afterLines="50" w:line="360" w:lineRule="auto"/>
        <w:ind w:firstLine="960" w:firstLineChars="400"/>
        <w:rPr>
          <w:rFonts w:ascii="宋体" w:hAnsi="宋体" w:cs="Arial"/>
          <w:color w:val="auto"/>
          <w:highlight w:val="none"/>
        </w:rPr>
      </w:pPr>
      <w:r>
        <w:rPr>
          <w:rFonts w:ascii="宋体" w:hAnsi="宋体" w:cs="Arial"/>
          <w:color w:val="auto"/>
          <w:sz w:val="24"/>
          <w:highlight w:val="none"/>
        </w:rPr>
        <w:t>或其授权人</w:t>
      </w:r>
      <w:r>
        <w:rPr>
          <w:rFonts w:ascii="宋体" w:hAnsi="宋体" w:cs="Arial"/>
          <w:color w:val="auto"/>
          <w:highlight w:val="none"/>
        </w:rPr>
        <w:t>：</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p>
    <w:p>
      <w:pPr>
        <w:tabs>
          <w:tab w:val="left" w:pos="720"/>
        </w:tabs>
        <w:spacing w:after="120" w:afterLines="50" w:line="360" w:lineRule="auto"/>
        <w:rPr>
          <w:rFonts w:ascii="宋体" w:hAnsi="宋体" w:cs="Arial"/>
          <w:color w:val="auto"/>
          <w:highlight w:val="none"/>
        </w:rPr>
      </w:pPr>
      <w:r>
        <w:rPr>
          <w:rFonts w:ascii="宋体" w:hAnsi="宋体" w:cs="Arial"/>
          <w:color w:val="auto"/>
          <w:highlight w:val="none"/>
        </w:rPr>
        <w:t xml:space="preserve">                                    </w:t>
      </w:r>
      <w:r>
        <w:rPr>
          <w:rFonts w:ascii="Arial" w:hAnsi="Arial" w:cs="Arial"/>
          <w:color w:val="auto"/>
          <w:highlight w:val="none"/>
        </w:rPr>
        <w:t>（签字或盖章）</w:t>
      </w:r>
    </w:p>
    <w:p>
      <w:pPr>
        <w:tabs>
          <w:tab w:val="left" w:pos="720"/>
        </w:tabs>
        <w:spacing w:after="120" w:afterLines="50" w:line="360" w:lineRule="auto"/>
        <w:ind w:firstLine="960" w:firstLineChars="400"/>
        <w:rPr>
          <w:rFonts w:ascii="宋体" w:hAnsi="宋体" w:cs="Arial"/>
          <w:color w:val="auto"/>
          <w:sz w:val="24"/>
          <w:highlight w:val="none"/>
        </w:rPr>
      </w:pPr>
      <w:r>
        <w:rPr>
          <w:rFonts w:hint="eastAsia" w:ascii="宋体" w:hAnsi="宋体" w:cs="Arial"/>
          <w:color w:val="auto"/>
          <w:sz w:val="24"/>
          <w:highlight w:val="none"/>
        </w:rPr>
        <w:t>编制人</w:t>
      </w:r>
      <w:r>
        <w:rPr>
          <w:rFonts w:ascii="宋体" w:hAnsi="宋体" w:cs="Arial"/>
          <w:color w:val="auto"/>
          <w:sz w:val="24"/>
          <w:highlight w:val="none"/>
        </w:rPr>
        <w:t>：</w:t>
      </w:r>
      <w:r>
        <w:rPr>
          <w:rFonts w:ascii="宋体" w:hAnsi="宋体" w:cs="Arial"/>
          <w:color w:val="auto"/>
          <w:sz w:val="24"/>
          <w:highlight w:val="none"/>
          <w:u w:val="single"/>
        </w:rPr>
        <w:t xml:space="preserve">           </w:t>
      </w:r>
      <w:r>
        <w:rPr>
          <w:rFonts w:hint="eastAsia" w:ascii="宋体" w:hAnsi="宋体" w:cs="Arial"/>
          <w:color w:val="auto"/>
          <w:sz w:val="24"/>
          <w:highlight w:val="none"/>
          <w:u w:val="single"/>
        </w:rPr>
        <w:t xml:space="preserve">             </w:t>
      </w:r>
      <w:r>
        <w:rPr>
          <w:rFonts w:ascii="宋体" w:hAnsi="宋体" w:cs="Arial"/>
          <w:color w:val="auto"/>
          <w:sz w:val="24"/>
          <w:highlight w:val="none"/>
          <w:u w:val="single"/>
        </w:rPr>
        <w:t xml:space="preserve">                         </w:t>
      </w:r>
    </w:p>
    <w:p>
      <w:pPr>
        <w:tabs>
          <w:tab w:val="left" w:pos="720"/>
        </w:tabs>
        <w:spacing w:after="120" w:afterLines="50" w:line="360" w:lineRule="auto"/>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 xml:space="preserve">     </w:t>
      </w:r>
      <w:r>
        <w:rPr>
          <w:rFonts w:ascii="Arial" w:hAnsi="Arial" w:cs="Arial"/>
          <w:color w:val="auto"/>
          <w:highlight w:val="none"/>
        </w:rPr>
        <w:t>（</w:t>
      </w:r>
      <w:r>
        <w:rPr>
          <w:rFonts w:hint="eastAsia" w:ascii="Arial" w:hAnsi="Arial" w:cs="Arial"/>
          <w:color w:val="auto"/>
          <w:highlight w:val="none"/>
        </w:rPr>
        <w:t>造价人员签字</w:t>
      </w:r>
      <w:r>
        <w:rPr>
          <w:rFonts w:ascii="Arial" w:hAnsi="Arial" w:cs="Arial"/>
          <w:color w:val="auto"/>
          <w:highlight w:val="none"/>
        </w:rPr>
        <w:t>）</w:t>
      </w:r>
    </w:p>
    <w:p>
      <w:pPr>
        <w:tabs>
          <w:tab w:val="left" w:pos="720"/>
        </w:tabs>
        <w:spacing w:after="120" w:afterLines="50" w:line="360" w:lineRule="auto"/>
        <w:rPr>
          <w:rFonts w:ascii="宋体" w:hAnsi="宋体" w:cs="Arial"/>
          <w:color w:val="auto"/>
          <w:highlight w:val="none"/>
        </w:rPr>
      </w:pPr>
    </w:p>
    <w:p>
      <w:pPr>
        <w:tabs>
          <w:tab w:val="left" w:pos="720"/>
        </w:tabs>
        <w:spacing w:after="120" w:afterLines="50" w:line="360" w:lineRule="auto"/>
        <w:ind w:firstLine="960" w:firstLineChars="400"/>
        <w:rPr>
          <w:rFonts w:ascii="宋体" w:hAnsi="宋体" w:cs="Arial"/>
          <w:color w:val="auto"/>
          <w:sz w:val="24"/>
          <w:highlight w:val="none"/>
        </w:rPr>
      </w:pPr>
    </w:p>
    <w:p>
      <w:pPr>
        <w:tabs>
          <w:tab w:val="left" w:pos="720"/>
        </w:tabs>
        <w:spacing w:after="120" w:afterLines="50" w:line="360" w:lineRule="auto"/>
        <w:ind w:firstLine="960" w:firstLineChars="400"/>
        <w:rPr>
          <w:rFonts w:ascii="宋体"/>
          <w:color w:val="auto"/>
          <w:kern w:val="0"/>
          <w:sz w:val="24"/>
          <w:highlight w:val="none"/>
        </w:rPr>
      </w:pPr>
      <w:r>
        <w:rPr>
          <w:rFonts w:ascii="宋体" w:hAnsi="宋体" w:cs="Arial"/>
          <w:color w:val="auto"/>
          <w:sz w:val="24"/>
          <w:highlight w:val="none"/>
        </w:rPr>
        <w:t>编制时间：</w:t>
      </w:r>
      <w:r>
        <w:rPr>
          <w:rFonts w:hint="eastAsia" w:ascii="宋体" w:hAnsi="宋体" w:cs="Arial"/>
          <w:color w:val="auto"/>
          <w:sz w:val="24"/>
          <w:highlight w:val="none"/>
          <w:u w:val="single"/>
        </w:rPr>
        <w:t xml:space="preserve">         </w:t>
      </w:r>
      <w:r>
        <w:rPr>
          <w:rFonts w:hint="eastAsia" w:ascii="宋体" w:hAnsi="宋体" w:cs="Arial"/>
          <w:color w:val="auto"/>
          <w:sz w:val="24"/>
          <w:highlight w:val="none"/>
        </w:rPr>
        <w:t xml:space="preserve"> 年 </w:t>
      </w:r>
      <w:r>
        <w:rPr>
          <w:rFonts w:hint="eastAsia" w:ascii="宋体" w:hAnsi="宋体" w:cs="Arial"/>
          <w:color w:val="auto"/>
          <w:sz w:val="24"/>
          <w:highlight w:val="none"/>
          <w:u w:val="single"/>
        </w:rPr>
        <w:t xml:space="preserve">      </w:t>
      </w:r>
      <w:r>
        <w:rPr>
          <w:rFonts w:hint="eastAsia" w:ascii="宋体" w:hAnsi="宋体" w:cs="Arial"/>
          <w:color w:val="auto"/>
          <w:sz w:val="24"/>
          <w:highlight w:val="none"/>
        </w:rPr>
        <w:t>月</w:t>
      </w:r>
      <w:r>
        <w:rPr>
          <w:rFonts w:hint="eastAsia" w:ascii="宋体" w:hAnsi="宋体" w:cs="Arial"/>
          <w:color w:val="auto"/>
          <w:sz w:val="24"/>
          <w:highlight w:val="none"/>
          <w:u w:val="single"/>
        </w:rPr>
        <w:t xml:space="preserve">      </w:t>
      </w:r>
      <w:r>
        <w:rPr>
          <w:rFonts w:hint="eastAsia" w:ascii="宋体" w:hAnsi="宋体" w:cs="Arial"/>
          <w:color w:val="auto"/>
          <w:sz w:val="24"/>
          <w:highlight w:val="none"/>
        </w:rPr>
        <w:t>日</w:t>
      </w:r>
    </w:p>
    <w:p>
      <w:pPr>
        <w:snapToGrid w:val="0"/>
        <w:spacing w:line="300" w:lineRule="auto"/>
        <w:rPr>
          <w:rFonts w:hint="eastAsia" w:ascii="仿宋" w:hAnsi="仿宋" w:eastAsia="仿宋" w:cs="仿宋"/>
          <w:color w:val="000000" w:themeColor="text1"/>
          <w:szCs w:val="21"/>
          <w14:textFill>
            <w14:solidFill>
              <w14:schemeClr w14:val="tx1"/>
            </w14:solidFill>
          </w14:textFill>
        </w:rPr>
      </w:pPr>
    </w:p>
    <w:p>
      <w:pPr>
        <w:pStyle w:val="33"/>
        <w:snapToGrid w:val="0"/>
        <w:spacing w:line="300" w:lineRule="auto"/>
        <w:ind w:firstLine="480"/>
        <w:rPr>
          <w:rFonts w:hint="eastAsia" w:ascii="仿宋" w:hAnsi="仿宋" w:eastAsia="仿宋" w:cs="仿宋"/>
          <w:color w:val="000000" w:themeColor="text1"/>
          <w:szCs w:val="21"/>
          <w14:textFill>
            <w14:solidFill>
              <w14:schemeClr w14:val="tx1"/>
            </w14:solidFill>
          </w14:textFill>
        </w:rPr>
      </w:pPr>
    </w:p>
    <w:p>
      <w:pPr>
        <w:pStyle w:val="33"/>
        <w:snapToGrid w:val="0"/>
        <w:spacing w:line="300" w:lineRule="auto"/>
        <w:ind w:firstLine="480"/>
        <w:rPr>
          <w:rFonts w:hint="eastAsia" w:ascii="仿宋" w:hAnsi="仿宋" w:eastAsia="仿宋" w:cs="仿宋"/>
          <w:color w:val="000000" w:themeColor="text1"/>
          <w:sz w:val="24"/>
          <w:szCs w:val="24"/>
          <w:lang w:val="en-GB"/>
          <w14:textFill>
            <w14:solidFill>
              <w14:schemeClr w14:val="tx1"/>
            </w14:solidFill>
          </w14:textFill>
        </w:rPr>
      </w:pPr>
    </w:p>
    <w:p>
      <w:pPr>
        <w:widowControl/>
        <w:wordWrap w:val="0"/>
        <w:spacing w:line="360" w:lineRule="auto"/>
        <w:rPr>
          <w:rFonts w:hint="eastAsia" w:ascii="仿宋" w:hAnsi="仿宋" w:eastAsia="仿宋" w:cs="仿宋"/>
          <w:b/>
          <w:sz w:val="36"/>
          <w:szCs w:val="36"/>
        </w:rPr>
      </w:pPr>
      <w:r>
        <w:rPr>
          <w:rFonts w:hint="eastAsia" w:ascii="仿宋" w:hAnsi="仿宋" w:eastAsia="仿宋" w:cs="仿宋"/>
          <w:szCs w:val="21"/>
        </w:rPr>
        <w:t xml:space="preserve">      </w:t>
      </w:r>
      <w:r>
        <w:rPr>
          <w:rFonts w:hint="eastAsia" w:ascii="仿宋" w:hAnsi="仿宋" w:eastAsia="仿宋" w:cs="仿宋"/>
          <w:b/>
          <w:sz w:val="36"/>
          <w:szCs w:val="36"/>
        </w:rPr>
        <w:br w:type="page"/>
      </w:r>
    </w:p>
    <w:p>
      <w:pPr>
        <w:snapToGrid w:val="0"/>
        <w:spacing w:line="360" w:lineRule="auto"/>
        <w:jc w:val="center"/>
        <w:outlineLvl w:val="0"/>
        <w:rPr>
          <w:rFonts w:hint="eastAsia" w:ascii="仿宋" w:hAnsi="仿宋" w:eastAsia="仿宋" w:cs="仿宋"/>
          <w:b/>
          <w:kern w:val="0"/>
          <w:sz w:val="32"/>
          <w:szCs w:val="32"/>
        </w:rPr>
      </w:pPr>
      <w:bookmarkStart w:id="546" w:name="_Toc9800"/>
      <w:r>
        <w:rPr>
          <w:rFonts w:hint="eastAsia" w:ascii="仿宋" w:hAnsi="仿宋" w:eastAsia="仿宋" w:cs="仿宋"/>
          <w:b/>
          <w:kern w:val="0"/>
          <w:sz w:val="32"/>
          <w:szCs w:val="32"/>
        </w:rPr>
        <w:t>附件</w:t>
      </w:r>
      <w:bookmarkEnd w:id="546"/>
    </w:p>
    <w:p>
      <w:pPr>
        <w:spacing w:line="360" w:lineRule="auto"/>
        <w:rPr>
          <w:rFonts w:hint="eastAsia" w:ascii="仿宋" w:hAnsi="仿宋" w:eastAsia="仿宋" w:cs="仿宋"/>
          <w:b/>
          <w:spacing w:val="6"/>
          <w:sz w:val="32"/>
          <w:szCs w:val="32"/>
        </w:rPr>
      </w:pPr>
      <w:r>
        <w:rPr>
          <w:rFonts w:hint="eastAsia" w:ascii="仿宋" w:hAnsi="仿宋" w:eastAsia="仿宋" w:cs="仿宋"/>
          <w:b/>
          <w:spacing w:val="6"/>
          <w:sz w:val="32"/>
          <w:szCs w:val="32"/>
        </w:rPr>
        <w:t>附件1：</w:t>
      </w:r>
    </w:p>
    <w:p>
      <w:pPr>
        <w:spacing w:line="360" w:lineRule="auto"/>
        <w:jc w:val="center"/>
        <w:rPr>
          <w:rFonts w:hint="eastAsia" w:ascii="仿宋" w:hAnsi="仿宋" w:eastAsia="仿宋" w:cs="仿宋"/>
          <w:b/>
          <w:spacing w:val="6"/>
          <w:sz w:val="32"/>
          <w:szCs w:val="32"/>
        </w:rPr>
      </w:pPr>
      <w:bookmarkStart w:id="547" w:name="OLE_LINK14"/>
      <w:bookmarkStart w:id="548" w:name="OLE_LINK13"/>
      <w:r>
        <w:rPr>
          <w:rFonts w:hint="eastAsia" w:ascii="仿宋" w:hAnsi="仿宋" w:eastAsia="仿宋" w:cs="仿宋"/>
          <w:b/>
          <w:spacing w:val="6"/>
          <w:sz w:val="32"/>
          <w:szCs w:val="32"/>
        </w:rPr>
        <w:t>残疾人福利性单位声明函</w:t>
      </w:r>
    </w:p>
    <w:bookmarkEnd w:id="547"/>
    <w:bookmarkEnd w:id="548"/>
    <w:p>
      <w:pPr>
        <w:spacing w:line="360" w:lineRule="auto"/>
        <w:rPr>
          <w:rFonts w:hint="eastAsia" w:ascii="仿宋" w:hAnsi="仿宋" w:eastAsia="仿宋" w:cs="仿宋"/>
          <w:b/>
          <w:spacing w:val="6"/>
          <w:sz w:val="30"/>
          <w:szCs w:val="30"/>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供应商全称（盖单位公章或电子签章）</w:t>
      </w:r>
      <w:r>
        <w:rPr>
          <w:rFonts w:hint="eastAsia" w:ascii="仿宋" w:hAnsi="仿宋" w:eastAsia="仿宋" w:cs="仿宋"/>
          <w:sz w:val="24"/>
        </w:rPr>
        <w:t>：</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pPr>
        <w:pStyle w:val="23"/>
      </w:pPr>
    </w:p>
    <w:p>
      <w:pP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br w:type="page"/>
      </w:r>
    </w:p>
    <w:p>
      <w:pPr>
        <w:spacing w:line="360" w:lineRule="auto"/>
        <w:jc w:val="left"/>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附件2：质疑函范本及制作说明</w:t>
      </w:r>
    </w:p>
    <w:p>
      <w:pPr>
        <w:spacing w:line="360" w:lineRule="auto"/>
        <w:jc w:val="cente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质疑函范本</w:t>
      </w:r>
    </w:p>
    <w:p>
      <w:pPr>
        <w:snapToGrid w:val="0"/>
        <w:spacing w:before="240" w:beforeLines="100" w:line="360" w:lineRule="auto"/>
        <w:rPr>
          <w:rFonts w:ascii="仿宋_GB2312" w:hAnsi="仿宋_GB2312" w:eastAsia="仿宋_GB2312" w:cs="仿宋_GB2312"/>
          <w:bCs/>
          <w:sz w:val="24"/>
        </w:rPr>
      </w:pPr>
      <w:r>
        <w:rPr>
          <w:rFonts w:hint="eastAsia" w:ascii="仿宋_GB2312" w:hAnsi="仿宋_GB2312" w:eastAsia="仿宋_GB2312" w:cs="仿宋_GB2312"/>
          <w:bCs/>
          <w:sz w:val="24"/>
        </w:rPr>
        <w:t>一、质疑供应商基本信息</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质疑供应商：</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授权代表：</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地址： </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二、质疑项目基本情况</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质疑项目的名称：</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质疑项目的编号：</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包号：</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采购人名称：</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采购文件获取日期：</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三、质疑事项具体内容</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质疑事项1：</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事实依据：</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法律依据：</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质疑事项2</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四、与质疑事项相关的质疑请求</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请求：</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签字(签章)：                   公章：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日期：    </w:t>
      </w: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质疑函制作说明：</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1.供应商提出质疑时，应提交质疑函和必要的证明材料。</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2.质疑供应商若委托代理人进行质疑的，质疑函应按要求列明“授权代表”的有关内容，并在附件中提交由质疑</w:t>
      </w:r>
      <w:r>
        <w:rPr>
          <w:rFonts w:hint="eastAsia" w:ascii="仿宋_GB2312" w:hAnsi="仿宋_GB2312" w:eastAsia="仿宋_GB2312" w:cs="仿宋_GB2312"/>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3.质疑供应商若对项目的某一分包进行质疑，质疑函中应列明具体分包号。</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4.质疑函的质疑事项应具体、明确，并有必要的事实依据和法律依据。</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5.质疑函的质疑请求应与质疑事项相关。</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_GB2312" w:hAnsi="仿宋_GB2312" w:eastAsia="仿宋_GB2312" w:cs="仿宋_GB2312"/>
          <w:sz w:val="30"/>
          <w:szCs w:val="30"/>
        </w:rPr>
      </w:pPr>
    </w:p>
    <w:p>
      <w:pPr>
        <w:spacing w:line="360" w:lineRule="auto"/>
        <w:jc w:val="left"/>
        <w:rPr>
          <w:rFonts w:ascii="仿宋_GB2312" w:hAnsi="仿宋_GB2312" w:eastAsia="仿宋_GB2312" w:cs="仿宋_GB2312"/>
          <w:b/>
          <w:spacing w:val="6"/>
          <w:sz w:val="32"/>
          <w:szCs w:val="32"/>
        </w:rPr>
      </w:pPr>
      <w:r>
        <w:rPr>
          <w:rFonts w:hint="eastAsia" w:ascii="仿宋_GB2312" w:hAnsi="仿宋_GB2312" w:eastAsia="仿宋_GB2312" w:cs="仿宋_GB2312"/>
          <w:b/>
          <w:sz w:val="24"/>
        </w:rPr>
        <w:br w:type="page"/>
      </w:r>
      <w:r>
        <w:rPr>
          <w:rFonts w:hint="eastAsia" w:ascii="仿宋_GB2312" w:hAnsi="仿宋_GB2312" w:eastAsia="仿宋_GB2312" w:cs="仿宋_GB2312"/>
          <w:b/>
          <w:spacing w:val="6"/>
          <w:sz w:val="32"/>
          <w:szCs w:val="32"/>
        </w:rPr>
        <w:t>附件3：投诉书范本及制作说明</w:t>
      </w:r>
    </w:p>
    <w:p>
      <w:pPr>
        <w:spacing w:line="360" w:lineRule="auto"/>
        <w:jc w:val="center"/>
        <w:rPr>
          <w:rFonts w:ascii="仿宋_GB2312" w:hAnsi="仿宋_GB2312" w:eastAsia="仿宋_GB2312" w:cs="仿宋_GB2312"/>
          <w:b/>
          <w:sz w:val="24"/>
        </w:rPr>
      </w:pPr>
    </w:p>
    <w:p>
      <w:pPr>
        <w:spacing w:line="360" w:lineRule="auto"/>
        <w:jc w:val="cente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投诉书范本</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一、投诉相关主体基本情况</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投诉人：</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tabs>
          <w:tab w:val="left" w:pos="6510"/>
        </w:tabs>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法定代表人/主要负责人：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tabs>
          <w:tab w:val="left" w:pos="6510"/>
        </w:tabs>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授权代表：</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被投诉人1：</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被投诉人2</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相关供应商：</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二、投诉项目基本情况</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采购项目名称：</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采购项目编号：</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包号：</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采购人名称：</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代理机构名称：</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采购文件公告:</w:t>
      </w:r>
      <w:r>
        <w:rPr>
          <w:rFonts w:hint="eastAsia" w:ascii="仿宋_GB2312" w:hAnsi="仿宋_GB2312" w:eastAsia="仿宋_GB2312" w:cs="仿宋_GB2312"/>
          <w:sz w:val="24"/>
          <w:u w:val="dotted"/>
        </w:rPr>
        <w:t xml:space="preserve">是/否 </w:t>
      </w:r>
      <w:r>
        <w:rPr>
          <w:rFonts w:hint="eastAsia" w:ascii="仿宋_GB2312" w:hAnsi="仿宋_GB2312" w:eastAsia="仿宋_GB2312" w:cs="仿宋_GB2312"/>
          <w:sz w:val="24"/>
        </w:rPr>
        <w:t>公告期限：</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采购结果公告:</w:t>
      </w:r>
      <w:r>
        <w:rPr>
          <w:rFonts w:hint="eastAsia" w:ascii="仿宋_GB2312" w:hAnsi="仿宋_GB2312" w:eastAsia="仿宋_GB2312" w:cs="仿宋_GB2312"/>
          <w:sz w:val="24"/>
          <w:u w:val="dotted"/>
        </w:rPr>
        <w:t xml:space="preserve">是/否 </w:t>
      </w:r>
      <w:r>
        <w:rPr>
          <w:rFonts w:hint="eastAsia" w:ascii="仿宋_GB2312" w:hAnsi="仿宋_GB2312" w:eastAsia="仿宋_GB2312" w:cs="仿宋_GB2312"/>
          <w:sz w:val="24"/>
        </w:rPr>
        <w:t>公告期限：</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三、质疑基本情况</w:t>
      </w:r>
    </w:p>
    <w:p>
      <w:pPr>
        <w:spacing w:line="360" w:lineRule="auto"/>
        <w:ind w:firstLine="480" w:firstLineChars="200"/>
        <w:rPr>
          <w:rFonts w:ascii="仿宋_GB2312" w:hAnsi="仿宋_GB2312" w:eastAsia="仿宋_GB2312" w:cs="仿宋_GB2312"/>
          <w:sz w:val="24"/>
          <w:u w:val="dotted"/>
        </w:rPr>
      </w:pPr>
      <w:r>
        <w:rPr>
          <w:rFonts w:hint="eastAsia" w:ascii="仿宋_GB2312" w:hAnsi="仿宋_GB2312" w:eastAsia="仿宋_GB2312" w:cs="仿宋_GB2312"/>
          <w:sz w:val="24"/>
        </w:rPr>
        <w:t>投诉人于</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日,向</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提出质疑，质疑事项为：</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u w:val="dotted"/>
        </w:rPr>
        <w:t>采购人/代理机构</w:t>
      </w:r>
      <w:r>
        <w:rPr>
          <w:rFonts w:hint="eastAsia" w:ascii="仿宋_GB2312" w:hAnsi="仿宋_GB2312" w:eastAsia="仿宋_GB2312" w:cs="仿宋_GB2312"/>
          <w:sz w:val="24"/>
        </w:rPr>
        <w:t>于</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日,就质疑事项作出了答复/没有在法定期限内作出答复。</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四、投诉事项具体内容</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投诉事项 1：</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事实依据：</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法律依据：</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投诉事项2</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五、与投诉事项相关的投诉请求</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请求：</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签字(签章)：                   公章：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日期：    </w:t>
      </w:r>
    </w:p>
    <w:p>
      <w:pPr>
        <w:spacing w:line="360" w:lineRule="auto"/>
        <w:rPr>
          <w:rFonts w:ascii="仿宋_GB2312" w:hAnsi="仿宋_GB2312" w:eastAsia="仿宋_GB2312" w:cs="仿宋_GB2312"/>
          <w:b/>
          <w:sz w:val="24"/>
        </w:rPr>
      </w:pPr>
    </w:p>
    <w:p>
      <w:pPr>
        <w:spacing w:line="360" w:lineRule="auto"/>
        <w:rPr>
          <w:rFonts w:ascii="仿宋_GB2312" w:hAnsi="仿宋_GB2312" w:eastAsia="仿宋_GB2312" w:cs="仿宋_GB2312"/>
          <w:b/>
          <w:sz w:val="24"/>
        </w:rPr>
      </w:pPr>
    </w:p>
    <w:p>
      <w:pPr>
        <w:spacing w:line="360" w:lineRule="auto"/>
        <w:rPr>
          <w:rFonts w:ascii="仿宋_GB2312" w:hAnsi="仿宋_GB2312" w:eastAsia="仿宋_GB2312" w:cs="仿宋_GB2312"/>
          <w:b/>
          <w:sz w:val="22"/>
          <w:szCs w:val="22"/>
        </w:rPr>
      </w:pPr>
      <w:r>
        <w:rPr>
          <w:rFonts w:hint="eastAsia" w:ascii="仿宋_GB2312" w:hAnsi="仿宋_GB2312" w:eastAsia="仿宋_GB2312" w:cs="仿宋_GB2312"/>
          <w:b/>
          <w:sz w:val="22"/>
          <w:szCs w:val="22"/>
        </w:rPr>
        <w:t>投诉书制作说明：</w:t>
      </w:r>
    </w:p>
    <w:p>
      <w:pPr>
        <w:widowControl/>
        <w:spacing w:line="360" w:lineRule="auto"/>
        <w:ind w:firstLine="440" w:firstLineChars="200"/>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1.投诉人提起投诉时，应当提交投诉书和必要的证明材料，并按照被投诉人和与投诉事项有关的供应商数量提供投诉书副本。</w:t>
      </w:r>
    </w:p>
    <w:p>
      <w:pPr>
        <w:widowControl/>
        <w:spacing w:line="360" w:lineRule="auto"/>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2.投诉人若委托代理人进行投诉的，投诉书应按照要求列明“授权代表”的有关内容，并在附件中提交由</w:t>
      </w:r>
      <w:r>
        <w:rPr>
          <w:rFonts w:hint="eastAsia" w:ascii="仿宋_GB2312" w:hAnsi="仿宋_GB2312" w:eastAsia="仿宋_GB2312" w:cs="仿宋_GB2312"/>
          <w:kern w:val="0"/>
          <w:sz w:val="22"/>
          <w:szCs w:val="22"/>
        </w:rPr>
        <w:t>投诉人签署的授权委托书。授权委托书应当载明代理人的姓名或者名称、代理事项、具体权限、期限和相关事项。</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3.投诉人若对项目的某一分包进行投诉，投诉书应列明具体分包号。</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4.投诉书应简要列明质疑事项，质疑函、质疑答复等作为附件材料提供。</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5.投诉书的投诉事项应具体、明确，并有必要的事实依据和法律依据。</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6.投诉书的投诉请求应与投诉事项相关。</w:t>
      </w:r>
    </w:p>
    <w:p>
      <w:pPr>
        <w:widowControl/>
        <w:spacing w:line="360" w:lineRule="auto"/>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7.投诉人为自然人的，投诉书应当由本人签字；投诉人为法人或者其他组织的，投诉书应当由法定代表人、主要负责人，或者其授权代表签字或者盖章，并加盖公章。</w:t>
      </w:r>
    </w:p>
    <w:p>
      <w:pPr>
        <w:rPr>
          <w:rFonts w:ascii="仿宋_GB2312" w:hAnsi="仿宋_GB2312" w:eastAsia="仿宋_GB2312" w:cs="仿宋_GB2312"/>
          <w:b/>
          <w:sz w:val="24"/>
        </w:rPr>
      </w:pPr>
    </w:p>
    <w:p>
      <w:pPr>
        <w:widowControl/>
        <w:adjustRightInd/>
        <w:jc w:val="left"/>
        <w:rPr>
          <w:rFonts w:ascii="仿宋_GB2312" w:hAnsi="仿宋_GB2312" w:eastAsia="仿宋_GB2312" w:cs="仿宋_GB2312"/>
          <w:b/>
          <w:sz w:val="24"/>
        </w:rPr>
      </w:pPr>
      <w:r>
        <w:rPr>
          <w:rFonts w:hint="eastAsia" w:ascii="仿宋_GB2312" w:hAnsi="仿宋_GB2312" w:eastAsia="仿宋_GB2312" w:cs="仿宋_GB2312"/>
          <w:b/>
          <w:sz w:val="24"/>
        </w:rPr>
        <w:br w:type="page"/>
      </w:r>
    </w:p>
    <w:p>
      <w:pPr>
        <w:autoSpaceDE w:val="0"/>
        <w:autoSpaceDN w:val="0"/>
        <w:rPr>
          <w:rFonts w:ascii="仿宋" w:hAnsi="仿宋" w:eastAsia="仿宋"/>
          <w:b/>
          <w:spacing w:val="6"/>
          <w:sz w:val="32"/>
          <w:szCs w:val="32"/>
        </w:rPr>
      </w:pPr>
      <w:r>
        <w:rPr>
          <w:rFonts w:hint="eastAsia" w:ascii="仿宋" w:hAnsi="仿宋" w:eastAsia="仿宋"/>
          <w:b/>
          <w:spacing w:val="6"/>
          <w:sz w:val="32"/>
          <w:szCs w:val="32"/>
        </w:rPr>
        <w:t>附件</w:t>
      </w:r>
      <w:r>
        <w:rPr>
          <w:rFonts w:ascii="仿宋" w:hAnsi="仿宋" w:eastAsia="仿宋"/>
          <w:b/>
          <w:spacing w:val="6"/>
          <w:sz w:val="32"/>
          <w:szCs w:val="32"/>
        </w:rPr>
        <w:t>4：</w:t>
      </w:r>
    </w:p>
    <w:p>
      <w:pPr>
        <w:autoSpaceDE w:val="0"/>
        <w:autoSpaceDN w:val="0"/>
        <w:rPr>
          <w:rFonts w:ascii="仿宋" w:hAnsi="仿宋" w:eastAsia="仿宋"/>
          <w:b/>
          <w:spacing w:val="6"/>
          <w:sz w:val="32"/>
          <w:szCs w:val="32"/>
        </w:rPr>
      </w:pPr>
    </w:p>
    <w:p>
      <w:pPr>
        <w:autoSpaceDE w:val="0"/>
        <w:autoSpaceDN w:val="0"/>
        <w:jc w:val="center"/>
        <w:rPr>
          <w:rFonts w:ascii="仿宋" w:hAnsi="仿宋" w:eastAsia="仿宋"/>
          <w:b/>
          <w:bCs/>
          <w:sz w:val="32"/>
          <w:szCs w:val="32"/>
        </w:rPr>
      </w:pPr>
      <w:r>
        <w:rPr>
          <w:rFonts w:hint="eastAsia" w:ascii="仿宋" w:hAnsi="仿宋" w:eastAsia="仿宋"/>
          <w:b/>
          <w:bCs/>
          <w:sz w:val="32"/>
          <w:szCs w:val="32"/>
        </w:rPr>
        <w:t>业务专用章使用说明函</w:t>
      </w:r>
    </w:p>
    <w:p>
      <w:pPr>
        <w:spacing w:line="360" w:lineRule="auto"/>
        <w:rPr>
          <w:rFonts w:ascii="仿宋" w:hAnsi="仿宋" w:eastAsia="仿宋" w:cs="仿宋_GB2312"/>
          <w:sz w:val="24"/>
          <w:u w:val="single"/>
        </w:rPr>
      </w:pPr>
    </w:p>
    <w:p>
      <w:pPr>
        <w:spacing w:line="360" w:lineRule="auto"/>
        <w:rPr>
          <w:rFonts w:ascii="仿宋" w:hAnsi="仿宋" w:eastAsia="仿宋"/>
          <w:sz w:val="24"/>
        </w:rPr>
      </w:pPr>
      <w:r>
        <w:rPr>
          <w:rFonts w:hint="eastAsia" w:ascii="仿宋" w:hAnsi="仿宋" w:eastAsia="仿宋" w:cs="仿宋_GB2312"/>
          <w:sz w:val="24"/>
          <w:u w:val="single"/>
        </w:rPr>
        <w:t>（采购人）、（采购代理机构）</w:t>
      </w:r>
    </w:p>
    <w:p>
      <w:pPr>
        <w:spacing w:line="360" w:lineRule="auto"/>
        <w:ind w:firstLine="480" w:firstLineChars="200"/>
        <w:rPr>
          <w:rFonts w:ascii="仿宋" w:hAnsi="仿宋" w:eastAsia="仿宋" w:cs="宋体"/>
          <w:sz w:val="24"/>
        </w:rPr>
      </w:pPr>
      <w:r>
        <w:rPr>
          <w:rFonts w:hint="eastAsia" w:ascii="仿宋" w:hAnsi="仿宋" w:eastAsia="仿宋" w:cs="仿宋_GB2312"/>
          <w:kern w:val="0"/>
          <w:sz w:val="24"/>
          <w:lang w:val="zh-CN"/>
        </w:rPr>
        <w:t>我方</w:t>
      </w:r>
      <w:r>
        <w:rPr>
          <w:rFonts w:ascii="仿宋" w:hAnsi="仿宋" w:eastAsia="仿宋" w:cs="仿宋_GB2312"/>
          <w:kern w:val="0"/>
          <w:sz w:val="24"/>
          <w:u w:val="single"/>
          <w:lang w:val="zh-CN"/>
        </w:rPr>
        <w:t xml:space="preserve">                         </w:t>
      </w:r>
      <w:r>
        <w:rPr>
          <w:rFonts w:ascii="仿宋" w:hAnsi="仿宋" w:eastAsia="仿宋" w:cs="仿宋_GB2312"/>
          <w:sz w:val="24"/>
        </w:rPr>
        <w:t>(</w:t>
      </w:r>
      <w:r>
        <w:rPr>
          <w:rFonts w:hint="eastAsia" w:ascii="仿宋" w:hAnsi="仿宋" w:eastAsia="仿宋" w:cs="仿宋_GB2312"/>
          <w:sz w:val="24"/>
        </w:rPr>
        <w:t>供应商</w:t>
      </w:r>
      <w:r>
        <w:rPr>
          <w:rFonts w:ascii="仿宋" w:hAnsi="仿宋" w:eastAsia="仿宋" w:cs="仿宋_GB2312"/>
          <w:sz w:val="24"/>
        </w:rPr>
        <w:t>全称)</w:t>
      </w:r>
      <w:r>
        <w:rPr>
          <w:rFonts w:hint="eastAsia" w:ascii="仿宋" w:hAnsi="仿宋" w:eastAsia="仿宋"/>
          <w:sz w:val="24"/>
        </w:rPr>
        <w:t>是中华人民共和国依法登记注册的合法企业，</w:t>
      </w:r>
      <w:r>
        <w:rPr>
          <w:rFonts w:hint="eastAsia" w:ascii="仿宋" w:hAnsi="仿宋" w:eastAsia="仿宋" w:cs="宋体"/>
          <w:bCs/>
          <w:sz w:val="24"/>
        </w:rPr>
        <w:t>在参加</w:t>
      </w:r>
      <w:r>
        <w:rPr>
          <w:rFonts w:hint="eastAsia" w:ascii="仿宋" w:hAnsi="仿宋" w:eastAsia="仿宋" w:cs="仿宋_GB2312"/>
          <w:sz w:val="24"/>
        </w:rPr>
        <w:t>你方组织的</w:t>
      </w:r>
      <w:r>
        <w:rPr>
          <w:rFonts w:hint="eastAsia" w:ascii="仿宋_GB2312" w:hAnsi="仿宋" w:eastAsia="仿宋_GB2312" w:cs="仿宋_GB2312"/>
          <w:sz w:val="24"/>
          <w:lang w:eastAsia="zh-CN"/>
        </w:rPr>
        <w:t>一层-三层局部装修改造，室外长廊、外墙局部装修等；装饰装修、电气、隔断及拆改等工程项目</w:t>
      </w:r>
      <w:r>
        <w:rPr>
          <w:rFonts w:hint="eastAsia" w:ascii="仿宋" w:hAnsi="仿宋" w:eastAsia="仿宋" w:cs="仿宋_GB2312"/>
          <w:sz w:val="24"/>
        </w:rPr>
        <w:t>【编号：</w:t>
      </w:r>
      <w:r>
        <w:rPr>
          <w:rFonts w:hint="eastAsia" w:ascii="仿宋" w:hAnsi="仿宋" w:eastAsia="仿宋" w:cs="仿宋_GB2312"/>
          <w:b w:val="0"/>
          <w:i w:val="0"/>
          <w:sz w:val="24"/>
          <w:lang w:eastAsia="zh-CN"/>
        </w:rPr>
        <w:t>2023-ZFCG-0089</w:t>
      </w:r>
      <w:r>
        <w:rPr>
          <w:rFonts w:ascii="仿宋" w:hAnsi="仿宋" w:eastAsia="仿宋" w:cs="仿宋_GB2312"/>
          <w:sz w:val="24"/>
        </w:rPr>
        <w:t>】</w:t>
      </w:r>
      <w:r>
        <w:rPr>
          <w:rFonts w:hint="eastAsia" w:ascii="仿宋" w:hAnsi="仿宋" w:eastAsia="仿宋" w:cs="仿宋_GB2312"/>
          <w:sz w:val="24"/>
        </w:rPr>
        <w:t>采购</w:t>
      </w:r>
      <w:r>
        <w:rPr>
          <w:rFonts w:hint="eastAsia" w:ascii="仿宋" w:hAnsi="仿宋" w:eastAsia="仿宋" w:cs="宋体"/>
          <w:bCs/>
          <w:sz w:val="24"/>
        </w:rPr>
        <w:t>活动中作如下说明：</w:t>
      </w:r>
      <w:r>
        <w:rPr>
          <w:rFonts w:hint="eastAsia" w:ascii="仿宋" w:hAnsi="仿宋" w:eastAsia="仿宋" w:cs="宋体"/>
          <w:sz w:val="24"/>
        </w:rPr>
        <w:t>我方所使用的“</w:t>
      </w:r>
      <w:r>
        <w:rPr>
          <w:rFonts w:ascii="仿宋" w:hAnsi="仿宋" w:eastAsia="仿宋" w:cs="仿宋_GB2312"/>
          <w:sz w:val="24"/>
        </w:rPr>
        <w:t>XX</w:t>
      </w:r>
      <w:r>
        <w:rPr>
          <w:rFonts w:hint="eastAsia" w:ascii="仿宋" w:hAnsi="仿宋" w:eastAsia="仿宋" w:cs="宋体"/>
          <w:sz w:val="24"/>
        </w:rPr>
        <w:t>专用章”与法定名称章具有同等的法律效力，对使用“</w:t>
      </w:r>
      <w:r>
        <w:rPr>
          <w:rFonts w:ascii="仿宋" w:hAnsi="仿宋" w:eastAsia="仿宋" w:cs="仿宋_GB2312"/>
          <w:sz w:val="24"/>
        </w:rPr>
        <w:t>XX</w:t>
      </w:r>
      <w:r>
        <w:rPr>
          <w:rFonts w:hint="eastAsia" w:ascii="仿宋" w:hAnsi="仿宋" w:eastAsia="仿宋" w:cs="宋体"/>
          <w:sz w:val="24"/>
        </w:rPr>
        <w:t>专用章”的行为予以完全承认，并愿意承担相应责任。</w:t>
      </w:r>
      <w:r>
        <w:rPr>
          <w:rFonts w:ascii="仿宋" w:hAnsi="仿宋" w:eastAsia="仿宋" w:cs="宋体"/>
          <w:sz w:val="24"/>
        </w:rPr>
        <w:t xml:space="preserve">   </w:t>
      </w:r>
    </w:p>
    <w:p>
      <w:pPr>
        <w:spacing w:line="360" w:lineRule="auto"/>
        <w:ind w:firstLine="480" w:firstLineChars="200"/>
        <w:rPr>
          <w:rFonts w:ascii="仿宋" w:hAnsi="仿宋" w:eastAsia="仿宋" w:cs="宋体"/>
          <w:sz w:val="24"/>
        </w:rPr>
      </w:pPr>
      <w:r>
        <w:rPr>
          <w:rFonts w:hint="eastAsia" w:ascii="仿宋" w:hAnsi="仿宋" w:eastAsia="仿宋" w:cs="宋体"/>
          <w:sz w:val="24"/>
        </w:rPr>
        <w:t>特此说明。</w:t>
      </w:r>
    </w:p>
    <w:p>
      <w:pPr>
        <w:spacing w:line="360" w:lineRule="auto"/>
        <w:ind w:firstLine="494"/>
        <w:rPr>
          <w:rFonts w:ascii="仿宋" w:hAnsi="仿宋" w:eastAsia="仿宋" w:cs="宋体"/>
          <w:sz w:val="24"/>
        </w:rPr>
      </w:pPr>
    </w:p>
    <w:p>
      <w:pPr>
        <w:spacing w:line="360" w:lineRule="auto"/>
        <w:ind w:firstLine="494"/>
        <w:rPr>
          <w:rFonts w:ascii="仿宋" w:hAnsi="仿宋" w:eastAsia="仿宋" w:cs="宋体"/>
          <w:sz w:val="24"/>
        </w:rPr>
      </w:pPr>
    </w:p>
    <w:p>
      <w:pPr>
        <w:spacing w:line="360" w:lineRule="auto"/>
        <w:ind w:right="480" w:firstLine="4080" w:firstLineChars="1700"/>
        <w:rPr>
          <w:rFonts w:ascii="仿宋" w:hAnsi="仿宋" w:eastAsia="仿宋" w:cs="宋体"/>
          <w:sz w:val="24"/>
        </w:rPr>
      </w:pPr>
      <w:r>
        <w:rPr>
          <w:rFonts w:hint="eastAsia" w:ascii="仿宋" w:hAnsi="仿宋" w:eastAsia="仿宋" w:cs="宋体"/>
          <w:sz w:val="24"/>
        </w:rPr>
        <w:t>供应商（法定名称章）：</w:t>
      </w:r>
    </w:p>
    <w:p>
      <w:pPr>
        <w:ind w:right="1440" w:firstLine="494"/>
        <w:jc w:val="center"/>
        <w:rPr>
          <w:rFonts w:ascii="仿宋" w:hAnsi="仿宋" w:eastAsia="仿宋" w:cs="宋体"/>
          <w:sz w:val="24"/>
        </w:rPr>
      </w:pPr>
      <w:r>
        <w:rPr>
          <w:rFonts w:ascii="仿宋" w:hAnsi="仿宋" w:eastAsia="仿宋" w:cs="宋体"/>
          <w:sz w:val="24"/>
        </w:rPr>
        <w:t xml:space="preserve">                日期：       年     月     日</w:t>
      </w:r>
    </w:p>
    <w:p>
      <w:pPr>
        <w:rPr>
          <w:rFonts w:ascii="仿宋" w:hAnsi="仿宋" w:eastAsia="仿宋" w:cs="宋体"/>
          <w:b/>
          <w:bCs/>
          <w:sz w:val="24"/>
        </w:rPr>
      </w:pPr>
    </w:p>
    <w:p>
      <w:pPr>
        <w:rPr>
          <w:rFonts w:ascii="仿宋" w:hAnsi="仿宋" w:eastAsia="仿宋" w:cs="宋体"/>
          <w:sz w:val="24"/>
        </w:rPr>
      </w:pPr>
      <w:r>
        <w:rPr>
          <w:rFonts w:hint="eastAsia" w:ascii="仿宋" w:hAnsi="仿宋" w:eastAsia="仿宋" w:cs="宋体"/>
          <w:b/>
          <w:bCs/>
          <w:sz w:val="24"/>
        </w:rPr>
        <w:t>附：</w:t>
      </w:r>
    </w:p>
    <w:p>
      <w:pPr>
        <w:spacing w:line="360" w:lineRule="auto"/>
        <w:rPr>
          <w:rFonts w:ascii="仿宋" w:hAnsi="仿宋" w:eastAsia="仿宋"/>
          <w:bCs/>
          <w:sz w:val="24"/>
        </w:rPr>
      </w:pPr>
      <w:r>
        <w:rPr>
          <w:rFonts w:ascii="仿宋" w:hAnsi="仿宋" w:eastAsia="仿宋"/>
          <w:b/>
          <w:bCs/>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eastAsia="仿宋"/>
          <w:b/>
          <w:bCs/>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eastAsia="仿宋"/>
          <w:b/>
          <w:bCs/>
          <w:sz w:val="24"/>
        </w:rPr>
        <w:t>供应商</w:t>
      </w:r>
      <w:r>
        <w:rPr>
          <w:rFonts w:hint="eastAsia" w:ascii="仿宋" w:hAnsi="仿宋" w:eastAsia="仿宋" w:cs="宋体"/>
          <w:sz w:val="24"/>
        </w:rPr>
        <w:t>法定名称章（印模）</w:t>
      </w:r>
      <w:r>
        <w:rPr>
          <w:rFonts w:ascii="仿宋" w:hAnsi="仿宋" w:eastAsia="仿宋" w:cs="宋体"/>
          <w:sz w:val="24"/>
        </w:rPr>
        <w:t xml:space="preserve">                </w:t>
      </w:r>
      <w:r>
        <w:rPr>
          <w:rFonts w:hint="eastAsia" w:ascii="仿宋" w:hAnsi="仿宋" w:eastAsia="仿宋" w:cs="宋体"/>
          <w:sz w:val="24"/>
        </w:rPr>
        <w:t>供应商“</w:t>
      </w:r>
      <w:r>
        <w:rPr>
          <w:rFonts w:ascii="仿宋" w:hAnsi="仿宋" w:eastAsia="仿宋" w:cs="仿宋_GB2312"/>
          <w:sz w:val="24"/>
        </w:rPr>
        <w:t>XX</w:t>
      </w:r>
      <w:r>
        <w:rPr>
          <w:rFonts w:hint="eastAsia" w:ascii="仿宋" w:hAnsi="仿宋" w:eastAsia="仿宋" w:cs="宋体"/>
          <w:sz w:val="24"/>
        </w:rPr>
        <w:t>专用章”（印模）</w:t>
      </w: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仿宋" w:hAnsi="仿宋" w:eastAsia="仿宋"/>
          <w:b/>
          <w:bCs/>
          <w:sz w:val="32"/>
          <w:szCs w:val="32"/>
        </w:rPr>
      </w:pPr>
      <w:r>
        <w:rPr>
          <w:rFonts w:hint="eastAsia" w:ascii="仿宋" w:hAnsi="仿宋" w:eastAsia="仿宋"/>
          <w:b/>
          <w:spacing w:val="6"/>
          <w:sz w:val="32"/>
          <w:szCs w:val="32"/>
        </w:rPr>
        <w:t>附件</w:t>
      </w:r>
      <w:r>
        <w:rPr>
          <w:rFonts w:ascii="仿宋" w:hAnsi="仿宋" w:eastAsia="仿宋"/>
          <w:b/>
          <w:spacing w:val="6"/>
          <w:sz w:val="32"/>
          <w:szCs w:val="32"/>
        </w:rPr>
        <w:t>5</w:t>
      </w:r>
      <w:r>
        <w:rPr>
          <w:rFonts w:hint="eastAsia" w:ascii="仿宋" w:hAnsi="仿宋" w:eastAsia="仿宋"/>
          <w:b/>
          <w:spacing w:val="6"/>
          <w:sz w:val="32"/>
          <w:szCs w:val="32"/>
        </w:rPr>
        <w:t>：</w:t>
      </w:r>
      <w:r>
        <w:rPr>
          <w:rFonts w:hint="eastAsia" w:ascii="仿宋_GB2312" w:hAnsi="宋体" w:eastAsia="仿宋_GB2312"/>
          <w:b/>
          <w:sz w:val="32"/>
          <w:szCs w:val="32"/>
        </w:rPr>
        <w:t>中小企业声明函</w:t>
      </w:r>
    </w:p>
    <w:p>
      <w:pPr>
        <w:keepNext w:val="0"/>
        <w:keepLines w:val="0"/>
        <w:pageBreakBefore w:val="0"/>
        <w:widowControl w:val="0"/>
        <w:kinsoku/>
        <w:wordWrap/>
        <w:overflowPunct/>
        <w:topLinePunct w:val="0"/>
        <w:bidi w:val="0"/>
        <w:adjustRightInd w:val="0"/>
        <w:snapToGrid/>
        <w:spacing w:line="360" w:lineRule="auto"/>
        <w:jc w:val="center"/>
        <w:textAlignment w:val="auto"/>
        <w:rPr>
          <w:rFonts w:hint="eastAsia" w:ascii="仿宋_GB2312" w:hAnsi="宋体" w:eastAsia="仿宋_GB2312"/>
          <w:b/>
          <w:sz w:val="28"/>
          <w:szCs w:val="28"/>
        </w:rPr>
      </w:pPr>
      <w:r>
        <w:rPr>
          <w:rFonts w:hint="eastAsia" w:ascii="仿宋_GB2312" w:hAnsi="宋体" w:eastAsia="仿宋_GB2312"/>
          <w:b/>
          <w:sz w:val="28"/>
          <w:szCs w:val="28"/>
        </w:rPr>
        <w:t>中小企业声明函（工程、服务）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本公司（联合体）</w:t>
      </w:r>
      <w:r>
        <w:rPr>
          <w:rFonts w:hint="eastAsia" w:ascii="仿宋" w:hAnsi="仿宋" w:eastAsia="仿宋" w:cs="仿宋"/>
          <w:sz w:val="24"/>
          <w:szCs w:val="24"/>
        </w:rPr>
        <w:t xml:space="preserve"> 郑重声明， 根据《政府采购促进中小企业发展管理办法》（财库﹝ 2020﹞ 46 号） 的规定， </w:t>
      </w:r>
      <w:r>
        <w:rPr>
          <w:rFonts w:hint="eastAsia" w:ascii="仿宋" w:hAnsi="仿宋" w:eastAsia="仿宋" w:cs="仿宋"/>
          <w:sz w:val="24"/>
          <w:szCs w:val="24"/>
          <w:u w:val="single"/>
        </w:rPr>
        <w:t xml:space="preserve">本公司（联合体） </w:t>
      </w:r>
      <w:r>
        <w:rPr>
          <w:rFonts w:hint="eastAsia" w:ascii="仿宋" w:hAnsi="仿宋" w:eastAsia="仿宋" w:cs="仿宋"/>
          <w:sz w:val="24"/>
          <w:szCs w:val="24"/>
        </w:rPr>
        <w:t>参加</w:t>
      </w:r>
      <w:r>
        <w:rPr>
          <w:rFonts w:hint="eastAsia" w:ascii="仿宋" w:hAnsi="仿宋" w:eastAsia="仿宋" w:cs="仿宋"/>
          <w:sz w:val="24"/>
          <w:szCs w:val="24"/>
          <w:u w:val="single"/>
        </w:rPr>
        <w:t xml:space="preserve">（单位名称） </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 xml:space="preserve"> 采购活动， 工程的运营单位全部为符合政策要求的</w:t>
      </w:r>
      <w:r>
        <w:rPr>
          <w:rFonts w:hint="eastAsia" w:ascii="仿宋" w:hAnsi="仿宋" w:eastAsia="仿宋" w:cs="仿宋"/>
          <w:sz w:val="24"/>
          <w:szCs w:val="24"/>
          <w:u w:val="single"/>
        </w:rPr>
        <w:t>中小企业（或者： 服务全部由符合政策要求的中小企业承接）</w:t>
      </w:r>
      <w:r>
        <w:rPr>
          <w:rFonts w:hint="eastAsia" w:ascii="仿宋" w:hAnsi="仿宋" w:eastAsia="仿宋" w:cs="仿宋"/>
          <w:sz w:val="24"/>
          <w:szCs w:val="24"/>
        </w:rPr>
        <w:t>。相关企业（ 含联合体中的中小企业、 签订分包意向协议的中小企业） 的具体情况如下：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 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 承接） 企业为</w:t>
      </w:r>
      <w:r>
        <w:rPr>
          <w:rFonts w:hint="eastAsia" w:ascii="仿宋" w:hAnsi="仿宋" w:eastAsia="仿宋" w:cs="仿宋"/>
          <w:sz w:val="24"/>
          <w:szCs w:val="24"/>
          <w:u w:val="single"/>
        </w:rPr>
        <w:t>（企业名称）</w:t>
      </w:r>
      <w:r>
        <w:rPr>
          <w:rFonts w:hint="eastAsia" w:ascii="仿宋" w:hAnsi="仿宋" w:eastAsia="仿宋" w:cs="仿宋"/>
          <w:sz w:val="24"/>
          <w:szCs w:val="24"/>
        </w:rPr>
        <w:t>，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 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r>
        <w:rPr>
          <w:rFonts w:hint="eastAsia" w:ascii="仿宋" w:hAnsi="仿宋" w:eastAsia="仿宋" w:cs="仿宋"/>
          <w:sz w:val="24"/>
          <w:szCs w:val="24"/>
          <w:vertAlign w:val="superscript"/>
        </w:rPr>
        <w:t>1</w:t>
      </w:r>
      <w:r>
        <w:rPr>
          <w:rFonts w:hint="eastAsia" w:ascii="仿宋" w:hAnsi="仿宋" w:eastAsia="仿宋" w:cs="仿宋"/>
          <w:sz w:val="24"/>
          <w:szCs w:val="24"/>
        </w:rPr>
        <w:t>， 属于</w:t>
      </w:r>
      <w:r>
        <w:rPr>
          <w:rFonts w:hint="eastAsia" w:ascii="仿宋" w:hAnsi="仿宋" w:eastAsia="仿宋" w:cs="仿宋"/>
          <w:sz w:val="24"/>
          <w:szCs w:val="24"/>
          <w:u w:val="single"/>
        </w:rPr>
        <w:t>（中型企业、小型企业、 微型企业）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u w:val="single"/>
        </w:rPr>
        <w:t>（标的名称）</w:t>
      </w:r>
      <w:r>
        <w:rPr>
          <w:rFonts w:hint="eastAsia" w:ascii="仿宋" w:hAnsi="仿宋" w:eastAsia="仿宋" w:cs="仿宋"/>
          <w:sz w:val="24"/>
          <w:szCs w:val="24"/>
        </w:rPr>
        <w:t xml:space="preserve"> ， 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 承接） 企业为</w:t>
      </w:r>
      <w:r>
        <w:rPr>
          <w:rFonts w:hint="eastAsia" w:ascii="仿宋" w:hAnsi="仿宋" w:eastAsia="仿宋" w:cs="仿宋"/>
          <w:sz w:val="24"/>
          <w:szCs w:val="24"/>
          <w:u w:val="single"/>
        </w:rPr>
        <w:t>（企业名称）</w:t>
      </w:r>
      <w:r>
        <w:rPr>
          <w:rFonts w:hint="eastAsia" w:ascii="仿宋" w:hAnsi="仿宋" w:eastAsia="仿宋" w:cs="仿宋"/>
          <w:sz w:val="24"/>
          <w:szCs w:val="24"/>
        </w:rPr>
        <w:t>，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 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属于</w:t>
      </w:r>
      <w:r>
        <w:rPr>
          <w:rFonts w:hint="eastAsia" w:ascii="仿宋" w:hAnsi="仿宋" w:eastAsia="仿宋" w:cs="仿宋"/>
          <w:sz w:val="24"/>
          <w:szCs w:val="24"/>
          <w:u w:val="single"/>
        </w:rPr>
        <w:t>（中型企业、小型企业、 微型企业）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pPr>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企业名称（盖章）：</w:t>
      </w:r>
    </w:p>
    <w:p>
      <w:pPr>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日 期：</w:t>
      </w:r>
    </w:p>
    <w:p>
      <w:pPr>
        <w:spacing w:line="360" w:lineRule="auto"/>
        <w:jc w:val="left"/>
        <w:rPr>
          <w:rFonts w:ascii="仿宋_GB2312" w:hAnsi="宋体" w:eastAsia="仿宋_GB2312"/>
          <w:sz w:val="18"/>
          <w:szCs w:val="18"/>
        </w:rPr>
      </w:pPr>
    </w:p>
    <w:p>
      <w:pPr>
        <w:spacing w:line="360" w:lineRule="auto"/>
        <w:ind w:right="-90" w:rightChars="0" w:firstLine="420" w:firstLineChars="200"/>
        <w:rPr>
          <w:rFonts w:ascii="仿宋_GB2312" w:hAnsi="仿宋" w:eastAsia="仿宋_GB2312" w:cs="仿宋_GB2312"/>
          <w:sz w:val="21"/>
          <w:szCs w:val="21"/>
        </w:rPr>
      </w:pPr>
      <w:r>
        <w:rPr>
          <w:rFonts w:hint="eastAsia" w:ascii="仿宋_GB2312" w:hAnsi="仿宋" w:eastAsia="仿宋_GB2312" w:cs="仿宋_GB2312"/>
          <w:sz w:val="21"/>
          <w:szCs w:val="21"/>
        </w:rPr>
        <w:t>注：</w:t>
      </w:r>
      <w:r>
        <w:rPr>
          <w:rFonts w:hint="eastAsia" w:ascii="仿宋_GB2312" w:hAnsi="仿宋" w:eastAsia="仿宋_GB2312" w:cs="仿宋_GB2312"/>
          <w:b/>
          <w:bCs/>
          <w:sz w:val="21"/>
          <w:szCs w:val="21"/>
        </w:rPr>
        <w:t>1.填写要求：①“标的名称”、“采购文件中明确的所属行业”依据磋商文件第三部分供应商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成交的，依法承担法律责任。</w:t>
      </w:r>
    </w:p>
    <w:p>
      <w:pPr>
        <w:spacing w:line="360" w:lineRule="auto"/>
        <w:ind w:right="-90" w:rightChars="0" w:firstLine="420" w:firstLineChars="200"/>
        <w:rPr>
          <w:rFonts w:ascii="仿宋_GB2312" w:hAnsi="仿宋" w:eastAsia="仿宋_GB2312" w:cs="仿宋_GB2312"/>
          <w:sz w:val="21"/>
          <w:szCs w:val="21"/>
        </w:rPr>
      </w:pPr>
      <w:r>
        <w:rPr>
          <w:rFonts w:hint="eastAsia" w:ascii="仿宋_GB2312" w:hAnsi="仿宋" w:eastAsia="仿宋_GB2312" w:cs="仿宋_GB2312"/>
          <w:sz w:val="21"/>
          <w:szCs w:val="21"/>
        </w:rPr>
        <w:t>2.符合《关于促进残疾人就业政府采购政策的通知》（财库〔</w:t>
      </w:r>
      <w:r>
        <w:rPr>
          <w:rFonts w:ascii="仿宋_GB2312" w:hAnsi="仿宋" w:eastAsia="仿宋_GB2312" w:cs="仿宋_GB2312"/>
          <w:sz w:val="21"/>
          <w:szCs w:val="21"/>
        </w:rPr>
        <w:t>2017〕141号）规定的条件并提供《残疾人福利性单位声明函》（附件1）的残疾人福利性单位视同小型、微型企业；根据《关于政府采购支持监狱企业发展有关问题的通知》（财库[2014]68号）的规定，</w:t>
      </w:r>
      <w:r>
        <w:rPr>
          <w:rFonts w:hint="eastAsia" w:ascii="仿宋_GB2312" w:hAnsi="仿宋" w:eastAsia="仿宋_GB2312" w:cs="仿宋_GB2312"/>
          <w:sz w:val="21"/>
          <w:szCs w:val="21"/>
        </w:rPr>
        <w:t>供应商</w:t>
      </w:r>
      <w:r>
        <w:rPr>
          <w:rFonts w:ascii="仿宋_GB2312" w:hAnsi="仿宋" w:eastAsia="仿宋_GB2312" w:cs="仿宋_GB2312"/>
          <w:sz w:val="21"/>
          <w:szCs w:val="21"/>
        </w:rPr>
        <w:t>提供由省级以上监狱管理局、戒毒管理局（含新疆生产建设兵团）出具的属于监狱企业证明文件的，视同为小型和微型企业。</w:t>
      </w:r>
    </w:p>
    <w:p>
      <w:pPr>
        <w:rPr>
          <w:rFonts w:ascii="仿宋_GB2312" w:hAnsi="宋体" w:eastAsia="仿宋_GB2312"/>
          <w:b/>
          <w:sz w:val="32"/>
          <w:szCs w:val="32"/>
        </w:rPr>
      </w:pPr>
      <w:r>
        <w:rPr>
          <w:rFonts w:ascii="仿宋" w:hAnsi="仿宋" w:eastAsia="仿宋" w:cs="仿宋"/>
          <w:b/>
          <w:sz w:val="30"/>
          <w:szCs w:val="30"/>
        </w:rPr>
        <w:t>中小企业相关政策</w:t>
      </w:r>
    </w:p>
    <w:p>
      <w:pPr>
        <w:pStyle w:val="624"/>
        <w:snapToGrid w:val="0"/>
        <w:spacing w:line="500" w:lineRule="exact"/>
        <w:ind w:firstLine="400"/>
        <w:rPr>
          <w:rFonts w:ascii="仿宋" w:hAnsi="仿宋" w:eastAsia="仿宋" w:cs="仿宋"/>
          <w:b/>
          <w:sz w:val="28"/>
          <w:szCs w:val="28"/>
        </w:rPr>
      </w:pPr>
      <w:r>
        <w:rPr>
          <w:rFonts w:ascii="仿宋" w:hAnsi="仿宋" w:eastAsia="仿宋" w:cs="仿宋"/>
          <w:szCs w:val="21"/>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pPr>
        <w:pStyle w:val="624"/>
        <w:snapToGrid w:val="0"/>
        <w:spacing w:line="500" w:lineRule="exact"/>
        <w:ind w:firstLine="562"/>
        <w:jc w:val="center"/>
        <w:rPr>
          <w:rFonts w:ascii="仿宋" w:hAnsi="仿宋" w:eastAsia="仿宋" w:cs="仿宋"/>
          <w:b/>
          <w:sz w:val="28"/>
          <w:szCs w:val="28"/>
        </w:rPr>
      </w:pPr>
      <w:r>
        <w:rPr>
          <w:rFonts w:ascii="仿宋" w:hAnsi="仿宋" w:eastAsia="仿宋" w:cs="仿宋"/>
          <w:b/>
          <w:sz w:val="28"/>
          <w:szCs w:val="28"/>
        </w:rPr>
        <w:t>中小企业划型标准规定</w:t>
      </w:r>
    </w:p>
    <w:p>
      <w:pPr>
        <w:pStyle w:val="624"/>
        <w:adjustRightInd w:val="0"/>
        <w:snapToGrid w:val="0"/>
        <w:spacing w:line="360" w:lineRule="auto"/>
        <w:ind w:firstLine="424"/>
        <w:rPr>
          <w:rFonts w:ascii="仿宋" w:hAnsi="仿宋" w:eastAsia="仿宋" w:cs="仿宋"/>
          <w:spacing w:val="6"/>
          <w:szCs w:val="21"/>
        </w:rPr>
      </w:pP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一、根据《中华人民共和国中小企业促进法》和《</w:t>
      </w:r>
      <w:r>
        <w:fldChar w:fldCharType="begin"/>
      </w:r>
      <w:r>
        <w:instrText xml:space="preserve"> HYPERLINK "https://www.shui5.cn/article/47/26142.html" </w:instrText>
      </w:r>
      <w:r>
        <w:fldChar w:fldCharType="separate"/>
      </w:r>
      <w:r>
        <w:rPr>
          <w:rFonts w:ascii="仿宋" w:hAnsi="仿宋" w:eastAsia="仿宋" w:cs="仿宋"/>
          <w:spacing w:val="6"/>
          <w:szCs w:val="21"/>
        </w:rPr>
        <w:t>国务院关于进一步促进中小企业发展的若干意见</w:t>
      </w:r>
      <w:r>
        <w:rPr>
          <w:rFonts w:ascii="仿宋" w:hAnsi="仿宋" w:eastAsia="仿宋" w:cs="仿宋"/>
          <w:spacing w:val="6"/>
          <w:szCs w:val="21"/>
        </w:rPr>
        <w:fldChar w:fldCharType="end"/>
      </w:r>
      <w:r>
        <w:rPr>
          <w:rFonts w:ascii="仿宋" w:hAnsi="仿宋" w:eastAsia="仿宋" w:cs="仿宋"/>
          <w:spacing w:val="6"/>
          <w:szCs w:val="21"/>
        </w:rPr>
        <w:t>》（</w:t>
      </w:r>
      <w:r>
        <w:fldChar w:fldCharType="begin"/>
      </w:r>
      <w:r>
        <w:instrText xml:space="preserve"> HYPERLINK "https://www.shui5.cn/article/47/26142.html" </w:instrText>
      </w:r>
      <w:r>
        <w:fldChar w:fldCharType="separate"/>
      </w:r>
      <w:r>
        <w:rPr>
          <w:rFonts w:ascii="仿宋" w:hAnsi="仿宋" w:eastAsia="仿宋" w:cs="仿宋"/>
          <w:spacing w:val="6"/>
          <w:szCs w:val="21"/>
        </w:rPr>
        <w:t>国发〔2009〕36号</w:t>
      </w:r>
      <w:r>
        <w:rPr>
          <w:rFonts w:ascii="仿宋" w:hAnsi="仿宋" w:eastAsia="仿宋" w:cs="仿宋"/>
          <w:spacing w:val="6"/>
          <w:szCs w:val="21"/>
        </w:rPr>
        <w:fldChar w:fldCharType="end"/>
      </w:r>
      <w:r>
        <w:rPr>
          <w:rFonts w:ascii="仿宋" w:hAnsi="仿宋" w:eastAsia="仿宋" w:cs="仿宋"/>
          <w:spacing w:val="6"/>
          <w:szCs w:val="21"/>
        </w:rPr>
        <w:t>)，制定本规定。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二、中小企业划分为中型、小型、微型三种类型，具体标准根据企业从业人员、营业收入、资产总额等指标，结合行业特点制定。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四、各行业划型标准为：</w:t>
      </w:r>
    </w:p>
    <w:p>
      <w:pPr>
        <w:pStyle w:val="624"/>
        <w:adjustRightInd w:val="0"/>
        <w:snapToGrid w:val="0"/>
        <w:spacing w:line="360" w:lineRule="auto"/>
        <w:ind w:firstLine="424"/>
        <w:rPr>
          <w:rFonts w:ascii="仿宋" w:hAnsi="仿宋" w:eastAsia="仿宋" w:cs="仿宋"/>
          <w:spacing w:val="6"/>
          <w:szCs w:val="21"/>
        </w:rPr>
      </w:pP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　　（一）农、林、牧、渔业。营业收入</w:t>
      </w:r>
      <w:r>
        <w:rPr>
          <w:rFonts w:hint="eastAsia" w:ascii="仿宋" w:hAnsi="仿宋" w:eastAsia="仿宋" w:cs="仿宋"/>
          <w:spacing w:val="6"/>
          <w:szCs w:val="21"/>
          <w:lang w:eastAsia="zh-CN"/>
        </w:rPr>
        <w:t>5500</w:t>
      </w:r>
      <w:r>
        <w:rPr>
          <w:rFonts w:ascii="仿宋" w:hAnsi="仿宋" w:eastAsia="仿宋" w:cs="仿宋"/>
          <w:spacing w:val="6"/>
          <w:szCs w:val="21"/>
        </w:rPr>
        <w:t>万元以下的为中小微型企业。其中，营业收入500万元及以上的为中型企业，营业收入50万元及以上的为小型企业，营业收入50万元以下的为微型企业。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（五）零售业。从业人员300人以下或营业收入</w:t>
      </w:r>
      <w:r>
        <w:rPr>
          <w:rFonts w:hint="eastAsia" w:ascii="仿宋" w:hAnsi="仿宋" w:eastAsia="仿宋" w:cs="仿宋"/>
          <w:spacing w:val="6"/>
          <w:szCs w:val="21"/>
          <w:lang w:eastAsia="zh-CN"/>
        </w:rPr>
        <w:t>5500</w:t>
      </w:r>
      <w:r>
        <w:rPr>
          <w:rFonts w:ascii="仿宋" w:hAnsi="仿宋" w:eastAsia="仿宋" w:cs="仿宋"/>
          <w:spacing w:val="6"/>
          <w:szCs w:val="21"/>
        </w:rPr>
        <w:t>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（十三）房地产开发经营。营业收入</w:t>
      </w:r>
      <w:r>
        <w:rPr>
          <w:rFonts w:hint="eastAsia" w:ascii="仿宋" w:hAnsi="仿宋" w:eastAsia="仿宋" w:cs="仿宋"/>
          <w:spacing w:val="6"/>
          <w:szCs w:val="21"/>
          <w:lang w:eastAsia="zh-CN"/>
        </w:rPr>
        <w:t>300000</w:t>
      </w:r>
      <w:r>
        <w:rPr>
          <w:rFonts w:ascii="仿宋" w:hAnsi="仿宋" w:eastAsia="仿宋" w:cs="仿宋"/>
          <w:spacing w:val="6"/>
          <w:szCs w:val="21"/>
        </w:rPr>
        <w:t>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（十五）租赁和商务服务业。从业人员300人以下或资产总额</w:t>
      </w:r>
      <w:r>
        <w:rPr>
          <w:rFonts w:hint="eastAsia" w:ascii="仿宋" w:hAnsi="仿宋" w:eastAsia="仿宋" w:cs="仿宋"/>
          <w:spacing w:val="6"/>
          <w:szCs w:val="21"/>
          <w:lang w:eastAsia="zh-CN"/>
        </w:rPr>
        <w:t>25300</w:t>
      </w:r>
      <w:r>
        <w:rPr>
          <w:rFonts w:ascii="仿宋" w:hAnsi="仿宋" w:eastAsia="仿宋" w:cs="仿宋"/>
          <w:spacing w:val="6"/>
          <w:szCs w:val="21"/>
        </w:rPr>
        <w:t>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（十六）其他未列明行业。从业人员300人以下的为中小微型企业。其中，从业人员100人及以上的为中型企业；从业人员10人及以上的为小型企业；从业人员10人以下的为微型企业。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五、企业类型的划分以统计部门的统计数据为依据。</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六、本规定适用于在中华人民共和国境内依法设立的各类所有制和各种组织形式的企业。个体工商户和本规定以外的行业，参照本规定进行划型。</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八、本规定由工业和信息化部、国家统计局会同有关部门根据《国民经济行业分类》修订情况和企业发展变化情况适时修订。</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九、本规定由工业和信息化部、国家统计局会同有关部门负责解释。</w:t>
      </w:r>
    </w:p>
    <w:p>
      <w:pPr>
        <w:pStyle w:val="624"/>
        <w:adjustRightInd w:val="0"/>
        <w:snapToGrid w:val="0"/>
        <w:spacing w:line="360" w:lineRule="auto"/>
        <w:ind w:firstLine="424"/>
        <w:rPr>
          <w:rFonts w:ascii="仿宋" w:hAnsi="仿宋" w:eastAsia="仿宋" w:cs="仿宋"/>
          <w:szCs w:val="21"/>
        </w:rPr>
        <w:sectPr>
          <w:pgSz w:w="11906" w:h="16838"/>
          <w:pgMar w:top="1247" w:right="1588" w:bottom="1089" w:left="1588" w:header="851" w:footer="992" w:gutter="0"/>
          <w:cols w:space="720" w:num="1"/>
          <w:docGrid w:linePitch="312" w:charSpace="0"/>
        </w:sectPr>
      </w:pPr>
      <w:r>
        <w:rPr>
          <w:rFonts w:ascii="仿宋" w:hAnsi="仿宋" w:eastAsia="仿宋" w:cs="仿宋"/>
          <w:spacing w:val="6"/>
          <w:szCs w:val="21"/>
        </w:rPr>
        <w:t>十、本规定自发布之日起执行，原国家经贸委、原国家计委、财政部和国家统计局2003年颁布的《</w:t>
      </w:r>
      <w:r>
        <w:fldChar w:fldCharType="begin"/>
      </w:r>
      <w:r>
        <w:instrText xml:space="preserve"> HYPERLINK "https://www.shui5.cn/article/df/24263.html" </w:instrText>
      </w:r>
      <w:r>
        <w:fldChar w:fldCharType="separate"/>
      </w:r>
      <w:r>
        <w:rPr>
          <w:rFonts w:ascii="仿宋" w:hAnsi="仿宋" w:eastAsia="仿宋" w:cs="仿宋"/>
          <w:spacing w:val="6"/>
          <w:szCs w:val="21"/>
        </w:rPr>
        <w:t>中小企业标准暂行规定</w:t>
      </w:r>
      <w:r>
        <w:rPr>
          <w:rFonts w:ascii="仿宋" w:hAnsi="仿宋" w:eastAsia="仿宋" w:cs="仿宋"/>
          <w:spacing w:val="6"/>
          <w:szCs w:val="21"/>
        </w:rPr>
        <w:fldChar w:fldCharType="end"/>
      </w:r>
      <w:r>
        <w:rPr>
          <w:rFonts w:ascii="仿宋" w:hAnsi="仿宋" w:eastAsia="仿宋" w:cs="仿宋"/>
          <w:spacing w:val="6"/>
          <w:szCs w:val="21"/>
        </w:rPr>
        <w:t>》</w:t>
      </w:r>
      <w:r>
        <w:fldChar w:fldCharType="begin"/>
      </w:r>
      <w:r>
        <w:instrText xml:space="preserve"> HYPERLINK "https://www.shui5.cn/article/df/24263.html" </w:instrText>
      </w:r>
      <w:r>
        <w:fldChar w:fldCharType="separate"/>
      </w:r>
      <w:r>
        <w:rPr>
          <w:rFonts w:ascii="仿宋" w:hAnsi="仿宋" w:eastAsia="仿宋" w:cs="仿宋"/>
          <w:spacing w:val="6"/>
          <w:szCs w:val="21"/>
        </w:rPr>
        <w:t>国经贸中小企[2003]143号</w:t>
      </w:r>
      <w:r>
        <w:rPr>
          <w:rFonts w:ascii="仿宋" w:hAnsi="仿宋" w:eastAsia="仿宋" w:cs="仿宋"/>
          <w:spacing w:val="6"/>
          <w:szCs w:val="21"/>
        </w:rPr>
        <w:fldChar w:fldCharType="end"/>
      </w:r>
      <w:r>
        <w:rPr>
          <w:rFonts w:ascii="仿宋" w:hAnsi="仿宋" w:eastAsia="仿宋" w:cs="仿宋"/>
          <w:spacing w:val="6"/>
          <w:szCs w:val="21"/>
        </w:rPr>
        <w:t>同时废止。</w:t>
      </w:r>
      <w:r>
        <w:rPr>
          <w:rFonts w:ascii="仿宋" w:hAnsi="仿宋" w:eastAsia="仿宋" w:cs="仿宋"/>
          <w:szCs w:val="21"/>
        </w:rPr>
        <w:t xml:space="preserve"> </w:t>
      </w:r>
    </w:p>
    <w:p>
      <w:pPr>
        <w:pStyle w:val="624"/>
        <w:adjustRightInd w:val="0"/>
        <w:snapToGrid w:val="0"/>
        <w:spacing w:line="360" w:lineRule="auto"/>
        <w:ind w:firstLine="400"/>
        <w:rPr>
          <w:rFonts w:ascii="仿宋" w:hAnsi="仿宋" w:eastAsia="仿宋" w:cs="仿宋"/>
          <w:b/>
          <w:sz w:val="30"/>
          <w:szCs w:val="30"/>
        </w:rPr>
      </w:pPr>
      <w:r>
        <w:rPr>
          <w:rFonts w:ascii="仿宋" w:hAnsi="仿宋" w:eastAsia="仿宋" w:cs="仿宋"/>
        </w:rPr>
        <w:drawing>
          <wp:inline distT="0" distB="0" distL="114300" distR="114300">
            <wp:extent cx="8089265" cy="4888230"/>
            <wp:effectExtent l="0" t="0" r="127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rot="16200000">
                      <a:off x="0" y="0"/>
                      <a:ext cx="8089265" cy="4888230"/>
                    </a:xfrm>
                    <a:prstGeom prst="rect">
                      <a:avLst/>
                    </a:prstGeom>
                    <a:noFill/>
                    <a:ln>
                      <a:noFill/>
                    </a:ln>
                  </pic:spPr>
                </pic:pic>
              </a:graphicData>
            </a:graphic>
          </wp:inline>
        </w:drawing>
      </w:r>
    </w:p>
    <w:p>
      <w:pPr>
        <w:pStyle w:val="23"/>
      </w:pPr>
    </w:p>
    <w:p/>
    <w:p>
      <w:pPr>
        <w:spacing w:line="360" w:lineRule="auto"/>
        <w:ind w:right="420"/>
      </w:pPr>
    </w:p>
    <w:p>
      <w:pPr>
        <w:rPr>
          <w:rFonts w:hint="eastAsia" w:ascii="仿宋" w:hAnsi="仿宋" w:eastAsia="仿宋" w:cs="仿宋"/>
          <w:sz w:val="20"/>
          <w:szCs w:val="22"/>
        </w:rPr>
      </w:pPr>
    </w:p>
    <w:sectPr>
      <w:pgSz w:w="11906" w:h="16838"/>
      <w:pgMar w:top="1174" w:right="1417" w:bottom="1151" w:left="1417"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Futura Hv">
    <w:altName w:val="Lucida Sans Unicode"/>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5"/>
      </w:rPr>
    </w:pPr>
    <w:r>
      <w:fldChar w:fldCharType="begin"/>
    </w:r>
    <w:r>
      <w:rPr>
        <w:rStyle w:val="65"/>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3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single" w:color="auto" w:sz="4" w:space="0"/>
      </w:pBdr>
      <w:ind w:firstLine="181" w:firstLineChars="100"/>
      <w:jc w:val="right"/>
      <w:rPr>
        <w:rFonts w:hint="eastAsia" w:ascii="宋体" w:hAnsi="宋体" w:eastAsia="仿宋_GB2312" w:cs="宋体"/>
        <w:bCs/>
        <w:i w:val="0"/>
        <w:iCs w:val="0"/>
        <w:kern w:val="2"/>
        <w:sz w:val="18"/>
        <w:szCs w:val="18"/>
        <w:lang w:val="en-US" w:eastAsia="zh-CN"/>
      </w:rPr>
    </w:pPr>
    <w:r>
      <w:rPr>
        <w:sz w:val="18"/>
        <w:lang w:val="en-US"/>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345430" cy="9215755"/>
          <wp:effectExtent l="0" t="0" r="1270" b="4445"/>
          <wp:wrapNone/>
          <wp:docPr id="5" name="WordPictureWatermark3039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0391" descr="公司logo"/>
                  <pic:cNvPicPr>
                    <a:picLocks noChangeAspect="1"/>
                  </pic:cNvPicPr>
                </pic:nvPicPr>
                <pic:blipFill>
                  <a:blip r:embed="rId1">
                    <a:lum bright="70000" contrast="-70000"/>
                  </a:blip>
                  <a:stretch>
                    <a:fillRect/>
                  </a:stretch>
                </pic:blipFill>
                <pic:spPr>
                  <a:xfrm>
                    <a:off x="0" y="0"/>
                    <a:ext cx="5345430" cy="9215755"/>
                  </a:xfrm>
                  <a:prstGeom prst="rect">
                    <a:avLst/>
                  </a:prstGeom>
                </pic:spPr>
              </pic:pic>
            </a:graphicData>
          </a:graphic>
        </wp:anchor>
      </w:drawing>
    </w:r>
    <w:r>
      <w:rPr>
        <w:rFonts w:hint="eastAsia" w:eastAsia="仿宋_GB2312"/>
        <w:b w:val="0"/>
        <w:i/>
        <w:iCs/>
        <w:sz w:val="18"/>
        <w:szCs w:val="18"/>
      </w:rPr>
      <w:t xml:space="preserve">       </w:t>
    </w:r>
    <w:r>
      <w:rPr>
        <w:rFonts w:hint="eastAsia" w:eastAsia="仿宋_GB2312"/>
        <w:b w:val="0"/>
        <w:i w:val="0"/>
        <w:iCs/>
        <w:sz w:val="18"/>
        <w:szCs w:val="18"/>
        <w:lang w:eastAsia="zh-CN"/>
      </w:rPr>
      <w:t>东门片区管委会社区卫生服务中心四楼日间照料中心建设项目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b w:val="0"/>
        <w:i w:val="0"/>
        <w:lang w:eastAsia="zh-CN"/>
      </w:rPr>
      <w:t>东门片区管委会社区卫生服务中心四楼日间照料中心建设项目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60E34"/>
    <w:multiLevelType w:val="singleLevel"/>
    <w:tmpl w:val="80660E34"/>
    <w:lvl w:ilvl="0" w:tentative="0">
      <w:start w:val="1"/>
      <w:numFmt w:val="decimal"/>
      <w:lvlText w:val="%1."/>
      <w:lvlJc w:val="left"/>
      <w:pPr>
        <w:tabs>
          <w:tab w:val="left" w:pos="397"/>
        </w:tabs>
        <w:ind w:left="340" w:hanging="340"/>
      </w:pPr>
      <w:rPr>
        <w:rFonts w:hint="default"/>
      </w:rPr>
    </w:lvl>
  </w:abstractNum>
  <w:abstractNum w:abstractNumId="1">
    <w:nsid w:val="8E020B7A"/>
    <w:multiLevelType w:val="multilevel"/>
    <w:tmpl w:val="8E020B7A"/>
    <w:lvl w:ilvl="0" w:tentative="0">
      <w:start w:val="11"/>
      <w:numFmt w:val="decimal"/>
      <w:lvlText w:val="%1."/>
      <w:lvlJc w:val="left"/>
      <w:pPr>
        <w:ind w:left="425" w:hanging="425"/>
      </w:pPr>
      <w:rPr>
        <w:rFonts w:hint="default" w:ascii="宋体" w:hAnsi="宋体" w:eastAsia="宋体" w:cs="宋体"/>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ascii="宋体" w:hAnsi="宋体" w:eastAsia="宋体" w:cs="宋体"/>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62016DF"/>
    <w:multiLevelType w:val="multilevel"/>
    <w:tmpl w:val="962016DF"/>
    <w:lvl w:ilvl="0" w:tentative="0">
      <w:start w:val="18"/>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7211B0E"/>
    <w:multiLevelType w:val="multilevel"/>
    <w:tmpl w:val="97211B0E"/>
    <w:lvl w:ilvl="0" w:tentative="0">
      <w:start w:val="1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B1E04445"/>
    <w:multiLevelType w:val="multilevel"/>
    <w:tmpl w:val="B1E04445"/>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B96E7FB5"/>
    <w:multiLevelType w:val="multilevel"/>
    <w:tmpl w:val="B96E7FB5"/>
    <w:lvl w:ilvl="0" w:tentative="0">
      <w:start w:val="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BBB98913"/>
    <w:multiLevelType w:val="multilevel"/>
    <w:tmpl w:val="BBB98913"/>
    <w:lvl w:ilvl="0" w:tentative="0">
      <w:start w:val="2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C3422329"/>
    <w:multiLevelType w:val="multilevel"/>
    <w:tmpl w:val="C3422329"/>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C48E556B"/>
    <w:multiLevelType w:val="multilevel"/>
    <w:tmpl w:val="C48E556B"/>
    <w:lvl w:ilvl="0" w:tentative="0">
      <w:start w:val="11"/>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CAC07571"/>
    <w:multiLevelType w:val="singleLevel"/>
    <w:tmpl w:val="CAC07571"/>
    <w:lvl w:ilvl="0" w:tentative="0">
      <w:start w:val="1"/>
      <w:numFmt w:val="decimal"/>
      <w:lvlText w:val="%1."/>
      <w:lvlJc w:val="center"/>
      <w:pPr>
        <w:tabs>
          <w:tab w:val="left" w:pos="42"/>
        </w:tabs>
        <w:ind w:left="71" w:hanging="45"/>
      </w:pPr>
      <w:rPr>
        <w:rFonts w:hint="default" w:ascii="宋体" w:hAnsi="宋体" w:eastAsia="宋体" w:cs="宋体"/>
      </w:rPr>
    </w:lvl>
  </w:abstractNum>
  <w:abstractNum w:abstractNumId="10">
    <w:nsid w:val="DFDB276E"/>
    <w:multiLevelType w:val="singleLevel"/>
    <w:tmpl w:val="DFDB276E"/>
    <w:lvl w:ilvl="0" w:tentative="0">
      <w:start w:val="1"/>
      <w:numFmt w:val="chineseCounting"/>
      <w:suff w:val="nothing"/>
      <w:lvlText w:val="%1、"/>
      <w:lvlJc w:val="left"/>
      <w:pPr>
        <w:ind w:left="0" w:firstLine="420"/>
      </w:pPr>
      <w:rPr>
        <w:rFonts w:hint="eastAsia"/>
      </w:rPr>
    </w:lvl>
  </w:abstractNum>
  <w:abstractNum w:abstractNumId="11">
    <w:nsid w:val="E1ACEA70"/>
    <w:multiLevelType w:val="multilevel"/>
    <w:tmpl w:val="E1ACEA70"/>
    <w:lvl w:ilvl="0" w:tentative="0">
      <w:start w:val="4"/>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E20630FF"/>
    <w:multiLevelType w:val="multilevel"/>
    <w:tmpl w:val="E20630FF"/>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E79DFC4E"/>
    <w:multiLevelType w:val="multilevel"/>
    <w:tmpl w:val="E79DFC4E"/>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4">
    <w:nsid w:val="EC6B8095"/>
    <w:multiLevelType w:val="multilevel"/>
    <w:tmpl w:val="EC6B8095"/>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EDF9013E"/>
    <w:multiLevelType w:val="multilevel"/>
    <w:tmpl w:val="EDF9013E"/>
    <w:lvl w:ilvl="0" w:tentative="0">
      <w:start w:val="1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6">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7">
    <w:nsid w:val="00000002"/>
    <w:multiLevelType w:val="multilevel"/>
    <w:tmpl w:val="00000002"/>
    <w:lvl w:ilvl="0" w:tentative="0">
      <w:start w:val="16"/>
      <w:numFmt w:val="decimal"/>
      <w:lvlText w:val="%1"/>
      <w:lvlJc w:val="left"/>
      <w:pPr>
        <w:ind w:left="630" w:hanging="630"/>
      </w:pPr>
      <w:rPr>
        <w:rFonts w:hint="default"/>
      </w:rPr>
    </w:lvl>
    <w:lvl w:ilvl="1" w:tentative="0">
      <w:start w:val="1"/>
      <w:numFmt w:val="decimal"/>
      <w:lvlText w:val="%1.%2"/>
      <w:lvlJc w:val="left"/>
      <w:pPr>
        <w:ind w:left="840" w:hanging="630"/>
      </w:pPr>
      <w:rPr>
        <w:rFonts w:hint="default"/>
      </w:rPr>
    </w:lvl>
    <w:lvl w:ilvl="2" w:tentative="0">
      <w:start w:val="2"/>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18">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19">
    <w:nsid w:val="00000008"/>
    <w:multiLevelType w:val="multilevel"/>
    <w:tmpl w:val="00000008"/>
    <w:lvl w:ilvl="0" w:tentative="0">
      <w:start w:val="12"/>
      <w:numFmt w:val="decimal"/>
      <w:lvlText w:val="%1"/>
      <w:lvlJc w:val="left"/>
      <w:pPr>
        <w:ind w:left="630" w:hanging="630"/>
      </w:pPr>
      <w:rPr>
        <w:rFonts w:hint="default"/>
      </w:rPr>
    </w:lvl>
    <w:lvl w:ilvl="1" w:tentative="0">
      <w:start w:val="4"/>
      <w:numFmt w:val="decimal"/>
      <w:lvlText w:val="%1.%2"/>
      <w:lvlJc w:val="left"/>
      <w:pPr>
        <w:ind w:left="840" w:hanging="630"/>
      </w:pPr>
      <w:rPr>
        <w:rFonts w:hint="default"/>
      </w:rPr>
    </w:lvl>
    <w:lvl w:ilvl="2" w:tentative="0">
      <w:start w:val="6"/>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20">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4C46C8E"/>
    <w:multiLevelType w:val="multilevel"/>
    <w:tmpl w:val="04C46C8E"/>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3">
    <w:nsid w:val="12ECF7D5"/>
    <w:multiLevelType w:val="multilevel"/>
    <w:tmpl w:val="12ECF7D5"/>
    <w:lvl w:ilvl="0" w:tentative="0">
      <w:start w:val="3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13E9CB99"/>
    <w:multiLevelType w:val="multilevel"/>
    <w:tmpl w:val="13E9CB99"/>
    <w:lvl w:ilvl="0" w:tentative="0">
      <w:start w:val="4"/>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5">
    <w:nsid w:val="16D76FFA"/>
    <w:multiLevelType w:val="multilevel"/>
    <w:tmpl w:val="16D76FFA"/>
    <w:lvl w:ilvl="0" w:tentative="0">
      <w:start w:val="1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207439DD"/>
    <w:multiLevelType w:val="multilevel"/>
    <w:tmpl w:val="207439DD"/>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7">
    <w:nsid w:val="2A4E901C"/>
    <w:multiLevelType w:val="multilevel"/>
    <w:tmpl w:val="2A4E901C"/>
    <w:lvl w:ilvl="0" w:tentative="0">
      <w:start w:val="20"/>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8">
    <w:nsid w:val="2EA85F27"/>
    <w:multiLevelType w:val="multilevel"/>
    <w:tmpl w:val="2EA85F27"/>
    <w:lvl w:ilvl="0" w:tentative="0">
      <w:start w:val="6"/>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9">
    <w:nsid w:val="2ED9EEBE"/>
    <w:multiLevelType w:val="multilevel"/>
    <w:tmpl w:val="2ED9EEBE"/>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0">
    <w:nsid w:val="320E0114"/>
    <w:multiLevelType w:val="multilevel"/>
    <w:tmpl w:val="320E0114"/>
    <w:lvl w:ilvl="0" w:tentative="0">
      <w:start w:val="1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1">
    <w:nsid w:val="32FAC5EF"/>
    <w:multiLevelType w:val="multilevel"/>
    <w:tmpl w:val="32FAC5EF"/>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2">
    <w:nsid w:val="36ED0084"/>
    <w:multiLevelType w:val="multilevel"/>
    <w:tmpl w:val="36ED0084"/>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3">
    <w:nsid w:val="4A976031"/>
    <w:multiLevelType w:val="multilevel"/>
    <w:tmpl w:val="4A976031"/>
    <w:lvl w:ilvl="0" w:tentative="0">
      <w:start w:val="11"/>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4">
    <w:nsid w:val="4CFA10E1"/>
    <w:multiLevelType w:val="multilevel"/>
    <w:tmpl w:val="4CFA10E1"/>
    <w:lvl w:ilvl="0" w:tentative="0">
      <w:start w:val="2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5">
    <w:nsid w:val="4D67B4D0"/>
    <w:multiLevelType w:val="multilevel"/>
    <w:tmpl w:val="4D67B4D0"/>
    <w:lvl w:ilvl="0" w:tentative="0">
      <w:start w:val="5"/>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37">
    <w:nsid w:val="4FEBB958"/>
    <w:multiLevelType w:val="singleLevel"/>
    <w:tmpl w:val="4FEBB958"/>
    <w:lvl w:ilvl="0" w:tentative="0">
      <w:start w:val="1"/>
      <w:numFmt w:val="decimal"/>
      <w:suff w:val="nothing"/>
      <w:lvlText w:val="%1、"/>
      <w:lvlJc w:val="left"/>
    </w:lvl>
  </w:abstractNum>
  <w:abstractNum w:abstractNumId="38">
    <w:nsid w:val="5063E2BC"/>
    <w:multiLevelType w:val="multilevel"/>
    <w:tmpl w:val="5063E2BC"/>
    <w:lvl w:ilvl="0" w:tentative="0">
      <w:start w:val="29"/>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9">
    <w:nsid w:val="52B48799"/>
    <w:multiLevelType w:val="multilevel"/>
    <w:tmpl w:val="52B48799"/>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0">
    <w:nsid w:val="5737B475"/>
    <w:multiLevelType w:val="multilevel"/>
    <w:tmpl w:val="5737B475"/>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1">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2">
    <w:nsid w:val="64338D45"/>
    <w:multiLevelType w:val="multilevel"/>
    <w:tmpl w:val="64338D45"/>
    <w:lvl w:ilvl="0" w:tentative="0">
      <w:start w:val="6"/>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3">
    <w:nsid w:val="660117B0"/>
    <w:multiLevelType w:val="multilevel"/>
    <w:tmpl w:val="660117B0"/>
    <w:lvl w:ilvl="0" w:tentative="0">
      <w:start w:val="1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4">
    <w:nsid w:val="662A2411"/>
    <w:multiLevelType w:val="multilevel"/>
    <w:tmpl w:val="662A2411"/>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5">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6">
    <w:nsid w:val="75AFE56F"/>
    <w:multiLevelType w:val="multilevel"/>
    <w:tmpl w:val="75AFE56F"/>
    <w:lvl w:ilvl="0" w:tentative="0">
      <w:start w:val="19"/>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22"/>
  </w:num>
  <w:num w:numId="2">
    <w:abstractNumId w:val="20"/>
  </w:num>
  <w:num w:numId="3">
    <w:abstractNumId w:val="16"/>
  </w:num>
  <w:num w:numId="4">
    <w:abstractNumId w:val="18"/>
  </w:num>
  <w:num w:numId="5">
    <w:abstractNumId w:val="41"/>
  </w:num>
  <w:num w:numId="6">
    <w:abstractNumId w:val="45"/>
  </w:num>
  <w:num w:numId="7">
    <w:abstractNumId w:val="0"/>
  </w:num>
  <w:num w:numId="8">
    <w:abstractNumId w:val="14"/>
  </w:num>
  <w:num w:numId="9">
    <w:abstractNumId w:val="7"/>
  </w:num>
  <w:num w:numId="10">
    <w:abstractNumId w:val="40"/>
  </w:num>
  <w:num w:numId="11">
    <w:abstractNumId w:val="21"/>
  </w:num>
  <w:num w:numId="12">
    <w:abstractNumId w:val="26"/>
  </w:num>
  <w:num w:numId="13">
    <w:abstractNumId w:val="9"/>
  </w:num>
  <w:num w:numId="14">
    <w:abstractNumId w:val="4"/>
  </w:num>
  <w:num w:numId="15">
    <w:abstractNumId w:val="44"/>
  </w:num>
  <w:num w:numId="16">
    <w:abstractNumId w:val="24"/>
  </w:num>
  <w:num w:numId="17">
    <w:abstractNumId w:val="11"/>
  </w:num>
  <w:num w:numId="18">
    <w:abstractNumId w:val="35"/>
  </w:num>
  <w:num w:numId="19">
    <w:abstractNumId w:val="28"/>
  </w:num>
  <w:num w:numId="20">
    <w:abstractNumId w:val="29"/>
  </w:num>
  <w:num w:numId="21">
    <w:abstractNumId w:val="8"/>
  </w:num>
  <w:num w:numId="22">
    <w:abstractNumId w:val="1"/>
  </w:num>
  <w:num w:numId="23">
    <w:abstractNumId w:val="33"/>
  </w:num>
  <w:num w:numId="24">
    <w:abstractNumId w:val="43"/>
  </w:num>
  <w:num w:numId="25">
    <w:abstractNumId w:val="30"/>
  </w:num>
  <w:num w:numId="26">
    <w:abstractNumId w:val="15"/>
  </w:num>
  <w:num w:numId="27">
    <w:abstractNumId w:val="3"/>
  </w:num>
  <w:num w:numId="28">
    <w:abstractNumId w:val="25"/>
  </w:num>
  <w:num w:numId="29">
    <w:abstractNumId w:val="2"/>
  </w:num>
  <w:num w:numId="30">
    <w:abstractNumId w:val="46"/>
  </w:num>
  <w:num w:numId="31">
    <w:abstractNumId w:val="27"/>
  </w:num>
  <w:num w:numId="32">
    <w:abstractNumId w:val="34"/>
  </w:num>
  <w:num w:numId="33">
    <w:abstractNumId w:val="6"/>
  </w:num>
  <w:num w:numId="34">
    <w:abstractNumId w:val="38"/>
  </w:num>
  <w:num w:numId="35">
    <w:abstractNumId w:val="23"/>
  </w:num>
  <w:num w:numId="36">
    <w:abstractNumId w:val="37"/>
  </w:num>
  <w:num w:numId="37">
    <w:abstractNumId w:val="10"/>
  </w:num>
  <w:num w:numId="38">
    <w:abstractNumId w:val="12"/>
  </w:num>
  <w:num w:numId="39">
    <w:abstractNumId w:val="13"/>
  </w:num>
  <w:num w:numId="40">
    <w:abstractNumId w:val="31"/>
  </w:num>
  <w:num w:numId="41">
    <w:abstractNumId w:val="42"/>
  </w:num>
  <w:num w:numId="42">
    <w:abstractNumId w:val="5"/>
  </w:num>
  <w:num w:numId="43">
    <w:abstractNumId w:val="19"/>
  </w:num>
  <w:num w:numId="44">
    <w:abstractNumId w:val="17"/>
  </w:num>
  <w:num w:numId="45">
    <w:abstractNumId w:val="36"/>
  </w:num>
  <w:num w:numId="46">
    <w:abstractNumId w:val="3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YjJmNDk0MWJkMzUzZDQ2MTA3MDQzNDNiMDlhNjMifQ=="/>
    <w:docVar w:name="KSO_WPS_MARK_KEY" w:val="ec62f164-a369-4e0b-99e3-03c71f0fbbb1"/>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4D39"/>
    <w:rsid w:val="0005501B"/>
    <w:rsid w:val="000554C7"/>
    <w:rsid w:val="00055A61"/>
    <w:rsid w:val="00056118"/>
    <w:rsid w:val="000578A3"/>
    <w:rsid w:val="00057FC8"/>
    <w:rsid w:val="000600BA"/>
    <w:rsid w:val="00061A3C"/>
    <w:rsid w:val="00061B5E"/>
    <w:rsid w:val="000620B0"/>
    <w:rsid w:val="000646CA"/>
    <w:rsid w:val="00064D05"/>
    <w:rsid w:val="00065868"/>
    <w:rsid w:val="000665C4"/>
    <w:rsid w:val="00067821"/>
    <w:rsid w:val="0006785E"/>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5674"/>
    <w:rsid w:val="000A5A46"/>
    <w:rsid w:val="000B0E04"/>
    <w:rsid w:val="000B4B56"/>
    <w:rsid w:val="000B53F1"/>
    <w:rsid w:val="000B54C1"/>
    <w:rsid w:val="000B62AC"/>
    <w:rsid w:val="000B6BDF"/>
    <w:rsid w:val="000C0A43"/>
    <w:rsid w:val="000C1ADE"/>
    <w:rsid w:val="000C1C38"/>
    <w:rsid w:val="000C222C"/>
    <w:rsid w:val="000C2264"/>
    <w:rsid w:val="000C4727"/>
    <w:rsid w:val="000C47AE"/>
    <w:rsid w:val="000C51AD"/>
    <w:rsid w:val="000C5374"/>
    <w:rsid w:val="000C5EC0"/>
    <w:rsid w:val="000C6688"/>
    <w:rsid w:val="000C7BEB"/>
    <w:rsid w:val="000D11E5"/>
    <w:rsid w:val="000D1D28"/>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C1F"/>
    <w:rsid w:val="001B219B"/>
    <w:rsid w:val="001B2703"/>
    <w:rsid w:val="001B2ABD"/>
    <w:rsid w:val="001B46B2"/>
    <w:rsid w:val="001B494D"/>
    <w:rsid w:val="001B4CA8"/>
    <w:rsid w:val="001B572D"/>
    <w:rsid w:val="001B738E"/>
    <w:rsid w:val="001B7B69"/>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2D33"/>
    <w:rsid w:val="00202F99"/>
    <w:rsid w:val="00203C85"/>
    <w:rsid w:val="00205298"/>
    <w:rsid w:val="002054F4"/>
    <w:rsid w:val="00210B9C"/>
    <w:rsid w:val="00212E87"/>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E31"/>
    <w:rsid w:val="00237FA2"/>
    <w:rsid w:val="00240F67"/>
    <w:rsid w:val="00241144"/>
    <w:rsid w:val="00242009"/>
    <w:rsid w:val="00242510"/>
    <w:rsid w:val="00243F5D"/>
    <w:rsid w:val="0024415B"/>
    <w:rsid w:val="00247422"/>
    <w:rsid w:val="00247BA2"/>
    <w:rsid w:val="00251CB4"/>
    <w:rsid w:val="002531BD"/>
    <w:rsid w:val="002533FE"/>
    <w:rsid w:val="002537FC"/>
    <w:rsid w:val="002543EF"/>
    <w:rsid w:val="00255146"/>
    <w:rsid w:val="0025631F"/>
    <w:rsid w:val="00256986"/>
    <w:rsid w:val="00257246"/>
    <w:rsid w:val="00263044"/>
    <w:rsid w:val="00263759"/>
    <w:rsid w:val="0026385E"/>
    <w:rsid w:val="002645DB"/>
    <w:rsid w:val="0026470B"/>
    <w:rsid w:val="0026486D"/>
    <w:rsid w:val="00264CEB"/>
    <w:rsid w:val="002660C3"/>
    <w:rsid w:val="00266DE1"/>
    <w:rsid w:val="00266E08"/>
    <w:rsid w:val="00267E43"/>
    <w:rsid w:val="00273C5F"/>
    <w:rsid w:val="00274C6D"/>
    <w:rsid w:val="002751CA"/>
    <w:rsid w:val="0027544D"/>
    <w:rsid w:val="002778AB"/>
    <w:rsid w:val="002802A5"/>
    <w:rsid w:val="00281BCB"/>
    <w:rsid w:val="00282CA4"/>
    <w:rsid w:val="0028583E"/>
    <w:rsid w:val="00285FF3"/>
    <w:rsid w:val="0028744E"/>
    <w:rsid w:val="0028766A"/>
    <w:rsid w:val="00287936"/>
    <w:rsid w:val="002903C5"/>
    <w:rsid w:val="00290A99"/>
    <w:rsid w:val="00290EAF"/>
    <w:rsid w:val="0029159A"/>
    <w:rsid w:val="00292AA1"/>
    <w:rsid w:val="0029499D"/>
    <w:rsid w:val="00294A13"/>
    <w:rsid w:val="00295073"/>
    <w:rsid w:val="0029704D"/>
    <w:rsid w:val="002979C5"/>
    <w:rsid w:val="00297AF5"/>
    <w:rsid w:val="002A02D6"/>
    <w:rsid w:val="002A07C4"/>
    <w:rsid w:val="002A0921"/>
    <w:rsid w:val="002A2001"/>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EDB"/>
    <w:rsid w:val="00312378"/>
    <w:rsid w:val="00312DFC"/>
    <w:rsid w:val="0031318C"/>
    <w:rsid w:val="00313C9D"/>
    <w:rsid w:val="00314C5A"/>
    <w:rsid w:val="0031531A"/>
    <w:rsid w:val="00315394"/>
    <w:rsid w:val="00315A0E"/>
    <w:rsid w:val="00315D77"/>
    <w:rsid w:val="00316CDE"/>
    <w:rsid w:val="00317012"/>
    <w:rsid w:val="0032226B"/>
    <w:rsid w:val="00324B2F"/>
    <w:rsid w:val="00326106"/>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60304"/>
    <w:rsid w:val="00365427"/>
    <w:rsid w:val="003669C8"/>
    <w:rsid w:val="00366CEB"/>
    <w:rsid w:val="00366D8A"/>
    <w:rsid w:val="003679D3"/>
    <w:rsid w:val="00367A87"/>
    <w:rsid w:val="003703CE"/>
    <w:rsid w:val="00371C6D"/>
    <w:rsid w:val="003726FA"/>
    <w:rsid w:val="00372C89"/>
    <w:rsid w:val="00372E9A"/>
    <w:rsid w:val="00374677"/>
    <w:rsid w:val="0037632F"/>
    <w:rsid w:val="00377B26"/>
    <w:rsid w:val="00381014"/>
    <w:rsid w:val="00381F60"/>
    <w:rsid w:val="00382C74"/>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24"/>
    <w:rsid w:val="003A03EF"/>
    <w:rsid w:val="003A12B6"/>
    <w:rsid w:val="003A20D5"/>
    <w:rsid w:val="003A24CC"/>
    <w:rsid w:val="003A2EE8"/>
    <w:rsid w:val="003A373C"/>
    <w:rsid w:val="003A5378"/>
    <w:rsid w:val="003A5567"/>
    <w:rsid w:val="003A7E2B"/>
    <w:rsid w:val="003A7E40"/>
    <w:rsid w:val="003B0336"/>
    <w:rsid w:val="003B0A3A"/>
    <w:rsid w:val="003B4810"/>
    <w:rsid w:val="003B514E"/>
    <w:rsid w:val="003B5E0A"/>
    <w:rsid w:val="003B613B"/>
    <w:rsid w:val="003B636A"/>
    <w:rsid w:val="003C011C"/>
    <w:rsid w:val="003C0EB6"/>
    <w:rsid w:val="003C435B"/>
    <w:rsid w:val="003C4EBE"/>
    <w:rsid w:val="003C685A"/>
    <w:rsid w:val="003C6E9C"/>
    <w:rsid w:val="003C7F12"/>
    <w:rsid w:val="003D03D6"/>
    <w:rsid w:val="003D04C3"/>
    <w:rsid w:val="003D14C8"/>
    <w:rsid w:val="003D1517"/>
    <w:rsid w:val="003D2DA0"/>
    <w:rsid w:val="003D34C3"/>
    <w:rsid w:val="003D5ADB"/>
    <w:rsid w:val="003D663E"/>
    <w:rsid w:val="003D6793"/>
    <w:rsid w:val="003D6B03"/>
    <w:rsid w:val="003D75D8"/>
    <w:rsid w:val="003E0746"/>
    <w:rsid w:val="003E0E7C"/>
    <w:rsid w:val="003E336A"/>
    <w:rsid w:val="003E60DA"/>
    <w:rsid w:val="003E61F6"/>
    <w:rsid w:val="003E6439"/>
    <w:rsid w:val="003E6E00"/>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28E6"/>
    <w:rsid w:val="0044739A"/>
    <w:rsid w:val="004475F7"/>
    <w:rsid w:val="00447DFB"/>
    <w:rsid w:val="00450B22"/>
    <w:rsid w:val="004533CE"/>
    <w:rsid w:val="004543AB"/>
    <w:rsid w:val="00454BF5"/>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64C6"/>
    <w:rsid w:val="00477247"/>
    <w:rsid w:val="004776BB"/>
    <w:rsid w:val="00480DC5"/>
    <w:rsid w:val="00481886"/>
    <w:rsid w:val="00482288"/>
    <w:rsid w:val="00483984"/>
    <w:rsid w:val="00483BC7"/>
    <w:rsid w:val="00483CF0"/>
    <w:rsid w:val="00484D4D"/>
    <w:rsid w:val="0048664F"/>
    <w:rsid w:val="004868AD"/>
    <w:rsid w:val="00486D00"/>
    <w:rsid w:val="00487FE1"/>
    <w:rsid w:val="00490707"/>
    <w:rsid w:val="00490815"/>
    <w:rsid w:val="004914E8"/>
    <w:rsid w:val="00492B76"/>
    <w:rsid w:val="0049333E"/>
    <w:rsid w:val="0049418F"/>
    <w:rsid w:val="00495DC6"/>
    <w:rsid w:val="00497AAD"/>
    <w:rsid w:val="00497D1A"/>
    <w:rsid w:val="00497FE6"/>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730"/>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5E2D"/>
    <w:rsid w:val="00536B03"/>
    <w:rsid w:val="00537917"/>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779"/>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F7"/>
    <w:rsid w:val="0058767F"/>
    <w:rsid w:val="00587D7B"/>
    <w:rsid w:val="005901B7"/>
    <w:rsid w:val="005904DB"/>
    <w:rsid w:val="00592825"/>
    <w:rsid w:val="005931BD"/>
    <w:rsid w:val="00594437"/>
    <w:rsid w:val="005955EB"/>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4AA8"/>
    <w:rsid w:val="00635B73"/>
    <w:rsid w:val="006368A8"/>
    <w:rsid w:val="00636CC7"/>
    <w:rsid w:val="00637F27"/>
    <w:rsid w:val="00643F89"/>
    <w:rsid w:val="00644BED"/>
    <w:rsid w:val="00644E2E"/>
    <w:rsid w:val="00645CB4"/>
    <w:rsid w:val="006470DC"/>
    <w:rsid w:val="00651F59"/>
    <w:rsid w:val="00652CF5"/>
    <w:rsid w:val="0065343E"/>
    <w:rsid w:val="00653C7C"/>
    <w:rsid w:val="006558CD"/>
    <w:rsid w:val="00656D49"/>
    <w:rsid w:val="00656E4D"/>
    <w:rsid w:val="006576BA"/>
    <w:rsid w:val="00662401"/>
    <w:rsid w:val="00662D3D"/>
    <w:rsid w:val="00662F1F"/>
    <w:rsid w:val="00664936"/>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78D"/>
    <w:rsid w:val="006C09CC"/>
    <w:rsid w:val="006C09F4"/>
    <w:rsid w:val="006C3EFE"/>
    <w:rsid w:val="006C4D29"/>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60AC"/>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604D"/>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7BF9"/>
    <w:rsid w:val="007F2C38"/>
    <w:rsid w:val="007F30C6"/>
    <w:rsid w:val="007F3651"/>
    <w:rsid w:val="007F3752"/>
    <w:rsid w:val="007F4318"/>
    <w:rsid w:val="007F47DA"/>
    <w:rsid w:val="007F4E52"/>
    <w:rsid w:val="007F4F84"/>
    <w:rsid w:val="007F55A4"/>
    <w:rsid w:val="007F661E"/>
    <w:rsid w:val="007F75BB"/>
    <w:rsid w:val="00800766"/>
    <w:rsid w:val="00801D90"/>
    <w:rsid w:val="0080348B"/>
    <w:rsid w:val="00803EB0"/>
    <w:rsid w:val="00803EEF"/>
    <w:rsid w:val="008052CE"/>
    <w:rsid w:val="008052DB"/>
    <w:rsid w:val="0080705B"/>
    <w:rsid w:val="0081000F"/>
    <w:rsid w:val="0081264E"/>
    <w:rsid w:val="00812A1A"/>
    <w:rsid w:val="00812DFF"/>
    <w:rsid w:val="0081383A"/>
    <w:rsid w:val="00814DE6"/>
    <w:rsid w:val="00814FC7"/>
    <w:rsid w:val="00816FE0"/>
    <w:rsid w:val="00817416"/>
    <w:rsid w:val="00817583"/>
    <w:rsid w:val="00817FAD"/>
    <w:rsid w:val="00821306"/>
    <w:rsid w:val="00821D85"/>
    <w:rsid w:val="0082207E"/>
    <w:rsid w:val="00823FFD"/>
    <w:rsid w:val="0082427D"/>
    <w:rsid w:val="0082646C"/>
    <w:rsid w:val="00830052"/>
    <w:rsid w:val="008300D0"/>
    <w:rsid w:val="0083257C"/>
    <w:rsid w:val="00833307"/>
    <w:rsid w:val="00833583"/>
    <w:rsid w:val="00833B5B"/>
    <w:rsid w:val="00833E9A"/>
    <w:rsid w:val="00834FEF"/>
    <w:rsid w:val="00836323"/>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94A"/>
    <w:rsid w:val="008C1570"/>
    <w:rsid w:val="008C2059"/>
    <w:rsid w:val="008C58E7"/>
    <w:rsid w:val="008C65F4"/>
    <w:rsid w:val="008C7368"/>
    <w:rsid w:val="008D0E65"/>
    <w:rsid w:val="008D1FAF"/>
    <w:rsid w:val="008D2259"/>
    <w:rsid w:val="008D33FE"/>
    <w:rsid w:val="008D3B9F"/>
    <w:rsid w:val="008D3D02"/>
    <w:rsid w:val="008D54C0"/>
    <w:rsid w:val="008D5760"/>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9000F2"/>
    <w:rsid w:val="0090079D"/>
    <w:rsid w:val="00900D2C"/>
    <w:rsid w:val="00901F0E"/>
    <w:rsid w:val="0090408F"/>
    <w:rsid w:val="0090446A"/>
    <w:rsid w:val="00904DC3"/>
    <w:rsid w:val="00905469"/>
    <w:rsid w:val="0090629C"/>
    <w:rsid w:val="009065C6"/>
    <w:rsid w:val="00906EA2"/>
    <w:rsid w:val="00907278"/>
    <w:rsid w:val="009128B8"/>
    <w:rsid w:val="00915679"/>
    <w:rsid w:val="009159C2"/>
    <w:rsid w:val="009175AF"/>
    <w:rsid w:val="00920A06"/>
    <w:rsid w:val="009221CB"/>
    <w:rsid w:val="00922320"/>
    <w:rsid w:val="00923643"/>
    <w:rsid w:val="009261DB"/>
    <w:rsid w:val="0092623E"/>
    <w:rsid w:val="00931C63"/>
    <w:rsid w:val="00931D10"/>
    <w:rsid w:val="0093386D"/>
    <w:rsid w:val="00934E17"/>
    <w:rsid w:val="00935194"/>
    <w:rsid w:val="00936378"/>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4F8"/>
    <w:rsid w:val="00A116AC"/>
    <w:rsid w:val="00A117D5"/>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A45"/>
    <w:rsid w:val="00A4534D"/>
    <w:rsid w:val="00A46C6D"/>
    <w:rsid w:val="00A472B8"/>
    <w:rsid w:val="00A502F5"/>
    <w:rsid w:val="00A504F4"/>
    <w:rsid w:val="00A51577"/>
    <w:rsid w:val="00A51B47"/>
    <w:rsid w:val="00A526CE"/>
    <w:rsid w:val="00A54DC0"/>
    <w:rsid w:val="00A550C9"/>
    <w:rsid w:val="00A55228"/>
    <w:rsid w:val="00A564DE"/>
    <w:rsid w:val="00A61B91"/>
    <w:rsid w:val="00A63335"/>
    <w:rsid w:val="00A63685"/>
    <w:rsid w:val="00A63DDD"/>
    <w:rsid w:val="00A66473"/>
    <w:rsid w:val="00A66E28"/>
    <w:rsid w:val="00A70590"/>
    <w:rsid w:val="00A71542"/>
    <w:rsid w:val="00A71FA0"/>
    <w:rsid w:val="00A72B5A"/>
    <w:rsid w:val="00A72C1A"/>
    <w:rsid w:val="00A74021"/>
    <w:rsid w:val="00A7463E"/>
    <w:rsid w:val="00A765B1"/>
    <w:rsid w:val="00A772F2"/>
    <w:rsid w:val="00A77828"/>
    <w:rsid w:val="00A8073D"/>
    <w:rsid w:val="00A807A2"/>
    <w:rsid w:val="00A80D02"/>
    <w:rsid w:val="00A812A8"/>
    <w:rsid w:val="00A82D32"/>
    <w:rsid w:val="00A82EAE"/>
    <w:rsid w:val="00A839DC"/>
    <w:rsid w:val="00A84BA2"/>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288"/>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971"/>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56B8"/>
    <w:rsid w:val="00B37B8E"/>
    <w:rsid w:val="00B40222"/>
    <w:rsid w:val="00B404C3"/>
    <w:rsid w:val="00B40BA6"/>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ED9"/>
    <w:rsid w:val="00BA2C82"/>
    <w:rsid w:val="00BA2E8A"/>
    <w:rsid w:val="00BA583B"/>
    <w:rsid w:val="00BA5EC7"/>
    <w:rsid w:val="00BA6319"/>
    <w:rsid w:val="00BA63CE"/>
    <w:rsid w:val="00BA6551"/>
    <w:rsid w:val="00BA6791"/>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64A"/>
    <w:rsid w:val="00BD2B4D"/>
    <w:rsid w:val="00BD2DAE"/>
    <w:rsid w:val="00BD2FB9"/>
    <w:rsid w:val="00BD31C2"/>
    <w:rsid w:val="00BD450A"/>
    <w:rsid w:val="00BD4717"/>
    <w:rsid w:val="00BD48BC"/>
    <w:rsid w:val="00BD48EA"/>
    <w:rsid w:val="00BD4BA8"/>
    <w:rsid w:val="00BD6B0E"/>
    <w:rsid w:val="00BD6F56"/>
    <w:rsid w:val="00BD7941"/>
    <w:rsid w:val="00BE0C55"/>
    <w:rsid w:val="00BE11A2"/>
    <w:rsid w:val="00BE246C"/>
    <w:rsid w:val="00BE2657"/>
    <w:rsid w:val="00BE37AE"/>
    <w:rsid w:val="00BE73C3"/>
    <w:rsid w:val="00BF03C0"/>
    <w:rsid w:val="00BF21D4"/>
    <w:rsid w:val="00BF4A15"/>
    <w:rsid w:val="00BF4E27"/>
    <w:rsid w:val="00BF6D77"/>
    <w:rsid w:val="00C0378E"/>
    <w:rsid w:val="00C04258"/>
    <w:rsid w:val="00C05AFD"/>
    <w:rsid w:val="00C0724C"/>
    <w:rsid w:val="00C07AEF"/>
    <w:rsid w:val="00C07C11"/>
    <w:rsid w:val="00C10015"/>
    <w:rsid w:val="00C12ECB"/>
    <w:rsid w:val="00C1373A"/>
    <w:rsid w:val="00C13AD4"/>
    <w:rsid w:val="00C14ABD"/>
    <w:rsid w:val="00C151E0"/>
    <w:rsid w:val="00C20051"/>
    <w:rsid w:val="00C20B79"/>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68F9"/>
    <w:rsid w:val="00C405C8"/>
    <w:rsid w:val="00C41E09"/>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4E90"/>
    <w:rsid w:val="00C75A8F"/>
    <w:rsid w:val="00C81716"/>
    <w:rsid w:val="00C82795"/>
    <w:rsid w:val="00C832CB"/>
    <w:rsid w:val="00C84085"/>
    <w:rsid w:val="00C8722F"/>
    <w:rsid w:val="00C8779E"/>
    <w:rsid w:val="00C87850"/>
    <w:rsid w:val="00C87BD0"/>
    <w:rsid w:val="00C90B95"/>
    <w:rsid w:val="00C90CA9"/>
    <w:rsid w:val="00C9354F"/>
    <w:rsid w:val="00C93B40"/>
    <w:rsid w:val="00C93D48"/>
    <w:rsid w:val="00C93DB5"/>
    <w:rsid w:val="00C97DD7"/>
    <w:rsid w:val="00CA0492"/>
    <w:rsid w:val="00CA0A04"/>
    <w:rsid w:val="00CA3CAB"/>
    <w:rsid w:val="00CA6A2E"/>
    <w:rsid w:val="00CB52A4"/>
    <w:rsid w:val="00CB537C"/>
    <w:rsid w:val="00CB6675"/>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D0336E"/>
    <w:rsid w:val="00D04F01"/>
    <w:rsid w:val="00D04F8B"/>
    <w:rsid w:val="00D054EF"/>
    <w:rsid w:val="00D05637"/>
    <w:rsid w:val="00D05BA9"/>
    <w:rsid w:val="00D06E71"/>
    <w:rsid w:val="00D0764E"/>
    <w:rsid w:val="00D07D82"/>
    <w:rsid w:val="00D10BE1"/>
    <w:rsid w:val="00D11FE3"/>
    <w:rsid w:val="00D13D50"/>
    <w:rsid w:val="00D14919"/>
    <w:rsid w:val="00D14E25"/>
    <w:rsid w:val="00D152D6"/>
    <w:rsid w:val="00D16525"/>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154B"/>
    <w:rsid w:val="00DB3490"/>
    <w:rsid w:val="00DB4F12"/>
    <w:rsid w:val="00DB5256"/>
    <w:rsid w:val="00DB53A2"/>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FF1"/>
    <w:rsid w:val="00DF6FD2"/>
    <w:rsid w:val="00DF7724"/>
    <w:rsid w:val="00DF7C43"/>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43006"/>
    <w:rsid w:val="00E43551"/>
    <w:rsid w:val="00E43C59"/>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71809"/>
    <w:rsid w:val="00E71D1E"/>
    <w:rsid w:val="00E721D0"/>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D0B"/>
    <w:rsid w:val="00E93195"/>
    <w:rsid w:val="00E93F21"/>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530"/>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2864"/>
    <w:rsid w:val="00F03E4C"/>
    <w:rsid w:val="00F0665D"/>
    <w:rsid w:val="00F06D42"/>
    <w:rsid w:val="00F07134"/>
    <w:rsid w:val="00F07378"/>
    <w:rsid w:val="00F10B81"/>
    <w:rsid w:val="00F11353"/>
    <w:rsid w:val="00F14CD1"/>
    <w:rsid w:val="00F15115"/>
    <w:rsid w:val="00F15D8C"/>
    <w:rsid w:val="00F16E1A"/>
    <w:rsid w:val="00F20197"/>
    <w:rsid w:val="00F20607"/>
    <w:rsid w:val="00F208BB"/>
    <w:rsid w:val="00F20D7A"/>
    <w:rsid w:val="00F210BE"/>
    <w:rsid w:val="00F211FC"/>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642"/>
    <w:rsid w:val="00F419B8"/>
    <w:rsid w:val="00F41C0F"/>
    <w:rsid w:val="00F42856"/>
    <w:rsid w:val="00F43390"/>
    <w:rsid w:val="00F43EF6"/>
    <w:rsid w:val="00F4482B"/>
    <w:rsid w:val="00F44F02"/>
    <w:rsid w:val="00F4526B"/>
    <w:rsid w:val="00F462DF"/>
    <w:rsid w:val="00F4662D"/>
    <w:rsid w:val="00F468AC"/>
    <w:rsid w:val="00F47316"/>
    <w:rsid w:val="00F47507"/>
    <w:rsid w:val="00F5052D"/>
    <w:rsid w:val="00F50BF0"/>
    <w:rsid w:val="00F51A82"/>
    <w:rsid w:val="00F5254B"/>
    <w:rsid w:val="00F53A44"/>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44FD"/>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AE2"/>
    <w:rsid w:val="00FD5546"/>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F0B4F"/>
    <w:rsid w:val="00FF1AD3"/>
    <w:rsid w:val="00FF49F4"/>
    <w:rsid w:val="00FF651D"/>
    <w:rsid w:val="00FF68CA"/>
    <w:rsid w:val="010651D9"/>
    <w:rsid w:val="0116312F"/>
    <w:rsid w:val="01213882"/>
    <w:rsid w:val="017B3C02"/>
    <w:rsid w:val="019A3838"/>
    <w:rsid w:val="01AA1480"/>
    <w:rsid w:val="02235B0E"/>
    <w:rsid w:val="026A11FE"/>
    <w:rsid w:val="02AB3D4B"/>
    <w:rsid w:val="02BD36A4"/>
    <w:rsid w:val="02C1356F"/>
    <w:rsid w:val="02D54924"/>
    <w:rsid w:val="02DA0C0E"/>
    <w:rsid w:val="03795BF7"/>
    <w:rsid w:val="03D07644"/>
    <w:rsid w:val="03DD35E4"/>
    <w:rsid w:val="041751E6"/>
    <w:rsid w:val="04877E26"/>
    <w:rsid w:val="049F168E"/>
    <w:rsid w:val="053B29F3"/>
    <w:rsid w:val="059E7B97"/>
    <w:rsid w:val="05B4741B"/>
    <w:rsid w:val="065A6178"/>
    <w:rsid w:val="065E5CD7"/>
    <w:rsid w:val="06CA1B54"/>
    <w:rsid w:val="06DA075B"/>
    <w:rsid w:val="07293490"/>
    <w:rsid w:val="075562B7"/>
    <w:rsid w:val="07A03402"/>
    <w:rsid w:val="081F7B22"/>
    <w:rsid w:val="082B15CF"/>
    <w:rsid w:val="089332B7"/>
    <w:rsid w:val="089A5F51"/>
    <w:rsid w:val="091837BC"/>
    <w:rsid w:val="092D54BA"/>
    <w:rsid w:val="092F6318"/>
    <w:rsid w:val="09635222"/>
    <w:rsid w:val="096B2097"/>
    <w:rsid w:val="09EC22C7"/>
    <w:rsid w:val="09EC23CF"/>
    <w:rsid w:val="0A081A83"/>
    <w:rsid w:val="0A261F09"/>
    <w:rsid w:val="0A382368"/>
    <w:rsid w:val="0A5B7E63"/>
    <w:rsid w:val="0A686F49"/>
    <w:rsid w:val="0B335FE1"/>
    <w:rsid w:val="0BD244E5"/>
    <w:rsid w:val="0BD7795F"/>
    <w:rsid w:val="0C451EF5"/>
    <w:rsid w:val="0C6048D0"/>
    <w:rsid w:val="0C6236CC"/>
    <w:rsid w:val="0C87121B"/>
    <w:rsid w:val="0CB16402"/>
    <w:rsid w:val="0CE560AB"/>
    <w:rsid w:val="0CF4714D"/>
    <w:rsid w:val="0D35126B"/>
    <w:rsid w:val="0D692839"/>
    <w:rsid w:val="0DC12A1D"/>
    <w:rsid w:val="0DED4D07"/>
    <w:rsid w:val="0DF702FE"/>
    <w:rsid w:val="0E0132C0"/>
    <w:rsid w:val="0E3F698B"/>
    <w:rsid w:val="0EA370F2"/>
    <w:rsid w:val="0EEB2B2D"/>
    <w:rsid w:val="0EFD592E"/>
    <w:rsid w:val="0F0534BD"/>
    <w:rsid w:val="0F1756A9"/>
    <w:rsid w:val="0F21508F"/>
    <w:rsid w:val="0F2C31E8"/>
    <w:rsid w:val="0F4E1CE6"/>
    <w:rsid w:val="0F783207"/>
    <w:rsid w:val="0F816ACD"/>
    <w:rsid w:val="0FA22032"/>
    <w:rsid w:val="0FA43FFC"/>
    <w:rsid w:val="0FBD6E6C"/>
    <w:rsid w:val="103C0F1F"/>
    <w:rsid w:val="107D739E"/>
    <w:rsid w:val="108A20F6"/>
    <w:rsid w:val="10B00808"/>
    <w:rsid w:val="10B047CF"/>
    <w:rsid w:val="10EA1EE2"/>
    <w:rsid w:val="10F460E3"/>
    <w:rsid w:val="10FC16EA"/>
    <w:rsid w:val="110248AB"/>
    <w:rsid w:val="11220703"/>
    <w:rsid w:val="112E661A"/>
    <w:rsid w:val="116E48C1"/>
    <w:rsid w:val="11851C0B"/>
    <w:rsid w:val="118963A1"/>
    <w:rsid w:val="119A3908"/>
    <w:rsid w:val="119F4A7B"/>
    <w:rsid w:val="11BB73DB"/>
    <w:rsid w:val="11BC6C71"/>
    <w:rsid w:val="11D72467"/>
    <w:rsid w:val="127723A9"/>
    <w:rsid w:val="12C32D62"/>
    <w:rsid w:val="13072A44"/>
    <w:rsid w:val="13A24995"/>
    <w:rsid w:val="13AC7923"/>
    <w:rsid w:val="14347775"/>
    <w:rsid w:val="14376071"/>
    <w:rsid w:val="145044FA"/>
    <w:rsid w:val="1454205C"/>
    <w:rsid w:val="146A15AA"/>
    <w:rsid w:val="14D15E38"/>
    <w:rsid w:val="151A3375"/>
    <w:rsid w:val="154B2DBE"/>
    <w:rsid w:val="15B0069D"/>
    <w:rsid w:val="167119A1"/>
    <w:rsid w:val="17017F86"/>
    <w:rsid w:val="173C2D6C"/>
    <w:rsid w:val="175D340E"/>
    <w:rsid w:val="17665529"/>
    <w:rsid w:val="176F06AA"/>
    <w:rsid w:val="178763DD"/>
    <w:rsid w:val="17BE7C25"/>
    <w:rsid w:val="17E05DED"/>
    <w:rsid w:val="1854026E"/>
    <w:rsid w:val="18581E27"/>
    <w:rsid w:val="18A0517D"/>
    <w:rsid w:val="19111AC2"/>
    <w:rsid w:val="19122E2A"/>
    <w:rsid w:val="198359F0"/>
    <w:rsid w:val="1A20727A"/>
    <w:rsid w:val="1A6661B5"/>
    <w:rsid w:val="1ADD15C5"/>
    <w:rsid w:val="1B204418"/>
    <w:rsid w:val="1B2A271F"/>
    <w:rsid w:val="1B890139"/>
    <w:rsid w:val="1B966EEF"/>
    <w:rsid w:val="1B9D34D1"/>
    <w:rsid w:val="1C157672"/>
    <w:rsid w:val="1C1B73F4"/>
    <w:rsid w:val="1C4E71BE"/>
    <w:rsid w:val="1C4E77C9"/>
    <w:rsid w:val="1D266CE1"/>
    <w:rsid w:val="1D3963AF"/>
    <w:rsid w:val="1D4E37F9"/>
    <w:rsid w:val="1D526A56"/>
    <w:rsid w:val="1DD261D8"/>
    <w:rsid w:val="1E23203A"/>
    <w:rsid w:val="1E560BB7"/>
    <w:rsid w:val="1E610255"/>
    <w:rsid w:val="1E714A66"/>
    <w:rsid w:val="1EC4411D"/>
    <w:rsid w:val="1EC57AEB"/>
    <w:rsid w:val="1F090C74"/>
    <w:rsid w:val="1F3709E9"/>
    <w:rsid w:val="1F5B65F2"/>
    <w:rsid w:val="1FD1489B"/>
    <w:rsid w:val="1FE868A9"/>
    <w:rsid w:val="20075B68"/>
    <w:rsid w:val="201C7BDE"/>
    <w:rsid w:val="20672C08"/>
    <w:rsid w:val="20CF4C51"/>
    <w:rsid w:val="20F12ED7"/>
    <w:rsid w:val="211E26D6"/>
    <w:rsid w:val="21283D08"/>
    <w:rsid w:val="220825BF"/>
    <w:rsid w:val="221C344A"/>
    <w:rsid w:val="2274785E"/>
    <w:rsid w:val="22D8603F"/>
    <w:rsid w:val="22FB28B0"/>
    <w:rsid w:val="23FC3835"/>
    <w:rsid w:val="2443398C"/>
    <w:rsid w:val="245276D1"/>
    <w:rsid w:val="24C90335"/>
    <w:rsid w:val="24FD4458"/>
    <w:rsid w:val="250775A5"/>
    <w:rsid w:val="25145328"/>
    <w:rsid w:val="258F1E36"/>
    <w:rsid w:val="25B440B3"/>
    <w:rsid w:val="25B763DF"/>
    <w:rsid w:val="25CC37A0"/>
    <w:rsid w:val="25E46D6D"/>
    <w:rsid w:val="260D24A3"/>
    <w:rsid w:val="262B1754"/>
    <w:rsid w:val="26BC60C2"/>
    <w:rsid w:val="26F87B72"/>
    <w:rsid w:val="271433BD"/>
    <w:rsid w:val="27BC197A"/>
    <w:rsid w:val="27C8417C"/>
    <w:rsid w:val="281A7ED8"/>
    <w:rsid w:val="281D4DFF"/>
    <w:rsid w:val="28AE0A0C"/>
    <w:rsid w:val="28C83B50"/>
    <w:rsid w:val="28F90ABD"/>
    <w:rsid w:val="2934651F"/>
    <w:rsid w:val="295E519C"/>
    <w:rsid w:val="29A94291"/>
    <w:rsid w:val="29C16DD8"/>
    <w:rsid w:val="29D532D8"/>
    <w:rsid w:val="2A6E1037"/>
    <w:rsid w:val="2AA1365A"/>
    <w:rsid w:val="2AB033FD"/>
    <w:rsid w:val="2B2975EA"/>
    <w:rsid w:val="2BD443F5"/>
    <w:rsid w:val="2BE91131"/>
    <w:rsid w:val="2C067EBA"/>
    <w:rsid w:val="2C3F192C"/>
    <w:rsid w:val="2C626979"/>
    <w:rsid w:val="2D306A77"/>
    <w:rsid w:val="2D61767E"/>
    <w:rsid w:val="2DA910C5"/>
    <w:rsid w:val="2DD15014"/>
    <w:rsid w:val="2E141EF5"/>
    <w:rsid w:val="2F762E67"/>
    <w:rsid w:val="2FD25781"/>
    <w:rsid w:val="2FF24A22"/>
    <w:rsid w:val="302C0C3B"/>
    <w:rsid w:val="30BC651C"/>
    <w:rsid w:val="30C520DB"/>
    <w:rsid w:val="30E107B4"/>
    <w:rsid w:val="31777AF4"/>
    <w:rsid w:val="319C6071"/>
    <w:rsid w:val="31CA749A"/>
    <w:rsid w:val="31E9231A"/>
    <w:rsid w:val="326B6F91"/>
    <w:rsid w:val="32DB72BE"/>
    <w:rsid w:val="32FD564D"/>
    <w:rsid w:val="332A4581"/>
    <w:rsid w:val="342E63AB"/>
    <w:rsid w:val="345D260B"/>
    <w:rsid w:val="34DB5522"/>
    <w:rsid w:val="35074561"/>
    <w:rsid w:val="35B21919"/>
    <w:rsid w:val="365302AE"/>
    <w:rsid w:val="36894365"/>
    <w:rsid w:val="36CB0CA8"/>
    <w:rsid w:val="3729730D"/>
    <w:rsid w:val="377F4883"/>
    <w:rsid w:val="37881557"/>
    <w:rsid w:val="384D4981"/>
    <w:rsid w:val="386569C8"/>
    <w:rsid w:val="38E1266E"/>
    <w:rsid w:val="39224DAA"/>
    <w:rsid w:val="3974239A"/>
    <w:rsid w:val="39A13F14"/>
    <w:rsid w:val="39CE129E"/>
    <w:rsid w:val="3A19387C"/>
    <w:rsid w:val="3A3B384F"/>
    <w:rsid w:val="3A3C334E"/>
    <w:rsid w:val="3A43356C"/>
    <w:rsid w:val="3A4B2C79"/>
    <w:rsid w:val="3A7166BD"/>
    <w:rsid w:val="3AAF722D"/>
    <w:rsid w:val="3AF10C17"/>
    <w:rsid w:val="3B3E520B"/>
    <w:rsid w:val="3B4007CD"/>
    <w:rsid w:val="3B630596"/>
    <w:rsid w:val="3B927D7A"/>
    <w:rsid w:val="3C12666A"/>
    <w:rsid w:val="3C3D7136"/>
    <w:rsid w:val="3C5F759A"/>
    <w:rsid w:val="3C7F4C67"/>
    <w:rsid w:val="3C844E74"/>
    <w:rsid w:val="3C85293C"/>
    <w:rsid w:val="3C9419A9"/>
    <w:rsid w:val="3CA84C0C"/>
    <w:rsid w:val="3CB43221"/>
    <w:rsid w:val="3D202D44"/>
    <w:rsid w:val="3D5C78D4"/>
    <w:rsid w:val="3DB1150E"/>
    <w:rsid w:val="3DE90CA8"/>
    <w:rsid w:val="3E570308"/>
    <w:rsid w:val="3E6842C3"/>
    <w:rsid w:val="40204E05"/>
    <w:rsid w:val="4086308D"/>
    <w:rsid w:val="40AE7F87"/>
    <w:rsid w:val="40F016C6"/>
    <w:rsid w:val="40F77B80"/>
    <w:rsid w:val="411B48E7"/>
    <w:rsid w:val="4125649B"/>
    <w:rsid w:val="41415602"/>
    <w:rsid w:val="41962EF5"/>
    <w:rsid w:val="42073DF3"/>
    <w:rsid w:val="421A3B26"/>
    <w:rsid w:val="4267663F"/>
    <w:rsid w:val="42754E47"/>
    <w:rsid w:val="429D02B3"/>
    <w:rsid w:val="42E1381E"/>
    <w:rsid w:val="43922329"/>
    <w:rsid w:val="43AC6A00"/>
    <w:rsid w:val="43D67F21"/>
    <w:rsid w:val="43FB717C"/>
    <w:rsid w:val="44020D16"/>
    <w:rsid w:val="44191BBB"/>
    <w:rsid w:val="44477C42"/>
    <w:rsid w:val="44554CBC"/>
    <w:rsid w:val="44CE7869"/>
    <w:rsid w:val="4504286C"/>
    <w:rsid w:val="451E447A"/>
    <w:rsid w:val="45252F0E"/>
    <w:rsid w:val="45345B76"/>
    <w:rsid w:val="45436477"/>
    <w:rsid w:val="459A14BC"/>
    <w:rsid w:val="45A04342"/>
    <w:rsid w:val="45BD3146"/>
    <w:rsid w:val="45CC5F4C"/>
    <w:rsid w:val="45CD7101"/>
    <w:rsid w:val="46E26BDC"/>
    <w:rsid w:val="47307808"/>
    <w:rsid w:val="48215B7E"/>
    <w:rsid w:val="486F747C"/>
    <w:rsid w:val="48886D6C"/>
    <w:rsid w:val="49804BB7"/>
    <w:rsid w:val="49903D94"/>
    <w:rsid w:val="49DF3B3C"/>
    <w:rsid w:val="49EB5DA8"/>
    <w:rsid w:val="4AB50890"/>
    <w:rsid w:val="4B7A3887"/>
    <w:rsid w:val="4BCB2D04"/>
    <w:rsid w:val="4C12586E"/>
    <w:rsid w:val="4C615253"/>
    <w:rsid w:val="4CBB4421"/>
    <w:rsid w:val="4CF47E61"/>
    <w:rsid w:val="4D3A62CF"/>
    <w:rsid w:val="4D4C3002"/>
    <w:rsid w:val="4D5362FA"/>
    <w:rsid w:val="4D861CF6"/>
    <w:rsid w:val="4F0458B0"/>
    <w:rsid w:val="4F144C0B"/>
    <w:rsid w:val="4F2953A8"/>
    <w:rsid w:val="4F3F1A48"/>
    <w:rsid w:val="4F4F2B41"/>
    <w:rsid w:val="4FD70497"/>
    <w:rsid w:val="4FD7209B"/>
    <w:rsid w:val="5010728A"/>
    <w:rsid w:val="50983A7B"/>
    <w:rsid w:val="513F5357"/>
    <w:rsid w:val="51A0432A"/>
    <w:rsid w:val="526112FD"/>
    <w:rsid w:val="527140E5"/>
    <w:rsid w:val="527B23BF"/>
    <w:rsid w:val="5292508F"/>
    <w:rsid w:val="529451E7"/>
    <w:rsid w:val="52976ACD"/>
    <w:rsid w:val="52A96B6F"/>
    <w:rsid w:val="52CE2288"/>
    <w:rsid w:val="52D82877"/>
    <w:rsid w:val="53DE62D7"/>
    <w:rsid w:val="53E73A84"/>
    <w:rsid w:val="54044FB7"/>
    <w:rsid w:val="547B509B"/>
    <w:rsid w:val="549B551B"/>
    <w:rsid w:val="54BE3577"/>
    <w:rsid w:val="54CC7EAC"/>
    <w:rsid w:val="550764A4"/>
    <w:rsid w:val="551926E0"/>
    <w:rsid w:val="555A2783"/>
    <w:rsid w:val="55654C60"/>
    <w:rsid w:val="55CE0A58"/>
    <w:rsid w:val="564F0A44"/>
    <w:rsid w:val="56515F3B"/>
    <w:rsid w:val="566A0472"/>
    <w:rsid w:val="571511AC"/>
    <w:rsid w:val="572052E3"/>
    <w:rsid w:val="572B71CA"/>
    <w:rsid w:val="58AE4F0C"/>
    <w:rsid w:val="58DD011A"/>
    <w:rsid w:val="596F60AE"/>
    <w:rsid w:val="59A815C0"/>
    <w:rsid w:val="59B83EF9"/>
    <w:rsid w:val="5A2A7C7B"/>
    <w:rsid w:val="5B527A35"/>
    <w:rsid w:val="5C4D7CA8"/>
    <w:rsid w:val="5C515894"/>
    <w:rsid w:val="5C7C076A"/>
    <w:rsid w:val="5C80234E"/>
    <w:rsid w:val="5D9613BA"/>
    <w:rsid w:val="5DB34EE4"/>
    <w:rsid w:val="5E1216FE"/>
    <w:rsid w:val="5E261785"/>
    <w:rsid w:val="5E2A6A47"/>
    <w:rsid w:val="5E3E5AF5"/>
    <w:rsid w:val="5E516CB9"/>
    <w:rsid w:val="5E8A398A"/>
    <w:rsid w:val="5EC31348"/>
    <w:rsid w:val="5EC450EE"/>
    <w:rsid w:val="5EED715D"/>
    <w:rsid w:val="5F2B6F1B"/>
    <w:rsid w:val="5FCC5339"/>
    <w:rsid w:val="5FEB66AA"/>
    <w:rsid w:val="600A4D82"/>
    <w:rsid w:val="60E53485"/>
    <w:rsid w:val="60EC4488"/>
    <w:rsid w:val="61054A27"/>
    <w:rsid w:val="611D2366"/>
    <w:rsid w:val="6139363A"/>
    <w:rsid w:val="617314D8"/>
    <w:rsid w:val="61AB53ED"/>
    <w:rsid w:val="621023F8"/>
    <w:rsid w:val="62425ACF"/>
    <w:rsid w:val="62494122"/>
    <w:rsid w:val="62885958"/>
    <w:rsid w:val="62D17DD9"/>
    <w:rsid w:val="62F16356"/>
    <w:rsid w:val="62F17F61"/>
    <w:rsid w:val="631D301E"/>
    <w:rsid w:val="632D5BB8"/>
    <w:rsid w:val="633842F6"/>
    <w:rsid w:val="63F73D10"/>
    <w:rsid w:val="6479547D"/>
    <w:rsid w:val="64CE2EAA"/>
    <w:rsid w:val="64D64111"/>
    <w:rsid w:val="65295CAB"/>
    <w:rsid w:val="652F155D"/>
    <w:rsid w:val="65C6174B"/>
    <w:rsid w:val="65C77C89"/>
    <w:rsid w:val="65EA2FE4"/>
    <w:rsid w:val="662001A3"/>
    <w:rsid w:val="662E75B1"/>
    <w:rsid w:val="66342C2E"/>
    <w:rsid w:val="663E784C"/>
    <w:rsid w:val="669E4EAC"/>
    <w:rsid w:val="67170A94"/>
    <w:rsid w:val="672B0C77"/>
    <w:rsid w:val="67647EAE"/>
    <w:rsid w:val="67C1666E"/>
    <w:rsid w:val="68014CBD"/>
    <w:rsid w:val="683B115F"/>
    <w:rsid w:val="6841330B"/>
    <w:rsid w:val="685867EC"/>
    <w:rsid w:val="686E167F"/>
    <w:rsid w:val="686F717E"/>
    <w:rsid w:val="68815DFE"/>
    <w:rsid w:val="68A66960"/>
    <w:rsid w:val="68E65C61"/>
    <w:rsid w:val="691C1682"/>
    <w:rsid w:val="697F0A14"/>
    <w:rsid w:val="69D05529"/>
    <w:rsid w:val="6A051F0D"/>
    <w:rsid w:val="6A17386D"/>
    <w:rsid w:val="6A446655"/>
    <w:rsid w:val="6A486BD3"/>
    <w:rsid w:val="6AA81420"/>
    <w:rsid w:val="6AED777A"/>
    <w:rsid w:val="6C0B435C"/>
    <w:rsid w:val="6C316B4C"/>
    <w:rsid w:val="6C741BBA"/>
    <w:rsid w:val="6CA1081C"/>
    <w:rsid w:val="6CCB1F66"/>
    <w:rsid w:val="6D033285"/>
    <w:rsid w:val="6D2154B9"/>
    <w:rsid w:val="6DA46816"/>
    <w:rsid w:val="6DCF0A71"/>
    <w:rsid w:val="6DDA60F0"/>
    <w:rsid w:val="6DE44E65"/>
    <w:rsid w:val="6E2C43ED"/>
    <w:rsid w:val="6E6B10E2"/>
    <w:rsid w:val="6E8E12EF"/>
    <w:rsid w:val="6E906D9A"/>
    <w:rsid w:val="6F143527"/>
    <w:rsid w:val="6F257424"/>
    <w:rsid w:val="6FAC782C"/>
    <w:rsid w:val="6FE447A1"/>
    <w:rsid w:val="6FF11ABB"/>
    <w:rsid w:val="705E0797"/>
    <w:rsid w:val="709D7FBB"/>
    <w:rsid w:val="70F34A4D"/>
    <w:rsid w:val="71347EB1"/>
    <w:rsid w:val="718874D8"/>
    <w:rsid w:val="71940950"/>
    <w:rsid w:val="71C01745"/>
    <w:rsid w:val="71CC2C03"/>
    <w:rsid w:val="71D43752"/>
    <w:rsid w:val="71E511AB"/>
    <w:rsid w:val="7231619E"/>
    <w:rsid w:val="72762A5C"/>
    <w:rsid w:val="72AB5F51"/>
    <w:rsid w:val="730647AA"/>
    <w:rsid w:val="737F0B27"/>
    <w:rsid w:val="7395275D"/>
    <w:rsid w:val="739C3AEB"/>
    <w:rsid w:val="73A17EFA"/>
    <w:rsid w:val="73DD6243"/>
    <w:rsid w:val="73F73418"/>
    <w:rsid w:val="7413559A"/>
    <w:rsid w:val="74251D33"/>
    <w:rsid w:val="7467234B"/>
    <w:rsid w:val="749C4185"/>
    <w:rsid w:val="74B52688"/>
    <w:rsid w:val="74DA2DCD"/>
    <w:rsid w:val="754C32EF"/>
    <w:rsid w:val="756248C1"/>
    <w:rsid w:val="758F74DF"/>
    <w:rsid w:val="75B15059"/>
    <w:rsid w:val="75DA2C18"/>
    <w:rsid w:val="75F51480"/>
    <w:rsid w:val="76CD7981"/>
    <w:rsid w:val="76EC2D4B"/>
    <w:rsid w:val="7711659E"/>
    <w:rsid w:val="773F29EF"/>
    <w:rsid w:val="775319EF"/>
    <w:rsid w:val="7783749C"/>
    <w:rsid w:val="779A47E6"/>
    <w:rsid w:val="77AB3C65"/>
    <w:rsid w:val="78333E5C"/>
    <w:rsid w:val="78511348"/>
    <w:rsid w:val="788A485A"/>
    <w:rsid w:val="78AC0EF3"/>
    <w:rsid w:val="790F1C77"/>
    <w:rsid w:val="79132DE8"/>
    <w:rsid w:val="79C27F0E"/>
    <w:rsid w:val="79F57321"/>
    <w:rsid w:val="79F93A46"/>
    <w:rsid w:val="7A67303B"/>
    <w:rsid w:val="7A8A1FED"/>
    <w:rsid w:val="7A9E639B"/>
    <w:rsid w:val="7AAB1D04"/>
    <w:rsid w:val="7ABA4368"/>
    <w:rsid w:val="7B257FFD"/>
    <w:rsid w:val="7B4231CA"/>
    <w:rsid w:val="7B4B7D30"/>
    <w:rsid w:val="7BFF7723"/>
    <w:rsid w:val="7C0466D2"/>
    <w:rsid w:val="7C2B1DA5"/>
    <w:rsid w:val="7C501917"/>
    <w:rsid w:val="7CF91FAF"/>
    <w:rsid w:val="7D584F27"/>
    <w:rsid w:val="7DB06B11"/>
    <w:rsid w:val="7DF4317E"/>
    <w:rsid w:val="7E3314F0"/>
    <w:rsid w:val="7E343F39"/>
    <w:rsid w:val="7E4C20C8"/>
    <w:rsid w:val="7E64308B"/>
    <w:rsid w:val="7E8A7362"/>
    <w:rsid w:val="7E9A331D"/>
    <w:rsid w:val="7FCD5EC3"/>
    <w:rsid w:val="7FF0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0"/>
    <w:qFormat/>
    <w:uiPriority w:val="0"/>
    <w:pPr>
      <w:keepNext/>
      <w:keepLines/>
      <w:numPr>
        <w:ilvl w:val="0"/>
        <w:numId w:val="1"/>
      </w:numPr>
      <w:spacing w:before="340" w:after="330" w:line="578" w:lineRule="auto"/>
      <w:outlineLvl w:val="0"/>
    </w:pPr>
    <w:rPr>
      <w:bCs/>
      <w:kern w:val="44"/>
      <w:sz w:val="44"/>
      <w:szCs w:val="44"/>
    </w:rPr>
  </w:style>
  <w:style w:type="paragraph" w:styleId="3">
    <w:name w:val="heading 2"/>
    <w:basedOn w:val="1"/>
    <w:next w:val="1"/>
    <w:link w:val="632"/>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633"/>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next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toa heading"/>
    <w:basedOn w:val="1"/>
    <w:next w:val="1"/>
    <w:qFormat/>
    <w:uiPriority w:val="99"/>
    <w:pPr>
      <w:spacing w:before="120"/>
    </w:pPr>
    <w:rPr>
      <w:rFonts w:ascii="Arial" w:hAnsi="Arial" w:eastAsia="仿宋"/>
      <w:sz w:val="24"/>
      <w:szCs w:val="20"/>
    </w:rPr>
  </w:style>
  <w:style w:type="paragraph" w:styleId="20">
    <w:name w:val="annotation text"/>
    <w:basedOn w:val="1"/>
    <w:link w:val="615"/>
    <w:qFormat/>
    <w:uiPriority w:val="0"/>
    <w:pPr>
      <w:jc w:val="left"/>
    </w:pPr>
  </w:style>
  <w:style w:type="paragraph" w:styleId="21">
    <w:name w:val="Salutation"/>
    <w:basedOn w:val="1"/>
    <w:next w:val="1"/>
    <w:link w:val="483"/>
    <w:qFormat/>
    <w:uiPriority w:val="0"/>
    <w:rPr>
      <w:rFonts w:ascii="仿宋_GB2312" w:eastAsia="仿宋_GB2312"/>
      <w:sz w:val="28"/>
      <w:szCs w:val="20"/>
    </w:rPr>
  </w:style>
  <w:style w:type="paragraph" w:styleId="22">
    <w:name w:val="Body Text 3"/>
    <w:basedOn w:val="1"/>
    <w:link w:val="582"/>
    <w:qFormat/>
    <w:uiPriority w:val="0"/>
    <w:pPr>
      <w:jc w:val="center"/>
    </w:pPr>
    <w:rPr>
      <w:szCs w:val="20"/>
    </w:rPr>
  </w:style>
  <w:style w:type="paragraph" w:styleId="23">
    <w:name w:val="Body Text"/>
    <w:basedOn w:val="1"/>
    <w:next w:val="24"/>
    <w:link w:val="513"/>
    <w:qFormat/>
    <w:uiPriority w:val="0"/>
    <w:pPr>
      <w:autoSpaceDE w:val="0"/>
      <w:autoSpaceDN w:val="0"/>
      <w:spacing w:line="360" w:lineRule="auto"/>
    </w:pPr>
    <w:rPr>
      <w:rFonts w:ascii="宋体"/>
      <w:sz w:val="24"/>
      <w:szCs w:val="21"/>
      <w:lang w:val="zh-CN"/>
    </w:rPr>
  </w:style>
  <w:style w:type="paragraph" w:styleId="24">
    <w:name w:val="Body Text First Indent"/>
    <w:basedOn w:val="23"/>
    <w:next w:val="1"/>
    <w:link w:val="546"/>
    <w:qFormat/>
    <w:uiPriority w:val="0"/>
    <w:pPr>
      <w:ind w:firstLine="420"/>
    </w:pPr>
    <w:rPr>
      <w:szCs w:val="20"/>
    </w:rPr>
  </w:style>
  <w:style w:type="paragraph" w:styleId="25">
    <w:name w:val="Body Text Indent"/>
    <w:basedOn w:val="1"/>
    <w:next w:val="1"/>
    <w:link w:val="47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90"/>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9"/>
    <w:qFormat/>
    <w:uiPriority w:val="0"/>
    <w:pPr>
      <w:ind w:left="100" w:leftChars="2500"/>
    </w:pPr>
    <w:rPr>
      <w:rFonts w:ascii="宋体"/>
      <w:sz w:val="24"/>
      <w:szCs w:val="21"/>
      <w:lang w:val="zh-CN"/>
    </w:rPr>
  </w:style>
  <w:style w:type="paragraph" w:styleId="37">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8">
    <w:name w:val="Balloon Text"/>
    <w:basedOn w:val="1"/>
    <w:link w:val="616"/>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474"/>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9"/>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2"/>
    <w:basedOn w:val="25"/>
    <w:link w:val="503"/>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0"/>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paragraph" w:styleId="73">
    <w:name w:val="Quote"/>
    <w:basedOn w:val="1"/>
    <w:next w:val="1"/>
    <w:qFormat/>
    <w:uiPriority w:val="29"/>
    <w:pPr>
      <w:spacing w:beforeLines="50" w:afterLines="50" w:line="360" w:lineRule="auto"/>
    </w:pPr>
    <w:rPr>
      <w:i/>
      <w:iCs/>
      <w:color w:val="000000"/>
      <w:sz w:val="21"/>
      <w:szCs w:val="24"/>
      <w:lang w:val="zh-CN"/>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basedOn w:val="58"/>
    <w:next w:val="2"/>
    <w:link w:val="628"/>
    <w:qFormat/>
    <w:uiPriority w:val="0"/>
    <w:pPr>
      <w:widowControl w:val="0"/>
    </w:pPr>
    <w:rPr>
      <w:rFonts w:ascii="仿宋_GB2312" w:eastAsia="仿宋_GB2312" w:cs="仿宋_GB2312"/>
      <w:color w:val="000000"/>
      <w:szCs w:val="24"/>
      <w:lang w:val="en-US"/>
    </w:rPr>
  </w:style>
  <w:style w:type="paragraph" w:customStyle="1" w:styleId="10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5"/>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Lines="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Lines="50" w:afterLines="50" w:line="360" w:lineRule="auto"/>
      <w:ind w:firstLine="422" w:firstLineChars="200"/>
    </w:pPr>
    <w:rPr>
      <w:b/>
      <w:bCs/>
      <w:szCs w:val="21"/>
    </w:rPr>
  </w:style>
  <w:style w:type="paragraph" w:customStyle="1" w:styleId="201">
    <w:name w:val="标题五"/>
    <w:basedOn w:val="1"/>
    <w:qFormat/>
    <w:uiPriority w:val="0"/>
    <w:pPr>
      <w:adjustRightInd/>
      <w:spacing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numId w:val="0"/>
      </w:numPr>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5"/>
    <w:qFormat/>
    <w:uiPriority w:val="0"/>
    <w:pPr>
      <w:snapToGrid w:val="0"/>
      <w:spacing w:line="360" w:lineRule="auto"/>
    </w:pPr>
    <w:rPr>
      <w:rFonts w:ascii="宋体"/>
      <w:b/>
      <w:sz w:val="24"/>
      <w:szCs w:val="20"/>
    </w:rPr>
  </w:style>
  <w:style w:type="paragraph" w:customStyle="1" w:styleId="231">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48">
    <w:name w:val="4"/>
    <w:basedOn w:val="1"/>
    <w:next w:val="37"/>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2"/>
    <w:qFormat/>
    <w:uiPriority w:val="0"/>
    <w:pPr>
      <w:keepNext w:val="0"/>
      <w:keepLines w:val="0"/>
      <w:numPr>
        <w:numId w:val="0"/>
      </w:numPr>
      <w:spacing w:before="0" w:after="100" w:line="360" w:lineRule="auto"/>
      <w:jc w:val="left"/>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Lines="50"/>
      <w:ind w:firstLine="200" w:firstLineChars="200"/>
    </w:pPr>
    <w:rPr>
      <w:kern w:val="0"/>
      <w:sz w:val="24"/>
      <w:szCs w:val="20"/>
    </w:rPr>
  </w:style>
  <w:style w:type="paragraph" w:customStyle="1" w:styleId="33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4"/>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2"/>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8"/>
    <w:qFormat/>
    <w:uiPriority w:val="0"/>
    <w:pPr>
      <w:snapToGrid w:val="0"/>
      <w:spacing w:line="360" w:lineRule="auto"/>
    </w:pPr>
  </w:style>
  <w:style w:type="paragraph" w:customStyle="1" w:styleId="373">
    <w:name w:val="表格题注"/>
    <w:next w:val="1"/>
    <w:qFormat/>
    <w:uiPriority w:val="0"/>
    <w:pPr>
      <w:keepLines/>
      <w:numPr>
        <w:ilvl w:val="8"/>
        <w:numId w:val="4"/>
      </w:numPr>
      <w:spacing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3"/>
    <w:qFormat/>
    <w:uiPriority w:val="0"/>
    <w:pPr>
      <w:keepLines w:val="0"/>
      <w:widowControl/>
      <w:numPr>
        <w:numId w:val="0"/>
      </w:numPr>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2"/>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Lines="50"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字符"/>
    <w:link w:val="41"/>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3"/>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字符"/>
    <w:link w:val="9"/>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字符"/>
    <w:link w:val="49"/>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字符"/>
    <w:link w:val="25"/>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字符"/>
    <w:link w:val="8"/>
    <w:qFormat/>
    <w:uiPriority w:val="0"/>
    <w:rPr>
      <w:b/>
      <w:bCs/>
      <w:kern w:val="2"/>
      <w:sz w:val="24"/>
      <w:szCs w:val="24"/>
    </w:rPr>
  </w:style>
  <w:style w:type="character" w:customStyle="1" w:styleId="483">
    <w:name w:val="称呼 字符"/>
    <w:link w:val="21"/>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字符"/>
    <w:link w:val="46"/>
    <w:qFormat/>
    <w:uiPriority w:val="0"/>
    <w:rPr>
      <w:rFonts w:ascii="Arial" w:hAnsi="Arial" w:eastAsia="隶书"/>
      <w:b/>
      <w:bCs/>
      <w:kern w:val="28"/>
      <w:sz w:val="44"/>
      <w:szCs w:val="32"/>
      <w:lang w:val="en-US" w:eastAsia="zh-CN" w:bidi="ar-SA"/>
    </w:rPr>
  </w:style>
  <w:style w:type="character" w:customStyle="1" w:styleId="490">
    <w:name w:val="纯文本 字符"/>
    <w:link w:val="33"/>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字符"/>
    <w:link w:val="60"/>
    <w:qFormat/>
    <w:uiPriority w:val="0"/>
    <w:rPr>
      <w:rFonts w:ascii="宋体" w:hAnsi="宋体"/>
      <w:kern w:val="2"/>
      <w:sz w:val="21"/>
      <w:szCs w:val="24"/>
    </w:rPr>
  </w:style>
  <w:style w:type="character" w:customStyle="1" w:styleId="504">
    <w:name w:val="正文文本缩进 2 字符"/>
    <w:link w:val="37"/>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5"/>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字符"/>
    <w:link w:val="10"/>
    <w:qFormat/>
    <w:uiPriority w:val="0"/>
    <w:rPr>
      <w:rFonts w:ascii="Arial" w:hAnsi="Arial" w:eastAsia="黑体"/>
      <w:kern w:val="2"/>
      <w:sz w:val="21"/>
      <w:szCs w:val="21"/>
    </w:rPr>
  </w:style>
  <w:style w:type="character" w:customStyle="1" w:styleId="521">
    <w:name w:val="md"/>
    <w:basedOn w:val="63"/>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basedOn w:val="63"/>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3"/>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字符"/>
    <w:link w:val="56"/>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字符"/>
    <w:link w:val="24"/>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字符"/>
    <w:link w:val="2"/>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字符"/>
    <w:link w:val="30"/>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字符"/>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3"/>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字符"/>
    <w:link w:val="22"/>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字符"/>
    <w:link w:val="52"/>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3"/>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字符"/>
    <w:link w:val="36"/>
    <w:qFormat/>
    <w:uiPriority w:val="0"/>
    <w:rPr>
      <w:rFonts w:ascii="宋体"/>
      <w:kern w:val="2"/>
      <w:sz w:val="24"/>
      <w:szCs w:val="21"/>
      <w:lang w:val="zh-CN"/>
    </w:rPr>
  </w:style>
  <w:style w:type="character" w:customStyle="1" w:styleId="600">
    <w:name w:val="标题 4 字符"/>
    <w:link w:val="5"/>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字符"/>
    <w:link w:val="7"/>
    <w:qFormat/>
    <w:uiPriority w:val="0"/>
    <w:rPr>
      <w:rFonts w:ascii="Arial" w:hAnsi="Arial" w:eastAsia="黑体"/>
      <w:b/>
      <w:bCs/>
      <w:kern w:val="2"/>
      <w:sz w:val="24"/>
      <w:szCs w:val="24"/>
    </w:rPr>
  </w:style>
  <w:style w:type="character" w:customStyle="1" w:styleId="614">
    <w:name w:val="正文缩进 字符"/>
    <w:link w:val="15"/>
    <w:qFormat/>
    <w:uiPriority w:val="0"/>
    <w:rPr>
      <w:rFonts w:ascii="宋体" w:eastAsia="宋体"/>
      <w:snapToGrid w:val="0"/>
      <w:color w:val="000000"/>
      <w:kern w:val="28"/>
      <w:sz w:val="28"/>
      <w:lang w:val="en-US" w:eastAsia="zh-CN" w:bidi="ar-SA"/>
    </w:rPr>
  </w:style>
  <w:style w:type="character" w:customStyle="1" w:styleId="615">
    <w:name w:val="批注文字 字符"/>
    <w:link w:val="20"/>
    <w:qFormat/>
    <w:uiPriority w:val="0"/>
    <w:rPr>
      <w:kern w:val="2"/>
      <w:sz w:val="21"/>
      <w:szCs w:val="24"/>
    </w:rPr>
  </w:style>
  <w:style w:type="character" w:customStyle="1" w:styleId="616">
    <w:name w:val="批注框文本 字符"/>
    <w:link w:val="38"/>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255"/>
    <w:link w:val="623"/>
    <w:qFormat/>
    <w:uiPriority w:val="0"/>
    <w:pPr>
      <w:adjustRightInd/>
    </w:pPr>
    <w:rPr>
      <w:rFonts w:ascii="宋体"/>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1"/>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3"/>
    <w:qFormat/>
    <w:uiPriority w:val="0"/>
    <w:rPr>
      <w:rFonts w:hint="default" w:ascii="Times New Roman" w:hAnsi="Times New Roman" w:eastAsia="黑体" w:cs="Times New Roman"/>
      <w:snapToGrid w:val="0"/>
      <w:color w:val="000000"/>
      <w:kern w:val="0"/>
      <w:sz w:val="22"/>
      <w:szCs w:val="22"/>
      <w:u w:val="none"/>
    </w:rPr>
  </w:style>
  <w:style w:type="character" w:customStyle="1" w:styleId="632">
    <w:name w:val="标题 2 字符"/>
    <w:link w:val="3"/>
    <w:qFormat/>
    <w:uiPriority w:val="9"/>
    <w:rPr>
      <w:rFonts w:ascii="仿宋_GB2312" w:hAnsi="仿宋" w:eastAsia="仿宋_GB2312"/>
      <w:b/>
      <w:bCs/>
      <w:sz w:val="32"/>
      <w:szCs w:val="32"/>
      <w:lang w:val="zh-CN"/>
    </w:rPr>
  </w:style>
  <w:style w:type="character" w:customStyle="1" w:styleId="633">
    <w:name w:val="标题 3 字符"/>
    <w:link w:val="4"/>
    <w:qFormat/>
    <w:uiPriority w:val="0"/>
    <w:rPr>
      <w:b/>
      <w:bCs/>
      <w:sz w:val="32"/>
      <w:szCs w:val="32"/>
    </w:rPr>
  </w:style>
  <w:style w:type="paragraph" w:customStyle="1" w:styleId="63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UserStyle_0"/>
    <w:qFormat/>
    <w:uiPriority w:val="0"/>
    <w:pPr>
      <w:textAlignment w:val="baseline"/>
    </w:pPr>
    <w:rPr>
      <w:rFonts w:ascii="Arial" w:hAnsi="Arial" w:eastAsia="宋体" w:cs="Times New Roman"/>
      <w:color w:val="000000"/>
      <w:sz w:val="24"/>
      <w:szCs w:val="24"/>
      <w:lang w:val="en-US" w:eastAsia="zh-CN" w:bidi="ar-SA"/>
    </w:rPr>
  </w:style>
  <w:style w:type="paragraph" w:customStyle="1" w:styleId="637">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638">
    <w:name w:val="Body text|3"/>
    <w:basedOn w:val="1"/>
    <w:qFormat/>
    <w:uiPriority w:val="0"/>
    <w:pPr>
      <w:ind w:left="-40"/>
      <w:jc w:val="center"/>
    </w:pPr>
    <w:rPr>
      <w:rFonts w:ascii="宋体" w:hAnsi="宋体" w:cs="宋体"/>
      <w:color w:val="FAA8C3"/>
      <w:sz w:val="56"/>
      <w:szCs w:val="56"/>
    </w:rPr>
  </w:style>
  <w:style w:type="paragraph" w:customStyle="1" w:styleId="639">
    <w:name w:val="Picture caption|1"/>
    <w:basedOn w:val="1"/>
    <w:qFormat/>
    <w:uiPriority w:val="0"/>
    <w:rPr>
      <w:rFonts w:ascii="宋体" w:hAnsi="宋体" w:cs="宋体"/>
      <w:sz w:val="30"/>
      <w:szCs w:val="30"/>
      <w:lang w:val="zh-TW" w:eastAsia="zh-TW" w:bidi="zh-TW"/>
    </w:rPr>
  </w:style>
  <w:style w:type="paragraph" w:customStyle="1" w:styleId="640">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paragraph" w:customStyle="1" w:styleId="641">
    <w:name w:val="WPSOffice手动目录 1"/>
    <w:qFormat/>
    <w:uiPriority w:val="0"/>
    <w:rPr>
      <w:rFonts w:ascii="Times New Roman" w:hAnsi="Times New Roman" w:eastAsia="宋体" w:cs="Times New Roman"/>
      <w:lang w:val="en-US" w:eastAsia="zh-CN" w:bidi="ar-SA"/>
    </w:rPr>
  </w:style>
  <w:style w:type="character" w:customStyle="1" w:styleId="64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"/>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DF6AB-C17B-43A0-8623-93F8678A1A06}">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109</Pages>
  <Words>46728</Words>
  <Characters>48768</Characters>
  <Lines>361</Lines>
  <Paragraphs>101</Paragraphs>
  <TotalTime>12</TotalTime>
  <ScaleCrop>false</ScaleCrop>
  <LinksUpToDate>false</LinksUpToDate>
  <CharactersWithSpaces>63154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2023-01-03T10:35:00Z</dcterms:created>
  <dc:creator>玥</dc:creator>
  <cp:lastModifiedBy>111111111</cp:lastModifiedBy>
  <cp:lastPrinted>2022-01-11T08:15:00Z</cp:lastPrinted>
  <dcterms:modified xsi:type="dcterms:W3CDTF">2023-11-22T03:35:50Z</dcterms:modified>
  <dc:title>杭州市市民卡扩大发卡工程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1A0B08FBC38B4D939F704461B9A1FBF5</vt:lpwstr>
  </property>
</Properties>
</file>