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hint="eastAsia" w:ascii="宋体" w:hAnsi="宋体" w:eastAsia="宋体" w:cs="宋体"/>
          <w:b/>
          <w:color w:val="auto"/>
          <w:sz w:val="44"/>
          <w:szCs w:val="44"/>
        </w:rPr>
      </w:pPr>
    </w:p>
    <w:p>
      <w:pPr>
        <w:pStyle w:val="34"/>
        <w:ind w:firstLine="480"/>
        <w:rPr>
          <w:rFonts w:hint="eastAsia" w:ascii="宋体" w:hAnsi="宋体" w:eastAsia="宋体" w:cs="宋体"/>
          <w:color w:val="auto"/>
        </w:rPr>
      </w:pPr>
    </w:p>
    <w:p>
      <w:pPr>
        <w:snapToGrid w:val="0"/>
        <w:spacing w:line="240" w:lineRule="atLeast"/>
        <w:jc w:val="center"/>
        <w:textAlignment w:val="baseline"/>
        <w:rPr>
          <w:rFonts w:hint="eastAsia" w:ascii="宋体" w:hAnsi="宋体" w:cs="宋体"/>
          <w:b/>
          <w:color w:val="auto"/>
          <w:sz w:val="52"/>
          <w:szCs w:val="52"/>
          <w:lang w:eastAsia="zh-CN"/>
        </w:rPr>
      </w:pPr>
      <w:r>
        <w:rPr>
          <w:rFonts w:hint="eastAsia" w:ascii="宋体" w:hAnsi="宋体" w:cs="宋体"/>
          <w:b/>
          <w:color w:val="auto"/>
          <w:sz w:val="52"/>
          <w:szCs w:val="52"/>
          <w:lang w:eastAsia="zh-CN"/>
        </w:rPr>
        <w:t>疏勒县食用菌深加工车间改造及水电暖配套项目</w:t>
      </w:r>
    </w:p>
    <w:p>
      <w:pPr>
        <w:snapToGrid w:val="0"/>
        <w:spacing w:line="240" w:lineRule="atLeast"/>
        <w:jc w:val="center"/>
        <w:textAlignment w:val="baseline"/>
        <w:rPr>
          <w:rFonts w:hint="eastAsia" w:ascii="宋体" w:hAnsi="宋体" w:eastAsia="宋体" w:cs="宋体"/>
          <w:color w:val="auto"/>
          <w:sz w:val="36"/>
          <w:szCs w:val="36"/>
          <w:highlight w:val="none"/>
          <w:lang w:val="en-US" w:eastAsia="zh-CN"/>
        </w:rPr>
      </w:pPr>
      <w:r>
        <w:rPr>
          <w:rFonts w:hint="eastAsia" w:ascii="宋体" w:hAnsi="宋体" w:cs="宋体"/>
          <w:b/>
          <w:color w:val="auto"/>
          <w:sz w:val="36"/>
          <w:szCs w:val="36"/>
          <w:highlight w:val="none"/>
          <w:lang w:eastAsia="zh-CN"/>
        </w:rPr>
        <w:t>项目编号：XJFZ-SLTZH-CG-003号</w:t>
      </w:r>
    </w:p>
    <w:p>
      <w:pPr>
        <w:pStyle w:val="34"/>
        <w:ind w:firstLine="0" w:firstLineChars="0"/>
        <w:rPr>
          <w:rFonts w:hint="eastAsia" w:ascii="宋体" w:hAnsi="宋体" w:eastAsia="宋体" w:cs="宋体"/>
          <w:color w:val="auto"/>
        </w:rPr>
      </w:pPr>
    </w:p>
    <w:p>
      <w:pPr>
        <w:snapToGrid w:val="0"/>
        <w:spacing w:line="240" w:lineRule="atLeast"/>
        <w:jc w:val="center"/>
        <w:textAlignment w:val="baseline"/>
        <w:rPr>
          <w:rFonts w:hint="eastAsia" w:ascii="宋体" w:hAnsi="宋体" w:eastAsia="宋体" w:cs="宋体"/>
          <w:b/>
          <w:color w:val="auto"/>
          <w:sz w:val="52"/>
          <w:szCs w:val="52"/>
        </w:rPr>
      </w:pPr>
      <w:r>
        <w:rPr>
          <w:rFonts w:hint="eastAsia" w:ascii="宋体" w:hAnsi="宋体" w:eastAsia="宋体" w:cs="宋体"/>
          <w:b/>
          <w:color w:val="auto"/>
          <w:sz w:val="52"/>
          <w:szCs w:val="52"/>
        </w:rPr>
        <w:t>磋 商 文 件</w:t>
      </w: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snapToGrid w:val="0"/>
        <w:spacing w:line="500" w:lineRule="exact"/>
        <w:textAlignment w:val="baseline"/>
        <w:rPr>
          <w:rFonts w:hint="eastAsia" w:ascii="宋体" w:hAnsi="宋体" w:eastAsia="宋体" w:cs="宋体"/>
          <w:b/>
          <w:color w:val="auto"/>
          <w:sz w:val="28"/>
          <w:szCs w:val="28"/>
        </w:rPr>
      </w:pPr>
    </w:p>
    <w:p>
      <w:pPr>
        <w:snapToGrid w:val="0"/>
        <w:spacing w:line="500" w:lineRule="exact"/>
        <w:ind w:firstLine="840" w:firstLineChars="300"/>
        <w:jc w:val="left"/>
        <w:textAlignment w:val="baseline"/>
        <w:rPr>
          <w:rFonts w:hint="eastAsia" w:ascii="宋体" w:hAnsi="宋体" w:eastAsia="宋体" w:cs="宋体"/>
          <w:b/>
          <w:color w:val="auto"/>
          <w:sz w:val="28"/>
          <w:szCs w:val="28"/>
          <w:u w:val="single" w:color="000000"/>
        </w:rPr>
      </w:pPr>
      <w:r>
        <w:rPr>
          <w:rFonts w:hint="eastAsia" w:ascii="宋体" w:hAnsi="宋体" w:eastAsia="宋体" w:cs="宋体"/>
          <w:b/>
          <w:color w:val="auto"/>
          <w:sz w:val="28"/>
          <w:szCs w:val="28"/>
        </w:rPr>
        <w:t>采购人名称：</w:t>
      </w:r>
      <w:r>
        <w:rPr>
          <w:rFonts w:hint="eastAsia" w:ascii="宋体" w:hAnsi="宋体" w:eastAsia="宋体" w:cs="宋体"/>
          <w:b/>
          <w:color w:val="auto"/>
          <w:sz w:val="28"/>
          <w:szCs w:val="28"/>
          <w:u w:val="single"/>
        </w:rPr>
        <w:t xml:space="preserve">    </w:t>
      </w:r>
      <w:r>
        <w:rPr>
          <w:rFonts w:hint="eastAsia" w:ascii="宋体" w:hAnsi="宋体" w:cs="宋体"/>
          <w:b/>
          <w:color w:val="auto"/>
          <w:sz w:val="28"/>
          <w:szCs w:val="28"/>
          <w:u w:val="single"/>
          <w:lang w:eastAsia="zh-CN"/>
        </w:rPr>
        <w:t>疏勒县塔孜洪乡人民政府</w:t>
      </w:r>
      <w:r>
        <w:rPr>
          <w:rFonts w:hint="eastAsia" w:ascii="宋体" w:hAnsi="宋体" w:eastAsia="宋体" w:cs="宋体"/>
          <w:b/>
          <w:color w:val="auto"/>
          <w:sz w:val="28"/>
          <w:szCs w:val="28"/>
          <w:u w:val="single"/>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val="en-US" w:eastAsia="zh-CN"/>
        </w:rPr>
        <w:t>成磊</w:t>
      </w:r>
      <w:r>
        <w:rPr>
          <w:rFonts w:hint="eastAsia" w:ascii="宋体" w:hAnsi="宋体" w:eastAsia="宋体" w:cs="宋体"/>
          <w:b/>
          <w:color w:val="auto"/>
          <w:sz w:val="28"/>
          <w:szCs w:val="28"/>
          <w:u w:val="single" w:color="000000"/>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系电 话：</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eastAsia="zh-CN"/>
        </w:rPr>
        <w:t>15660355635</w:t>
      </w:r>
      <w:r>
        <w:rPr>
          <w:rFonts w:hint="eastAsia" w:ascii="宋体" w:hAnsi="宋体" w:eastAsia="宋体" w:cs="宋体"/>
          <w:b/>
          <w:color w:val="auto"/>
          <w:sz w:val="28"/>
          <w:szCs w:val="28"/>
          <w:u w:val="single" w:color="000000"/>
        </w:rPr>
        <w:t xml:space="preserve">       </w:t>
      </w:r>
    </w:p>
    <w:p>
      <w:pPr>
        <w:snapToGrid w:val="0"/>
        <w:spacing w:line="500" w:lineRule="exact"/>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代理机构名称：</w:t>
      </w:r>
      <w:r>
        <w:rPr>
          <w:rFonts w:hint="eastAsia" w:ascii="宋体" w:hAnsi="宋体" w:eastAsia="宋体" w:cs="宋体"/>
          <w:b/>
          <w:color w:val="auto"/>
          <w:sz w:val="28"/>
          <w:szCs w:val="28"/>
          <w:u w:val="single"/>
        </w:rPr>
        <w:t xml:space="preserve">  </w:t>
      </w:r>
      <w:r>
        <w:rPr>
          <w:rFonts w:hint="eastAsia" w:ascii="宋体" w:hAnsi="宋体" w:cs="宋体"/>
          <w:b/>
          <w:color w:val="auto"/>
          <w:sz w:val="28"/>
          <w:szCs w:val="28"/>
          <w:u w:val="single"/>
          <w:lang w:val="en-US" w:eastAsia="zh-CN"/>
        </w:rPr>
        <w:t>新疆方卓项目管理有限公司</w:t>
      </w:r>
      <w:r>
        <w:rPr>
          <w:rFonts w:hint="eastAsia" w:ascii="宋体" w:hAnsi="宋体" w:eastAsia="宋体" w:cs="宋体"/>
          <w:b/>
          <w:color w:val="auto"/>
          <w:sz w:val="28"/>
          <w:szCs w:val="28"/>
          <w:u w:val="single" w:color="000000"/>
        </w:rPr>
        <w:t xml:space="preserve"> </w:t>
      </w: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val="en-US" w:eastAsia="zh-CN"/>
        </w:rPr>
        <w:t>高文龙</w:t>
      </w:r>
      <w:r>
        <w:rPr>
          <w:rFonts w:hint="eastAsia" w:ascii="宋体" w:hAnsi="宋体" w:eastAsia="宋体" w:cs="宋体"/>
          <w:b/>
          <w:color w:val="auto"/>
          <w:sz w:val="28"/>
          <w:szCs w:val="28"/>
          <w:u w:val="single" w:color="000000"/>
        </w:rPr>
        <w:t xml:space="preserve">              </w:t>
      </w:r>
      <w:r>
        <w:rPr>
          <w:rFonts w:hint="eastAsia" w:ascii="宋体" w:hAnsi="宋体" w:eastAsia="宋体" w:cs="宋体"/>
          <w:b/>
          <w:color w:val="auto"/>
          <w:sz w:val="28"/>
          <w:szCs w:val="28"/>
        </w:rPr>
        <w:t xml:space="preserve">  </w:t>
      </w:r>
    </w:p>
    <w:p>
      <w:pPr>
        <w:snapToGrid w:val="0"/>
        <w:spacing w:line="500" w:lineRule="exact"/>
        <w:ind w:firstLine="840" w:firstLineChars="300"/>
        <w:textAlignment w:val="baseline"/>
        <w:rPr>
          <w:rFonts w:hint="eastAsia" w:ascii="宋体" w:hAnsi="宋体" w:eastAsia="宋体" w:cs="宋体"/>
          <w:color w:val="auto"/>
          <w:sz w:val="20"/>
        </w:rPr>
      </w:pPr>
      <w:r>
        <w:rPr>
          <w:rFonts w:hint="eastAsia" w:ascii="宋体" w:hAnsi="宋体" w:eastAsia="宋体" w:cs="宋体"/>
          <w:b/>
          <w:color w:val="auto"/>
          <w:sz w:val="28"/>
          <w:szCs w:val="28"/>
        </w:rPr>
        <w:t>联 系  电 话：</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color="000000"/>
        </w:rPr>
        <w:t xml:space="preserve">    </w:t>
      </w:r>
      <w:r>
        <w:rPr>
          <w:rFonts w:hint="eastAsia" w:ascii="宋体" w:hAnsi="宋体" w:cs="宋体"/>
          <w:b/>
          <w:color w:val="auto"/>
          <w:sz w:val="28"/>
          <w:szCs w:val="28"/>
          <w:u w:val="single" w:color="000000"/>
          <w:lang w:eastAsia="zh-CN"/>
        </w:rPr>
        <w:t>18299867777</w:t>
      </w:r>
      <w:r>
        <w:rPr>
          <w:rFonts w:hint="eastAsia" w:ascii="宋体" w:hAnsi="宋体" w:eastAsia="宋体" w:cs="宋体"/>
          <w:b/>
          <w:color w:val="auto"/>
          <w:sz w:val="28"/>
          <w:szCs w:val="28"/>
          <w:u w:val="single" w:color="000000"/>
        </w:rPr>
        <w:t xml:space="preserve">         </w:t>
      </w:r>
    </w:p>
    <w:p>
      <w:pPr>
        <w:pStyle w:val="34"/>
        <w:snapToGrid w:val="0"/>
        <w:textAlignment w:val="baseline"/>
        <w:rPr>
          <w:rFonts w:hint="eastAsia" w:ascii="宋体" w:hAnsi="宋体" w:eastAsia="宋体" w:cs="宋体"/>
          <w:color w:val="auto"/>
          <w:sz w:val="21"/>
        </w:rPr>
      </w:pPr>
    </w:p>
    <w:p>
      <w:pPr>
        <w:snapToGrid w:val="0"/>
        <w:spacing w:line="240" w:lineRule="atLeast"/>
        <w:jc w:val="center"/>
        <w:textAlignment w:val="baseline"/>
        <w:rPr>
          <w:rFonts w:hint="eastAsia" w:ascii="宋体" w:hAnsi="宋体" w:eastAsia="宋体" w:cs="宋体"/>
          <w:b/>
          <w:color w:val="auto"/>
          <w:sz w:val="28"/>
          <w:szCs w:val="28"/>
        </w:rPr>
      </w:pPr>
    </w:p>
    <w:p>
      <w:pPr>
        <w:snapToGrid w:val="0"/>
        <w:spacing w:line="240" w:lineRule="atLeast"/>
        <w:jc w:val="cente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日期： 202</w:t>
      </w:r>
      <w:r>
        <w:rPr>
          <w:rFonts w:hint="eastAsia" w:ascii="宋体" w:hAnsi="宋体" w:cs="宋体"/>
          <w:b/>
          <w:color w:val="auto"/>
          <w:sz w:val="28"/>
          <w:szCs w:val="28"/>
          <w:lang w:val="en-US" w:eastAsia="zh-CN"/>
        </w:rPr>
        <w:t>3</w:t>
      </w:r>
      <w:r>
        <w:rPr>
          <w:rFonts w:hint="eastAsia" w:ascii="宋体" w:hAnsi="宋体" w:eastAsia="宋体" w:cs="宋体"/>
          <w:b/>
          <w:color w:val="auto"/>
          <w:sz w:val="28"/>
          <w:szCs w:val="28"/>
        </w:rPr>
        <w:t>年</w:t>
      </w:r>
      <w:r>
        <w:rPr>
          <w:rFonts w:hint="eastAsia" w:ascii="宋体" w:hAnsi="宋体" w:cs="宋体"/>
          <w:b/>
          <w:color w:val="auto"/>
          <w:sz w:val="28"/>
          <w:szCs w:val="28"/>
          <w:lang w:val="en-US" w:eastAsia="zh-CN"/>
        </w:rPr>
        <w:t>11</w:t>
      </w:r>
      <w:r>
        <w:rPr>
          <w:rFonts w:hint="eastAsia" w:ascii="宋体" w:hAnsi="宋体" w:eastAsia="宋体" w:cs="宋体"/>
          <w:b/>
          <w:color w:val="auto"/>
          <w:sz w:val="28"/>
          <w:szCs w:val="28"/>
        </w:rPr>
        <w:t>月</w:t>
      </w:r>
    </w:p>
    <w:p>
      <w:pPr>
        <w:snapToGrid w:val="0"/>
        <w:spacing w:line="240" w:lineRule="atLeast"/>
        <w:ind w:left="1079" w:leftChars="257" w:hanging="540"/>
        <w:jc w:val="center"/>
        <w:textAlignment w:val="baseline"/>
        <w:rPr>
          <w:rFonts w:hint="eastAsia" w:ascii="宋体" w:hAnsi="宋体" w:eastAsia="宋体" w:cs="宋体"/>
          <w:b/>
          <w:color w:val="auto"/>
          <w:sz w:val="32"/>
        </w:rPr>
        <w:sectPr>
          <w:pgSz w:w="11906" w:h="16838"/>
          <w:pgMar w:top="1440" w:right="1797" w:bottom="1440" w:left="1797" w:header="851" w:footer="992" w:gutter="0"/>
          <w:pgNumType w:start="1"/>
          <w:cols w:space="720" w:num="1"/>
          <w:docGrid w:type="linesAndChars" w:linePitch="312" w:charSpace="0"/>
        </w:sectPr>
      </w:pPr>
    </w:p>
    <w:p>
      <w:pPr>
        <w:snapToGrid w:val="0"/>
        <w:spacing w:line="400" w:lineRule="exact"/>
        <w:ind w:left="1080" w:leftChars="257" w:hanging="540"/>
        <w:jc w:val="center"/>
        <w:textAlignment w:val="baseline"/>
        <w:rPr>
          <w:rFonts w:hint="eastAsia" w:ascii="宋体" w:hAnsi="宋体" w:eastAsia="宋体" w:cs="宋体"/>
          <w:b/>
          <w:color w:val="auto"/>
          <w:sz w:val="40"/>
          <w:szCs w:val="40"/>
        </w:rPr>
      </w:pPr>
      <w:r>
        <w:rPr>
          <w:rFonts w:hint="eastAsia" w:ascii="宋体" w:hAnsi="宋体" w:eastAsia="宋体" w:cs="宋体"/>
          <w:b/>
          <w:color w:val="auto"/>
          <w:sz w:val="40"/>
          <w:szCs w:val="40"/>
        </w:rPr>
        <w:t>目  录</w:t>
      </w:r>
    </w:p>
    <w:p>
      <w:pPr>
        <w:pStyle w:val="23"/>
        <w:tabs>
          <w:tab w:val="right" w:leader="dot" w:pos="8312"/>
        </w:tabs>
        <w:rPr>
          <w:rFonts w:hint="eastAsia" w:ascii="宋体" w:hAnsi="宋体" w:eastAsia="宋体" w:cs="宋体"/>
          <w:color w:val="auto"/>
          <w:kern w:val="0"/>
        </w:rPr>
      </w:pP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TOC \o "1-3" \h \z \u </w:instrText>
      </w:r>
      <w:r>
        <w:rPr>
          <w:rFonts w:hint="eastAsia" w:ascii="宋体" w:hAnsi="宋体" w:eastAsia="宋体" w:cs="宋体"/>
          <w:color w:val="auto"/>
          <w:kern w:val="0"/>
          <w:sz w:val="24"/>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"_Toc3132" </w:instrText>
      </w:r>
      <w:r>
        <w:rPr>
          <w:rFonts w:hint="eastAsia" w:ascii="宋体" w:hAnsi="宋体" w:eastAsia="宋体" w:cs="宋体"/>
          <w:color w:val="auto"/>
        </w:rPr>
        <w:fldChar w:fldCharType="separate"/>
      </w:r>
      <w:r>
        <w:rPr>
          <w:rFonts w:hint="eastAsia" w:ascii="宋体" w:hAnsi="宋体" w:eastAsia="宋体" w:cs="宋体"/>
          <w:color w:val="auto"/>
        </w:rPr>
        <w:t>第1章 供应商须知</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"_Toc7006" </w:instrText>
      </w:r>
      <w:r>
        <w:rPr>
          <w:rFonts w:hint="eastAsia" w:ascii="宋体" w:hAnsi="宋体" w:eastAsia="宋体" w:cs="宋体"/>
          <w:color w:val="auto"/>
        </w:rPr>
        <w:fldChar w:fldCharType="separate"/>
      </w:r>
      <w:r>
        <w:rPr>
          <w:rFonts w:hint="eastAsia" w:ascii="宋体" w:hAnsi="宋体" w:eastAsia="宋体" w:cs="宋体"/>
          <w:color w:val="auto"/>
        </w:rPr>
        <w:t>一   总 则</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"_Toc31962" </w:instrText>
      </w:r>
      <w:r>
        <w:rPr>
          <w:rFonts w:hint="eastAsia" w:ascii="宋体" w:hAnsi="宋体" w:eastAsia="宋体" w:cs="宋体"/>
          <w:color w:val="auto"/>
        </w:rPr>
        <w:fldChar w:fldCharType="separate"/>
      </w:r>
      <w:r>
        <w:rPr>
          <w:rFonts w:hint="eastAsia" w:ascii="宋体" w:hAnsi="宋体" w:eastAsia="宋体" w:cs="宋体"/>
          <w:color w:val="auto"/>
        </w:rPr>
        <w:t>二   磋商文件</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"_Toc481" </w:instrText>
      </w:r>
      <w:r>
        <w:rPr>
          <w:rFonts w:hint="eastAsia" w:ascii="宋体" w:hAnsi="宋体" w:eastAsia="宋体" w:cs="宋体"/>
          <w:color w:val="auto"/>
        </w:rPr>
        <w:fldChar w:fldCharType="separate"/>
      </w:r>
      <w:r>
        <w:rPr>
          <w:rFonts w:hint="eastAsia" w:ascii="宋体" w:hAnsi="宋体" w:eastAsia="宋体" w:cs="宋体"/>
          <w:color w:val="auto"/>
        </w:rPr>
        <w:t>三   响应文件的编制</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"_Toc20972" </w:instrText>
      </w:r>
      <w:r>
        <w:rPr>
          <w:rFonts w:hint="eastAsia" w:ascii="宋体" w:hAnsi="宋体" w:eastAsia="宋体" w:cs="宋体"/>
          <w:color w:val="auto"/>
        </w:rPr>
        <w:fldChar w:fldCharType="separate"/>
      </w:r>
      <w:r>
        <w:rPr>
          <w:rFonts w:hint="eastAsia" w:ascii="宋体" w:hAnsi="宋体" w:eastAsia="宋体" w:cs="宋体"/>
          <w:color w:val="auto"/>
        </w:rPr>
        <w:t>四   响应文件的递交</w:t>
      </w:r>
      <w:r>
        <w:rPr>
          <w:rFonts w:hint="eastAsia" w:ascii="宋体" w:hAnsi="宋体" w:eastAsia="宋体" w:cs="宋体"/>
          <w:color w:val="auto"/>
        </w:rPr>
        <w:tab/>
      </w:r>
      <w:r>
        <w:rPr>
          <w:rFonts w:hint="eastAsia" w:ascii="宋体" w:hAnsi="宋体" w:eastAsia="宋体" w:cs="宋体"/>
          <w:color w:val="auto"/>
          <w:lang w:val="en-US" w:eastAsia="zh-CN"/>
        </w:rPr>
        <w:t>7</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"_Toc19339" </w:instrText>
      </w:r>
      <w:r>
        <w:rPr>
          <w:rFonts w:hint="eastAsia" w:ascii="宋体" w:hAnsi="宋体" w:eastAsia="宋体" w:cs="宋体"/>
          <w:color w:val="auto"/>
        </w:rPr>
        <w:fldChar w:fldCharType="separate"/>
      </w:r>
      <w:r>
        <w:rPr>
          <w:rFonts w:hint="eastAsia" w:ascii="宋体" w:hAnsi="宋体" w:eastAsia="宋体" w:cs="宋体"/>
          <w:color w:val="auto"/>
        </w:rPr>
        <w:t>五   磋商及评审</w:t>
      </w:r>
      <w:r>
        <w:rPr>
          <w:rFonts w:hint="eastAsia" w:ascii="宋体" w:hAnsi="宋体" w:eastAsia="宋体" w:cs="宋体"/>
          <w:color w:val="auto"/>
        </w:rPr>
        <w:tab/>
      </w:r>
      <w:r>
        <w:rPr>
          <w:rFonts w:hint="eastAsia" w:ascii="宋体" w:hAnsi="宋体" w:eastAsia="宋体" w:cs="宋体"/>
          <w:color w:val="auto"/>
          <w:lang w:val="en-US" w:eastAsia="zh-CN"/>
        </w:rPr>
        <w:t>8</w:t>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"_Toc21828" </w:instrText>
      </w:r>
      <w:r>
        <w:rPr>
          <w:rFonts w:hint="eastAsia" w:ascii="宋体" w:hAnsi="宋体" w:eastAsia="宋体" w:cs="宋体"/>
          <w:color w:val="auto"/>
        </w:rPr>
        <w:fldChar w:fldCharType="separate"/>
      </w:r>
      <w:r>
        <w:rPr>
          <w:rFonts w:hint="eastAsia" w:ascii="宋体" w:hAnsi="宋体" w:eastAsia="宋体" w:cs="宋体"/>
          <w:color w:val="auto"/>
        </w:rPr>
        <w:t>六   确定成交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_Toc21828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"_Toc3132" </w:instrText>
      </w:r>
      <w:r>
        <w:rPr>
          <w:rFonts w:hint="eastAsia" w:ascii="宋体" w:hAnsi="宋体" w:eastAsia="宋体" w:cs="宋体"/>
          <w:color w:val="auto"/>
        </w:rPr>
        <w:fldChar w:fldCharType="separate"/>
      </w:r>
      <w:r>
        <w:rPr>
          <w:rFonts w:hint="eastAsia" w:ascii="宋体" w:hAnsi="宋体" w:eastAsia="宋体" w:cs="宋体"/>
          <w:color w:val="auto"/>
        </w:rPr>
        <w:t>第2章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"_Toc1254" </w:instrText>
      </w:r>
      <w:r>
        <w:rPr>
          <w:rFonts w:hint="eastAsia" w:ascii="宋体" w:hAnsi="宋体" w:eastAsia="宋体" w:cs="宋体"/>
          <w:color w:val="auto"/>
        </w:rPr>
        <w:fldChar w:fldCharType="separate"/>
      </w:r>
      <w:r>
        <w:rPr>
          <w:rFonts w:hint="eastAsia" w:ascii="宋体" w:hAnsi="宋体" w:eastAsia="宋体" w:cs="宋体"/>
          <w:color w:val="auto"/>
        </w:rPr>
        <w:t>第一部分 磋商开启一览表及资格证明文件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_Toc1254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"_Toc7433" </w:instrText>
      </w:r>
      <w:r>
        <w:rPr>
          <w:rFonts w:hint="eastAsia" w:ascii="宋体" w:hAnsi="宋体" w:eastAsia="宋体" w:cs="宋体"/>
          <w:color w:val="auto"/>
        </w:rPr>
        <w:fldChar w:fldCharType="separate"/>
      </w:r>
      <w:r>
        <w:rPr>
          <w:rFonts w:hint="eastAsia" w:ascii="宋体" w:hAnsi="宋体" w:eastAsia="宋体" w:cs="宋体"/>
          <w:color w:val="auto"/>
        </w:rPr>
        <w:t>1、磋商报价一览表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_Toc7433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"_Toc4710" </w:instrText>
      </w:r>
      <w:r>
        <w:rPr>
          <w:rFonts w:hint="eastAsia" w:ascii="宋体" w:hAnsi="宋体" w:eastAsia="宋体" w:cs="宋体"/>
          <w:color w:val="auto"/>
        </w:rPr>
        <w:fldChar w:fldCharType="separate"/>
      </w:r>
      <w:r>
        <w:rPr>
          <w:rFonts w:hint="eastAsia" w:ascii="宋体" w:hAnsi="宋体" w:eastAsia="宋体" w:cs="宋体"/>
          <w:color w:val="auto"/>
          <w:kern w:val="0"/>
        </w:rPr>
        <w:t>2、</w:t>
      </w:r>
      <w:r>
        <w:rPr>
          <w:rFonts w:hint="eastAsia" w:ascii="宋体" w:hAnsi="宋体" w:eastAsia="宋体" w:cs="宋体"/>
          <w:color w:val="auto"/>
          <w:kern w:val="0"/>
          <w:lang w:eastAsia="zh-CN"/>
        </w:rPr>
        <w:t>具有相应经营范围的营业执照</w:t>
      </w:r>
      <w:r>
        <w:rPr>
          <w:rFonts w:hint="eastAsia" w:ascii="宋体" w:hAnsi="宋体" w:eastAsia="宋体" w:cs="宋体"/>
          <w:color w:val="auto"/>
          <w:kern w:val="0"/>
        </w:rPr>
        <w:t>（原件、复印件、影印件均可）</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_Toc4710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"_Toc27758" </w:instrText>
      </w:r>
      <w:r>
        <w:rPr>
          <w:rFonts w:hint="eastAsia" w:ascii="宋体" w:hAnsi="宋体" w:eastAsia="宋体" w:cs="宋体"/>
          <w:color w:val="auto"/>
        </w:rPr>
        <w:fldChar w:fldCharType="separate"/>
      </w:r>
      <w:r>
        <w:rPr>
          <w:rFonts w:hint="eastAsia" w:ascii="宋体" w:hAnsi="宋体" w:eastAsia="宋体" w:cs="宋体"/>
          <w:color w:val="auto"/>
        </w:rPr>
        <w:t>3、法人本人投标的需提供法人身份证原件；被授权委托人需提供法人授权委托书原件、法人身份证复印件及被授权委托人身份证原件)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_Toc27758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"_Toc5550" </w:instrText>
      </w:r>
      <w:r>
        <w:rPr>
          <w:rFonts w:hint="eastAsia" w:ascii="宋体" w:hAnsi="宋体" w:eastAsia="宋体" w:cs="宋体"/>
          <w:color w:val="auto"/>
        </w:rPr>
        <w:fldChar w:fldCharType="separate"/>
      </w:r>
      <w:r>
        <w:rPr>
          <w:rFonts w:hint="eastAsia" w:ascii="宋体" w:hAnsi="宋体" w:eastAsia="宋体" w:cs="宋体"/>
          <w:color w:val="auto"/>
          <w:kern w:val="0"/>
        </w:rPr>
        <w:t>4、具有良好的商业信誉和健全的财务会计制度，</w:t>
      </w:r>
      <w:r>
        <w:rPr>
          <w:rFonts w:hint="eastAsia" w:ascii="宋体" w:hAnsi="宋体" w:cs="宋体"/>
          <w:color w:val="auto"/>
          <w:kern w:val="0"/>
          <w:lang w:eastAsia="zh-CN"/>
        </w:rPr>
        <w:t>提供2021年或2022年经审计的财务报告</w:t>
      </w:r>
      <w:r>
        <w:rPr>
          <w:rFonts w:hint="eastAsia" w:ascii="宋体" w:hAnsi="宋体" w:eastAsia="宋体" w:cs="宋体"/>
          <w:color w:val="auto"/>
          <w:kern w:val="0"/>
          <w:lang w:eastAsia="zh-CN"/>
        </w:rPr>
        <w:t>（新公司出具银行资信证明）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_Toc5550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"_Toc5064" </w:instrText>
      </w:r>
      <w:r>
        <w:rPr>
          <w:rFonts w:hint="eastAsia" w:ascii="宋体" w:hAnsi="宋体" w:eastAsia="宋体" w:cs="宋体"/>
          <w:color w:val="auto"/>
        </w:rPr>
        <w:fldChar w:fldCharType="separate"/>
      </w:r>
      <w:r>
        <w:rPr>
          <w:rFonts w:hint="eastAsia" w:ascii="宋体" w:hAnsi="宋体" w:eastAsia="宋体" w:cs="宋体"/>
          <w:color w:val="auto"/>
          <w:kern w:val="0"/>
        </w:rPr>
        <w:t>5、公司依法缴纳近</w:t>
      </w:r>
      <w:r>
        <w:rPr>
          <w:rFonts w:hint="eastAsia" w:ascii="宋体" w:hAnsi="宋体" w:eastAsia="宋体" w:cs="宋体"/>
          <w:color w:val="auto"/>
          <w:kern w:val="0"/>
          <w:lang w:eastAsia="zh-CN"/>
        </w:rPr>
        <w:t>一</w:t>
      </w:r>
      <w:r>
        <w:rPr>
          <w:rFonts w:hint="eastAsia" w:ascii="宋体" w:hAnsi="宋体" w:eastAsia="宋体" w:cs="宋体"/>
          <w:color w:val="auto"/>
          <w:kern w:val="0"/>
        </w:rPr>
        <w:t>个月的社会保险社保缴纳凭证；公司依法缴纳近</w:t>
      </w:r>
      <w:r>
        <w:rPr>
          <w:rFonts w:hint="eastAsia" w:ascii="宋体" w:hAnsi="宋体" w:eastAsia="宋体" w:cs="宋体"/>
          <w:color w:val="auto"/>
          <w:kern w:val="0"/>
          <w:lang w:eastAsia="zh-CN"/>
        </w:rPr>
        <w:t>一</w:t>
      </w:r>
      <w:r>
        <w:rPr>
          <w:rFonts w:hint="eastAsia" w:ascii="宋体" w:hAnsi="宋体" w:eastAsia="宋体" w:cs="宋体"/>
          <w:color w:val="auto"/>
          <w:kern w:val="0"/>
        </w:rPr>
        <w:t>个月的税收良好记录证明；</w:t>
      </w:r>
      <w:r>
        <w:rPr>
          <w:rFonts w:hint="eastAsia" w:ascii="宋体" w:hAnsi="宋体" w:eastAsia="宋体" w:cs="宋体"/>
          <w:color w:val="auto"/>
          <w:kern w:val="0"/>
          <w:lang w:eastAsia="zh-CN"/>
        </w:rPr>
        <w:t>（新公司除外）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_Toc5064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"_Toc24091" </w:instrText>
      </w:r>
      <w:r>
        <w:rPr>
          <w:rFonts w:hint="eastAsia" w:ascii="宋体" w:hAnsi="宋体" w:eastAsia="宋体" w:cs="宋体"/>
          <w:color w:val="auto"/>
        </w:rPr>
        <w:fldChar w:fldCharType="separate"/>
      </w:r>
      <w:r>
        <w:rPr>
          <w:rFonts w:hint="eastAsia" w:ascii="宋体" w:hAnsi="宋体" w:eastAsia="宋体" w:cs="宋体"/>
          <w:bCs/>
          <w:color w:val="auto"/>
        </w:rPr>
        <w:t>6、投标单位（供应商）提供针对本次项目《反商业贿赂承诺书》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_Toc24091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"_Toc13417" </w:instrText>
      </w:r>
      <w:r>
        <w:rPr>
          <w:rFonts w:hint="eastAsia" w:ascii="宋体" w:hAnsi="宋体" w:eastAsia="宋体" w:cs="宋体"/>
          <w:color w:val="auto"/>
        </w:rPr>
        <w:fldChar w:fldCharType="separate"/>
      </w:r>
      <w:r>
        <w:rPr>
          <w:rFonts w:hint="eastAsia" w:ascii="宋体" w:hAnsi="宋体" w:eastAsia="宋体" w:cs="宋体"/>
          <w:bCs/>
          <w:color w:val="auto"/>
        </w:rPr>
        <w:t>7、参加政府采购活动前3年内在经营活动中没有重大违法记录的书面声明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_Toc13417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"_Toc19359"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lang w:val="en-US" w:eastAsia="zh-CN"/>
        </w:rPr>
        <w:t>缴纳磋商保证金的</w:t>
      </w:r>
      <w:r>
        <w:rPr>
          <w:rFonts w:hint="eastAsia" w:ascii="宋体" w:hAnsi="宋体" w:cs="宋体"/>
          <w:color w:val="auto"/>
          <w:lang w:val="en-US" w:eastAsia="zh-CN"/>
        </w:rPr>
        <w:t>凭证</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r>
        <w:rPr>
          <w:rFonts w:hint="eastAsia" w:ascii="宋体" w:hAnsi="宋体" w:eastAsia="宋体" w:cs="宋体"/>
          <w:color w:val="auto"/>
          <w:lang w:val="en-US" w:eastAsia="zh-CN"/>
        </w:rPr>
        <w:t>5</w:t>
      </w:r>
    </w:p>
    <w:p>
      <w:pPr>
        <w:pStyle w:val="28"/>
        <w:tabs>
          <w:tab w:val="right" w:leader="dot" w:pos="8312"/>
        </w:tabs>
        <w:rPr>
          <w:rFonts w:hint="eastAsia" w:ascii="宋体" w:hAnsi="宋体" w:eastAsia="宋体" w:cs="宋体"/>
          <w:color w:val="auto"/>
          <w:kern w:val="0"/>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"_Toc18896" </w:instrText>
      </w:r>
      <w:r>
        <w:rPr>
          <w:rFonts w:hint="eastAsia" w:ascii="宋体" w:hAnsi="宋体" w:eastAsia="宋体" w:cs="宋体"/>
          <w:color w:val="auto"/>
        </w:rPr>
        <w:fldChar w:fldCharType="separate"/>
      </w:r>
      <w:r>
        <w:rPr>
          <w:rFonts w:hint="eastAsia" w:ascii="宋体" w:hAnsi="宋体" w:eastAsia="宋体" w:cs="宋体"/>
          <w:color w:val="auto"/>
          <w:kern w:val="0"/>
        </w:rPr>
        <w:t>9、根据《财政部关于在政府采购活动中查询及使用信用记录有关问题的通知》（财库﹝2016﹞125号）的要求，凡拟参加本次招标项目的供应商，如在“信用中国”网站（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_Toc18896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"_Toc25953"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10</w:t>
      </w:r>
      <w:r>
        <w:rPr>
          <w:rFonts w:hint="eastAsia" w:ascii="宋体" w:hAnsi="宋体" w:eastAsia="宋体" w:cs="宋体"/>
          <w:color w:val="auto"/>
        </w:rPr>
        <w:t>、提供有利于磋商的其他证明材料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_Toc25953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"_Toc13953" </w:instrText>
      </w:r>
      <w:r>
        <w:rPr>
          <w:rFonts w:hint="eastAsia" w:ascii="宋体" w:hAnsi="宋体" w:eastAsia="宋体" w:cs="宋体"/>
          <w:color w:val="auto"/>
        </w:rPr>
        <w:fldChar w:fldCharType="separate"/>
      </w:r>
      <w:r>
        <w:rPr>
          <w:rFonts w:hint="eastAsia" w:ascii="宋体" w:hAnsi="宋体" w:eastAsia="宋体" w:cs="宋体"/>
          <w:color w:val="auto"/>
        </w:rPr>
        <w:t>第二部分  商务及技术文件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_Toc13953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"_Toc20342" </w:instrText>
      </w:r>
      <w:r>
        <w:rPr>
          <w:rFonts w:hint="eastAsia" w:ascii="宋体" w:hAnsi="宋体" w:eastAsia="宋体" w:cs="宋体"/>
          <w:color w:val="auto"/>
        </w:rPr>
        <w:fldChar w:fldCharType="separate"/>
      </w:r>
      <w:r>
        <w:rPr>
          <w:rFonts w:hint="eastAsia" w:ascii="宋体" w:hAnsi="宋体" w:eastAsia="宋体" w:cs="宋体"/>
          <w:color w:val="auto"/>
        </w:rPr>
        <w:t>1、磋商书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_Toc20342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"_Toc10830" </w:instrText>
      </w:r>
      <w:r>
        <w:rPr>
          <w:rFonts w:hint="eastAsia" w:ascii="宋体" w:hAnsi="宋体" w:eastAsia="宋体" w:cs="宋体"/>
          <w:color w:val="auto"/>
        </w:rPr>
        <w:fldChar w:fldCharType="separate"/>
      </w:r>
      <w:r>
        <w:rPr>
          <w:rFonts w:hint="eastAsia" w:ascii="宋体" w:hAnsi="宋体" w:eastAsia="宋体" w:cs="宋体"/>
          <w:color w:val="auto"/>
          <w:kern w:val="0"/>
        </w:rPr>
        <w:t>2、</w:t>
      </w:r>
      <w:r>
        <w:rPr>
          <w:rFonts w:hint="eastAsia" w:ascii="宋体" w:hAnsi="宋体" w:eastAsia="宋体" w:cs="宋体"/>
          <w:bCs/>
          <w:color w:val="auto"/>
        </w:rPr>
        <w:t>磋商分项报价表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_Toc10830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"_Toc2193" </w:instrText>
      </w:r>
      <w:r>
        <w:rPr>
          <w:rFonts w:hint="eastAsia" w:ascii="宋体" w:hAnsi="宋体" w:eastAsia="宋体" w:cs="宋体"/>
          <w:color w:val="auto"/>
        </w:rPr>
        <w:fldChar w:fldCharType="separate"/>
      </w:r>
      <w:r>
        <w:rPr>
          <w:rFonts w:hint="eastAsia" w:ascii="宋体" w:hAnsi="宋体" w:eastAsia="宋体" w:cs="宋体"/>
          <w:color w:val="auto"/>
          <w:kern w:val="0"/>
        </w:rPr>
        <w:t>3、服务说明一览表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_Toc2193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"_Toc31358" </w:instrText>
      </w:r>
      <w:r>
        <w:rPr>
          <w:rFonts w:hint="eastAsia" w:ascii="宋体" w:hAnsi="宋体" w:eastAsia="宋体" w:cs="宋体"/>
          <w:color w:val="auto"/>
        </w:rPr>
        <w:fldChar w:fldCharType="separate"/>
      </w:r>
      <w:r>
        <w:rPr>
          <w:rFonts w:hint="eastAsia" w:ascii="宋体" w:hAnsi="宋体" w:eastAsia="宋体" w:cs="宋体"/>
          <w:color w:val="auto"/>
        </w:rPr>
        <w:t>4、商务条款偏离表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_Toc31358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"_Toc17799" </w:instrText>
      </w:r>
      <w:r>
        <w:rPr>
          <w:rFonts w:hint="eastAsia" w:ascii="宋体" w:hAnsi="宋体" w:eastAsia="宋体" w:cs="宋体"/>
          <w:color w:val="auto"/>
        </w:rPr>
        <w:fldChar w:fldCharType="separate"/>
      </w:r>
      <w:r>
        <w:rPr>
          <w:rFonts w:hint="eastAsia" w:ascii="宋体" w:hAnsi="宋体" w:eastAsia="宋体" w:cs="宋体"/>
          <w:bCs/>
          <w:color w:val="auto"/>
        </w:rPr>
        <w:t>5、服务规格偏离表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_Toc17799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"_Toc24111" </w:instrText>
      </w:r>
      <w:r>
        <w:rPr>
          <w:rFonts w:hint="eastAsia" w:ascii="宋体" w:hAnsi="宋体" w:eastAsia="宋体" w:cs="宋体"/>
          <w:color w:val="auto"/>
        </w:rPr>
        <w:fldChar w:fldCharType="separate"/>
      </w:r>
      <w:r>
        <w:rPr>
          <w:rFonts w:hint="eastAsia" w:ascii="宋体" w:hAnsi="宋体" w:eastAsia="宋体" w:cs="宋体"/>
          <w:color w:val="auto"/>
        </w:rPr>
        <w:t xml:space="preserve">6-1 </w:t>
      </w:r>
      <w:r>
        <w:rPr>
          <w:rFonts w:hint="eastAsia" w:ascii="宋体" w:hAnsi="宋体" w:eastAsia="宋体" w:cs="宋体"/>
          <w:bCs/>
          <w:color w:val="auto"/>
          <w:szCs w:val="28"/>
        </w:rPr>
        <w:t>中小企业声明函（服务）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_Toc24111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"_Toc22048" </w:instrText>
      </w:r>
      <w:r>
        <w:rPr>
          <w:rFonts w:hint="eastAsia" w:ascii="宋体" w:hAnsi="宋体" w:eastAsia="宋体" w:cs="宋体"/>
          <w:color w:val="auto"/>
        </w:rPr>
        <w:fldChar w:fldCharType="separate"/>
      </w:r>
      <w:r>
        <w:rPr>
          <w:rFonts w:hint="eastAsia" w:ascii="宋体" w:hAnsi="宋体" w:eastAsia="宋体" w:cs="宋体"/>
          <w:color w:val="auto"/>
        </w:rPr>
        <w:t>6-2   残疾人福利性单位声明函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_Toc22048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"_Toc23296" </w:instrText>
      </w:r>
      <w:r>
        <w:rPr>
          <w:rFonts w:hint="eastAsia" w:ascii="宋体" w:hAnsi="宋体" w:eastAsia="宋体" w:cs="宋体"/>
          <w:color w:val="auto"/>
        </w:rPr>
        <w:fldChar w:fldCharType="separate"/>
      </w:r>
      <w:r>
        <w:rPr>
          <w:rFonts w:hint="eastAsia" w:ascii="宋体" w:hAnsi="宋体" w:eastAsia="宋体" w:cs="宋体"/>
          <w:color w:val="auto"/>
        </w:rPr>
        <w:t>7、供应商关联单位的说明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_Toc23296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"_Toc12025" </w:instrText>
      </w:r>
      <w:r>
        <w:rPr>
          <w:rFonts w:hint="eastAsia" w:ascii="宋体" w:hAnsi="宋体" w:eastAsia="宋体" w:cs="宋体"/>
          <w:color w:val="auto"/>
        </w:rPr>
        <w:fldChar w:fldCharType="separate"/>
      </w:r>
      <w:r>
        <w:rPr>
          <w:rFonts w:hint="eastAsia" w:ascii="宋体" w:hAnsi="宋体" w:eastAsia="宋体" w:cs="宋体"/>
          <w:color w:val="auto"/>
        </w:rPr>
        <w:t>8、提供有利于磋商的其他证明材料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_Toc12025 \h </w:instrText>
      </w:r>
      <w:r>
        <w:rPr>
          <w:rFonts w:hint="eastAsia" w:ascii="宋体" w:hAnsi="宋体" w:eastAsia="宋体" w:cs="宋体"/>
          <w:color w:val="auto"/>
        </w:rPr>
        <w:fldChar w:fldCharType="separate"/>
      </w:r>
      <w:r>
        <w:rPr>
          <w:rFonts w:hint="eastAsia" w:ascii="宋体" w:hAnsi="宋体" w:eastAsia="宋体" w:cs="宋体"/>
          <w:color w:val="auto"/>
        </w:rPr>
        <w:t>33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8"/>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"_Toc20788" </w:instrText>
      </w:r>
      <w:r>
        <w:rPr>
          <w:rFonts w:hint="eastAsia" w:ascii="宋体" w:hAnsi="宋体" w:eastAsia="宋体" w:cs="宋体"/>
          <w:color w:val="auto"/>
        </w:rPr>
        <w:fldChar w:fldCharType="separate"/>
      </w:r>
      <w:r>
        <w:rPr>
          <w:rFonts w:hint="eastAsia" w:ascii="宋体" w:hAnsi="宋体" w:eastAsia="宋体" w:cs="宋体"/>
          <w:color w:val="auto"/>
          <w:kern w:val="0"/>
          <w:szCs w:val="20"/>
        </w:rPr>
        <w:t>9、响应文件格式范本</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_Toc20788 \h </w:instrText>
      </w:r>
      <w:r>
        <w:rPr>
          <w:rFonts w:hint="eastAsia" w:ascii="宋体" w:hAnsi="宋体" w:eastAsia="宋体" w:cs="宋体"/>
          <w:color w:val="auto"/>
        </w:rPr>
        <w:fldChar w:fldCharType="separate"/>
      </w:r>
      <w:r>
        <w:rPr>
          <w:rFonts w:hint="eastAsia" w:ascii="宋体" w:hAnsi="宋体" w:eastAsia="宋体" w:cs="宋体"/>
          <w:color w:val="auto"/>
        </w:rPr>
        <w:t>34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"_Toc32321" </w:instrText>
      </w:r>
      <w:r>
        <w:rPr>
          <w:rFonts w:hint="eastAsia" w:ascii="宋体" w:hAnsi="宋体" w:eastAsia="宋体" w:cs="宋体"/>
          <w:color w:val="auto"/>
        </w:rPr>
        <w:fldChar w:fldCharType="separate"/>
      </w:r>
      <w:r>
        <w:rPr>
          <w:rFonts w:hint="eastAsia" w:ascii="宋体" w:hAnsi="宋体" w:eastAsia="宋体" w:cs="宋体"/>
          <w:color w:val="auto"/>
        </w:rPr>
        <w:t>第3章 磋商邀请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_Toc32321 \h </w:instrText>
      </w:r>
      <w:r>
        <w:rPr>
          <w:rFonts w:hint="eastAsia" w:ascii="宋体" w:hAnsi="宋体" w:eastAsia="宋体" w:cs="宋体"/>
          <w:color w:val="auto"/>
        </w:rPr>
        <w:fldChar w:fldCharType="separate"/>
      </w:r>
      <w:r>
        <w:rPr>
          <w:rFonts w:hint="eastAsia" w:ascii="宋体" w:hAnsi="宋体" w:eastAsia="宋体" w:cs="宋体"/>
          <w:color w:val="auto"/>
        </w:rPr>
        <w:t>36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"_Toc7656" </w:instrText>
      </w:r>
      <w:r>
        <w:rPr>
          <w:rFonts w:hint="eastAsia" w:ascii="宋体" w:hAnsi="宋体" w:eastAsia="宋体" w:cs="宋体"/>
          <w:color w:val="auto"/>
        </w:rPr>
        <w:fldChar w:fldCharType="separate"/>
      </w:r>
      <w:r>
        <w:rPr>
          <w:rFonts w:hint="eastAsia" w:ascii="宋体" w:hAnsi="宋体" w:eastAsia="宋体" w:cs="宋体"/>
          <w:color w:val="auto"/>
          <w:szCs w:val="32"/>
        </w:rPr>
        <w:t>第4章  供应商须知资料表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_Toc7656 \h </w:instrText>
      </w:r>
      <w:r>
        <w:rPr>
          <w:rFonts w:hint="eastAsia" w:ascii="宋体" w:hAnsi="宋体" w:eastAsia="宋体" w:cs="宋体"/>
          <w:color w:val="auto"/>
        </w:rPr>
        <w:fldChar w:fldCharType="separate"/>
      </w:r>
      <w:r>
        <w:rPr>
          <w:rFonts w:hint="eastAsia" w:ascii="宋体" w:hAnsi="宋体" w:eastAsia="宋体" w:cs="宋体"/>
          <w:color w:val="auto"/>
        </w:rPr>
        <w:t>38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"_Toc23158" </w:instrText>
      </w:r>
      <w:r>
        <w:rPr>
          <w:rFonts w:hint="eastAsia" w:ascii="宋体" w:hAnsi="宋体" w:eastAsia="宋体" w:cs="宋体"/>
          <w:color w:val="auto"/>
        </w:rPr>
        <w:fldChar w:fldCharType="separate"/>
      </w:r>
      <w:r>
        <w:rPr>
          <w:rFonts w:hint="eastAsia" w:ascii="宋体" w:hAnsi="宋体" w:eastAsia="宋体" w:cs="宋体"/>
          <w:color w:val="auto"/>
        </w:rPr>
        <w:t>第5章 服务需求一览表及项目要求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_Toc23158 \h </w:instrText>
      </w:r>
      <w:r>
        <w:rPr>
          <w:rFonts w:hint="eastAsia" w:ascii="宋体" w:hAnsi="宋体" w:eastAsia="宋体" w:cs="宋体"/>
          <w:color w:val="auto"/>
        </w:rPr>
        <w:fldChar w:fldCharType="separate"/>
      </w:r>
      <w:r>
        <w:rPr>
          <w:rFonts w:hint="eastAsia" w:ascii="宋体" w:hAnsi="宋体" w:eastAsia="宋体" w:cs="宋体"/>
          <w:color w:val="auto"/>
        </w:rPr>
        <w:t>43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"_Toc16903" </w:instrText>
      </w:r>
      <w:r>
        <w:rPr>
          <w:rFonts w:hint="eastAsia" w:ascii="宋体" w:hAnsi="宋体" w:eastAsia="宋体" w:cs="宋体"/>
          <w:color w:val="auto"/>
        </w:rPr>
        <w:fldChar w:fldCharType="separate"/>
      </w:r>
      <w:r>
        <w:rPr>
          <w:rFonts w:hint="eastAsia" w:ascii="宋体" w:hAnsi="宋体" w:eastAsia="宋体" w:cs="宋体"/>
          <w:color w:val="auto"/>
        </w:rPr>
        <w:t>第6章 评审方法和标准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_Toc16903 \h </w:instrText>
      </w:r>
      <w:r>
        <w:rPr>
          <w:rFonts w:hint="eastAsia" w:ascii="宋体" w:hAnsi="宋体" w:eastAsia="宋体" w:cs="宋体"/>
          <w:color w:val="auto"/>
        </w:rPr>
        <w:fldChar w:fldCharType="separate"/>
      </w:r>
      <w:r>
        <w:rPr>
          <w:rFonts w:hint="eastAsia" w:ascii="宋体" w:hAnsi="宋体" w:eastAsia="宋体" w:cs="宋体"/>
          <w:color w:val="auto"/>
        </w:rPr>
        <w:t>43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3"/>
        <w:tabs>
          <w:tab w:val="right" w:leader="dot" w:pos="8312"/>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"_Toc25581" </w:instrText>
      </w:r>
      <w:r>
        <w:rPr>
          <w:rFonts w:hint="eastAsia" w:ascii="宋体" w:hAnsi="宋体" w:eastAsia="宋体" w:cs="宋体"/>
          <w:color w:val="auto"/>
        </w:rPr>
        <w:fldChar w:fldCharType="separate"/>
      </w:r>
      <w:r>
        <w:rPr>
          <w:rFonts w:hint="eastAsia" w:ascii="宋体" w:hAnsi="宋体" w:eastAsia="宋体" w:cs="宋体"/>
          <w:color w:val="auto"/>
        </w:rPr>
        <w:t>第7章  政府采购合同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_Toc25581 \h </w:instrText>
      </w:r>
      <w:r>
        <w:rPr>
          <w:rFonts w:hint="eastAsia" w:ascii="宋体" w:hAnsi="宋体" w:eastAsia="宋体" w:cs="宋体"/>
          <w:color w:val="auto"/>
        </w:rPr>
        <w:fldChar w:fldCharType="separate"/>
      </w:r>
      <w:r>
        <w:rPr>
          <w:rFonts w:hint="eastAsia" w:ascii="宋体" w:hAnsi="宋体" w:eastAsia="宋体" w:cs="宋体"/>
          <w:color w:val="auto"/>
        </w:rPr>
        <w:t>56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
        <w:jc w:val="center"/>
        <w:rPr>
          <w:rFonts w:hint="eastAsia" w:ascii="宋体" w:hAnsi="宋体" w:eastAsia="宋体" w:cs="宋体"/>
          <w:color w:val="auto"/>
          <w:szCs w:val="24"/>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color w:val="auto"/>
          <w:szCs w:val="24"/>
        </w:rPr>
        <w:fldChar w:fldCharType="end"/>
      </w:r>
      <w:bookmarkStart w:id="0" w:name="_Toc10715352"/>
      <w:bookmarkStart w:id="1" w:name="_Toc518923059"/>
      <w:bookmarkStart w:id="2" w:name="_Toc1462"/>
    </w:p>
    <w:p>
      <w:pPr>
        <w:pStyle w:val="2"/>
        <w:jc w:val="center"/>
        <w:rPr>
          <w:rFonts w:hint="eastAsia" w:ascii="宋体" w:hAnsi="宋体" w:eastAsia="宋体" w:cs="宋体"/>
          <w:b/>
          <w:color w:val="auto"/>
        </w:rPr>
      </w:pPr>
      <w:r>
        <w:rPr>
          <w:rFonts w:hint="eastAsia" w:ascii="宋体" w:hAnsi="宋体" w:eastAsia="宋体" w:cs="宋体"/>
          <w:b/>
          <w:color w:val="auto"/>
          <w:sz w:val="32"/>
          <w:szCs w:val="24"/>
        </w:rPr>
        <w:t xml:space="preserve">第1章  </w:t>
      </w:r>
      <w:r>
        <w:rPr>
          <w:rFonts w:hint="eastAsia" w:ascii="宋体" w:hAnsi="宋体" w:eastAsia="宋体" w:cs="宋体"/>
          <w:b/>
          <w:color w:val="auto"/>
          <w:sz w:val="32"/>
          <w:szCs w:val="32"/>
        </w:rPr>
        <w:t>供应商须知</w:t>
      </w:r>
      <w:bookmarkEnd w:id="0"/>
      <w:bookmarkEnd w:id="1"/>
      <w:bookmarkEnd w:id="2"/>
    </w:p>
    <w:p>
      <w:pPr>
        <w:pStyle w:val="5"/>
        <w:snapToGrid w:val="0"/>
        <w:spacing w:before="0" w:line="240" w:lineRule="atLeast"/>
        <w:ind w:left="1080" w:leftChars="257" w:hanging="540"/>
        <w:textAlignment w:val="baseline"/>
        <w:rPr>
          <w:rFonts w:hint="eastAsia" w:ascii="宋体" w:hAnsi="宋体" w:eastAsia="宋体" w:cs="宋体"/>
          <w:color w:val="auto"/>
          <w:sz w:val="24"/>
          <w:szCs w:val="24"/>
        </w:rPr>
      </w:pPr>
      <w:bookmarkStart w:id="3" w:name="_Toc515647757"/>
      <w:bookmarkStart w:id="4" w:name="_Toc216582805"/>
      <w:bookmarkStart w:id="5" w:name="_Toc520356143"/>
      <w:bookmarkStart w:id="6" w:name="_Toc21015"/>
      <w:bookmarkStart w:id="7" w:name="_Toc7006"/>
      <w:bookmarkStart w:id="8" w:name="_Toc21215"/>
      <w:r>
        <w:rPr>
          <w:rFonts w:hint="eastAsia" w:ascii="宋体" w:hAnsi="宋体" w:eastAsia="宋体" w:cs="宋体"/>
          <w:color w:val="auto"/>
          <w:sz w:val="24"/>
          <w:szCs w:val="24"/>
        </w:rPr>
        <w:t xml:space="preserve">一   </w:t>
      </w:r>
      <w:bookmarkEnd w:id="3"/>
      <w:bookmarkEnd w:id="4"/>
      <w:bookmarkEnd w:id="5"/>
      <w:r>
        <w:rPr>
          <w:rFonts w:hint="eastAsia" w:ascii="宋体" w:hAnsi="宋体" w:eastAsia="宋体" w:cs="宋体"/>
          <w:color w:val="auto"/>
          <w:sz w:val="24"/>
          <w:szCs w:val="24"/>
        </w:rPr>
        <w:t>总 则</w:t>
      </w:r>
      <w:bookmarkEnd w:id="6"/>
      <w:bookmarkEnd w:id="7"/>
      <w:bookmarkEnd w:id="8"/>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9" w:name="_Toc32189"/>
      <w:bookmarkStart w:id="10" w:name="_Toc32623"/>
      <w:bookmarkStart w:id="11" w:name="_Toc520356144"/>
      <w:bookmarkStart w:id="12" w:name="_Toc515647758"/>
      <w:bookmarkStart w:id="13" w:name="_Toc27535"/>
      <w:bookmarkStart w:id="14" w:name="_Toc11217"/>
      <w:bookmarkStart w:id="15" w:name="_Toc16079"/>
      <w:bookmarkStart w:id="16" w:name="_Toc28974"/>
      <w:bookmarkStart w:id="17" w:name="_Toc19826"/>
      <w:bookmarkStart w:id="18" w:name="_Toc16501"/>
      <w:bookmarkStart w:id="19" w:name="_Toc31620"/>
      <w:bookmarkStart w:id="20" w:name="_Toc20385"/>
      <w:bookmarkStart w:id="21" w:name="_Toc6040"/>
      <w:bookmarkStart w:id="22" w:name="_Toc26782"/>
      <w:r>
        <w:rPr>
          <w:rFonts w:hint="eastAsia" w:ascii="宋体" w:hAnsi="宋体" w:eastAsia="宋体" w:cs="宋体"/>
          <w:color w:val="auto"/>
          <w:szCs w:val="24"/>
          <w:u w:val="none" w:color="auto"/>
        </w:rPr>
        <w:t>1.采购人、采购代理机构及</w:t>
      </w:r>
      <w:bookmarkEnd w:id="9"/>
      <w:bookmarkEnd w:id="10"/>
      <w:bookmarkEnd w:id="11"/>
      <w:bookmarkEnd w:id="12"/>
      <w:r>
        <w:rPr>
          <w:rFonts w:hint="eastAsia" w:ascii="宋体" w:hAnsi="宋体" w:eastAsia="宋体" w:cs="宋体"/>
          <w:color w:val="auto"/>
          <w:szCs w:val="24"/>
          <w:u w:val="none" w:color="auto"/>
        </w:rPr>
        <w:t>供应商</w:t>
      </w:r>
      <w:bookmarkEnd w:id="13"/>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1.1    采购人：是指依法开展政府采购活动的国家机关、事业单位、团体组织。</w:t>
      </w:r>
    </w:p>
    <w:p>
      <w:pPr>
        <w:tabs>
          <w:tab w:val="left" w:pos="0"/>
        </w:tabs>
        <w:snapToGrid w:val="0"/>
        <w:spacing w:line="380" w:lineRule="exact"/>
        <w:ind w:firstLine="960" w:firstLineChars="400"/>
        <w:textAlignment w:val="baseline"/>
        <w:rPr>
          <w:rFonts w:hint="eastAsia" w:ascii="宋体" w:hAnsi="宋体" w:eastAsia="宋体" w:cs="宋体"/>
          <w:color w:val="auto"/>
          <w:sz w:val="24"/>
        </w:rPr>
      </w:pPr>
      <w:r>
        <w:rPr>
          <w:rFonts w:hint="eastAsia" w:ascii="宋体" w:hAnsi="宋体" w:eastAsia="宋体" w:cs="宋体"/>
          <w:color w:val="auto"/>
          <w:sz w:val="24"/>
        </w:rPr>
        <w:t>本项目的采购人见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tabs>
          <w:tab w:val="left" w:pos="0"/>
        </w:tabs>
        <w:snapToGrid w:val="0"/>
        <w:spacing w:line="380" w:lineRule="exact"/>
        <w:ind w:left="720" w:hanging="720" w:hangingChars="300"/>
        <w:textAlignment w:val="baseline"/>
        <w:rPr>
          <w:rFonts w:hint="eastAsia" w:ascii="宋体" w:hAnsi="宋体" w:eastAsia="宋体" w:cs="宋体"/>
          <w:color w:val="auto"/>
          <w:sz w:val="24"/>
        </w:rPr>
      </w:pPr>
      <w:r>
        <w:rPr>
          <w:rFonts w:hint="eastAsia" w:ascii="宋体" w:hAnsi="宋体" w:eastAsia="宋体" w:cs="宋体"/>
          <w:color w:val="auto"/>
          <w:sz w:val="24"/>
        </w:rPr>
        <w:t>1.2   采购代理机构：是指在集中采购机构或从事采购代理业务的社会中介机构。本项目的采购代理机构见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numPr>
          <w:ilvl w:val="1"/>
          <w:numId w:val="2"/>
        </w:numPr>
        <w:snapToGrid w:val="0"/>
        <w:spacing w:line="380" w:lineRule="exact"/>
        <w:ind w:hangingChars="375"/>
        <w:textAlignment w:val="baseline"/>
        <w:rPr>
          <w:rFonts w:hint="eastAsia" w:ascii="宋体" w:hAnsi="宋体" w:eastAsia="宋体" w:cs="宋体"/>
          <w:color w:val="auto"/>
          <w:sz w:val="24"/>
        </w:rPr>
      </w:pPr>
      <w:r>
        <w:rPr>
          <w:rFonts w:hint="eastAsia" w:ascii="宋体" w:hAnsi="宋体" w:eastAsia="宋体" w:cs="宋体"/>
          <w:color w:val="auto"/>
          <w:sz w:val="24"/>
        </w:rPr>
        <w:t>供应商：是指向采购人提供货物、工程或者服务的法人、非法人组织或者自然人。</w:t>
      </w:r>
    </w:p>
    <w:p>
      <w:pPr>
        <w:snapToGrid w:val="0"/>
        <w:spacing w:line="380" w:lineRule="exact"/>
        <w:ind w:left="850" w:hanging="849" w:hangingChars="354"/>
        <w:textAlignment w:val="baseline"/>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在中华人民共和国境内注册，能够独立承担民事责任，有生产或供应能力的本国供应商。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1.3.3   以采购代理机构认可的方式获得了本项目的磋商文件。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1.3.4   符合</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中规定的其他要求。</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1.3.5   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中写明允许采购进口产品，供应商应保证所投产品可履行合法报通关手续进入中国关境内。</w:t>
      </w:r>
    </w:p>
    <w:p>
      <w:pPr>
        <w:snapToGrid w:val="0"/>
        <w:spacing w:line="380" w:lineRule="exact"/>
        <w:ind w:left="958" w:leftChars="456"/>
        <w:textAlignment w:val="baseline"/>
        <w:rPr>
          <w:rFonts w:hint="eastAsia" w:ascii="宋体" w:hAnsi="宋体" w:eastAsia="宋体" w:cs="宋体"/>
          <w:color w:val="auto"/>
          <w:sz w:val="24"/>
        </w:rPr>
      </w:pPr>
      <w:r>
        <w:rPr>
          <w:rFonts w:hint="eastAsia" w:ascii="宋体" w:hAnsi="宋体" w:eastAsia="宋体" w:cs="宋体"/>
          <w:color w:val="auto"/>
          <w:sz w:val="24"/>
        </w:rPr>
        <w:t>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中未写明允许采购进口产品，如供应商所投产品为进口产品，其磋商将被认定为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840" w:hanging="840" w:hangingChars="350"/>
        <w:textAlignment w:val="baseline"/>
        <w:rPr>
          <w:rFonts w:hint="eastAsia" w:ascii="宋体" w:hAnsi="宋体" w:eastAsia="宋体" w:cs="宋体"/>
          <w:color w:val="auto"/>
          <w:sz w:val="24"/>
        </w:rPr>
      </w:pPr>
      <w:r>
        <w:rPr>
          <w:rFonts w:hint="eastAsia" w:ascii="宋体" w:hAnsi="宋体" w:eastAsia="宋体" w:cs="宋体"/>
          <w:color w:val="auto"/>
          <w:sz w:val="24"/>
        </w:rPr>
        <w:t>1.3.6  若</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中写明专门面向中小企业采购的，如供应商为非中小企业且所投产品为非中小企业产品，其磋商将被认定为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     如</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中允许联合体磋商，对联合体规定如下：</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1.4.1   两个以上供应商可以组成一个磋商联合体，以一个供应商的身份磋商。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1.4.2   联合体各方均应符合《中华人民共和国政府采购法》第二十二条规定的条件。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1.4.3   采购人根据采购项目对供应商的特殊要求，联合体中至少应当有一方符合相关规定。</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1.4.8   对联合体磋商的其他资格要求见</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1.5    单位负责人为同一人或者存在直接控股、管理关系的不同供应商，其相关磋商将被认定为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1.6    为本项目提供过整体设计、规范编制或者项目管理、监理、检测等服务的供应商，不得再参加本项目上述服务以外的其他采购活动。否则其磋商将被认定为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rPr>
        <w:tab/>
      </w:r>
      <w:r>
        <w:rPr>
          <w:rFonts w:hint="eastAsia" w:ascii="宋体" w:hAnsi="宋体" w:eastAsia="宋体" w:cs="宋体"/>
          <w:color w:val="auto"/>
          <w:sz w:val="24"/>
        </w:rPr>
        <w:t>供应商在磋商过程中不得向采购人提供、给予任何有价值的物品，影响其正常决策行为。一经发现，其将被认定为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23" w:name="_Toc12994"/>
      <w:bookmarkStart w:id="24" w:name="_Toc32709"/>
      <w:bookmarkStart w:id="25" w:name="_Toc1145"/>
      <w:bookmarkStart w:id="26" w:name="_Toc32017"/>
      <w:bookmarkStart w:id="27" w:name="_Toc17954"/>
      <w:bookmarkStart w:id="28" w:name="_Toc21415"/>
      <w:bookmarkStart w:id="29" w:name="_Toc31303"/>
      <w:bookmarkStart w:id="30" w:name="_Toc12139"/>
      <w:bookmarkStart w:id="31" w:name="_Toc20993"/>
      <w:bookmarkStart w:id="32" w:name="_Toc25078"/>
      <w:bookmarkStart w:id="33" w:name="_Toc12082"/>
      <w:bookmarkStart w:id="34" w:name="_Toc5286"/>
      <w:bookmarkStart w:id="35" w:name="_Toc515647759"/>
      <w:r>
        <w:rPr>
          <w:rFonts w:hint="eastAsia" w:ascii="宋体" w:hAnsi="宋体" w:eastAsia="宋体" w:cs="宋体"/>
          <w:color w:val="auto"/>
          <w:szCs w:val="24"/>
          <w:u w:val="none" w:color="auto"/>
        </w:rPr>
        <w:t>2.资金来源</w:t>
      </w:r>
      <w:bookmarkEnd w:id="23"/>
      <w:bookmarkEnd w:id="24"/>
      <w:bookmarkEnd w:id="25"/>
      <w:bookmarkEnd w:id="26"/>
      <w:bookmarkEnd w:id="27"/>
      <w:bookmarkEnd w:id="28"/>
      <w:bookmarkEnd w:id="29"/>
      <w:bookmarkEnd w:id="30"/>
      <w:bookmarkEnd w:id="31"/>
      <w:bookmarkEnd w:id="32"/>
      <w:bookmarkEnd w:id="33"/>
      <w:bookmarkEnd w:id="34"/>
      <w:bookmarkEnd w:id="35"/>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rPr>
        <w:tab/>
      </w:r>
      <w:r>
        <w:rPr>
          <w:rFonts w:hint="eastAsia" w:ascii="宋体" w:hAnsi="宋体" w:eastAsia="宋体" w:cs="宋体"/>
          <w:color w:val="auto"/>
          <w:sz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    项目预算金额和分项或分包最高限价</w:t>
      </w:r>
      <w:r>
        <w:rPr>
          <w:rFonts w:hint="eastAsia" w:ascii="宋体" w:hAnsi="宋体" w:eastAsia="宋体" w:cs="宋体"/>
          <w:color w:val="auto"/>
          <w:sz w:val="24"/>
          <w:u w:val="single" w:color="000000"/>
        </w:rPr>
        <w:t>见供应商须知资料表</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2.3    供应商报价超过磋商文件规定的预算金额或者分项、分包最高限价的，其磋商将被认定为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color="000000"/>
        </w:rPr>
      </w:pPr>
      <w:bookmarkStart w:id="36" w:name="_Toc515647760"/>
      <w:bookmarkStart w:id="37" w:name="_Toc31949"/>
      <w:bookmarkStart w:id="38" w:name="_Toc20526"/>
      <w:bookmarkStart w:id="39" w:name="_Toc15936"/>
      <w:bookmarkStart w:id="40" w:name="_Toc20149"/>
      <w:bookmarkStart w:id="41" w:name="_Toc520356145"/>
      <w:bookmarkStart w:id="42" w:name="_Toc4556"/>
      <w:bookmarkStart w:id="43" w:name="_Toc145"/>
      <w:bookmarkStart w:id="44" w:name="_Toc6076"/>
      <w:bookmarkStart w:id="45" w:name="_Toc3164"/>
      <w:bookmarkStart w:id="46" w:name="_Toc15302"/>
      <w:bookmarkStart w:id="47" w:name="_Toc18168"/>
      <w:bookmarkStart w:id="48" w:name="_Toc23939"/>
      <w:bookmarkStart w:id="49" w:name="_Toc91"/>
      <w:r>
        <w:rPr>
          <w:rFonts w:hint="eastAsia" w:ascii="宋体" w:hAnsi="宋体" w:eastAsia="宋体" w:cs="宋体"/>
          <w:color w:val="auto"/>
          <w:szCs w:val="24"/>
          <w:u w:color="000000"/>
        </w:rPr>
        <w:t>3.磋商费用</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不论磋商的结果如何，供应商应承担所有与准备和参加磋商有关的费用。</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50" w:name="_Toc14158"/>
      <w:bookmarkStart w:id="51" w:name="_Toc15428"/>
      <w:bookmarkStart w:id="52" w:name="_Toc23425"/>
      <w:bookmarkStart w:id="53" w:name="_Toc26501"/>
      <w:bookmarkStart w:id="54" w:name="_Toc17753"/>
      <w:bookmarkStart w:id="55" w:name="_Toc16556"/>
      <w:bookmarkStart w:id="56" w:name="_Toc6116"/>
      <w:bookmarkStart w:id="57" w:name="_Toc515647761"/>
      <w:bookmarkStart w:id="58" w:name="_Toc32069"/>
      <w:bookmarkStart w:id="59" w:name="_Toc29823"/>
      <w:bookmarkStart w:id="60" w:name="_Toc7327"/>
      <w:bookmarkStart w:id="61" w:name="_Toc4463"/>
      <w:bookmarkStart w:id="62" w:name="_Toc15164"/>
      <w:r>
        <w:rPr>
          <w:rFonts w:hint="eastAsia" w:ascii="宋体" w:hAnsi="宋体" w:eastAsia="宋体" w:cs="宋体"/>
          <w:color w:val="auto"/>
          <w:szCs w:val="24"/>
          <w:u w:val="none" w:color="auto"/>
        </w:rPr>
        <w:t>4.适用法律</w:t>
      </w:r>
      <w:bookmarkEnd w:id="50"/>
      <w:bookmarkEnd w:id="51"/>
      <w:bookmarkEnd w:id="52"/>
      <w:bookmarkEnd w:id="53"/>
      <w:bookmarkEnd w:id="54"/>
      <w:bookmarkEnd w:id="55"/>
      <w:bookmarkEnd w:id="56"/>
      <w:bookmarkEnd w:id="57"/>
      <w:bookmarkEnd w:id="58"/>
      <w:bookmarkEnd w:id="59"/>
      <w:bookmarkEnd w:id="60"/>
      <w:bookmarkEnd w:id="61"/>
      <w:bookmarkEnd w:id="6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hint="eastAsia" w:ascii="宋体" w:hAnsi="宋体" w:eastAsia="宋体" w:cs="宋体"/>
          <w:color w:val="auto"/>
          <w:sz w:val="24"/>
        </w:rPr>
      </w:pPr>
    </w:p>
    <w:p>
      <w:pPr>
        <w:jc w:val="center"/>
        <w:rPr>
          <w:rFonts w:hint="eastAsia" w:ascii="宋体" w:hAnsi="宋体" w:eastAsia="宋体" w:cs="宋体"/>
          <w:b/>
          <w:color w:val="auto"/>
          <w:kern w:val="0"/>
          <w:sz w:val="24"/>
          <w:szCs w:val="24"/>
          <w:u w:val="none" w:color="auto"/>
          <w:lang w:val="en-US" w:eastAsia="zh-CN" w:bidi="ar-SA"/>
        </w:rPr>
      </w:pPr>
      <w:bookmarkStart w:id="63" w:name="_Toc216582806"/>
      <w:bookmarkStart w:id="64" w:name="_Toc4365"/>
      <w:bookmarkStart w:id="65" w:name="_Toc515647762"/>
      <w:bookmarkStart w:id="66" w:name="_Toc21566"/>
      <w:bookmarkStart w:id="67" w:name="_Toc520356146"/>
      <w:bookmarkStart w:id="68" w:name="_Toc13692"/>
      <w:bookmarkStart w:id="69" w:name="_Toc31962"/>
      <w:r>
        <w:rPr>
          <w:rFonts w:hint="eastAsia" w:ascii="宋体" w:hAnsi="宋体" w:eastAsia="宋体" w:cs="宋体"/>
          <w:b/>
          <w:color w:val="auto"/>
          <w:kern w:val="0"/>
          <w:sz w:val="24"/>
          <w:szCs w:val="24"/>
          <w:u w:val="none" w:color="auto"/>
          <w:lang w:val="en-US" w:eastAsia="zh-CN" w:bidi="ar-SA"/>
        </w:rPr>
        <w:t xml:space="preserve">二   </w:t>
      </w:r>
      <w:bookmarkEnd w:id="63"/>
      <w:bookmarkEnd w:id="64"/>
      <w:bookmarkEnd w:id="65"/>
      <w:bookmarkEnd w:id="66"/>
      <w:bookmarkEnd w:id="67"/>
      <w:r>
        <w:rPr>
          <w:rFonts w:hint="eastAsia" w:ascii="宋体" w:hAnsi="宋体" w:eastAsia="宋体" w:cs="宋体"/>
          <w:b/>
          <w:color w:val="auto"/>
          <w:kern w:val="0"/>
          <w:sz w:val="24"/>
          <w:szCs w:val="24"/>
          <w:u w:val="none" w:color="auto"/>
          <w:lang w:val="en-US" w:eastAsia="zh-CN" w:bidi="ar-SA"/>
        </w:rPr>
        <w:t>磋商文件</w:t>
      </w:r>
      <w:bookmarkEnd w:id="68"/>
      <w:bookmarkEnd w:id="69"/>
    </w:p>
    <w:p>
      <w:pPr>
        <w:pStyle w:val="6"/>
        <w:snapToGrid w:val="0"/>
        <w:spacing w:before="0" w:after="0" w:line="380" w:lineRule="exact"/>
        <w:textAlignment w:val="baseline"/>
        <w:rPr>
          <w:rFonts w:hint="eastAsia" w:ascii="宋体" w:hAnsi="宋体" w:eastAsia="宋体" w:cs="宋体"/>
          <w:b/>
          <w:color w:val="auto"/>
          <w:kern w:val="0"/>
          <w:sz w:val="24"/>
          <w:szCs w:val="24"/>
          <w:u w:val="none" w:color="auto"/>
          <w:lang w:val="en-US" w:eastAsia="zh-CN" w:bidi="ar-SA"/>
        </w:rPr>
      </w:pPr>
      <w:bookmarkStart w:id="70" w:name="_Toc9520"/>
      <w:bookmarkStart w:id="71" w:name="_Toc16521"/>
      <w:bookmarkStart w:id="72" w:name="_Toc14084"/>
      <w:bookmarkStart w:id="73" w:name="_Toc25743"/>
      <w:bookmarkStart w:id="74" w:name="_Toc4254"/>
      <w:bookmarkStart w:id="75" w:name="_Toc515647763"/>
      <w:bookmarkStart w:id="76" w:name="_Toc520356147"/>
      <w:bookmarkStart w:id="77" w:name="_Toc16061"/>
      <w:bookmarkStart w:id="78" w:name="_Toc27545"/>
      <w:bookmarkStart w:id="79" w:name="_Toc18139"/>
      <w:bookmarkStart w:id="80" w:name="_Toc20128"/>
      <w:bookmarkStart w:id="81" w:name="_Toc9575"/>
      <w:bookmarkStart w:id="82" w:name="_Toc14409"/>
      <w:bookmarkStart w:id="83" w:name="_Toc4773"/>
      <w:r>
        <w:rPr>
          <w:rFonts w:hint="eastAsia" w:ascii="宋体" w:hAnsi="宋体" w:eastAsia="宋体" w:cs="宋体"/>
          <w:b/>
          <w:color w:val="auto"/>
          <w:kern w:val="0"/>
          <w:sz w:val="24"/>
          <w:szCs w:val="24"/>
          <w:u w:val="none" w:color="auto"/>
          <w:lang w:val="en-US" w:eastAsia="zh-CN" w:bidi="ar-SA"/>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rPr>
        <w:tab/>
      </w:r>
      <w:r>
        <w:rPr>
          <w:rFonts w:hint="eastAsia" w:ascii="宋体" w:hAnsi="宋体" w:eastAsia="宋体" w:cs="宋体"/>
          <w:color w:val="auto"/>
          <w:sz w:val="24"/>
        </w:rPr>
        <w:t>磋商文件分为三册共7章，内容如下：</w:t>
      </w:r>
    </w:p>
    <w:p>
      <w:pPr>
        <w:snapToGrid w:val="0"/>
        <w:spacing w:line="380" w:lineRule="exact"/>
        <w:ind w:left="180" w:hanging="180" w:hangingChars="75"/>
        <w:textAlignment w:val="baseline"/>
        <w:rPr>
          <w:rFonts w:hint="eastAsia" w:ascii="宋体" w:hAnsi="宋体" w:eastAsia="宋体" w:cs="宋体"/>
          <w:color w:val="auto"/>
          <w:sz w:val="24"/>
        </w:rPr>
      </w:pPr>
      <w:r>
        <w:rPr>
          <w:rFonts w:hint="eastAsia" w:ascii="宋体" w:hAnsi="宋体" w:eastAsia="宋体" w:cs="宋体"/>
          <w:color w:val="auto"/>
          <w:sz w:val="24"/>
        </w:rPr>
        <w:t>第一册</w:t>
      </w:r>
    </w:p>
    <w:p>
      <w:pPr>
        <w:tabs>
          <w:tab w:val="left" w:pos="0"/>
        </w:tabs>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第1章 供应商须知</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第2章 响应文件格式</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第二册</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第3章 磋商邀请</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第4章 供应商须知资料表</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第5章 服务需求一览表及技术规格</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第6章 评审方法和标准</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第三册</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第7章 政府采购合同格式</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rPr>
        <w:tab/>
      </w:r>
      <w:r>
        <w:rPr>
          <w:rFonts w:hint="eastAsia" w:ascii="宋体" w:hAnsi="宋体" w:eastAsia="宋体" w:cs="宋体"/>
          <w:color w:val="auto"/>
          <w:sz w:val="24"/>
        </w:rPr>
        <w:t>如本文件的前后内容不一致，以最后描述为准。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szCs w:val="24"/>
          <w:u w:val="none" w:color="auto"/>
        </w:rPr>
      </w:pPr>
      <w:bookmarkStart w:id="84" w:name="_Toc515904805"/>
      <w:bookmarkStart w:id="85" w:name="_Toc520356148"/>
      <w:bookmarkStart w:id="86" w:name="_Toc19969"/>
      <w:bookmarkStart w:id="87" w:name="_Toc12118"/>
      <w:bookmarkStart w:id="88" w:name="_Toc24970"/>
      <w:bookmarkStart w:id="89" w:name="_Toc11954"/>
      <w:bookmarkStart w:id="90" w:name="_Toc26044"/>
      <w:bookmarkStart w:id="91" w:name="_Toc5443"/>
      <w:bookmarkStart w:id="92" w:name="_Toc27499"/>
      <w:bookmarkStart w:id="93" w:name="_Toc73"/>
      <w:bookmarkStart w:id="94" w:name="_Toc6163"/>
      <w:bookmarkStart w:id="95" w:name="_Toc24794"/>
      <w:bookmarkStart w:id="96" w:name="_Toc9232"/>
      <w:bookmarkStart w:id="97" w:name="_Toc17695"/>
      <w:r>
        <w:rPr>
          <w:rFonts w:hint="eastAsia" w:ascii="宋体" w:hAnsi="宋体" w:eastAsia="宋体" w:cs="宋体"/>
          <w:color w:val="auto"/>
          <w:szCs w:val="24"/>
          <w:u w:val="none" w:color="auto"/>
        </w:rPr>
        <w:t>6.磋商文件的澄清</w:t>
      </w:r>
      <w:bookmarkEnd w:id="84"/>
      <w:bookmarkEnd w:id="85"/>
      <w:r>
        <w:rPr>
          <w:rFonts w:hint="eastAsia" w:ascii="宋体" w:hAnsi="宋体" w:eastAsia="宋体" w:cs="宋体"/>
          <w:color w:val="auto"/>
          <w:szCs w:val="24"/>
          <w:u w:val="none" w:color="auto"/>
        </w:rPr>
        <w:t>与修改</w:t>
      </w:r>
      <w:bookmarkEnd w:id="86"/>
      <w:bookmarkEnd w:id="87"/>
      <w:bookmarkEnd w:id="88"/>
      <w:bookmarkEnd w:id="89"/>
      <w:bookmarkEnd w:id="90"/>
      <w:bookmarkEnd w:id="91"/>
      <w:bookmarkEnd w:id="92"/>
      <w:bookmarkEnd w:id="93"/>
      <w:bookmarkEnd w:id="94"/>
      <w:bookmarkEnd w:id="95"/>
      <w:bookmarkEnd w:id="96"/>
      <w:bookmarkEnd w:id="97"/>
    </w:p>
    <w:p>
      <w:pPr>
        <w:pStyle w:val="2"/>
        <w:snapToGrid w:val="0"/>
        <w:spacing w:line="380" w:lineRule="exact"/>
        <w:ind w:left="840" w:hanging="840" w:hangingChars="350"/>
        <w:textAlignment w:val="baseline"/>
        <w:rPr>
          <w:rFonts w:hint="eastAsia" w:ascii="宋体" w:hAnsi="宋体" w:eastAsia="宋体" w:cs="宋体"/>
          <w:color w:val="auto"/>
          <w:szCs w:val="24"/>
        </w:rPr>
      </w:pPr>
      <w:r>
        <w:rPr>
          <w:rFonts w:hint="eastAsia" w:ascii="宋体" w:hAnsi="宋体" w:eastAsia="宋体" w:cs="宋体"/>
          <w:color w:val="auto"/>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2"/>
        <w:snapToGrid w:val="0"/>
        <w:spacing w:line="380" w:lineRule="exact"/>
        <w:ind w:left="840" w:hanging="840" w:hangingChars="350"/>
        <w:textAlignment w:val="baseline"/>
        <w:rPr>
          <w:rFonts w:hint="eastAsia" w:ascii="宋体" w:hAnsi="宋体" w:eastAsia="宋体" w:cs="宋体"/>
          <w:color w:val="auto"/>
          <w:szCs w:val="24"/>
        </w:rPr>
      </w:pPr>
      <w:bookmarkStart w:id="98" w:name="_Toc520356149"/>
      <w:bookmarkStart w:id="99" w:name="_Ref467378678"/>
      <w:bookmarkStart w:id="100" w:name="_Toc515904806"/>
      <w:r>
        <w:rPr>
          <w:rFonts w:hint="eastAsia" w:ascii="宋体" w:hAnsi="宋体" w:eastAsia="宋体" w:cs="宋体"/>
          <w:color w:val="auto"/>
          <w:szCs w:val="24"/>
        </w:rPr>
        <w:t>6.2</w:t>
      </w:r>
      <w:r>
        <w:rPr>
          <w:rFonts w:hint="eastAsia" w:ascii="宋体" w:hAnsi="宋体" w:eastAsia="宋体" w:cs="宋体"/>
          <w:color w:val="auto"/>
          <w:szCs w:val="24"/>
        </w:rPr>
        <w:tab/>
      </w:r>
      <w:r>
        <w:rPr>
          <w:rFonts w:hint="eastAsia" w:ascii="宋体" w:hAnsi="宋体" w:eastAsia="宋体" w:cs="宋体"/>
          <w:color w:val="auto"/>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2"/>
        <w:snapToGrid w:val="0"/>
        <w:spacing w:line="380" w:lineRule="exact"/>
        <w:ind w:left="840" w:hanging="840" w:hangingChars="350"/>
        <w:textAlignment w:val="baseline"/>
        <w:rPr>
          <w:rFonts w:hint="eastAsia" w:ascii="宋体" w:hAnsi="宋体" w:eastAsia="宋体" w:cs="宋体"/>
          <w:color w:val="auto"/>
          <w:szCs w:val="24"/>
        </w:rPr>
      </w:pPr>
      <w:r>
        <w:rPr>
          <w:rFonts w:hint="eastAsia" w:ascii="宋体" w:hAnsi="宋体" w:eastAsia="宋体" w:cs="宋体"/>
          <w:color w:val="auto"/>
          <w:szCs w:val="24"/>
        </w:rPr>
        <w:t>6.3</w:t>
      </w:r>
      <w:r>
        <w:rPr>
          <w:rFonts w:hint="eastAsia" w:ascii="宋体" w:hAnsi="宋体" w:eastAsia="宋体" w:cs="宋体"/>
          <w:color w:val="auto"/>
          <w:szCs w:val="24"/>
        </w:rPr>
        <w:tab/>
      </w:r>
      <w:r>
        <w:rPr>
          <w:rFonts w:hint="eastAsia" w:ascii="宋体" w:hAnsi="宋体" w:eastAsia="宋体" w:cs="宋体"/>
          <w:color w:val="auto"/>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6"/>
        <w:tabs>
          <w:tab w:val="left" w:pos="900"/>
        </w:tabs>
        <w:snapToGrid w:val="0"/>
        <w:spacing w:before="0" w:after="0" w:line="380" w:lineRule="exact"/>
        <w:textAlignment w:val="baseline"/>
        <w:rPr>
          <w:rFonts w:hint="eastAsia" w:ascii="宋体" w:hAnsi="宋体" w:eastAsia="宋体" w:cs="宋体"/>
          <w:color w:val="auto"/>
          <w:szCs w:val="24"/>
          <w:u w:val="none" w:color="auto"/>
        </w:rPr>
      </w:pPr>
      <w:bookmarkStart w:id="101" w:name="_Toc3801"/>
      <w:bookmarkStart w:id="102" w:name="_Toc12058"/>
      <w:bookmarkStart w:id="103" w:name="_Toc16843"/>
      <w:bookmarkStart w:id="104" w:name="_Toc14294"/>
      <w:bookmarkStart w:id="105" w:name="_Toc25635"/>
      <w:bookmarkStart w:id="106" w:name="_Toc15219"/>
      <w:bookmarkStart w:id="107" w:name="_Toc5970"/>
      <w:bookmarkStart w:id="108" w:name="_Toc28181"/>
      <w:bookmarkStart w:id="109" w:name="_Toc14569"/>
      <w:bookmarkStart w:id="110" w:name="_Toc18879"/>
      <w:bookmarkStart w:id="111" w:name="_Toc25290"/>
      <w:bookmarkStart w:id="112" w:name="_Toc16792"/>
      <w:r>
        <w:rPr>
          <w:rFonts w:hint="eastAsia" w:ascii="宋体" w:hAnsi="宋体" w:eastAsia="宋体" w:cs="宋体"/>
          <w:color w:val="auto"/>
          <w:szCs w:val="24"/>
          <w:u w:val="none" w:color="auto"/>
        </w:rPr>
        <w:t>7</w:t>
      </w:r>
      <w:bookmarkEnd w:id="98"/>
      <w:bookmarkEnd w:id="99"/>
      <w:bookmarkEnd w:id="100"/>
      <w:r>
        <w:rPr>
          <w:rFonts w:hint="eastAsia" w:ascii="宋体" w:hAnsi="宋体" w:eastAsia="宋体" w:cs="宋体"/>
          <w:color w:val="auto"/>
          <w:szCs w:val="24"/>
          <w:u w:val="none" w:color="auto"/>
        </w:rPr>
        <w:t>.磋商截止时间的顺延</w:t>
      </w:r>
      <w:bookmarkEnd w:id="101"/>
      <w:bookmarkEnd w:id="102"/>
      <w:bookmarkEnd w:id="103"/>
      <w:bookmarkEnd w:id="104"/>
      <w:bookmarkEnd w:id="105"/>
      <w:bookmarkEnd w:id="106"/>
      <w:bookmarkEnd w:id="107"/>
      <w:bookmarkEnd w:id="108"/>
      <w:bookmarkEnd w:id="109"/>
      <w:bookmarkEnd w:id="110"/>
      <w:bookmarkEnd w:id="111"/>
      <w:bookmarkEnd w:id="11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为使供应商准备磋商时有足够的时间对磋商文件的澄清或者修改部分进行研究，采购人将依法决定是否顺延磋商截止时间。</w:t>
      </w:r>
    </w:p>
    <w:p>
      <w:pPr>
        <w:pStyle w:val="5"/>
        <w:tabs>
          <w:tab w:val="left" w:pos="900"/>
        </w:tabs>
        <w:snapToGrid w:val="0"/>
        <w:spacing w:before="0" w:line="380" w:lineRule="exact"/>
        <w:ind w:hanging="540"/>
        <w:textAlignment w:val="baseline"/>
        <w:rPr>
          <w:rFonts w:hint="eastAsia" w:ascii="宋体" w:hAnsi="宋体" w:eastAsia="宋体" w:cs="宋体"/>
          <w:color w:val="auto"/>
          <w:sz w:val="28"/>
        </w:rPr>
      </w:pPr>
      <w:bookmarkStart w:id="113" w:name="_Toc516367020"/>
      <w:bookmarkStart w:id="114" w:name="_Toc216582807"/>
      <w:bookmarkStart w:id="115" w:name="_Toc18070"/>
      <w:bookmarkStart w:id="116" w:name="_Toc7636"/>
      <w:bookmarkStart w:id="117" w:name="_Toc30808"/>
      <w:bookmarkStart w:id="118" w:name="_Toc520356150"/>
      <w:bookmarkStart w:id="119" w:name="_Toc16906"/>
      <w:bookmarkStart w:id="120" w:name="_Toc515647766"/>
      <w:bookmarkStart w:id="121" w:name="_Toc481"/>
    </w:p>
    <w:p>
      <w:pPr>
        <w:jc w:val="center"/>
        <w:rPr>
          <w:rFonts w:hint="eastAsia" w:ascii="宋体" w:hAnsi="宋体" w:eastAsia="宋体" w:cs="宋体"/>
          <w:b/>
          <w:color w:val="auto"/>
          <w:kern w:val="0"/>
          <w:sz w:val="24"/>
          <w:szCs w:val="24"/>
          <w:u w:val="none" w:color="auto"/>
          <w:lang w:val="en-US" w:eastAsia="zh-CN" w:bidi="ar-SA"/>
        </w:rPr>
      </w:pPr>
      <w:r>
        <w:rPr>
          <w:rFonts w:hint="eastAsia" w:ascii="宋体" w:hAnsi="宋体" w:eastAsia="宋体" w:cs="宋体"/>
          <w:b/>
          <w:color w:val="auto"/>
          <w:kern w:val="0"/>
          <w:sz w:val="24"/>
          <w:szCs w:val="24"/>
          <w:u w:val="none" w:color="auto"/>
          <w:lang w:val="en-US" w:eastAsia="zh-CN" w:bidi="ar-SA"/>
        </w:rPr>
        <w:t xml:space="preserve">三   </w:t>
      </w:r>
      <w:bookmarkEnd w:id="113"/>
      <w:r>
        <w:rPr>
          <w:rFonts w:hint="eastAsia" w:ascii="宋体" w:hAnsi="宋体" w:eastAsia="宋体" w:cs="宋体"/>
          <w:b/>
          <w:color w:val="auto"/>
          <w:kern w:val="0"/>
          <w:sz w:val="24"/>
          <w:szCs w:val="24"/>
          <w:u w:val="none" w:color="auto"/>
          <w:lang w:val="en-US" w:eastAsia="zh-CN" w:bidi="ar-SA"/>
        </w:rPr>
        <w:t>响应文件的编制</w:t>
      </w:r>
      <w:bookmarkEnd w:id="114"/>
      <w:bookmarkEnd w:id="115"/>
      <w:bookmarkEnd w:id="116"/>
      <w:bookmarkEnd w:id="117"/>
      <w:bookmarkEnd w:id="118"/>
      <w:bookmarkEnd w:id="119"/>
      <w:bookmarkEnd w:id="120"/>
      <w:bookmarkEnd w:id="121"/>
    </w:p>
    <w:p>
      <w:pPr>
        <w:jc w:val="center"/>
        <w:rPr>
          <w:rFonts w:hint="eastAsia" w:ascii="宋体" w:hAnsi="宋体" w:eastAsia="宋体" w:cs="宋体"/>
          <w:b/>
          <w:color w:val="auto"/>
          <w:kern w:val="0"/>
          <w:sz w:val="24"/>
          <w:szCs w:val="24"/>
          <w:u w:val="none" w:color="auto"/>
          <w:lang w:val="en-US" w:eastAsia="zh-CN" w:bidi="ar-SA"/>
        </w:rPr>
      </w:pP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22" w:name="_Toc20168"/>
      <w:bookmarkStart w:id="123" w:name="_Toc516367021"/>
      <w:bookmarkStart w:id="124" w:name="_Toc7786"/>
      <w:bookmarkStart w:id="125" w:name="_Toc21065"/>
      <w:bookmarkStart w:id="126" w:name="_Toc19644"/>
      <w:bookmarkStart w:id="127" w:name="_Toc8762"/>
      <w:bookmarkStart w:id="128" w:name="_Toc515647767"/>
      <w:bookmarkStart w:id="129" w:name="_Toc31730"/>
      <w:bookmarkStart w:id="130" w:name="_Toc19003"/>
      <w:bookmarkStart w:id="131" w:name="_Toc4525"/>
      <w:bookmarkStart w:id="132" w:name="_Toc31904"/>
      <w:bookmarkStart w:id="133" w:name="_Toc14330"/>
      <w:bookmarkStart w:id="134" w:name="_Toc520356151"/>
      <w:bookmarkStart w:id="135" w:name="_Toc12722"/>
      <w:bookmarkStart w:id="136" w:name="_Toc21848"/>
      <w:bookmarkStart w:id="137" w:name="_Toc3553"/>
      <w:r>
        <w:rPr>
          <w:rFonts w:hint="eastAsia" w:ascii="宋体" w:hAnsi="宋体" w:eastAsia="宋体" w:cs="宋体"/>
          <w:color w:val="auto"/>
          <w:u w:val="none" w:color="auto"/>
        </w:rPr>
        <w:t>8.</w:t>
      </w:r>
      <w:r>
        <w:rPr>
          <w:rFonts w:hint="eastAsia" w:ascii="宋体" w:hAnsi="宋体" w:eastAsia="宋体" w:cs="宋体"/>
          <w:color w:val="auto"/>
          <w:u w:val="none" w:color="auto"/>
        </w:rPr>
        <w:tab/>
      </w:r>
      <w:r>
        <w:rPr>
          <w:rFonts w:hint="eastAsia" w:ascii="宋体" w:hAnsi="宋体" w:eastAsia="宋体" w:cs="宋体"/>
          <w:color w:val="auto"/>
          <w:u w:val="none" w:color="auto"/>
        </w:rPr>
        <w:t>磋商范围及响应文件成交准和计量单位的使用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8.1</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项目有分包的，供应商可对磋商文件其中某一个或几个分包服务进行磋商，除非在供应商须知资料表中另有规定。</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8.2     供应商应当对所投分包磋商文件中“服务需求”所列的所有内容进行磋商，如仅响应某一包中的部分内容，其该包磋商将被认定为</w:t>
      </w:r>
      <w:r>
        <w:rPr>
          <w:rFonts w:hint="eastAsia" w:ascii="宋体" w:hAnsi="宋体" w:eastAsia="宋体" w:cs="宋体"/>
          <w:b/>
          <w:bCs/>
          <w:color w:val="auto"/>
          <w:sz w:val="24"/>
          <w:u w:val="none" w:color="auto"/>
        </w:rPr>
        <w:t>磋商无效</w:t>
      </w:r>
      <w:r>
        <w:rPr>
          <w:rFonts w:hint="eastAsia" w:ascii="宋体" w:hAnsi="宋体" w:eastAsia="宋体" w:cs="宋体"/>
          <w:color w:val="auto"/>
          <w:sz w:val="24"/>
          <w:u w:val="none" w:color="auto"/>
        </w:rPr>
        <w:t>。</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8.3     无论磋商文件第5章服务需求一览表及技术规格中是否要求，供应商所投服务均应符合国家强制性标准。</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8.4     除磋商文件中有特殊要求外，响应文件中所使用的计量单位，应采用中华人民共和国法定计量单位。</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38" w:name="_Ref467306676"/>
      <w:bookmarkStart w:id="139" w:name="_Ref467306195"/>
      <w:bookmarkStart w:id="140" w:name="_Toc516367022"/>
      <w:bookmarkStart w:id="141" w:name="_Toc520356152"/>
      <w:bookmarkStart w:id="142" w:name="_Toc28307"/>
      <w:bookmarkStart w:id="143" w:name="_Toc14931"/>
      <w:bookmarkStart w:id="144" w:name="_Toc2582"/>
      <w:bookmarkStart w:id="145" w:name="_Toc515647768"/>
      <w:bookmarkStart w:id="146" w:name="_Toc19752"/>
      <w:bookmarkStart w:id="147" w:name="_Toc26502"/>
      <w:bookmarkStart w:id="148" w:name="_Toc8989"/>
      <w:bookmarkStart w:id="149" w:name="_Toc10364"/>
      <w:bookmarkStart w:id="150" w:name="_Toc13837"/>
      <w:bookmarkStart w:id="151" w:name="_Toc4835"/>
      <w:bookmarkStart w:id="152" w:name="_Toc3006"/>
      <w:bookmarkStart w:id="153" w:name="_Toc2709"/>
      <w:bookmarkStart w:id="154" w:name="_Toc28670"/>
      <w:bookmarkStart w:id="155" w:name="_Toc31889"/>
      <w:r>
        <w:rPr>
          <w:rFonts w:hint="eastAsia" w:ascii="宋体" w:hAnsi="宋体" w:eastAsia="宋体" w:cs="宋体"/>
          <w:color w:val="auto"/>
          <w:u w:val="none" w:color="auto"/>
        </w:rPr>
        <w:t>9.</w:t>
      </w:r>
      <w:bookmarkEnd w:id="138"/>
      <w:bookmarkEnd w:id="139"/>
      <w:bookmarkEnd w:id="140"/>
      <w:r>
        <w:rPr>
          <w:rFonts w:hint="eastAsia" w:ascii="宋体" w:hAnsi="宋体" w:eastAsia="宋体" w:cs="宋体"/>
          <w:color w:val="auto"/>
          <w:u w:val="none" w:color="auto"/>
        </w:rPr>
        <w:t>响应文件构成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tabs>
          <w:tab w:val="left" w:pos="900"/>
          <w:tab w:val="left" w:pos="5580"/>
        </w:tabs>
        <w:snapToGrid w:val="0"/>
        <w:spacing w:line="380" w:lineRule="exact"/>
        <w:ind w:left="960" w:hanging="960" w:hangingChars="400"/>
        <w:jc w:val="left"/>
        <w:textAlignment w:val="baseline"/>
        <w:rPr>
          <w:rFonts w:hint="eastAsia" w:ascii="宋体" w:hAnsi="宋体" w:eastAsia="宋体" w:cs="宋体"/>
          <w:color w:val="auto"/>
          <w:sz w:val="24"/>
          <w:u w:val="none" w:color="auto"/>
        </w:rPr>
      </w:pPr>
      <w:bookmarkStart w:id="156" w:name="_Ref467052588"/>
      <w:r>
        <w:rPr>
          <w:rFonts w:hint="eastAsia" w:ascii="宋体" w:hAnsi="宋体" w:eastAsia="宋体" w:cs="宋体"/>
          <w:color w:val="auto"/>
          <w:sz w:val="24"/>
          <w:u w:val="none" w:color="auto"/>
        </w:rPr>
        <w:t>9.1     供应商应完整地按磋商文件提供的响应文件格式及要求编写响应文件，响应文件应包括“报价一览表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9.2    上述文件应按照磋商文件规定的格式填写、签署和盖章。</w:t>
      </w:r>
      <w:bookmarkEnd w:id="156"/>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157" w:name="_Toc18492"/>
      <w:bookmarkStart w:id="158" w:name="_Toc25631"/>
      <w:bookmarkStart w:id="159" w:name="_Toc4291"/>
      <w:bookmarkStart w:id="160" w:name="_Toc5860"/>
      <w:bookmarkStart w:id="161" w:name="_Toc32014"/>
      <w:bookmarkStart w:id="162" w:name="_Toc10379"/>
      <w:bookmarkStart w:id="163" w:name="_Toc870"/>
      <w:bookmarkStart w:id="164" w:name="_Toc516367023"/>
      <w:bookmarkStart w:id="165" w:name="_Toc515647769"/>
      <w:bookmarkStart w:id="166" w:name="_Toc14102"/>
      <w:bookmarkStart w:id="167" w:name="_Toc15064"/>
      <w:bookmarkStart w:id="168" w:name="_Toc28330"/>
      <w:bookmarkStart w:id="169" w:name="_Toc4601"/>
      <w:bookmarkStart w:id="170" w:name="_Toc520356153"/>
      <w:bookmarkStart w:id="171" w:name="_Toc6860"/>
      <w:bookmarkStart w:id="172" w:name="_Toc8626"/>
      <w:r>
        <w:rPr>
          <w:rFonts w:hint="eastAsia" w:ascii="宋体" w:hAnsi="宋体" w:eastAsia="宋体" w:cs="宋体"/>
          <w:color w:val="auto"/>
          <w:u w:val="none" w:color="auto"/>
        </w:rPr>
        <w:t>10.</w:t>
      </w:r>
      <w:r>
        <w:rPr>
          <w:rFonts w:hint="eastAsia" w:ascii="宋体" w:hAnsi="宋体" w:eastAsia="宋体" w:cs="宋体"/>
          <w:color w:val="auto"/>
          <w:u w:val="none" w:color="auto"/>
        </w:rPr>
        <w:tab/>
      </w:r>
      <w:r>
        <w:rPr>
          <w:rFonts w:hint="eastAsia" w:ascii="宋体" w:hAnsi="宋体" w:eastAsia="宋体" w:cs="宋体"/>
          <w:color w:val="auto"/>
          <w:u w:val="none" w:color="auto"/>
        </w:rPr>
        <w:t>证明磋商标的的合格性和符合磋商文件规定的技术文件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10.1</w:t>
      </w:r>
      <w:r>
        <w:rPr>
          <w:rFonts w:hint="eastAsia" w:ascii="宋体" w:hAnsi="宋体" w:eastAsia="宋体" w:cs="宋体"/>
          <w:color w:val="auto"/>
          <w:sz w:val="24"/>
        </w:rPr>
        <w:tab/>
      </w:r>
      <w:r>
        <w:rPr>
          <w:rFonts w:hint="eastAsia" w:ascii="宋体" w:hAnsi="宋体" w:eastAsia="宋体" w:cs="宋体"/>
          <w:color w:val="auto"/>
          <w:sz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宋体" w:hAnsi="宋体" w:eastAsia="宋体" w:cs="宋体"/>
          <w:color w:val="auto"/>
          <w:sz w:val="24"/>
        </w:rPr>
      </w:pPr>
      <w:bookmarkStart w:id="173" w:name="_Ref467306244"/>
      <w:r>
        <w:rPr>
          <w:rFonts w:hint="eastAsia" w:ascii="宋体" w:hAnsi="宋体" w:eastAsia="宋体" w:cs="宋体"/>
          <w:color w:val="auto"/>
          <w:sz w:val="24"/>
        </w:rPr>
        <w:t>10.2</w:t>
      </w:r>
      <w:r>
        <w:rPr>
          <w:rFonts w:hint="eastAsia" w:ascii="宋体" w:hAnsi="宋体" w:eastAsia="宋体" w:cs="宋体"/>
          <w:color w:val="auto"/>
          <w:sz w:val="24"/>
        </w:rPr>
        <w:tab/>
      </w:r>
      <w:r>
        <w:rPr>
          <w:rFonts w:hint="eastAsia" w:ascii="宋体" w:hAnsi="宋体" w:eastAsia="宋体" w:cs="宋体"/>
          <w:color w:val="auto"/>
          <w:sz w:val="24"/>
        </w:rPr>
        <w:t>上款所述的证明文件，可以是文字资料、图纸和数据，</w:t>
      </w:r>
      <w:bookmarkEnd w:id="173"/>
      <w:r>
        <w:rPr>
          <w:rFonts w:hint="eastAsia" w:ascii="宋体" w:hAnsi="宋体" w:eastAsia="宋体" w:cs="宋体"/>
          <w:color w:val="auto"/>
          <w:sz w:val="24"/>
        </w:rPr>
        <w:t>它包括：</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10.2.1</w:t>
      </w:r>
      <w:r>
        <w:rPr>
          <w:rFonts w:hint="eastAsia" w:ascii="宋体" w:hAnsi="宋体" w:eastAsia="宋体" w:cs="宋体"/>
          <w:color w:val="auto"/>
          <w:sz w:val="24"/>
        </w:rPr>
        <w:tab/>
      </w:r>
      <w:r>
        <w:rPr>
          <w:rFonts w:hint="eastAsia" w:ascii="宋体" w:hAnsi="宋体" w:eastAsia="宋体" w:cs="宋体"/>
          <w:color w:val="auto"/>
          <w:sz w:val="24"/>
        </w:rPr>
        <w:t>服务主要技术指标和性能的详细说明；</w:t>
      </w:r>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10.2.2</w:t>
      </w:r>
      <w:r>
        <w:rPr>
          <w:rFonts w:hint="eastAsia" w:ascii="宋体" w:hAnsi="宋体" w:eastAsia="宋体" w:cs="宋体"/>
          <w:color w:val="auto"/>
          <w:sz w:val="24"/>
        </w:rPr>
        <w:tab/>
      </w:r>
      <w:r>
        <w:rPr>
          <w:rFonts w:hint="eastAsia" w:ascii="宋体" w:hAnsi="宋体" w:eastAsia="宋体" w:cs="宋体"/>
          <w:color w:val="auto"/>
          <w:sz w:val="24"/>
        </w:rPr>
        <w:t>对照磋商文件技术规格，逐条说明所提供服务已对磋商文件的技术规格做出了实质性的响应，或申明与技术规格条文的偏差和例外。</w:t>
      </w:r>
    </w:p>
    <w:p>
      <w:pPr>
        <w:pStyle w:val="6"/>
        <w:snapToGrid w:val="0"/>
        <w:spacing w:before="0" w:after="0" w:line="420" w:lineRule="exact"/>
        <w:textAlignment w:val="baseline"/>
        <w:rPr>
          <w:rFonts w:hint="eastAsia" w:ascii="宋体" w:hAnsi="宋体" w:eastAsia="宋体" w:cs="宋体"/>
          <w:color w:val="auto"/>
          <w:u w:val="none" w:color="auto"/>
        </w:rPr>
      </w:pPr>
      <w:bookmarkStart w:id="174" w:name="_Toc7506"/>
      <w:bookmarkStart w:id="175" w:name="_Toc31510"/>
      <w:bookmarkStart w:id="176" w:name="_Toc26138"/>
      <w:bookmarkStart w:id="177" w:name="_Toc515647770"/>
      <w:bookmarkStart w:id="178" w:name="_Toc520356155"/>
      <w:bookmarkStart w:id="179" w:name="_Toc7688"/>
      <w:bookmarkStart w:id="180" w:name="_Toc6864"/>
      <w:bookmarkStart w:id="181" w:name="_Toc2248"/>
      <w:bookmarkStart w:id="182" w:name="_Toc5239"/>
      <w:bookmarkStart w:id="183" w:name="_Toc15870"/>
      <w:bookmarkStart w:id="184" w:name="_Toc16854"/>
      <w:bookmarkStart w:id="185" w:name="_Toc27117"/>
      <w:bookmarkStart w:id="186" w:name="_Toc23231"/>
      <w:bookmarkStart w:id="187" w:name="_Toc9025"/>
      <w:bookmarkStart w:id="188" w:name="_Toc5859"/>
      <w:r>
        <w:rPr>
          <w:rFonts w:hint="eastAsia" w:ascii="宋体" w:hAnsi="宋体" w:eastAsia="宋体" w:cs="宋体"/>
          <w:color w:val="auto"/>
          <w:u w:val="none" w:color="auto"/>
        </w:rPr>
        <w:t>11.磋商报价</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所有磋商均以人民币报价。供应商的磋商报价应遵守《中华人民共和国价格法》。同时，根据《中华人民共和国政府采购法》第二条的规定，为保证公平竞争，如有服务主体部分的赠与行为，其磋商将被认定为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42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供应商应在磋商分项报价表上标明磋商服务及相关服务的单价（如适用）和总价，并由法定代表人或其授权代表签署。</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rPr>
        <w:tab/>
      </w:r>
      <w:r>
        <w:rPr>
          <w:rFonts w:hint="eastAsia" w:ascii="宋体" w:hAnsi="宋体" w:eastAsia="宋体" w:cs="宋体"/>
          <w:color w:val="auto"/>
          <w:sz w:val="24"/>
        </w:rPr>
        <w:t>磋商分项报价表上的价格应按下列方式填写：</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11.3.1  磋商服务费用。</w:t>
      </w:r>
    </w:p>
    <w:p>
      <w:pPr>
        <w:snapToGrid w:val="0"/>
        <w:spacing w:line="50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11.3.2  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520" w:lineRule="exact"/>
        <w:ind w:left="900" w:hanging="900" w:hangingChars="375"/>
        <w:textAlignment w:val="baseline"/>
        <w:rPr>
          <w:rFonts w:hint="eastAsia" w:ascii="宋体" w:hAnsi="宋体" w:eastAsia="宋体" w:cs="宋体"/>
          <w:b/>
          <w:bCs/>
          <w:color w:val="auto"/>
          <w:sz w:val="24"/>
        </w:rPr>
      </w:pPr>
      <w:r>
        <w:rPr>
          <w:rFonts w:hint="eastAsia" w:ascii="宋体" w:hAnsi="宋体" w:eastAsia="宋体" w:cs="宋体"/>
          <w:color w:val="auto"/>
          <w:sz w:val="24"/>
        </w:rPr>
        <w:t>11.4</w:t>
      </w:r>
      <w:r>
        <w:rPr>
          <w:rFonts w:hint="eastAsia" w:ascii="宋体" w:hAnsi="宋体" w:eastAsia="宋体" w:cs="宋体"/>
          <w:color w:val="auto"/>
          <w:sz w:val="24"/>
        </w:rPr>
        <w:tab/>
      </w:r>
      <w:r>
        <w:rPr>
          <w:rFonts w:hint="eastAsia" w:ascii="宋体" w:hAnsi="宋体" w:eastAsia="宋体" w:cs="宋体"/>
          <w:b/>
          <w:bCs/>
          <w:color w:val="auto"/>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6"/>
        <w:snapToGrid w:val="0"/>
        <w:spacing w:before="0" w:after="0" w:line="380" w:lineRule="exact"/>
        <w:textAlignment w:val="baseline"/>
        <w:rPr>
          <w:rFonts w:hint="eastAsia" w:ascii="宋体" w:hAnsi="宋体" w:eastAsia="宋体" w:cs="宋体"/>
          <w:color w:val="auto"/>
          <w:u w:val="none" w:color="auto"/>
        </w:rPr>
      </w:pPr>
      <w:bookmarkStart w:id="189" w:name="_Toc17788"/>
      <w:bookmarkStart w:id="190" w:name="_Toc5302"/>
      <w:bookmarkStart w:id="191" w:name="_Toc11514"/>
      <w:bookmarkStart w:id="192" w:name="_Toc20519"/>
      <w:bookmarkStart w:id="193" w:name="_Toc30640"/>
      <w:bookmarkStart w:id="194" w:name="_Ref467306513"/>
      <w:bookmarkStart w:id="195" w:name="_Toc31526"/>
      <w:bookmarkStart w:id="196" w:name="_Toc19405"/>
      <w:bookmarkStart w:id="197" w:name="_Toc16932"/>
      <w:bookmarkStart w:id="198" w:name="_Toc1651"/>
      <w:bookmarkStart w:id="199" w:name="_Toc515647771"/>
      <w:bookmarkStart w:id="200" w:name="_Toc8505"/>
      <w:bookmarkStart w:id="201" w:name="_Toc9763"/>
      <w:bookmarkStart w:id="202" w:name="_Toc16693"/>
      <w:bookmarkStart w:id="203" w:name="_Toc4325"/>
      <w:bookmarkStart w:id="204" w:name="_Toc520356156"/>
      <w:r>
        <w:rPr>
          <w:rFonts w:hint="eastAsia" w:ascii="宋体" w:hAnsi="宋体" w:eastAsia="宋体" w:cs="宋体"/>
          <w:color w:val="auto"/>
          <w:u w:val="none" w:color="auto"/>
        </w:rPr>
        <w:t>12.磋商保证金</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napToGrid w:val="0"/>
        <w:spacing w:line="380" w:lineRule="exact"/>
        <w:ind w:left="900" w:hanging="900" w:hangingChars="375"/>
        <w:textAlignment w:val="baseline"/>
        <w:rPr>
          <w:rFonts w:hint="eastAsia" w:ascii="宋体" w:hAnsi="宋体" w:eastAsia="宋体" w:cs="宋体"/>
          <w:color w:val="auto"/>
          <w:sz w:val="24"/>
        </w:rPr>
      </w:pPr>
      <w:bookmarkStart w:id="205" w:name="_Ref467306302"/>
      <w:r>
        <w:rPr>
          <w:rFonts w:hint="eastAsia" w:ascii="宋体" w:hAnsi="宋体" w:eastAsia="宋体" w:cs="宋体"/>
          <w:color w:val="auto"/>
          <w:sz w:val="24"/>
        </w:rPr>
        <w:t>12.1</w:t>
      </w:r>
      <w:r>
        <w:rPr>
          <w:rFonts w:hint="eastAsia" w:ascii="宋体" w:hAnsi="宋体" w:eastAsia="宋体" w:cs="宋体"/>
          <w:color w:val="auto"/>
          <w:sz w:val="24"/>
        </w:rPr>
        <w:tab/>
      </w:r>
      <w:r>
        <w:rPr>
          <w:rFonts w:hint="eastAsia" w:ascii="宋体" w:hAnsi="宋体" w:eastAsia="宋体" w:cs="宋体"/>
          <w:color w:val="auto"/>
          <w:sz w:val="24"/>
        </w:rPr>
        <w:t>供应商应提交</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中规定的磋商保证金</w:t>
      </w:r>
      <w:bookmarkEnd w:id="205"/>
      <w:r>
        <w:rPr>
          <w:rFonts w:hint="eastAsia" w:ascii="宋体" w:hAnsi="宋体" w:eastAsia="宋体" w:cs="宋体"/>
          <w:color w:val="auto"/>
          <w:sz w:val="24"/>
        </w:rPr>
        <w:t>，并作为其磋商的一部分。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12.2</w:t>
      </w:r>
      <w:r>
        <w:rPr>
          <w:rFonts w:hint="eastAsia" w:ascii="宋体" w:hAnsi="宋体" w:eastAsia="宋体" w:cs="宋体"/>
          <w:color w:val="auto"/>
          <w:sz w:val="24"/>
        </w:rPr>
        <w:tab/>
      </w:r>
      <w:r>
        <w:rPr>
          <w:rFonts w:hint="eastAsia" w:ascii="宋体" w:hAnsi="宋体" w:eastAsia="宋体" w:cs="宋体"/>
          <w:color w:val="auto"/>
          <w:sz w:val="24"/>
        </w:rPr>
        <w:t>供应商存在下列情形的，磋商保证金不予退还：</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（1）在磋商有效期内，撤销磋商的；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（2）成交后不按本须知第30条的规定与采购人签订合同的；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（3）成交后不按本须知第31条的规定提交履约保证金的；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（4）成交后不按本须知第32条的规定缴纳成交代理费的；</w:t>
      </w:r>
    </w:p>
    <w:p>
      <w:pPr>
        <w:pStyle w:val="16"/>
        <w:tabs>
          <w:tab w:val="left" w:pos="2240"/>
        </w:tabs>
        <w:snapToGrid w:val="0"/>
        <w:spacing w:line="380" w:lineRule="exact"/>
        <w:ind w:left="300" w:hanging="300" w:hangingChars="125"/>
        <w:textAlignment w:val="baseline"/>
        <w:rPr>
          <w:rFonts w:hint="eastAsia" w:ascii="宋体" w:hAnsi="宋体" w:eastAsia="宋体" w:cs="宋体"/>
          <w:color w:val="auto"/>
          <w:sz w:val="24"/>
        </w:rPr>
      </w:pPr>
      <w:r>
        <w:rPr>
          <w:rFonts w:hint="eastAsia" w:ascii="宋体" w:hAnsi="宋体" w:eastAsia="宋体" w:cs="宋体"/>
          <w:color w:val="auto"/>
          <w:sz w:val="24"/>
        </w:rPr>
        <w:t>（5）存在其他违法违规行为的。</w:t>
      </w:r>
    </w:p>
    <w:p>
      <w:pPr>
        <w:snapToGrid w:val="0"/>
        <w:spacing w:line="380" w:lineRule="exact"/>
        <w:ind w:left="900" w:hanging="900" w:hangingChars="375"/>
        <w:textAlignment w:val="baseline"/>
        <w:rPr>
          <w:rFonts w:hint="eastAsia" w:ascii="宋体" w:hAnsi="宋体" w:eastAsia="宋体" w:cs="宋体"/>
          <w:color w:val="auto"/>
          <w:sz w:val="24"/>
        </w:rPr>
      </w:pPr>
      <w:bookmarkStart w:id="206" w:name="_Ref467306336"/>
      <w:r>
        <w:rPr>
          <w:rFonts w:hint="eastAsia" w:ascii="宋体" w:hAnsi="宋体" w:eastAsia="宋体" w:cs="宋体"/>
          <w:color w:val="auto"/>
          <w:sz w:val="24"/>
        </w:rPr>
        <w:t>12.3</w:t>
      </w:r>
      <w:r>
        <w:rPr>
          <w:rFonts w:hint="eastAsia" w:ascii="宋体" w:hAnsi="宋体" w:eastAsia="宋体" w:cs="宋体"/>
          <w:color w:val="auto"/>
          <w:sz w:val="24"/>
        </w:rPr>
        <w:tab/>
      </w:r>
      <w:bookmarkEnd w:id="206"/>
      <w:r>
        <w:rPr>
          <w:rFonts w:hint="eastAsia" w:ascii="宋体" w:hAnsi="宋体" w:eastAsia="宋体" w:cs="宋体"/>
          <w:color w:val="auto"/>
          <w:sz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12.4</w:t>
      </w:r>
      <w:r>
        <w:rPr>
          <w:rFonts w:hint="eastAsia" w:ascii="宋体" w:hAnsi="宋体" w:eastAsia="宋体" w:cs="宋体"/>
          <w:color w:val="auto"/>
          <w:sz w:val="24"/>
        </w:rPr>
        <w:tab/>
      </w:r>
      <w:r>
        <w:rPr>
          <w:rFonts w:hint="eastAsia" w:ascii="宋体" w:hAnsi="宋体" w:eastAsia="宋体" w:cs="宋体"/>
          <w:color w:val="auto"/>
          <w:sz w:val="24"/>
        </w:rPr>
        <w:t>供应商未按本须知第12.1和12.3条规定提交磋商保证金的，其磋商将被认定为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12.4.1  采用电汇形式的，一般可以实时入账。</w:t>
      </w:r>
    </w:p>
    <w:p>
      <w:pPr>
        <w:snapToGrid w:val="0"/>
        <w:spacing w:line="380" w:lineRule="exact"/>
        <w:ind w:left="960" w:hanging="960" w:hangingChars="400"/>
        <w:jc w:val="left"/>
        <w:textAlignment w:val="baseline"/>
        <w:rPr>
          <w:rFonts w:hint="eastAsia" w:ascii="宋体" w:hAnsi="宋体" w:eastAsia="宋体" w:cs="宋体"/>
          <w:color w:val="auto"/>
          <w:sz w:val="24"/>
        </w:rPr>
      </w:pPr>
      <w:r>
        <w:rPr>
          <w:rFonts w:hint="eastAsia" w:ascii="宋体" w:hAnsi="宋体" w:eastAsia="宋体" w:cs="宋体"/>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color w:val="auto"/>
          <w:sz w:val="24"/>
        </w:rPr>
        <w:tab/>
      </w:r>
      <w:r>
        <w:rPr>
          <w:rFonts w:hint="eastAsia" w:ascii="宋体" w:hAnsi="宋体" w:eastAsia="宋体" w:cs="宋体"/>
          <w:color w:val="auto"/>
          <w:sz w:val="24"/>
        </w:rPr>
        <w:t>磋商保证金的退还</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12.6.3  政府采购磋商担保函不予退回。</w:t>
      </w:r>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12.7    因供应商自身原因导致无法及时退还的，采购人或采购代理机构将不承担相应责任。</w:t>
      </w:r>
    </w:p>
    <w:p>
      <w:pPr>
        <w:pStyle w:val="6"/>
        <w:snapToGrid w:val="0"/>
        <w:spacing w:before="0" w:after="0" w:line="380" w:lineRule="exact"/>
        <w:textAlignment w:val="baseline"/>
        <w:rPr>
          <w:rFonts w:hint="eastAsia" w:ascii="宋体" w:hAnsi="宋体" w:eastAsia="宋体" w:cs="宋体"/>
          <w:color w:val="auto"/>
          <w:u w:val="none" w:color="auto"/>
        </w:rPr>
      </w:pPr>
      <w:bookmarkStart w:id="207" w:name="_Toc32502"/>
      <w:bookmarkStart w:id="208" w:name="_Toc3815"/>
      <w:bookmarkStart w:id="209" w:name="_Toc29124"/>
      <w:bookmarkStart w:id="210" w:name="_Toc325"/>
      <w:bookmarkStart w:id="211" w:name="_Toc8146"/>
      <w:bookmarkStart w:id="212" w:name="_Toc1400"/>
      <w:bookmarkStart w:id="213" w:name="_Toc32569"/>
      <w:bookmarkStart w:id="214" w:name="_Toc520356157"/>
      <w:bookmarkStart w:id="215" w:name="_Toc20387"/>
      <w:bookmarkStart w:id="216" w:name="_Toc21509"/>
      <w:bookmarkStart w:id="217" w:name="_Toc13454"/>
      <w:bookmarkStart w:id="218" w:name="_Toc277"/>
      <w:bookmarkStart w:id="219" w:name="_Toc23590"/>
      <w:bookmarkStart w:id="220" w:name="_Toc12769"/>
      <w:bookmarkStart w:id="221" w:name="_Toc515647772"/>
      <w:r>
        <w:rPr>
          <w:rFonts w:hint="eastAsia" w:ascii="宋体" w:hAnsi="宋体" w:eastAsia="宋体" w:cs="宋体"/>
          <w:color w:val="auto"/>
          <w:u w:val="none" w:color="auto"/>
        </w:rPr>
        <w:t>13.磋商有效期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磋商应在</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中规定时间内保持有效。磋商有效期不满足要求的磋商，其磋商将被认定为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rPr>
        <w:tab/>
      </w:r>
      <w:r>
        <w:rPr>
          <w:rFonts w:hint="eastAsia" w:ascii="宋体" w:hAnsi="宋体" w:eastAsia="宋体" w:cs="宋体"/>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6"/>
        <w:snapToGrid w:val="0"/>
        <w:spacing w:before="0" w:after="0" w:line="380" w:lineRule="exact"/>
        <w:textAlignment w:val="baseline"/>
        <w:rPr>
          <w:rFonts w:hint="eastAsia" w:ascii="宋体" w:hAnsi="宋体" w:eastAsia="宋体" w:cs="宋体"/>
          <w:color w:val="auto"/>
          <w:u w:val="none" w:color="auto"/>
        </w:rPr>
      </w:pPr>
      <w:bookmarkStart w:id="222" w:name="_Toc520356158"/>
      <w:bookmarkStart w:id="223" w:name="_Toc26606"/>
      <w:bookmarkStart w:id="224" w:name="_Toc21843"/>
      <w:bookmarkStart w:id="225" w:name="_Toc493"/>
      <w:bookmarkStart w:id="226" w:name="_Toc515647773"/>
      <w:bookmarkStart w:id="227" w:name="_Toc4551"/>
      <w:bookmarkStart w:id="228" w:name="_Toc19311"/>
      <w:bookmarkStart w:id="229" w:name="_Toc17074"/>
      <w:bookmarkStart w:id="230" w:name="_Toc28395"/>
      <w:bookmarkStart w:id="231" w:name="_Toc14581"/>
      <w:bookmarkStart w:id="232" w:name="_Toc29649"/>
      <w:bookmarkStart w:id="233" w:name="_Toc2500"/>
      <w:bookmarkStart w:id="234" w:name="_Toc24880"/>
      <w:bookmarkStart w:id="235" w:name="_Toc540"/>
      <w:bookmarkStart w:id="236" w:name="_Toc3702"/>
      <w:r>
        <w:rPr>
          <w:rFonts w:hint="eastAsia" w:ascii="宋体" w:hAnsi="宋体" w:eastAsia="宋体" w:cs="宋体"/>
          <w:color w:val="auto"/>
          <w:u w:val="none" w:color="auto"/>
        </w:rPr>
        <w:t>14.响应文件的签署</w:t>
      </w:r>
      <w:bookmarkEnd w:id="222"/>
      <w:r>
        <w:rPr>
          <w:rFonts w:hint="eastAsia" w:ascii="宋体" w:hAnsi="宋体" w:eastAsia="宋体" w:cs="宋体"/>
          <w:color w:val="auto"/>
          <w:u w:val="none" w:color="auto"/>
        </w:rPr>
        <w:t>及规定</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380" w:lineRule="exact"/>
        <w:ind w:left="900" w:hanging="900" w:hangingChars="375"/>
        <w:rPr>
          <w:rFonts w:hint="eastAsia" w:ascii="宋体" w:hAnsi="宋体" w:eastAsia="宋体" w:cs="宋体"/>
          <w:color w:val="auto"/>
          <w:sz w:val="24"/>
        </w:rPr>
      </w:pPr>
      <w:bookmarkStart w:id="237" w:name="_Toc216582808"/>
      <w:bookmarkStart w:id="238" w:name="_Toc16865"/>
      <w:bookmarkStart w:id="239" w:name="_Toc8711"/>
      <w:bookmarkStart w:id="240" w:name="_Toc520356159"/>
      <w:bookmarkStart w:id="241" w:name="_Toc11179"/>
      <w:bookmarkStart w:id="242" w:name="_Toc515647774"/>
      <w:bookmarkStart w:id="243" w:name="_Toc3461"/>
      <w:r>
        <w:rPr>
          <w:rFonts w:hint="eastAsia" w:ascii="宋体" w:hAnsi="宋体" w:eastAsia="宋体" w:cs="宋体"/>
          <w:color w:val="auto"/>
          <w:sz w:val="24"/>
        </w:rPr>
        <w:t>14.1</w:t>
      </w:r>
      <w:r>
        <w:rPr>
          <w:rFonts w:hint="eastAsia" w:ascii="宋体" w:hAnsi="宋体" w:eastAsia="宋体" w:cs="宋体"/>
          <w:color w:val="auto"/>
          <w:sz w:val="24"/>
        </w:rPr>
        <w:tab/>
      </w:r>
      <w:r>
        <w:rPr>
          <w:rFonts w:hint="eastAsia" w:ascii="宋体" w:hAnsi="宋体" w:eastAsia="宋体" w:cs="宋体"/>
          <w:color w:val="auto"/>
          <w:sz w:val="24"/>
        </w:rPr>
        <w:t>供应商应按供应商须知资料表中的规定，准备和递交响应文件、磋商报价一览表”。</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rPr>
        <w:tab/>
      </w:r>
      <w:r>
        <w:rPr>
          <w:rFonts w:hint="eastAsia" w:ascii="宋体" w:hAnsi="宋体" w:eastAsia="宋体" w:cs="宋体"/>
          <w:b/>
          <w:bCs/>
          <w:color w:val="auto"/>
          <w:sz w:val="24"/>
        </w:rPr>
        <w:t>响应文件的正本需打印或用不褪色墨水书写，并由供应商的法定代表人或经其正式委托代理人按招标文件规定在响应文件上签字或盖章并加盖单位印章。</w:t>
      </w:r>
      <w:r>
        <w:rPr>
          <w:rFonts w:hint="eastAsia" w:ascii="宋体" w:hAnsi="宋体" w:eastAsia="宋体" w:cs="宋体"/>
          <w:color w:val="auto"/>
          <w:sz w:val="24"/>
        </w:rPr>
        <w:t>委托代理人须持有书面的“法定代表人授权委托书”（投标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响应文件因字迹潦草、表达不清或装订不当所引起的后果由供应商负责。</w:t>
      </w:r>
    </w:p>
    <w:p>
      <w:pPr>
        <w:jc w:val="center"/>
        <w:rPr>
          <w:rFonts w:hint="eastAsia" w:ascii="宋体" w:hAnsi="宋体" w:eastAsia="宋体" w:cs="宋体"/>
          <w:b/>
          <w:color w:val="auto"/>
          <w:kern w:val="0"/>
          <w:sz w:val="24"/>
          <w:szCs w:val="24"/>
          <w:u w:val="none" w:color="auto"/>
          <w:lang w:val="en-US" w:eastAsia="zh-CN" w:bidi="ar-SA"/>
        </w:rPr>
      </w:pPr>
      <w:bookmarkStart w:id="244" w:name="_Toc20972"/>
      <w:r>
        <w:rPr>
          <w:rFonts w:hint="eastAsia" w:ascii="宋体" w:hAnsi="宋体" w:eastAsia="宋体" w:cs="宋体"/>
          <w:b/>
          <w:color w:val="auto"/>
          <w:kern w:val="0"/>
          <w:sz w:val="24"/>
          <w:szCs w:val="24"/>
          <w:u w:val="none" w:color="auto"/>
          <w:lang w:val="en-US" w:eastAsia="zh-CN" w:bidi="ar-SA"/>
        </w:rPr>
        <w:t>四   响应文件的递交</w:t>
      </w:r>
      <w:bookmarkEnd w:id="237"/>
      <w:bookmarkEnd w:id="238"/>
      <w:bookmarkEnd w:id="239"/>
      <w:bookmarkEnd w:id="240"/>
      <w:bookmarkEnd w:id="241"/>
      <w:bookmarkEnd w:id="242"/>
      <w:bookmarkEnd w:id="243"/>
      <w:bookmarkEnd w:id="244"/>
    </w:p>
    <w:p>
      <w:pPr>
        <w:pStyle w:val="2"/>
        <w:rPr>
          <w:rFonts w:hint="eastAsia"/>
          <w:color w:val="auto"/>
          <w:lang w:val="en-US" w:eastAsia="zh-CN"/>
        </w:rPr>
      </w:pPr>
    </w:p>
    <w:p>
      <w:pPr>
        <w:pStyle w:val="6"/>
        <w:numPr>
          <w:ilvl w:val="0"/>
          <w:numId w:val="3"/>
        </w:numPr>
        <w:snapToGrid w:val="0"/>
        <w:spacing w:before="0" w:after="0" w:line="380" w:lineRule="exact"/>
        <w:textAlignment w:val="baseline"/>
        <w:rPr>
          <w:rFonts w:hint="eastAsia" w:ascii="宋体" w:hAnsi="宋体" w:eastAsia="宋体" w:cs="宋体"/>
          <w:color w:val="auto"/>
          <w:u w:val="none" w:color="auto"/>
        </w:rPr>
      </w:pPr>
      <w:bookmarkStart w:id="245" w:name="_Toc4164"/>
      <w:bookmarkStart w:id="246" w:name="_Toc16507"/>
      <w:bookmarkStart w:id="247" w:name="_Toc13617"/>
      <w:bookmarkStart w:id="248" w:name="_Toc6764"/>
      <w:bookmarkStart w:id="249" w:name="_Toc21645"/>
      <w:bookmarkStart w:id="250" w:name="_Toc32350"/>
      <w:bookmarkStart w:id="251" w:name="_Toc515647775"/>
      <w:bookmarkStart w:id="252" w:name="_Toc9759"/>
      <w:bookmarkStart w:id="253" w:name="_Toc520356160"/>
      <w:bookmarkStart w:id="254" w:name="_Toc22380"/>
      <w:bookmarkStart w:id="255" w:name="_Toc32337"/>
      <w:bookmarkStart w:id="256" w:name="_Toc6188"/>
      <w:bookmarkStart w:id="257" w:name="_Toc30799"/>
      <w:bookmarkStart w:id="258" w:name="_Toc415"/>
      <w:bookmarkStart w:id="259" w:name="_Toc24069"/>
      <w:r>
        <w:rPr>
          <w:rFonts w:hint="eastAsia" w:ascii="宋体" w:hAnsi="宋体" w:eastAsia="宋体" w:cs="宋体"/>
          <w:color w:val="auto"/>
          <w:u w:val="none" w:color="auto"/>
        </w:rPr>
        <w:t>响应文件的密封和标记</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ind w:left="900" w:hanging="900" w:hangingChars="375"/>
        <w:jc w:val="left"/>
        <w:rPr>
          <w:rFonts w:hint="eastAsia" w:ascii="宋体" w:hAnsi="宋体" w:eastAsia="宋体" w:cs="宋体"/>
          <w:b/>
          <w:color w:val="auto"/>
          <w:kern w:val="0"/>
          <w:sz w:val="24"/>
          <w:szCs w:val="20"/>
          <w:u w:val="none" w:color="auto"/>
          <w:lang w:val="en-US" w:eastAsia="zh-CN" w:bidi="ar-SA"/>
        </w:rPr>
      </w:pPr>
      <w:bookmarkStart w:id="260" w:name="_Toc8557"/>
      <w:bookmarkStart w:id="261" w:name="_Toc27010"/>
      <w:bookmarkStart w:id="262" w:name="_Toc24025"/>
      <w:bookmarkStart w:id="263" w:name="_Toc520356161"/>
      <w:bookmarkStart w:id="264" w:name="_Toc3372"/>
      <w:bookmarkStart w:id="265" w:name="_Toc9840"/>
      <w:bookmarkStart w:id="266" w:name="_Toc12751"/>
      <w:bookmarkStart w:id="267" w:name="_Toc9452"/>
      <w:bookmarkStart w:id="268" w:name="_Toc11639"/>
      <w:bookmarkStart w:id="269" w:name="_Toc18350"/>
      <w:bookmarkStart w:id="270" w:name="_Toc7478"/>
      <w:bookmarkStart w:id="271" w:name="_Toc31921"/>
      <w:bookmarkStart w:id="272" w:name="_Toc515647776"/>
      <w:bookmarkStart w:id="273" w:name="_Toc2068"/>
      <w:bookmarkStart w:id="274" w:name="_Toc26069"/>
      <w:r>
        <w:rPr>
          <w:rFonts w:hint="default" w:ascii="宋体" w:hAnsi="宋体" w:eastAsia="宋体" w:cs="宋体"/>
          <w:color w:val="auto"/>
          <w:sz w:val="24"/>
        </w:rPr>
        <w:t>15.1</w:t>
      </w:r>
      <w:r>
        <w:rPr>
          <w:rFonts w:hint="default" w:ascii="Times New Roman" w:hAnsi="Times New Roman" w:eastAsia="仿宋"/>
          <w:color w:val="auto"/>
          <w:sz w:val="24"/>
        </w:rPr>
        <w:t xml:space="preserve">  </w:t>
      </w:r>
      <w:r>
        <w:rPr>
          <w:rFonts w:hint="eastAsia" w:ascii="Times New Roman" w:hAnsi="Times New Roman" w:eastAsia="仿宋"/>
          <w:color w:val="auto"/>
          <w:sz w:val="24"/>
          <w:lang w:val="en-US" w:eastAsia="zh-CN"/>
        </w:rPr>
        <w:t xml:space="preserve"> </w:t>
      </w:r>
      <w:r>
        <w:rPr>
          <w:rFonts w:hint="eastAsia" w:ascii="宋体" w:hAnsi="宋体" w:eastAsia="宋体" w:cs="宋体"/>
          <w:b/>
          <w:color w:val="auto"/>
          <w:kern w:val="0"/>
          <w:sz w:val="24"/>
          <w:szCs w:val="20"/>
          <w:u w:val="none" w:color="auto"/>
          <w:lang w:val="en-US" w:eastAsia="zh-CN" w:bidi="ar-SA"/>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80" w:lineRule="exact"/>
        <w:ind w:left="900" w:hanging="900" w:hangingChars="375"/>
        <w:rPr>
          <w:rFonts w:hint="eastAsia" w:ascii="宋体" w:hAnsi="宋体" w:eastAsia="宋体" w:cs="宋体"/>
          <w:color w:val="auto"/>
          <w:sz w:val="24"/>
        </w:rPr>
      </w:pPr>
      <w:r>
        <w:rPr>
          <w:rFonts w:hint="default" w:ascii="宋体" w:hAnsi="宋体" w:eastAsia="宋体" w:cs="宋体"/>
          <w:color w:val="auto"/>
          <w:sz w:val="24"/>
        </w:rPr>
        <w:t xml:space="preserve">15.2 </w:t>
      </w:r>
      <w:r>
        <w:rPr>
          <w:rFonts w:hint="default" w:ascii="Times New Roman" w:hAnsi="Times New Roman" w:eastAsia="仿宋"/>
          <w:color w:val="auto"/>
          <w:sz w:val="24"/>
        </w:rPr>
        <w:t xml:space="preserve"> </w:t>
      </w:r>
      <w:r>
        <w:rPr>
          <w:rFonts w:hint="default" w:ascii="宋体" w:hAnsi="宋体" w:eastAsia="宋体" w:cs="宋体"/>
          <w:color w:val="auto"/>
          <w:sz w:val="24"/>
        </w:rPr>
        <w:t xml:space="preserve"> 所有</w:t>
      </w:r>
      <w:r>
        <w:rPr>
          <w:rFonts w:hint="eastAsia" w:ascii="宋体" w:hAnsi="宋体" w:eastAsia="宋体" w:cs="宋体"/>
          <w:color w:val="auto"/>
          <w:sz w:val="24"/>
          <w:lang w:val="en-US" w:eastAsia="zh-CN"/>
        </w:rPr>
        <w:t>电子投标文件封皮</w:t>
      </w:r>
      <w:r>
        <w:rPr>
          <w:rFonts w:hint="default" w:ascii="宋体" w:hAnsi="宋体" w:eastAsia="宋体" w:cs="宋体"/>
          <w:color w:val="auto"/>
          <w:sz w:val="24"/>
        </w:rPr>
        <w:t>应：</w:t>
      </w:r>
    </w:p>
    <w:p>
      <w:pPr>
        <w:spacing w:line="380" w:lineRule="exact"/>
        <w:ind w:left="900" w:hanging="900" w:hangingChars="375"/>
        <w:rPr>
          <w:rFonts w:hint="default"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default" w:ascii="宋体" w:hAnsi="宋体" w:eastAsia="宋体" w:cs="宋体"/>
          <w:color w:val="auto"/>
          <w:sz w:val="24"/>
        </w:rPr>
        <w:t>注明招标公告或投标邀请书中指明的项目名称、招标编号、投标人名称和“在（开标时间）之前不得启封”的字样。</w:t>
      </w:r>
    </w:p>
    <w:p>
      <w:pPr>
        <w:spacing w:line="380" w:lineRule="exact"/>
        <w:ind w:left="900" w:hanging="900" w:hangingChars="375"/>
        <w:rPr>
          <w:rFonts w:hint="default" w:ascii="宋体" w:hAnsi="宋体" w:eastAsia="宋体" w:cs="宋体"/>
          <w:b/>
          <w:color w:val="auto"/>
          <w:kern w:val="0"/>
          <w:sz w:val="24"/>
          <w:szCs w:val="20"/>
          <w:u w:val="none" w:color="auto"/>
          <w:lang w:val="en-US" w:eastAsia="zh-CN" w:bidi="ar-SA"/>
        </w:rPr>
      </w:pPr>
      <w:r>
        <w:rPr>
          <w:rFonts w:hint="default" w:ascii="宋体" w:hAnsi="宋体" w:eastAsia="宋体" w:cs="宋体"/>
          <w:color w:val="auto"/>
          <w:sz w:val="24"/>
        </w:rPr>
        <w:t>15.</w:t>
      </w:r>
      <w:r>
        <w:rPr>
          <w:rFonts w:hint="eastAsia" w:ascii="宋体" w:hAnsi="宋体" w:eastAsia="宋体" w:cs="宋体"/>
          <w:color w:val="auto"/>
          <w:sz w:val="24"/>
        </w:rPr>
        <w:t>3</w:t>
      </w:r>
      <w:r>
        <w:rPr>
          <w:rFonts w:hint="default" w:ascii="宋体" w:hAnsi="宋体" w:eastAsia="宋体" w:cs="宋体"/>
          <w:color w:val="auto"/>
          <w:sz w:val="24"/>
        </w:rPr>
        <w:t xml:space="preserve">    如果投标人未按上述要求</w:t>
      </w:r>
      <w:r>
        <w:rPr>
          <w:rFonts w:hint="eastAsia" w:ascii="宋体" w:hAnsi="宋体" w:eastAsia="宋体" w:cs="宋体"/>
          <w:color w:val="auto"/>
          <w:sz w:val="24"/>
          <w:lang w:val="en-US" w:eastAsia="zh-CN"/>
        </w:rPr>
        <w:t>标记的</w:t>
      </w:r>
      <w:r>
        <w:rPr>
          <w:rFonts w:hint="default" w:ascii="宋体" w:hAnsi="宋体" w:eastAsia="宋体" w:cs="宋体"/>
          <w:color w:val="auto"/>
          <w:sz w:val="24"/>
        </w:rPr>
        <w:t>，其</w:t>
      </w:r>
      <w:r>
        <w:rPr>
          <w:rFonts w:hint="eastAsia" w:ascii="宋体" w:hAnsi="宋体" w:eastAsia="宋体" w:cs="宋体"/>
          <w:color w:val="auto"/>
          <w:sz w:val="24"/>
        </w:rPr>
        <w:t>投标文件</w:t>
      </w:r>
      <w:r>
        <w:rPr>
          <w:rFonts w:hint="default" w:ascii="宋体" w:hAnsi="宋体" w:eastAsia="宋体" w:cs="宋体"/>
          <w:color w:val="auto"/>
          <w:sz w:val="24"/>
        </w:rPr>
        <w:t>将</w:t>
      </w:r>
      <w:r>
        <w:rPr>
          <w:rFonts w:hint="default" w:ascii="宋体" w:hAnsi="宋体" w:eastAsia="宋体" w:cs="宋体"/>
          <w:b/>
          <w:color w:val="auto"/>
          <w:kern w:val="0"/>
          <w:sz w:val="24"/>
          <w:szCs w:val="20"/>
          <w:u w:val="none" w:color="auto"/>
          <w:lang w:val="en-US" w:eastAsia="zh-CN" w:bidi="ar-SA"/>
        </w:rPr>
        <w:t>被</w:t>
      </w:r>
      <w:r>
        <w:rPr>
          <w:rFonts w:hint="eastAsia" w:ascii="宋体" w:hAnsi="宋体" w:eastAsia="宋体" w:cs="宋体"/>
          <w:b/>
          <w:color w:val="auto"/>
          <w:kern w:val="0"/>
          <w:sz w:val="24"/>
          <w:szCs w:val="20"/>
          <w:u w:val="none" w:color="auto"/>
          <w:lang w:val="en-US" w:eastAsia="zh-CN" w:bidi="ar-SA"/>
        </w:rPr>
        <w:t>拒绝接收</w:t>
      </w:r>
      <w:r>
        <w:rPr>
          <w:rFonts w:hint="default" w:ascii="宋体" w:hAnsi="宋体" w:eastAsia="宋体" w:cs="宋体"/>
          <w:b/>
          <w:color w:val="auto"/>
          <w:kern w:val="0"/>
          <w:sz w:val="24"/>
          <w:szCs w:val="20"/>
          <w:u w:val="none" w:color="auto"/>
          <w:lang w:val="en-US" w:eastAsia="zh-CN" w:bidi="ar-SA"/>
        </w:rPr>
        <w:t>。</w:t>
      </w:r>
    </w:p>
    <w:p>
      <w:pPr>
        <w:pStyle w:val="6"/>
        <w:snapToGrid w:val="0"/>
        <w:spacing w:before="0" w:after="0" w:line="380" w:lineRule="exact"/>
        <w:textAlignment w:val="baseline"/>
        <w:rPr>
          <w:rFonts w:hint="eastAsia" w:ascii="宋体" w:hAnsi="宋体" w:eastAsia="宋体" w:cs="宋体"/>
          <w:color w:val="auto"/>
          <w:u w:val="none" w:color="auto"/>
        </w:rPr>
      </w:pPr>
      <w:r>
        <w:rPr>
          <w:rFonts w:hint="eastAsia" w:ascii="宋体" w:hAnsi="宋体" w:eastAsia="宋体" w:cs="宋体"/>
          <w:color w:val="auto"/>
          <w:u w:val="none" w:color="auto"/>
        </w:rPr>
        <w:t>16.磋商截止</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16.1</w:t>
      </w:r>
      <w:r>
        <w:rPr>
          <w:rFonts w:hint="eastAsia" w:ascii="宋体" w:hAnsi="宋体" w:eastAsia="宋体" w:cs="宋体"/>
          <w:color w:val="auto"/>
          <w:sz w:val="24"/>
        </w:rPr>
        <w:tab/>
      </w:r>
      <w:r>
        <w:rPr>
          <w:rFonts w:hint="eastAsia" w:ascii="宋体" w:hAnsi="宋体" w:eastAsia="宋体" w:cs="宋体"/>
          <w:color w:val="auto"/>
          <w:sz w:val="24"/>
        </w:rPr>
        <w:t>供应商应在供应商须知资料表中规定的截止时间前，将响应文件上传到磋商公告中规定的地点。</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16.2</w:t>
      </w:r>
      <w:r>
        <w:rPr>
          <w:rFonts w:hint="eastAsia" w:ascii="宋体" w:hAnsi="宋体" w:eastAsia="宋体" w:cs="宋体"/>
          <w:color w:val="auto"/>
          <w:sz w:val="24"/>
        </w:rPr>
        <w:tab/>
      </w:r>
      <w:r>
        <w:rPr>
          <w:rFonts w:hint="eastAsia" w:ascii="宋体" w:hAnsi="宋体" w:eastAsia="宋体" w:cs="宋体"/>
          <w:color w:val="auto"/>
          <w:sz w:val="24"/>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16.3</w:t>
      </w:r>
      <w:r>
        <w:rPr>
          <w:rFonts w:hint="eastAsia" w:ascii="宋体" w:hAnsi="宋体" w:eastAsia="宋体" w:cs="宋体"/>
          <w:color w:val="auto"/>
          <w:sz w:val="24"/>
        </w:rPr>
        <w:tab/>
      </w:r>
      <w:r>
        <w:rPr>
          <w:rFonts w:hint="eastAsia" w:ascii="宋体" w:hAnsi="宋体" w:eastAsia="宋体" w:cs="宋体"/>
          <w:color w:val="auto"/>
          <w:sz w:val="24"/>
        </w:rPr>
        <w:t>采购人和采购代理机构将拒绝接收在磋商截止时间后上传的响应文件。</w:t>
      </w:r>
    </w:p>
    <w:p>
      <w:pPr>
        <w:pStyle w:val="6"/>
        <w:snapToGrid w:val="0"/>
        <w:spacing w:before="0" w:after="0" w:line="380" w:lineRule="exact"/>
        <w:textAlignment w:val="baseline"/>
        <w:rPr>
          <w:rFonts w:hint="eastAsia" w:ascii="宋体" w:hAnsi="宋体" w:eastAsia="宋体" w:cs="宋体"/>
          <w:color w:val="auto"/>
          <w:u w:val="none" w:color="auto"/>
        </w:rPr>
      </w:pPr>
      <w:bookmarkStart w:id="275" w:name="_Toc18594"/>
      <w:bookmarkStart w:id="276" w:name="_Toc18537"/>
      <w:bookmarkStart w:id="277" w:name="_Toc515647777"/>
      <w:bookmarkStart w:id="278" w:name="_Toc29943"/>
      <w:bookmarkStart w:id="279" w:name="_Toc23557"/>
      <w:bookmarkStart w:id="280" w:name="_Toc7274"/>
      <w:bookmarkStart w:id="281" w:name="_Toc520356162"/>
      <w:bookmarkStart w:id="282" w:name="_Toc3014"/>
      <w:bookmarkStart w:id="283" w:name="_Toc11003"/>
      <w:bookmarkStart w:id="284" w:name="_Toc9478"/>
      <w:bookmarkStart w:id="285" w:name="_Toc24275"/>
      <w:bookmarkStart w:id="286" w:name="_Toc22201"/>
      <w:bookmarkStart w:id="287" w:name="_Toc31057"/>
      <w:bookmarkStart w:id="288" w:name="_Toc10299"/>
      <w:bookmarkStart w:id="289" w:name="_Toc21926"/>
      <w:r>
        <w:rPr>
          <w:rFonts w:hint="eastAsia" w:ascii="宋体" w:hAnsi="宋体" w:eastAsia="宋体" w:cs="宋体"/>
          <w:color w:val="auto"/>
          <w:u w:val="none" w:color="auto"/>
        </w:rPr>
        <w:t>17.响应文件的接收、修改与撤回</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17.1</w:t>
      </w:r>
      <w:r>
        <w:rPr>
          <w:rFonts w:hint="eastAsia" w:ascii="宋体" w:hAnsi="宋体" w:eastAsia="宋体" w:cs="宋体"/>
          <w:color w:val="auto"/>
          <w:sz w:val="24"/>
        </w:rPr>
        <w:tab/>
      </w:r>
      <w:r>
        <w:rPr>
          <w:rFonts w:hint="eastAsia" w:ascii="宋体" w:hAnsi="宋体" w:eastAsia="宋体" w:cs="宋体"/>
          <w:color w:val="auto"/>
          <w:sz w:val="24"/>
        </w:rPr>
        <w:t>在磋商截止时间后上传的响应文件的，采购人和采购代理机构将拒绝接收。</w:t>
      </w:r>
    </w:p>
    <w:p>
      <w:pPr>
        <w:snapToGrid w:val="0"/>
        <w:spacing w:line="380" w:lineRule="exact"/>
        <w:ind w:left="840" w:hanging="840" w:hangingChars="350"/>
        <w:textAlignment w:val="baseline"/>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rPr>
        <w:tab/>
      </w:r>
      <w:r>
        <w:rPr>
          <w:rFonts w:hint="eastAsia" w:ascii="宋体" w:hAnsi="宋体" w:eastAsia="宋体" w:cs="宋体"/>
          <w:color w:val="auto"/>
          <w:sz w:val="24"/>
        </w:rPr>
        <w:t>上传响应文件以后，如果供应商要进行修改或撤回磋商，供应商对响应文件的修改或撤回通知应按本须知规定编制、标记。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hint="eastAsia" w:ascii="宋体" w:hAnsi="宋体" w:eastAsia="宋体" w:cs="宋体"/>
          <w:color w:val="auto"/>
          <w:sz w:val="24"/>
        </w:rPr>
      </w:pPr>
      <w:r>
        <w:rPr>
          <w:rFonts w:hint="eastAsia" w:ascii="宋体" w:hAnsi="宋体" w:eastAsia="宋体" w:cs="宋体"/>
          <w:color w:val="auto"/>
          <w:sz w:val="24"/>
        </w:rPr>
        <w:t>采购人和采购代理机构将予以接收，并视为响应文件的组成部分。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cs="宋体"/>
          <w:color w:val="auto"/>
          <w:sz w:val="24"/>
          <w:lang w:val="en-US" w:eastAsia="zh-CN"/>
        </w:rPr>
        <w:t>.</w:t>
      </w:r>
      <w:r>
        <w:rPr>
          <w:rFonts w:hint="eastAsia" w:ascii="宋体" w:hAnsi="宋体" w:eastAsia="宋体" w:cs="宋体"/>
          <w:color w:val="auto"/>
          <w:sz w:val="24"/>
        </w:rPr>
        <w:t>3</w:t>
      </w:r>
      <w:r>
        <w:rPr>
          <w:rFonts w:hint="eastAsia" w:ascii="宋体" w:hAnsi="宋体" w:eastAsia="宋体" w:cs="宋体"/>
          <w:color w:val="auto"/>
          <w:sz w:val="24"/>
        </w:rPr>
        <w:tab/>
      </w:r>
      <w:r>
        <w:rPr>
          <w:rFonts w:hint="eastAsia" w:ascii="宋体" w:hAnsi="宋体" w:eastAsia="宋体" w:cs="宋体"/>
          <w:color w:val="auto"/>
          <w:sz w:val="24"/>
        </w:rPr>
        <w:t>在磋商截止期之后，采购人和采购代理机构不接受供应商主动对其响应文件做任何修改。</w:t>
      </w:r>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17.4</w:t>
      </w:r>
      <w:r>
        <w:rPr>
          <w:rFonts w:hint="eastAsia" w:ascii="宋体" w:hAnsi="宋体" w:eastAsia="宋体" w:cs="宋体"/>
          <w:color w:val="auto"/>
          <w:sz w:val="24"/>
        </w:rPr>
        <w:tab/>
      </w:r>
      <w:r>
        <w:rPr>
          <w:rFonts w:hint="eastAsia" w:ascii="宋体" w:hAnsi="宋体" w:eastAsia="宋体" w:cs="宋体"/>
          <w:color w:val="auto"/>
          <w:sz w:val="24"/>
        </w:rPr>
        <w:t>采购人和采购代理机构对所接收响应文件概不退回。</w:t>
      </w:r>
    </w:p>
    <w:p>
      <w:pPr>
        <w:pStyle w:val="5"/>
        <w:snapToGrid w:val="0"/>
        <w:spacing w:before="0" w:line="380" w:lineRule="exact"/>
        <w:ind w:hanging="540"/>
        <w:textAlignment w:val="baseline"/>
        <w:rPr>
          <w:rFonts w:hint="eastAsia" w:ascii="宋体" w:hAnsi="宋体" w:eastAsia="宋体" w:cs="宋体"/>
          <w:color w:val="auto"/>
          <w:sz w:val="24"/>
        </w:rPr>
      </w:pPr>
      <w:bookmarkStart w:id="290" w:name="_Toc515647778"/>
      <w:bookmarkStart w:id="291" w:name="_Toc12436"/>
      <w:bookmarkStart w:id="292" w:name="_Toc216582809"/>
      <w:bookmarkStart w:id="293" w:name="_Toc520356163"/>
      <w:bookmarkStart w:id="294" w:name="_Toc27283"/>
      <w:bookmarkStart w:id="295" w:name="_Toc16124"/>
      <w:bookmarkStart w:id="296" w:name="_Toc28398"/>
      <w:bookmarkStart w:id="297" w:name="_Toc19339"/>
    </w:p>
    <w:p>
      <w:pPr>
        <w:jc w:val="center"/>
        <w:rPr>
          <w:rFonts w:hint="eastAsia" w:ascii="宋体" w:hAnsi="宋体" w:eastAsia="宋体" w:cs="宋体"/>
          <w:b/>
          <w:color w:val="auto"/>
          <w:kern w:val="0"/>
          <w:sz w:val="24"/>
          <w:szCs w:val="24"/>
          <w:u w:val="none" w:color="auto"/>
          <w:lang w:val="en-US" w:eastAsia="zh-CN" w:bidi="ar-SA"/>
        </w:rPr>
      </w:pPr>
    </w:p>
    <w:p>
      <w:pPr>
        <w:jc w:val="center"/>
        <w:rPr>
          <w:rFonts w:hint="eastAsia" w:ascii="宋体" w:hAnsi="宋体" w:eastAsia="宋体" w:cs="宋体"/>
          <w:b/>
          <w:color w:val="auto"/>
          <w:kern w:val="0"/>
          <w:sz w:val="24"/>
          <w:szCs w:val="24"/>
          <w:u w:val="none" w:color="auto"/>
          <w:lang w:val="en-US" w:eastAsia="zh-CN" w:bidi="ar-SA"/>
        </w:rPr>
      </w:pPr>
      <w:r>
        <w:rPr>
          <w:rFonts w:hint="eastAsia" w:ascii="宋体" w:hAnsi="宋体" w:eastAsia="宋体" w:cs="宋体"/>
          <w:b/>
          <w:color w:val="auto"/>
          <w:kern w:val="0"/>
          <w:sz w:val="24"/>
          <w:szCs w:val="24"/>
          <w:u w:val="none" w:color="auto"/>
          <w:lang w:val="en-US" w:eastAsia="zh-CN" w:bidi="ar-SA"/>
        </w:rPr>
        <w:t>五   磋商及评</w:t>
      </w:r>
      <w:bookmarkEnd w:id="290"/>
      <w:bookmarkEnd w:id="291"/>
      <w:bookmarkEnd w:id="292"/>
      <w:bookmarkEnd w:id="293"/>
      <w:bookmarkEnd w:id="294"/>
      <w:bookmarkEnd w:id="295"/>
      <w:bookmarkEnd w:id="296"/>
      <w:r>
        <w:rPr>
          <w:rFonts w:hint="eastAsia" w:ascii="宋体" w:hAnsi="宋体" w:eastAsia="宋体" w:cs="宋体"/>
          <w:b/>
          <w:color w:val="auto"/>
          <w:kern w:val="0"/>
          <w:sz w:val="24"/>
          <w:szCs w:val="24"/>
          <w:u w:val="none" w:color="auto"/>
          <w:lang w:val="en-US" w:eastAsia="zh-CN" w:bidi="ar-SA"/>
        </w:rPr>
        <w:t>审</w:t>
      </w:r>
      <w:bookmarkEnd w:id="297"/>
    </w:p>
    <w:p>
      <w:pPr>
        <w:pStyle w:val="6"/>
        <w:numPr>
          <w:ilvl w:val="0"/>
          <w:numId w:val="4"/>
        </w:numPr>
        <w:snapToGrid w:val="0"/>
        <w:spacing w:before="0" w:after="0" w:line="380" w:lineRule="exact"/>
        <w:textAlignment w:val="baseline"/>
        <w:rPr>
          <w:rFonts w:hint="eastAsia" w:ascii="宋体" w:hAnsi="宋体" w:eastAsia="宋体" w:cs="宋体"/>
          <w:color w:val="auto"/>
          <w:u w:val="none" w:color="auto"/>
        </w:rPr>
      </w:pPr>
      <w:bookmarkStart w:id="298" w:name="_Toc26662"/>
      <w:bookmarkStart w:id="299" w:name="_Toc29744"/>
      <w:bookmarkStart w:id="300" w:name="_Toc20787"/>
      <w:bookmarkStart w:id="301" w:name="_Toc5344"/>
      <w:r>
        <w:rPr>
          <w:rFonts w:hint="eastAsia" w:ascii="宋体" w:hAnsi="宋体" w:eastAsia="宋体" w:cs="宋体"/>
          <w:color w:val="auto"/>
          <w:u w:val="none" w:color="auto"/>
        </w:rPr>
        <w:t>磋商</w:t>
      </w:r>
      <w:bookmarkEnd w:id="298"/>
      <w:bookmarkEnd w:id="299"/>
      <w:bookmarkEnd w:id="300"/>
      <w:bookmarkEnd w:id="301"/>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采购人和采购代理机构将按</w:t>
      </w:r>
      <w:r>
        <w:rPr>
          <w:rFonts w:hint="eastAsia" w:ascii="宋体" w:hAnsi="宋体" w:eastAsia="宋体" w:cs="宋体"/>
          <w:b/>
          <w:bCs/>
          <w:color w:val="auto"/>
          <w:sz w:val="24"/>
          <w:u w:val="single"/>
        </w:rPr>
        <w:t>投标人须知资料表</w:t>
      </w:r>
      <w:r>
        <w:rPr>
          <w:rFonts w:hint="eastAsia" w:ascii="宋体" w:hAnsi="宋体" w:eastAsia="宋体" w:cs="宋体"/>
          <w:color w:val="auto"/>
          <w:sz w:val="24"/>
        </w:rPr>
        <w:t>中规定的开标时间和地点组织开标</w:t>
      </w:r>
      <w:r>
        <w:rPr>
          <w:rFonts w:hint="eastAsia" w:ascii="宋体" w:hAnsi="宋体" w:eastAsia="宋体" w:cs="宋体"/>
          <w:color w:val="auto"/>
          <w:sz w:val="24"/>
          <w:lang w:eastAsia="zh-CN"/>
        </w:rPr>
        <w:t>，</w:t>
      </w:r>
      <w:r>
        <w:rPr>
          <w:rFonts w:hint="eastAsia" w:ascii="宋体" w:hAnsi="宋体" w:eastAsia="宋体" w:cs="宋体"/>
          <w:color w:val="auto"/>
          <w:sz w:val="24"/>
        </w:rPr>
        <w:t>并邀请所有投标人代表</w:t>
      </w:r>
      <w:r>
        <w:rPr>
          <w:rFonts w:hint="eastAsia" w:ascii="宋体" w:hAnsi="宋体" w:eastAsia="宋体" w:cs="宋体"/>
          <w:color w:val="auto"/>
          <w:sz w:val="24"/>
          <w:lang w:eastAsia="zh-CN"/>
        </w:rPr>
        <w:t>在线（新疆政府采购网政采云平台开标大厅）</w:t>
      </w:r>
      <w:r>
        <w:rPr>
          <w:rFonts w:hint="eastAsia" w:ascii="宋体" w:hAnsi="宋体" w:eastAsia="宋体" w:cs="宋体"/>
          <w:color w:val="auto"/>
          <w:sz w:val="24"/>
        </w:rPr>
        <w:t>参加。</w:t>
      </w:r>
    </w:p>
    <w:p>
      <w:pPr>
        <w:numPr>
          <w:ilvl w:val="0"/>
          <w:numId w:val="0"/>
        </w:numPr>
        <w:snapToGrid w:val="0"/>
        <w:spacing w:line="380" w:lineRule="exact"/>
        <w:ind w:leftChars="-375"/>
        <w:textAlignment w:val="baseline"/>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投标人不足3家的，不得开标。</w:t>
      </w:r>
    </w:p>
    <w:p>
      <w:pPr>
        <w:numPr>
          <w:ilvl w:val="0"/>
          <w:numId w:val="0"/>
        </w:numPr>
        <w:snapToGrid w:val="0"/>
        <w:spacing w:line="380" w:lineRule="exact"/>
        <w:ind w:leftChars="-375"/>
        <w:textAlignment w:val="baseline"/>
        <w:rPr>
          <w:rFonts w:hint="eastAsia" w:ascii="宋体" w:hAnsi="宋体" w:eastAsia="宋体" w:cs="宋体"/>
          <w:color w:val="auto"/>
          <w:sz w:val="24"/>
        </w:rPr>
      </w:pPr>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开标时，</w:t>
      </w:r>
      <w:r>
        <w:rPr>
          <w:rFonts w:hint="eastAsia" w:ascii="宋体" w:hAnsi="宋体" w:eastAsia="宋体" w:cs="宋体"/>
          <w:color w:val="auto"/>
          <w:sz w:val="24"/>
          <w:lang w:eastAsia="zh-CN"/>
        </w:rPr>
        <w:t>投标企业应登录新疆政府采购网政采云平台开标大厅签到并在规定的解锁电子投标文件时间内解锁其电子投标文件。</w:t>
      </w:r>
      <w:r>
        <w:rPr>
          <w:rFonts w:hint="eastAsia" w:ascii="宋体" w:hAnsi="宋体" w:eastAsia="宋体" w:cs="宋体"/>
          <w:color w:val="auto"/>
          <w:sz w:val="24"/>
        </w:rPr>
        <w:t>由采购人或采购代理机构当众宣读投标人名称、投标价格及</w:t>
      </w:r>
      <w:r>
        <w:rPr>
          <w:rFonts w:hint="eastAsia" w:ascii="宋体" w:hAnsi="宋体" w:eastAsia="宋体" w:cs="宋体"/>
          <w:color w:val="auto"/>
          <w:sz w:val="24"/>
          <w:lang w:eastAsia="zh-CN"/>
        </w:rPr>
        <w:t>磋商文件</w:t>
      </w:r>
      <w:r>
        <w:rPr>
          <w:rFonts w:hint="eastAsia" w:ascii="宋体" w:hAnsi="宋体" w:eastAsia="宋体" w:cs="宋体"/>
          <w:color w:val="auto"/>
          <w:sz w:val="24"/>
        </w:rPr>
        <w:t>规定的内容。对于投标人在投标截止期前递交</w:t>
      </w:r>
      <w:r>
        <w:rPr>
          <w:rFonts w:hint="eastAsia" w:ascii="宋体" w:hAnsi="宋体" w:eastAsia="宋体" w:cs="宋体"/>
          <w:color w:val="auto"/>
          <w:sz w:val="24"/>
          <w:lang w:eastAsia="zh-CN"/>
        </w:rPr>
        <w:t>（上传）</w:t>
      </w:r>
      <w:r>
        <w:rPr>
          <w:rFonts w:hint="eastAsia" w:ascii="宋体" w:hAnsi="宋体" w:eastAsia="宋体" w:cs="宋体"/>
          <w:color w:val="auto"/>
          <w:sz w:val="24"/>
        </w:rPr>
        <w:t>的投标声明，在开标时当众宣读，评标时有效。</w:t>
      </w:r>
    </w:p>
    <w:p>
      <w:pPr>
        <w:numPr>
          <w:ilvl w:val="0"/>
          <w:numId w:val="0"/>
        </w:numPr>
        <w:snapToGrid w:val="0"/>
        <w:spacing w:line="380" w:lineRule="exact"/>
        <w:ind w:leftChars="-375"/>
        <w:textAlignment w:val="baseline"/>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未宣读投标价格、价格折扣等实质内容，评标时不予承认。</w:t>
      </w:r>
    </w:p>
    <w:p>
      <w:pPr>
        <w:numPr>
          <w:ilvl w:val="1"/>
          <w:numId w:val="4"/>
        </w:num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采购人或采购代理机构将对开标过程进行记录，由参加开标的各投标人代表在线确认和相关工作人员签字确认，并存档备查。</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18.</w:t>
      </w:r>
      <w:r>
        <w:rPr>
          <w:rFonts w:hint="eastAsia" w:ascii="宋体" w:hAnsi="宋体" w:cs="宋体"/>
          <w:color w:val="auto"/>
          <w:sz w:val="24"/>
          <w:lang w:val="en-US" w:eastAsia="zh-CN"/>
        </w:rPr>
        <w:t xml:space="preserve">4   </w:t>
      </w:r>
      <w:r>
        <w:rPr>
          <w:rFonts w:hint="eastAsia" w:ascii="宋体" w:hAnsi="宋体" w:eastAsia="宋体" w:cs="宋体"/>
          <w:color w:val="auto"/>
          <w:sz w:val="24"/>
          <w:lang w:eastAsia="zh-CN"/>
        </w:rPr>
        <w:t>投标人代表对开标过程和开标记录有疑义，以及认为采购人、采购代理机构相关工作人员有需要回避的情形的，应当场提出询问或者回避申请。</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u w:val="none" w:color="auto"/>
        </w:rPr>
      </w:pPr>
      <w:bookmarkStart w:id="302" w:name="_Toc520356165"/>
      <w:bookmarkStart w:id="303" w:name="_Toc19296"/>
      <w:bookmarkStart w:id="304" w:name="_Toc21372"/>
      <w:bookmarkStart w:id="305" w:name="_Toc515647780"/>
      <w:bookmarkStart w:id="306" w:name="_Toc5428"/>
      <w:bookmarkStart w:id="307" w:name="_Toc18658"/>
      <w:bookmarkStart w:id="308" w:name="_Toc18057"/>
      <w:bookmarkStart w:id="309" w:name="_Toc9240"/>
      <w:bookmarkStart w:id="310" w:name="_Toc5768"/>
      <w:bookmarkStart w:id="311" w:name="_Toc14954"/>
      <w:bookmarkStart w:id="312" w:name="_Toc13345"/>
      <w:bookmarkStart w:id="313" w:name="_Toc5402"/>
      <w:bookmarkStart w:id="314" w:name="_Toc6401"/>
      <w:bookmarkStart w:id="315" w:name="_Toc28768"/>
      <w:bookmarkStart w:id="316" w:name="_Toc2956"/>
      <w:r>
        <w:rPr>
          <w:rFonts w:hint="eastAsia" w:ascii="宋体" w:hAnsi="宋体" w:eastAsia="宋体" w:cs="宋体"/>
          <w:color w:val="auto"/>
          <w:u w:val="none" w:color="auto"/>
        </w:rPr>
        <w:t>19.</w:t>
      </w:r>
      <w:bookmarkEnd w:id="302"/>
      <w:r>
        <w:rPr>
          <w:rFonts w:hint="eastAsia" w:ascii="宋体" w:hAnsi="宋体" w:eastAsia="宋体" w:cs="宋体"/>
          <w:color w:val="auto"/>
          <w:u w:val="none" w:color="auto"/>
        </w:rPr>
        <w:t>资格审查及组建</w:t>
      </w:r>
      <w:bookmarkEnd w:id="303"/>
      <w:bookmarkEnd w:id="304"/>
      <w:bookmarkEnd w:id="305"/>
      <w:bookmarkEnd w:id="306"/>
      <w:r>
        <w:rPr>
          <w:rFonts w:hint="eastAsia" w:ascii="宋体" w:hAnsi="宋体" w:eastAsia="宋体" w:cs="宋体"/>
          <w:color w:val="auto"/>
          <w:u w:val="none" w:color="auto"/>
        </w:rPr>
        <w:t>磋商小组</w:t>
      </w:r>
      <w:bookmarkEnd w:id="307"/>
      <w:bookmarkEnd w:id="308"/>
      <w:bookmarkEnd w:id="309"/>
      <w:bookmarkEnd w:id="310"/>
      <w:bookmarkEnd w:id="311"/>
      <w:bookmarkEnd w:id="312"/>
      <w:bookmarkEnd w:id="313"/>
      <w:bookmarkEnd w:id="314"/>
      <w:bookmarkEnd w:id="315"/>
      <w:bookmarkEnd w:id="316"/>
    </w:p>
    <w:p>
      <w:pPr>
        <w:snapToGrid w:val="0"/>
        <w:spacing w:line="380" w:lineRule="exact"/>
        <w:ind w:left="960" w:hanging="960" w:hangingChars="400"/>
        <w:textAlignment w:val="baseline"/>
        <w:rPr>
          <w:rFonts w:hint="eastAsia" w:ascii="宋体" w:hAnsi="宋体" w:eastAsia="宋体" w:cs="宋体"/>
          <w:color w:val="auto"/>
          <w:sz w:val="24"/>
        </w:rPr>
      </w:pPr>
      <w:r>
        <w:rPr>
          <w:rFonts w:hint="eastAsia" w:ascii="宋体" w:hAnsi="宋体" w:eastAsia="宋体" w:cs="宋体"/>
          <w:color w:val="auto"/>
          <w:sz w:val="24"/>
        </w:rPr>
        <w:t>19.1    采购人或采购代理机构依据法律法规和</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文件中规定的内容，对投标人的资格进行审查。未通过资格审查的投标人不进入评标；进入评标的投标人不足3家的，不得评标。</w:t>
      </w:r>
    </w:p>
    <w:p>
      <w:pPr>
        <w:snapToGrid w:val="0"/>
        <w:spacing w:line="380" w:lineRule="exact"/>
        <w:ind w:left="960" w:hanging="964" w:hangingChars="400"/>
        <w:textAlignment w:val="baseline"/>
        <w:rPr>
          <w:rFonts w:hint="eastAsia" w:ascii="宋体" w:hAnsi="宋体" w:eastAsia="宋体" w:cs="宋体"/>
          <w:b/>
          <w:bCs/>
          <w:color w:val="auto"/>
          <w:sz w:val="24"/>
        </w:rPr>
      </w:pPr>
      <w:r>
        <w:rPr>
          <w:rFonts w:hint="eastAsia" w:ascii="宋体" w:hAnsi="宋体" w:eastAsia="宋体" w:cs="宋体"/>
          <w:b/>
          <w:bCs/>
          <w:color w:val="auto"/>
          <w:sz w:val="24"/>
        </w:rPr>
        <w:t>本项目</w:t>
      </w:r>
      <w:r>
        <w:rPr>
          <w:rFonts w:hint="eastAsia" w:ascii="宋体" w:hAnsi="宋体" w:eastAsia="宋体" w:cs="宋体"/>
          <w:b/>
          <w:bCs/>
          <w:color w:val="auto"/>
          <w:sz w:val="24"/>
          <w:lang w:val="en-US" w:eastAsia="zh-CN"/>
        </w:rPr>
        <w:t>资格审查资料须附在响应文件中</w:t>
      </w:r>
      <w:r>
        <w:rPr>
          <w:rFonts w:hint="eastAsia" w:ascii="宋体" w:hAnsi="宋体" w:eastAsia="宋体" w:cs="宋体"/>
          <w:b/>
          <w:bCs/>
          <w:color w:val="auto"/>
          <w:sz w:val="24"/>
        </w:rPr>
        <w:t>：</w:t>
      </w:r>
    </w:p>
    <w:p>
      <w:pPr>
        <w:keepNext w:val="0"/>
        <w:keepLines w:val="0"/>
        <w:pageBreakBefore w:val="0"/>
        <w:widowControl w:val="0"/>
        <w:numPr>
          <w:ilvl w:val="0"/>
          <w:numId w:val="5"/>
        </w:numPr>
        <w:tabs>
          <w:tab w:val="left" w:pos="5580"/>
        </w:tabs>
        <w:kinsoku/>
        <w:wordWrap/>
        <w:overflowPunct/>
        <w:topLinePunct w:val="0"/>
        <w:autoSpaceDE/>
        <w:autoSpaceDN/>
        <w:bidi w:val="0"/>
        <w:adjustRightInd/>
        <w:snapToGrid w:val="0"/>
        <w:spacing w:line="400" w:lineRule="exact"/>
        <w:ind w:left="-482" w:leftChars="0" w:firstLine="482" w:firstLineChars="0"/>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具有相应经营范围的营业执照</w:t>
      </w:r>
      <w:r>
        <w:rPr>
          <w:rFonts w:hint="eastAsia" w:ascii="宋体" w:hAnsi="宋体" w:eastAsia="宋体" w:cs="宋体"/>
          <w:b/>
          <w:bCs/>
          <w:color w:val="auto"/>
          <w:sz w:val="24"/>
        </w:rPr>
        <w:t>（原件、复印件、影印件均可）</w:t>
      </w:r>
      <w:r>
        <w:rPr>
          <w:rFonts w:hint="eastAsia" w:ascii="宋体" w:hAnsi="宋体" w:eastAsia="宋体" w:cs="宋体"/>
          <w:b/>
          <w:bCs/>
          <w:color w:val="auto"/>
          <w:sz w:val="24"/>
          <w:lang w:eastAsia="zh-CN"/>
        </w:rPr>
        <w:t>；</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color w:val="auto"/>
          <w:sz w:val="24"/>
        </w:rPr>
      </w:pPr>
      <w:r>
        <w:rPr>
          <w:rFonts w:hint="eastAsia" w:ascii="宋体" w:hAnsi="宋体" w:eastAsia="宋体" w:cs="宋体"/>
          <w:b/>
          <w:bCs/>
          <w:color w:val="auto"/>
          <w:sz w:val="24"/>
        </w:rPr>
        <w:t xml:space="preserve">（2）法人本人投标的需提供法人身份证原件；被授权委托人需提供法人授权委托书原件、法人身份证复印件及被授权委托人身份证原件； </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具有良好的商业信誉和健全的财务会计制度，</w:t>
      </w:r>
      <w:r>
        <w:rPr>
          <w:rFonts w:hint="eastAsia" w:ascii="宋体" w:hAnsi="宋体" w:cs="宋体"/>
          <w:b/>
          <w:bCs/>
          <w:color w:val="auto"/>
          <w:sz w:val="24"/>
          <w:lang w:eastAsia="zh-CN"/>
        </w:rPr>
        <w:t>提供2022年经审计的财务报告</w:t>
      </w:r>
      <w:r>
        <w:rPr>
          <w:rFonts w:hint="eastAsia" w:ascii="宋体" w:hAnsi="宋体" w:eastAsia="宋体" w:cs="宋体"/>
          <w:b/>
          <w:bCs/>
          <w:color w:val="auto"/>
          <w:sz w:val="24"/>
          <w:lang w:eastAsia="zh-CN"/>
        </w:rPr>
        <w:t>（新公司出具银行资信证明）</w:t>
      </w:r>
      <w:r>
        <w:rPr>
          <w:rFonts w:hint="eastAsia" w:ascii="宋体" w:hAnsi="宋体" w:eastAsia="宋体" w:cs="宋体"/>
          <w:b/>
          <w:bCs/>
          <w:color w:val="auto"/>
          <w:sz w:val="24"/>
        </w:rPr>
        <w:t>；</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（4）公司依法缴纳近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个月的社会保险社保缴纳凭证；公司依法缴纳近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个月的税收良好记录证明；</w:t>
      </w:r>
      <w:r>
        <w:rPr>
          <w:rFonts w:hint="eastAsia" w:ascii="宋体" w:hAnsi="宋体" w:eastAsia="宋体" w:cs="宋体"/>
          <w:b/>
          <w:bCs/>
          <w:color w:val="auto"/>
          <w:sz w:val="24"/>
          <w:lang w:eastAsia="zh-CN"/>
        </w:rPr>
        <w:t>（新公司除外）</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（5）投标单位（供应商）提供针对本次项目《反商业贿赂承诺书》；</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7）缴纳</w:t>
      </w:r>
      <w:r>
        <w:rPr>
          <w:rFonts w:hint="eastAsia" w:ascii="宋体" w:hAnsi="宋体" w:eastAsia="宋体" w:cs="宋体"/>
          <w:b/>
          <w:bCs/>
          <w:color w:val="auto"/>
          <w:sz w:val="24"/>
          <w:highlight w:val="none"/>
          <w:lang w:val="en-US" w:eastAsia="zh-CN"/>
        </w:rPr>
        <w:t>磋商保证金的</w:t>
      </w:r>
      <w:r>
        <w:rPr>
          <w:rFonts w:hint="eastAsia" w:ascii="宋体" w:hAnsi="宋体" w:cs="宋体"/>
          <w:b/>
          <w:bCs/>
          <w:color w:val="auto"/>
          <w:sz w:val="24"/>
          <w:highlight w:val="none"/>
          <w:lang w:val="en-US" w:eastAsia="zh-CN"/>
        </w:rPr>
        <w:t>凭证</w:t>
      </w:r>
      <w:r>
        <w:rPr>
          <w:rFonts w:hint="eastAsia" w:ascii="宋体" w:hAnsi="宋体" w:eastAsia="宋体" w:cs="宋体"/>
          <w:b/>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snapToGrid w:val="0"/>
        <w:spacing w:line="380" w:lineRule="exact"/>
        <w:ind w:left="734" w:hanging="734" w:hangingChars="306"/>
        <w:jc w:val="both"/>
        <w:textAlignment w:val="baseline"/>
        <w:rPr>
          <w:rFonts w:hint="eastAsia" w:ascii="宋体" w:hAnsi="宋体" w:eastAsia="宋体" w:cs="宋体"/>
          <w:color w:val="auto"/>
          <w:sz w:val="24"/>
        </w:rPr>
      </w:pPr>
      <w:r>
        <w:rPr>
          <w:rFonts w:hint="eastAsia" w:ascii="宋体" w:hAnsi="宋体" w:eastAsia="宋体" w:cs="宋体"/>
          <w:color w:val="auto"/>
          <w:sz w:val="24"/>
        </w:rPr>
        <w:t>19.2采购人或采购代理机构将在开标前1个工作日至磋商截止后1小时的期间内查询供应商的信用记录。供应商存在不良信用记录的，其磋商将被认定为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left="734" w:hanging="734" w:hangingChars="306"/>
        <w:textAlignment w:val="baseline"/>
        <w:rPr>
          <w:rFonts w:hint="eastAsia" w:ascii="宋体" w:hAnsi="宋体" w:eastAsia="宋体" w:cs="宋体"/>
          <w:color w:val="auto"/>
          <w:sz w:val="24"/>
        </w:rPr>
      </w:pPr>
      <w:r>
        <w:rPr>
          <w:rFonts w:hint="eastAsia" w:ascii="宋体" w:hAnsi="宋体" w:eastAsia="宋体" w:cs="宋体"/>
          <w:color w:val="auto"/>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hint="eastAsia" w:ascii="宋体" w:hAnsi="宋体" w:eastAsia="宋体" w:cs="宋体"/>
          <w:color w:val="auto"/>
          <w:sz w:val="24"/>
        </w:rPr>
      </w:pPr>
      <w:r>
        <w:rPr>
          <w:rFonts w:hint="eastAsia" w:ascii="宋体" w:hAnsi="宋体" w:eastAsia="宋体" w:cs="宋体"/>
          <w:color w:val="auto"/>
          <w:sz w:val="24"/>
        </w:rPr>
        <w:t>以联合体形式参加磋商的，联合体任何成员存在以上不良信用记录的，联合体磋商将被认定为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napToGrid w:val="0"/>
        <w:spacing w:line="380" w:lineRule="exact"/>
        <w:ind w:left="850" w:hanging="849" w:hangingChars="354"/>
        <w:jc w:val="both"/>
        <w:textAlignment w:val="baseline"/>
        <w:rPr>
          <w:rFonts w:hint="eastAsia" w:ascii="宋体" w:hAnsi="宋体" w:eastAsia="宋体" w:cs="宋体"/>
          <w:color w:val="auto"/>
        </w:rPr>
      </w:pPr>
      <w:r>
        <w:rPr>
          <w:rFonts w:hint="eastAsia" w:ascii="宋体" w:hAnsi="宋体" w:eastAsia="宋体" w:cs="宋体"/>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2"/>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供应商自行提供的与网站信息不一致的其他证明材料亦不作为资格审查依据。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default" w:ascii="宋体" w:hAnsi="宋体" w:eastAsia="宋体" w:cs="宋体"/>
          <w:b/>
          <w:bCs/>
          <w:color w:val="auto"/>
          <w:kern w:val="0"/>
          <w:sz w:val="24"/>
          <w:szCs w:val="20"/>
          <w:u w:val="single"/>
          <w:lang w:val="en-US" w:eastAsia="zh-CN" w:bidi="ar-SA"/>
        </w:rPr>
      </w:pPr>
      <w:r>
        <w:rPr>
          <w:rFonts w:hint="eastAsia" w:ascii="宋体" w:hAnsi="宋体" w:eastAsia="宋体" w:cs="宋体"/>
          <w:color w:val="auto"/>
          <w:sz w:val="24"/>
        </w:rPr>
        <w:t xml:space="preserve">19.3  </w:t>
      </w:r>
      <w:bookmarkStart w:id="317" w:name="_Toc520356166"/>
      <w:r>
        <w:rPr>
          <w:rFonts w:hint="default" w:ascii="宋体" w:hAnsi="宋体" w:eastAsia="宋体" w:cs="宋体"/>
          <w:color w:val="auto"/>
          <w:kern w:val="0"/>
          <w:sz w:val="24"/>
          <w:szCs w:val="20"/>
          <w:lang w:val="en-US" w:eastAsia="zh-CN" w:bidi="ar-SA"/>
        </w:rPr>
        <w:t>按照《</w:t>
      </w:r>
      <w:r>
        <w:rPr>
          <w:rFonts w:hint="eastAsia" w:ascii="宋体" w:hAnsi="宋体" w:eastAsia="宋体" w:cs="宋体"/>
          <w:color w:val="auto"/>
          <w:kern w:val="0"/>
          <w:sz w:val="24"/>
          <w:szCs w:val="20"/>
          <w:lang w:val="en-US" w:eastAsia="zh-CN" w:bidi="ar-SA"/>
        </w:rPr>
        <w:t>中华人民共和国政府采购法》</w:t>
      </w:r>
      <w:r>
        <w:rPr>
          <w:rFonts w:hint="default" w:ascii="宋体" w:hAnsi="宋体" w:eastAsia="宋体" w:cs="宋体"/>
          <w:color w:val="auto"/>
          <w:kern w:val="0"/>
          <w:sz w:val="24"/>
          <w:szCs w:val="20"/>
          <w:lang w:val="en-US" w:eastAsia="zh-CN" w:bidi="ar-SA"/>
        </w:rPr>
        <w:t>、</w:t>
      </w:r>
      <w:r>
        <w:rPr>
          <w:rFonts w:hint="eastAsia" w:ascii="宋体" w:hAnsi="宋体" w:eastAsia="宋体" w:cs="宋体"/>
          <w:color w:val="auto"/>
          <w:kern w:val="0"/>
          <w:sz w:val="24"/>
          <w:szCs w:val="20"/>
          <w:lang w:val="en-US" w:eastAsia="zh-CN" w:bidi="ar-SA"/>
        </w:rPr>
        <w:t>《中华人民共和国政府采购</w:t>
      </w:r>
      <w:r>
        <w:rPr>
          <w:rFonts w:hint="default" w:ascii="宋体" w:hAnsi="宋体" w:eastAsia="宋体" w:cs="宋体"/>
          <w:color w:val="auto"/>
          <w:kern w:val="0"/>
          <w:sz w:val="24"/>
          <w:szCs w:val="20"/>
          <w:lang w:val="en-US" w:eastAsia="zh-CN" w:bidi="ar-SA"/>
        </w:rPr>
        <w:t>法</w:t>
      </w:r>
      <w:r>
        <w:rPr>
          <w:rFonts w:hint="eastAsia" w:ascii="宋体" w:hAnsi="宋体" w:eastAsia="宋体" w:cs="宋体"/>
          <w:color w:val="auto"/>
          <w:kern w:val="0"/>
          <w:sz w:val="24"/>
          <w:szCs w:val="20"/>
          <w:lang w:val="en-US" w:eastAsia="zh-CN" w:bidi="ar-SA"/>
        </w:rPr>
        <w:t>实施条例》</w:t>
      </w:r>
      <w:r>
        <w:rPr>
          <w:rFonts w:hint="default" w:ascii="宋体" w:hAnsi="宋体" w:eastAsia="宋体" w:cs="宋体"/>
          <w:color w:val="auto"/>
          <w:kern w:val="0"/>
          <w:sz w:val="24"/>
          <w:szCs w:val="20"/>
          <w:lang w:val="en-US" w:eastAsia="zh-CN" w:bidi="ar-SA"/>
        </w:rPr>
        <w:t>及本项目本级</w:t>
      </w:r>
      <w:r>
        <w:rPr>
          <w:rFonts w:hint="eastAsia" w:ascii="宋体" w:hAnsi="宋体" w:eastAsia="宋体" w:cs="宋体"/>
          <w:color w:val="auto"/>
          <w:kern w:val="0"/>
          <w:sz w:val="24"/>
          <w:szCs w:val="20"/>
          <w:lang w:val="en-US" w:eastAsia="zh-CN" w:bidi="ar-SA"/>
        </w:rPr>
        <w:t>和上级财政部门</w:t>
      </w:r>
      <w:r>
        <w:rPr>
          <w:rFonts w:hint="default" w:ascii="宋体" w:hAnsi="宋体" w:eastAsia="宋体" w:cs="宋体"/>
          <w:color w:val="auto"/>
          <w:kern w:val="0"/>
          <w:sz w:val="24"/>
          <w:szCs w:val="20"/>
          <w:lang w:val="en-US" w:eastAsia="zh-CN" w:bidi="ar-SA"/>
        </w:rPr>
        <w:t>的有关规定依法组建的</w:t>
      </w:r>
      <w:r>
        <w:rPr>
          <w:rFonts w:hint="eastAsia" w:ascii="宋体" w:hAnsi="宋体" w:eastAsia="宋体" w:cs="宋体"/>
          <w:color w:val="auto"/>
          <w:kern w:val="0"/>
          <w:sz w:val="24"/>
          <w:szCs w:val="20"/>
          <w:lang w:val="en-US" w:eastAsia="zh-CN" w:bidi="ar-SA"/>
        </w:rPr>
        <w:t>评标委员会</w:t>
      </w:r>
      <w:r>
        <w:rPr>
          <w:rFonts w:hint="default" w:ascii="宋体" w:hAnsi="宋体" w:eastAsia="宋体" w:cs="宋体"/>
          <w:color w:val="auto"/>
          <w:kern w:val="0"/>
          <w:sz w:val="24"/>
          <w:szCs w:val="20"/>
          <w:lang w:val="en-US" w:eastAsia="zh-CN" w:bidi="ar-SA"/>
        </w:rPr>
        <w:t>，负责本</w:t>
      </w:r>
      <w:r>
        <w:rPr>
          <w:rFonts w:hint="eastAsia" w:ascii="宋体" w:hAnsi="宋体" w:eastAsia="宋体" w:cs="宋体"/>
          <w:color w:val="auto"/>
          <w:kern w:val="0"/>
          <w:sz w:val="24"/>
          <w:szCs w:val="20"/>
          <w:lang w:val="en-US" w:eastAsia="zh-CN" w:bidi="ar-SA"/>
        </w:rPr>
        <w:t>项目</w:t>
      </w:r>
      <w:r>
        <w:rPr>
          <w:rFonts w:hint="default" w:ascii="宋体" w:hAnsi="宋体" w:eastAsia="宋体" w:cs="宋体"/>
          <w:color w:val="auto"/>
          <w:kern w:val="0"/>
          <w:sz w:val="24"/>
          <w:szCs w:val="20"/>
          <w:lang w:val="en-US" w:eastAsia="zh-CN" w:bidi="ar-SA"/>
        </w:rPr>
        <w:t>评标工作。</w:t>
      </w:r>
      <w:r>
        <w:rPr>
          <w:rFonts w:hint="eastAsia" w:ascii="宋体" w:hAnsi="宋体" w:eastAsia="宋体" w:cs="宋体"/>
          <w:b/>
          <w:bCs/>
          <w:color w:val="auto"/>
          <w:kern w:val="0"/>
          <w:sz w:val="24"/>
          <w:szCs w:val="20"/>
          <w:u w:val="single"/>
          <w:lang w:val="en-US" w:eastAsia="zh-CN" w:bidi="ar-SA"/>
        </w:rPr>
        <w:t>本项目磋商小组共3人组成</w:t>
      </w:r>
      <w:r>
        <w:rPr>
          <w:rFonts w:hint="default" w:ascii="宋体" w:hAnsi="宋体" w:eastAsia="宋体" w:cs="宋体"/>
          <w:b/>
          <w:bCs/>
          <w:color w:val="auto"/>
          <w:kern w:val="0"/>
          <w:sz w:val="24"/>
          <w:szCs w:val="20"/>
          <w:u w:val="single"/>
          <w:lang w:val="en-US" w:eastAsia="zh-CN" w:bidi="ar-SA"/>
        </w:rPr>
        <w:t>。</w:t>
      </w:r>
    </w:p>
    <w:p>
      <w:pPr>
        <w:snapToGrid w:val="0"/>
        <w:spacing w:line="380" w:lineRule="exact"/>
        <w:ind w:left="850" w:hanging="849" w:hangingChars="354"/>
        <w:textAlignment w:val="baseline"/>
        <w:rPr>
          <w:rFonts w:hint="eastAsia" w:ascii="宋体" w:hAnsi="宋体" w:eastAsia="宋体" w:cs="宋体"/>
          <w:color w:val="auto"/>
          <w:kern w:val="0"/>
          <w:sz w:val="24"/>
          <w:szCs w:val="20"/>
          <w:lang w:val="en-US" w:eastAsia="zh-CN" w:bidi="ar-SA"/>
        </w:rPr>
      </w:pPr>
    </w:p>
    <w:p>
      <w:pPr>
        <w:pStyle w:val="6"/>
        <w:snapToGrid w:val="0"/>
        <w:spacing w:before="0" w:after="0" w:line="380" w:lineRule="exact"/>
        <w:textAlignment w:val="baseline"/>
        <w:rPr>
          <w:rFonts w:hint="eastAsia" w:ascii="宋体" w:hAnsi="宋体" w:eastAsia="宋体" w:cs="宋体"/>
          <w:b w:val="0"/>
          <w:bCs/>
          <w:color w:val="auto"/>
          <w:u w:val="none" w:color="auto"/>
          <w:bdr w:val="single" w:color="auto" w:sz="4" w:space="0"/>
        </w:rPr>
      </w:pPr>
      <w:bookmarkStart w:id="318" w:name="_Toc17520"/>
      <w:bookmarkStart w:id="319" w:name="_Toc656"/>
      <w:bookmarkStart w:id="320" w:name="_Toc29043"/>
      <w:bookmarkStart w:id="321" w:name="_Toc7742"/>
      <w:bookmarkStart w:id="322" w:name="_Toc28479"/>
      <w:bookmarkStart w:id="323" w:name="_Toc16181"/>
      <w:bookmarkStart w:id="324" w:name="_Toc15335"/>
      <w:bookmarkStart w:id="325" w:name="_Toc27625"/>
      <w:bookmarkStart w:id="326" w:name="_Toc19949"/>
      <w:bookmarkStart w:id="327" w:name="_Toc17557"/>
      <w:bookmarkStart w:id="328" w:name="_Toc29938"/>
      <w:bookmarkStart w:id="329" w:name="_Toc515647781"/>
      <w:bookmarkStart w:id="330" w:name="_Toc2219"/>
      <w:bookmarkStart w:id="331" w:name="_Toc22740"/>
      <w:r>
        <w:rPr>
          <w:rFonts w:hint="eastAsia" w:ascii="宋体" w:hAnsi="宋体" w:eastAsia="宋体" w:cs="宋体"/>
          <w:color w:val="auto"/>
          <w:u w:val="none" w:color="auto"/>
        </w:rPr>
        <w:t>20.</w:t>
      </w:r>
      <w:bookmarkEnd w:id="317"/>
      <w:r>
        <w:rPr>
          <w:rFonts w:hint="eastAsia" w:ascii="宋体" w:hAnsi="宋体" w:eastAsia="宋体" w:cs="宋体"/>
          <w:color w:val="auto"/>
          <w:u w:val="none" w:color="auto"/>
        </w:rPr>
        <w:t>响应文件符合性审查与澄清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20.1   符合性审查是指依据磋商文件的规定，从响应文件的有效性和完整性对磋商文件的响应程度进行审查，以确定是否对磋商文件的实质性要求做出响应。</w:t>
      </w:r>
      <w:bookmarkStart w:id="332" w:name="_Hlt522424701"/>
      <w:bookmarkEnd w:id="332"/>
      <w:bookmarkStart w:id="333" w:name="_Toc520356167"/>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rPr>
        <w:tab/>
      </w:r>
      <w:r>
        <w:rPr>
          <w:rFonts w:hint="eastAsia" w:ascii="宋体" w:hAnsi="宋体" w:eastAsia="宋体" w:cs="宋体"/>
          <w:color w:val="auto"/>
          <w:sz w:val="24"/>
        </w:rPr>
        <w:t>响应文件的澄清</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20.2.2  供应商的的澄清、说明或补正将作为响应文件的一部分。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20.3  响应文件报价出现前后不一致的，按照下列规定修正：</w:t>
      </w:r>
    </w:p>
    <w:p>
      <w:pPr>
        <w:snapToGrid w:val="0"/>
        <w:spacing w:line="380" w:lineRule="exact"/>
        <w:ind w:left="1020" w:hanging="1020" w:hangingChars="425"/>
        <w:textAlignment w:val="baseline"/>
        <w:rPr>
          <w:rFonts w:hint="eastAsia" w:ascii="宋体" w:hAnsi="宋体" w:eastAsia="宋体" w:cs="宋体"/>
          <w:color w:val="auto"/>
          <w:sz w:val="24"/>
        </w:rPr>
      </w:pPr>
      <w:r>
        <w:rPr>
          <w:rFonts w:hint="eastAsia" w:ascii="宋体" w:hAnsi="宋体" w:eastAsia="宋体" w:cs="宋体"/>
          <w:color w:val="auto"/>
          <w:sz w:val="24"/>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（二）大写金额和小写金额不一致的，以大写金额为准；</w:t>
      </w:r>
    </w:p>
    <w:p>
      <w:pPr>
        <w:snapToGrid w:val="0"/>
        <w:spacing w:line="380" w:lineRule="exact"/>
        <w:ind w:left="1020" w:hanging="1020" w:hangingChars="425"/>
        <w:textAlignment w:val="baseline"/>
        <w:rPr>
          <w:rFonts w:hint="eastAsia" w:ascii="宋体" w:hAnsi="宋体" w:eastAsia="宋体" w:cs="宋体"/>
          <w:color w:val="auto"/>
          <w:sz w:val="24"/>
        </w:rPr>
      </w:pPr>
      <w:r>
        <w:rPr>
          <w:rFonts w:hint="eastAsia" w:ascii="宋体" w:hAnsi="宋体" w:eastAsia="宋体" w:cs="宋体"/>
          <w:color w:val="auto"/>
          <w:sz w:val="24"/>
        </w:rPr>
        <w:t>　   　（三）单价金额小数点或者百分比有明显错位的，以开标一览表的总价为准，并修改单价；</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（四）总价金额与按单价汇总金额不一致的，以单价金额计算结果为准。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napToGrid w:val="0"/>
        <w:spacing w:line="380" w:lineRule="exact"/>
        <w:ind w:firstLine="120" w:firstLineChars="50"/>
        <w:textAlignment w:val="baseline"/>
        <w:rPr>
          <w:rFonts w:hint="eastAsia" w:ascii="宋体" w:hAnsi="宋体" w:eastAsia="宋体" w:cs="宋体"/>
          <w:color w:val="auto"/>
          <w:sz w:val="24"/>
        </w:rPr>
      </w:pPr>
      <w:r>
        <w:rPr>
          <w:rFonts w:hint="eastAsia" w:ascii="宋体" w:hAnsi="宋体" w:eastAsia="宋体" w:cs="宋体"/>
          <w:color w:val="auto"/>
          <w:sz w:val="24"/>
        </w:rPr>
        <w:t>对不同文字文本响应文件的解释发生异议的，以中文文本为准。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20.4   如一个分包内只有一种产品，不同供应商所投产品为同一品牌的，按如下方式处理：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6"/>
        <w:snapToGrid w:val="0"/>
        <w:spacing w:before="0" w:after="0" w:line="380" w:lineRule="exact"/>
        <w:textAlignment w:val="baseline"/>
        <w:rPr>
          <w:rFonts w:hint="eastAsia" w:ascii="宋体" w:hAnsi="宋体" w:eastAsia="宋体" w:cs="宋体"/>
          <w:color w:val="auto"/>
          <w:u w:val="none" w:color="auto"/>
        </w:rPr>
      </w:pPr>
      <w:bookmarkStart w:id="334" w:name="_Toc6695"/>
      <w:bookmarkStart w:id="335" w:name="_Toc29782"/>
      <w:bookmarkStart w:id="336" w:name="_Toc6364"/>
      <w:bookmarkStart w:id="337" w:name="_Toc515647782"/>
      <w:bookmarkStart w:id="338" w:name="_Toc28934"/>
      <w:bookmarkStart w:id="339" w:name="_Toc27888"/>
      <w:bookmarkStart w:id="340" w:name="_Toc27164"/>
      <w:bookmarkStart w:id="341" w:name="_Toc14136"/>
      <w:bookmarkStart w:id="342" w:name="_Toc9469"/>
      <w:bookmarkStart w:id="343" w:name="_Toc12340"/>
      <w:bookmarkStart w:id="344" w:name="_Toc30430"/>
      <w:bookmarkStart w:id="345" w:name="_Toc18222"/>
      <w:bookmarkStart w:id="346" w:name="_Toc1939"/>
      <w:bookmarkStart w:id="347" w:name="_Toc25739"/>
      <w:r>
        <w:rPr>
          <w:rFonts w:hint="eastAsia" w:ascii="宋体" w:hAnsi="宋体" w:eastAsia="宋体" w:cs="宋体"/>
          <w:color w:val="auto"/>
          <w:u w:val="none" w:color="auto"/>
        </w:rPr>
        <w:t>21.磋商偏离</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napToGrid w:val="0"/>
        <w:spacing w:line="380" w:lineRule="exact"/>
        <w:ind w:left="641" w:hanging="640" w:hangingChars="267"/>
        <w:textAlignment w:val="baseline"/>
        <w:rPr>
          <w:rFonts w:hint="eastAsia" w:ascii="宋体" w:hAnsi="宋体" w:eastAsia="宋体" w:cs="宋体"/>
          <w:color w:val="auto"/>
          <w:sz w:val="24"/>
        </w:rPr>
      </w:pPr>
      <w:r>
        <w:rPr>
          <w:rFonts w:hint="eastAsia" w:ascii="宋体" w:hAnsi="宋体" w:eastAsia="宋体" w:cs="宋体"/>
          <w:color w:val="auto"/>
          <w:sz w:val="24"/>
        </w:rPr>
        <w:t xml:space="preserve">     磋商小组可以接受响应文件中不构成实质性偏离的不正规或不一致。</w:t>
      </w:r>
    </w:p>
    <w:p>
      <w:pPr>
        <w:pStyle w:val="6"/>
        <w:snapToGrid w:val="0"/>
        <w:spacing w:before="0" w:after="0" w:line="380" w:lineRule="exact"/>
        <w:textAlignment w:val="baseline"/>
        <w:rPr>
          <w:rFonts w:hint="eastAsia" w:ascii="宋体" w:hAnsi="宋体" w:eastAsia="宋体" w:cs="宋体"/>
          <w:color w:val="auto"/>
          <w:u w:val="none" w:color="auto"/>
        </w:rPr>
      </w:pPr>
      <w:bookmarkStart w:id="348" w:name="_Toc515647783"/>
      <w:bookmarkStart w:id="349" w:name="_Toc6092"/>
      <w:bookmarkStart w:id="350" w:name="_Toc4950"/>
      <w:bookmarkStart w:id="351" w:name="_Toc2275"/>
      <w:bookmarkStart w:id="352" w:name="_Toc9173"/>
      <w:bookmarkStart w:id="353" w:name="_Toc31649"/>
      <w:bookmarkStart w:id="354" w:name="_Toc13775"/>
      <w:bookmarkStart w:id="355" w:name="_Toc10184"/>
      <w:bookmarkStart w:id="356" w:name="_Toc27546"/>
      <w:bookmarkStart w:id="357" w:name="_Toc16242"/>
      <w:bookmarkStart w:id="358" w:name="_Toc30267"/>
      <w:bookmarkStart w:id="359" w:name="_Toc31191"/>
      <w:bookmarkStart w:id="360" w:name="_Toc108"/>
      <w:bookmarkStart w:id="361" w:name="_Toc23480"/>
      <w:r>
        <w:rPr>
          <w:rFonts w:hint="eastAsia" w:ascii="宋体" w:hAnsi="宋体" w:eastAsia="宋体" w:cs="宋体"/>
          <w:color w:val="auto"/>
          <w:u w:val="none" w:color="auto"/>
        </w:rPr>
        <w:t>22.</w:t>
      </w:r>
      <w:bookmarkEnd w:id="348"/>
      <w:r>
        <w:rPr>
          <w:rFonts w:hint="eastAsia" w:ascii="宋体" w:hAnsi="宋体" w:eastAsia="宋体" w:cs="宋体"/>
          <w:color w:val="auto"/>
          <w:u w:val="none" w:color="auto"/>
        </w:rPr>
        <w:t>磋商无效</w:t>
      </w:r>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rPr>
        <w:t>磋商无效</w:t>
      </w:r>
      <w:r>
        <w:rPr>
          <w:rFonts w:hint="eastAsia" w:ascii="宋体" w:hAnsi="宋体" w:eastAsia="宋体" w:cs="宋体"/>
          <w:color w:val="auto"/>
          <w:sz w:val="24"/>
        </w:rPr>
        <w:t>。供应商不得通过修正或撤销不符合要求的偏离，从而使其磋商成为实质上响应的磋商。</w:t>
      </w:r>
    </w:p>
    <w:p>
      <w:pPr>
        <w:snapToGrid w:val="0"/>
        <w:spacing w:line="380" w:lineRule="exact"/>
        <w:ind w:left="958" w:leftChars="456"/>
        <w:textAlignment w:val="baseline"/>
        <w:rPr>
          <w:rFonts w:hint="eastAsia" w:ascii="宋体" w:hAnsi="宋体" w:eastAsia="宋体" w:cs="宋体"/>
          <w:color w:val="auto"/>
          <w:sz w:val="24"/>
        </w:rPr>
      </w:pPr>
      <w:r>
        <w:rPr>
          <w:rFonts w:hint="eastAsia" w:ascii="宋体" w:hAnsi="宋体" w:eastAsia="宋体" w:cs="宋体"/>
          <w:color w:val="auto"/>
          <w:sz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hint="eastAsia" w:ascii="宋体" w:hAnsi="宋体" w:eastAsia="宋体" w:cs="宋体"/>
          <w:b/>
          <w:bCs/>
          <w:color w:val="auto"/>
          <w:sz w:val="24"/>
          <w:highlight w:val="none"/>
        </w:rPr>
      </w:pPr>
      <w:r>
        <w:rPr>
          <w:rFonts w:hint="eastAsia" w:ascii="宋体" w:hAnsi="宋体" w:eastAsia="宋体" w:cs="宋体"/>
          <w:color w:val="auto"/>
          <w:sz w:val="24"/>
        </w:rPr>
        <w:t>22.2</w:t>
      </w:r>
      <w:r>
        <w:rPr>
          <w:rFonts w:hint="eastAsia" w:ascii="宋体" w:hAnsi="宋体" w:eastAsia="宋体" w:cs="宋体"/>
          <w:color w:val="auto"/>
          <w:sz w:val="24"/>
        </w:rPr>
        <w:tab/>
      </w:r>
      <w:r>
        <w:rPr>
          <w:rFonts w:hint="eastAsia" w:ascii="宋体" w:hAnsi="宋体" w:eastAsia="宋体" w:cs="宋体"/>
          <w:b/>
          <w:bCs/>
          <w:color w:val="auto"/>
          <w:sz w:val="24"/>
          <w:highlight w:val="none"/>
        </w:rPr>
        <w:t>如发现下列情况之一的，其磋商将被认定为磋商无效：（以下情形应当在磋商文件中规定，并以醒目的方式标明）</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（1）未按磋商文件规定的形式和金额提交磋商保证金的；</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（2）未按照磋商文件规定要求签署、盖章的；</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（3）未满足磋商文件中技术条款的实质性要求；</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（4）与其他供应商串通磋商，或者与招标人串通磋商；</w:t>
      </w:r>
    </w:p>
    <w:p>
      <w:pPr>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（5）属于磋商文件规定的其他磋商无效情形；</w:t>
      </w:r>
    </w:p>
    <w:p>
      <w:pPr>
        <w:snapToGrid w:val="0"/>
        <w:spacing w:line="380" w:lineRule="exact"/>
        <w:ind w:left="1259" w:leftChars="370" w:hanging="482" w:hanging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（6）磋商小组认为供应商的报价明显低于其他通过符合性检查供应商的报价，有可能影响履约的，且供应商未按照规定证明其报价合理性的；</w:t>
      </w:r>
    </w:p>
    <w:p>
      <w:pPr>
        <w:snapToGrid w:val="0"/>
        <w:spacing w:line="380" w:lineRule="exact"/>
        <w:ind w:firstLine="723" w:firstLineChars="3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（7）响应文件含有采购人不能接受的附加条件的；</w:t>
      </w:r>
    </w:p>
    <w:p>
      <w:pPr>
        <w:tabs>
          <w:tab w:val="left" w:pos="0"/>
        </w:tabs>
        <w:snapToGrid w:val="0"/>
        <w:spacing w:line="380" w:lineRule="exact"/>
        <w:ind w:left="-180" w:firstLine="964" w:firstLineChars="4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（8）不符合法规和磋商文件中规定的其他实质性要求的。</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（1）供应商直接或者间接从采购人或者采购代理机构处获得其他供应商的相关情况并修改其响应文件或者响应文件；</w:t>
      </w:r>
    </w:p>
    <w:p>
      <w:pPr>
        <w:snapToGrid w:val="0"/>
        <w:spacing w:line="380" w:lineRule="exact"/>
        <w:ind w:left="835" w:leftChars="302" w:hanging="201" w:hangingChars="84"/>
        <w:textAlignment w:val="baseline"/>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（2）供应商按照采购人或者采购代理机构的授意撤换、修改响应文件或者响应文件；</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（3）供应商之间协商报价、技术方案等响应文件或者响应文件的实质性内容；</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（4）属于同一集团、协会、商会等组织成员的供应商按照该组织要求协同参加政府采购活动；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（5）供应商之间事先约定由某一特定供应商中标、成交；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（6）供应商之间商定部分供应商放弃参加政府采购活动或者放弃中标、成交；</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（7）供应商与采购人或者采购代理机构之间、供应商相互之间，为谋求特定供应商中标、成交或者排斥其他供应商的其他串通行为。</w:t>
      </w:r>
    </w:p>
    <w:p>
      <w:pPr>
        <w:pStyle w:val="6"/>
        <w:snapToGrid w:val="0"/>
        <w:spacing w:before="0" w:after="0" w:line="380" w:lineRule="exact"/>
        <w:textAlignment w:val="baseline"/>
        <w:rPr>
          <w:rFonts w:hint="eastAsia" w:ascii="宋体" w:hAnsi="宋体" w:eastAsia="宋体" w:cs="宋体"/>
          <w:color w:val="auto"/>
          <w:u w:val="none" w:color="auto"/>
        </w:rPr>
      </w:pPr>
      <w:bookmarkStart w:id="362" w:name="_Toc2287"/>
      <w:bookmarkStart w:id="363" w:name="_Toc22614"/>
      <w:bookmarkStart w:id="364" w:name="_Toc21841"/>
      <w:bookmarkStart w:id="365" w:name="_Toc5075"/>
      <w:bookmarkStart w:id="366" w:name="_Toc4263"/>
      <w:bookmarkStart w:id="367" w:name="_Toc30567"/>
      <w:bookmarkStart w:id="368" w:name="_Toc515647784"/>
      <w:bookmarkStart w:id="369" w:name="_Toc6450"/>
      <w:bookmarkStart w:id="370" w:name="_Toc22903"/>
      <w:bookmarkStart w:id="371" w:name="_Toc3834"/>
      <w:bookmarkStart w:id="372" w:name="_Toc13652"/>
      <w:bookmarkStart w:id="373" w:name="_Toc31440"/>
      <w:bookmarkStart w:id="374" w:name="_Toc28827"/>
      <w:bookmarkStart w:id="375" w:name="_Toc22941"/>
      <w:r>
        <w:rPr>
          <w:rFonts w:hint="eastAsia" w:ascii="宋体" w:hAnsi="宋体" w:eastAsia="宋体" w:cs="宋体"/>
          <w:color w:val="auto"/>
          <w:u w:val="none" w:color="auto"/>
        </w:rPr>
        <w:t>23.</w:t>
      </w:r>
      <w:bookmarkEnd w:id="333"/>
      <w:r>
        <w:rPr>
          <w:rFonts w:hint="eastAsia" w:ascii="宋体" w:hAnsi="宋体" w:eastAsia="宋体" w:cs="宋体"/>
          <w:color w:val="auto"/>
          <w:u w:val="none" w:color="auto"/>
        </w:rPr>
        <w:t>比较与评价</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spacing w:line="360" w:lineRule="auto"/>
        <w:ind w:left="900" w:hanging="900" w:hangingChars="375"/>
        <w:rPr>
          <w:rFonts w:hint="default" w:ascii="宋体" w:hAnsi="宋体" w:eastAsia="宋体" w:cs="宋体"/>
          <w:b/>
          <w:bCs/>
          <w:color w:val="auto"/>
          <w:sz w:val="24"/>
          <w:u w:val="single"/>
          <w:lang w:val="en-US" w:eastAsia="zh-CN"/>
        </w:rPr>
      </w:pPr>
      <w:r>
        <w:rPr>
          <w:rFonts w:hint="eastAsia" w:ascii="宋体" w:hAnsi="宋体" w:eastAsia="宋体" w:cs="宋体"/>
          <w:color w:val="auto"/>
          <w:sz w:val="24"/>
        </w:rPr>
        <w:t>23.1</w:t>
      </w:r>
      <w:r>
        <w:rPr>
          <w:rFonts w:hint="eastAsia" w:ascii="宋体" w:hAnsi="宋体" w:eastAsia="宋体" w:cs="宋体"/>
          <w:color w:val="auto"/>
          <w:sz w:val="24"/>
        </w:rPr>
        <w:tab/>
      </w:r>
      <w:r>
        <w:rPr>
          <w:rFonts w:hint="default" w:ascii="宋体" w:hAnsi="宋体" w:eastAsia="宋体" w:cs="宋体"/>
          <w:color w:val="auto"/>
          <w:sz w:val="24"/>
        </w:rPr>
        <w:t>经符合性审查合格的投标文件，</w:t>
      </w:r>
      <w:r>
        <w:rPr>
          <w:rFonts w:hint="eastAsia" w:ascii="宋体" w:hAnsi="宋体" w:eastAsia="宋体" w:cs="宋体"/>
          <w:color w:val="auto"/>
          <w:sz w:val="24"/>
          <w:lang w:val="en-US" w:eastAsia="zh-CN"/>
        </w:rPr>
        <w:t>磋商小组</w:t>
      </w:r>
      <w:r>
        <w:rPr>
          <w:rFonts w:hint="default" w:ascii="宋体" w:hAnsi="宋体" w:eastAsia="宋体" w:cs="宋体"/>
          <w:color w:val="auto"/>
          <w:sz w:val="24"/>
        </w:rPr>
        <w:t>将根据</w:t>
      </w:r>
      <w:r>
        <w:rPr>
          <w:rFonts w:hint="eastAsia" w:ascii="宋体" w:hAnsi="宋体" w:eastAsia="宋体" w:cs="宋体"/>
          <w:color w:val="auto"/>
          <w:sz w:val="24"/>
          <w:lang w:val="en-US" w:eastAsia="zh-CN"/>
        </w:rPr>
        <w:t>磋商</w:t>
      </w:r>
      <w:r>
        <w:rPr>
          <w:rFonts w:hint="default" w:ascii="宋体" w:hAnsi="宋体" w:eastAsia="宋体" w:cs="宋体"/>
          <w:color w:val="auto"/>
          <w:sz w:val="24"/>
        </w:rPr>
        <w:t>文件确定的评标方法和标准，对其技术部分和商务部分作进一步的比较和评价。</w:t>
      </w:r>
      <w:r>
        <w:rPr>
          <w:rFonts w:hint="eastAsia" w:ascii="宋体" w:hAnsi="宋体" w:eastAsia="宋体" w:cs="宋体"/>
          <w:color w:val="auto"/>
          <w:sz w:val="24"/>
          <w:lang w:val="en-US" w:eastAsia="zh-CN"/>
        </w:rPr>
        <w:t>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行综合评分。</w:t>
      </w:r>
      <w:r>
        <w:rPr>
          <w:rFonts w:hint="eastAsia" w:ascii="宋体" w:hAnsi="宋体" w:eastAsia="宋体" w:cs="宋体"/>
          <w:b/>
          <w:bCs/>
          <w:color w:val="auto"/>
          <w:sz w:val="24"/>
          <w:u w:val="single"/>
          <w:lang w:val="en-US" w:eastAsia="zh-CN"/>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 xml:space="preserve">23.2  </w:t>
      </w:r>
      <w:r>
        <w:rPr>
          <w:rFonts w:hint="eastAsia" w:ascii="宋体" w:hAnsi="宋体" w:eastAsia="宋体" w:cs="宋体"/>
          <w:color w:val="auto"/>
          <w:sz w:val="24"/>
        </w:rPr>
        <w:tab/>
      </w:r>
      <w:r>
        <w:rPr>
          <w:rFonts w:hint="eastAsia" w:ascii="宋体" w:hAnsi="宋体" w:eastAsia="宋体" w:cs="宋体"/>
          <w:color w:val="auto"/>
          <w:sz w:val="24"/>
        </w:rPr>
        <w:t>评标严格按照磋商文件的要求和条件进行。根据实际情况，在</w:t>
      </w:r>
      <w:r>
        <w:rPr>
          <w:rFonts w:hint="eastAsia" w:ascii="宋体" w:hAnsi="宋体" w:eastAsia="宋体" w:cs="宋体"/>
          <w:color w:val="auto"/>
          <w:sz w:val="24"/>
          <w:u w:val="single" w:color="000000"/>
        </w:rPr>
        <w:t>供应商须知资料表</w:t>
      </w:r>
      <w:r>
        <w:rPr>
          <w:rFonts w:hint="eastAsia" w:ascii="宋体" w:hAnsi="宋体" w:eastAsia="宋体" w:cs="宋体"/>
          <w:color w:val="auto"/>
          <w:sz w:val="24"/>
        </w:rPr>
        <w:t>中规定采用下列一种评标方法，详细评标标准见磋商文件</w:t>
      </w:r>
      <w:r>
        <w:rPr>
          <w:rFonts w:hint="eastAsia" w:ascii="宋体" w:hAnsi="宋体" w:eastAsia="宋体" w:cs="宋体"/>
          <w:b/>
          <w:color w:val="auto"/>
          <w:sz w:val="24"/>
        </w:rPr>
        <w:t>第六章：</w:t>
      </w:r>
    </w:p>
    <w:p>
      <w:pPr>
        <w:pStyle w:val="16"/>
        <w:snapToGrid w:val="0"/>
        <w:spacing w:line="380" w:lineRule="exact"/>
        <w:ind w:left="900" w:hanging="900" w:hangingChars="375"/>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综合评分法，是指投标文件满足磋商文件全部实质性要求，且按照评审因素的量化指标评审得分最高的投标人为中标候选人的评标方法。</w:t>
      </w:r>
    </w:p>
    <w:p>
      <w:pPr>
        <w:pStyle w:val="16"/>
        <w:snapToGrid w:val="0"/>
        <w:spacing w:line="380" w:lineRule="exact"/>
        <w:ind w:left="718" w:leftChars="342" w:firstLine="0" w:firstLineChars="0"/>
        <w:textAlignment w:val="baseline"/>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本项目采用招标方式：竞争性磋商，评分方法：综合评分法。本项目采用政采云线上电子招投标及评标。</w:t>
      </w:r>
    </w:p>
    <w:p>
      <w:pPr>
        <w:pStyle w:val="16"/>
        <w:snapToGrid w:val="0"/>
        <w:spacing w:line="380" w:lineRule="exact"/>
        <w:ind w:left="900" w:hanging="900" w:hangingChars="375"/>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23.3   </w:t>
      </w:r>
      <w:r>
        <w:rPr>
          <w:rFonts w:hint="eastAsia" w:ascii="宋体" w:hAnsi="宋体" w:eastAsia="宋体" w:cs="宋体"/>
          <w:b/>
          <w:bCs/>
          <w:color w:val="auto"/>
          <w:sz w:val="24"/>
          <w:szCs w:val="24"/>
        </w:rPr>
        <w:t>根据《政府采购促进中小企业发展管理办法》（财库[2020]46号）</w:t>
      </w:r>
      <w:r>
        <w:rPr>
          <w:rFonts w:hint="eastAsia" w:hAnsi="宋体" w:cs="宋体"/>
          <w:b/>
          <w:bCs/>
          <w:color w:val="auto"/>
          <w:sz w:val="24"/>
          <w:szCs w:val="24"/>
          <w:lang w:eastAsia="zh-CN"/>
        </w:rPr>
        <w:t>、</w:t>
      </w:r>
      <w:r>
        <w:rPr>
          <w:rFonts w:hint="default" w:ascii="宋体" w:hAnsi="宋体" w:eastAsia="宋体" w:cs="宋体"/>
          <w:b/>
          <w:bCs/>
          <w:color w:val="auto"/>
          <w:sz w:val="24"/>
          <w:szCs w:val="24"/>
        </w:rPr>
        <w:t>《</w:t>
      </w:r>
      <w:r>
        <w:rPr>
          <w:rFonts w:hint="eastAsia" w:ascii="宋体" w:hAnsi="宋体" w:eastAsia="宋体" w:cs="宋体"/>
          <w:b/>
          <w:bCs/>
          <w:color w:val="auto"/>
          <w:sz w:val="24"/>
          <w:szCs w:val="24"/>
        </w:rPr>
        <w:t>关于进一步加大政府采购支持中小企业力度的通知</w:t>
      </w:r>
      <w:r>
        <w:rPr>
          <w:rFonts w:hint="default" w:ascii="宋体" w:hAnsi="宋体" w:eastAsia="宋体" w:cs="宋体"/>
          <w:b/>
          <w:bCs/>
          <w:color w:val="auto"/>
          <w:sz w:val="24"/>
          <w:szCs w:val="24"/>
        </w:rPr>
        <w:t>》（财库【2022】19号）</w:t>
      </w:r>
      <w:r>
        <w:rPr>
          <w:rFonts w:hint="eastAsia" w:hAnsi="宋体" w:cs="宋体"/>
          <w:b/>
          <w:bCs/>
          <w:color w:val="auto"/>
          <w:sz w:val="24"/>
          <w:szCs w:val="24"/>
          <w:lang w:eastAsia="zh-CN"/>
        </w:rPr>
        <w:t>、</w:t>
      </w:r>
      <w:r>
        <w:rPr>
          <w:rFonts w:hint="eastAsia" w:ascii="宋体" w:hAnsi="宋体" w:eastAsia="宋体" w:cs="宋体"/>
          <w:b/>
          <w:bCs/>
          <w:color w:val="auto"/>
          <w:sz w:val="24"/>
          <w:szCs w:val="24"/>
        </w:rPr>
        <w:t>《财政部</w:t>
      </w:r>
      <w:r>
        <w:rPr>
          <w:rFonts w:hint="eastAsia" w:hAnsi="宋体" w:cs="宋体"/>
          <w:b/>
          <w:bCs/>
          <w:color w:val="auto"/>
          <w:sz w:val="24"/>
          <w:szCs w:val="24"/>
          <w:lang w:eastAsia="zh-CN"/>
        </w:rPr>
        <w:t>、</w:t>
      </w:r>
      <w:r>
        <w:rPr>
          <w:rFonts w:hint="eastAsia" w:ascii="宋体" w:hAnsi="宋体" w:eastAsia="宋体" w:cs="宋体"/>
          <w:b/>
          <w:bCs/>
          <w:color w:val="auto"/>
          <w:sz w:val="24"/>
          <w:szCs w:val="24"/>
        </w:rPr>
        <w:t>司法部关于政府采购支持监狱企业发展有关问题的通知》（财库〔2014〕68号）和《三部门联合发布关于促进残疾人就业政府采购政策的通知》（</w:t>
      </w:r>
      <w:bookmarkStart w:id="376" w:name="sendNo"/>
      <w:r>
        <w:rPr>
          <w:rFonts w:hint="eastAsia" w:ascii="宋体" w:hAnsi="宋体" w:eastAsia="宋体" w:cs="宋体"/>
          <w:b/>
          <w:bCs/>
          <w:color w:val="auto"/>
          <w:sz w:val="24"/>
          <w:szCs w:val="24"/>
        </w:rPr>
        <w:t>财库</w:t>
      </w:r>
      <w:bookmarkEnd w:id="376"/>
      <w:r>
        <w:rPr>
          <w:rFonts w:hint="eastAsia" w:ascii="宋体" w:hAnsi="宋体" w:eastAsia="宋体" w:cs="宋体"/>
          <w:b/>
          <w:bCs/>
          <w:color w:val="auto"/>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后参与评审。</w:t>
      </w:r>
      <w:r>
        <w:rPr>
          <w:rFonts w:hint="eastAsia" w:ascii="宋体" w:hAnsi="宋体" w:eastAsia="宋体" w:cs="宋体"/>
          <w:b/>
          <w:bCs/>
          <w:color w:val="auto"/>
          <w:sz w:val="24"/>
          <w:szCs w:val="24"/>
          <w:lang w:val="en-US" w:eastAsia="zh-CN"/>
        </w:rPr>
        <w:t>对于同时属于小微企业、监狱企业或残疾人福利性单位的，不重复进行投标报价扣除。</w:t>
      </w:r>
      <w:r>
        <w:rPr>
          <w:rFonts w:hint="eastAsia" w:ascii="宋体" w:hAnsi="宋体" w:eastAsia="宋体" w:cs="宋体"/>
          <w:b/>
          <w:bCs/>
          <w:color w:val="auto"/>
          <w:sz w:val="24"/>
          <w:szCs w:val="24"/>
        </w:rPr>
        <w:t>具体办法详见磋商文件第6章。</w:t>
      </w:r>
    </w:p>
    <w:p>
      <w:pPr>
        <w:pStyle w:val="6"/>
        <w:snapToGrid w:val="0"/>
        <w:spacing w:before="0" w:after="0" w:line="380" w:lineRule="exact"/>
        <w:textAlignment w:val="baseline"/>
        <w:rPr>
          <w:rFonts w:hint="eastAsia" w:ascii="宋体" w:hAnsi="宋体" w:eastAsia="宋体" w:cs="宋体"/>
          <w:color w:val="auto"/>
          <w:u w:val="none" w:color="auto"/>
        </w:rPr>
      </w:pPr>
      <w:bookmarkStart w:id="377" w:name="_Toc520356168"/>
      <w:bookmarkStart w:id="378" w:name="_Toc12611"/>
      <w:bookmarkStart w:id="379" w:name="_Toc20227"/>
      <w:bookmarkStart w:id="380" w:name="_Toc18922"/>
      <w:bookmarkStart w:id="381" w:name="_Toc2218"/>
      <w:bookmarkStart w:id="382" w:name="_Toc23521"/>
      <w:bookmarkStart w:id="383" w:name="_Toc28413"/>
      <w:bookmarkStart w:id="384" w:name="_Toc4586"/>
      <w:bookmarkStart w:id="385" w:name="_Toc28843"/>
      <w:bookmarkStart w:id="386" w:name="_Toc515647785"/>
      <w:bookmarkStart w:id="387" w:name="_Toc2539"/>
      <w:bookmarkStart w:id="388" w:name="_Toc6912"/>
      <w:bookmarkStart w:id="389" w:name="_Toc16201"/>
      <w:bookmarkStart w:id="390" w:name="_Toc9378"/>
      <w:bookmarkStart w:id="391" w:name="_Toc14935"/>
      <w:r>
        <w:rPr>
          <w:rFonts w:hint="eastAsia" w:ascii="宋体" w:hAnsi="宋体" w:eastAsia="宋体" w:cs="宋体"/>
          <w:color w:val="auto"/>
          <w:u w:val="none" w:color="auto"/>
        </w:rPr>
        <w:t>24</w:t>
      </w:r>
      <w:bookmarkEnd w:id="377"/>
      <w:r>
        <w:rPr>
          <w:rFonts w:hint="eastAsia" w:ascii="宋体" w:hAnsi="宋体" w:eastAsia="宋体" w:cs="宋体"/>
          <w:color w:val="auto"/>
          <w:u w:val="none" w:color="auto"/>
        </w:rPr>
        <w:t>.废标</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snapToGrid w:val="0"/>
        <w:spacing w:line="380" w:lineRule="exact"/>
        <w:ind w:left="239" w:leftChars="114" w:firstLine="663" w:firstLineChars="275"/>
        <w:textAlignment w:val="baseline"/>
        <w:rPr>
          <w:rFonts w:hint="eastAsia" w:ascii="宋体" w:hAnsi="宋体" w:eastAsia="宋体" w:cs="宋体"/>
          <w:b/>
          <w:bCs/>
          <w:color w:val="auto"/>
          <w:sz w:val="24"/>
        </w:rPr>
      </w:pPr>
      <w:r>
        <w:rPr>
          <w:rFonts w:hint="eastAsia" w:ascii="宋体" w:hAnsi="宋体" w:eastAsia="宋体" w:cs="宋体"/>
          <w:b/>
          <w:bCs/>
          <w:color w:val="auto"/>
          <w:sz w:val="24"/>
        </w:rPr>
        <w:t xml:space="preserve">出现下列情形之一，将导致项目废标： </w:t>
      </w:r>
    </w:p>
    <w:p>
      <w:pPr>
        <w:snapToGrid w:val="0"/>
        <w:spacing w:line="380" w:lineRule="exact"/>
        <w:ind w:left="900" w:hanging="904" w:hangingChars="375"/>
        <w:textAlignment w:val="baseline"/>
        <w:rPr>
          <w:rFonts w:hint="eastAsia" w:ascii="宋体" w:hAnsi="宋体" w:eastAsia="宋体" w:cs="宋体"/>
          <w:b/>
          <w:bCs/>
          <w:color w:val="auto"/>
          <w:sz w:val="24"/>
        </w:rPr>
      </w:pPr>
      <w:r>
        <w:rPr>
          <w:rFonts w:hint="eastAsia" w:ascii="宋体" w:hAnsi="宋体" w:eastAsia="宋体" w:cs="宋体"/>
          <w:b/>
          <w:bCs/>
          <w:color w:val="auto"/>
          <w:sz w:val="24"/>
        </w:rPr>
        <w:tab/>
      </w:r>
      <w:r>
        <w:rPr>
          <w:rFonts w:hint="eastAsia" w:ascii="宋体" w:hAnsi="宋体" w:eastAsia="宋体" w:cs="宋体"/>
          <w:b/>
          <w:bCs/>
          <w:color w:val="auto"/>
          <w:sz w:val="24"/>
        </w:rPr>
        <w:t>（1）出现影响采购公正的违法、违规行为的；</w:t>
      </w:r>
    </w:p>
    <w:p>
      <w:pPr>
        <w:snapToGrid w:val="0"/>
        <w:spacing w:line="380" w:lineRule="exact"/>
        <w:ind w:firstLine="843" w:firstLineChars="350"/>
        <w:textAlignment w:val="baseline"/>
        <w:rPr>
          <w:rFonts w:hint="eastAsia" w:ascii="宋体" w:hAnsi="宋体" w:eastAsia="宋体" w:cs="宋体"/>
          <w:b/>
          <w:bCs/>
          <w:color w:val="auto"/>
          <w:sz w:val="24"/>
        </w:rPr>
      </w:pPr>
      <w:r>
        <w:rPr>
          <w:rFonts w:hint="eastAsia" w:ascii="宋体" w:hAnsi="宋体" w:eastAsia="宋体" w:cs="宋体"/>
          <w:b/>
          <w:bCs/>
          <w:color w:val="auto"/>
          <w:sz w:val="24"/>
        </w:rPr>
        <w:t>（2）供应商的报价均超过了采购预算，采购人不能支付的；</w:t>
      </w:r>
    </w:p>
    <w:p>
      <w:pPr>
        <w:snapToGrid w:val="0"/>
        <w:spacing w:line="380" w:lineRule="exact"/>
        <w:ind w:firstLine="843" w:firstLineChars="350"/>
        <w:textAlignment w:val="baseline"/>
        <w:rPr>
          <w:rFonts w:hint="eastAsia" w:ascii="宋体" w:hAnsi="宋体" w:eastAsia="宋体" w:cs="宋体"/>
          <w:b/>
          <w:bCs/>
          <w:color w:val="auto"/>
          <w:sz w:val="24"/>
        </w:rPr>
      </w:pPr>
      <w:r>
        <w:rPr>
          <w:rFonts w:hint="eastAsia" w:ascii="宋体" w:hAnsi="宋体" w:eastAsia="宋体" w:cs="宋体"/>
          <w:b/>
          <w:bCs/>
          <w:color w:val="auto"/>
          <w:sz w:val="24"/>
        </w:rPr>
        <w:t xml:space="preserve">（3）因重大变故，采购任务取消的。   </w:t>
      </w:r>
    </w:p>
    <w:p>
      <w:pPr>
        <w:pStyle w:val="6"/>
        <w:snapToGrid w:val="0"/>
        <w:spacing w:before="0" w:after="0" w:line="380" w:lineRule="exact"/>
        <w:textAlignment w:val="baseline"/>
        <w:rPr>
          <w:rFonts w:hint="eastAsia" w:ascii="宋体" w:hAnsi="宋体" w:eastAsia="宋体" w:cs="宋体"/>
          <w:color w:val="auto"/>
          <w:u w:val="none" w:color="auto"/>
        </w:rPr>
      </w:pPr>
      <w:bookmarkStart w:id="392" w:name="_Toc8444"/>
      <w:bookmarkStart w:id="393" w:name="_Toc31289"/>
      <w:bookmarkStart w:id="394" w:name="_Toc27162"/>
      <w:bookmarkStart w:id="395" w:name="_Toc10317"/>
      <w:bookmarkStart w:id="396" w:name="_Toc515647786"/>
      <w:bookmarkStart w:id="397" w:name="_Toc11249"/>
      <w:bookmarkStart w:id="398" w:name="_Toc8176"/>
      <w:bookmarkStart w:id="399" w:name="_Toc20205"/>
      <w:bookmarkStart w:id="400" w:name="_Toc15505"/>
      <w:bookmarkStart w:id="401" w:name="_Toc4481"/>
      <w:bookmarkStart w:id="402" w:name="_Toc25920"/>
      <w:bookmarkStart w:id="403" w:name="_Toc23141"/>
      <w:bookmarkStart w:id="404" w:name="_Toc12226"/>
      <w:bookmarkStart w:id="405" w:name="_Toc24972"/>
      <w:bookmarkStart w:id="406" w:name="_Toc520356169"/>
      <w:r>
        <w:rPr>
          <w:rFonts w:hint="eastAsia" w:ascii="宋体" w:hAnsi="宋体" w:eastAsia="宋体" w:cs="宋体"/>
          <w:color w:val="auto"/>
          <w:u w:val="none" w:color="auto"/>
        </w:rPr>
        <w:t>25.保密原则</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25.1</w:t>
      </w:r>
      <w:r>
        <w:rPr>
          <w:rFonts w:hint="eastAsia" w:ascii="宋体" w:hAnsi="宋体" w:eastAsia="宋体" w:cs="宋体"/>
          <w:color w:val="auto"/>
          <w:sz w:val="24"/>
        </w:rPr>
        <w:tab/>
      </w:r>
      <w:r>
        <w:rPr>
          <w:rFonts w:hint="eastAsia" w:ascii="宋体" w:hAnsi="宋体" w:eastAsia="宋体" w:cs="宋体"/>
          <w:color w:val="auto"/>
          <w:sz w:val="24"/>
        </w:rPr>
        <w:t>评标将在严格保密的情况下进行。</w:t>
      </w:r>
    </w:p>
    <w:p>
      <w:pPr>
        <w:snapToGrid w:val="0"/>
        <w:spacing w:line="380" w:lineRule="exact"/>
        <w:ind w:left="900" w:hanging="900" w:hangingChars="375"/>
        <w:textAlignment w:val="baseline"/>
        <w:rPr>
          <w:rFonts w:hint="eastAsia" w:ascii="宋体" w:hAnsi="宋体" w:eastAsia="宋体" w:cs="宋体"/>
          <w:color w:val="auto"/>
          <w:sz w:val="20"/>
        </w:rPr>
      </w:pPr>
      <w:r>
        <w:rPr>
          <w:rFonts w:hint="eastAsia" w:ascii="宋体" w:hAnsi="宋体" w:eastAsia="宋体" w:cs="宋体"/>
          <w:color w:val="auto"/>
          <w:sz w:val="24"/>
        </w:rPr>
        <w:t>25.2</w:t>
      </w:r>
      <w:r>
        <w:rPr>
          <w:rFonts w:hint="eastAsia" w:ascii="宋体" w:hAnsi="宋体" w:eastAsia="宋体" w:cs="宋体"/>
          <w:color w:val="auto"/>
          <w:sz w:val="24"/>
        </w:rPr>
        <w:tab/>
      </w:r>
      <w:r>
        <w:rPr>
          <w:rFonts w:hint="eastAsia" w:ascii="宋体" w:hAnsi="宋体" w:eastAsia="宋体" w:cs="宋体"/>
          <w:color w:val="auto"/>
          <w:sz w:val="24"/>
        </w:rPr>
        <w:t>政府采购评审专家应当遵守评审工作纪律，不得泄露评审文件、评审情况和评审中获悉的商业秘密。</w:t>
      </w:r>
    </w:p>
    <w:p>
      <w:pPr>
        <w:pStyle w:val="5"/>
        <w:snapToGrid w:val="0"/>
        <w:spacing w:before="0" w:line="380" w:lineRule="exact"/>
        <w:ind w:hanging="540"/>
        <w:textAlignment w:val="baseline"/>
        <w:rPr>
          <w:rFonts w:hint="eastAsia" w:ascii="宋体" w:hAnsi="宋体" w:eastAsia="宋体" w:cs="宋体"/>
          <w:color w:val="auto"/>
          <w:sz w:val="24"/>
        </w:rPr>
      </w:pPr>
      <w:bookmarkStart w:id="407" w:name="_Toc216582810"/>
      <w:bookmarkStart w:id="408" w:name="_Toc21828"/>
      <w:bookmarkStart w:id="409" w:name="_Toc27482"/>
      <w:bookmarkStart w:id="410" w:name="_Toc23904"/>
      <w:bookmarkStart w:id="411" w:name="_Toc515647787"/>
      <w:bookmarkStart w:id="412" w:name="_Toc31195"/>
      <w:bookmarkStart w:id="413" w:name="_Toc12143"/>
    </w:p>
    <w:p>
      <w:pPr>
        <w:pStyle w:val="6"/>
        <w:snapToGrid w:val="0"/>
        <w:spacing w:before="0" w:after="0" w:line="380" w:lineRule="exact"/>
        <w:jc w:val="center"/>
        <w:textAlignment w:val="baseline"/>
        <w:rPr>
          <w:rFonts w:hint="eastAsia" w:ascii="宋体" w:hAnsi="宋体" w:eastAsia="宋体" w:cs="宋体"/>
          <w:color w:val="auto"/>
          <w:sz w:val="24"/>
          <w:u w:val="none"/>
        </w:rPr>
      </w:pPr>
      <w:r>
        <w:rPr>
          <w:rFonts w:hint="eastAsia" w:ascii="宋体" w:hAnsi="宋体" w:eastAsia="宋体" w:cs="宋体"/>
          <w:color w:val="auto"/>
          <w:sz w:val="24"/>
          <w:u w:val="none"/>
        </w:rPr>
        <w:t xml:space="preserve">六  </w:t>
      </w:r>
      <w:bookmarkEnd w:id="406"/>
      <w:bookmarkEnd w:id="407"/>
      <w:bookmarkEnd w:id="408"/>
      <w:bookmarkEnd w:id="409"/>
      <w:bookmarkEnd w:id="410"/>
      <w:bookmarkEnd w:id="411"/>
      <w:bookmarkEnd w:id="412"/>
      <w:bookmarkEnd w:id="413"/>
      <w:bookmarkStart w:id="414" w:name="_Toc19391"/>
      <w:bookmarkStart w:id="415" w:name="_Toc23762"/>
      <w:bookmarkStart w:id="416" w:name="_Toc7632"/>
      <w:bookmarkStart w:id="417" w:name="_Toc20286"/>
      <w:bookmarkStart w:id="418" w:name="_Toc30448"/>
      <w:bookmarkStart w:id="419" w:name="_Toc10858"/>
      <w:bookmarkStart w:id="420" w:name="_Toc520356170"/>
      <w:bookmarkStart w:id="421" w:name="_Toc20156"/>
      <w:bookmarkStart w:id="422" w:name="_Toc11122"/>
      <w:bookmarkStart w:id="423" w:name="_Toc515647788"/>
      <w:bookmarkStart w:id="424" w:name="_Toc8936"/>
      <w:bookmarkStart w:id="425" w:name="_Ref467307010"/>
      <w:bookmarkStart w:id="426" w:name="_Toc15848"/>
      <w:bookmarkStart w:id="427" w:name="_Toc4774"/>
      <w:bookmarkStart w:id="428" w:name="_Toc29606"/>
      <w:bookmarkStart w:id="429" w:name="_Toc23617"/>
      <w:r>
        <w:rPr>
          <w:rFonts w:hint="eastAsia" w:ascii="宋体" w:hAnsi="宋体" w:eastAsia="宋体" w:cs="宋体"/>
          <w:color w:val="auto"/>
          <w:sz w:val="24"/>
          <w:u w:val="none"/>
        </w:rPr>
        <w:t>确定中标</w:t>
      </w:r>
    </w:p>
    <w:p>
      <w:pPr>
        <w:pStyle w:val="6"/>
        <w:snapToGrid w:val="0"/>
        <w:spacing w:before="0" w:after="0" w:line="380" w:lineRule="exact"/>
        <w:textAlignment w:val="baseline"/>
        <w:rPr>
          <w:rFonts w:hint="eastAsia" w:ascii="宋体" w:hAnsi="宋体" w:eastAsia="宋体" w:cs="宋体"/>
          <w:color w:val="auto"/>
          <w:u w:val="none" w:color="auto"/>
        </w:rPr>
      </w:pPr>
    </w:p>
    <w:p>
      <w:pPr>
        <w:pStyle w:val="6"/>
        <w:numPr>
          <w:ilvl w:val="0"/>
          <w:numId w:val="6"/>
        </w:numPr>
        <w:snapToGrid w:val="0"/>
        <w:spacing w:before="0" w:after="0" w:line="380" w:lineRule="exact"/>
        <w:textAlignment w:val="baseline"/>
        <w:rPr>
          <w:rFonts w:hint="eastAsia" w:ascii="宋体" w:hAnsi="宋体" w:eastAsia="宋体" w:cs="宋体"/>
          <w:color w:val="auto"/>
          <w:u w:val="none" w:color="auto"/>
        </w:rPr>
      </w:pPr>
      <w:r>
        <w:rPr>
          <w:rFonts w:hint="eastAsia" w:ascii="宋体" w:hAnsi="宋体" w:eastAsia="宋体" w:cs="宋体"/>
          <w:color w:val="auto"/>
          <w:u w:val="none" w:color="auto"/>
        </w:rPr>
        <w:t>成交候选人的确定原则及标准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snapToGrid w:val="0"/>
        <w:spacing w:line="380" w:lineRule="exact"/>
        <w:ind w:left="718" w:leftChars="342" w:firstLine="0" w:firstLineChars="0"/>
        <w:textAlignment w:val="baseline"/>
        <w:rPr>
          <w:rFonts w:hint="eastAsia" w:ascii="宋体" w:hAnsi="宋体" w:eastAsia="宋体" w:cs="宋体"/>
          <w:color w:val="auto"/>
          <w:sz w:val="24"/>
        </w:rPr>
      </w:pPr>
      <w:r>
        <w:rPr>
          <w:rFonts w:hint="default" w:ascii="宋体" w:hAnsi="宋体" w:eastAsia="宋体" w:cs="宋体"/>
          <w:color w:val="auto"/>
          <w:sz w:val="24"/>
        </w:rPr>
        <w:t>除第2</w:t>
      </w:r>
      <w:r>
        <w:rPr>
          <w:rFonts w:hint="eastAsia" w:ascii="宋体" w:hAnsi="宋体" w:eastAsia="宋体" w:cs="宋体"/>
          <w:color w:val="auto"/>
          <w:sz w:val="24"/>
        </w:rPr>
        <w:t>8</w:t>
      </w:r>
      <w:r>
        <w:rPr>
          <w:rFonts w:hint="default" w:ascii="宋体" w:hAnsi="宋体" w:eastAsia="宋体" w:cs="宋体"/>
          <w:color w:val="auto"/>
          <w:sz w:val="24"/>
        </w:rPr>
        <w:t>条规定外，对实质上响应</w:t>
      </w:r>
      <w:r>
        <w:rPr>
          <w:rFonts w:hint="eastAsia" w:ascii="宋体" w:hAnsi="宋体" w:eastAsia="宋体" w:cs="宋体"/>
          <w:color w:val="auto"/>
          <w:sz w:val="24"/>
          <w:lang w:val="en-US" w:eastAsia="zh-CN"/>
        </w:rPr>
        <w:t>磋商</w:t>
      </w:r>
      <w:r>
        <w:rPr>
          <w:rFonts w:hint="default" w:ascii="宋体" w:hAnsi="宋体" w:eastAsia="宋体" w:cs="宋体"/>
          <w:color w:val="auto"/>
          <w:sz w:val="24"/>
        </w:rPr>
        <w:t>文件的</w:t>
      </w:r>
      <w:r>
        <w:rPr>
          <w:rFonts w:hint="eastAsia" w:ascii="宋体" w:hAnsi="宋体" w:eastAsia="宋体" w:cs="宋体"/>
          <w:color w:val="auto"/>
          <w:sz w:val="24"/>
        </w:rPr>
        <w:t>投标人</w:t>
      </w:r>
      <w:r>
        <w:rPr>
          <w:rFonts w:hint="default" w:ascii="宋体" w:hAnsi="宋体" w:eastAsia="宋体" w:cs="宋体"/>
          <w:color w:val="auto"/>
          <w:sz w:val="24"/>
        </w:rPr>
        <w:t>按下列方法</w:t>
      </w:r>
      <w:r>
        <w:rPr>
          <w:rFonts w:hint="eastAsia" w:ascii="宋体" w:hAnsi="宋体" w:eastAsia="宋体" w:cs="宋体"/>
          <w:color w:val="auto"/>
          <w:sz w:val="24"/>
        </w:rPr>
        <w:t>进行排序</w:t>
      </w:r>
      <w:r>
        <w:rPr>
          <w:rFonts w:hint="default" w:ascii="宋体" w:hAnsi="宋体" w:eastAsia="宋体" w:cs="宋体"/>
          <w:color w:val="auto"/>
          <w:sz w:val="24"/>
        </w:rPr>
        <w:t>，确定</w:t>
      </w:r>
      <w:r>
        <w:rPr>
          <w:rFonts w:hint="eastAsia" w:ascii="宋体" w:hAnsi="宋体" w:eastAsia="宋体" w:cs="宋体"/>
          <w:color w:val="auto"/>
          <w:sz w:val="24"/>
        </w:rPr>
        <w:t>中标候选人</w:t>
      </w:r>
      <w:r>
        <w:rPr>
          <w:rFonts w:hint="default" w:ascii="宋体" w:hAnsi="宋体" w:eastAsia="宋体" w:cs="宋体"/>
          <w:color w:val="auto"/>
          <w:sz w:val="24"/>
        </w:rPr>
        <w:t>：</w:t>
      </w:r>
    </w:p>
    <w:p>
      <w:pPr>
        <w:snapToGrid w:val="0"/>
        <w:spacing w:line="380" w:lineRule="exact"/>
        <w:ind w:left="718" w:leftChars="342" w:firstLine="0" w:firstLineChars="0"/>
        <w:textAlignment w:val="baseline"/>
        <w:rPr>
          <w:rFonts w:hint="eastAsia" w:ascii="宋体" w:hAnsi="宋体" w:eastAsia="宋体" w:cs="宋体"/>
          <w:b/>
          <w:bCs/>
          <w:color w:val="auto"/>
          <w:sz w:val="24"/>
          <w:u w:val="single"/>
        </w:rPr>
      </w:pPr>
      <w:bookmarkStart w:id="430" w:name="_Toc520356171"/>
      <w:bookmarkStart w:id="431" w:name="_Toc515647789"/>
      <w:r>
        <w:rPr>
          <w:rFonts w:hint="eastAsia" w:ascii="宋体" w:hAnsi="宋体" w:eastAsia="宋体" w:cs="宋体"/>
          <w:b/>
          <w:bCs/>
          <w:color w:val="auto"/>
          <w:sz w:val="24"/>
          <w:u w:val="single"/>
        </w:rPr>
        <w:t>采用综合评分法的，评标结果按评审后得分由高到低顺序排列。得分相同的，按修正和扣除后的投标报价由低到高顺序排列。得分与投标报价均相同的处理方式详见</w:t>
      </w:r>
      <w:r>
        <w:rPr>
          <w:rFonts w:hint="eastAsia" w:ascii="宋体" w:hAnsi="宋体" w:eastAsia="宋体" w:cs="宋体"/>
          <w:b/>
          <w:bCs/>
          <w:color w:val="auto"/>
          <w:sz w:val="24"/>
          <w:u w:val="single"/>
          <w:lang w:eastAsia="zh-CN"/>
        </w:rPr>
        <w:t>磋商文件</w:t>
      </w:r>
      <w:r>
        <w:rPr>
          <w:rFonts w:hint="eastAsia" w:ascii="宋体" w:hAnsi="宋体" w:eastAsia="宋体" w:cs="宋体"/>
          <w:b/>
          <w:bCs/>
          <w:color w:val="auto"/>
          <w:sz w:val="24"/>
          <w:u w:val="single"/>
        </w:rPr>
        <w:t>第6章。</w:t>
      </w:r>
    </w:p>
    <w:p>
      <w:pPr>
        <w:snapToGrid w:val="0"/>
        <w:spacing w:line="380" w:lineRule="exact"/>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rPr>
        <w:t>本项目采用综合评分法，</w:t>
      </w:r>
    </w:p>
    <w:p>
      <w:pPr>
        <w:snapToGrid w:val="0"/>
        <w:spacing w:line="380" w:lineRule="exact"/>
        <w:ind w:firstLine="482" w:firstLineChars="200"/>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rPr>
        <w:t>其中价格占</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0分、</w:t>
      </w:r>
      <w:r>
        <w:rPr>
          <w:rFonts w:hint="eastAsia" w:ascii="宋体" w:hAnsi="宋体" w:eastAsia="宋体" w:cs="宋体"/>
          <w:b/>
          <w:bCs/>
          <w:color w:val="auto"/>
          <w:sz w:val="24"/>
          <w:highlight w:val="none"/>
        </w:rPr>
        <w:t>商务</w:t>
      </w:r>
      <w:r>
        <w:rPr>
          <w:rFonts w:hint="eastAsia" w:ascii="宋体" w:hAnsi="宋体" w:cs="宋体"/>
          <w:b/>
          <w:bCs/>
          <w:color w:val="auto"/>
          <w:sz w:val="24"/>
          <w:highlight w:val="none"/>
          <w:lang w:eastAsia="zh-CN"/>
        </w:rPr>
        <w:t>技术</w:t>
      </w:r>
      <w:r>
        <w:rPr>
          <w:rFonts w:hint="eastAsia" w:ascii="宋体" w:hAnsi="宋体" w:cs="宋体"/>
          <w:b/>
          <w:bCs/>
          <w:color w:val="auto"/>
          <w:sz w:val="24"/>
          <w:highlight w:val="none"/>
          <w:lang w:val="en-US" w:eastAsia="zh-CN"/>
        </w:rPr>
        <w:t>90</w:t>
      </w:r>
      <w:r>
        <w:rPr>
          <w:rFonts w:hint="eastAsia" w:ascii="宋体" w:hAnsi="宋体" w:eastAsia="宋体" w:cs="宋体"/>
          <w:b/>
          <w:bCs/>
          <w:color w:val="auto"/>
          <w:sz w:val="24"/>
          <w:highlight w:val="none"/>
          <w:lang w:val="en-US" w:eastAsia="zh-CN"/>
        </w:rPr>
        <w:t>分</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432" w:name="_Toc9653"/>
      <w:bookmarkStart w:id="433" w:name="_Toc23951"/>
      <w:bookmarkStart w:id="434" w:name="_Toc17933"/>
      <w:bookmarkStart w:id="435" w:name="_Toc24948"/>
      <w:bookmarkStart w:id="436" w:name="_Toc3720"/>
      <w:bookmarkStart w:id="437" w:name="_Toc14558"/>
      <w:bookmarkStart w:id="438" w:name="_Toc16846"/>
      <w:bookmarkStart w:id="439" w:name="_Toc5598"/>
      <w:bookmarkStart w:id="440" w:name="_Toc6074"/>
      <w:bookmarkStart w:id="441" w:name="_Toc1644"/>
      <w:bookmarkStart w:id="442" w:name="_Toc17164"/>
      <w:bookmarkStart w:id="443" w:name="_Toc1227"/>
      <w:bookmarkStart w:id="444" w:name="_Toc7126"/>
      <w:r>
        <w:rPr>
          <w:rFonts w:hint="eastAsia" w:ascii="宋体" w:hAnsi="宋体" w:eastAsia="宋体" w:cs="宋体"/>
          <w:color w:val="auto"/>
          <w:u w:val="none" w:color="auto"/>
        </w:rPr>
        <w:t>27</w:t>
      </w:r>
      <w:bookmarkEnd w:id="430"/>
      <w:r>
        <w:rPr>
          <w:rFonts w:hint="eastAsia" w:ascii="宋体" w:hAnsi="宋体" w:eastAsia="宋体" w:cs="宋体"/>
          <w:color w:val="auto"/>
          <w:u w:val="none" w:color="auto"/>
        </w:rPr>
        <w:t>.确定成交候选人和</w:t>
      </w:r>
      <w:bookmarkEnd w:id="431"/>
      <w:bookmarkEnd w:id="432"/>
      <w:bookmarkEnd w:id="433"/>
      <w:bookmarkEnd w:id="434"/>
      <w:r>
        <w:rPr>
          <w:rFonts w:hint="eastAsia" w:hAnsi="宋体" w:cs="宋体"/>
          <w:color w:val="auto"/>
          <w:u w:val="none" w:color="auto"/>
          <w:lang w:val="en-US" w:eastAsia="zh-CN"/>
        </w:rPr>
        <w:t>中标</w:t>
      </w:r>
      <w:r>
        <w:rPr>
          <w:rFonts w:hint="eastAsia" w:ascii="宋体" w:hAnsi="宋体" w:eastAsia="宋体" w:cs="宋体"/>
          <w:color w:val="auto"/>
          <w:u w:val="none" w:color="auto"/>
        </w:rPr>
        <w:t>人</w:t>
      </w:r>
      <w:bookmarkEnd w:id="435"/>
      <w:bookmarkEnd w:id="436"/>
      <w:bookmarkEnd w:id="437"/>
      <w:bookmarkEnd w:id="438"/>
      <w:bookmarkEnd w:id="439"/>
      <w:bookmarkEnd w:id="440"/>
      <w:bookmarkEnd w:id="441"/>
      <w:bookmarkEnd w:id="442"/>
      <w:bookmarkEnd w:id="443"/>
      <w:bookmarkEnd w:id="444"/>
    </w:p>
    <w:p>
      <w:pPr>
        <w:snapToGrid w:val="0"/>
        <w:spacing w:line="380" w:lineRule="exact"/>
        <w:ind w:left="898" w:leftChars="342" w:hanging="180" w:hangingChars="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磋商小组将根据评标标准，按</w:t>
      </w:r>
      <w:r>
        <w:rPr>
          <w:rFonts w:hint="eastAsia" w:ascii="宋体" w:hAnsi="宋体" w:eastAsia="宋体" w:cs="宋体"/>
          <w:b/>
          <w:bCs/>
          <w:color w:val="auto"/>
          <w:sz w:val="24"/>
          <w:u w:val="single" w:color="auto"/>
        </w:rPr>
        <w:t>供应商须知资料表</w:t>
      </w:r>
      <w:r>
        <w:rPr>
          <w:rFonts w:hint="eastAsia" w:ascii="宋体" w:hAnsi="宋体" w:eastAsia="宋体" w:cs="宋体"/>
          <w:color w:val="auto"/>
          <w:sz w:val="24"/>
          <w:u w:val="none" w:color="auto"/>
        </w:rPr>
        <w:t>中规定数量推荐成交候选人；或根据采购人的委托，直接确定</w:t>
      </w:r>
      <w:r>
        <w:rPr>
          <w:rFonts w:hint="eastAsia" w:ascii="宋体" w:hAnsi="宋体" w:eastAsia="宋体" w:cs="宋体"/>
          <w:color w:val="auto"/>
          <w:sz w:val="24"/>
          <w:u w:val="none" w:color="auto"/>
          <w:lang w:val="en-US" w:eastAsia="zh-CN"/>
        </w:rPr>
        <w:t>中标</w:t>
      </w:r>
      <w:r>
        <w:rPr>
          <w:rFonts w:hint="eastAsia" w:ascii="宋体" w:hAnsi="宋体" w:eastAsia="宋体" w:cs="宋体"/>
          <w:color w:val="auto"/>
          <w:sz w:val="24"/>
          <w:u w:val="none" w:color="auto"/>
        </w:rPr>
        <w:t>人。</w:t>
      </w:r>
    </w:p>
    <w:p>
      <w:pPr>
        <w:pStyle w:val="6"/>
        <w:tabs>
          <w:tab w:val="left" w:pos="900"/>
        </w:tabs>
        <w:snapToGrid w:val="0"/>
        <w:spacing w:before="0" w:after="0" w:line="380" w:lineRule="exact"/>
        <w:textAlignment w:val="baseline"/>
        <w:rPr>
          <w:rFonts w:hint="eastAsia" w:ascii="宋体" w:hAnsi="宋体" w:eastAsia="宋体" w:cs="宋体"/>
          <w:color w:val="auto"/>
          <w:u w:val="none" w:color="auto"/>
        </w:rPr>
      </w:pPr>
      <w:bookmarkStart w:id="445" w:name="_Ref467306874"/>
      <w:bookmarkStart w:id="446" w:name="_Toc520356173"/>
      <w:bookmarkStart w:id="447" w:name="_Toc27036"/>
      <w:bookmarkStart w:id="448" w:name="_Toc7729"/>
      <w:bookmarkStart w:id="449" w:name="_Toc8389"/>
      <w:bookmarkStart w:id="450" w:name="_Toc27133"/>
      <w:bookmarkStart w:id="451" w:name="_Toc28562"/>
      <w:bookmarkStart w:id="452" w:name="_Toc32150"/>
      <w:bookmarkStart w:id="453" w:name="_Toc20633"/>
      <w:bookmarkStart w:id="454" w:name="_Toc27308"/>
      <w:bookmarkStart w:id="455" w:name="_Toc7507"/>
      <w:bookmarkStart w:id="456" w:name="_Toc515647790"/>
      <w:bookmarkStart w:id="457" w:name="_Toc2091"/>
      <w:bookmarkStart w:id="458" w:name="_Toc249"/>
      <w:bookmarkStart w:id="459" w:name="_Toc12652"/>
      <w:bookmarkStart w:id="460" w:name="_Toc24602"/>
      <w:r>
        <w:rPr>
          <w:rFonts w:hint="eastAsia" w:ascii="宋体" w:hAnsi="宋体" w:eastAsia="宋体" w:cs="宋体"/>
          <w:color w:val="auto"/>
          <w:u w:val="none" w:color="auto"/>
        </w:rPr>
        <w:t>28.</w:t>
      </w:r>
      <w:bookmarkEnd w:id="445"/>
      <w:bookmarkEnd w:id="446"/>
      <w:r>
        <w:rPr>
          <w:rFonts w:hint="eastAsia" w:ascii="宋体" w:hAnsi="宋体" w:eastAsia="宋体" w:cs="宋体"/>
          <w:color w:val="auto"/>
          <w:u w:val="none" w:color="auto"/>
        </w:rPr>
        <w:t>采购任务取消</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因重大变故采购任务取消时，采购人有权拒绝任何投标人中标，且对受影响的供应商不承担任何责任。</w:t>
      </w:r>
      <w:bookmarkStart w:id="461" w:name="_Toc520356174"/>
    </w:p>
    <w:p>
      <w:pPr>
        <w:pStyle w:val="6"/>
        <w:snapToGrid w:val="0"/>
        <w:spacing w:before="0" w:after="0" w:line="380" w:lineRule="exact"/>
        <w:textAlignment w:val="baseline"/>
        <w:rPr>
          <w:rFonts w:hint="eastAsia" w:ascii="宋体" w:hAnsi="宋体" w:eastAsia="宋体" w:cs="宋体"/>
          <w:color w:val="auto"/>
          <w:u w:val="none" w:color="auto"/>
        </w:rPr>
      </w:pPr>
      <w:bookmarkStart w:id="462" w:name="_Toc9815"/>
      <w:bookmarkStart w:id="463" w:name="_Toc515647791"/>
      <w:bookmarkStart w:id="464" w:name="_Toc25475"/>
      <w:bookmarkStart w:id="465" w:name="_Toc29249"/>
      <w:bookmarkStart w:id="466" w:name="_Toc20620"/>
      <w:bookmarkStart w:id="467" w:name="_Toc31099"/>
      <w:bookmarkStart w:id="468" w:name="_Toc2401"/>
      <w:bookmarkStart w:id="469" w:name="_Toc30170"/>
      <w:bookmarkStart w:id="470" w:name="_Toc15270"/>
      <w:bookmarkStart w:id="471" w:name="_Toc7938"/>
      <w:bookmarkStart w:id="472" w:name="_Toc26091"/>
      <w:bookmarkStart w:id="473" w:name="_Toc6223"/>
      <w:bookmarkStart w:id="474" w:name="_Toc27516"/>
      <w:bookmarkStart w:id="475" w:name="_Toc11134"/>
      <w:r>
        <w:rPr>
          <w:rFonts w:hint="eastAsia" w:ascii="宋体" w:hAnsi="宋体" w:eastAsia="宋体" w:cs="宋体"/>
          <w:color w:val="auto"/>
          <w:u w:val="none" w:color="auto"/>
        </w:rPr>
        <w:t>29.</w:t>
      </w:r>
      <w:bookmarkEnd w:id="461"/>
      <w:r>
        <w:rPr>
          <w:rFonts w:hint="eastAsia" w:ascii="宋体" w:hAnsi="宋体" w:eastAsia="宋体" w:cs="宋体"/>
          <w:color w:val="auto"/>
          <w:u w:val="none" w:color="auto"/>
        </w:rPr>
        <w:t>中标通知书和中标结果通知书</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29.1</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在磋商有效期内，中标人确定后，采购人或者采购代理机构发布中标公告，同时以书面形式向中标人发出中标通知书；</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29.2</w:t>
      </w:r>
      <w:r>
        <w:rPr>
          <w:rFonts w:hint="eastAsia" w:ascii="宋体" w:hAnsi="宋体" w:eastAsia="宋体" w:cs="宋体"/>
          <w:color w:val="auto"/>
          <w:sz w:val="24"/>
          <w:u w:val="none" w:color="auto"/>
        </w:rPr>
        <w:tab/>
      </w:r>
      <w:r>
        <w:rPr>
          <w:rFonts w:hint="eastAsia" w:ascii="宋体" w:hAnsi="宋体" w:eastAsia="宋体" w:cs="宋体"/>
          <w:color w:val="auto"/>
          <w:sz w:val="24"/>
          <w:u w:val="none" w:color="auto"/>
        </w:rPr>
        <w:t>中标通知书是合同的组成部分；</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29.3    中标结果通知书和中标通知书同时发出。招标结果通知书中将告知未通过资格审查的投标人未通过的原因；采用综合评分法评审的，还将告知未中标人本人的评审得分和排序。</w:t>
      </w:r>
    </w:p>
    <w:p>
      <w:pPr>
        <w:pStyle w:val="6"/>
        <w:snapToGrid w:val="0"/>
        <w:spacing w:before="0" w:after="0" w:line="380" w:lineRule="exact"/>
        <w:textAlignment w:val="baseline"/>
        <w:rPr>
          <w:rFonts w:hint="eastAsia" w:ascii="宋体" w:hAnsi="宋体" w:eastAsia="宋体" w:cs="宋体"/>
          <w:color w:val="auto"/>
          <w:u w:val="none" w:color="auto"/>
        </w:rPr>
      </w:pPr>
      <w:bookmarkStart w:id="476" w:name="_Toc790"/>
      <w:bookmarkStart w:id="477" w:name="_Toc7779"/>
      <w:bookmarkStart w:id="478" w:name="_Toc11296"/>
      <w:bookmarkStart w:id="479" w:name="_Toc8912"/>
      <w:bookmarkStart w:id="480" w:name="_Toc19911"/>
      <w:bookmarkStart w:id="481" w:name="_Toc520356175"/>
      <w:bookmarkStart w:id="482" w:name="_Ref467307062"/>
      <w:bookmarkStart w:id="483" w:name="_Ref467306377"/>
      <w:bookmarkStart w:id="484" w:name="_Toc1076"/>
      <w:bookmarkStart w:id="485" w:name="_Toc515647792"/>
      <w:bookmarkStart w:id="486" w:name="_Toc22868"/>
      <w:bookmarkStart w:id="487" w:name="_Ref467307204"/>
      <w:bookmarkStart w:id="488" w:name="_Toc20587"/>
      <w:bookmarkStart w:id="489" w:name="_Toc8040"/>
      <w:bookmarkStart w:id="490" w:name="_Ref467306978"/>
      <w:bookmarkStart w:id="491" w:name="_Toc307"/>
      <w:bookmarkStart w:id="492" w:name="_Toc15063"/>
      <w:bookmarkStart w:id="493" w:name="_Toc19431"/>
      <w:bookmarkStart w:id="494" w:name="_Toc29762"/>
      <w:r>
        <w:rPr>
          <w:rFonts w:hint="eastAsia" w:ascii="宋体" w:hAnsi="宋体" w:eastAsia="宋体" w:cs="宋体"/>
          <w:color w:val="auto"/>
          <w:u w:val="none" w:color="auto"/>
        </w:rPr>
        <w:t>30.签订合同</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30.1</w:t>
      </w:r>
      <w:r>
        <w:rPr>
          <w:rFonts w:hint="eastAsia" w:ascii="宋体" w:hAnsi="宋体" w:eastAsia="宋体" w:cs="宋体"/>
          <w:color w:val="auto"/>
          <w:sz w:val="24"/>
        </w:rPr>
        <w:tab/>
      </w:r>
      <w:r>
        <w:rPr>
          <w:rFonts w:hint="eastAsia" w:ascii="宋体" w:hAnsi="宋体" w:eastAsia="宋体" w:cs="宋体"/>
          <w:color w:val="auto"/>
          <w:sz w:val="24"/>
          <w:u w:val="none" w:color="auto"/>
        </w:rPr>
        <w:t>中标</w:t>
      </w:r>
      <w:r>
        <w:rPr>
          <w:rFonts w:hint="eastAsia" w:ascii="宋体" w:hAnsi="宋体" w:eastAsia="宋体" w:cs="宋体"/>
          <w:color w:val="auto"/>
          <w:sz w:val="24"/>
        </w:rPr>
        <w:t>人应当自发出</w:t>
      </w:r>
      <w:r>
        <w:rPr>
          <w:rFonts w:hint="eastAsia" w:ascii="宋体" w:hAnsi="宋体" w:eastAsia="宋体" w:cs="宋体"/>
          <w:color w:val="auto"/>
          <w:sz w:val="24"/>
          <w:u w:val="none" w:color="auto"/>
        </w:rPr>
        <w:t>中标</w:t>
      </w:r>
      <w:r>
        <w:rPr>
          <w:rFonts w:hint="eastAsia" w:ascii="宋体" w:hAnsi="宋体" w:eastAsia="宋体" w:cs="宋体"/>
          <w:color w:val="auto"/>
          <w:sz w:val="24"/>
        </w:rPr>
        <w:t>通知书之日起30日内，与采购人签订合同。</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30.2</w:t>
      </w:r>
      <w:r>
        <w:rPr>
          <w:rFonts w:hint="eastAsia" w:ascii="宋体" w:hAnsi="宋体" w:eastAsia="宋体" w:cs="宋体"/>
          <w:color w:val="auto"/>
          <w:sz w:val="24"/>
        </w:rPr>
        <w:tab/>
      </w:r>
      <w:bookmarkStart w:id="495" w:name="_Ref467306425"/>
      <w:bookmarkStart w:id="496" w:name="_Toc520356176"/>
      <w:bookmarkStart w:id="497" w:name="_Ref467307090"/>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文件、中标人的投标文件及其澄清文件等，均为签订合同的依据。</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30.3  中标人拒绝与采购人签订合同的，采购人可以按照评审报告推荐的中标候选人名单排序，确定下一中标候选人为中标人，也可以重新开展政府采购活动。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30.4  当出现法规规定的</w:t>
      </w:r>
      <w:r>
        <w:rPr>
          <w:rFonts w:hint="eastAsia" w:ascii="宋体" w:hAnsi="宋体" w:eastAsia="宋体" w:cs="宋体"/>
          <w:b/>
          <w:bCs/>
          <w:color w:val="auto"/>
          <w:sz w:val="24"/>
        </w:rPr>
        <w:t>中标无效或中标结果无效</w:t>
      </w:r>
      <w:r>
        <w:rPr>
          <w:rFonts w:hint="eastAsia" w:ascii="宋体" w:hAnsi="宋体" w:eastAsia="宋体" w:cs="宋体"/>
          <w:color w:val="auto"/>
          <w:sz w:val="24"/>
        </w:rPr>
        <w:t>情形时，采购人可与排名下一位的中标候选人另行签订合同，或依法重新开展采购活动。</w:t>
      </w:r>
    </w:p>
    <w:p>
      <w:pPr>
        <w:snapToGrid w:val="0"/>
        <w:spacing w:line="380" w:lineRule="exact"/>
        <w:ind w:left="900" w:hanging="900" w:hangingChars="375"/>
        <w:textAlignment w:val="baseline"/>
        <w:rPr>
          <w:rFonts w:hint="eastAsia" w:ascii="宋体" w:hAnsi="宋体" w:eastAsia="宋体" w:cs="宋体"/>
          <w:color w:val="auto"/>
          <w:sz w:val="24"/>
        </w:rPr>
      </w:pPr>
    </w:p>
    <w:p>
      <w:pPr>
        <w:pStyle w:val="6"/>
        <w:snapToGrid w:val="0"/>
        <w:spacing w:before="0" w:after="0" w:line="380" w:lineRule="exact"/>
        <w:textAlignment w:val="baseline"/>
        <w:rPr>
          <w:rFonts w:hint="eastAsia" w:ascii="宋体" w:hAnsi="宋体" w:eastAsia="宋体" w:cs="宋体"/>
          <w:color w:val="auto"/>
          <w:u w:val="none"/>
        </w:rPr>
      </w:pPr>
      <w:bookmarkStart w:id="498" w:name="_Toc8271"/>
      <w:bookmarkStart w:id="499" w:name="_Toc14080"/>
      <w:bookmarkStart w:id="500" w:name="_Toc14839"/>
      <w:bookmarkStart w:id="501" w:name="_Toc22126"/>
      <w:bookmarkStart w:id="502" w:name="_Toc15573"/>
      <w:bookmarkStart w:id="503" w:name="_Toc13579"/>
      <w:bookmarkStart w:id="504" w:name="_Toc6921"/>
      <w:bookmarkStart w:id="505" w:name="_Toc515647793"/>
      <w:bookmarkStart w:id="506" w:name="_Toc22555"/>
      <w:bookmarkStart w:id="507" w:name="_Toc24808"/>
      <w:bookmarkStart w:id="508" w:name="_Toc26893"/>
      <w:bookmarkStart w:id="509" w:name="_Toc32532"/>
      <w:bookmarkStart w:id="510" w:name="_Toc10911"/>
      <w:bookmarkStart w:id="511" w:name="_Toc5437"/>
      <w:r>
        <w:rPr>
          <w:rFonts w:hint="eastAsia" w:ascii="宋体" w:hAnsi="宋体" w:eastAsia="宋体" w:cs="宋体"/>
          <w:color w:val="auto"/>
          <w:u w:val="none"/>
        </w:rPr>
        <w:t>31.履约保证金</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31.1</w:t>
      </w:r>
      <w:r>
        <w:rPr>
          <w:rFonts w:hint="eastAsia" w:ascii="宋体" w:hAnsi="宋体" w:eastAsia="宋体" w:cs="宋体"/>
          <w:color w:val="auto"/>
          <w:sz w:val="24"/>
        </w:rPr>
        <w:tab/>
      </w:r>
      <w:r>
        <w:rPr>
          <w:rFonts w:hint="eastAsia" w:ascii="宋体" w:hAnsi="宋体" w:eastAsia="宋体" w:cs="宋体"/>
          <w:color w:val="auto"/>
          <w:sz w:val="24"/>
        </w:rPr>
        <w:t>中标人应按照</w:t>
      </w:r>
      <w:r>
        <w:rPr>
          <w:rFonts w:hint="eastAsia" w:ascii="宋体" w:hAnsi="宋体" w:eastAsia="宋体" w:cs="宋体"/>
          <w:b/>
          <w:bCs/>
          <w:color w:val="auto"/>
          <w:sz w:val="24"/>
          <w:u w:val="single"/>
        </w:rPr>
        <w:t>投标人须知资料表</w:t>
      </w:r>
      <w:r>
        <w:rPr>
          <w:rFonts w:hint="eastAsia" w:ascii="宋体" w:hAnsi="宋体" w:eastAsia="宋体" w:cs="宋体"/>
          <w:color w:val="auto"/>
          <w:sz w:val="24"/>
        </w:rPr>
        <w:t>规定向采购人缴纳履约保证金（如采用保函形式，格式见本章附件1）。</w:t>
      </w:r>
    </w:p>
    <w:p>
      <w:pPr>
        <w:snapToGrid w:val="0"/>
        <w:spacing w:line="380" w:lineRule="exact"/>
        <w:ind w:left="960" w:hanging="960" w:hangingChars="400"/>
        <w:jc w:val="left"/>
        <w:textAlignment w:val="baseline"/>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rPr>
        <w:tab/>
      </w:r>
      <w:bookmarkStart w:id="512" w:name="_Toc864"/>
      <w:bookmarkStart w:id="513" w:name="_Toc7088"/>
      <w:bookmarkStart w:id="514" w:name="_Toc1888"/>
      <w:bookmarkStart w:id="515" w:name="_Toc5352"/>
      <w:bookmarkStart w:id="516" w:name="_Toc13783"/>
      <w:bookmarkStart w:id="517" w:name="_Toc14350"/>
      <w:bookmarkStart w:id="518" w:name="_Toc32107"/>
      <w:r>
        <w:rPr>
          <w:rFonts w:hint="eastAsia" w:ascii="宋体" w:hAnsi="宋体" w:eastAsia="宋体" w:cs="宋体"/>
          <w:color w:val="auto"/>
          <w:sz w:val="24"/>
        </w:rPr>
        <w:t>政府采购利用担保试点范围内的项目，除31.1规定的情形外，中标人也可以按照财政部门的规定，向采购人提供合格的履约担保函（格式见本章附件2）。</w:t>
      </w:r>
    </w:p>
    <w:p>
      <w:pPr>
        <w:snapToGrid w:val="0"/>
        <w:spacing w:line="380" w:lineRule="exact"/>
        <w:ind w:left="960" w:hanging="960" w:hangingChars="400"/>
        <w:jc w:val="left"/>
        <w:textAlignment w:val="baseline"/>
        <w:rPr>
          <w:rFonts w:hint="eastAsia" w:ascii="宋体" w:hAnsi="宋体" w:eastAsia="宋体" w:cs="宋体"/>
          <w:bCs/>
          <w:color w:val="auto"/>
          <w:sz w:val="24"/>
          <w:u w:val="single" w:color="000000"/>
        </w:rPr>
      </w:pPr>
      <w:r>
        <w:rPr>
          <w:rFonts w:hint="eastAsia" w:ascii="宋体" w:hAnsi="宋体" w:eastAsia="宋体" w:cs="宋体"/>
          <w:color w:val="auto"/>
          <w:sz w:val="24"/>
        </w:rPr>
        <w:t xml:space="preserve">31.3  </w:t>
      </w:r>
      <w:bookmarkEnd w:id="512"/>
      <w:bookmarkEnd w:id="513"/>
      <w:bookmarkEnd w:id="514"/>
      <w:bookmarkEnd w:id="515"/>
      <w:bookmarkEnd w:id="516"/>
      <w:bookmarkEnd w:id="517"/>
      <w:bookmarkEnd w:id="518"/>
      <w:r>
        <w:rPr>
          <w:rFonts w:hint="eastAsia" w:ascii="宋体" w:hAnsi="宋体" w:eastAsia="宋体" w:cs="宋体"/>
          <w:color w:val="auto"/>
          <w:sz w:val="24"/>
        </w:rPr>
        <w:t>如果中标人没有按照上述履约保证金的规定执行，将视为放弃中标资格，中标人的投标保证金将不予退还。在此情况下，采购人可确定下一候选人为中标人，也可以重新开展采购活动。</w:t>
      </w:r>
    </w:p>
    <w:p>
      <w:pPr>
        <w:snapToGrid w:val="0"/>
        <w:spacing w:line="380" w:lineRule="exact"/>
        <w:jc w:val="left"/>
        <w:textAlignment w:val="baseline"/>
        <w:rPr>
          <w:rFonts w:hint="eastAsia" w:ascii="宋体" w:hAnsi="宋体" w:eastAsia="宋体" w:cs="宋体"/>
          <w:b/>
          <w:bCs/>
          <w:color w:val="auto"/>
          <w:sz w:val="24"/>
        </w:rPr>
      </w:pPr>
      <w:bookmarkStart w:id="519" w:name="_Toc26452"/>
      <w:bookmarkStart w:id="520" w:name="_Toc515647794"/>
      <w:bookmarkStart w:id="521" w:name="_Toc11939"/>
      <w:bookmarkStart w:id="522" w:name="_Toc29652"/>
      <w:bookmarkStart w:id="523" w:name="_Toc10734"/>
      <w:bookmarkStart w:id="524" w:name="_Toc23392"/>
      <w:bookmarkStart w:id="525" w:name="_Toc16384"/>
      <w:bookmarkStart w:id="526" w:name="_Toc31266"/>
      <w:bookmarkStart w:id="527" w:name="_Toc12971"/>
      <w:bookmarkStart w:id="528" w:name="_Toc3090"/>
      <w:bookmarkStart w:id="529" w:name="_Toc29408"/>
      <w:bookmarkStart w:id="530" w:name="_Toc1119"/>
      <w:bookmarkStart w:id="531" w:name="_Toc27934"/>
      <w:bookmarkStart w:id="532" w:name="_Toc31215"/>
      <w:r>
        <w:rPr>
          <w:rFonts w:hint="eastAsia" w:ascii="宋体" w:hAnsi="宋体" w:eastAsia="宋体" w:cs="宋体"/>
          <w:color w:val="auto"/>
          <w:u w:val="none" w:color="auto"/>
        </w:rPr>
        <w:t>32.</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ascii="宋体" w:hAnsi="宋体" w:eastAsia="宋体" w:cs="宋体"/>
          <w:b/>
          <w:bCs/>
          <w:color w:val="auto"/>
          <w:sz w:val="24"/>
        </w:rPr>
        <w:t>中标服务费</w:t>
      </w:r>
    </w:p>
    <w:p>
      <w:pPr>
        <w:snapToGrid w:val="0"/>
        <w:spacing w:line="380" w:lineRule="exact"/>
        <w:jc w:val="left"/>
        <w:textAlignment w:val="baseline"/>
        <w:rPr>
          <w:rFonts w:hint="eastAsia" w:ascii="宋体" w:hAnsi="宋体" w:eastAsia="宋体" w:cs="宋体"/>
          <w:bCs/>
          <w:color w:val="auto"/>
          <w:sz w:val="24"/>
          <w:u w:val="none" w:color="auto"/>
        </w:rPr>
      </w:pPr>
      <w:r>
        <w:rPr>
          <w:rFonts w:hint="eastAsia" w:ascii="宋体" w:hAnsi="宋体" w:eastAsia="宋体" w:cs="宋体"/>
          <w:bCs/>
          <w:color w:val="auto"/>
          <w:sz w:val="24"/>
          <w:u w:val="none" w:color="auto"/>
        </w:rPr>
        <w:t xml:space="preserve">   </w:t>
      </w:r>
      <w:bookmarkStart w:id="533" w:name="_Toc23886"/>
      <w:bookmarkStart w:id="534" w:name="_Toc6649"/>
      <w:bookmarkStart w:id="535" w:name="_Toc3808"/>
      <w:bookmarkStart w:id="536" w:name="_Toc2958"/>
      <w:bookmarkStart w:id="537" w:name="_Toc31147"/>
      <w:bookmarkStart w:id="538" w:name="_Toc30095"/>
      <w:bookmarkStart w:id="539" w:name="_Toc30285"/>
      <w:r>
        <w:rPr>
          <w:rFonts w:hint="eastAsia" w:ascii="宋体" w:hAnsi="宋体" w:eastAsia="宋体" w:cs="宋体"/>
          <w:bCs/>
          <w:color w:val="auto"/>
          <w:sz w:val="24"/>
          <w:u w:val="none" w:color="auto"/>
        </w:rPr>
        <w:t xml:space="preserve">   </w:t>
      </w:r>
      <w:r>
        <w:rPr>
          <w:rFonts w:hint="eastAsia" w:ascii="宋体" w:hAnsi="宋体" w:eastAsia="宋体" w:cs="宋体"/>
          <w:color w:val="auto"/>
          <w:sz w:val="24"/>
        </w:rPr>
        <w:t>中标人</w:t>
      </w:r>
      <w:r>
        <w:rPr>
          <w:rFonts w:hint="eastAsia" w:ascii="宋体" w:hAnsi="宋体" w:eastAsia="宋体" w:cs="宋体"/>
          <w:bCs/>
          <w:color w:val="auto"/>
          <w:sz w:val="24"/>
          <w:u w:val="none" w:color="auto"/>
        </w:rPr>
        <w:t>须按照磋商须知资料表规定，向采购代理机构支付成交服务费。</w:t>
      </w:r>
      <w:bookmarkEnd w:id="533"/>
      <w:bookmarkEnd w:id="534"/>
      <w:bookmarkEnd w:id="535"/>
      <w:bookmarkEnd w:id="536"/>
      <w:bookmarkEnd w:id="537"/>
      <w:bookmarkEnd w:id="538"/>
      <w:bookmarkEnd w:id="539"/>
    </w:p>
    <w:p>
      <w:pPr>
        <w:pStyle w:val="6"/>
        <w:snapToGrid w:val="0"/>
        <w:spacing w:before="0" w:after="0" w:line="380" w:lineRule="exact"/>
        <w:textAlignment w:val="baseline"/>
        <w:rPr>
          <w:rFonts w:hint="eastAsia" w:ascii="宋体" w:hAnsi="宋体" w:eastAsia="宋体" w:cs="宋体"/>
          <w:color w:val="auto"/>
          <w:u w:val="none" w:color="auto"/>
        </w:rPr>
      </w:pPr>
      <w:bookmarkStart w:id="540" w:name="_Toc31549"/>
      <w:bookmarkStart w:id="541" w:name="_Toc24064"/>
      <w:bookmarkStart w:id="542" w:name="_Toc18898"/>
      <w:bookmarkStart w:id="543" w:name="_Toc5403"/>
      <w:bookmarkStart w:id="544" w:name="_Toc515647795"/>
      <w:bookmarkStart w:id="545" w:name="_Toc1343"/>
      <w:bookmarkStart w:id="546" w:name="_Toc7049"/>
      <w:bookmarkStart w:id="547" w:name="_Toc26134"/>
      <w:bookmarkStart w:id="548" w:name="_Toc15699"/>
      <w:bookmarkStart w:id="549" w:name="_Toc28128"/>
      <w:bookmarkStart w:id="550" w:name="_Toc13065"/>
      <w:bookmarkStart w:id="551" w:name="_Toc25253"/>
      <w:bookmarkStart w:id="552" w:name="_Toc32437"/>
      <w:bookmarkStart w:id="553" w:name="_Toc6923"/>
      <w:r>
        <w:rPr>
          <w:rFonts w:hint="eastAsia" w:ascii="宋体" w:hAnsi="宋体" w:eastAsia="宋体" w:cs="宋体"/>
          <w:color w:val="auto"/>
          <w:u w:val="none" w:color="auto"/>
        </w:rPr>
        <w:t>33.政府采购信用担保</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33.1   本项目是否属于信用担保试点范围见供应商须知资料表。</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33.2.1 投标人递交的投标担保函和履约担保函应符合本招标文件的规定。</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33.2.2中标人可以采取融资担保的形式为政府采购项目履约进行融资。</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33.2.3 合格的政府采购专业信用担保机构名单见</w:t>
      </w:r>
      <w:r>
        <w:rPr>
          <w:rFonts w:hint="eastAsia" w:ascii="宋体" w:hAnsi="宋体" w:eastAsia="宋体" w:cs="宋体"/>
          <w:b/>
          <w:bCs/>
          <w:color w:val="auto"/>
          <w:sz w:val="24"/>
          <w:u w:val="single" w:color="auto"/>
        </w:rPr>
        <w:t>供应商须知资料表</w:t>
      </w:r>
      <w:r>
        <w:rPr>
          <w:rFonts w:hint="eastAsia" w:ascii="宋体" w:hAnsi="宋体" w:eastAsia="宋体" w:cs="宋体"/>
          <w:color w:val="auto"/>
          <w:sz w:val="24"/>
          <w:u w:val="none" w:color="auto"/>
        </w:rPr>
        <w:t>。</w:t>
      </w:r>
    </w:p>
    <w:p>
      <w:pPr>
        <w:pStyle w:val="6"/>
        <w:snapToGrid w:val="0"/>
        <w:spacing w:before="0" w:after="0" w:line="380" w:lineRule="exact"/>
        <w:textAlignment w:val="baseline"/>
        <w:rPr>
          <w:rFonts w:hint="eastAsia" w:ascii="宋体" w:hAnsi="宋体" w:eastAsia="宋体" w:cs="宋体"/>
          <w:color w:val="auto"/>
          <w:u w:val="none" w:color="auto"/>
        </w:rPr>
      </w:pPr>
      <w:bookmarkStart w:id="554" w:name="_Toc28874"/>
      <w:bookmarkStart w:id="555" w:name="_Toc4128"/>
      <w:bookmarkStart w:id="556" w:name="_Toc23999"/>
      <w:bookmarkStart w:id="557" w:name="_Toc16394"/>
      <w:bookmarkStart w:id="558" w:name="_Toc9673"/>
      <w:bookmarkStart w:id="559" w:name="_Toc15842"/>
      <w:bookmarkStart w:id="560" w:name="_Toc2133"/>
      <w:bookmarkStart w:id="561" w:name="_Toc27619"/>
      <w:bookmarkStart w:id="562" w:name="_Toc7616"/>
      <w:bookmarkStart w:id="563" w:name="_Toc24892"/>
      <w:bookmarkStart w:id="564" w:name="_Toc515647796"/>
      <w:bookmarkStart w:id="565" w:name="_Toc26887"/>
      <w:bookmarkStart w:id="566" w:name="_Toc24726"/>
      <w:bookmarkStart w:id="567" w:name="_Toc9559"/>
      <w:r>
        <w:rPr>
          <w:rFonts w:hint="eastAsia" w:ascii="宋体" w:hAnsi="宋体" w:eastAsia="宋体" w:cs="宋体"/>
          <w:color w:val="auto"/>
          <w:u w:val="none" w:color="auto"/>
        </w:rPr>
        <w:t>34.廉洁自律规定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rPr>
        <w:t>34.3   为强化采购代理机构内部监督机制，供应商可按</w:t>
      </w:r>
      <w:r>
        <w:rPr>
          <w:rFonts w:hint="eastAsia" w:ascii="宋体" w:hAnsi="宋体" w:eastAsia="宋体" w:cs="宋体"/>
          <w:color w:val="auto"/>
          <w:sz w:val="24"/>
          <w:u w:val="single" w:color="000000"/>
        </w:rPr>
        <w:t>供应商须知资料表中的</w:t>
      </w:r>
      <w:r>
        <w:rPr>
          <w:rFonts w:hint="eastAsia" w:ascii="宋体" w:hAnsi="宋体" w:eastAsia="宋体" w:cs="宋体"/>
          <w:color w:val="auto"/>
          <w:sz w:val="24"/>
          <w:u w:val="none" w:color="auto"/>
        </w:rPr>
        <w:t>监督电话和邮箱，反映采购代理机构的廉洁自律等问题。</w:t>
      </w:r>
    </w:p>
    <w:p>
      <w:pPr>
        <w:pStyle w:val="6"/>
        <w:snapToGrid w:val="0"/>
        <w:spacing w:before="0" w:after="0" w:line="380" w:lineRule="exact"/>
        <w:textAlignment w:val="baseline"/>
        <w:rPr>
          <w:rFonts w:hint="eastAsia" w:ascii="宋体" w:hAnsi="宋体" w:eastAsia="宋体" w:cs="宋体"/>
          <w:color w:val="auto"/>
          <w:u w:val="none" w:color="auto"/>
        </w:rPr>
      </w:pPr>
      <w:bookmarkStart w:id="568" w:name="_Toc3386"/>
      <w:bookmarkStart w:id="569" w:name="_Toc1011"/>
      <w:bookmarkStart w:id="570" w:name="_Toc25440"/>
      <w:bookmarkStart w:id="571" w:name="_Toc20804"/>
      <w:bookmarkStart w:id="572" w:name="_Toc22851"/>
      <w:bookmarkStart w:id="573" w:name="_Toc25480"/>
      <w:bookmarkStart w:id="574" w:name="_Toc14238"/>
      <w:bookmarkStart w:id="575" w:name="_Toc15647"/>
      <w:bookmarkStart w:id="576" w:name="_Toc24873"/>
      <w:bookmarkStart w:id="577" w:name="_Toc17910"/>
      <w:bookmarkStart w:id="578" w:name="_Toc515647797"/>
      <w:bookmarkStart w:id="579" w:name="_Toc8702"/>
      <w:bookmarkStart w:id="580" w:name="_Toc11586"/>
      <w:bookmarkStart w:id="581" w:name="_Toc14264"/>
      <w:r>
        <w:rPr>
          <w:rFonts w:hint="eastAsia" w:ascii="宋体" w:hAnsi="宋体" w:eastAsia="宋体" w:cs="宋体"/>
          <w:color w:val="auto"/>
          <w:u w:val="none" w:color="auto"/>
        </w:rPr>
        <w:t>35.人员回避</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snapToGrid w:val="0"/>
        <w:spacing w:line="380" w:lineRule="exact"/>
        <w:ind w:left="900" w:hanging="900" w:hangingChars="375"/>
        <w:textAlignment w:val="baseline"/>
        <w:rPr>
          <w:rFonts w:hint="eastAsia" w:ascii="宋体" w:hAnsi="宋体" w:eastAsia="宋体" w:cs="宋体"/>
          <w:color w:val="auto"/>
          <w:sz w:val="24"/>
          <w:u w:val="none" w:color="auto"/>
        </w:rPr>
      </w:pPr>
      <w:r>
        <w:rPr>
          <w:rFonts w:hint="eastAsia" w:ascii="宋体" w:hAnsi="宋体" w:eastAsia="宋体" w:cs="宋体"/>
          <w:color w:val="auto"/>
          <w:sz w:val="24"/>
          <w:u w:val="none" w:color="auto"/>
        </w:rPr>
        <w:t xml:space="preserve">       供应商认为采购人员及其相关人员有法律法规所列与其他供应商有利害关系的，可以向采购人或采购代理机构书面提出回避申请，并说明理由。</w:t>
      </w:r>
    </w:p>
    <w:p>
      <w:pPr>
        <w:pStyle w:val="6"/>
        <w:snapToGrid w:val="0"/>
        <w:spacing w:before="0" w:after="0" w:line="380" w:lineRule="exact"/>
        <w:textAlignment w:val="baseline"/>
        <w:rPr>
          <w:rFonts w:hint="eastAsia" w:ascii="宋体" w:hAnsi="宋体" w:eastAsia="宋体" w:cs="宋体"/>
          <w:color w:val="auto"/>
          <w:u w:val="none" w:color="auto"/>
        </w:rPr>
      </w:pPr>
      <w:bookmarkStart w:id="582" w:name="_Toc11115"/>
      <w:bookmarkStart w:id="583" w:name="_Toc9031"/>
      <w:bookmarkStart w:id="584" w:name="_Toc23729"/>
      <w:bookmarkStart w:id="585" w:name="_Toc30280"/>
      <w:bookmarkStart w:id="586" w:name="_Toc15825"/>
      <w:bookmarkStart w:id="587" w:name="_Toc515647798"/>
      <w:bookmarkStart w:id="588" w:name="_Toc31508"/>
      <w:bookmarkStart w:id="589" w:name="_Toc1148"/>
      <w:bookmarkStart w:id="590" w:name="_Toc25962"/>
      <w:bookmarkStart w:id="591" w:name="_Toc24801"/>
      <w:bookmarkStart w:id="592" w:name="_Toc22024"/>
      <w:bookmarkStart w:id="593" w:name="_Toc3703"/>
      <w:bookmarkStart w:id="594" w:name="_Toc14325"/>
      <w:bookmarkStart w:id="595" w:name="_Toc24595"/>
      <w:r>
        <w:rPr>
          <w:rFonts w:hint="eastAsia" w:ascii="宋体" w:hAnsi="宋体" w:eastAsia="宋体" w:cs="宋体"/>
          <w:color w:val="auto"/>
          <w:u w:val="none" w:color="auto"/>
        </w:rPr>
        <w:t>36.质疑与接收</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eastAsia" w:ascii="宋体" w:hAnsi="宋体" w:eastAsia="宋体" w:cs="宋体"/>
          <w:color w:val="auto"/>
          <w:sz w:val="24"/>
        </w:rPr>
      </w:pPr>
      <w:r>
        <w:rPr>
          <w:rFonts w:hint="eastAsia" w:ascii="宋体" w:hAnsi="宋体" w:eastAsia="宋体" w:cs="宋体"/>
          <w:color w:val="auto"/>
          <w:sz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eastAsia" w:ascii="宋体" w:hAnsi="宋体" w:eastAsia="宋体" w:cs="宋体"/>
          <w:color w:val="auto"/>
          <w:sz w:val="24"/>
        </w:rPr>
      </w:pPr>
      <w:r>
        <w:rPr>
          <w:rFonts w:hint="eastAsia" w:ascii="宋体" w:hAnsi="宋体" w:eastAsia="宋体" w:cs="宋体"/>
          <w:color w:val="auto"/>
          <w:sz w:val="24"/>
        </w:rPr>
        <w:t>36.3  采购代理机构质疑函接收部门、联系电话和通讯地址, 见</w:t>
      </w:r>
      <w:r>
        <w:rPr>
          <w:rFonts w:hint="eastAsia" w:ascii="宋体" w:hAnsi="宋体" w:eastAsia="宋体" w:cs="宋体"/>
          <w:color w:val="auto"/>
          <w:sz w:val="24"/>
          <w:u w:val="single" w:color="000000"/>
        </w:rPr>
        <w:t>供应商须知资料表。</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.4   质疑的提出</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eastAsia" w:ascii="宋体" w:hAnsi="宋体" w:eastAsia="宋体" w:cs="宋体"/>
          <w:color w:val="auto"/>
          <w:sz w:val="24"/>
        </w:rPr>
      </w:pPr>
      <w:r>
        <w:rPr>
          <w:rFonts w:hint="eastAsia" w:ascii="宋体" w:hAnsi="宋体" w:eastAsia="宋体" w:cs="宋体"/>
          <w:color w:val="auto"/>
          <w:sz w:val="24"/>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（二）对采购过程提出质疑的，为各采购程序环节结束之日；</w:t>
      </w:r>
    </w:p>
    <w:p>
      <w:pPr>
        <w:snapToGrid w:val="0"/>
        <w:spacing w:line="380" w:lineRule="exact"/>
        <w:ind w:firstLine="720" w:firstLineChars="300"/>
        <w:jc w:val="left"/>
        <w:textAlignment w:val="baseline"/>
        <w:rPr>
          <w:rFonts w:hint="eastAsia" w:ascii="宋体" w:hAnsi="宋体" w:eastAsia="宋体" w:cs="宋体"/>
          <w:color w:val="auto"/>
          <w:sz w:val="24"/>
        </w:rPr>
      </w:pPr>
      <w:r>
        <w:rPr>
          <w:rFonts w:hint="eastAsia" w:ascii="宋体" w:hAnsi="宋体" w:eastAsia="宋体" w:cs="宋体"/>
          <w:color w:val="auto"/>
          <w:sz w:val="24"/>
        </w:rPr>
        <w:t>（三）对成交结果提出质疑的，为成交结果公告期限届满之日。</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.9   提出质疑应当符合下列条件：</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（一）质疑主体应当符合有关规定；</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（二）在质疑法定期限内提出；</w:t>
      </w:r>
    </w:p>
    <w:p>
      <w:pPr>
        <w:snapToGrid w:val="0"/>
        <w:spacing w:line="380" w:lineRule="exact"/>
        <w:ind w:firstLine="720" w:firstLineChars="300"/>
        <w:jc w:val="left"/>
        <w:textAlignment w:val="baseline"/>
        <w:rPr>
          <w:rFonts w:hint="eastAsia" w:ascii="宋体" w:hAnsi="宋体" w:eastAsia="宋体" w:cs="宋体"/>
          <w:color w:val="auto"/>
          <w:sz w:val="24"/>
        </w:rPr>
      </w:pPr>
      <w:r>
        <w:rPr>
          <w:rFonts w:hint="eastAsia" w:ascii="宋体" w:hAnsi="宋体" w:eastAsia="宋体" w:cs="宋体"/>
          <w:color w:val="auto"/>
          <w:sz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（四）政府采购法律、法规、规章规定的其他条件。</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.12  质疑人提出质疑时应当提交质疑函。质疑函包括下列内容：</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（一）提出质疑的质疑人的名称、地址、邮编、联系人及联系电话等；</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（二）质疑项目的名称、编号；</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（三）质疑事项；</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（四）事实依据和证明材料；</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（五）法律依据；</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（六）提出质疑的日期。</w:t>
      </w:r>
    </w:p>
    <w:p>
      <w:pPr>
        <w:snapToGrid w:val="0"/>
        <w:spacing w:line="380" w:lineRule="exact"/>
        <w:ind w:left="958" w:leftChars="456" w:firstLine="60" w:firstLineChars="25"/>
        <w:jc w:val="left"/>
        <w:textAlignment w:val="baseline"/>
        <w:rPr>
          <w:rFonts w:hint="eastAsia" w:ascii="宋体" w:hAnsi="宋体" w:eastAsia="宋体" w:cs="宋体"/>
          <w:color w:val="auto"/>
          <w:sz w:val="24"/>
        </w:rPr>
      </w:pPr>
      <w:r>
        <w:rPr>
          <w:rFonts w:hint="eastAsia" w:ascii="宋体" w:hAnsi="宋体" w:eastAsia="宋体" w:cs="宋体"/>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.14  质疑的审查和受理</w:t>
      </w:r>
    </w:p>
    <w:p>
      <w:pPr>
        <w:snapToGrid w:val="0"/>
        <w:spacing w:line="380" w:lineRule="exact"/>
        <w:ind w:left="958" w:leftChars="456"/>
        <w:jc w:val="left"/>
        <w:textAlignment w:val="baseline"/>
        <w:rPr>
          <w:rFonts w:hint="eastAsia" w:ascii="宋体" w:hAnsi="宋体" w:eastAsia="宋体" w:cs="宋体"/>
          <w:color w:val="auto"/>
          <w:sz w:val="24"/>
        </w:rPr>
      </w:pPr>
      <w:r>
        <w:rPr>
          <w:rFonts w:hint="eastAsia" w:ascii="宋体" w:hAnsi="宋体" w:eastAsia="宋体" w:cs="宋体"/>
          <w:color w:val="auto"/>
          <w:sz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.15  对不符合质疑受理条件的，分别按照下列不同情形予以处理：</w:t>
      </w:r>
    </w:p>
    <w:p>
      <w:pPr>
        <w:snapToGrid w:val="0"/>
        <w:spacing w:line="380" w:lineRule="exact"/>
        <w:ind w:left="1138" w:leftChars="456" w:hanging="180" w:hangingChars="75"/>
        <w:jc w:val="left"/>
        <w:textAlignment w:val="baseline"/>
        <w:rPr>
          <w:rFonts w:hint="eastAsia" w:ascii="宋体" w:hAnsi="宋体" w:eastAsia="宋体" w:cs="宋体"/>
          <w:color w:val="auto"/>
          <w:sz w:val="24"/>
        </w:rPr>
      </w:pPr>
      <w:r>
        <w:rPr>
          <w:rFonts w:hint="eastAsia" w:ascii="宋体" w:hAnsi="宋体" w:eastAsia="宋体" w:cs="宋体"/>
          <w:color w:val="auto"/>
          <w:sz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（二）质疑主体不符合有关规定的，告知质疑人不予受理；</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（三）超过质疑法定期限提出质疑的，告知质疑人不予受理；</w:t>
      </w:r>
    </w:p>
    <w:p>
      <w:pPr>
        <w:snapToGrid w:val="0"/>
        <w:spacing w:line="380" w:lineRule="exact"/>
        <w:ind w:left="958" w:leftChars="342" w:hanging="240" w:hangingChars="100"/>
        <w:jc w:val="left"/>
        <w:textAlignment w:val="baseline"/>
        <w:rPr>
          <w:rFonts w:hint="eastAsia" w:ascii="宋体" w:hAnsi="宋体" w:eastAsia="宋体" w:cs="宋体"/>
          <w:color w:val="auto"/>
          <w:sz w:val="24"/>
        </w:rPr>
      </w:pPr>
      <w:r>
        <w:rPr>
          <w:rFonts w:hint="eastAsia" w:ascii="宋体" w:hAnsi="宋体" w:eastAsia="宋体" w:cs="宋体"/>
          <w:color w:val="auto"/>
          <w:sz w:val="24"/>
        </w:rPr>
        <w:t>（四）对不属于可以提出质疑的政府采购事项提出质疑的，告知质疑人不予受理；</w:t>
      </w:r>
    </w:p>
    <w:p>
      <w:pPr>
        <w:snapToGrid w:val="0"/>
        <w:spacing w:line="380" w:lineRule="exact"/>
        <w:ind w:left="718" w:leftChars="342"/>
        <w:jc w:val="left"/>
        <w:textAlignment w:val="baseline"/>
        <w:rPr>
          <w:rFonts w:hint="eastAsia" w:ascii="宋体" w:hAnsi="宋体" w:eastAsia="宋体" w:cs="宋体"/>
          <w:color w:val="auto"/>
          <w:sz w:val="24"/>
        </w:rPr>
      </w:pPr>
      <w:r>
        <w:rPr>
          <w:rFonts w:hint="eastAsia" w:ascii="宋体" w:hAnsi="宋体" w:eastAsia="宋体" w:cs="宋体"/>
          <w:color w:val="auto"/>
          <w:sz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eastAsia" w:ascii="宋体" w:hAnsi="宋体" w:eastAsia="宋体" w:cs="宋体"/>
          <w:color w:val="auto"/>
          <w:sz w:val="24"/>
        </w:rPr>
      </w:pPr>
      <w:r>
        <w:rPr>
          <w:rFonts w:hint="eastAsia" w:ascii="宋体" w:hAnsi="宋体" w:eastAsia="宋体" w:cs="宋体"/>
          <w:color w:val="auto"/>
          <w:sz w:val="24"/>
        </w:rPr>
        <w:t>（六）质疑不符合其他条件的，告知质疑人不予受理。</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.16  质疑的处理和答复</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.19  对评审过程、成交结果提出质疑的，采购方可以组织原评审委员会协助答复质疑。</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.20  质疑处理过程中，质疑人书面申请撤回质疑的，将终止质疑处理程序。</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val="en-US" w:eastAsia="zh-CN"/>
        </w:rPr>
        <w:t>6</w:t>
      </w:r>
      <w:r>
        <w:rPr>
          <w:rFonts w:hint="eastAsia" w:ascii="宋体" w:hAnsi="宋体" w:eastAsia="宋体" w:cs="宋体"/>
          <w:color w:val="auto"/>
          <w:sz w:val="24"/>
        </w:rPr>
        <w:t>.23  采购方将在正式受理质疑后7个工作日内作出答复。</w:t>
      </w:r>
    </w:p>
    <w:p>
      <w:pPr>
        <w:pStyle w:val="53"/>
        <w:snapToGrid w:val="0"/>
        <w:spacing w:line="380" w:lineRule="exact"/>
        <w:jc w:val="both"/>
        <w:textAlignment w:val="baseline"/>
        <w:rPr>
          <w:rFonts w:hint="eastAsia" w:ascii="宋体" w:hAnsi="宋体" w:eastAsia="宋体" w:cs="宋体"/>
          <w:color w:val="auto"/>
        </w:rPr>
      </w:pPr>
      <w:r>
        <w:rPr>
          <w:rFonts w:hint="eastAsia" w:ascii="宋体" w:hAnsi="宋体" w:eastAsia="宋体" w:cs="宋体"/>
          <w:color w:val="auto"/>
        </w:rPr>
        <w:t>3</w:t>
      </w:r>
      <w:r>
        <w:rPr>
          <w:rFonts w:hint="eastAsia" w:hAnsi="宋体" w:cs="宋体"/>
          <w:color w:val="auto"/>
          <w:lang w:val="en-US" w:eastAsia="zh-CN"/>
        </w:rPr>
        <w:t>6</w:t>
      </w:r>
      <w:r>
        <w:rPr>
          <w:rFonts w:hint="eastAsia" w:ascii="宋体" w:hAnsi="宋体" w:eastAsia="宋体" w:cs="宋体"/>
          <w:color w:val="auto"/>
        </w:rPr>
        <w:t>.24  质疑答复应当包括下列内容：</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（一）质疑人的姓名或者名称；</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（二）收到质疑函的日期、质疑项目名称及编号；</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（三）质疑事项、质疑答复的具体内容、事实依据和法律依据；</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（四）告知质疑供应商依法投诉的权利；</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（五）质疑答复人名称；</w:t>
      </w:r>
    </w:p>
    <w:p>
      <w:pPr>
        <w:pStyle w:val="53"/>
        <w:snapToGrid w:val="0"/>
        <w:spacing w:line="380" w:lineRule="exact"/>
        <w:ind w:firstLine="720" w:firstLineChars="300"/>
        <w:jc w:val="both"/>
        <w:textAlignment w:val="baseline"/>
        <w:rPr>
          <w:rFonts w:hint="eastAsia" w:ascii="宋体" w:hAnsi="宋体" w:eastAsia="宋体" w:cs="宋体"/>
          <w:color w:val="auto"/>
        </w:rPr>
      </w:pPr>
      <w:r>
        <w:rPr>
          <w:rFonts w:hint="eastAsia" w:ascii="宋体" w:hAnsi="宋体" w:eastAsia="宋体" w:cs="宋体"/>
          <w:color w:val="auto"/>
        </w:rPr>
        <w:t>（六）答复质疑的日期。</w:t>
      </w:r>
    </w:p>
    <w:p>
      <w:pPr>
        <w:snapToGrid w:val="0"/>
        <w:spacing w:line="380" w:lineRule="exact"/>
        <w:jc w:val="center"/>
        <w:textAlignment w:val="baseline"/>
        <w:rPr>
          <w:rFonts w:hint="eastAsia" w:ascii="宋体" w:hAnsi="宋体" w:eastAsia="宋体" w:cs="宋体"/>
          <w:b/>
          <w:bCs/>
          <w:color w:val="auto"/>
          <w:sz w:val="24"/>
        </w:rPr>
      </w:pPr>
    </w:p>
    <w:p>
      <w:pPr>
        <w:snapToGrid w:val="0"/>
        <w:spacing w:line="380" w:lineRule="exact"/>
        <w:jc w:val="center"/>
        <w:textAlignment w:val="baseline"/>
        <w:rPr>
          <w:rFonts w:hint="eastAsia" w:ascii="宋体" w:hAnsi="宋体" w:eastAsia="宋体" w:cs="宋体"/>
          <w:b/>
          <w:bCs/>
          <w:color w:val="auto"/>
          <w:sz w:val="24"/>
        </w:rPr>
      </w:pPr>
      <w:bookmarkStart w:id="596" w:name="_Toc14949"/>
      <w:bookmarkStart w:id="597" w:name="_Toc24577"/>
      <w:r>
        <w:rPr>
          <w:rFonts w:hint="eastAsia" w:ascii="宋体" w:hAnsi="宋体" w:eastAsia="宋体" w:cs="宋体"/>
          <w:b/>
          <w:bCs/>
          <w:color w:val="auto"/>
          <w:sz w:val="24"/>
        </w:rPr>
        <w:t>质疑函范本</w:t>
      </w:r>
      <w:bookmarkEnd w:id="596"/>
      <w:bookmarkEnd w:id="597"/>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一、质疑供应商基本信息</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质疑供应商：</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授权代表：</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地址： </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二、质疑项目基本情况</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质疑项目的名称：</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质疑项目的编号：</w:t>
      </w:r>
      <w:r>
        <w:rPr>
          <w:rFonts w:hint="eastAsia" w:ascii="宋体" w:hAnsi="宋体" w:eastAsia="宋体" w:cs="宋体"/>
          <w:color w:val="auto"/>
          <w:sz w:val="24"/>
          <w:u w:val="dotted" w:color="000000"/>
        </w:rPr>
        <w:t xml:space="preserve">               </w:t>
      </w:r>
      <w:r>
        <w:rPr>
          <w:rFonts w:hint="eastAsia" w:ascii="宋体" w:hAnsi="宋体" w:eastAsia="宋体" w:cs="宋体"/>
          <w:color w:val="auto"/>
          <w:sz w:val="24"/>
        </w:rPr>
        <w:t>包号：</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采购人名称：</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采购文件获取日期：</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三、质疑事项具体内容</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质疑事项1：</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事实依据：</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法律依据：</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质疑事项2</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w:t>
      </w:r>
    </w:p>
    <w:p>
      <w:pPr>
        <w:snapToGrid w:val="0"/>
        <w:spacing w:line="380" w:lineRule="exact"/>
        <w:textAlignment w:val="baseline"/>
        <w:rPr>
          <w:rFonts w:hint="eastAsia" w:ascii="宋体" w:hAnsi="宋体" w:eastAsia="宋体" w:cs="宋体"/>
          <w:bCs/>
          <w:color w:val="auto"/>
          <w:sz w:val="24"/>
        </w:rPr>
      </w:pPr>
      <w:r>
        <w:rPr>
          <w:rFonts w:hint="eastAsia" w:ascii="宋体" w:hAnsi="宋体" w:eastAsia="宋体" w:cs="宋体"/>
          <w:bCs/>
          <w:color w:val="auto"/>
          <w:sz w:val="24"/>
        </w:rPr>
        <w:t>四、与质疑事项相关的质疑请求</w:t>
      </w:r>
    </w:p>
    <w:p>
      <w:pPr>
        <w:snapToGrid w:val="0"/>
        <w:spacing w:line="380" w:lineRule="exact"/>
        <w:textAlignment w:val="baseline"/>
        <w:rPr>
          <w:rFonts w:hint="eastAsia" w:ascii="宋体" w:hAnsi="宋体" w:eastAsia="宋体" w:cs="宋体"/>
          <w:color w:val="auto"/>
          <w:sz w:val="24"/>
          <w:u w:val="dotted" w:color="000000"/>
        </w:rPr>
      </w:pPr>
      <w:r>
        <w:rPr>
          <w:rFonts w:hint="eastAsia" w:ascii="宋体" w:hAnsi="宋体" w:eastAsia="宋体" w:cs="宋体"/>
          <w:color w:val="auto"/>
          <w:sz w:val="24"/>
        </w:rPr>
        <w:t>请求：</w:t>
      </w:r>
      <w:r>
        <w:rPr>
          <w:rFonts w:hint="eastAsia" w:ascii="宋体" w:hAnsi="宋体" w:eastAsia="宋体" w:cs="宋体"/>
          <w:color w:val="auto"/>
          <w:sz w:val="24"/>
          <w:u w:val="dotted" w:color="000000"/>
        </w:rPr>
        <w:t xml:space="preserve">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签字(签章)：                   公章：                      </w:t>
      </w:r>
    </w:p>
    <w:p>
      <w:pPr>
        <w:snapToGrid w:val="0"/>
        <w:spacing w:line="38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日期：    </w:t>
      </w:r>
    </w:p>
    <w:p>
      <w:pPr>
        <w:snapToGrid w:val="0"/>
        <w:spacing w:line="380" w:lineRule="exact"/>
        <w:textAlignment w:val="baseline"/>
        <w:rPr>
          <w:rFonts w:hint="eastAsia" w:ascii="宋体" w:hAnsi="宋体" w:eastAsia="宋体" w:cs="宋体"/>
          <w:b/>
          <w:color w:val="auto"/>
          <w:sz w:val="24"/>
        </w:rPr>
      </w:pPr>
    </w:p>
    <w:p>
      <w:pPr>
        <w:snapToGrid w:val="0"/>
        <w:spacing w:line="380" w:lineRule="exact"/>
        <w:textAlignment w:val="baseline"/>
        <w:rPr>
          <w:rFonts w:hint="eastAsia" w:ascii="宋体" w:hAnsi="宋体" w:eastAsia="宋体" w:cs="宋体"/>
          <w:b/>
          <w:color w:val="auto"/>
          <w:sz w:val="24"/>
        </w:rPr>
      </w:pPr>
      <w:r>
        <w:rPr>
          <w:rFonts w:hint="eastAsia" w:ascii="宋体" w:hAnsi="宋体" w:eastAsia="宋体" w:cs="宋体"/>
          <w:b/>
          <w:color w:val="auto"/>
          <w:sz w:val="24"/>
        </w:rPr>
        <w:t>质疑函制作说明：</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w:t>
      </w:r>
      <w:r>
        <w:rPr>
          <w:rFonts w:hint="eastAsia" w:ascii="宋体" w:hAnsi="宋体" w:eastAsia="宋体" w:cs="宋体"/>
          <w:color w:val="auto"/>
          <w:kern w:val="0"/>
          <w:sz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5.质疑函的质疑请求应与质疑事项相关。</w:t>
      </w:r>
    </w:p>
    <w:p>
      <w:pPr>
        <w:widowControl/>
        <w:snapToGrid w:val="0"/>
        <w:spacing w:line="38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ascii="宋体" w:hAnsi="宋体" w:eastAsia="宋体" w:cs="宋体"/>
          <w:color w:val="auto"/>
        </w:rPr>
      </w:pPr>
    </w:p>
    <w:p>
      <w:pPr>
        <w:rPr>
          <w:rFonts w:hint="eastAsia" w:ascii="宋体" w:hAnsi="宋体" w:eastAsia="宋体" w:cs="宋体"/>
          <w:color w:val="auto"/>
          <w:sz w:val="24"/>
        </w:rPr>
      </w:pPr>
    </w:p>
    <w:p>
      <w:pPr>
        <w:pStyle w:val="2"/>
        <w:rPr>
          <w:rFonts w:hint="eastAsia" w:ascii="宋体" w:hAnsi="宋体" w:eastAsia="宋体" w:cs="宋体"/>
          <w:color w:val="auto"/>
        </w:rPr>
      </w:pPr>
    </w:p>
    <w:p>
      <w:pPr>
        <w:rPr>
          <w:rFonts w:hint="eastAsia" w:ascii="宋体" w:hAnsi="宋体" w:eastAsia="宋体" w:cs="宋体"/>
          <w:color w:val="auto"/>
          <w:sz w:val="24"/>
        </w:rPr>
      </w:pPr>
    </w:p>
    <w:p>
      <w:pPr>
        <w:pStyle w:val="45"/>
        <w:rPr>
          <w:rFonts w:hint="eastAsia" w:ascii="宋体" w:hAnsi="宋体" w:eastAsia="宋体" w:cs="宋体"/>
          <w:color w:val="auto"/>
          <w:spacing w:val="0"/>
        </w:rPr>
      </w:pPr>
    </w:p>
    <w:p>
      <w:pPr>
        <w:pStyle w:val="45"/>
        <w:rPr>
          <w:rFonts w:hint="eastAsia" w:ascii="宋体" w:hAnsi="宋体" w:eastAsia="宋体" w:cs="宋体"/>
          <w:color w:val="auto"/>
          <w:spacing w:val="0"/>
        </w:rPr>
      </w:pPr>
    </w:p>
    <w:p>
      <w:pPr>
        <w:pStyle w:val="45"/>
        <w:rPr>
          <w:rFonts w:hint="eastAsia" w:ascii="宋体" w:hAnsi="宋体" w:eastAsia="宋体" w:cs="宋体"/>
          <w:color w:val="auto"/>
          <w:spacing w:val="0"/>
        </w:rPr>
      </w:pPr>
    </w:p>
    <w:p>
      <w:pPr>
        <w:pStyle w:val="4"/>
        <w:snapToGrid w:val="0"/>
        <w:spacing w:before="0" w:after="0" w:line="240" w:lineRule="atLeast"/>
        <w:textAlignment w:val="baseline"/>
        <w:rPr>
          <w:rFonts w:hint="eastAsia" w:ascii="宋体" w:hAnsi="宋体" w:eastAsia="宋体" w:cs="宋体"/>
          <w:color w:val="auto"/>
          <w:sz w:val="24"/>
          <w:szCs w:val="24"/>
        </w:rPr>
        <w:sectPr>
          <w:footerReference r:id="rId5" w:type="default"/>
          <w:pgSz w:w="11906" w:h="16838"/>
          <w:pgMar w:top="1440" w:right="1797" w:bottom="1440" w:left="1797" w:header="851" w:footer="992" w:gutter="0"/>
          <w:pgNumType w:fmt="decimal"/>
          <w:cols w:space="720" w:num="1"/>
          <w:docGrid w:linePitch="312" w:charSpace="0"/>
        </w:sectPr>
      </w:pPr>
      <w:bookmarkStart w:id="598" w:name="_Toc216582812"/>
      <w:bookmarkStart w:id="599" w:name="_Toc728"/>
      <w:bookmarkStart w:id="600" w:name="_Toc702"/>
      <w:bookmarkStart w:id="601" w:name="_Toc3132"/>
      <w:bookmarkStart w:id="602" w:name="_Toc515647802"/>
    </w:p>
    <w:p>
      <w:pPr>
        <w:pStyle w:val="4"/>
        <w:snapToGrid w:val="0"/>
        <w:spacing w:before="0" w:after="0" w:line="240" w:lineRule="atLeast"/>
        <w:textAlignment w:val="baseline"/>
        <w:rPr>
          <w:rFonts w:hint="eastAsia" w:ascii="宋体" w:hAnsi="宋体" w:eastAsia="宋体" w:cs="宋体"/>
          <w:color w:val="auto"/>
          <w:sz w:val="24"/>
        </w:rPr>
      </w:pPr>
      <w:r>
        <w:rPr>
          <w:rFonts w:hint="eastAsia" w:ascii="宋体" w:hAnsi="宋体" w:eastAsia="宋体" w:cs="宋体"/>
          <w:color w:val="auto"/>
          <w:sz w:val="24"/>
          <w:szCs w:val="24"/>
        </w:rPr>
        <w:t>第2章 响应文件格式</w:t>
      </w:r>
      <w:bookmarkEnd w:id="598"/>
      <w:bookmarkEnd w:id="599"/>
      <w:bookmarkEnd w:id="600"/>
      <w:bookmarkEnd w:id="601"/>
      <w:bookmarkEnd w:id="602"/>
    </w:p>
    <w:p>
      <w:pPr>
        <w:pStyle w:val="5"/>
        <w:snapToGrid w:val="0"/>
        <w:spacing w:before="0" w:line="240" w:lineRule="atLeast"/>
        <w:ind w:left="1080" w:leftChars="257" w:hanging="540"/>
        <w:textAlignment w:val="baseline"/>
        <w:rPr>
          <w:rFonts w:hint="eastAsia" w:ascii="宋体" w:hAnsi="宋体" w:eastAsia="宋体" w:cs="宋体"/>
          <w:color w:val="auto"/>
          <w:sz w:val="24"/>
        </w:rPr>
      </w:pPr>
      <w:bookmarkStart w:id="603" w:name="_Toc3315"/>
      <w:bookmarkStart w:id="604" w:name="_Toc18694"/>
      <w:bookmarkStart w:id="605" w:name="_Toc26489"/>
      <w:bookmarkStart w:id="606" w:name="_Toc1126"/>
      <w:bookmarkStart w:id="607" w:name="_Toc19961"/>
      <w:bookmarkStart w:id="608" w:name="_Toc515647803"/>
      <w:bookmarkStart w:id="609" w:name="_Toc1254"/>
      <w:bookmarkStart w:id="610" w:name="_Toc18974"/>
      <w:r>
        <w:rPr>
          <w:rFonts w:hint="eastAsia" w:ascii="宋体" w:hAnsi="宋体" w:eastAsia="宋体" w:cs="宋体"/>
          <w:color w:val="auto"/>
          <w:sz w:val="24"/>
          <w:szCs w:val="24"/>
        </w:rPr>
        <w:t>第一部分 磋商开启一览表及资格证明文件</w:t>
      </w:r>
      <w:bookmarkEnd w:id="603"/>
      <w:bookmarkEnd w:id="604"/>
      <w:bookmarkEnd w:id="605"/>
      <w:bookmarkEnd w:id="606"/>
      <w:bookmarkEnd w:id="607"/>
      <w:bookmarkEnd w:id="608"/>
      <w:bookmarkEnd w:id="609"/>
      <w:bookmarkEnd w:id="610"/>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1、磋商报价一览表;</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 xml:space="preserve">3、法人本人投标的需提供法人身份证原件；被授权委托人需提供法人授权委托书原件、法人身份证复印件及被授权委托人身份证原件； </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4、具有良好的商业信誉和健全的财务会计制度，</w:t>
      </w:r>
      <w:r>
        <w:rPr>
          <w:rFonts w:hint="eastAsia" w:ascii="宋体" w:hAnsi="宋体" w:cs="宋体"/>
          <w:color w:val="auto"/>
          <w:sz w:val="24"/>
          <w:lang w:eastAsia="zh-CN"/>
        </w:rPr>
        <w:t>提供2022年经审计的财务报告</w:t>
      </w:r>
      <w:r>
        <w:rPr>
          <w:rFonts w:hint="eastAsia" w:ascii="宋体" w:hAnsi="宋体" w:eastAsia="宋体" w:cs="宋体"/>
          <w:color w:val="auto"/>
          <w:sz w:val="24"/>
          <w:lang w:eastAsia="zh-CN"/>
        </w:rPr>
        <w:t>（新公司出具银行资信证明）</w:t>
      </w:r>
      <w:r>
        <w:rPr>
          <w:rFonts w:hint="eastAsia" w:ascii="宋体" w:hAnsi="宋体" w:eastAsia="宋体" w:cs="宋体"/>
          <w:color w:val="auto"/>
          <w:sz w:val="24"/>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5、公司依法缴纳近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6、投标单位（供应商）提供针对本次项目《反商业贿赂承诺书》；</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7、参加政府采购活动前3年内在经营活动中没有重大违法记录的书面声明；</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缴纳磋商保证金的</w:t>
      </w:r>
      <w:r>
        <w:rPr>
          <w:rFonts w:hint="eastAsia" w:ascii="宋体" w:hAnsi="宋体" w:cs="宋体"/>
          <w:color w:val="auto"/>
          <w:sz w:val="24"/>
          <w:highlight w:val="none"/>
          <w:lang w:val="en-US" w:eastAsia="zh-CN"/>
        </w:rPr>
        <w:t>凭证</w:t>
      </w:r>
      <w:r>
        <w:rPr>
          <w:rFonts w:hint="eastAsia" w:ascii="宋体" w:hAnsi="宋体" w:eastAsia="宋体" w:cs="宋体"/>
          <w:color w:val="auto"/>
          <w:sz w:val="24"/>
          <w:highlight w:val="none"/>
          <w:lang w:val="en-US" w:eastAsia="zh-CN"/>
        </w:rPr>
        <w:t>；</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tabs>
          <w:tab w:val="left" w:pos="5580"/>
        </w:tabs>
        <w:snapToGrid w:val="0"/>
        <w:spacing w:line="36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10、</w:t>
      </w:r>
      <w:r>
        <w:rPr>
          <w:rFonts w:hint="eastAsia" w:ascii="宋体" w:hAnsi="宋体" w:eastAsia="宋体" w:cs="宋体"/>
          <w:color w:val="auto"/>
          <w:sz w:val="24"/>
        </w:rPr>
        <w:t>提供有利于磋商的其他证明材料。</w:t>
      </w:r>
    </w:p>
    <w:p>
      <w:pPr>
        <w:tabs>
          <w:tab w:val="left" w:pos="5580"/>
        </w:tabs>
        <w:snapToGrid w:val="0"/>
        <w:spacing w:line="360" w:lineRule="exact"/>
        <w:ind w:left="1" w:firstLine="559" w:firstLineChars="233"/>
        <w:jc w:val="left"/>
        <w:textAlignment w:val="baseline"/>
        <w:rPr>
          <w:rFonts w:hint="eastAsia" w:ascii="宋体" w:hAnsi="宋体" w:eastAsia="宋体" w:cs="宋体"/>
          <w:color w:val="auto"/>
          <w:sz w:val="24"/>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2"/>
        <w:ind w:firstLine="0"/>
        <w:rPr>
          <w:rFonts w:hint="eastAsia" w:ascii="宋体" w:hAnsi="宋体" w:eastAsia="宋体" w:cs="宋体"/>
          <w:color w:val="auto"/>
        </w:rPr>
      </w:pPr>
    </w:p>
    <w:p>
      <w:pPr>
        <w:pStyle w:val="5"/>
        <w:snapToGrid w:val="0"/>
        <w:spacing w:before="0" w:line="400" w:lineRule="atLeast"/>
        <w:jc w:val="both"/>
        <w:textAlignment w:val="baseline"/>
        <w:rPr>
          <w:rFonts w:hint="eastAsia" w:ascii="宋体" w:hAnsi="宋体" w:eastAsia="宋体" w:cs="宋体"/>
          <w:color w:val="auto"/>
          <w:sz w:val="24"/>
          <w:szCs w:val="24"/>
        </w:rPr>
      </w:pPr>
      <w:bookmarkStart w:id="611" w:name="_Toc31089"/>
      <w:bookmarkStart w:id="612" w:name="_Toc21484"/>
      <w:bookmarkStart w:id="613" w:name="_Toc7433"/>
      <w:bookmarkStart w:id="614" w:name="_Toc22539"/>
      <w:bookmarkStart w:id="615" w:name="_Toc4431"/>
      <w:bookmarkStart w:id="616" w:name="_Toc16750"/>
      <w:bookmarkStart w:id="617" w:name="_Toc30630"/>
      <w:bookmarkStart w:id="618" w:name="_Toc11138"/>
      <w:bookmarkStart w:id="619" w:name="_Toc18477"/>
      <w:bookmarkStart w:id="620" w:name="_Toc17198"/>
      <w:bookmarkStart w:id="621" w:name="_Toc16568"/>
      <w:bookmarkStart w:id="622" w:name="_Toc26846"/>
      <w:bookmarkStart w:id="623" w:name="_Toc3620"/>
      <w:bookmarkStart w:id="624" w:name="_Toc30524"/>
      <w:bookmarkStart w:id="625" w:name="_Toc21614"/>
      <w:bookmarkStart w:id="626" w:name="_Toc14118"/>
      <w:bookmarkStart w:id="627" w:name="_Toc515647804"/>
      <w:bookmarkStart w:id="628" w:name="_Toc480942349"/>
      <w:bookmarkStart w:id="629" w:name="_Ref467988698"/>
      <w:bookmarkStart w:id="630" w:name="_Toc520356217"/>
      <w:bookmarkStart w:id="631" w:name="_Toc216582813"/>
      <w:r>
        <w:rPr>
          <w:rFonts w:hint="eastAsia" w:ascii="宋体" w:hAnsi="宋体" w:eastAsia="宋体" w:cs="宋体"/>
          <w:color w:val="auto"/>
          <w:sz w:val="24"/>
          <w:szCs w:val="24"/>
        </w:rPr>
        <w:t>1、磋商报价一览表</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2"/>
        <w:tabs>
          <w:tab w:val="left" w:pos="5580"/>
        </w:tabs>
        <w:snapToGrid w:val="0"/>
        <w:spacing w:line="400" w:lineRule="atLeast"/>
        <w:ind w:firstLine="0"/>
        <w:jc w:val="center"/>
        <w:textAlignment w:val="baseline"/>
        <w:rPr>
          <w:rFonts w:hint="eastAsia" w:ascii="宋体" w:hAnsi="宋体" w:eastAsia="宋体" w:cs="宋体"/>
          <w:color w:val="auto"/>
          <w:szCs w:val="24"/>
        </w:rPr>
      </w:pPr>
      <w:bookmarkStart w:id="632" w:name="_Hlt520356241"/>
      <w:bookmarkEnd w:id="632"/>
      <w:r>
        <w:rPr>
          <w:rFonts w:hint="eastAsia" w:ascii="宋体" w:hAnsi="宋体" w:eastAsia="宋体" w:cs="宋体"/>
          <w:b/>
          <w:color w:val="auto"/>
          <w:szCs w:val="24"/>
        </w:rPr>
        <w:t>磋商报价一览表</w:t>
      </w:r>
    </w:p>
    <w:p>
      <w:pPr>
        <w:tabs>
          <w:tab w:val="left" w:pos="1800"/>
          <w:tab w:val="left" w:pos="5580"/>
        </w:tabs>
        <w:snapToGrid w:val="0"/>
        <w:spacing w:line="400" w:lineRule="atLeast"/>
        <w:ind w:right="-867"/>
        <w:textAlignment w:val="baseline"/>
        <w:rPr>
          <w:rFonts w:hint="eastAsia" w:ascii="宋体" w:hAnsi="宋体" w:eastAsia="宋体" w:cs="宋体"/>
          <w:color w:val="auto"/>
          <w:sz w:val="24"/>
        </w:rPr>
      </w:pPr>
      <w:r>
        <w:rPr>
          <w:rFonts w:hint="eastAsia" w:ascii="宋体" w:hAnsi="宋体" w:eastAsia="宋体" w:cs="宋体"/>
          <w:color w:val="auto"/>
          <w:sz w:val="24"/>
        </w:rPr>
        <w:t xml:space="preserve">项目名称：　                  项目编号：              包号：         </w:t>
      </w:r>
    </w:p>
    <w:p>
      <w:pPr>
        <w:tabs>
          <w:tab w:val="left" w:pos="1800"/>
          <w:tab w:val="left" w:pos="5580"/>
        </w:tabs>
        <w:snapToGrid w:val="0"/>
        <w:spacing w:line="400" w:lineRule="atLeast"/>
        <w:ind w:right="-867"/>
        <w:textAlignment w:val="baseline"/>
        <w:rPr>
          <w:rFonts w:hint="eastAsia" w:ascii="宋体" w:hAnsi="宋体" w:eastAsia="宋体" w:cs="宋体"/>
          <w:color w:val="auto"/>
          <w:sz w:val="24"/>
        </w:rPr>
      </w:pPr>
      <w:r>
        <w:rPr>
          <w:rFonts w:hint="eastAsia" w:ascii="宋体" w:hAnsi="宋体" w:eastAsia="宋体" w:cs="宋体"/>
          <w:color w:val="auto"/>
          <w:sz w:val="24"/>
        </w:rPr>
        <w:t>报价单位：人民币  元</w:t>
      </w:r>
    </w:p>
    <w:tbl>
      <w:tblPr>
        <w:tblStyle w:val="3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083"/>
        <w:gridCol w:w="1762"/>
        <w:gridCol w:w="148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pPr>
              <w:tabs>
                <w:tab w:val="left" w:pos="5580"/>
              </w:tabs>
              <w:snapToGrid w:val="0"/>
              <w:spacing w:line="400" w:lineRule="atLeast"/>
              <w:ind w:right="-199"/>
              <w:jc w:val="center"/>
              <w:textAlignment w:val="baseline"/>
              <w:rPr>
                <w:rFonts w:hint="eastAsia" w:ascii="宋体" w:hAnsi="宋体" w:eastAsia="宋体" w:cs="宋体"/>
                <w:color w:val="auto"/>
                <w:sz w:val="24"/>
              </w:rPr>
            </w:pPr>
            <w:r>
              <w:rPr>
                <w:rFonts w:hint="eastAsia" w:ascii="宋体" w:hAnsi="宋体" w:eastAsia="宋体" w:cs="宋体"/>
                <w:color w:val="auto"/>
                <w:sz w:val="24"/>
              </w:rPr>
              <w:t>名称</w:t>
            </w:r>
          </w:p>
        </w:tc>
        <w:tc>
          <w:tcPr>
            <w:tcW w:w="2083"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rPr>
            </w:pPr>
            <w:r>
              <w:rPr>
                <w:rFonts w:hint="eastAsia" w:ascii="宋体" w:hAnsi="宋体" w:cs="宋体"/>
                <w:color w:val="auto"/>
                <w:sz w:val="24"/>
                <w:lang w:eastAsia="zh-CN"/>
              </w:rPr>
              <w:t>货物</w:t>
            </w:r>
            <w:r>
              <w:rPr>
                <w:rFonts w:hint="eastAsia" w:ascii="宋体" w:hAnsi="宋体" w:eastAsia="宋体" w:cs="宋体"/>
                <w:color w:val="auto"/>
                <w:sz w:val="24"/>
              </w:rPr>
              <w:t>总报价</w:t>
            </w:r>
          </w:p>
        </w:tc>
        <w:tc>
          <w:tcPr>
            <w:tcW w:w="1762"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磋商保证金</w:t>
            </w:r>
          </w:p>
        </w:tc>
        <w:tc>
          <w:tcPr>
            <w:tcW w:w="1485"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供货日期</w:t>
            </w:r>
          </w:p>
        </w:tc>
        <w:tc>
          <w:tcPr>
            <w:tcW w:w="1665" w:type="dxa"/>
            <w:vAlign w:val="center"/>
          </w:tcPr>
          <w:p>
            <w:pPr>
              <w:tabs>
                <w:tab w:val="left" w:pos="5580"/>
              </w:tabs>
              <w:snapToGrid w:val="0"/>
              <w:spacing w:line="400" w:lineRule="atLeast"/>
              <w:jc w:val="center"/>
              <w:textAlignment w:val="baseline"/>
              <w:rPr>
                <w:rFonts w:hint="eastAsia" w:ascii="宋体" w:hAnsi="宋体" w:eastAsia="宋体" w:cs="宋体"/>
                <w:color w:val="auto"/>
                <w:sz w:val="24"/>
                <w:lang w:eastAsia="zh-CN"/>
              </w:rPr>
            </w:pPr>
            <w:r>
              <w:rPr>
                <w:rFonts w:hint="eastAsia" w:ascii="宋体" w:hAnsi="宋体" w:cs="宋体"/>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2083" w:type="dxa"/>
            <w:vAlign w:val="center"/>
          </w:tcPr>
          <w:p>
            <w:pPr>
              <w:tabs>
                <w:tab w:val="left" w:pos="5580"/>
              </w:tabs>
              <w:snapToGrid w:val="0"/>
              <w:spacing w:line="400" w:lineRule="atLeast"/>
              <w:jc w:val="left"/>
              <w:textAlignment w:val="baseline"/>
              <w:rPr>
                <w:rFonts w:hint="eastAsia" w:ascii="宋体" w:hAnsi="宋体" w:eastAsia="宋体" w:cs="宋体"/>
                <w:color w:val="auto"/>
                <w:sz w:val="24"/>
              </w:rPr>
            </w:pPr>
            <w:r>
              <w:rPr>
                <w:rFonts w:hint="eastAsia" w:ascii="宋体" w:hAnsi="宋体" w:eastAsia="宋体" w:cs="宋体"/>
                <w:color w:val="auto"/>
                <w:sz w:val="24"/>
              </w:rPr>
              <w:t>大写：</w:t>
            </w:r>
          </w:p>
          <w:p>
            <w:pPr>
              <w:tabs>
                <w:tab w:val="left" w:pos="5580"/>
              </w:tabs>
              <w:snapToGrid w:val="0"/>
              <w:spacing w:line="400" w:lineRule="atLeast"/>
              <w:jc w:val="left"/>
              <w:textAlignment w:val="baseline"/>
              <w:rPr>
                <w:rFonts w:hint="eastAsia" w:ascii="宋体" w:hAnsi="宋体" w:eastAsia="宋体" w:cs="宋体"/>
                <w:color w:val="auto"/>
                <w:sz w:val="24"/>
              </w:rPr>
            </w:pPr>
            <w:r>
              <w:rPr>
                <w:rFonts w:hint="eastAsia" w:ascii="宋体" w:hAnsi="宋体" w:eastAsia="宋体" w:cs="宋体"/>
                <w:color w:val="auto"/>
                <w:sz w:val="24"/>
              </w:rPr>
              <w:t>小写：</w:t>
            </w:r>
          </w:p>
        </w:tc>
        <w:tc>
          <w:tcPr>
            <w:tcW w:w="1762"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1485"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c>
          <w:tcPr>
            <w:tcW w:w="1665" w:type="dxa"/>
            <w:vAlign w:val="center"/>
          </w:tcPr>
          <w:p>
            <w:pPr>
              <w:tabs>
                <w:tab w:val="left" w:pos="5580"/>
              </w:tabs>
              <w:snapToGrid w:val="0"/>
              <w:spacing w:line="400" w:lineRule="atLeast"/>
              <w:ind w:left="1080" w:leftChars="257" w:hanging="540"/>
              <w:jc w:val="center"/>
              <w:textAlignment w:val="baseline"/>
              <w:rPr>
                <w:rFonts w:hint="eastAsia" w:ascii="宋体" w:hAnsi="宋体" w:eastAsia="宋体" w:cs="宋体"/>
                <w:color w:val="auto"/>
                <w:sz w:val="24"/>
              </w:rPr>
            </w:pPr>
          </w:p>
        </w:tc>
      </w:tr>
    </w:tbl>
    <w:p>
      <w:pPr>
        <w:pStyle w:val="16"/>
        <w:tabs>
          <w:tab w:val="left" w:pos="5580"/>
        </w:tabs>
        <w:snapToGrid w:val="0"/>
        <w:spacing w:line="400" w:lineRule="atLeast"/>
        <w:textAlignment w:val="baseline"/>
        <w:rPr>
          <w:rFonts w:hint="eastAsia" w:ascii="宋体" w:hAnsi="宋体" w:eastAsia="宋体" w:cs="宋体"/>
          <w:color w:val="auto"/>
          <w:sz w:val="24"/>
          <w:szCs w:val="24"/>
          <w:u w:val="single" w:color="000000"/>
        </w:rPr>
      </w:pP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法定代表人或委托代理(签字):</w:t>
      </w:r>
      <w:r>
        <w:rPr>
          <w:rFonts w:hint="eastAsia" w:ascii="宋体" w:hAnsi="宋体" w:eastAsia="宋体" w:cs="宋体"/>
          <w:color w:val="auto"/>
          <w:sz w:val="24"/>
          <w:szCs w:val="24"/>
          <w:u w:val="single" w:color="000000"/>
        </w:rPr>
        <w:tab/>
      </w: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1、此表应按供应商须知的规定装订密封。</w:t>
      </w:r>
    </w:p>
    <w:p>
      <w:pPr>
        <w:pStyle w:val="16"/>
        <w:tabs>
          <w:tab w:val="left" w:pos="5580"/>
        </w:tabs>
        <w:snapToGrid w:val="0"/>
        <w:spacing w:line="400" w:lineRule="atLeast"/>
        <w:ind w:firstLine="960" w:firstLineChars="4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2、供应商报价时包含税费等一切与本次项目相关的费用。</w:t>
      </w:r>
    </w:p>
    <w:p>
      <w:pPr>
        <w:pStyle w:val="16"/>
        <w:tabs>
          <w:tab w:val="left" w:pos="5580"/>
        </w:tabs>
        <w:snapToGrid w:val="0"/>
        <w:spacing w:line="400" w:lineRule="atLeast"/>
        <w:textAlignment w:val="baseline"/>
        <w:rPr>
          <w:rFonts w:hint="eastAsia" w:ascii="宋体" w:hAnsi="宋体" w:eastAsia="宋体" w:cs="宋体"/>
          <w:b/>
          <w:color w:val="auto"/>
          <w:sz w:val="24"/>
          <w:szCs w:val="24"/>
        </w:rPr>
      </w:pPr>
    </w:p>
    <w:p>
      <w:pPr>
        <w:pStyle w:val="25"/>
        <w:textAlignment w:val="baseline"/>
        <w:rPr>
          <w:rFonts w:hint="eastAsia" w:ascii="宋体" w:hAnsi="宋体" w:eastAsia="宋体" w:cs="宋体"/>
          <w:color w:val="auto"/>
        </w:rPr>
      </w:pPr>
      <w:bookmarkStart w:id="633" w:name="_Toc16088"/>
      <w:bookmarkStart w:id="634" w:name="_Toc22089"/>
      <w:bookmarkStart w:id="635" w:name="_Toc16516"/>
      <w:bookmarkStart w:id="636" w:name="_Toc8241"/>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pStyle w:val="25"/>
        <w:textAlignment w:val="baseline"/>
        <w:rPr>
          <w:rFonts w:hint="eastAsia" w:ascii="宋体" w:hAnsi="宋体" w:eastAsia="宋体" w:cs="宋体"/>
          <w:color w:val="auto"/>
        </w:rPr>
      </w:pPr>
    </w:p>
    <w:p>
      <w:pPr>
        <w:snapToGrid w:val="0"/>
        <w:spacing w:line="460" w:lineRule="exact"/>
        <w:textAlignment w:val="baseline"/>
        <w:outlineLvl w:val="1"/>
        <w:rPr>
          <w:rFonts w:hint="eastAsia" w:ascii="宋体" w:hAnsi="宋体" w:eastAsia="宋体" w:cs="宋体"/>
          <w:b/>
          <w:color w:val="auto"/>
          <w:kern w:val="0"/>
          <w:sz w:val="24"/>
        </w:rPr>
      </w:pPr>
      <w:bookmarkStart w:id="637" w:name="_Toc4710"/>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snapToGrid w:val="0"/>
        <w:spacing w:line="460" w:lineRule="exact"/>
        <w:textAlignment w:val="baseline"/>
        <w:outlineLvl w:val="1"/>
        <w:rPr>
          <w:rFonts w:hint="eastAsia" w:ascii="宋体" w:hAnsi="宋体" w:eastAsia="宋体" w:cs="宋体"/>
          <w:b/>
          <w:color w:val="auto"/>
          <w:kern w:val="0"/>
          <w:sz w:val="24"/>
        </w:rPr>
      </w:pPr>
    </w:p>
    <w:p>
      <w:pPr>
        <w:pStyle w:val="2"/>
        <w:rPr>
          <w:rFonts w:hint="eastAsia" w:ascii="宋体" w:hAnsi="宋体" w:eastAsia="宋体" w:cs="宋体"/>
          <w:b/>
          <w:color w:val="auto"/>
          <w:kern w:val="0"/>
          <w:sz w:val="24"/>
        </w:rPr>
      </w:pPr>
    </w:p>
    <w:p>
      <w:pPr>
        <w:rPr>
          <w:rFonts w:hint="eastAsia" w:ascii="宋体" w:hAnsi="宋体" w:eastAsia="宋体" w:cs="宋体"/>
          <w:color w:val="auto"/>
        </w:rPr>
      </w:pPr>
    </w:p>
    <w:p>
      <w:pPr>
        <w:tabs>
          <w:tab w:val="left" w:pos="5580"/>
        </w:tabs>
        <w:snapToGrid w:val="0"/>
        <w:spacing w:line="360" w:lineRule="exact"/>
        <w:ind w:firstLine="482" w:firstLineChars="200"/>
        <w:jc w:val="left"/>
        <w:textAlignment w:val="baseline"/>
        <w:rPr>
          <w:rFonts w:hint="eastAsia" w:ascii="宋体" w:hAnsi="宋体" w:eastAsia="宋体" w:cs="宋体"/>
          <w:b/>
          <w:color w:val="auto"/>
          <w:kern w:val="0"/>
          <w:sz w:val="24"/>
        </w:rPr>
      </w:pPr>
    </w:p>
    <w:p>
      <w:pPr>
        <w:tabs>
          <w:tab w:val="left" w:pos="5580"/>
        </w:tabs>
        <w:snapToGrid w:val="0"/>
        <w:spacing w:line="360" w:lineRule="exact"/>
        <w:jc w:val="left"/>
        <w:textAlignment w:val="baseline"/>
        <w:rPr>
          <w:rFonts w:hint="eastAsia" w:ascii="宋体" w:hAnsi="宋体" w:eastAsia="宋体" w:cs="宋体"/>
          <w:b/>
          <w:bCs w:val="0"/>
          <w:color w:val="auto"/>
          <w:sz w:val="24"/>
        </w:rPr>
      </w:pPr>
      <w:r>
        <w:rPr>
          <w:rFonts w:hint="eastAsia" w:ascii="宋体" w:hAnsi="宋体" w:eastAsia="宋体" w:cs="宋体"/>
          <w:b/>
          <w:bCs w:val="0"/>
          <w:color w:val="auto"/>
          <w:kern w:val="0"/>
          <w:sz w:val="24"/>
        </w:rPr>
        <w:t>2</w:t>
      </w:r>
      <w:bookmarkEnd w:id="633"/>
      <w:bookmarkEnd w:id="634"/>
      <w:bookmarkEnd w:id="635"/>
      <w:bookmarkEnd w:id="636"/>
      <w:r>
        <w:rPr>
          <w:rFonts w:hint="eastAsia" w:ascii="宋体" w:hAnsi="宋体" w:eastAsia="宋体" w:cs="宋体"/>
          <w:b/>
          <w:bCs w:val="0"/>
          <w:color w:val="auto"/>
          <w:kern w:val="0"/>
          <w:sz w:val="24"/>
        </w:rPr>
        <w:t>、</w:t>
      </w:r>
      <w:bookmarkEnd w:id="637"/>
      <w:r>
        <w:rPr>
          <w:rFonts w:hint="eastAsia" w:ascii="宋体" w:hAnsi="宋体" w:eastAsia="宋体" w:cs="宋体"/>
          <w:b/>
          <w:bCs w:val="0"/>
          <w:color w:val="auto"/>
          <w:sz w:val="24"/>
          <w:lang w:eastAsia="zh-CN"/>
        </w:rPr>
        <w:t>具有相应经营范围的营业执照</w:t>
      </w:r>
      <w:r>
        <w:rPr>
          <w:rFonts w:hint="eastAsia" w:ascii="宋体" w:hAnsi="宋体" w:eastAsia="宋体" w:cs="宋体"/>
          <w:b/>
          <w:bCs w:val="0"/>
          <w:color w:val="auto"/>
          <w:sz w:val="24"/>
        </w:rPr>
        <w:t>（原件、复印件、影印件均可）</w:t>
      </w:r>
      <w:r>
        <w:rPr>
          <w:rFonts w:hint="eastAsia" w:ascii="宋体" w:hAnsi="宋体" w:eastAsia="宋体" w:cs="宋体"/>
          <w:b/>
          <w:bCs w:val="0"/>
          <w:color w:val="auto"/>
          <w:sz w:val="24"/>
          <w:lang w:eastAsia="zh-CN"/>
        </w:rPr>
        <w:t>；</w:t>
      </w:r>
    </w:p>
    <w:p>
      <w:pPr>
        <w:snapToGrid w:val="0"/>
        <w:spacing w:line="460" w:lineRule="exact"/>
        <w:textAlignment w:val="baseline"/>
        <w:outlineLvl w:val="1"/>
        <w:rPr>
          <w:rFonts w:hint="eastAsia" w:ascii="宋体" w:hAnsi="宋体" w:eastAsia="宋体" w:cs="宋体"/>
          <w:color w:val="auto"/>
          <w:sz w:val="24"/>
        </w:rPr>
      </w:pPr>
    </w:p>
    <w:p>
      <w:pPr>
        <w:pStyle w:val="2"/>
        <w:ind w:left="0" w:leftChars="0" w:firstLine="0" w:firstLineChars="0"/>
        <w:rPr>
          <w:rFonts w:hint="eastAsia" w:ascii="宋体" w:hAnsi="宋体" w:eastAsia="宋体" w:cs="宋体"/>
          <w:b/>
          <w:color w:val="auto"/>
        </w:rPr>
      </w:pPr>
      <w:bookmarkStart w:id="638" w:name="_Toc27758"/>
    </w:p>
    <w:p>
      <w:pPr>
        <w:rPr>
          <w:rFonts w:hint="eastAsia" w:ascii="宋体" w:hAnsi="宋体" w:eastAsia="宋体" w:cs="宋体"/>
          <w:b/>
          <w:color w:val="auto"/>
        </w:rPr>
      </w:pPr>
    </w:p>
    <w:p>
      <w:pPr>
        <w:pStyle w:val="2"/>
        <w:rPr>
          <w:rFonts w:hint="eastAsia" w:ascii="宋体" w:hAnsi="宋体" w:eastAsia="宋体" w:cs="宋体"/>
          <w:color w:val="auto"/>
        </w:rPr>
      </w:pPr>
    </w:p>
    <w:p>
      <w:pPr>
        <w:pStyle w:val="3"/>
        <w:snapToGrid w:val="0"/>
        <w:textAlignment w:val="baseline"/>
        <w:outlineLvl w:val="1"/>
        <w:rPr>
          <w:rFonts w:hint="eastAsia" w:ascii="宋体" w:hAnsi="宋体" w:eastAsia="宋体" w:cs="宋体"/>
          <w:b/>
          <w:color w:val="auto"/>
        </w:rPr>
      </w:pPr>
    </w:p>
    <w:p>
      <w:pPr>
        <w:pStyle w:val="3"/>
        <w:snapToGrid w:val="0"/>
        <w:textAlignment w:val="baseline"/>
        <w:outlineLvl w:val="1"/>
        <w:rPr>
          <w:rFonts w:hint="eastAsia" w:ascii="宋体" w:hAnsi="宋体" w:eastAsia="宋体" w:cs="宋体"/>
          <w:color w:val="auto"/>
        </w:rPr>
      </w:pPr>
      <w:r>
        <w:rPr>
          <w:rFonts w:hint="eastAsia" w:ascii="宋体" w:hAnsi="宋体" w:eastAsia="宋体" w:cs="宋体"/>
          <w:b/>
          <w:color w:val="auto"/>
        </w:rPr>
        <w:t>3、</w:t>
      </w:r>
      <w:bookmarkEnd w:id="638"/>
      <w:r>
        <w:rPr>
          <w:rFonts w:hint="eastAsia" w:ascii="宋体" w:hAnsi="宋体" w:eastAsia="宋体" w:cs="宋体"/>
          <w:b/>
          <w:color w:val="auto"/>
        </w:rPr>
        <w:t xml:space="preserve">法人本人投标的需提供法人身份证原件；被授权委托人需提供法人授权委托书原件、法人身份证复印件及被授权委托人身份证原件； </w:t>
      </w:r>
    </w:p>
    <w:p>
      <w:pPr>
        <w:snapToGrid w:val="0"/>
        <w:spacing w:before="312" w:after="312" w:line="400" w:lineRule="exact"/>
        <w:jc w:val="center"/>
        <w:textAlignment w:val="baseline"/>
        <w:rPr>
          <w:rFonts w:hint="eastAsia" w:ascii="宋体" w:hAnsi="宋体" w:eastAsia="宋体" w:cs="宋体"/>
          <w:color w:val="auto"/>
          <w:sz w:val="24"/>
        </w:rPr>
      </w:pPr>
      <w:r>
        <w:rPr>
          <w:rFonts w:hint="eastAsia" w:ascii="宋体" w:hAnsi="宋体" w:eastAsia="宋体" w:cs="宋体"/>
          <w:b/>
          <w:color w:val="auto"/>
          <w:sz w:val="24"/>
        </w:rPr>
        <w:t>法定代表人身份证复印件</w:t>
      </w:r>
    </w:p>
    <w:p>
      <w:pPr>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w:t>
      </w:r>
    </w:p>
    <w:p>
      <w:pPr>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60288;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wps:txbx>
                      <wps:bodyPr upright="1"/>
                    </wps:wsp>
                  </a:graphicData>
                </a:graphic>
              </wp:anchor>
            </w:drawing>
          </mc:Choice>
          <mc:Fallback>
            <w:pict>
              <v:roundrect id="_x0000_s1026" o:spid="_x0000_s1026" o:spt="2" style="position:absolute;left:0pt;margin-left:229.8pt;margin-top:2.25pt;height:109.1pt;width:163.55pt;z-index:251661312;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2"/>
                      </w:pPr>
                    </w:p>
                    <w:p>
                      <w:pPr>
                        <w:pStyle w:val="2"/>
                      </w:pPr>
                    </w:p>
                    <w:p>
                      <w:pPr>
                        <w:pStyle w:val="2"/>
                      </w:pPr>
                    </w:p>
                    <w:p>
                      <w:pPr>
                        <w:pStyle w:val="2"/>
                      </w:pPr>
                    </w:p>
                  </w:txbxContent>
                </v:textbox>
              </v:roundrect>
            </w:pict>
          </mc:Fallback>
        </mc:AlternateContent>
      </w:r>
    </w:p>
    <w:p>
      <w:pPr>
        <w:snapToGrid w:val="0"/>
        <w:spacing w:line="400" w:lineRule="exact"/>
        <w:textAlignment w:val="baseline"/>
        <w:rPr>
          <w:rFonts w:hint="eastAsia" w:ascii="宋体" w:hAnsi="宋体" w:eastAsia="宋体" w:cs="宋体"/>
          <w:color w:val="auto"/>
          <w:sz w:val="24"/>
        </w:rPr>
      </w:pPr>
    </w:p>
    <w:p>
      <w:pPr>
        <w:snapToGrid w:val="0"/>
        <w:spacing w:line="400" w:lineRule="exact"/>
        <w:textAlignment w:val="baseline"/>
        <w:rPr>
          <w:rFonts w:hint="eastAsia" w:ascii="宋体" w:hAnsi="宋体" w:eastAsia="宋体" w:cs="宋体"/>
          <w:color w:val="auto"/>
          <w:sz w:val="24"/>
        </w:rPr>
      </w:pPr>
    </w:p>
    <w:p>
      <w:pPr>
        <w:pStyle w:val="25"/>
        <w:spacing w:line="400" w:lineRule="exact"/>
        <w:rPr>
          <w:rFonts w:hint="eastAsia" w:ascii="宋体" w:hAnsi="宋体" w:eastAsia="宋体" w:cs="宋体"/>
          <w:color w:val="auto"/>
          <w:sz w:val="24"/>
        </w:rPr>
      </w:pPr>
    </w:p>
    <w:p>
      <w:pPr>
        <w:pStyle w:val="25"/>
        <w:spacing w:line="400" w:lineRule="exact"/>
        <w:rPr>
          <w:rFonts w:hint="eastAsia" w:ascii="宋体" w:hAnsi="宋体" w:eastAsia="宋体" w:cs="宋体"/>
          <w:color w:val="auto"/>
          <w:sz w:val="24"/>
        </w:rPr>
      </w:pPr>
    </w:p>
    <w:p>
      <w:pPr>
        <w:snapToGrid w:val="0"/>
        <w:spacing w:line="400" w:lineRule="exact"/>
        <w:ind w:right="246"/>
        <w:textAlignment w:val="baseline"/>
        <w:rPr>
          <w:rFonts w:hint="eastAsia" w:ascii="宋体" w:hAnsi="宋体" w:eastAsia="宋体" w:cs="宋体"/>
          <w:color w:val="auto"/>
          <w:sz w:val="24"/>
        </w:rPr>
      </w:pPr>
    </w:p>
    <w:p>
      <w:pPr>
        <w:pStyle w:val="34"/>
        <w:snapToGrid w:val="0"/>
        <w:spacing w:line="400" w:lineRule="exact"/>
        <w:ind w:firstLine="0" w:firstLineChars="0"/>
        <w:textAlignment w:val="baseline"/>
        <w:rPr>
          <w:rFonts w:hint="eastAsia" w:ascii="宋体" w:hAnsi="宋体" w:eastAsia="宋体" w:cs="宋体"/>
          <w:color w:val="auto"/>
        </w:rPr>
      </w:pPr>
      <w:bookmarkStart w:id="639" w:name="_Toc515647807"/>
      <w:bookmarkStart w:id="640" w:name="_Toc16640"/>
      <w:bookmarkStart w:id="641" w:name="_Toc1083"/>
      <w:bookmarkStart w:id="642" w:name="_Toc13107"/>
      <w:bookmarkStart w:id="643" w:name="_Toc22472"/>
      <w:bookmarkStart w:id="644" w:name="_Toc5436"/>
      <w:bookmarkStart w:id="645" w:name="_Toc21867"/>
      <w:bookmarkStart w:id="646" w:name="_Toc6829"/>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pStyle w:val="34"/>
        <w:snapToGrid w:val="0"/>
        <w:spacing w:line="400" w:lineRule="exact"/>
        <w:ind w:firstLine="0" w:firstLineChars="0"/>
        <w:textAlignment w:val="baseline"/>
        <w:rPr>
          <w:rFonts w:hint="eastAsia" w:ascii="宋体" w:hAnsi="宋体" w:eastAsia="宋体" w:cs="宋体"/>
          <w:color w:val="auto"/>
        </w:rPr>
      </w:pPr>
    </w:p>
    <w:p>
      <w:pPr>
        <w:snapToGrid w:val="0"/>
        <w:spacing w:line="400" w:lineRule="exact"/>
        <w:jc w:val="both"/>
        <w:textAlignment w:val="baseline"/>
        <w:rPr>
          <w:rFonts w:hint="eastAsia" w:ascii="宋体" w:hAnsi="宋体" w:eastAsia="宋体" w:cs="宋体"/>
          <w:b/>
          <w:bCs/>
          <w:color w:val="auto"/>
          <w:sz w:val="24"/>
        </w:rPr>
      </w:pPr>
      <w:bookmarkStart w:id="647" w:name="_Toc7748"/>
      <w:bookmarkStart w:id="648" w:name="_Toc27943"/>
      <w:bookmarkStart w:id="649" w:name="_Toc14483"/>
      <w:bookmarkStart w:id="650" w:name="_Toc8491"/>
      <w:bookmarkStart w:id="651" w:name="_Toc4082"/>
      <w:bookmarkStart w:id="652" w:name="_Toc16635"/>
      <w:bookmarkStart w:id="653" w:name="_Toc4926"/>
    </w:p>
    <w:p>
      <w:pPr>
        <w:snapToGrid w:val="0"/>
        <w:spacing w:line="400" w:lineRule="exact"/>
        <w:ind w:left="1080" w:leftChars="257" w:hanging="540"/>
        <w:jc w:val="center"/>
        <w:textAlignment w:val="baseline"/>
        <w:rPr>
          <w:rFonts w:hint="eastAsia" w:ascii="宋体" w:hAnsi="宋体" w:eastAsia="宋体" w:cs="宋体"/>
          <w:b/>
          <w:bCs/>
          <w:color w:val="auto"/>
          <w:sz w:val="24"/>
          <w:u w:val="single" w:color="000000"/>
        </w:rPr>
      </w:pPr>
      <w:r>
        <w:rPr>
          <w:rFonts w:hint="eastAsia" w:ascii="宋体" w:hAnsi="宋体" w:eastAsia="宋体" w:cs="宋体"/>
          <w:b/>
          <w:bCs/>
          <w:color w:val="auto"/>
          <w:sz w:val="24"/>
        </w:rPr>
        <w:t>法定代表人授权委托书</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pStyle w:val="16"/>
        <w:tabs>
          <w:tab w:val="left" w:pos="5580"/>
        </w:tabs>
        <w:snapToGrid w:val="0"/>
        <w:spacing w:line="400" w:lineRule="exact"/>
        <w:textAlignment w:val="baseline"/>
        <w:rPr>
          <w:rFonts w:hint="eastAsia" w:ascii="宋体" w:hAnsi="宋体" w:eastAsia="宋体" w:cs="宋体"/>
          <w:color w:val="auto"/>
          <w:sz w:val="24"/>
          <w:szCs w:val="24"/>
        </w:rPr>
      </w:pPr>
      <w:bookmarkStart w:id="654" w:name="_Toc515647808"/>
      <w:bookmarkStart w:id="655" w:name="_Toc32520"/>
      <w:bookmarkStart w:id="656" w:name="_Toc7039"/>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本授权书于           年     月     日签字生效,特此声明。</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7.65pt;height:109.25pt;width:195.15pt;z-index:251663360;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5pt;margin-top:18.55pt;height:110.95pt;width:201.2pt;z-index:25166438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napToGri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8.45pt;margin-top:11.05pt;height:98.6pt;width:199.65pt;z-index:251665408;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textAlignment w:val="baseline"/>
        <w:rPr>
          <w:rFonts w:hint="eastAsia" w:ascii="宋体" w:hAnsi="宋体" w:eastAsia="宋体" w:cs="宋体"/>
          <w:color w:val="auto"/>
          <w:sz w:val="24"/>
          <w:szCs w:val="24"/>
        </w:rPr>
      </w:pP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供应商（盖单位章）;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6"/>
        <w:tabs>
          <w:tab w:val="left" w:pos="5370"/>
        </w:tabs>
        <w:snapToGrid w:val="0"/>
        <w:spacing w:line="400" w:lineRule="exact"/>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color="000000"/>
        </w:rPr>
        <w:tab/>
      </w:r>
      <w:r>
        <w:rPr>
          <w:rFonts w:hint="eastAsia" w:ascii="宋体" w:hAnsi="宋体" w:eastAsia="宋体" w:cs="宋体"/>
          <w:color w:val="auto"/>
          <w:sz w:val="24"/>
        </w:rPr>
        <w:t xml:space="preserve">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法定代表人（签/章）：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委托代理人（签/章）：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详细通讯地址：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邮 政 编 码 ：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pPr>
        <w:pStyle w:val="16"/>
        <w:tabs>
          <w:tab w:val="left" w:pos="5580"/>
        </w:tabs>
        <w:snapToGrid w:val="0"/>
        <w:spacing w:line="400" w:lineRule="exac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bookmarkEnd w:id="654"/>
      <w:bookmarkEnd w:id="655"/>
      <w:bookmarkEnd w:id="656"/>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34"/>
        <w:snapToGrid w:val="0"/>
        <w:ind w:firstLine="480"/>
        <w:textAlignment w:val="baseline"/>
        <w:outlineLvl w:val="1"/>
        <w:rPr>
          <w:rFonts w:hint="eastAsia" w:ascii="宋体" w:hAnsi="宋体" w:eastAsia="宋体" w:cs="宋体"/>
          <w:b/>
          <w:color w:val="auto"/>
          <w:kern w:val="0"/>
        </w:rPr>
      </w:pPr>
      <w:bookmarkStart w:id="657" w:name="_Toc14300"/>
      <w:bookmarkStart w:id="658" w:name="_Toc3601"/>
      <w:bookmarkStart w:id="659" w:name="_Toc28970"/>
      <w:bookmarkStart w:id="660" w:name="_Toc5550"/>
    </w:p>
    <w:p>
      <w:pPr>
        <w:pStyle w:val="34"/>
        <w:snapToGrid w:val="0"/>
        <w:ind w:firstLine="480"/>
        <w:textAlignment w:val="baseline"/>
        <w:outlineLvl w:val="1"/>
        <w:rPr>
          <w:rFonts w:hint="eastAsia" w:ascii="宋体" w:hAnsi="宋体" w:eastAsia="宋体" w:cs="宋体"/>
          <w:b/>
          <w:color w:val="auto"/>
          <w:kern w:val="0"/>
        </w:rPr>
      </w:pPr>
    </w:p>
    <w:p>
      <w:pPr>
        <w:pStyle w:val="34"/>
        <w:snapToGrid w:val="0"/>
        <w:ind w:firstLine="480"/>
        <w:textAlignment w:val="baseline"/>
        <w:outlineLvl w:val="1"/>
        <w:rPr>
          <w:rFonts w:hint="eastAsia" w:ascii="宋体" w:hAnsi="宋体" w:eastAsia="宋体" w:cs="宋体"/>
          <w:b/>
          <w:color w:val="auto"/>
          <w:kern w:val="0"/>
        </w:rPr>
      </w:pPr>
      <w:r>
        <w:rPr>
          <w:rFonts w:hint="eastAsia" w:ascii="宋体" w:hAnsi="宋体" w:eastAsia="宋体" w:cs="宋体"/>
          <w:b/>
          <w:color w:val="auto"/>
          <w:kern w:val="0"/>
        </w:rPr>
        <w:t>4</w:t>
      </w:r>
      <w:bookmarkEnd w:id="657"/>
      <w:bookmarkEnd w:id="658"/>
      <w:bookmarkEnd w:id="659"/>
      <w:r>
        <w:rPr>
          <w:rFonts w:hint="eastAsia" w:ascii="宋体" w:hAnsi="宋体" w:eastAsia="宋体" w:cs="宋体"/>
          <w:b/>
          <w:color w:val="auto"/>
          <w:kern w:val="0"/>
        </w:rPr>
        <w:t>、</w:t>
      </w:r>
      <w:bookmarkEnd w:id="660"/>
      <w:r>
        <w:rPr>
          <w:rFonts w:hint="eastAsia" w:ascii="宋体" w:hAnsi="宋体" w:eastAsia="宋体" w:cs="宋体"/>
          <w:b/>
          <w:color w:val="auto"/>
          <w:kern w:val="0"/>
        </w:rPr>
        <w:t>具有良好的商业信誉和健全的财务会计制度，</w:t>
      </w:r>
      <w:r>
        <w:rPr>
          <w:rFonts w:hint="eastAsia" w:ascii="宋体" w:hAnsi="宋体" w:eastAsia="宋体" w:cs="宋体"/>
          <w:b/>
          <w:color w:val="auto"/>
          <w:kern w:val="0"/>
          <w:lang w:eastAsia="zh-CN"/>
        </w:rPr>
        <w:t>提供</w:t>
      </w:r>
      <w:r>
        <w:rPr>
          <w:rFonts w:hint="eastAsia" w:ascii="宋体" w:hAnsi="宋体" w:cs="宋体"/>
          <w:b/>
          <w:color w:val="auto"/>
          <w:kern w:val="0"/>
          <w:lang w:val="en-US" w:eastAsia="zh-CN"/>
        </w:rPr>
        <w:t>2022年</w:t>
      </w:r>
      <w:r>
        <w:rPr>
          <w:rFonts w:hint="eastAsia" w:ascii="宋体" w:hAnsi="宋体" w:eastAsia="宋体" w:cs="宋体"/>
          <w:b/>
          <w:color w:val="auto"/>
          <w:kern w:val="0"/>
          <w:lang w:eastAsia="zh-CN"/>
        </w:rPr>
        <w:t>经审计的财务报告（新公司出具银行资信证明）</w:t>
      </w:r>
      <w:r>
        <w:rPr>
          <w:rFonts w:hint="eastAsia" w:ascii="宋体" w:hAnsi="宋体" w:eastAsia="宋体" w:cs="宋体"/>
          <w:b/>
          <w:color w:val="auto"/>
          <w:kern w:val="0"/>
        </w:rPr>
        <w:t>；</w:t>
      </w:r>
    </w:p>
    <w:p>
      <w:pPr>
        <w:pStyle w:val="34"/>
        <w:snapToGrid w:val="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ind w:firstLine="0" w:firstLineChars="0"/>
        <w:textAlignment w:val="baseline"/>
        <w:rPr>
          <w:rFonts w:hint="eastAsia" w:ascii="宋体" w:hAnsi="宋体" w:eastAsia="宋体" w:cs="宋体"/>
          <w:b/>
          <w:color w:val="auto"/>
          <w:kern w:val="0"/>
          <w:sz w:val="21"/>
        </w:rPr>
      </w:pPr>
    </w:p>
    <w:p>
      <w:pPr>
        <w:pStyle w:val="34"/>
        <w:snapToGrid w:val="0"/>
        <w:textAlignment w:val="baseline"/>
        <w:rPr>
          <w:rFonts w:hint="eastAsia" w:ascii="宋体" w:hAnsi="宋体" w:eastAsia="宋体" w:cs="宋体"/>
          <w:b/>
          <w:color w:val="auto"/>
          <w:kern w:val="0"/>
          <w:sz w:val="21"/>
        </w:rPr>
      </w:pPr>
    </w:p>
    <w:p>
      <w:pPr>
        <w:pStyle w:val="34"/>
        <w:snapToGrid w:val="0"/>
        <w:textAlignment w:val="baseline"/>
        <w:rPr>
          <w:rFonts w:hint="eastAsia" w:ascii="宋体" w:hAnsi="宋体" w:eastAsia="宋体" w:cs="宋体"/>
          <w:b/>
          <w:color w:val="auto"/>
          <w:kern w:val="0"/>
          <w:sz w:val="21"/>
        </w:rPr>
      </w:pPr>
    </w:p>
    <w:p>
      <w:pPr>
        <w:pStyle w:val="16"/>
        <w:tabs>
          <w:tab w:val="left" w:pos="5580"/>
        </w:tabs>
        <w:snapToGrid w:val="0"/>
        <w:spacing w:line="240" w:lineRule="atLeast"/>
        <w:ind w:firstLine="482" w:firstLineChars="200"/>
        <w:textAlignment w:val="baseline"/>
        <w:outlineLvl w:val="1"/>
        <w:rPr>
          <w:rFonts w:hint="eastAsia" w:ascii="宋体" w:hAnsi="宋体" w:eastAsia="宋体" w:cs="宋体"/>
          <w:b/>
          <w:color w:val="auto"/>
          <w:kern w:val="0"/>
          <w:sz w:val="24"/>
        </w:rPr>
      </w:pPr>
      <w:bookmarkStart w:id="661" w:name="_Toc5064"/>
      <w:r>
        <w:rPr>
          <w:rFonts w:hint="eastAsia" w:ascii="宋体" w:hAnsi="宋体" w:eastAsia="宋体" w:cs="宋体"/>
          <w:b/>
          <w:color w:val="auto"/>
          <w:kern w:val="0"/>
          <w:sz w:val="24"/>
        </w:rPr>
        <w:t>5、</w:t>
      </w:r>
      <w:bookmarkEnd w:id="661"/>
      <w:r>
        <w:rPr>
          <w:rFonts w:hint="eastAsia" w:ascii="宋体" w:hAnsi="宋体" w:eastAsia="宋体" w:cs="宋体"/>
          <w:b/>
          <w:color w:val="auto"/>
          <w:kern w:val="0"/>
          <w:sz w:val="24"/>
        </w:rPr>
        <w:t>公司依法缴纳</w:t>
      </w:r>
      <w:r>
        <w:rPr>
          <w:rFonts w:hint="eastAsia" w:ascii="宋体" w:hAnsi="宋体" w:eastAsia="宋体" w:cs="宋体"/>
          <w:b/>
          <w:bCs/>
          <w:color w:val="auto"/>
          <w:sz w:val="24"/>
        </w:rPr>
        <w:t>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w:t>
      </w:r>
      <w:r>
        <w:rPr>
          <w:rFonts w:hint="eastAsia" w:ascii="宋体" w:hAnsi="宋体" w:eastAsia="宋体" w:cs="宋体"/>
          <w:b/>
          <w:color w:val="auto"/>
          <w:kern w:val="0"/>
          <w:sz w:val="24"/>
        </w:rPr>
        <w:t>的社会保险社保缴纳凭证；公司依法缴纳</w:t>
      </w:r>
      <w:r>
        <w:rPr>
          <w:rFonts w:hint="eastAsia" w:ascii="宋体" w:hAnsi="宋体" w:eastAsia="宋体" w:cs="宋体"/>
          <w:b/>
          <w:bCs/>
          <w:color w:val="auto"/>
          <w:sz w:val="24"/>
        </w:rPr>
        <w:t>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w:t>
      </w:r>
      <w:r>
        <w:rPr>
          <w:rFonts w:hint="eastAsia" w:ascii="宋体" w:hAnsi="宋体" w:eastAsia="宋体" w:cs="宋体"/>
          <w:b/>
          <w:color w:val="auto"/>
          <w:kern w:val="0"/>
          <w:sz w:val="24"/>
        </w:rPr>
        <w:t>的税收良好记录证明；</w:t>
      </w:r>
      <w:r>
        <w:rPr>
          <w:rFonts w:hint="eastAsia" w:ascii="宋体" w:hAnsi="宋体" w:eastAsia="宋体" w:cs="宋体"/>
          <w:b/>
          <w:color w:val="auto"/>
          <w:kern w:val="0"/>
          <w:sz w:val="24"/>
          <w:lang w:eastAsia="zh-CN"/>
        </w:rPr>
        <w:t>（新公司除外）</w:t>
      </w: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ind w:left="1080" w:leftChars="257" w:hanging="540"/>
        <w:textAlignment w:val="baseline"/>
        <w:rPr>
          <w:rFonts w:hint="eastAsia" w:ascii="宋体" w:hAnsi="宋体" w:eastAsia="宋体" w:cs="宋体"/>
          <w:b/>
          <w:color w:val="auto"/>
          <w:kern w:val="0"/>
          <w:sz w:val="24"/>
          <w:szCs w:val="24"/>
        </w:rPr>
      </w:pPr>
    </w:p>
    <w:p>
      <w:pPr>
        <w:pStyle w:val="34"/>
        <w:snapToGrid w:val="0"/>
        <w:textAlignment w:val="baseline"/>
        <w:rPr>
          <w:rFonts w:hint="eastAsia" w:ascii="宋体" w:hAnsi="宋体" w:eastAsia="宋体" w:cs="宋体"/>
          <w:b/>
          <w:bCs/>
          <w:color w:val="auto"/>
          <w:sz w:val="24"/>
        </w:rPr>
      </w:pPr>
      <w:bookmarkStart w:id="662" w:name="_Toc10135"/>
      <w:bookmarkStart w:id="663" w:name="_Toc26009"/>
      <w:bookmarkStart w:id="664" w:name="_Toc5152"/>
      <w:bookmarkStart w:id="665" w:name="_Toc9347"/>
      <w:bookmarkStart w:id="666" w:name="_Toc9460"/>
      <w:bookmarkStart w:id="667" w:name="_Toc16195"/>
      <w:bookmarkStart w:id="668" w:name="_Toc30208"/>
      <w:bookmarkStart w:id="669" w:name="_Toc24091"/>
      <w:r>
        <w:rPr>
          <w:rFonts w:hint="eastAsia" w:ascii="宋体" w:hAnsi="宋体" w:eastAsia="宋体" w:cs="宋体"/>
          <w:b/>
          <w:bCs/>
          <w:color w:val="auto"/>
          <w:sz w:val="24"/>
        </w:rPr>
        <w:t>6</w:t>
      </w:r>
      <w:bookmarkEnd w:id="662"/>
      <w:bookmarkEnd w:id="663"/>
      <w:bookmarkEnd w:id="664"/>
      <w:bookmarkEnd w:id="665"/>
      <w:r>
        <w:rPr>
          <w:rFonts w:hint="eastAsia" w:ascii="宋体" w:hAnsi="宋体" w:eastAsia="宋体" w:cs="宋体"/>
          <w:b/>
          <w:bCs/>
          <w:color w:val="auto"/>
          <w:sz w:val="24"/>
        </w:rPr>
        <w:t>、</w:t>
      </w:r>
      <w:bookmarkEnd w:id="666"/>
      <w:bookmarkEnd w:id="667"/>
      <w:bookmarkEnd w:id="668"/>
      <w:bookmarkEnd w:id="669"/>
      <w:r>
        <w:rPr>
          <w:rFonts w:hint="eastAsia" w:ascii="宋体" w:hAnsi="宋体" w:eastAsia="宋体" w:cs="宋体"/>
          <w:b/>
          <w:bCs/>
          <w:color w:val="auto"/>
          <w:sz w:val="24"/>
        </w:rPr>
        <w:t>投标单位（供应商）提供针对本次项目《反商业贿赂承诺书》；</w:t>
      </w: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5"/>
        <w:snapToGrid w:val="0"/>
        <w:ind w:firstLine="482" w:firstLineChars="200"/>
        <w:jc w:val="both"/>
        <w:textAlignment w:val="baseline"/>
        <w:rPr>
          <w:rFonts w:hint="eastAsia" w:ascii="宋体" w:hAnsi="宋体" w:eastAsia="宋体" w:cs="宋体"/>
          <w:color w:val="auto"/>
        </w:rPr>
      </w:pPr>
      <w:bookmarkStart w:id="670" w:name="_Toc13417"/>
      <w:r>
        <w:rPr>
          <w:rFonts w:hint="eastAsia" w:ascii="宋体" w:hAnsi="宋体" w:eastAsia="宋体" w:cs="宋体"/>
          <w:bCs/>
          <w:color w:val="auto"/>
          <w:kern w:val="2"/>
          <w:sz w:val="24"/>
          <w:szCs w:val="24"/>
        </w:rPr>
        <w:t>7、</w:t>
      </w:r>
      <w:bookmarkEnd w:id="670"/>
      <w:r>
        <w:rPr>
          <w:rFonts w:hint="eastAsia" w:ascii="宋体" w:hAnsi="宋体" w:eastAsia="宋体" w:cs="宋体"/>
          <w:color w:val="auto"/>
          <w:sz w:val="24"/>
        </w:rPr>
        <w:t>参加政府采购活动前3年内在经营活动中没有重大违法记录的书面声明；</w:t>
      </w:r>
    </w:p>
    <w:p>
      <w:pPr>
        <w:rPr>
          <w:rFonts w:hint="eastAsia" w:ascii="宋体" w:hAnsi="宋体" w:eastAsia="宋体" w:cs="宋体"/>
          <w:b/>
          <w:bCs/>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5"/>
        <w:numPr>
          <w:ilvl w:val="0"/>
          <w:numId w:val="0"/>
        </w:numPr>
        <w:snapToGrid w:val="0"/>
        <w:jc w:val="both"/>
        <w:textAlignment w:val="baseline"/>
        <w:rPr>
          <w:rFonts w:hint="eastAsia" w:ascii="宋体" w:hAnsi="宋体" w:eastAsia="宋体" w:cs="宋体"/>
          <w:color w:val="auto"/>
          <w:sz w:val="24"/>
          <w:lang w:val="en-US" w:eastAsia="zh-CN"/>
        </w:rPr>
      </w:pPr>
    </w:p>
    <w:p>
      <w:pPr>
        <w:pStyle w:val="5"/>
        <w:numPr>
          <w:ilvl w:val="0"/>
          <w:numId w:val="0"/>
        </w:numPr>
        <w:snapToGrid w:val="0"/>
        <w:jc w:val="both"/>
        <w:textAlignment w:val="baseline"/>
        <w:rPr>
          <w:rFonts w:hint="eastAsia" w:ascii="仿宋" w:hAnsi="仿宋" w:eastAsia="仿宋" w:cs="仿宋"/>
          <w:color w:val="auto"/>
          <w:u w:val="none"/>
        </w:rPr>
      </w:pPr>
      <w:r>
        <w:rPr>
          <w:rFonts w:hint="eastAsia" w:ascii="宋体" w:hAnsi="宋体" w:eastAsia="宋体" w:cs="宋体"/>
          <w:color w:val="auto"/>
          <w:sz w:val="24"/>
          <w:lang w:val="en-US" w:eastAsia="zh-CN"/>
        </w:rPr>
        <w:t>8、</w:t>
      </w:r>
      <w:bookmarkStart w:id="671" w:name="_Toc22494204"/>
      <w:bookmarkStart w:id="672" w:name="_Toc39671745"/>
      <w:r>
        <w:rPr>
          <w:rFonts w:hint="eastAsia" w:ascii="宋体" w:hAnsi="宋体" w:eastAsia="宋体" w:cs="宋体"/>
          <w:color w:val="auto"/>
          <w:sz w:val="24"/>
        </w:rPr>
        <w:t>缴纳投标保证金（电汇或转账）凭证复印件加盖公章；</w:t>
      </w:r>
      <w:bookmarkEnd w:id="671"/>
      <w:bookmarkEnd w:id="672"/>
    </w:p>
    <w:p>
      <w:pPr>
        <w:ind w:firstLine="480" w:firstLineChars="200"/>
        <w:rPr>
          <w:rFonts w:hint="eastAsia" w:ascii="宋体" w:hAnsi="宋体" w:eastAsia="宋体" w:cs="宋体"/>
          <w:b w:val="0"/>
          <w:bCs/>
          <w:color w:val="auto"/>
          <w:kern w:val="0"/>
          <w:sz w:val="24"/>
          <w:szCs w:val="20"/>
          <w:lang w:val="en-US" w:eastAsia="zh-CN" w:bidi="ar-SA"/>
        </w:rPr>
      </w:pPr>
      <w:r>
        <w:rPr>
          <w:rFonts w:hint="eastAsia" w:ascii="宋体" w:hAnsi="宋体" w:eastAsia="宋体" w:cs="宋体"/>
          <w:b w:val="0"/>
          <w:bCs/>
          <w:color w:val="auto"/>
          <w:kern w:val="0"/>
          <w:sz w:val="24"/>
          <w:szCs w:val="20"/>
          <w:lang w:val="en-US" w:eastAsia="zh-CN" w:bidi="ar-SA"/>
        </w:rPr>
        <w:t>投标人可将本项目投标保证金支付的汇款凭证复印件作为缴纳凭证装订在本部分，复印件上应加盖本单位章，将原件装订在本部分正本中。</w:t>
      </w:r>
    </w:p>
    <w:p>
      <w:pPr>
        <w:pStyle w:val="2"/>
        <w:ind w:firstLine="422"/>
        <w:rPr>
          <w:rFonts w:hint="eastAsia" w:ascii="仿宋" w:hAnsi="仿宋" w:eastAsia="仿宋" w:cs="仿宋"/>
          <w:b/>
          <w:bCs/>
          <w:color w:val="auto"/>
          <w:kern w:val="2"/>
          <w:szCs w:val="24"/>
          <w:highlight w:val="none"/>
        </w:rPr>
      </w:pPr>
      <w:r>
        <w:rPr>
          <w:rFonts w:hint="eastAsia" w:ascii="仿宋" w:hAnsi="仿宋" w:eastAsia="仿宋" w:cs="仿宋"/>
          <w:b/>
          <w:color w:val="auto"/>
          <w:szCs w:val="24"/>
          <w:highlight w:val="none"/>
        </w:rPr>
        <w:drawing>
          <wp:inline distT="0" distB="0" distL="114300" distR="114300">
            <wp:extent cx="135890" cy="127000"/>
            <wp:effectExtent l="0" t="0" r="16510" b="6350"/>
            <wp:docPr id="1"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797893063,3466715407&amp;fm=26&amp;gp=0"/>
                    <pic:cNvPicPr>
                      <a:picLocks noChangeAspect="1"/>
                    </pic:cNvPicPr>
                  </pic:nvPicPr>
                  <pic:blipFill>
                    <a:blip r:embed="rId10"/>
                    <a:stretch>
                      <a:fillRect/>
                    </a:stretch>
                  </pic:blipFill>
                  <pic:spPr>
                    <a:xfrm>
                      <a:off x="0" y="0"/>
                      <a:ext cx="135890" cy="127000"/>
                    </a:xfrm>
                    <a:prstGeom prst="rect">
                      <a:avLst/>
                    </a:prstGeom>
                    <a:noFill/>
                    <a:ln>
                      <a:noFill/>
                    </a:ln>
                  </pic:spPr>
                </pic:pic>
              </a:graphicData>
            </a:graphic>
          </wp:inline>
        </w:drawing>
      </w:r>
      <w:r>
        <w:rPr>
          <w:rFonts w:hint="eastAsia" w:ascii="宋体" w:hAnsi="宋体" w:eastAsia="宋体" w:cs="宋体"/>
          <w:b/>
          <w:color w:val="auto"/>
          <w:kern w:val="0"/>
          <w:sz w:val="24"/>
          <w:szCs w:val="20"/>
          <w:highlight w:val="none"/>
          <w:lang w:val="en-US" w:eastAsia="zh-CN" w:bidi="ar-SA"/>
        </w:rPr>
        <w:t>本项目无需换取保证金收据。</w:t>
      </w:r>
    </w:p>
    <w:p>
      <w:pPr>
        <w:numPr>
          <w:ilvl w:val="0"/>
          <w:numId w:val="0"/>
        </w:numPr>
        <w:rPr>
          <w:rFonts w:hint="eastAsia" w:ascii="宋体" w:hAnsi="宋体" w:eastAsia="宋体" w:cs="宋体"/>
          <w:color w:val="auto"/>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pStyle w:val="16"/>
        <w:tabs>
          <w:tab w:val="left" w:pos="5580"/>
        </w:tabs>
        <w:snapToGrid w:val="0"/>
        <w:spacing w:line="240" w:lineRule="atLeast"/>
        <w:textAlignment w:val="baseline"/>
        <w:rPr>
          <w:rFonts w:hint="eastAsia" w:ascii="宋体" w:hAnsi="宋体" w:eastAsia="宋体" w:cs="宋体"/>
          <w:b/>
          <w:color w:val="auto"/>
          <w:kern w:val="0"/>
          <w:sz w:val="24"/>
          <w:szCs w:val="24"/>
        </w:rPr>
      </w:pPr>
    </w:p>
    <w:p>
      <w:pPr>
        <w:snapToGrid w:val="0"/>
        <w:spacing w:line="360" w:lineRule="exact"/>
        <w:textAlignment w:val="baseline"/>
        <w:rPr>
          <w:rFonts w:hint="eastAsia" w:ascii="宋体" w:hAnsi="宋体" w:eastAsia="宋体" w:cs="宋体"/>
          <w:b/>
          <w:color w:val="auto"/>
          <w:kern w:val="0"/>
          <w:sz w:val="24"/>
          <w:szCs w:val="24"/>
        </w:rPr>
      </w:pPr>
      <w:bookmarkStart w:id="673" w:name="_Toc18896"/>
    </w:p>
    <w:p>
      <w:pPr>
        <w:snapToGrid w:val="0"/>
        <w:spacing w:line="360" w:lineRule="exact"/>
        <w:textAlignment w:val="baseline"/>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9、</w:t>
      </w:r>
      <w:bookmarkEnd w:id="673"/>
      <w:bookmarkStart w:id="674" w:name="_Toc10102"/>
      <w:bookmarkStart w:id="675" w:name="_Toc20720"/>
      <w:bookmarkStart w:id="676" w:name="_Toc28525"/>
      <w:bookmarkStart w:id="677" w:name="_Toc16480"/>
      <w:bookmarkStart w:id="678" w:name="_Toc16326"/>
      <w:bookmarkStart w:id="679" w:name="_Toc494296991"/>
      <w:bookmarkStart w:id="680" w:name="_Toc494296665"/>
      <w:r>
        <w:rPr>
          <w:rFonts w:hint="eastAsia" w:ascii="宋体" w:hAnsi="宋体" w:eastAsia="宋体" w:cs="宋体"/>
          <w:b/>
          <w:color w:val="auto"/>
          <w:kern w:val="0"/>
          <w:sz w:val="24"/>
          <w:szCs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Style w:val="11"/>
        <w:rPr>
          <w:rFonts w:hint="eastAsia"/>
          <w:color w:val="auto"/>
          <w:lang w:eastAsia="zh-CN"/>
        </w:rPr>
      </w:pPr>
    </w:p>
    <w:p>
      <w:pPr>
        <w:snapToGrid w:val="0"/>
        <w:spacing w:line="360" w:lineRule="exact"/>
        <w:textAlignment w:val="baseline"/>
        <w:rPr>
          <w:rFonts w:hint="eastAsia" w:ascii="宋体" w:hAnsi="宋体" w:eastAsia="宋体" w:cs="宋体"/>
          <w:b/>
          <w:color w:val="auto"/>
          <w:kern w:val="0"/>
          <w:sz w:val="24"/>
        </w:rPr>
      </w:pPr>
    </w:p>
    <w:p>
      <w:pPr>
        <w:snapToGrid w:val="0"/>
        <w:spacing w:line="360" w:lineRule="exact"/>
        <w:textAlignment w:val="baseline"/>
        <w:rPr>
          <w:rFonts w:hint="eastAsia" w:ascii="宋体" w:hAnsi="宋体" w:eastAsia="宋体" w:cs="宋体"/>
          <w:b/>
          <w:color w:val="auto"/>
          <w:kern w:val="0"/>
          <w:sz w:val="24"/>
        </w:rPr>
      </w:pPr>
    </w:p>
    <w:bookmarkEnd w:id="674"/>
    <w:bookmarkEnd w:id="675"/>
    <w:bookmarkEnd w:id="676"/>
    <w:bookmarkEnd w:id="677"/>
    <w:bookmarkEnd w:id="678"/>
    <w:bookmarkEnd w:id="679"/>
    <w:bookmarkEnd w:id="680"/>
    <w:p>
      <w:pPr>
        <w:snapToGrid w:val="0"/>
        <w:spacing w:line="360" w:lineRule="exact"/>
        <w:textAlignment w:val="baseline"/>
        <w:rPr>
          <w:rFonts w:hint="eastAsia" w:ascii="宋体" w:hAnsi="宋体" w:eastAsia="宋体" w:cs="宋体"/>
          <w:b/>
          <w:bCs/>
          <w:color w:val="auto"/>
          <w:sz w:val="24"/>
        </w:rPr>
      </w:pPr>
    </w:p>
    <w:p>
      <w:pPr>
        <w:snapToGrid w:val="0"/>
        <w:spacing w:line="360" w:lineRule="exact"/>
        <w:textAlignment w:val="baseline"/>
        <w:rPr>
          <w:rFonts w:hint="eastAsia" w:ascii="宋体" w:hAnsi="宋体" w:eastAsia="宋体" w:cs="宋体"/>
          <w:b/>
          <w:bCs/>
          <w:color w:val="auto"/>
          <w:sz w:val="24"/>
        </w:rPr>
      </w:pPr>
    </w:p>
    <w:p>
      <w:pPr>
        <w:snapToGrid w:val="0"/>
        <w:textAlignment w:val="baseline"/>
        <w:rPr>
          <w:rFonts w:hint="eastAsia" w:ascii="宋体" w:hAnsi="宋体" w:eastAsia="宋体" w:cs="宋体"/>
          <w:color w:val="auto"/>
          <w:sz w:val="24"/>
        </w:rPr>
      </w:pPr>
    </w:p>
    <w:p>
      <w:pPr>
        <w:pStyle w:val="2"/>
        <w:snapToGrid w:val="0"/>
        <w:textAlignment w:val="baseline"/>
        <w:rPr>
          <w:rFonts w:hint="eastAsia" w:ascii="宋体" w:hAnsi="宋体" w:eastAsia="宋体" w:cs="宋体"/>
          <w:color w:val="auto"/>
        </w:rPr>
      </w:pPr>
    </w:p>
    <w:p>
      <w:pPr>
        <w:pStyle w:val="2"/>
        <w:snapToGrid w:val="0"/>
        <w:ind w:firstLine="0"/>
        <w:textAlignment w:val="baseline"/>
        <w:rPr>
          <w:rFonts w:hint="eastAsia" w:ascii="宋体" w:hAnsi="宋体" w:eastAsia="宋体" w:cs="宋体"/>
          <w:color w:val="auto"/>
        </w:rPr>
      </w:pPr>
    </w:p>
    <w:p>
      <w:pPr>
        <w:pStyle w:val="34"/>
        <w:snapToGrid w:val="0"/>
        <w:ind w:firstLine="0" w:firstLineChars="0"/>
        <w:textAlignment w:val="baseline"/>
        <w:rPr>
          <w:rFonts w:hint="eastAsia" w:ascii="宋体" w:hAnsi="宋体" w:eastAsia="宋体" w:cs="宋体"/>
          <w:color w:val="auto"/>
          <w:sz w:val="21"/>
        </w:rPr>
      </w:pPr>
    </w:p>
    <w:p>
      <w:pPr>
        <w:pStyle w:val="34"/>
        <w:snapToGrid w:val="0"/>
        <w:ind w:firstLine="0" w:firstLineChars="0"/>
        <w:textAlignment w:val="baseline"/>
        <w:rPr>
          <w:rFonts w:hint="eastAsia" w:ascii="宋体" w:hAnsi="宋体" w:eastAsia="宋体" w:cs="宋体"/>
          <w:color w:val="auto"/>
        </w:rPr>
      </w:pPr>
      <w:bookmarkStart w:id="681" w:name="_Toc26673"/>
      <w:bookmarkStart w:id="682" w:name="_Toc16476"/>
      <w:bookmarkStart w:id="683" w:name="_Toc1821"/>
      <w:bookmarkStart w:id="684" w:name="_Toc4137"/>
      <w:bookmarkStart w:id="685" w:name="_Toc30691"/>
      <w:bookmarkStart w:id="686" w:name="_Toc27874"/>
      <w:bookmarkStart w:id="687" w:name="_Toc16724"/>
      <w:bookmarkStart w:id="688" w:name="_Toc12305"/>
      <w:bookmarkStart w:id="689" w:name="_Toc14251"/>
      <w:bookmarkStart w:id="690" w:name="_Toc27251"/>
      <w:bookmarkStart w:id="691" w:name="_Toc11668"/>
      <w:bookmarkStart w:id="692" w:name="_Toc27586"/>
      <w:bookmarkStart w:id="693" w:name="_Toc10181"/>
      <w:bookmarkStart w:id="694" w:name="_Toc26653"/>
      <w:bookmarkStart w:id="695" w:name="_Toc660"/>
    </w:p>
    <w:p>
      <w:pPr>
        <w:pStyle w:val="5"/>
        <w:snapToGrid w:val="0"/>
        <w:spacing w:before="0" w:line="360" w:lineRule="exact"/>
        <w:jc w:val="both"/>
        <w:textAlignment w:val="baseline"/>
        <w:rPr>
          <w:rFonts w:hint="eastAsia" w:ascii="宋体" w:hAnsi="宋体" w:eastAsia="宋体" w:cs="宋体"/>
          <w:color w:val="auto"/>
          <w:sz w:val="24"/>
          <w:szCs w:val="24"/>
        </w:rPr>
      </w:pPr>
      <w:bookmarkStart w:id="696" w:name="_Toc25953"/>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、提供有利于磋商的其他证明材料</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16"/>
        <w:tabs>
          <w:tab w:val="left" w:pos="5580"/>
        </w:tabs>
        <w:snapToGrid w:val="0"/>
        <w:spacing w:line="360" w:lineRule="exact"/>
        <w:textAlignment w:val="baseline"/>
        <w:rPr>
          <w:rFonts w:hint="eastAsia" w:ascii="宋体" w:hAnsi="宋体" w:eastAsia="宋体" w:cs="宋体"/>
          <w:color w:val="auto"/>
          <w:sz w:val="24"/>
          <w:szCs w:val="24"/>
          <w:u w:val="single" w:color="000000"/>
        </w:rPr>
      </w:pPr>
    </w:p>
    <w:p>
      <w:pPr>
        <w:pStyle w:val="25"/>
        <w:rPr>
          <w:rFonts w:hint="eastAsia" w:ascii="宋体" w:hAnsi="宋体" w:eastAsia="宋体" w:cs="宋体"/>
          <w:b/>
          <w:color w:val="auto"/>
          <w:sz w:val="24"/>
        </w:rPr>
      </w:pPr>
      <w:bookmarkStart w:id="697" w:name="_Toc25827"/>
      <w:bookmarkStart w:id="698" w:name="_Toc11180"/>
      <w:bookmarkStart w:id="699" w:name="_Toc11956"/>
      <w:bookmarkStart w:id="700" w:name="_Toc3552"/>
      <w:bookmarkStart w:id="701" w:name="_Toc515647816"/>
      <w:bookmarkStart w:id="702" w:name="_Toc22967"/>
      <w:bookmarkStart w:id="703" w:name="_Toc12440"/>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25"/>
        <w:rPr>
          <w:rFonts w:hint="eastAsia" w:ascii="宋体" w:hAnsi="宋体" w:eastAsia="宋体" w:cs="宋体"/>
          <w:b/>
          <w:color w:val="auto"/>
          <w:sz w:val="24"/>
        </w:rPr>
      </w:pPr>
    </w:p>
    <w:p>
      <w:pPr>
        <w:pStyle w:val="5"/>
        <w:snapToGrid w:val="0"/>
        <w:spacing w:before="0" w:line="240" w:lineRule="atLeast"/>
        <w:ind w:left="1080" w:leftChars="257" w:hanging="540"/>
        <w:textAlignment w:val="baseline"/>
        <w:rPr>
          <w:rFonts w:hint="eastAsia" w:ascii="宋体" w:hAnsi="宋体" w:eastAsia="宋体" w:cs="宋体"/>
          <w:color w:val="auto"/>
          <w:sz w:val="24"/>
          <w:szCs w:val="24"/>
        </w:rPr>
      </w:pPr>
      <w:bookmarkStart w:id="704" w:name="_Toc13953"/>
      <w:r>
        <w:rPr>
          <w:rFonts w:hint="eastAsia" w:ascii="宋体" w:hAnsi="宋体" w:eastAsia="宋体" w:cs="宋体"/>
          <w:color w:val="auto"/>
          <w:sz w:val="24"/>
          <w:szCs w:val="24"/>
        </w:rPr>
        <w:t>第二部分  商务及技术文件</w:t>
      </w:r>
      <w:bookmarkEnd w:id="697"/>
      <w:bookmarkEnd w:id="698"/>
      <w:bookmarkEnd w:id="699"/>
      <w:bookmarkEnd w:id="700"/>
      <w:bookmarkEnd w:id="701"/>
      <w:bookmarkEnd w:id="702"/>
      <w:bookmarkEnd w:id="703"/>
      <w:bookmarkEnd w:id="704"/>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1、磋商书</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2、磋商分项报价表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3、服务说明一览表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4、商务条款偏离表</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5、</w:t>
      </w:r>
      <w:r>
        <w:rPr>
          <w:rFonts w:hint="eastAsia" w:hAnsi="宋体" w:cs="宋体"/>
          <w:color w:val="auto"/>
          <w:sz w:val="24"/>
          <w:lang w:eastAsia="zh-CN"/>
        </w:rPr>
        <w:t>货物</w:t>
      </w:r>
      <w:r>
        <w:rPr>
          <w:rFonts w:hint="eastAsia" w:ascii="宋体" w:hAnsi="宋体" w:eastAsia="宋体" w:cs="宋体"/>
          <w:color w:val="auto"/>
          <w:sz w:val="24"/>
        </w:rPr>
        <w:t>规格偏离表</w:t>
      </w:r>
      <w:bookmarkStart w:id="705" w:name="_Toc5136_WPSOffice_Level1"/>
      <w:bookmarkStart w:id="706" w:name="_Toc30193_WPSOffice_Level2"/>
      <w:bookmarkStart w:id="707" w:name="_Toc2883_WPSOffice_Level2"/>
    </w:p>
    <w:bookmarkEnd w:id="705"/>
    <w:bookmarkEnd w:id="706"/>
    <w:bookmarkEnd w:id="707"/>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6-1 中小企业声明函</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6-2 残疾人福利性单位声明函</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7、供应商关联单位的说明</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8、其他有利于磋商的技术条件</w:t>
      </w:r>
    </w:p>
    <w:p>
      <w:pPr>
        <w:pStyle w:val="16"/>
        <w:spacing w:line="360" w:lineRule="exact"/>
        <w:ind w:firstLine="720" w:firstLineChars="300"/>
        <w:rPr>
          <w:rFonts w:hint="eastAsia" w:ascii="宋体" w:hAnsi="宋体" w:eastAsia="宋体" w:cs="宋体"/>
          <w:color w:val="auto"/>
          <w:sz w:val="24"/>
        </w:rPr>
      </w:pPr>
      <w:r>
        <w:rPr>
          <w:rFonts w:hint="eastAsia" w:ascii="宋体" w:hAnsi="宋体" w:eastAsia="宋体" w:cs="宋体"/>
          <w:color w:val="auto"/>
          <w:sz w:val="24"/>
        </w:rPr>
        <w:t>9、响应文件格式范本</w:t>
      </w:r>
    </w:p>
    <w:p>
      <w:pPr>
        <w:pStyle w:val="16"/>
        <w:snapToGrid w:val="0"/>
        <w:ind w:left="1080" w:leftChars="257" w:hanging="540"/>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16"/>
        <w:tabs>
          <w:tab w:val="left" w:pos="5580"/>
        </w:tabs>
        <w:snapToGrid w:val="0"/>
        <w:spacing w:line="240" w:lineRule="atLeast"/>
        <w:textAlignment w:val="baseline"/>
        <w:rPr>
          <w:rFonts w:hint="eastAsia" w:ascii="宋体" w:hAnsi="宋体" w:eastAsia="宋体" w:cs="宋体"/>
          <w:color w:val="auto"/>
          <w:sz w:val="24"/>
          <w:szCs w:val="24"/>
        </w:rPr>
      </w:pPr>
    </w:p>
    <w:p>
      <w:pPr>
        <w:pStyle w:val="5"/>
        <w:snapToGrid w:val="0"/>
        <w:spacing w:before="0" w:line="240" w:lineRule="atLeast"/>
        <w:jc w:val="both"/>
        <w:textAlignment w:val="baseline"/>
        <w:rPr>
          <w:rFonts w:hint="eastAsia" w:ascii="宋体" w:hAnsi="宋体" w:eastAsia="宋体" w:cs="宋体"/>
          <w:color w:val="auto"/>
          <w:sz w:val="24"/>
          <w:szCs w:val="24"/>
        </w:rPr>
      </w:pPr>
      <w:bookmarkStart w:id="708" w:name="_Toc14915"/>
      <w:bookmarkStart w:id="709" w:name="_Toc14858"/>
      <w:bookmarkStart w:id="710" w:name="_Toc2041"/>
      <w:bookmarkStart w:id="711" w:name="_Toc18614"/>
      <w:bookmarkStart w:id="712" w:name="_Toc20342"/>
      <w:bookmarkStart w:id="713" w:name="_Toc8940"/>
      <w:bookmarkStart w:id="714" w:name="_Toc12852"/>
      <w:bookmarkStart w:id="715" w:name="_Toc11475"/>
      <w:bookmarkStart w:id="716" w:name="_Toc18506"/>
      <w:bookmarkStart w:id="717" w:name="_Toc515647817"/>
      <w:bookmarkStart w:id="718" w:name="_Toc22432"/>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5"/>
        <w:snapToGrid w:val="0"/>
        <w:spacing w:before="0" w:line="240" w:lineRule="atLeast"/>
        <w:ind w:firstLine="3855" w:firstLineChars="1600"/>
        <w:jc w:val="both"/>
        <w:textAlignment w:val="baseline"/>
        <w:rPr>
          <w:rFonts w:hint="eastAsia" w:ascii="宋体" w:hAnsi="宋体" w:eastAsia="宋体" w:cs="宋体"/>
          <w:color w:val="auto"/>
          <w:sz w:val="24"/>
        </w:rPr>
      </w:pPr>
      <w:r>
        <w:rPr>
          <w:rFonts w:hint="eastAsia" w:ascii="宋体" w:hAnsi="宋体" w:eastAsia="宋体" w:cs="宋体"/>
          <w:color w:val="auto"/>
          <w:sz w:val="24"/>
          <w:szCs w:val="24"/>
        </w:rPr>
        <w:t>1</w:t>
      </w:r>
      <w:bookmarkEnd w:id="628"/>
      <w:bookmarkEnd w:id="629"/>
      <w:bookmarkStart w:id="719" w:name="_Hlt520355504"/>
      <w:bookmarkEnd w:id="719"/>
      <w:r>
        <w:rPr>
          <w:rFonts w:hint="eastAsia" w:ascii="宋体" w:hAnsi="宋体" w:eastAsia="宋体" w:cs="宋体"/>
          <w:color w:val="auto"/>
          <w:sz w:val="24"/>
          <w:szCs w:val="24"/>
        </w:rPr>
        <w:t>、磋商书</w:t>
      </w:r>
      <w:bookmarkEnd w:id="630"/>
      <w:bookmarkEnd w:id="631"/>
      <w:bookmarkEnd w:id="708"/>
      <w:bookmarkEnd w:id="709"/>
      <w:bookmarkEnd w:id="710"/>
      <w:bookmarkEnd w:id="711"/>
      <w:bookmarkEnd w:id="712"/>
      <w:bookmarkEnd w:id="713"/>
      <w:bookmarkEnd w:id="714"/>
      <w:bookmarkEnd w:id="715"/>
      <w:bookmarkEnd w:id="716"/>
      <w:bookmarkEnd w:id="717"/>
      <w:bookmarkEnd w:id="718"/>
    </w:p>
    <w:p>
      <w:pPr>
        <w:tabs>
          <w:tab w:val="left" w:pos="5580"/>
        </w:tabs>
        <w:snapToGrid w:val="0"/>
        <w:spacing w:line="240" w:lineRule="atLeast"/>
        <w:ind w:left="1080" w:hanging="1080"/>
        <w:textAlignment w:val="baseline"/>
        <w:rPr>
          <w:rFonts w:hint="eastAsia" w:ascii="宋体" w:hAnsi="宋体" w:eastAsia="宋体" w:cs="宋体"/>
          <w:color w:val="auto"/>
          <w:sz w:val="24"/>
        </w:rPr>
      </w:pPr>
      <w:r>
        <w:rPr>
          <w:rFonts w:hint="eastAsia" w:ascii="宋体" w:hAnsi="宋体" w:eastAsia="宋体" w:cs="宋体"/>
          <w:color w:val="auto"/>
          <w:sz w:val="24"/>
        </w:rPr>
        <w:t>致：</w:t>
      </w:r>
    </w:p>
    <w:p>
      <w:pPr>
        <w:pStyle w:val="16"/>
        <w:tabs>
          <w:tab w:val="left" w:pos="5580"/>
        </w:tabs>
        <w:snapToGrid w:val="0"/>
        <w:spacing w:line="240" w:lineRule="atLeast"/>
        <w:ind w:left="2" w:leftChars="1"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i/>
          <w:color w:val="auto"/>
          <w:sz w:val="24"/>
          <w:szCs w:val="24"/>
          <w:u w:val="single" w:color="000000"/>
        </w:rPr>
        <w:t>项目名称</w:t>
      </w:r>
      <w:r>
        <w:rPr>
          <w:rFonts w:hint="eastAsia" w:ascii="宋体" w:hAnsi="宋体" w:eastAsia="宋体" w:cs="宋体"/>
          <w:color w:val="auto"/>
          <w:sz w:val="24"/>
          <w:szCs w:val="24"/>
        </w:rPr>
        <w:t>)项目的磋商邀请(</w:t>
      </w:r>
      <w:r>
        <w:rPr>
          <w:rFonts w:hint="eastAsia" w:ascii="宋体" w:hAnsi="宋体" w:eastAsia="宋体" w:cs="宋体"/>
          <w:i/>
          <w:color w:val="auto"/>
          <w:sz w:val="24"/>
          <w:szCs w:val="24"/>
          <w:u w:val="single" w:color="000000"/>
        </w:rPr>
        <w:t>项目编号</w:t>
      </w:r>
      <w:r>
        <w:rPr>
          <w:rFonts w:hint="eastAsia" w:ascii="宋体" w:hAnsi="宋体" w:eastAsia="宋体" w:cs="宋体"/>
          <w:color w:val="auto"/>
          <w:sz w:val="24"/>
          <w:szCs w:val="24"/>
        </w:rPr>
        <w:t>),签字代表(</w:t>
      </w:r>
      <w:r>
        <w:rPr>
          <w:rFonts w:hint="eastAsia" w:ascii="宋体" w:hAnsi="宋体" w:eastAsia="宋体" w:cs="宋体"/>
          <w:i/>
          <w:color w:val="auto"/>
          <w:sz w:val="24"/>
          <w:szCs w:val="24"/>
          <w:u w:val="single" w:color="000000"/>
        </w:rPr>
        <w:t>姓名、职务</w:t>
      </w:r>
      <w:r>
        <w:rPr>
          <w:rFonts w:hint="eastAsia" w:ascii="宋体" w:hAnsi="宋体" w:eastAsia="宋体" w:cs="宋体"/>
          <w:color w:val="auto"/>
          <w:sz w:val="24"/>
          <w:szCs w:val="24"/>
        </w:rPr>
        <w:t>)经正式授权并代表供应商（</w:t>
      </w:r>
      <w:r>
        <w:rPr>
          <w:rFonts w:hint="eastAsia" w:ascii="宋体" w:hAnsi="宋体" w:eastAsia="宋体" w:cs="宋体"/>
          <w:i/>
          <w:color w:val="auto"/>
          <w:sz w:val="24"/>
          <w:szCs w:val="24"/>
          <w:u w:val="single" w:color="000000"/>
        </w:rPr>
        <w:t>名称、地址</w:t>
      </w:r>
      <w:r>
        <w:rPr>
          <w:rFonts w:hint="eastAsia" w:ascii="宋体" w:hAnsi="宋体" w:eastAsia="宋体" w:cs="宋体"/>
          <w:color w:val="auto"/>
          <w:sz w:val="24"/>
          <w:szCs w:val="24"/>
        </w:rPr>
        <w:t>）提交下述文件正本</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份及电子文档</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份，并以</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形式出具的金额为人民币</w:t>
      </w:r>
      <w:r>
        <w:rPr>
          <w:rFonts w:hint="eastAsia" w:ascii="宋体" w:hAnsi="宋体" w:eastAsia="宋体" w:cs="宋体"/>
          <w:color w:val="auto"/>
          <w:sz w:val="24"/>
          <w:szCs w:val="24"/>
          <w:u w:val="single" w:color="000000"/>
        </w:rPr>
        <w:t>　　　　</w:t>
      </w:r>
      <w:r>
        <w:rPr>
          <w:rFonts w:hint="eastAsia" w:ascii="宋体" w:hAnsi="宋体" w:eastAsia="宋体" w:cs="宋体"/>
          <w:color w:val="auto"/>
          <w:sz w:val="24"/>
          <w:szCs w:val="24"/>
        </w:rPr>
        <w:t>元的磋商保证金。</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据此，签字代表宣布同意如下：</w:t>
      </w:r>
    </w:p>
    <w:p>
      <w:pPr>
        <w:pStyle w:val="16"/>
        <w:tabs>
          <w:tab w:val="left" w:pos="720"/>
          <w:tab w:val="left" w:pos="900"/>
        </w:tabs>
        <w:snapToGrid w:val="0"/>
        <w:spacing w:line="240" w:lineRule="atLeast"/>
        <w:ind w:left="769" w:leftChars="257" w:hanging="229"/>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（1）附磋商价格表中规定的应提供服务的磋商总价详见磋商开启一览表，</w:t>
      </w:r>
      <w:r>
        <w:rPr>
          <w:rFonts w:hint="eastAsia" w:ascii="宋体" w:hAnsi="宋体" w:eastAsia="宋体" w:cs="宋体"/>
          <w:color w:val="auto"/>
          <w:sz w:val="24"/>
          <w:szCs w:val="24"/>
          <w:u w:val="single" w:color="000000"/>
        </w:rPr>
        <w:t>其中由小型和</w:t>
      </w:r>
      <w:r>
        <w:rPr>
          <w:rFonts w:hint="eastAsia" w:ascii="宋体" w:hAnsi="宋体" w:eastAsia="宋体" w:cs="宋体"/>
          <w:color w:val="auto"/>
          <w:sz w:val="24"/>
          <w:szCs w:val="24"/>
        </w:rPr>
        <w:t>微型企业制造产品的价格为</w:t>
      </w:r>
      <w:r>
        <w:rPr>
          <w:rFonts w:hint="eastAsia" w:ascii="宋体" w:hAnsi="宋体" w:eastAsia="宋体" w:cs="宋体"/>
          <w:color w:val="auto"/>
          <w:sz w:val="24"/>
          <w:szCs w:val="24"/>
          <w:u w:val="single" w:color="000000"/>
        </w:rPr>
        <w:t>　　  （用文字和数字表示），占磋商总价   %</w:t>
      </w:r>
      <w:r>
        <w:rPr>
          <w:rFonts w:hint="eastAsia" w:ascii="宋体" w:hAnsi="宋体" w:eastAsia="宋体" w:cs="宋体"/>
          <w:color w:val="auto"/>
          <w:sz w:val="24"/>
          <w:szCs w:val="24"/>
        </w:rPr>
        <w:t>。</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（2）本磋商有效期为自磋商截止之日起</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个日历日。</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（3）联合体中的大中型企业和其他自然人、法人或者非法人组织，与联合体中的小型、微型企业之间</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存在、不存在）投资关系（如果是联合体的话）。</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（4）已详细审查全部磋商文件，包括所有补充通知（如果有的话），完全理解并同意放弃对这方面有不明、误解和质疑的权力。</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（5）在规定的磋商开启时间后，遵守磋商文件中有关保证金的规定。</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（6）我方不是为本项目提供整体设计、规范编制或者项目管理、监理、检测等服务的供应商，我方不是采购代理机构的附属机构。</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（7）在领取成交通知书的同时按磋商文件规定的形式，向贵方一次性支付成交服务费。</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（8）按照贵方可能要求，提供与其磋商有关的一切数据或资料，完全理解贵方不一定接受最低价的磋商或收到的任何磋商。</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（9）按照磋商文件的规定履行合同责任和义务。</w:t>
      </w:r>
    </w:p>
    <w:p>
      <w:pPr>
        <w:pStyle w:val="16"/>
        <w:tabs>
          <w:tab w:val="left" w:pos="5580"/>
        </w:tabs>
        <w:snapToGrid w:val="0"/>
        <w:spacing w:line="240" w:lineRule="atLeast"/>
        <w:ind w:left="359" w:leftChars="68" w:hanging="216" w:hangingChars="9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与本磋商有关的一切正式往来信函请寄：</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供应商名称（全称）</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供应商开户银行（全称）</w:t>
      </w:r>
      <w:r>
        <w:rPr>
          <w:rFonts w:hint="eastAsia" w:ascii="宋体" w:hAnsi="宋体" w:eastAsia="宋体" w:cs="宋体"/>
          <w:color w:val="auto"/>
          <w:sz w:val="24"/>
          <w:szCs w:val="24"/>
          <w:u w:val="single" w:color="000000"/>
        </w:rPr>
        <w:t xml:space="preserve">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供应商银行帐号</w:t>
      </w:r>
      <w:r>
        <w:rPr>
          <w:rFonts w:hint="eastAsia" w:ascii="宋体" w:hAnsi="宋体" w:eastAsia="宋体" w:cs="宋体"/>
          <w:color w:val="auto"/>
          <w:sz w:val="24"/>
          <w:szCs w:val="24"/>
          <w:u w:val="single" w:color="000000"/>
        </w:rPr>
        <w:t>　　　　　　　　 　　</w:t>
      </w:r>
    </w:p>
    <w:p>
      <w:pPr>
        <w:pStyle w:val="16"/>
        <w:tabs>
          <w:tab w:val="left" w:pos="5580"/>
        </w:tabs>
        <w:snapToGrid w:val="0"/>
        <w:spacing w:line="240" w:lineRule="atLeast"/>
        <w:ind w:left="1080" w:leftChars="257" w:hanging="540"/>
        <w:textAlignment w:val="baseline"/>
        <w:rPr>
          <w:rFonts w:hint="eastAsia" w:ascii="宋体" w:hAnsi="宋体" w:eastAsia="宋体" w:cs="宋体"/>
          <w:color w:val="auto"/>
          <w:sz w:val="24"/>
          <w:szCs w:val="24"/>
          <w:u w:val="single" w:color="000000"/>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color="000000"/>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color="000000"/>
        </w:rPr>
        <w:t>　　　　　　</w:t>
      </w:r>
      <w:bookmarkStart w:id="720" w:name="_Toc1881"/>
      <w:bookmarkStart w:id="721" w:name="_Toc20897"/>
      <w:bookmarkStart w:id="722" w:name="_Toc515647818"/>
      <w:bookmarkStart w:id="723" w:name="_Toc216582815"/>
    </w:p>
    <w:bookmarkEnd w:id="720"/>
    <w:bookmarkEnd w:id="721"/>
    <w:bookmarkEnd w:id="722"/>
    <w:bookmarkEnd w:id="723"/>
    <w:p>
      <w:pPr>
        <w:pStyle w:val="16"/>
        <w:spacing w:line="360" w:lineRule="exact"/>
        <w:rPr>
          <w:rFonts w:hint="eastAsia" w:ascii="宋体" w:hAnsi="宋体" w:eastAsia="宋体" w:cs="宋体"/>
          <w:b/>
          <w:color w:val="auto"/>
          <w:kern w:val="0"/>
          <w:sz w:val="24"/>
        </w:rPr>
      </w:pPr>
      <w:bookmarkStart w:id="724" w:name="_Toc3467"/>
      <w:bookmarkStart w:id="725" w:name="_Toc23195"/>
      <w:bookmarkStart w:id="726" w:name="_Toc32628"/>
      <w:bookmarkStart w:id="727" w:name="_Toc21814"/>
      <w:bookmarkStart w:id="728" w:name="_Toc11664"/>
      <w:bookmarkStart w:id="729" w:name="_Toc16278"/>
      <w:bookmarkStart w:id="730" w:name="_Toc18940"/>
      <w:bookmarkStart w:id="731" w:name="_Toc25251"/>
      <w:bookmarkStart w:id="732" w:name="_Toc18267"/>
      <w:bookmarkStart w:id="733" w:name="_Toc24292"/>
      <w:bookmarkStart w:id="734" w:name="_Toc515647819"/>
      <w:bookmarkStart w:id="735" w:name="_Toc6343"/>
      <w:bookmarkStart w:id="736" w:name="_Toc9921"/>
      <w:bookmarkStart w:id="737" w:name="_Toc12151"/>
      <w:bookmarkStart w:id="738" w:name="_Toc14037"/>
      <w:bookmarkStart w:id="739" w:name="_Toc216582816"/>
      <w:bookmarkStart w:id="740" w:name="_Toc22104"/>
      <w:bookmarkStart w:id="741" w:name="_Toc22132"/>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16"/>
        <w:spacing w:line="360" w:lineRule="exact"/>
        <w:rPr>
          <w:rFonts w:hint="eastAsia" w:ascii="宋体" w:hAnsi="宋体" w:eastAsia="宋体" w:cs="宋体"/>
          <w:b/>
          <w:color w:val="auto"/>
          <w:kern w:val="0"/>
          <w:sz w:val="24"/>
        </w:rPr>
      </w:pPr>
    </w:p>
    <w:p>
      <w:pPr>
        <w:pStyle w:val="5"/>
        <w:spacing w:before="0" w:line="360" w:lineRule="exact"/>
        <w:ind w:left="1080" w:leftChars="257" w:hanging="540"/>
        <w:rPr>
          <w:rFonts w:hint="eastAsia" w:ascii="宋体" w:hAnsi="宋体" w:eastAsia="宋体" w:cs="宋体"/>
          <w:color w:val="auto"/>
          <w:sz w:val="24"/>
          <w:szCs w:val="24"/>
        </w:rPr>
      </w:pPr>
      <w:bookmarkStart w:id="742" w:name="_Toc10830"/>
      <w:bookmarkStart w:id="743" w:name="_Toc9529"/>
      <w:r>
        <w:rPr>
          <w:rFonts w:hint="eastAsia" w:ascii="宋体" w:hAnsi="宋体" w:eastAsia="宋体" w:cs="宋体"/>
          <w:color w:val="auto"/>
          <w:sz w:val="24"/>
          <w:szCs w:val="24"/>
        </w:rPr>
        <w:t>2</w:t>
      </w:r>
      <w:bookmarkStart w:id="744" w:name="_Toc5101"/>
      <w:r>
        <w:rPr>
          <w:rFonts w:hint="eastAsia" w:ascii="宋体" w:hAnsi="宋体" w:eastAsia="宋体" w:cs="宋体"/>
          <w:color w:val="auto"/>
          <w:sz w:val="24"/>
          <w:szCs w:val="24"/>
        </w:rPr>
        <w:t>、</w:t>
      </w:r>
      <w:r>
        <w:rPr>
          <w:rFonts w:hint="eastAsia" w:ascii="宋体" w:hAnsi="宋体" w:eastAsia="宋体" w:cs="宋体"/>
          <w:bCs/>
          <w:color w:val="auto"/>
          <w:sz w:val="24"/>
          <w:szCs w:val="24"/>
        </w:rPr>
        <w:t>磋商分项报价表</w:t>
      </w:r>
      <w:bookmarkEnd w:id="742"/>
      <w:bookmarkEnd w:id="743"/>
      <w:bookmarkEnd w:id="744"/>
    </w:p>
    <w:p>
      <w:pPr>
        <w:pStyle w:val="16"/>
        <w:spacing w:line="360" w:lineRule="exact"/>
        <w:jc w:val="left"/>
        <w:rPr>
          <w:rFonts w:hint="eastAsia" w:ascii="宋体" w:hAnsi="宋体" w:eastAsia="宋体" w:cs="宋体"/>
          <w:color w:val="auto"/>
          <w:sz w:val="24"/>
          <w:szCs w:val="24"/>
        </w:rPr>
      </w:pPr>
    </w:p>
    <w:p>
      <w:pPr>
        <w:pStyle w:val="16"/>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项目名称:                      招标编号:                          　             报价单位：                    人民币万元：</w:t>
      </w:r>
    </w:p>
    <w:tbl>
      <w:tblPr>
        <w:tblStyle w:val="35"/>
        <w:tblpPr w:leftFromText="180" w:rightFromText="180" w:vertAnchor="text" w:horzAnchor="page" w:tblpX="1365" w:tblpY="167"/>
        <w:tblOverlap w:val="never"/>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02"/>
        <w:gridCol w:w="1969"/>
        <w:gridCol w:w="935"/>
        <w:gridCol w:w="764"/>
        <w:gridCol w:w="1426"/>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02"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969" w:type="dxa"/>
            <w:noWrap/>
            <w:vAlign w:val="center"/>
          </w:tcPr>
          <w:p>
            <w:pPr>
              <w:pStyle w:val="16"/>
              <w:spacing w:line="360" w:lineRule="exact"/>
              <w:jc w:val="center"/>
              <w:rPr>
                <w:rFonts w:hint="eastAsia" w:ascii="宋体" w:hAnsi="宋体" w:eastAsia="宋体" w:cs="宋体"/>
                <w:color w:val="auto"/>
                <w:sz w:val="24"/>
                <w:szCs w:val="24"/>
                <w:lang w:eastAsia="zh-CN"/>
              </w:rPr>
            </w:pPr>
            <w:r>
              <w:rPr>
                <w:rFonts w:hint="eastAsia" w:hAnsi="宋体" w:cs="宋体"/>
                <w:color w:val="auto"/>
                <w:sz w:val="24"/>
                <w:szCs w:val="24"/>
                <w:lang w:eastAsia="zh-CN"/>
              </w:rPr>
              <w:t>规格参数</w:t>
            </w:r>
          </w:p>
        </w:tc>
        <w:tc>
          <w:tcPr>
            <w:tcW w:w="935" w:type="dxa"/>
            <w:noWrap/>
            <w:vAlign w:val="center"/>
          </w:tcPr>
          <w:p>
            <w:pPr>
              <w:pStyle w:val="16"/>
              <w:spacing w:line="36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数量</w:t>
            </w:r>
          </w:p>
        </w:tc>
        <w:tc>
          <w:tcPr>
            <w:tcW w:w="764" w:type="dxa"/>
            <w:noWrap/>
            <w:vAlign w:val="center"/>
          </w:tcPr>
          <w:p>
            <w:pPr>
              <w:pStyle w:val="16"/>
              <w:spacing w:line="360" w:lineRule="exact"/>
              <w:jc w:val="center"/>
              <w:rPr>
                <w:rFonts w:hint="eastAsia" w:ascii="宋体" w:hAnsi="宋体" w:eastAsia="宋体" w:cs="宋体"/>
                <w:color w:val="auto"/>
                <w:sz w:val="24"/>
                <w:szCs w:val="24"/>
                <w:lang w:eastAsia="zh-CN"/>
              </w:rPr>
            </w:pPr>
            <w:r>
              <w:rPr>
                <w:rFonts w:hint="eastAsia" w:hAnsi="宋体" w:cs="宋体"/>
                <w:color w:val="auto"/>
                <w:sz w:val="24"/>
                <w:szCs w:val="24"/>
                <w:lang w:eastAsia="zh-CN"/>
              </w:rPr>
              <w:t>生产厂家</w:t>
            </w:r>
          </w:p>
        </w:tc>
        <w:tc>
          <w:tcPr>
            <w:tcW w:w="1426"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43"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01" w:type="dxa"/>
            <w:noWrap/>
            <w:vAlign w:val="center"/>
          </w:tcPr>
          <w:p>
            <w:pPr>
              <w:pStyle w:val="16"/>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969"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bookmarkStart w:id="1984" w:name="_GoBack"/>
            <w:bookmarkEnd w:id="1984"/>
          </w:p>
        </w:tc>
        <w:tc>
          <w:tcPr>
            <w:tcW w:w="93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764"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969"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3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764"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969"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3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764"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969"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3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764"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54" w:type="dxa"/>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2"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969"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935"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764"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1426"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43"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c>
          <w:tcPr>
            <w:tcW w:w="801" w:type="dxa"/>
            <w:noWrap/>
            <w:vAlign w:val="center"/>
          </w:tcPr>
          <w:p>
            <w:pPr>
              <w:pStyle w:val="16"/>
              <w:spacing w:line="360" w:lineRule="exact"/>
              <w:ind w:left="1080" w:leftChars="257" w:hanging="54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294" w:type="dxa"/>
            <w:gridSpan w:val="8"/>
            <w:noWrap/>
            <w:vAlign w:val="center"/>
          </w:tcPr>
          <w:p>
            <w:pPr>
              <w:pStyle w:val="16"/>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pPr>
        <w:pStyle w:val="16"/>
        <w:spacing w:line="360" w:lineRule="exact"/>
        <w:jc w:val="left"/>
        <w:rPr>
          <w:rFonts w:hint="eastAsia" w:ascii="宋体" w:hAnsi="宋体" w:eastAsia="宋体" w:cs="宋体"/>
          <w:color w:val="auto"/>
          <w:sz w:val="24"/>
          <w:szCs w:val="24"/>
        </w:rPr>
      </w:pPr>
    </w:p>
    <w:p>
      <w:pPr>
        <w:pStyle w:val="16"/>
        <w:spacing w:line="360" w:lineRule="exact"/>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6"/>
        <w:tabs>
          <w:tab w:val="left" w:pos="5370"/>
        </w:tabs>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p>
    <w:p>
      <w:pPr>
        <w:pStyle w:val="16"/>
        <w:spacing w:line="360" w:lineRule="exact"/>
        <w:ind w:left="1080" w:leftChars="257" w:hanging="540"/>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注:1.如果供应商认为需要，每种服务内容填写一份该表。</w:t>
      </w:r>
    </w:p>
    <w:p>
      <w:pPr>
        <w:pStyle w:val="16"/>
        <w:spacing w:line="360" w:lineRule="exact"/>
        <w:ind w:left="1079" w:leftChars="428"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2.如果按单价计算的结果与总价不一致,以单价为准修正总价。</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3.如果不提供详细分项报价将视为没有实质性响应磋商文件。</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4.上述各项的详细分项报价，应另页描述。</w:t>
      </w:r>
    </w:p>
    <w:p>
      <w:pPr>
        <w:pStyle w:val="16"/>
        <w:spacing w:line="360" w:lineRule="exac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5.如果开标一览表（报价表）内容与响应文件中明细表内容不一致的，以开标一览表（报价表）内容为准。</w:t>
      </w: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480" w:lineRule="exact"/>
        <w:ind w:left="1080" w:leftChars="257" w:hanging="540"/>
        <w:rPr>
          <w:rFonts w:hint="eastAsia" w:ascii="宋体" w:hAnsi="宋体" w:eastAsia="宋体" w:cs="宋体"/>
          <w:color w:val="auto"/>
          <w:sz w:val="24"/>
          <w:szCs w:val="24"/>
        </w:rPr>
      </w:pPr>
    </w:p>
    <w:p>
      <w:pPr>
        <w:pStyle w:val="16"/>
        <w:spacing w:line="360" w:lineRule="exact"/>
        <w:jc w:val="center"/>
        <w:rPr>
          <w:rFonts w:hint="eastAsia" w:ascii="宋体" w:hAnsi="宋体" w:eastAsia="宋体" w:cs="宋体"/>
          <w:b/>
          <w:color w:val="auto"/>
          <w:kern w:val="0"/>
          <w:sz w:val="24"/>
        </w:rPr>
      </w:pPr>
    </w:p>
    <w:p>
      <w:pPr>
        <w:pStyle w:val="16"/>
        <w:spacing w:line="360" w:lineRule="exact"/>
        <w:jc w:val="both"/>
        <w:outlineLvl w:val="1"/>
        <w:rPr>
          <w:rFonts w:hint="eastAsia" w:ascii="宋体" w:hAnsi="宋体" w:eastAsia="宋体" w:cs="宋体"/>
          <w:b/>
          <w:color w:val="auto"/>
          <w:kern w:val="0"/>
          <w:sz w:val="24"/>
        </w:rPr>
      </w:pPr>
      <w:bookmarkStart w:id="745" w:name="_Toc2193"/>
    </w:p>
    <w:p>
      <w:pPr>
        <w:pStyle w:val="16"/>
        <w:spacing w:line="360" w:lineRule="exact"/>
        <w:jc w:val="center"/>
        <w:outlineLvl w:val="1"/>
        <w:rPr>
          <w:rFonts w:hint="eastAsia" w:ascii="宋体" w:hAnsi="宋体" w:eastAsia="宋体" w:cs="宋体"/>
          <w:color w:val="auto"/>
          <w:sz w:val="24"/>
        </w:rPr>
      </w:pPr>
      <w:r>
        <w:rPr>
          <w:rFonts w:hint="eastAsia" w:ascii="宋体" w:hAnsi="宋体" w:eastAsia="宋体" w:cs="宋体"/>
          <w:b/>
          <w:color w:val="auto"/>
          <w:kern w:val="0"/>
          <w:sz w:val="24"/>
        </w:rPr>
        <w:t>3、</w:t>
      </w:r>
      <w:r>
        <w:rPr>
          <w:rFonts w:hint="eastAsia" w:hAnsi="宋体" w:cs="宋体"/>
          <w:b/>
          <w:color w:val="auto"/>
          <w:kern w:val="0"/>
          <w:sz w:val="24"/>
          <w:lang w:eastAsia="zh-CN"/>
        </w:rPr>
        <w:t>货物</w:t>
      </w:r>
      <w:r>
        <w:rPr>
          <w:rFonts w:hint="eastAsia" w:ascii="宋体" w:hAnsi="宋体" w:eastAsia="宋体" w:cs="宋体"/>
          <w:b/>
          <w:color w:val="auto"/>
          <w:kern w:val="0"/>
          <w:sz w:val="24"/>
        </w:rPr>
        <w:t>说明一览表</w:t>
      </w:r>
      <w:bookmarkEnd w:id="724"/>
      <w:bookmarkEnd w:id="725"/>
      <w:bookmarkEnd w:id="726"/>
      <w:bookmarkEnd w:id="727"/>
      <w:bookmarkEnd w:id="728"/>
      <w:bookmarkEnd w:id="729"/>
      <w:bookmarkEnd w:id="730"/>
      <w:bookmarkEnd w:id="745"/>
    </w:p>
    <w:p>
      <w:pPr>
        <w:pStyle w:val="16"/>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项目名称:                </w:t>
      </w:r>
    </w:p>
    <w:p>
      <w:pPr>
        <w:pStyle w:val="16"/>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项目编号:                                         </w:t>
      </w:r>
    </w:p>
    <w:p>
      <w:pPr>
        <w:pStyle w:val="16"/>
        <w:spacing w:line="240" w:lineRule="atLeast"/>
        <w:ind w:left="1080" w:leftChars="257" w:hanging="540"/>
        <w:rPr>
          <w:rFonts w:hint="eastAsia" w:ascii="宋体" w:hAnsi="宋体" w:eastAsia="宋体" w:cs="宋体"/>
          <w:color w:val="auto"/>
          <w:sz w:val="24"/>
        </w:rPr>
      </w:pP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vAlign w:val="center"/>
          </w:tcPr>
          <w:p>
            <w:pPr>
              <w:pStyle w:val="16"/>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640" w:type="dxa"/>
            <w:vAlign w:val="center"/>
          </w:tcPr>
          <w:p>
            <w:pPr>
              <w:pStyle w:val="16"/>
              <w:spacing w:line="240" w:lineRule="atLeast"/>
              <w:jc w:val="center"/>
              <w:rPr>
                <w:rFonts w:hint="eastAsia" w:ascii="宋体" w:hAnsi="宋体" w:eastAsia="宋体" w:cs="宋体"/>
                <w:color w:val="auto"/>
                <w:sz w:val="24"/>
              </w:rPr>
            </w:pPr>
            <w:r>
              <w:rPr>
                <w:rFonts w:hint="eastAsia" w:hAnsi="宋体" w:cs="宋体"/>
                <w:color w:val="auto"/>
                <w:sz w:val="24"/>
                <w:lang w:eastAsia="zh-CN"/>
              </w:rPr>
              <w:t>货物</w:t>
            </w:r>
            <w:r>
              <w:rPr>
                <w:rFonts w:hint="eastAsia" w:ascii="宋体" w:hAnsi="宋体" w:eastAsia="宋体" w:cs="宋体"/>
                <w:color w:val="auto"/>
                <w:sz w:val="24"/>
              </w:rPr>
              <w:t>名称</w:t>
            </w:r>
          </w:p>
        </w:tc>
        <w:tc>
          <w:tcPr>
            <w:tcW w:w="1452" w:type="dxa"/>
            <w:vAlign w:val="center"/>
          </w:tcPr>
          <w:p>
            <w:pPr>
              <w:pStyle w:val="16"/>
              <w:spacing w:line="240" w:lineRule="atLeast"/>
              <w:jc w:val="center"/>
              <w:rPr>
                <w:rFonts w:hint="eastAsia" w:ascii="宋体" w:hAnsi="宋体" w:eastAsia="宋体" w:cs="宋体"/>
                <w:color w:val="auto"/>
                <w:sz w:val="24"/>
                <w:lang w:eastAsia="zh-CN"/>
              </w:rPr>
            </w:pPr>
            <w:r>
              <w:rPr>
                <w:rFonts w:hint="eastAsia" w:hAnsi="宋体" w:cs="宋体"/>
                <w:color w:val="auto"/>
                <w:sz w:val="24"/>
                <w:lang w:eastAsia="zh-CN"/>
              </w:rPr>
              <w:t>规格参数</w:t>
            </w:r>
          </w:p>
        </w:tc>
        <w:tc>
          <w:tcPr>
            <w:tcW w:w="1428" w:type="dxa"/>
            <w:vAlign w:val="center"/>
          </w:tcPr>
          <w:p>
            <w:pPr>
              <w:pStyle w:val="16"/>
              <w:spacing w:line="240" w:lineRule="atLeast"/>
              <w:jc w:val="center"/>
              <w:rPr>
                <w:rFonts w:hint="eastAsia" w:ascii="宋体" w:hAnsi="宋体" w:eastAsia="宋体" w:cs="宋体"/>
                <w:color w:val="auto"/>
                <w:sz w:val="24"/>
                <w:lang w:eastAsia="zh-CN"/>
              </w:rPr>
            </w:pPr>
            <w:r>
              <w:rPr>
                <w:rFonts w:hint="eastAsia" w:hAnsi="宋体" w:cs="宋体"/>
                <w:color w:val="auto"/>
                <w:sz w:val="24"/>
                <w:lang w:eastAsia="zh-CN"/>
              </w:rPr>
              <w:t>供货期</w:t>
            </w:r>
          </w:p>
        </w:tc>
        <w:tc>
          <w:tcPr>
            <w:tcW w:w="1584" w:type="dxa"/>
            <w:vAlign w:val="center"/>
          </w:tcPr>
          <w:p>
            <w:pPr>
              <w:pStyle w:val="16"/>
              <w:spacing w:line="240" w:lineRule="atLeast"/>
              <w:jc w:val="center"/>
              <w:rPr>
                <w:rFonts w:hint="eastAsia" w:ascii="宋体" w:hAnsi="宋体" w:eastAsia="宋体" w:cs="宋体"/>
                <w:color w:val="auto"/>
                <w:sz w:val="24"/>
              </w:rPr>
            </w:pPr>
            <w:r>
              <w:rPr>
                <w:rFonts w:hint="eastAsia" w:hAnsi="宋体" w:cs="宋体"/>
                <w:color w:val="auto"/>
                <w:sz w:val="24"/>
                <w:lang w:eastAsia="zh-CN"/>
              </w:rPr>
              <w:t>供货</w:t>
            </w:r>
            <w:r>
              <w:rPr>
                <w:rFonts w:hint="eastAsia" w:ascii="宋体" w:hAnsi="宋体" w:eastAsia="宋体" w:cs="宋体"/>
                <w:color w:val="auto"/>
                <w:sz w:val="24"/>
              </w:rPr>
              <w:t>地点</w:t>
            </w:r>
          </w:p>
        </w:tc>
        <w:tc>
          <w:tcPr>
            <w:tcW w:w="1584" w:type="dxa"/>
            <w:vAlign w:val="center"/>
          </w:tcPr>
          <w:p>
            <w:pPr>
              <w:pStyle w:val="16"/>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tcPr>
          <w:p>
            <w:pPr>
              <w:pStyle w:val="16"/>
              <w:spacing w:line="240" w:lineRule="atLeast"/>
              <w:ind w:left="1080" w:leftChars="257" w:hanging="540"/>
              <w:rPr>
                <w:rFonts w:hint="eastAsia" w:ascii="宋体" w:hAnsi="宋体" w:eastAsia="宋体" w:cs="宋体"/>
                <w:color w:val="auto"/>
                <w:sz w:val="24"/>
              </w:rPr>
            </w:pPr>
          </w:p>
        </w:tc>
        <w:tc>
          <w:tcPr>
            <w:tcW w:w="1640" w:type="dxa"/>
          </w:tcPr>
          <w:p>
            <w:pPr>
              <w:pStyle w:val="16"/>
              <w:spacing w:line="240" w:lineRule="atLeast"/>
              <w:ind w:left="1080" w:leftChars="257" w:hanging="540"/>
              <w:rPr>
                <w:rFonts w:hint="eastAsia" w:ascii="宋体" w:hAnsi="宋体" w:eastAsia="宋体" w:cs="宋体"/>
                <w:color w:val="auto"/>
                <w:sz w:val="24"/>
              </w:rPr>
            </w:pPr>
          </w:p>
        </w:tc>
        <w:tc>
          <w:tcPr>
            <w:tcW w:w="1452" w:type="dxa"/>
          </w:tcPr>
          <w:p>
            <w:pPr>
              <w:pStyle w:val="16"/>
              <w:spacing w:line="240" w:lineRule="atLeast"/>
              <w:ind w:left="1080" w:leftChars="257" w:hanging="540"/>
              <w:rPr>
                <w:rFonts w:hint="eastAsia" w:ascii="宋体" w:hAnsi="宋体" w:eastAsia="宋体" w:cs="宋体"/>
                <w:color w:val="auto"/>
                <w:sz w:val="24"/>
              </w:rPr>
            </w:pPr>
          </w:p>
        </w:tc>
        <w:tc>
          <w:tcPr>
            <w:tcW w:w="1428"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c>
          <w:tcPr>
            <w:tcW w:w="1584" w:type="dxa"/>
          </w:tcPr>
          <w:p>
            <w:pPr>
              <w:pStyle w:val="16"/>
              <w:spacing w:line="240" w:lineRule="atLeast"/>
              <w:ind w:left="1080" w:leftChars="257" w:hanging="540"/>
              <w:rPr>
                <w:rFonts w:hint="eastAsia" w:ascii="宋体" w:hAnsi="宋体" w:eastAsia="宋体" w:cs="宋体"/>
                <w:color w:val="auto"/>
                <w:sz w:val="24"/>
              </w:rPr>
            </w:pPr>
          </w:p>
        </w:tc>
      </w:tr>
    </w:tbl>
    <w:p>
      <w:pPr>
        <w:pStyle w:val="16"/>
        <w:spacing w:line="240" w:lineRule="atLeast"/>
        <w:ind w:left="1080" w:leftChars="257" w:hanging="540"/>
        <w:rPr>
          <w:rFonts w:hint="eastAsia" w:ascii="宋体" w:hAnsi="宋体" w:eastAsia="宋体" w:cs="宋体"/>
          <w:color w:val="auto"/>
          <w:sz w:val="24"/>
        </w:rPr>
      </w:pPr>
    </w:p>
    <w:p>
      <w:pPr>
        <w:pStyle w:val="16"/>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pPr>
        <w:pStyle w:val="16"/>
        <w:tabs>
          <w:tab w:val="left" w:pos="5370"/>
        </w:tabs>
        <w:spacing w:line="240" w:lineRule="atLeas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投标人(盖单位章):</w:t>
      </w:r>
      <w:r>
        <w:rPr>
          <w:rFonts w:hint="eastAsia" w:ascii="宋体" w:hAnsi="宋体" w:eastAsia="宋体" w:cs="宋体"/>
          <w:color w:val="auto"/>
          <w:sz w:val="24"/>
          <w:u w:val="single"/>
        </w:rPr>
        <w:tab/>
      </w:r>
    </w:p>
    <w:p>
      <w:pPr>
        <w:pStyle w:val="16"/>
        <w:spacing w:line="240" w:lineRule="atLeast"/>
        <w:ind w:left="1080" w:leftChars="257" w:hanging="540"/>
        <w:rPr>
          <w:rFonts w:hint="eastAsia" w:ascii="宋体" w:hAnsi="宋体" w:eastAsia="宋体" w:cs="宋体"/>
          <w:color w:val="auto"/>
          <w:sz w:val="24"/>
        </w:rPr>
      </w:pPr>
    </w:p>
    <w:p>
      <w:pPr>
        <w:pStyle w:val="16"/>
        <w:spacing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注: 各项服务详细技术性能应另页描述。</w:t>
      </w:r>
    </w:p>
    <w:p>
      <w:pPr>
        <w:spacing w:line="360" w:lineRule="exact"/>
        <w:ind w:left="1080" w:leftChars="257" w:hanging="540"/>
        <w:rPr>
          <w:rFonts w:hint="eastAsia" w:ascii="宋体" w:hAnsi="宋体" w:eastAsia="宋体" w:cs="宋体"/>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
        <w:ind w:firstLine="0"/>
        <w:rPr>
          <w:rFonts w:hint="eastAsia" w:ascii="宋体" w:hAnsi="宋体" w:eastAsia="宋体" w:cs="宋体"/>
          <w:color w:val="auto"/>
        </w:rPr>
      </w:pPr>
    </w:p>
    <w:bookmarkEnd w:id="731"/>
    <w:bookmarkEnd w:id="732"/>
    <w:bookmarkEnd w:id="733"/>
    <w:bookmarkEnd w:id="734"/>
    <w:bookmarkEnd w:id="735"/>
    <w:bookmarkEnd w:id="736"/>
    <w:bookmarkEnd w:id="737"/>
    <w:bookmarkEnd w:id="738"/>
    <w:bookmarkEnd w:id="739"/>
    <w:bookmarkEnd w:id="740"/>
    <w:bookmarkEnd w:id="741"/>
    <w:p>
      <w:pPr>
        <w:pStyle w:val="5"/>
        <w:spacing w:before="0" w:line="360" w:lineRule="exact"/>
        <w:rPr>
          <w:rFonts w:hint="eastAsia" w:ascii="宋体" w:hAnsi="宋体" w:eastAsia="宋体" w:cs="宋体"/>
          <w:color w:val="auto"/>
          <w:sz w:val="24"/>
        </w:rPr>
      </w:pPr>
      <w:bookmarkStart w:id="746" w:name="_Toc4499"/>
      <w:bookmarkStart w:id="747" w:name="_Toc22947"/>
      <w:bookmarkStart w:id="748" w:name="_Toc31358"/>
      <w:bookmarkStart w:id="749" w:name="_Toc14846"/>
      <w:bookmarkStart w:id="750" w:name="_Toc32019"/>
      <w:bookmarkStart w:id="751" w:name="_Toc26490"/>
      <w:bookmarkStart w:id="752" w:name="_Toc13093"/>
      <w:bookmarkStart w:id="753" w:name="_Toc32666"/>
      <w:bookmarkStart w:id="754" w:name="_Toc23542"/>
      <w:bookmarkStart w:id="755" w:name="_Toc10773"/>
      <w:bookmarkStart w:id="756" w:name="_Toc13229"/>
      <w:bookmarkStart w:id="757" w:name="_Toc3537"/>
      <w:bookmarkStart w:id="758" w:name="_Toc28414"/>
      <w:bookmarkStart w:id="759" w:name="_Toc24864"/>
      <w:bookmarkStart w:id="760" w:name="_Toc338"/>
      <w:bookmarkStart w:id="761" w:name="_Toc515647820"/>
      <w:bookmarkStart w:id="762" w:name="_Toc22563"/>
      <w:bookmarkStart w:id="763" w:name="_Toc1232"/>
      <w:bookmarkStart w:id="764" w:name="_Toc4880"/>
      <w:bookmarkStart w:id="765" w:name="_Toc32689"/>
      <w:bookmarkStart w:id="766" w:name="_Toc216582817"/>
      <w:bookmarkStart w:id="767" w:name="_Toc1130"/>
      <w:bookmarkStart w:id="768" w:name="_Toc9012"/>
      <w:bookmarkStart w:id="769" w:name="_Toc28959"/>
    </w:p>
    <w:p>
      <w:pPr>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5"/>
        <w:spacing w:before="0" w:line="360" w:lineRule="exact"/>
        <w:rPr>
          <w:rFonts w:hint="eastAsia" w:ascii="宋体" w:hAnsi="宋体" w:eastAsia="宋体" w:cs="宋体"/>
          <w:color w:val="auto"/>
          <w:sz w:val="24"/>
        </w:rPr>
      </w:pPr>
      <w:r>
        <w:rPr>
          <w:rFonts w:hint="eastAsia" w:ascii="宋体" w:hAnsi="宋体" w:eastAsia="宋体" w:cs="宋体"/>
          <w:color w:val="auto"/>
          <w:sz w:val="24"/>
        </w:rPr>
        <w:t>4</w:t>
      </w:r>
      <w:bookmarkEnd w:id="746"/>
      <w:bookmarkStart w:id="770" w:name="_Toc28008_WPSOffice_Level1"/>
      <w:bookmarkStart w:id="771" w:name="_Toc26398"/>
      <w:bookmarkStart w:id="772" w:name="_Toc10715377"/>
      <w:bookmarkStart w:id="773" w:name="_Toc21009"/>
      <w:bookmarkStart w:id="774" w:name="_Toc4280"/>
      <w:bookmarkStart w:id="775" w:name="_Toc4342"/>
      <w:r>
        <w:rPr>
          <w:rFonts w:hint="eastAsia" w:ascii="宋体" w:hAnsi="宋体" w:eastAsia="宋体" w:cs="宋体"/>
          <w:color w:val="auto"/>
          <w:sz w:val="24"/>
        </w:rPr>
        <w:t>、商务条款偏离表</w:t>
      </w:r>
      <w:bookmarkEnd w:id="747"/>
      <w:bookmarkEnd w:id="748"/>
      <w:bookmarkEnd w:id="749"/>
      <w:bookmarkEnd w:id="750"/>
      <w:bookmarkEnd w:id="770"/>
      <w:bookmarkEnd w:id="771"/>
      <w:bookmarkEnd w:id="772"/>
      <w:bookmarkEnd w:id="773"/>
      <w:bookmarkEnd w:id="774"/>
      <w:bookmarkEnd w:id="775"/>
    </w:p>
    <w:p>
      <w:pPr>
        <w:pStyle w:val="16"/>
        <w:spacing w:line="360" w:lineRule="exact"/>
        <w:ind w:left="1080" w:leftChars="257" w:hanging="540"/>
        <w:rPr>
          <w:rFonts w:hint="eastAsia" w:ascii="宋体" w:hAnsi="宋体" w:eastAsia="宋体" w:cs="宋体"/>
          <w:color w:val="auto"/>
          <w:sz w:val="24"/>
        </w:rPr>
      </w:pPr>
    </w:p>
    <w:p>
      <w:pPr>
        <w:pStyle w:val="16"/>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项目名称:                      项目编号:             </w:t>
      </w: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04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磋商文件条款号</w:t>
            </w:r>
          </w:p>
        </w:tc>
        <w:tc>
          <w:tcPr>
            <w:tcW w:w="252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磋商文件的商务条款</w:t>
            </w:r>
          </w:p>
        </w:tc>
        <w:tc>
          <w:tcPr>
            <w:tcW w:w="252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响应文件的商务条款</w:t>
            </w:r>
          </w:p>
        </w:tc>
        <w:tc>
          <w:tcPr>
            <w:tcW w:w="900" w:type="dxa"/>
          </w:tcPr>
          <w:p>
            <w:pPr>
              <w:pStyle w:val="16"/>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jc w:val="center"/>
              <w:rPr>
                <w:rFonts w:hint="eastAsia" w:ascii="宋体" w:hAnsi="宋体" w:eastAsia="宋体" w:cs="宋体"/>
                <w:color w:val="auto"/>
                <w:sz w:val="24"/>
              </w:rPr>
            </w:pPr>
          </w:p>
        </w:tc>
        <w:tc>
          <w:tcPr>
            <w:tcW w:w="2520" w:type="dxa"/>
          </w:tcPr>
          <w:p>
            <w:pPr>
              <w:pStyle w:val="16"/>
              <w:spacing w:line="360" w:lineRule="exact"/>
              <w:ind w:left="1080" w:leftChars="257" w:hanging="540"/>
              <w:jc w:val="center"/>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hint="eastAsia" w:ascii="宋体" w:hAnsi="宋体" w:eastAsia="宋体" w:cs="宋体"/>
                <w:color w:val="auto"/>
                <w:sz w:val="24"/>
              </w:rPr>
            </w:pPr>
          </w:p>
        </w:tc>
        <w:tc>
          <w:tcPr>
            <w:tcW w:w="204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2520" w:type="dxa"/>
          </w:tcPr>
          <w:p>
            <w:pPr>
              <w:pStyle w:val="16"/>
              <w:spacing w:line="360" w:lineRule="exact"/>
              <w:ind w:left="1080" w:leftChars="257" w:hanging="540"/>
              <w:rPr>
                <w:rFonts w:hint="eastAsia" w:ascii="宋体" w:hAnsi="宋体" w:eastAsia="宋体" w:cs="宋体"/>
                <w:color w:val="auto"/>
                <w:sz w:val="24"/>
              </w:rPr>
            </w:pPr>
          </w:p>
        </w:tc>
        <w:tc>
          <w:tcPr>
            <w:tcW w:w="900" w:type="dxa"/>
          </w:tcPr>
          <w:p>
            <w:pPr>
              <w:pStyle w:val="16"/>
              <w:spacing w:line="360" w:lineRule="exact"/>
              <w:ind w:left="1080" w:leftChars="257" w:hanging="540"/>
              <w:rPr>
                <w:rFonts w:hint="eastAsia" w:ascii="宋体" w:hAnsi="宋体" w:eastAsia="宋体" w:cs="宋体"/>
                <w:color w:val="auto"/>
                <w:sz w:val="24"/>
              </w:rPr>
            </w:pPr>
          </w:p>
        </w:tc>
      </w:tr>
    </w:tbl>
    <w:p>
      <w:pPr>
        <w:pStyle w:val="16"/>
        <w:spacing w:line="360" w:lineRule="exact"/>
        <w:ind w:left="1080" w:leftChars="257" w:hanging="540"/>
        <w:rPr>
          <w:rFonts w:hint="eastAsia" w:ascii="宋体" w:hAnsi="宋体" w:eastAsia="宋体" w:cs="宋体"/>
          <w:color w:val="auto"/>
          <w:sz w:val="24"/>
        </w:rPr>
      </w:pPr>
    </w:p>
    <w:p>
      <w:pPr>
        <w:pStyle w:val="16"/>
        <w:spacing w:line="360" w:lineRule="exact"/>
        <w:ind w:left="1080" w:leftChars="257" w:hanging="540"/>
        <w:rPr>
          <w:rFonts w:hint="eastAsia" w:ascii="宋体" w:hAnsi="宋体" w:eastAsia="宋体" w:cs="宋体"/>
          <w:color w:val="auto"/>
          <w:sz w:val="24"/>
        </w:rPr>
      </w:pPr>
    </w:p>
    <w:p>
      <w:pPr>
        <w:pStyle w:val="16"/>
        <w:spacing w:line="360" w:lineRule="exact"/>
        <w:ind w:left="1080" w:leftChars="257" w:hanging="540"/>
        <w:rPr>
          <w:rFonts w:hint="eastAsia" w:ascii="宋体" w:hAnsi="宋体" w:eastAsia="宋体" w:cs="宋体"/>
          <w:color w:val="auto"/>
          <w:sz w:val="24"/>
        </w:rPr>
      </w:pPr>
      <w:r>
        <w:rPr>
          <w:rFonts w:hint="eastAsia" w:ascii="宋体" w:hAnsi="宋体" w:eastAsia="宋体" w:cs="宋体"/>
          <w:color w:val="auto"/>
          <w:sz w:val="24"/>
        </w:rPr>
        <w:t>法定代表人或其委托代理人签字: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pPr>
        <w:pStyle w:val="16"/>
        <w:tabs>
          <w:tab w:val="left" w:pos="5370"/>
        </w:tabs>
        <w:spacing w:line="360" w:lineRule="exact"/>
        <w:ind w:left="1080" w:leftChars="257" w:hanging="540"/>
        <w:rPr>
          <w:rFonts w:hint="eastAsia" w:ascii="宋体" w:hAnsi="宋体" w:eastAsia="宋体" w:cs="宋体"/>
          <w:color w:val="auto"/>
          <w:sz w:val="24"/>
        </w:rPr>
      </w:pPr>
    </w:p>
    <w:p>
      <w:pPr>
        <w:pStyle w:val="16"/>
        <w:tabs>
          <w:tab w:val="left" w:pos="5370"/>
        </w:tabs>
        <w:spacing w:line="360" w:lineRule="exact"/>
        <w:ind w:left="1080" w:leftChars="257" w:hanging="540"/>
        <w:rPr>
          <w:rFonts w:hint="eastAsia" w:ascii="宋体" w:hAnsi="宋体" w:eastAsia="宋体" w:cs="宋体"/>
          <w:color w:val="auto"/>
          <w:sz w:val="24"/>
        </w:rPr>
      </w:pPr>
    </w:p>
    <w:p>
      <w:pPr>
        <w:pStyle w:val="16"/>
        <w:tabs>
          <w:tab w:val="left" w:pos="5370"/>
        </w:tabs>
        <w:spacing w:line="360" w:lineRule="exact"/>
        <w:ind w:left="1080" w:leftChars="257" w:hanging="540"/>
        <w:rPr>
          <w:rFonts w:hint="eastAsia" w:ascii="宋体" w:hAnsi="宋体" w:eastAsia="宋体" w:cs="宋体"/>
          <w:color w:val="auto"/>
          <w:sz w:val="24"/>
          <w:u w:val="single"/>
        </w:rPr>
      </w:pPr>
      <w:r>
        <w:rPr>
          <w:rFonts w:hint="eastAsia" w:ascii="宋体" w:hAnsi="宋体" w:eastAsia="宋体" w:cs="宋体"/>
          <w:color w:val="auto"/>
          <w:sz w:val="24"/>
        </w:rPr>
        <w:t>供应商(盖单位章):</w:t>
      </w:r>
      <w:r>
        <w:rPr>
          <w:rFonts w:hint="eastAsia" w:ascii="宋体" w:hAnsi="宋体" w:eastAsia="宋体" w:cs="宋体"/>
          <w:color w:val="auto"/>
          <w:sz w:val="24"/>
          <w:u w:val="single"/>
        </w:rPr>
        <w:tab/>
      </w: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16"/>
        <w:spacing w:line="360" w:lineRule="exact"/>
        <w:rPr>
          <w:rFonts w:hint="eastAsia" w:ascii="宋体" w:hAnsi="宋体" w:eastAsia="宋体" w:cs="宋体"/>
          <w:color w:val="auto"/>
          <w:sz w:val="24"/>
          <w:u w:val="single"/>
        </w:rPr>
      </w:pPr>
    </w:p>
    <w:p>
      <w:pPr>
        <w:pStyle w:val="86"/>
        <w:widowControl/>
        <w:spacing w:line="240" w:lineRule="atLeast"/>
        <w:ind w:firstLine="2650" w:firstLineChars="1100"/>
        <w:outlineLvl w:val="1"/>
        <w:rPr>
          <w:rStyle w:val="87"/>
          <w:rFonts w:hint="eastAsia" w:ascii="宋体" w:hAnsi="宋体" w:eastAsia="宋体" w:cs="宋体"/>
          <w:b/>
          <w:bCs/>
          <w:color w:val="auto"/>
          <w:sz w:val="24"/>
        </w:rPr>
      </w:pPr>
      <w:bookmarkStart w:id="776" w:name="_Toc11948"/>
      <w:bookmarkStart w:id="777" w:name="_Toc17799"/>
    </w:p>
    <w:p>
      <w:pPr>
        <w:pStyle w:val="86"/>
        <w:widowControl/>
        <w:spacing w:line="240" w:lineRule="atLeast"/>
        <w:ind w:firstLine="2650" w:firstLineChars="1100"/>
        <w:outlineLvl w:val="1"/>
        <w:rPr>
          <w:rStyle w:val="87"/>
          <w:rFonts w:hint="eastAsia" w:ascii="宋体" w:hAnsi="宋体" w:eastAsia="宋体" w:cs="宋体"/>
          <w:b/>
          <w:bCs/>
          <w:color w:val="auto"/>
          <w:sz w:val="24"/>
        </w:rPr>
      </w:pPr>
      <w:r>
        <w:rPr>
          <w:rStyle w:val="87"/>
          <w:rFonts w:hint="eastAsia" w:ascii="宋体" w:hAnsi="宋体" w:eastAsia="宋体" w:cs="宋体"/>
          <w:b/>
          <w:bCs/>
          <w:color w:val="auto"/>
          <w:sz w:val="24"/>
        </w:rPr>
        <w:t>5、</w:t>
      </w:r>
      <w:r>
        <w:rPr>
          <w:rStyle w:val="87"/>
          <w:rFonts w:hint="eastAsia" w:hAnsi="宋体" w:cs="宋体"/>
          <w:b/>
          <w:bCs/>
          <w:color w:val="auto"/>
          <w:sz w:val="24"/>
        </w:rPr>
        <w:t>货物</w:t>
      </w:r>
      <w:r>
        <w:rPr>
          <w:rStyle w:val="87"/>
          <w:rFonts w:hint="eastAsia" w:ascii="宋体" w:hAnsi="宋体" w:eastAsia="宋体" w:cs="宋体"/>
          <w:b/>
          <w:bCs/>
          <w:color w:val="auto"/>
          <w:sz w:val="24"/>
        </w:rPr>
        <w:t>规格偏离表</w:t>
      </w:r>
      <w:bookmarkEnd w:id="776"/>
      <w:bookmarkEnd w:id="777"/>
    </w:p>
    <w:p>
      <w:pPr>
        <w:pStyle w:val="86"/>
        <w:widowControl/>
        <w:spacing w:line="240" w:lineRule="atLeast"/>
        <w:ind w:left="1080" w:leftChars="257" w:hanging="540"/>
        <w:rPr>
          <w:rStyle w:val="87"/>
          <w:rFonts w:hint="eastAsia" w:ascii="宋体" w:hAnsi="宋体" w:eastAsia="宋体" w:cs="宋体"/>
          <w:color w:val="auto"/>
          <w:sz w:val="24"/>
        </w:rPr>
      </w:pPr>
    </w:p>
    <w:p>
      <w:pPr>
        <w:pStyle w:val="86"/>
        <w:widowControl/>
        <w:spacing w:line="400" w:lineRule="exact"/>
        <w:ind w:firstLine="960" w:firstLineChars="400"/>
        <w:rPr>
          <w:rStyle w:val="87"/>
          <w:rFonts w:hint="eastAsia" w:ascii="宋体" w:hAnsi="宋体" w:eastAsia="宋体" w:cs="宋体"/>
          <w:color w:val="auto"/>
          <w:sz w:val="24"/>
        </w:rPr>
      </w:pPr>
      <w:r>
        <w:rPr>
          <w:rStyle w:val="87"/>
          <w:rFonts w:hint="eastAsia" w:ascii="宋体" w:hAnsi="宋体" w:eastAsia="宋体" w:cs="宋体"/>
          <w:color w:val="auto"/>
          <w:sz w:val="24"/>
        </w:rPr>
        <w:t xml:space="preserve">项目名称:                       招标编号:          </w:t>
      </w:r>
    </w:p>
    <w:p>
      <w:pPr>
        <w:pStyle w:val="86"/>
        <w:widowControl/>
        <w:spacing w:line="400" w:lineRule="exact"/>
        <w:ind w:left="1080" w:leftChars="257" w:hanging="540"/>
        <w:rPr>
          <w:rStyle w:val="87"/>
          <w:rFonts w:hint="eastAsia" w:ascii="宋体" w:hAnsi="宋体" w:eastAsia="宋体" w:cs="宋体"/>
          <w:color w:val="auto"/>
          <w:sz w:val="24"/>
        </w:rPr>
      </w:pPr>
    </w:p>
    <w:tbl>
      <w:tblPr>
        <w:tblStyle w:val="35"/>
        <w:tblW w:w="7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1867"/>
        <w:gridCol w:w="1608"/>
        <w:gridCol w:w="1116"/>
        <w:gridCol w:w="948"/>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序号</w:t>
            </w:r>
          </w:p>
        </w:tc>
        <w:tc>
          <w:tcPr>
            <w:tcW w:w="1867"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hAnsi="宋体" w:cs="宋体"/>
                <w:color w:val="auto"/>
                <w:sz w:val="24"/>
              </w:rPr>
              <w:t>货物</w:t>
            </w:r>
            <w:r>
              <w:rPr>
                <w:rStyle w:val="87"/>
                <w:rFonts w:hint="eastAsia" w:ascii="宋体" w:hAnsi="宋体" w:eastAsia="宋体" w:cs="宋体"/>
                <w:color w:val="auto"/>
                <w:sz w:val="24"/>
              </w:rPr>
              <w:t>名称</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采购规格</w:t>
            </w:r>
          </w:p>
        </w:tc>
        <w:tc>
          <w:tcPr>
            <w:tcW w:w="1116"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响应规格</w:t>
            </w:r>
          </w:p>
        </w:tc>
        <w:tc>
          <w:tcPr>
            <w:tcW w:w="948"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偏离</w:t>
            </w:r>
          </w:p>
        </w:tc>
        <w:tc>
          <w:tcPr>
            <w:tcW w:w="1392" w:type="dxa"/>
            <w:tcBorders>
              <w:top w:val="single" w:color="000000" w:sz="4" w:space="0"/>
              <w:left w:val="single" w:color="000000" w:sz="4" w:space="0"/>
              <w:bottom w:val="single" w:color="000000" w:sz="4" w:space="0"/>
              <w:right w:val="single" w:color="000000" w:sz="4" w:space="0"/>
            </w:tcBorders>
            <w:vAlign w:val="center"/>
          </w:tcPr>
          <w:p>
            <w:pPr>
              <w:pStyle w:val="86"/>
              <w:widowControl/>
              <w:spacing w:line="400" w:lineRule="exact"/>
              <w:jc w:val="center"/>
              <w:rPr>
                <w:rStyle w:val="87"/>
                <w:rFonts w:hint="eastAsia" w:ascii="宋体" w:hAnsi="宋体" w:eastAsia="宋体" w:cs="宋体"/>
                <w:color w:val="auto"/>
                <w:sz w:val="24"/>
              </w:rPr>
            </w:pPr>
            <w:r>
              <w:rPr>
                <w:rStyle w:val="87"/>
                <w:rFonts w:hint="eastAsia" w:ascii="宋体" w:hAnsi="宋体" w:eastAsia="宋体" w:cs="宋体"/>
                <w:color w:val="auto"/>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875"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867"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60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116"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948"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c>
          <w:tcPr>
            <w:tcW w:w="1392" w:type="dxa"/>
            <w:tcBorders>
              <w:top w:val="single" w:color="000000" w:sz="4" w:space="0"/>
              <w:left w:val="single" w:color="000000" w:sz="4" w:space="0"/>
              <w:bottom w:val="single" w:color="000000" w:sz="4" w:space="0"/>
              <w:right w:val="single" w:color="000000" w:sz="4" w:space="0"/>
            </w:tcBorders>
          </w:tcPr>
          <w:p>
            <w:pPr>
              <w:pStyle w:val="86"/>
              <w:widowControl/>
              <w:spacing w:line="400" w:lineRule="exact"/>
              <w:ind w:left="1080" w:leftChars="257" w:hanging="540"/>
              <w:rPr>
                <w:rStyle w:val="87"/>
                <w:rFonts w:hint="eastAsia" w:ascii="宋体" w:hAnsi="宋体" w:eastAsia="宋体" w:cs="宋体"/>
                <w:color w:val="auto"/>
                <w:sz w:val="24"/>
              </w:rPr>
            </w:pPr>
          </w:p>
        </w:tc>
      </w:tr>
    </w:tbl>
    <w:p>
      <w:pPr>
        <w:pStyle w:val="86"/>
        <w:widowControl/>
        <w:spacing w:line="400" w:lineRule="exact"/>
        <w:rPr>
          <w:rStyle w:val="87"/>
          <w:rFonts w:hint="eastAsia" w:ascii="宋体" w:hAnsi="宋体" w:eastAsia="宋体" w:cs="宋体"/>
          <w:color w:val="auto"/>
          <w:sz w:val="24"/>
        </w:rPr>
      </w:pPr>
    </w:p>
    <w:p>
      <w:pPr>
        <w:pStyle w:val="86"/>
        <w:widowControl/>
        <w:spacing w:line="400" w:lineRule="exact"/>
        <w:ind w:left="1080" w:leftChars="257" w:hanging="540"/>
        <w:rPr>
          <w:rStyle w:val="87"/>
          <w:rFonts w:hint="eastAsia" w:ascii="宋体" w:hAnsi="宋体" w:eastAsia="宋体" w:cs="宋体"/>
          <w:color w:val="auto"/>
          <w:sz w:val="24"/>
        </w:rPr>
      </w:pPr>
      <w:r>
        <w:rPr>
          <w:rStyle w:val="87"/>
          <w:rFonts w:hint="eastAsia" w:ascii="宋体" w:hAnsi="宋体" w:eastAsia="宋体" w:cs="宋体"/>
          <w:color w:val="auto"/>
          <w:sz w:val="24"/>
        </w:rPr>
        <w:t>法定代表人或其委托代理人（签/章）:</w:t>
      </w:r>
      <w:r>
        <w:rPr>
          <w:rStyle w:val="87"/>
          <w:rFonts w:hint="eastAsia" w:ascii="宋体" w:hAnsi="宋体" w:eastAsia="宋体" w:cs="宋体"/>
          <w:color w:val="auto"/>
          <w:sz w:val="24"/>
          <w:u w:val="single"/>
        </w:rPr>
        <w:t xml:space="preserve"> </w:t>
      </w:r>
      <w:r>
        <w:rPr>
          <w:rStyle w:val="87"/>
          <w:rFonts w:hint="eastAsia" w:ascii="宋体" w:hAnsi="宋体" w:eastAsia="宋体" w:cs="宋体"/>
          <w:color w:val="auto"/>
          <w:sz w:val="24"/>
          <w:u w:val="single"/>
        </w:rPr>
        <w:tab/>
      </w:r>
      <w:r>
        <w:rPr>
          <w:rStyle w:val="87"/>
          <w:rFonts w:hint="eastAsia" w:ascii="宋体" w:hAnsi="宋体" w:eastAsia="宋体" w:cs="宋体"/>
          <w:color w:val="auto"/>
          <w:sz w:val="24"/>
          <w:u w:val="single"/>
        </w:rPr>
        <w:t xml:space="preserve">                 </w:t>
      </w: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color w:val="auto"/>
          <w:sz w:val="24"/>
        </w:rPr>
      </w:pPr>
    </w:p>
    <w:p>
      <w:pPr>
        <w:pStyle w:val="86"/>
        <w:widowControl/>
        <w:tabs>
          <w:tab w:val="left" w:pos="5370"/>
        </w:tabs>
        <w:spacing w:line="400" w:lineRule="exact"/>
        <w:ind w:left="1080" w:leftChars="257" w:hanging="540"/>
        <w:rPr>
          <w:rStyle w:val="87"/>
          <w:rFonts w:hint="eastAsia" w:ascii="宋体" w:hAnsi="宋体" w:eastAsia="宋体" w:cs="宋体"/>
          <w:b/>
          <w:bCs/>
          <w:color w:val="auto"/>
          <w:sz w:val="24"/>
        </w:rPr>
      </w:pPr>
      <w:r>
        <w:rPr>
          <w:rStyle w:val="87"/>
          <w:rFonts w:hint="eastAsia" w:ascii="宋体" w:hAnsi="宋体" w:eastAsia="宋体" w:cs="宋体"/>
          <w:color w:val="auto"/>
          <w:sz w:val="24"/>
        </w:rPr>
        <w:t>供应商(公章):</w:t>
      </w:r>
      <w:r>
        <w:rPr>
          <w:rStyle w:val="87"/>
          <w:rFonts w:hint="eastAsia" w:ascii="宋体" w:hAnsi="宋体" w:eastAsia="宋体" w:cs="宋体"/>
          <w:color w:val="auto"/>
          <w:sz w:val="24"/>
          <w:u w:val="single"/>
        </w:rPr>
        <w:tab/>
      </w:r>
    </w:p>
    <w:p>
      <w:pPr>
        <w:spacing w:line="400" w:lineRule="exact"/>
        <w:textAlignment w:val="baseline"/>
        <w:rPr>
          <w:rStyle w:val="87"/>
          <w:rFonts w:hint="eastAsia" w:ascii="宋体" w:hAnsi="宋体" w:eastAsia="宋体" w:cs="宋体"/>
          <w:color w:val="auto"/>
          <w:sz w:val="24"/>
        </w:rPr>
      </w:pPr>
    </w:p>
    <w:bookmarkEnd w:id="751"/>
    <w:bookmarkEnd w:id="752"/>
    <w:bookmarkEnd w:id="753"/>
    <w:bookmarkEnd w:id="754"/>
    <w:bookmarkEnd w:id="755"/>
    <w:bookmarkEnd w:id="756"/>
    <w:bookmarkEnd w:id="757"/>
    <w:bookmarkEnd w:id="758"/>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p>
      <w:pPr>
        <w:pStyle w:val="16"/>
        <w:tabs>
          <w:tab w:val="left" w:pos="5370"/>
        </w:tabs>
        <w:spacing w:line="240" w:lineRule="atLeast"/>
        <w:ind w:left="1080" w:leftChars="257" w:hanging="540"/>
        <w:rPr>
          <w:rFonts w:hint="eastAsia" w:ascii="宋体" w:hAnsi="宋体" w:eastAsia="宋体" w:cs="宋体"/>
          <w:color w:val="auto"/>
          <w:sz w:val="24"/>
          <w:szCs w:val="24"/>
          <w:u w:val="single"/>
        </w:rPr>
      </w:pPr>
    </w:p>
    <w:bookmarkEnd w:id="759"/>
    <w:bookmarkEnd w:id="760"/>
    <w:bookmarkEnd w:id="761"/>
    <w:bookmarkEnd w:id="762"/>
    <w:bookmarkEnd w:id="763"/>
    <w:bookmarkEnd w:id="764"/>
    <w:bookmarkEnd w:id="765"/>
    <w:bookmarkEnd w:id="766"/>
    <w:bookmarkEnd w:id="767"/>
    <w:bookmarkEnd w:id="768"/>
    <w:bookmarkEnd w:id="769"/>
    <w:p>
      <w:pPr>
        <w:pStyle w:val="16"/>
        <w:snapToGrid w:val="0"/>
        <w:spacing w:line="240" w:lineRule="atLeast"/>
        <w:textAlignment w:val="baseline"/>
        <w:rPr>
          <w:rFonts w:hint="eastAsia" w:ascii="宋体" w:hAnsi="宋体" w:eastAsia="宋体" w:cs="宋体"/>
          <w:color w:val="auto"/>
          <w:sz w:val="24"/>
          <w:szCs w:val="24"/>
        </w:rPr>
      </w:pPr>
    </w:p>
    <w:p>
      <w:pPr>
        <w:rPr>
          <w:rStyle w:val="87"/>
          <w:rFonts w:hint="eastAsia" w:ascii="宋体" w:hAnsi="宋体" w:eastAsia="宋体" w:cs="宋体"/>
          <w:bCs/>
          <w:color w:val="auto"/>
          <w:sz w:val="24"/>
        </w:rPr>
      </w:pPr>
      <w:bookmarkStart w:id="778" w:name="_Hlt520271212"/>
      <w:bookmarkEnd w:id="778"/>
      <w:bookmarkStart w:id="779" w:name="_Hlt520350957"/>
      <w:bookmarkEnd w:id="779"/>
      <w:bookmarkStart w:id="780" w:name="_Hlt520274065"/>
      <w:bookmarkEnd w:id="780"/>
      <w:bookmarkStart w:id="781" w:name="_Hlt520350918"/>
      <w:bookmarkEnd w:id="781"/>
      <w:bookmarkStart w:id="782" w:name="_Hlt520274911"/>
      <w:bookmarkEnd w:id="782"/>
      <w:bookmarkStart w:id="783" w:name="_Hlt520274393"/>
      <w:bookmarkEnd w:id="783"/>
      <w:bookmarkStart w:id="784" w:name="_Hlt520273711"/>
      <w:bookmarkEnd w:id="784"/>
      <w:bookmarkStart w:id="785" w:name="_Hlt520274407"/>
      <w:bookmarkEnd w:id="785"/>
      <w:bookmarkStart w:id="786" w:name="_Hlt520273973"/>
      <w:bookmarkEnd w:id="786"/>
      <w:bookmarkStart w:id="787" w:name="_Hlt520343392"/>
      <w:bookmarkEnd w:id="787"/>
      <w:bookmarkStart w:id="788" w:name="_Hlt520343000"/>
      <w:bookmarkEnd w:id="788"/>
      <w:bookmarkStart w:id="789" w:name="_Toc22578"/>
      <w:bookmarkStart w:id="790" w:name="_Toc515647823"/>
      <w:bookmarkStart w:id="791" w:name="_Toc32368"/>
      <w:bookmarkStart w:id="792" w:name="_Toc15566"/>
      <w:bookmarkStart w:id="793" w:name="_Toc388"/>
      <w:bookmarkStart w:id="794" w:name="_Toc6055"/>
      <w:bookmarkStart w:id="795" w:name="_Toc29837"/>
      <w:bookmarkStart w:id="796" w:name="_Toc10725"/>
      <w:bookmarkStart w:id="797" w:name="_Toc10444"/>
      <w:bookmarkStart w:id="798" w:name="_Toc21312"/>
      <w:bookmarkStart w:id="799" w:name="_Toc24111"/>
      <w:r>
        <w:rPr>
          <w:rStyle w:val="87"/>
          <w:rFonts w:hint="eastAsia" w:ascii="宋体" w:hAnsi="宋体" w:eastAsia="宋体" w:cs="宋体"/>
          <w:bCs/>
          <w:color w:val="auto"/>
          <w:sz w:val="24"/>
        </w:rPr>
        <w:br w:type="page"/>
      </w:r>
    </w:p>
    <w:p>
      <w:pPr>
        <w:pStyle w:val="5"/>
        <w:spacing w:before="0" w:line="240" w:lineRule="atLeast"/>
        <w:rPr>
          <w:rStyle w:val="87"/>
          <w:rFonts w:hint="eastAsia" w:ascii="宋体" w:hAnsi="宋体" w:eastAsia="宋体" w:cs="宋体"/>
          <w:bCs/>
          <w:color w:val="auto"/>
          <w:sz w:val="24"/>
        </w:rPr>
      </w:pPr>
      <w:r>
        <w:rPr>
          <w:rStyle w:val="87"/>
          <w:rFonts w:hint="eastAsia" w:ascii="宋体" w:hAnsi="宋体" w:eastAsia="宋体" w:cs="宋体"/>
          <w:bCs/>
          <w:color w:val="auto"/>
          <w:sz w:val="24"/>
        </w:rPr>
        <w:t>6-1</w:t>
      </w:r>
      <w:bookmarkEnd w:id="789"/>
      <w:bookmarkEnd w:id="790"/>
      <w:bookmarkEnd w:id="791"/>
      <w:bookmarkEnd w:id="792"/>
      <w:bookmarkEnd w:id="793"/>
      <w:bookmarkEnd w:id="794"/>
      <w:bookmarkEnd w:id="795"/>
      <w:bookmarkEnd w:id="796"/>
      <w:bookmarkEnd w:id="797"/>
      <w:bookmarkEnd w:id="798"/>
      <w:r>
        <w:rPr>
          <w:rStyle w:val="87"/>
          <w:rFonts w:hint="eastAsia" w:ascii="宋体" w:hAnsi="宋体" w:eastAsia="宋体" w:cs="宋体"/>
          <w:bCs/>
          <w:color w:val="auto"/>
          <w:sz w:val="24"/>
        </w:rPr>
        <w:t xml:space="preserve"> </w:t>
      </w:r>
      <w:bookmarkStart w:id="800" w:name="_Toc10977"/>
      <w:bookmarkStart w:id="801" w:name="_Toc4255"/>
      <w:bookmarkStart w:id="802" w:name="_Toc24122"/>
      <w:bookmarkStart w:id="803" w:name="_Toc10872"/>
      <w:bookmarkStart w:id="804" w:name="_Toc10958"/>
      <w:bookmarkStart w:id="805" w:name="_Toc1721"/>
      <w:bookmarkStart w:id="806" w:name="_Toc515647824"/>
      <w:bookmarkStart w:id="807" w:name="_Toc11803"/>
      <w:bookmarkStart w:id="808" w:name="_Toc17987"/>
      <w:bookmarkStart w:id="809" w:name="_Toc31112"/>
      <w:bookmarkStart w:id="810" w:name="_Toc21700"/>
      <w:r>
        <w:rPr>
          <w:rStyle w:val="87"/>
          <w:rFonts w:hint="eastAsia" w:ascii="宋体" w:hAnsi="宋体" w:eastAsia="宋体" w:cs="宋体"/>
          <w:bCs/>
          <w:color w:val="auto"/>
          <w:sz w:val="24"/>
        </w:rPr>
        <w:t>中小企业声明函（服务）</w:t>
      </w:r>
      <w:bookmarkEnd w:id="799"/>
    </w:p>
    <w:p>
      <w:pPr>
        <w:widowControl/>
        <w:spacing w:before="100" w:beforeAutospacing="1" w:after="100" w:afterAutospacing="1" w:line="33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本公司（联合体）郑重声明，根据《政府采购促进中小企业发展管理办法》（财库﹝2020﹞46 号）的规定，本公</w:t>
      </w:r>
      <w:r>
        <w:rPr>
          <w:rFonts w:hint="eastAsia" w:ascii="宋体" w:hAnsi="宋体" w:eastAsia="宋体" w:cs="宋体"/>
          <w:i w:val="0"/>
          <w:iCs w:val="0"/>
          <w:color w:val="auto"/>
          <w:kern w:val="0"/>
          <w:szCs w:val="21"/>
        </w:rPr>
        <w:t>司（联合体）参加</w:t>
      </w:r>
      <w:r>
        <w:rPr>
          <w:rFonts w:hint="eastAsia" w:ascii="宋体" w:hAnsi="宋体" w:eastAsia="宋体" w:cs="宋体"/>
          <w:i w:val="0"/>
          <w:iCs w:val="0"/>
          <w:color w:val="auto"/>
          <w:kern w:val="0"/>
          <w:szCs w:val="21"/>
          <w:u w:val="single"/>
        </w:rPr>
        <w:t>（单位名称  ）</w:t>
      </w:r>
      <w:r>
        <w:rPr>
          <w:rFonts w:hint="eastAsia" w:ascii="宋体" w:hAnsi="宋体" w:eastAsia="宋体" w:cs="宋体"/>
          <w:i w:val="0"/>
          <w:iCs w:val="0"/>
          <w:color w:val="auto"/>
          <w:kern w:val="0"/>
          <w:szCs w:val="21"/>
        </w:rPr>
        <w:t>的</w:t>
      </w:r>
      <w:r>
        <w:rPr>
          <w:rFonts w:hint="eastAsia" w:ascii="宋体" w:hAnsi="宋体" w:eastAsia="宋体" w:cs="宋体"/>
          <w:i w:val="0"/>
          <w:iCs w:val="0"/>
          <w:color w:val="auto"/>
          <w:kern w:val="0"/>
          <w:szCs w:val="21"/>
          <w:u w:val="single"/>
        </w:rPr>
        <w:t xml:space="preserve">  （项目名称）</w:t>
      </w:r>
      <w:r>
        <w:rPr>
          <w:rFonts w:hint="eastAsia" w:ascii="宋体" w:hAnsi="宋体" w:eastAsia="宋体" w:cs="宋体"/>
          <w:i w:val="0"/>
          <w:iCs w:val="0"/>
          <w:color w:val="auto"/>
          <w:kern w:val="0"/>
          <w:szCs w:val="21"/>
        </w:rPr>
        <w:t>采购活动，服务全部由符合政策要求的中小企业承接。相关企业（含联合 体中的中小企业、签订分</w:t>
      </w:r>
      <w:r>
        <w:rPr>
          <w:rFonts w:hint="eastAsia" w:ascii="宋体" w:hAnsi="宋体" w:eastAsia="宋体" w:cs="宋体"/>
          <w:color w:val="auto"/>
          <w:kern w:val="0"/>
          <w:szCs w:val="21"/>
        </w:rPr>
        <w:t>包意向协议的中小企业）的具体情况如下：</w:t>
      </w:r>
    </w:p>
    <w:p>
      <w:pPr>
        <w:pStyle w:val="84"/>
        <w:tabs>
          <w:tab w:val="left" w:pos="1243"/>
        </w:tabs>
        <w:spacing w:line="402" w:lineRule="exact"/>
        <w:rPr>
          <w:rFonts w:hint="eastAsia" w:ascii="宋体" w:hAnsi="宋体" w:eastAsia="宋体" w:cs="宋体"/>
          <w:i w:val="0"/>
          <w:iCs w:val="0"/>
          <w:color w:val="auto"/>
          <w:kern w:val="0"/>
          <w:szCs w:val="21"/>
        </w:rPr>
      </w:pPr>
      <w:r>
        <w:rPr>
          <w:rFonts w:hint="eastAsia" w:ascii="宋体" w:hAnsi="宋体" w:eastAsia="宋体" w:cs="宋体"/>
          <w:color w:val="auto"/>
          <w:kern w:val="0"/>
          <w:szCs w:val="21"/>
        </w:rPr>
        <w:t>1.</w:t>
      </w:r>
      <w:r>
        <w:rPr>
          <w:rFonts w:hint="eastAsia" w:ascii="宋体" w:hAnsi="宋体" w:eastAsia="宋体" w:cs="宋体"/>
          <w:i w:val="0"/>
          <w:iCs w:val="0"/>
          <w:color w:val="auto"/>
          <w:kern w:val="0"/>
          <w:szCs w:val="21"/>
          <w:u w:val="single"/>
        </w:rPr>
        <w:t>（项目名称）</w:t>
      </w:r>
      <w:r>
        <w:rPr>
          <w:rFonts w:hint="eastAsia" w:ascii="宋体" w:hAnsi="宋体" w:eastAsia="宋体" w:cs="宋体"/>
          <w:i w:val="0"/>
          <w:iCs w:val="0"/>
          <w:color w:val="auto"/>
          <w:kern w:val="0"/>
          <w:szCs w:val="21"/>
        </w:rPr>
        <w:t>，属于</w:t>
      </w:r>
      <w:r>
        <w:rPr>
          <w:rFonts w:hint="eastAsia" w:ascii="宋体" w:hAnsi="宋体" w:eastAsia="宋体" w:cs="宋体"/>
          <w:i w:val="0"/>
          <w:iCs w:val="0"/>
          <w:color w:val="auto"/>
          <w:kern w:val="0"/>
          <w:szCs w:val="21"/>
          <w:u w:val="single"/>
        </w:rPr>
        <w:t>（采购文件中明确的所属行业）</w:t>
      </w:r>
      <w:r>
        <w:rPr>
          <w:rFonts w:hint="eastAsia" w:ascii="宋体" w:hAnsi="宋体" w:eastAsia="宋体" w:cs="宋体"/>
          <w:i w:val="0"/>
          <w:iCs w:val="0"/>
          <w:color w:val="auto"/>
          <w:kern w:val="0"/>
          <w:szCs w:val="21"/>
        </w:rPr>
        <w:t xml:space="preserve">；承接企业为 </w:t>
      </w:r>
      <w:r>
        <w:rPr>
          <w:rFonts w:hint="eastAsia" w:ascii="宋体" w:hAnsi="宋体" w:eastAsia="宋体" w:cs="宋体"/>
          <w:i w:val="0"/>
          <w:iCs w:val="0"/>
          <w:color w:val="auto"/>
          <w:kern w:val="0"/>
          <w:szCs w:val="21"/>
          <w:u w:val="single"/>
        </w:rPr>
        <w:t xml:space="preserve">  （企业名称）  </w:t>
      </w:r>
      <w:r>
        <w:rPr>
          <w:rFonts w:hint="eastAsia" w:ascii="宋体" w:hAnsi="宋体" w:eastAsia="宋体" w:cs="宋体"/>
          <w:i w:val="0"/>
          <w:iCs w:val="0"/>
          <w:color w:val="auto"/>
          <w:kern w:val="0"/>
          <w:szCs w:val="21"/>
        </w:rPr>
        <w:t>，从业人员</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rPr>
        <w:t>人，营业收入为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万元，资产总额为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rPr>
        <w:t>万元，属于</w:t>
      </w:r>
      <w:r>
        <w:rPr>
          <w:rFonts w:hint="eastAsia" w:ascii="宋体" w:hAnsi="宋体" w:eastAsia="宋体" w:cs="宋体"/>
          <w:i w:val="0"/>
          <w:iCs w:val="0"/>
          <w:color w:val="auto"/>
          <w:kern w:val="0"/>
          <w:szCs w:val="21"/>
          <w:u w:val="single"/>
        </w:rPr>
        <w:t>（中型企业、小型企业、微型企业）</w:t>
      </w:r>
      <w:r>
        <w:rPr>
          <w:rFonts w:hint="eastAsia" w:ascii="宋体" w:hAnsi="宋体" w:eastAsia="宋体" w:cs="宋体"/>
          <w:i w:val="0"/>
          <w:iCs w:val="0"/>
          <w:color w:val="auto"/>
          <w:kern w:val="0"/>
          <w:szCs w:val="21"/>
        </w:rPr>
        <w:t>；</w:t>
      </w:r>
    </w:p>
    <w:p>
      <w:pPr>
        <w:pStyle w:val="84"/>
        <w:tabs>
          <w:tab w:val="left" w:pos="1243"/>
        </w:tabs>
        <w:spacing w:line="402" w:lineRule="exact"/>
        <w:rPr>
          <w:rFonts w:hint="eastAsia" w:ascii="宋体" w:hAnsi="宋体" w:eastAsia="宋体" w:cs="宋体"/>
          <w:i w:val="0"/>
          <w:iCs w:val="0"/>
          <w:color w:val="auto"/>
          <w:kern w:val="0"/>
          <w:szCs w:val="21"/>
          <w:u w:val="single"/>
        </w:rPr>
      </w:pPr>
      <w:r>
        <w:rPr>
          <w:rFonts w:hint="eastAsia" w:ascii="宋体" w:hAnsi="宋体" w:eastAsia="宋体" w:cs="宋体"/>
          <w:i w:val="0"/>
          <w:iCs w:val="0"/>
          <w:color w:val="auto"/>
          <w:kern w:val="0"/>
          <w:szCs w:val="21"/>
        </w:rPr>
        <w:t>2.</w:t>
      </w:r>
      <w:r>
        <w:rPr>
          <w:rFonts w:hint="eastAsia" w:ascii="宋体" w:hAnsi="宋体" w:eastAsia="宋体" w:cs="宋体"/>
          <w:i w:val="0"/>
          <w:iCs w:val="0"/>
          <w:color w:val="auto"/>
          <w:kern w:val="0"/>
          <w:szCs w:val="21"/>
          <w:u w:val="single"/>
        </w:rPr>
        <w:t>（项目名称），</w:t>
      </w:r>
      <w:r>
        <w:rPr>
          <w:rFonts w:hint="eastAsia" w:ascii="宋体" w:hAnsi="宋体" w:eastAsia="宋体" w:cs="宋体"/>
          <w:i w:val="0"/>
          <w:iCs w:val="0"/>
          <w:color w:val="auto"/>
          <w:kern w:val="0"/>
          <w:szCs w:val="21"/>
        </w:rPr>
        <w:t>属于</w:t>
      </w:r>
      <w:r>
        <w:rPr>
          <w:rFonts w:hint="eastAsia" w:ascii="宋体" w:hAnsi="宋体" w:eastAsia="宋体" w:cs="宋体"/>
          <w:i w:val="0"/>
          <w:iCs w:val="0"/>
          <w:color w:val="auto"/>
          <w:kern w:val="0"/>
          <w:szCs w:val="21"/>
          <w:u w:val="single"/>
        </w:rPr>
        <w:t>（采购文件中明确的所属行业）</w:t>
      </w:r>
      <w:r>
        <w:rPr>
          <w:rFonts w:hint="eastAsia" w:ascii="宋体" w:hAnsi="宋体" w:eastAsia="宋体" w:cs="宋体"/>
          <w:i w:val="0"/>
          <w:iCs w:val="0"/>
          <w:color w:val="auto"/>
          <w:kern w:val="0"/>
          <w:szCs w:val="21"/>
        </w:rPr>
        <w:t>；承接企业为</w:t>
      </w:r>
      <w:r>
        <w:rPr>
          <w:rFonts w:hint="eastAsia" w:ascii="宋体" w:hAnsi="宋体" w:eastAsia="宋体" w:cs="宋体"/>
          <w:i w:val="0"/>
          <w:iCs w:val="0"/>
          <w:color w:val="auto"/>
          <w:kern w:val="0"/>
          <w:szCs w:val="21"/>
          <w:u w:val="single"/>
        </w:rPr>
        <w:t>（企业名称）</w:t>
      </w:r>
      <w:r>
        <w:rPr>
          <w:rFonts w:hint="eastAsia" w:ascii="宋体" w:hAnsi="宋体" w:eastAsia="宋体" w:cs="宋体"/>
          <w:i w:val="0"/>
          <w:iCs w:val="0"/>
          <w:color w:val="auto"/>
          <w:kern w:val="0"/>
          <w:szCs w:val="21"/>
        </w:rPr>
        <w:t>，从业人员</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人，营业收入为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万元，资产总额为</w:t>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u w:val="single"/>
        </w:rPr>
        <w:tab/>
      </w:r>
      <w:r>
        <w:rPr>
          <w:rFonts w:hint="eastAsia" w:ascii="宋体" w:hAnsi="宋体" w:eastAsia="宋体" w:cs="宋体"/>
          <w:i w:val="0"/>
          <w:iCs w:val="0"/>
          <w:color w:val="auto"/>
          <w:kern w:val="0"/>
          <w:szCs w:val="21"/>
          <w:u w:val="single"/>
        </w:rPr>
        <w:t xml:space="preserve">  </w:t>
      </w:r>
      <w:r>
        <w:rPr>
          <w:rFonts w:hint="eastAsia" w:ascii="宋体" w:hAnsi="宋体" w:eastAsia="宋体" w:cs="宋体"/>
          <w:i w:val="0"/>
          <w:iCs w:val="0"/>
          <w:color w:val="auto"/>
          <w:kern w:val="0"/>
          <w:szCs w:val="21"/>
        </w:rPr>
        <w:t>万元，属于</w:t>
      </w:r>
      <w:r>
        <w:rPr>
          <w:rFonts w:hint="eastAsia" w:ascii="宋体" w:hAnsi="宋体" w:eastAsia="宋体" w:cs="宋体"/>
          <w:i w:val="0"/>
          <w:iCs w:val="0"/>
          <w:color w:val="auto"/>
          <w:kern w:val="0"/>
          <w:szCs w:val="21"/>
          <w:u w:val="single"/>
        </w:rPr>
        <w:t>（中型企业、小型企业、微型企业）</w:t>
      </w:r>
      <w:r>
        <w:rPr>
          <w:rFonts w:hint="eastAsia" w:ascii="宋体" w:hAnsi="宋体" w:eastAsia="宋体" w:cs="宋体"/>
          <w:i w:val="0"/>
          <w:iCs w:val="0"/>
          <w:color w:val="auto"/>
          <w:kern w:val="0"/>
          <w:szCs w:val="21"/>
        </w:rPr>
        <w:t>；</w:t>
      </w:r>
    </w:p>
    <w:p>
      <w:pPr>
        <w:pStyle w:val="11"/>
        <w:spacing w:before="11"/>
        <w:ind w:left="860"/>
        <w:rPr>
          <w:rFonts w:hint="eastAsia" w:ascii="宋体" w:hAnsi="宋体" w:eastAsia="宋体" w:cs="宋体"/>
          <w:i w:val="0"/>
          <w:iCs w:val="0"/>
          <w:color w:val="auto"/>
          <w:kern w:val="0"/>
          <w:sz w:val="21"/>
          <w:szCs w:val="21"/>
        </w:rPr>
      </w:pPr>
      <w:r>
        <w:rPr>
          <w:rFonts w:hint="eastAsia" w:ascii="宋体" w:hAnsi="宋体" w:eastAsia="宋体" w:cs="宋体"/>
          <w:i w:val="0"/>
          <w:iCs w:val="0"/>
          <w:color w:val="auto"/>
          <w:kern w:val="0"/>
          <w:sz w:val="21"/>
          <w:szCs w:val="21"/>
        </w:rPr>
        <w:t>……</w:t>
      </w:r>
    </w:p>
    <w:p>
      <w:pPr>
        <w:pStyle w:val="11"/>
        <w:spacing w:before="108" w:line="304" w:lineRule="auto"/>
        <w:ind w:right="417"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以上企业，不属于大企业的分支机构，不存在控股股东为大企业的情形，也不存在与大企业的负责人为同一人的情形。</w:t>
      </w:r>
    </w:p>
    <w:p>
      <w:pPr>
        <w:pStyle w:val="11"/>
        <w:spacing w:before="108" w:line="304" w:lineRule="auto"/>
        <w:ind w:right="417"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本企业对上述声明内容的真实性负责。如有虚假，将依法承担相应责任。</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供应商名称（盖章）：</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日期：</w:t>
      </w: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84"/>
        <w:tabs>
          <w:tab w:val="left" w:pos="1243"/>
        </w:tabs>
        <w:spacing w:line="402" w:lineRule="exact"/>
        <w:ind w:left="0" w:leftChars="0" w:firstLine="0" w:firstLineChars="0"/>
        <w:rPr>
          <w:rFonts w:hint="eastAsia" w:ascii="宋体" w:hAnsi="宋体" w:eastAsia="宋体" w:cs="宋体"/>
          <w:color w:val="auto"/>
          <w:kern w:val="0"/>
          <w:szCs w:val="21"/>
        </w:rPr>
      </w:pPr>
    </w:p>
    <w:p>
      <w:pPr>
        <w:pStyle w:val="84"/>
        <w:tabs>
          <w:tab w:val="left" w:pos="1243"/>
        </w:tabs>
        <w:spacing w:line="402" w:lineRule="exact"/>
        <w:ind w:left="420" w:leftChars="200" w:firstLine="0" w:firstLineChars="0"/>
        <w:rPr>
          <w:rFonts w:hint="eastAsia" w:ascii="宋体" w:hAnsi="宋体" w:eastAsia="宋体" w:cs="宋体"/>
          <w:color w:val="auto"/>
          <w:kern w:val="0"/>
          <w:szCs w:val="21"/>
        </w:rPr>
      </w:pPr>
    </w:p>
    <w:p>
      <w:pPr>
        <w:pStyle w:val="25"/>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注：须附从业人员、营业收入、资产总额填报上一年度数据，无上一年度数据的新成立企业可不填报。</w:t>
      </w:r>
    </w:p>
    <w:p>
      <w:pPr>
        <w:snapToGrid w:val="0"/>
        <w:spacing w:line="240" w:lineRule="atLeast"/>
        <w:textAlignment w:val="baseline"/>
        <w:outlineLvl w:val="1"/>
        <w:rPr>
          <w:rFonts w:hint="eastAsia" w:ascii="宋体" w:hAnsi="宋体" w:eastAsia="宋体" w:cs="宋体"/>
          <w:b/>
          <w:color w:val="auto"/>
          <w:sz w:val="24"/>
        </w:rPr>
      </w:pPr>
      <w:bookmarkStart w:id="811" w:name="_Toc22048"/>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lang w:val="en-US" w:eastAsia="zh-CN"/>
        </w:rPr>
      </w:pPr>
      <w:r>
        <w:rPr>
          <w:rFonts w:hint="eastAsia" w:cs="宋体"/>
          <w:b/>
          <w:color w:val="auto"/>
          <w:sz w:val="24"/>
          <w:lang w:val="en-US" w:eastAsia="zh-CN"/>
        </w:rPr>
        <w:t>潜在投标企业属于中小微企业的，请在投标文件中提供“中小企业声明函”，如果未提供或提供虚假的“中小企业声明函”，投标企业将承担因此造成的一切不利后果。</w:t>
      </w:r>
    </w:p>
    <w:p>
      <w:pPr>
        <w:rPr>
          <w:rFonts w:hint="eastAsia" w:ascii="宋体" w:hAnsi="宋体" w:eastAsia="宋体" w:cs="宋体"/>
          <w:b/>
          <w:color w:val="auto"/>
          <w:sz w:val="24"/>
        </w:rPr>
      </w:pPr>
    </w:p>
    <w:p>
      <w:pPr>
        <w:rPr>
          <w:rFonts w:hint="eastAsia" w:ascii="宋体" w:hAnsi="宋体" w:eastAsia="宋体" w:cs="宋体"/>
          <w:color w:val="auto"/>
        </w:rPr>
      </w:pPr>
    </w:p>
    <w:p>
      <w:pPr>
        <w:pStyle w:val="44"/>
        <w:rPr>
          <w:rFonts w:hint="eastAsia" w:ascii="宋体" w:hAnsi="宋体" w:eastAsia="宋体" w:cs="宋体"/>
          <w:color w:val="auto"/>
        </w:rPr>
      </w:pPr>
    </w:p>
    <w:p>
      <w:pPr>
        <w:snapToGrid w:val="0"/>
        <w:spacing w:line="240" w:lineRule="atLeast"/>
        <w:jc w:val="center"/>
        <w:textAlignment w:val="baseline"/>
        <w:outlineLvl w:val="1"/>
        <w:rPr>
          <w:rFonts w:hint="eastAsia" w:ascii="宋体" w:hAnsi="宋体" w:eastAsia="宋体" w:cs="宋体"/>
          <w:b/>
          <w:color w:val="auto"/>
          <w:sz w:val="24"/>
        </w:rPr>
      </w:pPr>
      <w:r>
        <w:rPr>
          <w:rFonts w:hint="eastAsia" w:ascii="宋体" w:hAnsi="宋体" w:eastAsia="宋体" w:cs="宋体"/>
          <w:b/>
          <w:color w:val="auto"/>
          <w:sz w:val="24"/>
        </w:rPr>
        <w:t>6-2</w:t>
      </w:r>
      <w:bookmarkEnd w:id="800"/>
      <w:bookmarkEnd w:id="801"/>
      <w:bookmarkEnd w:id="802"/>
      <w:bookmarkEnd w:id="803"/>
      <w:bookmarkEnd w:id="804"/>
      <w:bookmarkEnd w:id="805"/>
      <w:bookmarkEnd w:id="806"/>
      <w:bookmarkEnd w:id="807"/>
      <w:bookmarkEnd w:id="808"/>
      <w:bookmarkEnd w:id="809"/>
      <w:bookmarkStart w:id="812" w:name="_Toc14068"/>
      <w:bookmarkStart w:id="813" w:name="_Toc515647825"/>
      <w:bookmarkStart w:id="814" w:name="OLE_LINK13"/>
      <w:bookmarkStart w:id="815" w:name="_Toc30321"/>
      <w:bookmarkStart w:id="816" w:name="_Toc13191"/>
      <w:bookmarkStart w:id="817" w:name="OLE_LINK14"/>
      <w:bookmarkStart w:id="818" w:name="_Toc23068"/>
      <w:bookmarkStart w:id="819" w:name="_Toc19284"/>
      <w:bookmarkStart w:id="820" w:name="_Toc10900"/>
      <w:bookmarkStart w:id="821" w:name="_Toc5825"/>
      <w:bookmarkStart w:id="822" w:name="_Toc15209"/>
      <w:bookmarkStart w:id="823" w:name="_Toc26116"/>
      <w:r>
        <w:rPr>
          <w:rFonts w:hint="eastAsia" w:ascii="宋体" w:hAnsi="宋体" w:eastAsia="宋体" w:cs="宋体"/>
          <w:b/>
          <w:color w:val="auto"/>
          <w:sz w:val="24"/>
        </w:rPr>
        <w:t xml:space="preserve">   残疾人福利性单位声明函</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pPr>
        <w:snapToGrid w:val="0"/>
        <w:spacing w:line="240" w:lineRule="atLeast"/>
        <w:ind w:left="1080" w:leftChars="257" w:hanging="54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本单位对上述声明的真实性负责。如有虚假，将依法承担相应责任。</w:t>
      </w:r>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left="1080" w:leftChars="257" w:hanging="540"/>
        <w:jc w:val="center"/>
        <w:textAlignment w:val="baseline"/>
        <w:rPr>
          <w:rFonts w:hint="eastAsia" w:ascii="宋体" w:hAnsi="宋体" w:eastAsia="宋体" w:cs="宋体"/>
          <w:color w:val="auto"/>
          <w:kern w:val="0"/>
          <w:sz w:val="24"/>
        </w:rPr>
      </w:pPr>
    </w:p>
    <w:p>
      <w:pPr>
        <w:snapToGrid w:val="0"/>
        <w:spacing w:line="240" w:lineRule="atLeast"/>
        <w:ind w:left="1080" w:leftChars="257" w:hanging="540"/>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残疾人福利性单位名称（公章）：______________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xml:space="preserve">                 日  期：_____________________________________</w:t>
      </w: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p>
    <w:p>
      <w:pPr>
        <w:snapToGrid w:val="0"/>
        <w:spacing w:line="240" w:lineRule="atLeast"/>
        <w:ind w:left="1080" w:leftChars="257" w:hanging="540"/>
        <w:jc w:val="center"/>
        <w:textAlignment w:val="baseline"/>
        <w:rPr>
          <w:rFonts w:hint="eastAsia" w:ascii="宋体" w:hAnsi="宋体" w:eastAsia="宋体" w:cs="宋体"/>
          <w:b/>
          <w:color w:val="auto"/>
          <w:kern w:val="0"/>
          <w:sz w:val="24"/>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snapToGrid w:val="0"/>
        <w:spacing w:line="240" w:lineRule="atLeast"/>
        <w:textAlignment w:val="baseline"/>
        <w:rPr>
          <w:rFonts w:hint="eastAsia" w:ascii="宋体" w:hAnsi="宋体" w:eastAsia="宋体" w:cs="宋体"/>
          <w:b/>
          <w:color w:val="auto"/>
          <w:kern w:val="0"/>
          <w:sz w:val="24"/>
        </w:rPr>
      </w:pPr>
    </w:p>
    <w:p>
      <w:pPr>
        <w:pStyle w:val="5"/>
        <w:snapToGrid w:val="0"/>
        <w:spacing w:before="0" w:line="240" w:lineRule="atLeast"/>
        <w:jc w:val="center"/>
        <w:textAlignment w:val="baseline"/>
        <w:rPr>
          <w:rFonts w:hint="eastAsia" w:ascii="宋体" w:hAnsi="宋体" w:eastAsia="宋体" w:cs="宋体"/>
          <w:color w:val="auto"/>
          <w:sz w:val="24"/>
          <w:szCs w:val="24"/>
        </w:rPr>
      </w:pPr>
      <w:bookmarkStart w:id="824" w:name="_Toc6452"/>
      <w:bookmarkStart w:id="825" w:name="_Toc28099"/>
      <w:bookmarkStart w:id="826" w:name="_Toc28516"/>
      <w:bookmarkStart w:id="827" w:name="_Toc18365"/>
      <w:bookmarkStart w:id="828" w:name="_Toc30795"/>
      <w:bookmarkStart w:id="829" w:name="_Toc515647827"/>
      <w:bookmarkStart w:id="830" w:name="_Toc23296"/>
      <w:bookmarkStart w:id="831" w:name="_Toc3587"/>
      <w:bookmarkStart w:id="832" w:name="_Toc6531"/>
      <w:bookmarkStart w:id="833" w:name="_Toc4574"/>
      <w:bookmarkStart w:id="834" w:name="_Toc30054"/>
      <w:r>
        <w:rPr>
          <w:rFonts w:hint="eastAsia" w:ascii="宋体" w:hAnsi="宋体" w:eastAsia="宋体" w:cs="宋体"/>
          <w:color w:val="auto"/>
          <w:sz w:val="24"/>
          <w:szCs w:val="24"/>
        </w:rPr>
        <w:t>7、供应商关联单位的说明</w:t>
      </w:r>
      <w:bookmarkEnd w:id="824"/>
      <w:bookmarkEnd w:id="825"/>
      <w:bookmarkEnd w:id="826"/>
      <w:bookmarkEnd w:id="827"/>
      <w:bookmarkEnd w:id="828"/>
      <w:bookmarkEnd w:id="829"/>
      <w:bookmarkEnd w:id="830"/>
      <w:bookmarkEnd w:id="831"/>
      <w:bookmarkEnd w:id="832"/>
      <w:bookmarkEnd w:id="833"/>
      <w:bookmarkEnd w:id="834"/>
    </w:p>
    <w:p>
      <w:pPr>
        <w:pStyle w:val="2"/>
        <w:snapToGrid w:val="0"/>
        <w:jc w:val="center"/>
        <w:textAlignment w:val="baseline"/>
        <w:rPr>
          <w:rFonts w:hint="eastAsia" w:ascii="宋体" w:hAnsi="宋体" w:eastAsia="宋体" w:cs="宋体"/>
          <w:color w:val="auto"/>
          <w:szCs w:val="24"/>
        </w:rPr>
      </w:pPr>
    </w:p>
    <w:p>
      <w:pPr>
        <w:pStyle w:val="2"/>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说明：供应商应当如实披露与本单位存在下列关联关系的单位名称：</w:t>
      </w:r>
    </w:p>
    <w:p>
      <w:pPr>
        <w:pStyle w:val="2"/>
        <w:numPr>
          <w:ilvl w:val="0"/>
          <w:numId w:val="7"/>
        </w:numPr>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与供应商单位负责人为同一人的其他单位；</w:t>
      </w:r>
    </w:p>
    <w:p>
      <w:pPr>
        <w:pStyle w:val="2"/>
        <w:numPr>
          <w:ilvl w:val="0"/>
          <w:numId w:val="7"/>
        </w:numPr>
        <w:snapToGrid w:val="0"/>
        <w:ind w:firstLine="480" w:firstLineChars="200"/>
        <w:textAlignment w:val="baseline"/>
        <w:rPr>
          <w:rFonts w:hint="eastAsia" w:ascii="宋体" w:hAnsi="宋体" w:eastAsia="宋体" w:cs="宋体"/>
          <w:color w:val="auto"/>
          <w:szCs w:val="24"/>
        </w:rPr>
      </w:pPr>
      <w:r>
        <w:rPr>
          <w:rFonts w:hint="eastAsia" w:ascii="宋体" w:hAnsi="宋体" w:eastAsia="宋体" w:cs="宋体"/>
          <w:color w:val="auto"/>
          <w:szCs w:val="24"/>
        </w:rPr>
        <w:t>与供应商存在直接控股、管理关系的其他单位。</w:t>
      </w:r>
    </w:p>
    <w:p>
      <w:pPr>
        <w:pStyle w:val="2"/>
        <w:snapToGrid w:val="0"/>
        <w:ind w:firstLine="0"/>
        <w:textAlignment w:val="baseline"/>
        <w:rPr>
          <w:rFonts w:hint="eastAsia" w:ascii="宋体" w:hAnsi="宋体" w:eastAsia="宋体" w:cs="宋体"/>
          <w:color w:val="auto"/>
          <w:szCs w:val="24"/>
        </w:rPr>
      </w:pPr>
    </w:p>
    <w:p>
      <w:pPr>
        <w:snapToGrid w:val="0"/>
        <w:textAlignment w:val="baseline"/>
        <w:rPr>
          <w:rFonts w:hint="eastAsia" w:ascii="宋体" w:hAnsi="宋体" w:eastAsia="宋体" w:cs="宋体"/>
          <w:color w:val="auto"/>
          <w:sz w:val="24"/>
        </w:rPr>
      </w:pPr>
    </w:p>
    <w:p>
      <w:pPr>
        <w:pStyle w:val="34"/>
        <w:snapToGrid w:val="0"/>
        <w:ind w:firstLine="0" w:firstLineChars="0"/>
        <w:textAlignment w:val="baseline"/>
        <w:rPr>
          <w:rFonts w:hint="eastAsia" w:ascii="宋体" w:hAnsi="宋体" w:eastAsia="宋体" w:cs="宋体"/>
          <w:color w:val="auto"/>
          <w:sz w:val="21"/>
        </w:rPr>
      </w:pPr>
    </w:p>
    <w:p>
      <w:pPr>
        <w:pStyle w:val="34"/>
        <w:snapToGrid w:val="0"/>
        <w:ind w:firstLine="0" w:firstLineChars="0"/>
        <w:textAlignment w:val="baseline"/>
        <w:rPr>
          <w:rFonts w:hint="eastAsia" w:ascii="宋体" w:hAnsi="宋体" w:eastAsia="宋体" w:cs="宋体"/>
          <w:color w:val="auto"/>
          <w:sz w:val="21"/>
        </w:rPr>
      </w:pPr>
    </w:p>
    <w:p>
      <w:pPr>
        <w:pStyle w:val="5"/>
        <w:snapToGrid w:val="0"/>
        <w:spacing w:before="0" w:line="240" w:lineRule="atLeast"/>
        <w:jc w:val="center"/>
        <w:textAlignment w:val="baseline"/>
        <w:rPr>
          <w:rFonts w:hint="eastAsia" w:ascii="宋体" w:hAnsi="宋体" w:eastAsia="宋体" w:cs="宋体"/>
          <w:color w:val="auto"/>
          <w:sz w:val="24"/>
          <w:szCs w:val="24"/>
        </w:rPr>
      </w:pPr>
      <w:bookmarkStart w:id="835" w:name="_Toc13906"/>
      <w:bookmarkStart w:id="836" w:name="_Toc12025"/>
      <w:bookmarkStart w:id="837" w:name="_Toc10150"/>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p>
    <w:p>
      <w:pPr>
        <w:pStyle w:val="5"/>
        <w:snapToGrid w:val="0"/>
        <w:spacing w:before="0" w:line="240" w:lineRule="atLeas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8、提供有利于磋商的其他证明材料</w:t>
      </w:r>
      <w:bookmarkEnd w:id="835"/>
      <w:bookmarkEnd w:id="836"/>
      <w:bookmarkEnd w:id="837"/>
    </w:p>
    <w:p>
      <w:pPr>
        <w:snapToGrid w:val="0"/>
        <w:spacing w:line="240" w:lineRule="atLeast"/>
        <w:ind w:left="1079" w:leftChars="257" w:hanging="539"/>
        <w:jc w:val="left"/>
        <w:textAlignment w:val="baseline"/>
        <w:rPr>
          <w:rFonts w:hint="eastAsia" w:ascii="宋体" w:hAnsi="宋体" w:eastAsia="宋体" w:cs="宋体"/>
          <w:b/>
          <w:color w:val="auto"/>
          <w:kern w:val="0"/>
          <w:sz w:val="24"/>
          <w:szCs w:val="20"/>
        </w:rPr>
      </w:pPr>
      <w:r>
        <w:rPr>
          <w:rFonts w:hint="eastAsia" w:ascii="宋体" w:hAnsi="宋体" w:eastAsia="宋体" w:cs="宋体"/>
          <w:color w:val="auto"/>
          <w:sz w:val="24"/>
        </w:rPr>
        <w:br w:type="page"/>
      </w:r>
    </w:p>
    <w:p>
      <w:pPr>
        <w:snapToGrid w:val="0"/>
        <w:spacing w:line="240" w:lineRule="atLeast"/>
        <w:ind w:left="1079" w:leftChars="257" w:hanging="539"/>
        <w:jc w:val="center"/>
        <w:textAlignment w:val="baseline"/>
        <w:outlineLvl w:val="1"/>
        <w:rPr>
          <w:rFonts w:hint="eastAsia" w:ascii="宋体" w:hAnsi="宋体" w:eastAsia="宋体" w:cs="宋体"/>
          <w:b/>
          <w:color w:val="auto"/>
          <w:sz w:val="24"/>
        </w:rPr>
      </w:pPr>
      <w:bookmarkStart w:id="838" w:name="_Toc8073"/>
      <w:bookmarkStart w:id="839" w:name="_Toc2099"/>
      <w:bookmarkStart w:id="840" w:name="_Toc25307"/>
      <w:bookmarkStart w:id="841" w:name="_Toc20788"/>
      <w:bookmarkStart w:id="842" w:name="_Toc20471"/>
      <w:bookmarkStart w:id="843" w:name="_Toc13385"/>
      <w:bookmarkStart w:id="844" w:name="_Toc29345"/>
      <w:bookmarkStart w:id="845" w:name="_Toc24705"/>
      <w:r>
        <w:rPr>
          <w:rFonts w:hint="eastAsia" w:ascii="宋体" w:hAnsi="宋体" w:eastAsia="宋体" w:cs="宋体"/>
          <w:b/>
          <w:color w:val="auto"/>
          <w:kern w:val="0"/>
          <w:sz w:val="24"/>
          <w:szCs w:val="20"/>
        </w:rPr>
        <w:t>9、响应文件格式范本</w:t>
      </w:r>
      <w:bookmarkEnd w:id="838"/>
      <w:bookmarkEnd w:id="839"/>
      <w:bookmarkEnd w:id="840"/>
      <w:bookmarkEnd w:id="841"/>
      <w:bookmarkEnd w:id="842"/>
      <w:bookmarkEnd w:id="843"/>
      <w:bookmarkEnd w:id="844"/>
      <w:bookmarkEnd w:id="845"/>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（正本和副本）</w:t>
            </w:r>
          </w:p>
          <w:p>
            <w:pPr>
              <w:pStyle w:val="11"/>
              <w:snapToGrid w:val="0"/>
              <w:ind w:firstLine="4216" w:firstLineChars="1500"/>
              <w:textAlignment w:val="baseline"/>
              <w:rPr>
                <w:rFonts w:hint="eastAsia" w:ascii="宋体" w:hAnsi="宋体" w:eastAsia="宋体" w:cs="宋体"/>
                <w:b/>
                <w:bCs/>
                <w:color w:val="auto"/>
                <w:sz w:val="28"/>
                <w:szCs w:val="28"/>
              </w:rPr>
            </w:pPr>
          </w:p>
          <w:p>
            <w:pPr>
              <w:pStyle w:val="11"/>
              <w:snapToGrid w:val="0"/>
              <w:ind w:firstLine="4216" w:firstLineChars="1500"/>
              <w:textAlignment w:val="baseline"/>
              <w:rPr>
                <w:rFonts w:hint="eastAsia" w:ascii="宋体" w:hAnsi="宋体" w:eastAsia="宋体" w:cs="宋体"/>
                <w:b/>
                <w:bCs/>
                <w:color w:val="auto"/>
                <w:sz w:val="28"/>
                <w:szCs w:val="28"/>
              </w:rPr>
            </w:pPr>
          </w:p>
          <w:p>
            <w:pPr>
              <w:pStyle w:val="11"/>
              <w:snapToGrid w:val="0"/>
              <w:textAlignment w:val="baseline"/>
              <w:rPr>
                <w:rFonts w:hint="eastAsia" w:ascii="宋体" w:hAnsi="宋体" w:eastAsia="宋体" w:cs="宋体"/>
                <w:b/>
                <w:bCs/>
                <w:color w:val="auto"/>
                <w:sz w:val="28"/>
                <w:szCs w:val="28"/>
              </w:rPr>
            </w:pPr>
          </w:p>
          <w:p>
            <w:pPr>
              <w:pStyle w:val="11"/>
              <w:snapToGrid w:val="0"/>
              <w:ind w:firstLine="2530" w:firstLineChars="900"/>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pPr>
              <w:pStyle w:val="11"/>
              <w:snapToGrid w:val="0"/>
              <w:jc w:val="center"/>
              <w:textAlignment w:val="baseline"/>
              <w:rPr>
                <w:rFonts w:hint="eastAsia" w:ascii="宋体" w:hAnsi="宋体" w:eastAsia="宋体" w:cs="宋体"/>
                <w:b/>
                <w:bCs/>
                <w:color w:val="auto"/>
                <w:sz w:val="21"/>
                <w:szCs w:val="21"/>
              </w:rPr>
            </w:pPr>
          </w:p>
          <w:p>
            <w:pPr>
              <w:pStyle w:val="11"/>
              <w:snapToGrid w:val="0"/>
              <w:ind w:firstLine="3162" w:firstLineChars="1500"/>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 ＊＊＊</w:t>
            </w:r>
          </w:p>
          <w:p>
            <w:pPr>
              <w:pStyle w:val="11"/>
              <w:snapToGrid w:val="0"/>
              <w:jc w:val="center"/>
              <w:textAlignment w:val="baseline"/>
              <w:rPr>
                <w:rFonts w:hint="eastAsia" w:ascii="宋体" w:hAnsi="宋体" w:eastAsia="宋体" w:cs="宋体"/>
                <w:b/>
                <w:bCs/>
                <w:color w:val="auto"/>
                <w:sz w:val="48"/>
              </w:rPr>
            </w:pPr>
          </w:p>
          <w:p>
            <w:pPr>
              <w:pStyle w:val="11"/>
              <w:snapToGrid w:val="0"/>
              <w:jc w:val="center"/>
              <w:textAlignment w:val="baseline"/>
              <w:rPr>
                <w:rFonts w:hint="eastAsia" w:ascii="宋体" w:hAnsi="宋体" w:eastAsia="宋体" w:cs="宋体"/>
                <w:b/>
                <w:bCs/>
                <w:color w:val="auto"/>
                <w:sz w:val="48"/>
              </w:rPr>
            </w:pPr>
            <w:r>
              <w:rPr>
                <w:rFonts w:hint="eastAsia" w:ascii="宋体" w:hAnsi="宋体" w:eastAsia="宋体" w:cs="宋体"/>
                <w:b/>
                <w:bCs/>
                <w:color w:val="auto"/>
                <w:sz w:val="48"/>
              </w:rPr>
              <w:t>响 应 文 件</w:t>
            </w:r>
          </w:p>
          <w:p>
            <w:pPr>
              <w:snapToGrid w:val="0"/>
              <w:jc w:val="center"/>
              <w:textAlignment w:val="baseline"/>
              <w:rPr>
                <w:rFonts w:hint="eastAsia" w:ascii="宋体" w:hAnsi="宋体" w:eastAsia="宋体" w:cs="宋体"/>
                <w:b/>
                <w:color w:val="auto"/>
                <w:sz w:val="32"/>
              </w:rPr>
            </w:pPr>
          </w:p>
          <w:p>
            <w:pPr>
              <w:pStyle w:val="2"/>
              <w:snapToGrid w:val="0"/>
              <w:ind w:firstLine="0"/>
              <w:textAlignment w:val="baseline"/>
              <w:rPr>
                <w:rFonts w:hint="eastAsia" w:ascii="宋体" w:hAnsi="宋体" w:eastAsia="宋体" w:cs="宋体"/>
                <w:b/>
                <w:color w:val="auto"/>
                <w:sz w:val="32"/>
              </w:rPr>
            </w:pPr>
          </w:p>
          <w:p>
            <w:pPr>
              <w:snapToGrid w:val="0"/>
              <w:spacing w:line="360" w:lineRule="auto"/>
              <w:ind w:left="176" w:leftChars="84" w:firstLine="840" w:firstLineChars="400"/>
              <w:textAlignment w:val="baseline"/>
              <w:rPr>
                <w:rFonts w:hint="eastAsia" w:ascii="宋体" w:hAnsi="宋体" w:eastAsia="宋体" w:cs="宋体"/>
                <w:color w:val="auto"/>
                <w:sz w:val="20"/>
                <w:szCs w:val="21"/>
              </w:rPr>
            </w:pPr>
            <w:r>
              <w:rPr>
                <w:rFonts w:hint="eastAsia" w:ascii="宋体" w:hAnsi="宋体" w:eastAsia="宋体" w:cs="宋体"/>
                <w:color w:val="auto"/>
                <w:szCs w:val="21"/>
              </w:rPr>
              <w:t>磋商单位：</w:t>
            </w:r>
            <w:r>
              <w:rPr>
                <w:rFonts w:hint="eastAsia" w:ascii="宋体" w:hAnsi="宋体" w:eastAsia="宋体" w:cs="宋体"/>
                <w:color w:val="auto"/>
                <w:szCs w:val="21"/>
                <w:u w:val="single" w:color="000000"/>
              </w:rPr>
              <w:t xml:space="preserve">                                       </w:t>
            </w:r>
            <w:r>
              <w:rPr>
                <w:rFonts w:hint="eastAsia" w:ascii="宋体" w:hAnsi="宋体" w:eastAsia="宋体" w:cs="宋体"/>
                <w:color w:val="auto"/>
                <w:szCs w:val="21"/>
              </w:rPr>
              <w:t>（公章）</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项目名称：</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项目编号：</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联 系 人：</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color="000000"/>
              </w:rPr>
              <w:t xml:space="preserve">                                        </w:t>
            </w:r>
          </w:p>
          <w:p>
            <w:pPr>
              <w:snapToGrid w:val="0"/>
              <w:spacing w:line="360" w:lineRule="auto"/>
              <w:ind w:left="176" w:leftChars="84" w:firstLine="840" w:firstLineChars="400"/>
              <w:textAlignment w:val="baseline"/>
              <w:rPr>
                <w:rFonts w:hint="eastAsia" w:ascii="宋体" w:hAnsi="宋体" w:eastAsia="宋体" w:cs="宋体"/>
                <w:color w:val="auto"/>
                <w:sz w:val="20"/>
                <w:szCs w:val="21"/>
                <w:u w:val="single" w:color="000000"/>
              </w:rPr>
            </w:pPr>
            <w:r>
              <w:rPr>
                <w:rFonts w:hint="eastAsia" w:ascii="宋体" w:hAnsi="宋体" w:eastAsia="宋体" w:cs="宋体"/>
                <w:color w:val="auto"/>
                <w:szCs w:val="21"/>
              </w:rPr>
              <w:t xml:space="preserve">地    址  ：  </w:t>
            </w:r>
            <w:r>
              <w:rPr>
                <w:rFonts w:hint="eastAsia" w:ascii="宋体" w:hAnsi="宋体" w:eastAsia="宋体" w:cs="宋体"/>
                <w:color w:val="auto"/>
                <w:szCs w:val="21"/>
                <w:u w:val="single" w:color="000000"/>
              </w:rPr>
              <w:t xml:space="preserve">                                    </w:t>
            </w:r>
          </w:p>
          <w:p>
            <w:pPr>
              <w:snapToGrid w:val="0"/>
              <w:spacing w:line="360" w:lineRule="auto"/>
              <w:ind w:left="176" w:leftChars="84" w:firstLine="960" w:firstLineChars="400"/>
              <w:textAlignment w:val="baseline"/>
              <w:rPr>
                <w:rFonts w:hint="eastAsia" w:ascii="宋体" w:hAnsi="宋体" w:eastAsia="宋体" w:cs="宋体"/>
                <w:color w:val="auto"/>
                <w:sz w:val="24"/>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p>
          <w:p>
            <w:pPr>
              <w:snapToGrid w:val="0"/>
              <w:jc w:val="center"/>
              <w:textAlignment w:val="baseline"/>
              <w:rPr>
                <w:rFonts w:hint="eastAsia" w:ascii="宋体" w:hAnsi="宋体" w:eastAsia="宋体" w:cs="宋体"/>
                <w:b/>
                <w:bCs/>
                <w:color w:val="auto"/>
                <w:sz w:val="20"/>
              </w:rPr>
            </w:pPr>
            <w:r>
              <w:rPr>
                <w:rFonts w:hint="eastAsia" w:ascii="宋体" w:hAnsi="宋体" w:eastAsia="宋体" w:cs="宋体"/>
                <w:b/>
                <w:bCs/>
                <w:color w:val="auto"/>
              </w:rPr>
              <w:t>注：   在20XX年   月  日 X午</w:t>
            </w:r>
            <w:r>
              <w:rPr>
                <w:rFonts w:hint="eastAsia" w:ascii="宋体" w:hAnsi="宋体" w:eastAsia="宋体" w:cs="宋体"/>
                <w:color w:val="auto"/>
                <w:kern w:val="0"/>
                <w:szCs w:val="21"/>
              </w:rPr>
              <w:t>XX</w:t>
            </w:r>
            <w:r>
              <w:rPr>
                <w:rFonts w:hint="eastAsia" w:ascii="宋体" w:hAnsi="宋体" w:eastAsia="宋体" w:cs="宋体"/>
                <w:b/>
                <w:bCs/>
                <w:color w:val="auto"/>
              </w:rPr>
              <w:t>之前不得启封</w:t>
            </w:r>
          </w:p>
          <w:p>
            <w:pPr>
              <w:snapToGrid w:val="0"/>
              <w:jc w:val="center"/>
              <w:textAlignment w:val="baseline"/>
              <w:rPr>
                <w:rFonts w:hint="eastAsia" w:ascii="宋体" w:hAnsi="宋体" w:eastAsia="宋体" w:cs="宋体"/>
                <w:b/>
                <w:bCs/>
                <w:color w:val="auto"/>
                <w:sz w:val="20"/>
              </w:rPr>
            </w:pPr>
          </w:p>
        </w:tc>
      </w:tr>
    </w:tbl>
    <w:p>
      <w:pPr>
        <w:snapToGrid w:val="0"/>
        <w:spacing w:line="240" w:lineRule="atLeast"/>
        <w:textAlignment w:val="baseline"/>
        <w:rPr>
          <w:rFonts w:hint="eastAsia" w:ascii="宋体" w:hAnsi="宋体" w:eastAsia="宋体" w:cs="宋体"/>
          <w:b/>
          <w:color w:val="auto"/>
          <w:sz w:val="30"/>
          <w:szCs w:val="30"/>
        </w:rPr>
      </w:pPr>
      <w:r>
        <w:rPr>
          <w:rFonts w:hint="eastAsia" w:ascii="宋体" w:hAnsi="宋体" w:eastAsia="宋体" w:cs="宋体"/>
          <w:color w:val="auto"/>
          <w:sz w:val="24"/>
        </w:rPr>
        <w:br w:type="page"/>
      </w:r>
    </w:p>
    <w:p>
      <w:pPr>
        <w:snapToGrid w:val="0"/>
        <w:spacing w:line="240" w:lineRule="atLeast"/>
        <w:jc w:val="center"/>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pStyle w:val="34"/>
        <w:snapToGrid w:val="0"/>
        <w:ind w:firstLine="0" w:firstLineChars="0"/>
        <w:textAlignment w:val="baseline"/>
        <w:rPr>
          <w:rFonts w:hint="eastAsia" w:ascii="宋体" w:hAnsi="宋体" w:eastAsia="宋体" w:cs="宋体"/>
          <w:b/>
          <w:color w:val="auto"/>
          <w:sz w:val="44"/>
          <w:szCs w:val="44"/>
        </w:rPr>
      </w:pPr>
    </w:p>
    <w:p>
      <w:pPr>
        <w:snapToGrid w:val="0"/>
        <w:spacing w:line="240" w:lineRule="atLeast"/>
        <w:jc w:val="center"/>
        <w:textAlignment w:val="baseline"/>
        <w:rPr>
          <w:rFonts w:hint="eastAsia" w:ascii="宋体" w:hAnsi="宋体" w:eastAsia="宋体" w:cs="宋体"/>
          <w:b/>
          <w:color w:val="auto"/>
          <w:sz w:val="44"/>
          <w:szCs w:val="44"/>
        </w:rPr>
      </w:pPr>
    </w:p>
    <w:p>
      <w:pPr>
        <w:snapToGrid w:val="0"/>
        <w:spacing w:line="240" w:lineRule="atLeast"/>
        <w:jc w:val="center"/>
        <w:textAlignment w:val="baseline"/>
        <w:rPr>
          <w:rFonts w:hint="eastAsia" w:ascii="宋体" w:hAnsi="宋体" w:eastAsia="宋体" w:cs="宋体"/>
          <w:b/>
          <w:color w:val="auto"/>
          <w:sz w:val="36"/>
          <w:szCs w:val="36"/>
        </w:rPr>
      </w:pPr>
      <w:r>
        <w:rPr>
          <w:rFonts w:hint="eastAsia" w:ascii="宋体" w:hAnsi="宋体" w:eastAsia="宋体" w:cs="宋体"/>
          <w:b/>
          <w:color w:val="auto"/>
          <w:sz w:val="52"/>
          <w:szCs w:val="52"/>
        </w:rPr>
        <w:t>竞争性磋商文件</w:t>
      </w:r>
    </w:p>
    <w:p>
      <w:pPr>
        <w:pStyle w:val="34"/>
        <w:snapToGrid w:val="0"/>
        <w:textAlignment w:val="baseline"/>
        <w:rPr>
          <w:rFonts w:hint="eastAsia" w:ascii="宋体" w:hAnsi="宋体" w:eastAsia="宋体" w:cs="宋体"/>
          <w:color w:val="auto"/>
          <w:sz w:val="21"/>
        </w:rPr>
      </w:pPr>
    </w:p>
    <w:p>
      <w:pPr>
        <w:pStyle w:val="34"/>
        <w:snapToGrid w:val="0"/>
        <w:textAlignment w:val="baseline"/>
        <w:rPr>
          <w:rFonts w:hint="eastAsia" w:ascii="宋体" w:hAnsi="宋体" w:eastAsia="宋体" w:cs="宋体"/>
          <w:color w:val="auto"/>
          <w:sz w:val="21"/>
        </w:rPr>
      </w:pPr>
    </w:p>
    <w:p>
      <w:pPr>
        <w:snapToGrid w:val="0"/>
        <w:spacing w:line="240" w:lineRule="atLeast"/>
        <w:jc w:val="center"/>
        <w:textAlignment w:val="baseline"/>
        <w:rPr>
          <w:rFonts w:hint="eastAsia" w:ascii="宋体" w:hAnsi="宋体" w:eastAsia="宋体" w:cs="宋体"/>
          <w:b/>
          <w:color w:val="auto"/>
          <w:sz w:val="40"/>
          <w:szCs w:val="40"/>
          <w:highlight w:val="none"/>
          <w:lang w:val="en-US" w:eastAsia="zh-CN"/>
        </w:rPr>
      </w:pPr>
      <w:r>
        <w:rPr>
          <w:rFonts w:hint="eastAsia" w:ascii="宋体" w:hAnsi="宋体" w:cs="宋体"/>
          <w:b/>
          <w:color w:val="auto"/>
          <w:sz w:val="40"/>
          <w:szCs w:val="40"/>
          <w:highlight w:val="none"/>
          <w:lang w:eastAsia="zh-CN"/>
        </w:rPr>
        <w:t>项目编号：XJFZ-SLTZH-CG-003号</w:t>
      </w:r>
    </w:p>
    <w:p>
      <w:pPr>
        <w:snapToGrid w:val="0"/>
        <w:spacing w:line="240" w:lineRule="atLeast"/>
        <w:textAlignment w:val="baseline"/>
        <w:rPr>
          <w:rFonts w:hint="eastAsia" w:ascii="宋体" w:hAnsi="宋体" w:eastAsia="宋体" w:cs="宋体"/>
          <w:b/>
          <w:color w:val="auto"/>
          <w:sz w:val="52"/>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第二册</w:t>
      </w:r>
    </w:p>
    <w:p>
      <w:pPr>
        <w:snapToGrid w:val="0"/>
        <w:spacing w:line="240" w:lineRule="atLeast"/>
        <w:ind w:left="1080" w:leftChars="257" w:hanging="54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pStyle w:val="34"/>
        <w:snapToGrid w:val="0"/>
        <w:ind w:firstLine="560"/>
        <w:textAlignment w:val="baseline"/>
        <w:rPr>
          <w:rFonts w:hint="eastAsia" w:ascii="宋体" w:hAnsi="宋体" w:eastAsia="宋体" w:cs="宋体"/>
          <w:b/>
          <w:color w:val="auto"/>
          <w:sz w:val="28"/>
        </w:rPr>
      </w:pPr>
    </w:p>
    <w:p>
      <w:pPr>
        <w:snapToGrid w:val="0"/>
        <w:spacing w:line="240" w:lineRule="atLeast"/>
        <w:ind w:left="1080" w:leftChars="257" w:hanging="540"/>
        <w:textAlignment w:val="baseline"/>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5"/>
        <w:rPr>
          <w:rFonts w:hint="eastAsia" w:ascii="宋体" w:hAnsi="宋体" w:eastAsia="宋体" w:cs="宋体"/>
          <w:b/>
          <w:color w:val="auto"/>
          <w:sz w:val="28"/>
        </w:rPr>
      </w:pPr>
    </w:p>
    <w:p>
      <w:pPr>
        <w:pStyle w:val="2"/>
        <w:snapToGrid w:val="0"/>
        <w:ind w:firstLine="0"/>
        <w:textAlignment w:val="baseline"/>
        <w:rPr>
          <w:rFonts w:hint="eastAsia" w:ascii="宋体" w:hAnsi="宋体" w:eastAsia="宋体" w:cs="宋体"/>
          <w:b/>
          <w:color w:val="auto"/>
          <w:sz w:val="52"/>
        </w:rPr>
      </w:pPr>
    </w:p>
    <w:p>
      <w:pPr>
        <w:rPr>
          <w:rFonts w:hint="eastAsia" w:ascii="宋体" w:hAnsi="宋体" w:eastAsia="宋体" w:cs="宋体"/>
          <w:b/>
          <w:color w:val="auto"/>
          <w:sz w:val="52"/>
        </w:rPr>
      </w:pPr>
    </w:p>
    <w:p>
      <w:pPr>
        <w:pStyle w:val="4"/>
        <w:numPr>
          <w:ilvl w:val="0"/>
          <w:numId w:val="8"/>
        </w:numPr>
        <w:tabs>
          <w:tab w:val="left" w:pos="0"/>
        </w:tabs>
        <w:snapToGrid w:val="0"/>
        <w:spacing w:before="0" w:after="0" w:line="240" w:lineRule="atLeast"/>
        <w:textAlignment w:val="baseline"/>
        <w:rPr>
          <w:rFonts w:hint="eastAsia" w:ascii="宋体" w:hAnsi="宋体" w:eastAsia="宋体" w:cs="宋体"/>
          <w:color w:val="auto"/>
        </w:rPr>
      </w:pPr>
      <w:bookmarkStart w:id="846" w:name="_Toc515647829"/>
      <w:bookmarkStart w:id="847" w:name="_Toc219175634"/>
      <w:bookmarkStart w:id="848" w:name="_Toc507399902"/>
      <w:bookmarkStart w:id="849" w:name="_Toc16370"/>
      <w:bookmarkStart w:id="850" w:name="_Toc28765"/>
      <w:bookmarkStart w:id="851" w:name="_Toc218935350"/>
      <w:bookmarkStart w:id="852" w:name="_Toc32321"/>
      <w:bookmarkStart w:id="853" w:name="_Toc216582822"/>
      <w:r>
        <w:rPr>
          <w:rFonts w:hint="eastAsia" w:ascii="宋体" w:hAnsi="宋体" w:eastAsia="宋体" w:cs="宋体"/>
          <w:color w:val="auto"/>
        </w:rPr>
        <w:t>磋商邀请</w:t>
      </w:r>
      <w:bookmarkEnd w:id="846"/>
      <w:bookmarkEnd w:id="847"/>
      <w:bookmarkEnd w:id="848"/>
      <w:bookmarkEnd w:id="849"/>
      <w:bookmarkEnd w:id="850"/>
      <w:bookmarkEnd w:id="851"/>
      <w:bookmarkEnd w:id="852"/>
      <w:bookmarkEnd w:id="853"/>
      <w:bookmarkStart w:id="854" w:name="_Toc14011"/>
      <w:bookmarkStart w:id="855" w:name="_Toc8815"/>
      <w:bookmarkStart w:id="856" w:name="_Toc12623"/>
      <w:bookmarkStart w:id="857" w:name="_Toc515647830"/>
      <w:bookmarkStart w:id="858" w:name="_Toc216582823"/>
      <w:bookmarkStart w:id="859" w:name="_Toc507399903"/>
      <w:bookmarkStart w:id="860" w:name="_Toc512937850"/>
      <w:bookmarkStart w:id="861" w:name="_Toc10488"/>
      <w:bookmarkStart w:id="862" w:name="_Toc31583"/>
    </w:p>
    <w:p>
      <w:pPr>
        <w:widowControl w:val="0"/>
        <w:numPr>
          <w:ilvl w:val="0"/>
          <w:numId w:val="0"/>
        </w:numPr>
        <w:jc w:val="both"/>
        <w:rPr>
          <w:rFonts w:hint="eastAsia"/>
          <w:color w:val="auto"/>
          <w:lang w:val="en-US" w:eastAsia="zh-CN"/>
        </w:rPr>
      </w:pPr>
    </w:p>
    <w:p>
      <w:pPr>
        <w:pStyle w:val="4"/>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宋体" w:hAnsi="宋体" w:eastAsia="宋体" w:cs="宋体"/>
          <w:color w:val="auto"/>
          <w:sz w:val="36"/>
          <w:szCs w:val="36"/>
        </w:rPr>
      </w:pPr>
      <w:r>
        <w:rPr>
          <w:rFonts w:hint="eastAsia" w:hAnsi="宋体" w:cs="宋体"/>
          <w:color w:val="auto"/>
          <w:sz w:val="36"/>
          <w:szCs w:val="36"/>
          <w:lang w:val="en-US" w:eastAsia="zh-CN"/>
        </w:rPr>
        <w:t>疏勒县食用菌深加工车间改造及水电暖配套项目</w:t>
      </w:r>
      <w:r>
        <w:rPr>
          <w:rFonts w:hint="eastAsia" w:ascii="宋体" w:hAnsi="宋体" w:eastAsia="宋体" w:cs="宋体"/>
          <w:color w:val="auto"/>
          <w:sz w:val="36"/>
          <w:szCs w:val="36"/>
          <w:lang w:val="en-US" w:eastAsia="zh-CN"/>
        </w:rPr>
        <w:t>竞争性磋商</w:t>
      </w:r>
      <w:r>
        <w:rPr>
          <w:rFonts w:hint="eastAsia" w:ascii="宋体" w:hAnsi="宋体" w:eastAsia="宋体" w:cs="宋体"/>
          <w:color w:val="auto"/>
          <w:sz w:val="36"/>
          <w:szCs w:val="36"/>
        </w:rPr>
        <w:t>公告</w:t>
      </w:r>
      <w:bookmarkEnd w:id="854"/>
      <w:bookmarkEnd w:id="855"/>
      <w:bookmarkEnd w:id="856"/>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u w:val="single"/>
          <w:lang w:val="en-US" w:eastAsia="zh-CN"/>
        </w:rPr>
        <w:t>疏勒县食用菌深加工车间改造及水电暖配套项目</w:t>
      </w:r>
      <w:r>
        <w:rPr>
          <w:rFonts w:hint="eastAsia" w:ascii="宋体" w:hAnsi="宋体" w:eastAsia="宋体" w:cs="宋体"/>
          <w:color w:val="auto"/>
          <w:sz w:val="24"/>
          <w:szCs w:val="24"/>
          <w:highlight w:val="none"/>
          <w:u w:val="single"/>
          <w:lang w:val="en-US" w:eastAsia="zh-CN"/>
        </w:rPr>
        <w:t>竞争性磋商文件</w:t>
      </w:r>
      <w:r>
        <w:rPr>
          <w:rFonts w:hint="eastAsia" w:ascii="宋体" w:hAnsi="宋体" w:eastAsia="宋体" w:cs="宋体"/>
          <w:color w:val="auto"/>
          <w:sz w:val="24"/>
          <w:szCs w:val="24"/>
          <w:highlight w:val="none"/>
        </w:rPr>
        <w:t>的潜</w:t>
      </w:r>
      <w:r>
        <w:rPr>
          <w:rFonts w:hint="eastAsia" w:ascii="宋体" w:hAnsi="宋体" w:eastAsia="宋体" w:cs="宋体"/>
          <w:color w:val="auto"/>
          <w:sz w:val="24"/>
          <w:szCs w:val="24"/>
        </w:rPr>
        <w:t>在供应商</w:t>
      </w:r>
      <w:r>
        <w:rPr>
          <w:rFonts w:hint="eastAsia" w:ascii="宋体" w:hAnsi="宋体" w:eastAsia="宋体" w:cs="宋体"/>
          <w:color w:val="auto"/>
          <w:sz w:val="24"/>
          <w:szCs w:val="24"/>
          <w:lang w:eastAsia="zh-CN"/>
        </w:rPr>
        <w:t>应在</w:t>
      </w:r>
      <w:r>
        <w:rPr>
          <w:rFonts w:hint="eastAsia" w:ascii="宋体" w:hAnsi="宋体" w:eastAsia="宋体" w:cs="宋体"/>
          <w:color w:val="auto"/>
          <w:sz w:val="24"/>
          <w:szCs w:val="24"/>
        </w:rPr>
        <w:t>政采云线上下载（供应商</w:t>
      </w:r>
      <w:r>
        <w:rPr>
          <w:rFonts w:hint="eastAsia" w:ascii="宋体" w:hAnsi="宋体" w:cs="宋体"/>
          <w:color w:val="auto"/>
          <w:sz w:val="24"/>
          <w:szCs w:val="24"/>
          <w:lang w:eastAsia="zh-CN"/>
        </w:rPr>
        <w:t>登录</w:t>
      </w:r>
      <w:r>
        <w:rPr>
          <w:rFonts w:hint="eastAsia" w:ascii="宋体" w:hAnsi="宋体" w:eastAsia="宋体" w:cs="宋体"/>
          <w:color w:val="auto"/>
          <w:sz w:val="24"/>
          <w:szCs w:val="24"/>
        </w:rPr>
        <w:t>政采云平台http://www.zcygov.cn/，在线申请获取采购文件（登录政府采购云平台 → 项目采购 → 获取采购文件→下载</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，如有操作性问题，可与政采云在线客服进行咨询，咨询电话：400-881-7190），</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none"/>
          <w:lang w:val="en-US" w:eastAsia="zh-CN"/>
        </w:rPr>
        <w:t>2023年12月4日16点00分（北京时间）</w:t>
      </w:r>
      <w:r>
        <w:rPr>
          <w:rFonts w:hint="eastAsia" w:ascii="宋体" w:hAnsi="宋体" w:eastAsia="宋体" w:cs="宋体"/>
          <w:color w:val="auto"/>
          <w:sz w:val="24"/>
          <w:szCs w:val="24"/>
          <w:highlight w:val="none"/>
        </w:rPr>
        <w:t>前递交</w:t>
      </w:r>
      <w:r>
        <w:rPr>
          <w:rFonts w:hint="eastAsia" w:ascii="宋体" w:hAnsi="宋体" w:cs="宋体"/>
          <w:color w:val="auto"/>
          <w:sz w:val="24"/>
          <w:szCs w:val="24"/>
          <w:highlight w:val="none"/>
          <w:lang w:eastAsia="zh-CN"/>
        </w:rPr>
        <w:t>（上传）</w:t>
      </w:r>
      <w:r>
        <w:rPr>
          <w:rFonts w:hint="eastAsia" w:ascii="宋体" w:hAnsi="宋体" w:eastAsia="宋体" w:cs="宋体"/>
          <w:color w:val="auto"/>
          <w:sz w:val="24"/>
          <w:szCs w:val="24"/>
          <w:highlight w:val="none"/>
        </w:rPr>
        <w:t>投标文件。</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63" w:name="_Toc28359012"/>
      <w:bookmarkStart w:id="864" w:name="_Toc35393629"/>
      <w:bookmarkStart w:id="865" w:name="_Toc8264"/>
      <w:bookmarkStart w:id="866" w:name="_Toc11899"/>
      <w:bookmarkStart w:id="867" w:name="_Toc18745"/>
      <w:bookmarkStart w:id="868" w:name="_Toc29182"/>
      <w:bookmarkStart w:id="869" w:name="_Toc28359089"/>
      <w:bookmarkStart w:id="870" w:name="_Toc35393798"/>
      <w:r>
        <w:rPr>
          <w:rFonts w:hint="eastAsia" w:ascii="宋体" w:hAnsi="宋体" w:eastAsia="宋体" w:cs="宋体"/>
          <w:b/>
          <w:bCs/>
          <w:color w:val="auto"/>
          <w:sz w:val="24"/>
          <w:szCs w:val="24"/>
        </w:rPr>
        <w:t>一、项目基本情况</w:t>
      </w:r>
      <w:bookmarkEnd w:id="863"/>
      <w:bookmarkEnd w:id="864"/>
      <w:bookmarkEnd w:id="865"/>
      <w:bookmarkEnd w:id="866"/>
      <w:bookmarkEnd w:id="867"/>
      <w:bookmarkEnd w:id="868"/>
      <w:bookmarkEnd w:id="869"/>
      <w:bookmarkEnd w:id="870"/>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项目编号：XJFZ-SLTZH-CG-003号</w:t>
      </w:r>
    </w:p>
    <w:p>
      <w:pPr>
        <w:pageBreakBefore w:val="0"/>
        <w:widowControl w:val="0"/>
        <w:kinsoku/>
        <w:wordWrap/>
        <w:overflowPunct/>
        <w:topLinePunct w:val="0"/>
        <w:bidi w:val="0"/>
        <w:snapToGrid/>
        <w:spacing w:line="560" w:lineRule="exact"/>
        <w:ind w:left="559" w:leftChars="266" w:firstLine="0" w:firstLineChars="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疏勒县食用菌深加工车间改造及水电暖配套项目</w:t>
      </w:r>
    </w:p>
    <w:p>
      <w:pPr>
        <w:pageBreakBefore w:val="0"/>
        <w:widowControl w:val="0"/>
        <w:kinsoku/>
        <w:wordWrap/>
        <w:overflowPunct/>
        <w:topLinePunct w:val="0"/>
        <w:bidi w:val="0"/>
        <w:snapToGrid/>
        <w:spacing w:line="560" w:lineRule="exact"/>
        <w:ind w:left="559" w:leftChars="266" w:firstLine="0" w:firstLineChars="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 xml:space="preserve">采购方式：□竞争性谈判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 xml:space="preserve">竞争性磋商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询价</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310</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lang w:eastAsia="zh-CN"/>
        </w:rPr>
        <w:t>元</w:t>
      </w:r>
    </w:p>
    <w:p>
      <w:pPr>
        <w:pageBreakBefore w:val="0"/>
        <w:widowControl w:val="0"/>
        <w:kinsoku/>
        <w:wordWrap/>
        <w:overflowPunct/>
        <w:topLinePunct w:val="0"/>
        <w:bidi w:val="0"/>
        <w:snapToGrid/>
        <w:spacing w:line="560" w:lineRule="exact"/>
        <w:ind w:firstLine="480" w:firstLineChars="200"/>
        <w:textAlignment w:val="auto"/>
        <w:rPr>
          <w:rFonts w:hint="default" w:ascii="宋体" w:hAnsi="宋体" w:eastAsia="宋体" w:cs="宋体"/>
          <w:b/>
          <w:color w:val="auto"/>
          <w:sz w:val="28"/>
          <w:szCs w:val="28"/>
          <w:lang w:val="en-US"/>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w:t>
      </w:r>
      <w:bookmarkStart w:id="871" w:name="_Toc30511"/>
      <w:bookmarkStart w:id="872" w:name="_Toc3888"/>
      <w:bookmarkStart w:id="873" w:name="_Toc35393630"/>
      <w:bookmarkStart w:id="874" w:name="_Toc28359013"/>
      <w:bookmarkStart w:id="875" w:name="_Toc13908"/>
      <w:bookmarkStart w:id="876" w:name="_Toc28359090"/>
      <w:bookmarkStart w:id="877" w:name="_Toc28085"/>
      <w:bookmarkStart w:id="878" w:name="_Toc35393799"/>
      <w:r>
        <w:rPr>
          <w:rFonts w:hint="eastAsia" w:ascii="宋体" w:hAnsi="宋体" w:cs="宋体"/>
          <w:color w:val="auto"/>
          <w:sz w:val="24"/>
          <w:szCs w:val="24"/>
          <w:highlight w:val="none"/>
          <w:lang w:val="en-US" w:eastAsia="zh-CN"/>
        </w:rPr>
        <w:t>1、深加工厂房净化车间改造提升，</w:t>
      </w:r>
      <w:r>
        <w:rPr>
          <w:rFonts w:hint="eastAsia" w:ascii="宋体" w:hAnsi="宋体" w:cs="宋体"/>
          <w:color w:val="auto"/>
          <w:sz w:val="24"/>
          <w:szCs w:val="24"/>
          <w:highlight w:val="none"/>
          <w:lang w:eastAsia="zh-CN"/>
        </w:rPr>
        <w:t>一是对现有厂房设备进行拆除，二是厂房净化材料采购并安装。</w:t>
      </w:r>
      <w:r>
        <w:rPr>
          <w:rFonts w:hint="eastAsia" w:ascii="宋体" w:hAnsi="宋体" w:cs="宋体"/>
          <w:color w:val="auto"/>
          <w:sz w:val="24"/>
          <w:szCs w:val="24"/>
          <w:highlight w:val="none"/>
          <w:lang w:val="en-US" w:eastAsia="zh-CN"/>
        </w:rPr>
        <w:t>2、对深加工厂房水电暖进行改造。</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bookmarkEnd w:id="871"/>
      <w:bookmarkEnd w:id="872"/>
      <w:bookmarkEnd w:id="873"/>
      <w:bookmarkEnd w:id="874"/>
      <w:bookmarkEnd w:id="875"/>
      <w:bookmarkEnd w:id="876"/>
      <w:bookmarkEnd w:id="877"/>
      <w:bookmarkEnd w:id="878"/>
      <w:bookmarkStart w:id="879" w:name="_Toc29017"/>
      <w:bookmarkStart w:id="880" w:name="_Toc29159"/>
      <w:bookmarkStart w:id="881" w:name="_Toc35393800"/>
      <w:bookmarkStart w:id="882" w:name="_Toc11349"/>
      <w:bookmarkStart w:id="883" w:name="_Toc28359091"/>
      <w:bookmarkStart w:id="884" w:name="_Toc9223"/>
      <w:bookmarkStart w:id="885" w:name="_Toc35393631"/>
      <w:bookmarkStart w:id="886" w:name="_Toc28359014"/>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1.满足《中华人民共和国政府采购法》第二十二条规定；</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2.落实政府采购政策需满足的资格要求：无 </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3.本项目的特定资格要求：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）具有相应经营范围的营业执照</w:t>
      </w:r>
      <w:r>
        <w:rPr>
          <w:rFonts w:hint="eastAsia" w:ascii="宋体" w:hAnsi="宋体" w:eastAsia="宋体" w:cs="宋体"/>
          <w:b/>
          <w:bCs/>
          <w:color w:val="auto"/>
          <w:sz w:val="24"/>
          <w:szCs w:val="24"/>
        </w:rPr>
        <w:t>（原件、复印件、影印件均可）</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（2）法人本人投标的需提供法人身份证原件；被授权委托人需提供法人授权委托书原件、法人身份证复印件及被授权委托人身份证原件； （3）具有良好的商业信誉和健全的财务会计制度，</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2022年</w:t>
      </w:r>
      <w:r>
        <w:rPr>
          <w:rFonts w:hint="eastAsia" w:ascii="宋体" w:hAnsi="宋体" w:eastAsia="宋体" w:cs="宋体"/>
          <w:b/>
          <w:bCs/>
          <w:color w:val="auto"/>
          <w:sz w:val="24"/>
          <w:szCs w:val="24"/>
          <w:lang w:eastAsia="zh-CN"/>
        </w:rPr>
        <w:t>经审计的财务报告（新公司出具银行资信证明）</w:t>
      </w:r>
      <w:r>
        <w:rPr>
          <w:rFonts w:hint="eastAsia" w:ascii="宋体" w:hAnsi="宋体" w:eastAsia="宋体" w:cs="宋体"/>
          <w:b/>
          <w:bCs/>
          <w:color w:val="auto"/>
          <w:sz w:val="24"/>
          <w:szCs w:val="24"/>
        </w:rPr>
        <w:t>；（4）公司依法缴纳近</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个月的社会保险社保缴纳凭证；公司依法缴纳近</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个月的税收良好记录证明；</w:t>
      </w:r>
      <w:r>
        <w:rPr>
          <w:rFonts w:hint="eastAsia" w:ascii="宋体" w:hAnsi="宋体" w:eastAsia="宋体" w:cs="宋体"/>
          <w:b/>
          <w:bCs/>
          <w:color w:val="auto"/>
          <w:sz w:val="24"/>
          <w:szCs w:val="24"/>
          <w:lang w:eastAsia="zh-CN"/>
        </w:rPr>
        <w:t>（新公司除外）</w:t>
      </w:r>
      <w:r>
        <w:rPr>
          <w:rFonts w:hint="eastAsia" w:ascii="宋体" w:hAnsi="宋体" w:eastAsia="宋体" w:cs="宋体"/>
          <w:b/>
          <w:bCs/>
          <w:color w:val="auto"/>
          <w:sz w:val="24"/>
          <w:szCs w:val="24"/>
        </w:rPr>
        <w:t>（5）投标单位（供应商）提供针对本次项目《反商业贿赂承诺书》；（6）参加政府采购活动前3年内在经营活动中没有重大违法记录的书面声明；（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pageBreakBefore w:val="0"/>
        <w:widowControl w:val="0"/>
        <w:kinsoku/>
        <w:wordWrap/>
        <w:overflowPunct/>
        <w:topLinePunct w:val="0"/>
        <w:bidi w:val="0"/>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（8） </w:t>
      </w:r>
      <w:r>
        <w:rPr>
          <w:rFonts w:hint="eastAsia" w:ascii="宋体" w:hAnsi="宋体" w:eastAsia="宋体" w:cs="宋体"/>
          <w:b/>
          <w:bCs/>
          <w:color w:val="auto"/>
          <w:sz w:val="24"/>
          <w:szCs w:val="24"/>
          <w:lang w:eastAsia="zh-CN"/>
        </w:rPr>
        <w:t>本项目不接受联合体投标</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bookmarkEnd w:id="879"/>
      <w:bookmarkEnd w:id="880"/>
      <w:bookmarkEnd w:id="881"/>
      <w:bookmarkEnd w:id="882"/>
      <w:bookmarkEnd w:id="883"/>
      <w:bookmarkEnd w:id="884"/>
      <w:bookmarkEnd w:id="885"/>
      <w:bookmarkEnd w:id="886"/>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rPr>
        <w:t>日起至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每天上午10: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-14:00时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时（北京时间，法定节假日除外 ）</w:t>
      </w:r>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u w:val="none"/>
          <w:lang w:val="en-US" w:eastAsia="zh-CN"/>
        </w:rPr>
      </w:pPr>
      <w:bookmarkStart w:id="887" w:name="_Toc28359015"/>
      <w:bookmarkStart w:id="888" w:name="_Toc7846"/>
      <w:bookmarkStart w:id="889" w:name="_Toc35393801"/>
      <w:bookmarkStart w:id="890" w:name="_Toc35393632"/>
      <w:bookmarkStart w:id="891" w:name="_Toc7080"/>
      <w:bookmarkStart w:id="892" w:name="_Toc28359092"/>
      <w:r>
        <w:rPr>
          <w:rFonts w:hint="eastAsia" w:ascii="宋体" w:hAnsi="宋体" w:eastAsia="宋体" w:cs="宋体"/>
          <w:color w:val="auto"/>
          <w:sz w:val="24"/>
          <w:szCs w:val="24"/>
          <w:u w:val="none"/>
          <w:lang w:val="en-US" w:eastAsia="zh-CN"/>
        </w:rPr>
        <w:t>地点：供应商</w:t>
      </w:r>
      <w:r>
        <w:rPr>
          <w:rFonts w:hint="eastAsia" w:ascii="宋体" w:hAnsi="宋体" w:cs="宋体"/>
          <w:color w:val="auto"/>
          <w:sz w:val="24"/>
          <w:szCs w:val="24"/>
          <w:u w:val="none"/>
          <w:lang w:val="en-US" w:eastAsia="zh-CN"/>
        </w:rPr>
        <w:t>登录</w:t>
      </w:r>
      <w:r>
        <w:rPr>
          <w:rFonts w:hint="eastAsia" w:ascii="宋体" w:hAnsi="宋体" w:eastAsia="宋体" w:cs="宋体"/>
          <w:color w:val="auto"/>
          <w:sz w:val="24"/>
          <w:szCs w:val="24"/>
          <w:u w:val="none"/>
          <w:lang w:val="en-US" w:eastAsia="zh-CN"/>
        </w:rPr>
        <w:t>政采云平台http://www.zcygov.cn/，在线申请获取采购文件</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登录</w:t>
      </w:r>
      <w:r>
        <w:rPr>
          <w:rFonts w:hint="eastAsia" w:ascii="宋体" w:hAnsi="宋体" w:eastAsia="宋体" w:cs="宋体"/>
          <w:color w:val="auto"/>
          <w:sz w:val="24"/>
          <w:szCs w:val="24"/>
        </w:rPr>
        <w:t>政采云平台http://www.zcygov.cn/，在线申请获取采购文件（登录政府采购云平台 → 项目采购 → 获取采购文件→下载</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，如有操作性问题，可与政采云在线客服进行咨询，咨询电话：400-881-7190）</w:t>
      </w:r>
    </w:p>
    <w:p>
      <w:pPr>
        <w:pageBreakBefore w:val="0"/>
        <w:widowControl w:val="0"/>
        <w:kinsoku/>
        <w:wordWrap/>
        <w:overflowPunct/>
        <w:topLinePunct w:val="0"/>
        <w:bidi w:val="0"/>
        <w:snapToGrid/>
        <w:spacing w:line="560" w:lineRule="exact"/>
        <w:ind w:firstLine="54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方式：政采云平台</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93" w:name="_Toc26881"/>
      <w:bookmarkStart w:id="894" w:name="_Toc22305"/>
      <w:r>
        <w:rPr>
          <w:rFonts w:hint="eastAsia" w:ascii="宋体" w:hAnsi="宋体" w:eastAsia="宋体" w:cs="宋体"/>
          <w:b/>
          <w:bCs/>
          <w:color w:val="auto"/>
          <w:sz w:val="24"/>
          <w:szCs w:val="24"/>
        </w:rPr>
        <w:t>四、</w:t>
      </w:r>
      <w:bookmarkEnd w:id="887"/>
      <w:bookmarkEnd w:id="888"/>
      <w:bookmarkEnd w:id="889"/>
      <w:bookmarkEnd w:id="890"/>
      <w:bookmarkEnd w:id="891"/>
      <w:bookmarkEnd w:id="892"/>
      <w:bookmarkEnd w:id="893"/>
      <w:bookmarkEnd w:id="894"/>
      <w:r>
        <w:rPr>
          <w:rFonts w:hint="eastAsia" w:ascii="宋体" w:hAnsi="宋体" w:eastAsia="宋体" w:cs="宋体"/>
          <w:b/>
          <w:bCs/>
          <w:color w:val="auto"/>
          <w:sz w:val="24"/>
          <w:szCs w:val="24"/>
        </w:rPr>
        <w:t>提交</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文件截止时间、</w:t>
      </w:r>
      <w:r>
        <w:rPr>
          <w:rFonts w:hint="eastAsia" w:ascii="宋体" w:hAnsi="宋体" w:eastAsia="宋体" w:cs="宋体"/>
          <w:b/>
          <w:bCs/>
          <w:color w:val="auto"/>
          <w:sz w:val="24"/>
          <w:szCs w:val="24"/>
          <w:lang w:val="en-US" w:eastAsia="zh-CN"/>
        </w:rPr>
        <w:t>开启</w:t>
      </w:r>
      <w:r>
        <w:rPr>
          <w:rFonts w:hint="eastAsia" w:ascii="宋体" w:hAnsi="宋体" w:eastAsia="宋体" w:cs="宋体"/>
          <w:b/>
          <w:bCs/>
          <w:color w:val="auto"/>
          <w:sz w:val="24"/>
          <w:szCs w:val="24"/>
        </w:rPr>
        <w:t>时间和地点</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截止时间：</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lang w:val="en-US" w:eastAsia="zh-CN"/>
        </w:rPr>
        <w:t>午1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点 00 分（北京时间）</w:t>
      </w:r>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color w:val="auto"/>
          <w:sz w:val="24"/>
          <w:szCs w:val="24"/>
          <w:u w:val="none"/>
          <w:lang w:eastAsia="zh-CN"/>
        </w:rPr>
      </w:pPr>
      <w:r>
        <w:rPr>
          <w:rFonts w:hint="eastAsia" w:ascii="宋体" w:hAnsi="宋体" w:eastAsia="宋体" w:cs="宋体"/>
          <w:color w:val="auto"/>
          <w:sz w:val="24"/>
          <w:szCs w:val="24"/>
          <w:u w:val="none"/>
        </w:rPr>
        <w:t>地</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点：</w:t>
      </w:r>
      <w:r>
        <w:rPr>
          <w:rFonts w:hint="eastAsia" w:ascii="宋体" w:hAnsi="宋体" w:eastAsia="宋体" w:cs="宋体"/>
          <w:color w:val="auto"/>
          <w:sz w:val="24"/>
          <w:szCs w:val="24"/>
          <w:u w:val="none"/>
          <w:lang w:eastAsia="zh-CN"/>
        </w:rPr>
        <w:t>政采云平台（https://login.zcygov.cn/user-login/#/login）</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895" w:name="_Toc15459"/>
      <w:bookmarkStart w:id="896" w:name="_Toc4032"/>
      <w:bookmarkStart w:id="897" w:name="_Toc28359017"/>
      <w:bookmarkStart w:id="898" w:name="_Toc28359094"/>
      <w:bookmarkStart w:id="899" w:name="_Toc35393803"/>
      <w:bookmarkStart w:id="900" w:name="_Toc1452"/>
      <w:bookmarkStart w:id="901" w:name="_Toc31794"/>
      <w:bookmarkStart w:id="902" w:name="_Toc35393634"/>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、公告期限</w:t>
      </w:r>
      <w:bookmarkEnd w:id="895"/>
      <w:bookmarkEnd w:id="896"/>
      <w:bookmarkEnd w:id="897"/>
      <w:bookmarkEnd w:id="898"/>
      <w:bookmarkEnd w:id="899"/>
      <w:bookmarkEnd w:id="900"/>
      <w:bookmarkEnd w:id="901"/>
      <w:bookmarkEnd w:id="902"/>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p>
    <w:p>
      <w:pPr>
        <w:pStyle w:val="11"/>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1.本项目采用全流程不见面电子开评标，投标供应商需要使用CA加密设备，供应商可通过新疆数字证书认证中心官网（https://www.xjca.com.cn/）或下载“新疆政务通”APP自行进行申领。</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2.本项目实行网上投标，采用加密电子投标文件(供应商须使用CA加密设备通过政采云电子投标客户端制作投标文件)。若供应商参与投标，自行承担投标一切费用。</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5.供应商在开标时须使用制作加密电子投标文件所使用的CA锁及电脑，电脑须提前配置好浏览器（建议使用谷歌浏览器），以便开标时解锁。</w:t>
      </w:r>
    </w:p>
    <w:p>
      <w:pPr>
        <w:pStyle w:val="11"/>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11"/>
        <w:rPr>
          <w:rFonts w:hint="eastAsia" w:ascii="宋体" w:hAnsi="宋体" w:eastAsia="宋体" w:cs="宋体"/>
          <w:color w:val="auto"/>
          <w:kern w:val="0"/>
          <w:sz w:val="24"/>
          <w:szCs w:val="24"/>
          <w:lang w:val="en-US" w:eastAsia="zh-CN" w:bidi="ar-SA"/>
        </w:rPr>
      </w:pPr>
      <w:r>
        <w:rPr>
          <w:rFonts w:hint="eastAsia" w:ascii="宋体" w:hAnsi="宋体" w:eastAsia="宋体" w:cs="宋体"/>
          <w:b w:val="0"/>
          <w:color w:val="auto"/>
          <w:kern w:val="2"/>
          <w:sz w:val="24"/>
          <w:szCs w:val="24"/>
          <w:u w:val="none"/>
          <w:lang w:val="en-US" w:eastAsia="zh-CN" w:bidi="ar-SA"/>
        </w:rPr>
        <w:t>7.为了保证开评标顺利进行，政采云线上开标功能完全实现，供应商开标所使用的电脑设备须具有视频及语音功能。 </w:t>
      </w:r>
      <w:r>
        <w:rPr>
          <w:rFonts w:hint="eastAsia" w:ascii="宋体" w:hAnsi="宋体" w:eastAsia="宋体" w:cs="宋体"/>
          <w:color w:val="auto"/>
          <w:kern w:val="0"/>
          <w:sz w:val="24"/>
          <w:szCs w:val="24"/>
          <w:lang w:val="en-US" w:eastAsia="zh-CN" w:bidi="ar-SA"/>
        </w:rPr>
        <w:t> </w:t>
      </w:r>
    </w:p>
    <w:p>
      <w:pPr>
        <w:pStyle w:val="5"/>
        <w:pageBreakBefore w:val="0"/>
        <w:widowControl w:val="0"/>
        <w:kinsoku/>
        <w:wordWrap/>
        <w:overflowPunct/>
        <w:topLinePunct w:val="0"/>
        <w:bidi w:val="0"/>
        <w:snapToGrid/>
        <w:spacing w:line="560" w:lineRule="exact"/>
        <w:jc w:val="both"/>
        <w:textAlignment w:val="auto"/>
        <w:rPr>
          <w:rFonts w:hint="eastAsia" w:ascii="宋体" w:hAnsi="宋体" w:eastAsia="宋体" w:cs="宋体"/>
          <w:b/>
          <w:bCs/>
          <w:color w:val="auto"/>
          <w:sz w:val="24"/>
          <w:szCs w:val="24"/>
        </w:rPr>
      </w:pPr>
      <w:bookmarkStart w:id="903" w:name="_Toc18510"/>
      <w:bookmarkStart w:id="904" w:name="_Toc5483"/>
      <w:bookmarkStart w:id="905" w:name="_Toc23916"/>
      <w:bookmarkStart w:id="906" w:name="_Toc35393636"/>
      <w:bookmarkStart w:id="907" w:name="_Toc35393805"/>
      <w:bookmarkStart w:id="908" w:name="_Toc28359018"/>
      <w:bookmarkStart w:id="909" w:name="_Toc21330"/>
      <w:bookmarkStart w:id="910" w:name="_Toc28359095"/>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、凡对本次采购提出询问，请按以下方式联系。</w:t>
      </w:r>
      <w:bookmarkEnd w:id="903"/>
      <w:bookmarkEnd w:id="904"/>
      <w:bookmarkEnd w:id="905"/>
      <w:bookmarkEnd w:id="906"/>
      <w:bookmarkEnd w:id="907"/>
      <w:bookmarkEnd w:id="908"/>
      <w:bookmarkEnd w:id="909"/>
      <w:bookmarkEnd w:id="910"/>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采购人名称：</w:t>
      </w:r>
      <w:r>
        <w:rPr>
          <w:rFonts w:hint="eastAsia" w:ascii="宋体" w:hAnsi="宋体" w:cs="宋体"/>
          <w:b w:val="0"/>
          <w:color w:val="auto"/>
          <w:kern w:val="2"/>
          <w:sz w:val="24"/>
          <w:szCs w:val="24"/>
          <w:u w:val="none"/>
          <w:lang w:val="en-US" w:eastAsia="zh-CN" w:bidi="ar-SA"/>
        </w:rPr>
        <w:t>疏勒县塔孜洪乡人民政府</w:t>
      </w:r>
      <w:r>
        <w:rPr>
          <w:rFonts w:hint="eastAsia" w:ascii="宋体" w:hAnsi="宋体" w:eastAsia="宋体" w:cs="宋体"/>
          <w:b w:val="0"/>
          <w:color w:val="auto"/>
          <w:kern w:val="2"/>
          <w:sz w:val="24"/>
          <w:szCs w:val="24"/>
          <w:u w:val="none"/>
          <w:lang w:val="en-US" w:eastAsia="zh-CN" w:bidi="ar-SA"/>
        </w:rPr>
        <w:t xml:space="preserve"> </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联系人：</w:t>
      </w:r>
      <w:r>
        <w:rPr>
          <w:rFonts w:hint="eastAsia" w:ascii="宋体" w:hAnsi="宋体" w:cs="宋体"/>
          <w:b w:val="0"/>
          <w:color w:val="auto"/>
          <w:kern w:val="2"/>
          <w:sz w:val="24"/>
          <w:szCs w:val="24"/>
          <w:u w:val="none"/>
          <w:lang w:val="en-US" w:eastAsia="zh-CN" w:bidi="ar-SA"/>
        </w:rPr>
        <w:t>成磊</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联系电话：</w:t>
      </w:r>
      <w:r>
        <w:rPr>
          <w:rFonts w:hint="eastAsia" w:ascii="宋体" w:hAnsi="宋体" w:cs="宋体"/>
          <w:b w:val="0"/>
          <w:color w:val="auto"/>
          <w:kern w:val="2"/>
          <w:sz w:val="24"/>
          <w:szCs w:val="24"/>
          <w:u w:val="none"/>
          <w:lang w:val="en-US" w:eastAsia="zh-CN" w:bidi="ar-SA"/>
        </w:rPr>
        <w:t>15660355635</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地  址：疏勒县</w:t>
      </w:r>
      <w:r>
        <w:rPr>
          <w:rFonts w:hint="eastAsia" w:ascii="宋体" w:hAnsi="宋体" w:cs="宋体"/>
          <w:b w:val="0"/>
          <w:color w:val="auto"/>
          <w:kern w:val="2"/>
          <w:sz w:val="24"/>
          <w:szCs w:val="24"/>
          <w:u w:val="none"/>
          <w:lang w:val="en-US" w:eastAsia="zh-CN" w:bidi="ar-SA"/>
        </w:rPr>
        <w:t>塔孜洪乡人民政府</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2.采购代理机构信息</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名 称：</w:t>
      </w:r>
      <w:r>
        <w:rPr>
          <w:rFonts w:hint="eastAsia" w:ascii="宋体" w:hAnsi="宋体" w:cs="宋体"/>
          <w:b w:val="0"/>
          <w:color w:val="auto"/>
          <w:kern w:val="2"/>
          <w:sz w:val="24"/>
          <w:szCs w:val="24"/>
          <w:u w:val="none"/>
          <w:lang w:val="en-US" w:eastAsia="zh-CN" w:bidi="ar-SA"/>
        </w:rPr>
        <w:t>新疆方卓项目管理有限公司</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地 址：</w:t>
      </w:r>
      <w:r>
        <w:rPr>
          <w:rFonts w:hint="eastAsia" w:ascii="宋体" w:hAnsi="宋体" w:cs="宋体"/>
          <w:b w:val="0"/>
          <w:color w:val="auto"/>
          <w:kern w:val="2"/>
          <w:sz w:val="24"/>
          <w:szCs w:val="24"/>
          <w:u w:val="none"/>
          <w:lang w:val="en-US" w:eastAsia="zh-CN" w:bidi="ar-SA"/>
        </w:rPr>
        <w:t>喀什市明宇路1号(明宇广场)1幢10层B15</w:t>
      </w:r>
      <w:r>
        <w:rPr>
          <w:rFonts w:hint="eastAsia" w:ascii="宋体" w:hAnsi="宋体" w:eastAsia="宋体" w:cs="宋体"/>
          <w:b w:val="0"/>
          <w:color w:val="auto"/>
          <w:kern w:val="2"/>
          <w:sz w:val="24"/>
          <w:szCs w:val="24"/>
          <w:u w:val="none"/>
          <w:lang w:val="en-US" w:eastAsia="zh-CN" w:bidi="ar-SA"/>
        </w:rPr>
        <w:t>　</w:t>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color w:val="auto"/>
          <w:kern w:val="2"/>
          <w:sz w:val="24"/>
          <w:szCs w:val="24"/>
          <w:u w:val="none"/>
          <w:lang w:val="en-US" w:eastAsia="zh-CN" w:bidi="ar-SA"/>
        </w:rPr>
      </w:pPr>
      <w:r>
        <w:rPr>
          <w:rFonts w:hint="eastAsia" w:ascii="宋体" w:hAnsi="宋体" w:eastAsia="宋体" w:cs="宋体"/>
          <w:b w:val="0"/>
          <w:color w:val="auto"/>
          <w:kern w:val="2"/>
          <w:sz w:val="24"/>
          <w:szCs w:val="24"/>
          <w:u w:val="none"/>
          <w:lang w:val="en-US" w:eastAsia="zh-CN" w:bidi="ar-SA"/>
        </w:rPr>
        <w:t>联系方式：</w:t>
      </w:r>
      <w:bookmarkStart w:id="911" w:name="_Toc7656"/>
      <w:r>
        <w:rPr>
          <w:rFonts w:hint="eastAsia" w:ascii="宋体" w:hAnsi="宋体" w:cs="宋体"/>
          <w:b w:val="0"/>
          <w:color w:val="auto"/>
          <w:kern w:val="2"/>
          <w:sz w:val="24"/>
          <w:szCs w:val="24"/>
          <w:u w:val="none"/>
          <w:lang w:val="en-US" w:eastAsia="zh-CN" w:bidi="ar-SA"/>
        </w:rPr>
        <w:t>18299867777</w:t>
      </w:r>
    </w:p>
    <w:p>
      <w:pPr>
        <w:rPr>
          <w:rFonts w:hint="eastAsia" w:ascii="宋体" w:hAnsi="宋体" w:cs="宋体"/>
          <w:b w:val="0"/>
          <w:color w:val="auto"/>
          <w:kern w:val="2"/>
          <w:sz w:val="24"/>
          <w:szCs w:val="24"/>
          <w:u w:val="none"/>
          <w:lang w:val="en-US" w:eastAsia="zh-CN" w:bidi="ar-SA"/>
        </w:rPr>
      </w:pPr>
      <w:r>
        <w:rPr>
          <w:rFonts w:hint="eastAsia" w:ascii="宋体" w:hAnsi="宋体" w:cs="宋体"/>
          <w:b w:val="0"/>
          <w:color w:val="auto"/>
          <w:kern w:val="2"/>
          <w:sz w:val="24"/>
          <w:szCs w:val="24"/>
          <w:u w:val="none"/>
          <w:lang w:val="en-US" w:eastAsia="zh-CN" w:bidi="ar-SA"/>
        </w:rPr>
        <w:br w:type="page"/>
      </w:r>
    </w:p>
    <w:p>
      <w:pPr>
        <w:pStyle w:val="34"/>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cs="宋体"/>
          <w:b w:val="0"/>
          <w:color w:val="auto"/>
          <w:kern w:val="2"/>
          <w:sz w:val="24"/>
          <w:szCs w:val="24"/>
          <w:u w:val="none"/>
          <w:lang w:val="en-US" w:eastAsia="zh-CN" w:bidi="ar-SA"/>
        </w:rPr>
      </w:pPr>
    </w:p>
    <w:p>
      <w:pPr>
        <w:pStyle w:val="4"/>
        <w:tabs>
          <w:tab w:val="left" w:pos="0"/>
        </w:tabs>
        <w:snapToGrid w:val="0"/>
        <w:spacing w:before="0" w:after="0" w:line="240" w:lineRule="atLeast"/>
        <w:textAlignment w:val="baseline"/>
        <w:rPr>
          <w:rFonts w:hint="eastAsia" w:ascii="宋体" w:hAnsi="宋体" w:eastAsia="宋体" w:cs="宋体"/>
          <w:color w:val="auto"/>
          <w:szCs w:val="32"/>
        </w:rPr>
      </w:pPr>
      <w:r>
        <w:rPr>
          <w:rFonts w:hint="eastAsia" w:ascii="宋体" w:hAnsi="宋体" w:eastAsia="宋体" w:cs="宋体"/>
          <w:color w:val="auto"/>
          <w:szCs w:val="32"/>
        </w:rPr>
        <w:t>第4章  供应商须知资料表</w:t>
      </w:r>
      <w:bookmarkEnd w:id="857"/>
      <w:bookmarkEnd w:id="858"/>
      <w:bookmarkEnd w:id="859"/>
      <w:bookmarkEnd w:id="860"/>
      <w:bookmarkEnd w:id="861"/>
      <w:bookmarkEnd w:id="862"/>
      <w:bookmarkEnd w:id="911"/>
    </w:p>
    <w:p>
      <w:pPr>
        <w:snapToGrid w:val="0"/>
        <w:spacing w:line="240" w:lineRule="atLeast"/>
        <w:ind w:firstLine="360" w:firstLineChars="150"/>
        <w:textAlignment w:val="baseline"/>
        <w:rPr>
          <w:rFonts w:hint="eastAsia" w:ascii="宋体" w:hAnsi="宋体" w:eastAsia="宋体" w:cs="宋体"/>
          <w:color w:val="auto"/>
          <w:sz w:val="24"/>
        </w:rPr>
      </w:pPr>
      <w:r>
        <w:rPr>
          <w:rFonts w:hint="eastAsia" w:ascii="宋体" w:hAnsi="宋体" w:eastAsia="宋体" w:cs="宋体"/>
          <w:color w:val="auto"/>
          <w:sz w:val="24"/>
        </w:rPr>
        <w:t xml:space="preserve"> 本表是本招标项目的具体资料，是对供应商须知的具体补充和修改，如有矛盾，应以本资料表为准。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条款号</w:t>
            </w:r>
          </w:p>
        </w:tc>
        <w:tc>
          <w:tcPr>
            <w:tcW w:w="8115" w:type="dxa"/>
            <w:vAlign w:val="center"/>
          </w:tcPr>
          <w:p>
            <w:pPr>
              <w:snapToGrid w:val="0"/>
              <w:spacing w:line="360" w:lineRule="exact"/>
              <w:ind w:left="1080" w:leftChars="257" w:hanging="540"/>
              <w:textAlignment w:val="baseline"/>
              <w:rPr>
                <w:rFonts w:hint="eastAsia" w:ascii="宋体" w:hAnsi="宋体" w:eastAsia="宋体" w:cs="宋体"/>
                <w:b/>
                <w:color w:val="auto"/>
                <w:sz w:val="24"/>
              </w:rPr>
            </w:pPr>
            <w:r>
              <w:rPr>
                <w:rFonts w:hint="eastAsia" w:ascii="宋体" w:hAnsi="宋体" w:eastAsia="宋体" w:cs="宋体"/>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1.1</w:t>
            </w:r>
          </w:p>
        </w:tc>
        <w:tc>
          <w:tcPr>
            <w:tcW w:w="8115" w:type="dxa"/>
            <w:vAlign w:val="center"/>
          </w:tcPr>
          <w:p>
            <w:pPr>
              <w:pStyle w:val="30"/>
              <w:widowControl/>
              <w:snapToGrid w:val="0"/>
              <w:spacing w:before="0" w:after="0" w:line="360" w:lineRule="exact"/>
              <w:textAlignment w:val="baseline"/>
              <w:rPr>
                <w:rFonts w:hint="eastAsia" w:ascii="宋体" w:hAnsi="宋体" w:eastAsia="宋体" w:cs="宋体"/>
                <w:color w:val="auto"/>
                <w:lang w:eastAsia="zh-CN"/>
              </w:rPr>
            </w:pPr>
            <w:r>
              <w:rPr>
                <w:rFonts w:hint="eastAsia" w:ascii="宋体" w:hAnsi="宋体" w:eastAsia="宋体" w:cs="宋体"/>
                <w:color w:val="auto"/>
              </w:rPr>
              <w:t>采购单位：</w:t>
            </w:r>
            <w:r>
              <w:rPr>
                <w:rFonts w:hint="eastAsia" w:ascii="宋体" w:hAnsi="宋体" w:cs="宋体"/>
                <w:color w:val="auto"/>
                <w:u w:val="single"/>
                <w:lang w:eastAsia="zh-CN"/>
              </w:rPr>
              <w:t>疏勒县塔孜洪乡人民政府</w:t>
            </w:r>
          </w:p>
          <w:p>
            <w:pPr>
              <w:pStyle w:val="30"/>
              <w:widowControl/>
              <w:snapToGrid w:val="0"/>
              <w:spacing w:before="0" w:after="0" w:line="360" w:lineRule="exact"/>
              <w:textAlignment w:val="baseline"/>
              <w:rPr>
                <w:rFonts w:hint="eastAsia" w:ascii="宋体" w:hAnsi="宋体" w:eastAsia="宋体" w:cs="宋体"/>
                <w:color w:val="auto"/>
                <w:lang w:eastAsia="zh-CN"/>
              </w:rPr>
            </w:pPr>
            <w:r>
              <w:rPr>
                <w:rFonts w:hint="eastAsia" w:ascii="宋体" w:hAnsi="宋体" w:eastAsia="宋体" w:cs="宋体"/>
                <w:color w:val="auto"/>
              </w:rPr>
              <w:t>联 系 人：</w:t>
            </w:r>
            <w:r>
              <w:rPr>
                <w:rFonts w:hint="eastAsia" w:ascii="宋体" w:hAnsi="宋体" w:cs="宋体"/>
                <w:color w:val="auto"/>
                <w:u w:val="single" w:color="000000"/>
                <w:lang w:eastAsia="zh-CN"/>
              </w:rPr>
              <w:t>成磊</w:t>
            </w:r>
            <w:r>
              <w:rPr>
                <w:rFonts w:hint="eastAsia" w:ascii="宋体" w:hAnsi="宋体" w:eastAsia="宋体" w:cs="宋体"/>
                <w:color w:val="auto"/>
              </w:rPr>
              <w:t xml:space="preserve">     联系电话：</w:t>
            </w:r>
            <w:r>
              <w:rPr>
                <w:rFonts w:hint="eastAsia" w:ascii="宋体" w:hAnsi="宋体" w:cs="宋体"/>
                <w:color w:val="auto"/>
                <w:u w:val="single"/>
                <w:lang w:eastAsia="zh-CN"/>
              </w:rPr>
              <w:t>15660355635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1.2</w:t>
            </w:r>
          </w:p>
        </w:tc>
        <w:tc>
          <w:tcPr>
            <w:tcW w:w="8115" w:type="dxa"/>
            <w:vAlign w:val="center"/>
          </w:tcPr>
          <w:p>
            <w:pPr>
              <w:spacing w:line="360" w:lineRule="exact"/>
              <w:rPr>
                <w:rFonts w:hint="eastAsia" w:ascii="宋体" w:hAnsi="宋体" w:eastAsia="宋体" w:cs="宋体"/>
                <w:color w:val="auto"/>
                <w:sz w:val="24"/>
              </w:rPr>
            </w:pPr>
            <w:r>
              <w:rPr>
                <w:rFonts w:hint="eastAsia" w:ascii="宋体" w:hAnsi="宋体" w:eastAsia="宋体" w:cs="宋体"/>
                <w:color w:val="auto"/>
                <w:sz w:val="24"/>
              </w:rPr>
              <w:t>采购代理机构：</w:t>
            </w:r>
            <w:r>
              <w:rPr>
                <w:rFonts w:hint="eastAsia" w:ascii="宋体" w:hAnsi="宋体" w:cs="宋体"/>
                <w:color w:val="auto"/>
                <w:sz w:val="24"/>
                <w:u w:val="single"/>
                <w:lang w:eastAsia="zh-CN"/>
              </w:rPr>
              <w:t>新疆方卓项目管理有限公司</w:t>
            </w:r>
            <w:r>
              <w:rPr>
                <w:rFonts w:hint="eastAsia" w:ascii="宋体" w:hAnsi="宋体" w:eastAsia="宋体" w:cs="宋体"/>
                <w:color w:val="auto"/>
                <w:sz w:val="24"/>
              </w:rPr>
              <w:t xml:space="preserve">  </w:t>
            </w:r>
          </w:p>
          <w:p>
            <w:pPr>
              <w:spacing w:line="360" w:lineRule="exact"/>
              <w:rPr>
                <w:rFonts w:hint="eastAsia" w:ascii="宋体" w:hAnsi="宋体" w:eastAsia="宋体" w:cs="宋体"/>
                <w:color w:val="auto"/>
                <w:sz w:val="24"/>
                <w:u w:val="single"/>
                <w:lang w:eastAsia="zh-CN"/>
              </w:rPr>
            </w:pPr>
            <w:r>
              <w:rPr>
                <w:rFonts w:hint="eastAsia" w:ascii="宋体" w:hAnsi="宋体" w:eastAsia="宋体" w:cs="宋体"/>
                <w:color w:val="auto"/>
                <w:sz w:val="24"/>
              </w:rPr>
              <w:t>地址：</w:t>
            </w:r>
            <w:r>
              <w:rPr>
                <w:rFonts w:hint="eastAsia" w:ascii="宋体" w:hAnsi="宋体" w:cs="宋体"/>
                <w:color w:val="auto"/>
                <w:sz w:val="24"/>
                <w:lang w:eastAsia="zh-CN"/>
              </w:rPr>
              <w:t>喀什市明宇路1号(明宇广场)1幢10层B15</w:t>
            </w:r>
          </w:p>
          <w:p>
            <w:pPr>
              <w:snapToGrid w:val="0"/>
              <w:spacing w:line="360" w:lineRule="exact"/>
              <w:textAlignment w:val="baseline"/>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cs="宋体"/>
                <w:color w:val="auto"/>
                <w:sz w:val="24"/>
                <w:u w:val="single"/>
                <w:lang w:val="en-US" w:eastAsia="zh-CN"/>
              </w:rPr>
              <w:t>高文龙</w:t>
            </w:r>
            <w:r>
              <w:rPr>
                <w:rFonts w:hint="eastAsia" w:ascii="宋体" w:hAnsi="宋体" w:eastAsia="宋体" w:cs="宋体"/>
                <w:color w:val="auto"/>
                <w:sz w:val="24"/>
                <w:u w:val="single"/>
              </w:rPr>
              <w:t>　</w:t>
            </w:r>
            <w:r>
              <w:rPr>
                <w:rFonts w:hint="eastAsia" w:ascii="宋体" w:hAnsi="宋体" w:eastAsia="宋体" w:cs="宋体"/>
                <w:color w:val="auto"/>
                <w:sz w:val="24"/>
              </w:rPr>
              <w:t xml:space="preserve">         联系电话：</w:t>
            </w:r>
            <w:r>
              <w:rPr>
                <w:rFonts w:hint="eastAsia" w:ascii="宋体" w:hAnsi="宋体" w:cs="宋体"/>
                <w:color w:val="auto"/>
                <w:sz w:val="24"/>
                <w:u w:val="single"/>
                <w:lang w:eastAsia="zh-CN"/>
              </w:rPr>
              <w:t>18299867777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1.3.4</w:t>
            </w:r>
          </w:p>
        </w:tc>
        <w:tc>
          <w:tcPr>
            <w:tcW w:w="8115" w:type="dxa"/>
            <w:vAlign w:val="center"/>
          </w:tcPr>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合格供应商的资格要求：</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1.满足《中华人民共和国政府采购法》第二十二条规定；</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eastAsia="zh-CN"/>
              </w:rPr>
              <w:t>）具有相应经营范围的营业执照</w:t>
            </w:r>
            <w:r>
              <w:rPr>
                <w:rFonts w:hint="eastAsia" w:ascii="宋体" w:hAnsi="宋体" w:eastAsia="宋体" w:cs="宋体"/>
                <w:b/>
                <w:bCs/>
                <w:color w:val="auto"/>
                <w:sz w:val="24"/>
              </w:rPr>
              <w:t>（原件、复印件、影印件均可）</w:t>
            </w:r>
            <w:r>
              <w:rPr>
                <w:rFonts w:hint="eastAsia" w:ascii="宋体" w:hAnsi="宋体" w:eastAsia="宋体" w:cs="宋体"/>
                <w:b/>
                <w:bCs/>
                <w:color w:val="auto"/>
                <w:sz w:val="24"/>
                <w:lang w:eastAsia="zh-CN"/>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 xml:space="preserve">（2）法人本人投标的需提供法人身份证原件；被授权委托人需提供法人授权委托书原件、法人身份证复印件及被授权委托人身份证原件； </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（3</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具有良好的商业信誉和健全的财务会计制度，</w:t>
            </w:r>
            <w:r>
              <w:rPr>
                <w:rFonts w:hint="eastAsia" w:ascii="宋体" w:hAnsi="宋体" w:cs="宋体"/>
                <w:b/>
                <w:bCs/>
                <w:color w:val="auto"/>
                <w:sz w:val="24"/>
                <w:lang w:eastAsia="zh-CN"/>
              </w:rPr>
              <w:t>提供2022年经审计的财务报告</w:t>
            </w:r>
            <w:r>
              <w:rPr>
                <w:rFonts w:hint="eastAsia" w:ascii="宋体" w:hAnsi="宋体" w:eastAsia="宋体" w:cs="宋体"/>
                <w:b/>
                <w:bCs/>
                <w:color w:val="auto"/>
                <w:sz w:val="24"/>
                <w:lang w:eastAsia="zh-CN"/>
              </w:rPr>
              <w:t>（新公司出具银行资信证明）</w:t>
            </w:r>
            <w:r>
              <w:rPr>
                <w:rFonts w:hint="eastAsia" w:ascii="宋体" w:hAnsi="宋体" w:eastAsia="宋体" w:cs="宋体"/>
                <w:b/>
                <w:bCs/>
                <w:color w:val="auto"/>
                <w:sz w:val="24"/>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（4）公司依法缴纳近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个月的社会保险社保缴纳凭证；公司依法缴纳近</w:t>
            </w:r>
            <w:r>
              <w:rPr>
                <w:rFonts w:hint="eastAsia" w:ascii="宋体" w:hAnsi="宋体" w:eastAsia="宋体" w:cs="宋体"/>
                <w:b/>
                <w:bCs/>
                <w:color w:val="auto"/>
                <w:sz w:val="24"/>
                <w:lang w:eastAsia="zh-CN"/>
              </w:rPr>
              <w:t>一</w:t>
            </w:r>
            <w:r>
              <w:rPr>
                <w:rFonts w:hint="eastAsia" w:ascii="宋体" w:hAnsi="宋体" w:eastAsia="宋体" w:cs="宋体"/>
                <w:b/>
                <w:bCs/>
                <w:color w:val="auto"/>
                <w:sz w:val="24"/>
              </w:rPr>
              <w:t>个月的税收良好记录证明；</w:t>
            </w:r>
            <w:r>
              <w:rPr>
                <w:rFonts w:hint="eastAsia" w:ascii="宋体" w:hAnsi="宋体" w:eastAsia="宋体" w:cs="宋体"/>
                <w:b/>
                <w:bCs/>
                <w:color w:val="auto"/>
                <w:sz w:val="24"/>
                <w:lang w:eastAsia="zh-CN"/>
              </w:rPr>
              <w:t>（新公司除外）</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（5）投标单位（供应商）提供针对本次项目《反商业贿赂承诺书》；</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rPr>
              <w:t>（6）参加政府采购活动前3年内在经营活动中没有重大违法记录的书面声明；</w:t>
            </w:r>
          </w:p>
          <w:p>
            <w:pPr>
              <w:widowControl/>
              <w:snapToGrid w:val="0"/>
              <w:spacing w:line="360" w:lineRule="exact"/>
              <w:jc w:val="left"/>
              <w:textAlignment w:val="baseline"/>
              <w:rPr>
                <w:rFonts w:hint="eastAsia" w:ascii="宋体" w:hAnsi="宋体" w:eastAsia="宋体" w:cs="宋体"/>
                <w:b/>
                <w:bCs/>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7）缴纳磋商保证金的</w:t>
            </w:r>
            <w:r>
              <w:rPr>
                <w:rFonts w:hint="eastAsia" w:ascii="宋体" w:hAnsi="宋体" w:cs="宋体"/>
                <w:b/>
                <w:bCs/>
                <w:color w:val="auto"/>
                <w:sz w:val="24"/>
                <w:lang w:val="en-US" w:eastAsia="zh-CN"/>
              </w:rPr>
              <w:t>凭证</w:t>
            </w:r>
            <w:r>
              <w:rPr>
                <w:rFonts w:hint="eastAsia" w:ascii="宋体" w:hAnsi="宋体" w:eastAsia="宋体" w:cs="宋体"/>
                <w:b/>
                <w:bCs/>
                <w:color w:val="auto"/>
                <w:sz w:val="24"/>
                <w:lang w:val="en-US" w:eastAsia="zh-CN"/>
              </w:rPr>
              <w:t>；</w:t>
            </w:r>
          </w:p>
          <w:p>
            <w:pPr>
              <w:widowControl/>
              <w:snapToGrid w:val="0"/>
              <w:spacing w:line="360" w:lineRule="exact"/>
              <w:jc w:val="left"/>
              <w:textAlignment w:val="baseline"/>
              <w:rPr>
                <w:rFonts w:hint="eastAsia" w:ascii="宋体" w:hAnsi="宋体" w:eastAsia="宋体" w:cs="宋体"/>
                <w:b/>
                <w:bCs/>
                <w:color w:val="auto"/>
                <w:sz w:val="24"/>
                <w:lang w:eastAsia="zh-CN"/>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p>
          <w:p>
            <w:pPr>
              <w:widowControl/>
              <w:snapToGrid w:val="0"/>
              <w:spacing w:line="360" w:lineRule="exact"/>
              <w:jc w:val="left"/>
              <w:textAlignment w:val="baseline"/>
              <w:rPr>
                <w:rFonts w:hint="eastAsia" w:ascii="宋体" w:hAnsi="宋体" w:eastAsia="宋体" w:cs="宋体"/>
                <w:color w:val="auto"/>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本项目不接受联合体投标</w:t>
            </w:r>
            <w:r>
              <w:rPr>
                <w:rFonts w:hint="eastAsia" w:ascii="宋体" w:hAnsi="宋体" w:cs="宋体"/>
                <w:b/>
                <w:bCs/>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 xml:space="preserve">1.3.5   </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是否允许采购进口产品：</w:t>
            </w:r>
            <w:r>
              <w:rPr>
                <w:rFonts w:hint="eastAsia" w:ascii="宋体" w:hAnsi="宋体" w:eastAsia="宋体" w:cs="宋体"/>
                <w:color w:val="auto"/>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1.3.6</w:t>
            </w:r>
          </w:p>
        </w:tc>
        <w:tc>
          <w:tcPr>
            <w:tcW w:w="8115" w:type="dxa"/>
            <w:vAlign w:val="center"/>
          </w:tcPr>
          <w:p>
            <w:pPr>
              <w:widowControl/>
              <w:snapToGrid w:val="0"/>
              <w:spacing w:line="360" w:lineRule="exact"/>
              <w:jc w:val="left"/>
              <w:textAlignment w:val="baseline"/>
              <w:rPr>
                <w:rFonts w:hint="eastAsia"/>
                <w:color w:val="auto"/>
              </w:rPr>
            </w:pPr>
            <w:r>
              <w:rPr>
                <w:rFonts w:hint="eastAsia"/>
                <w:color w:val="auto"/>
              </w:rPr>
              <w:t>是否为专门面向中小企业采购：</w:t>
            </w:r>
            <w:r>
              <w:rPr>
                <w:rFonts w:hint="eastAsia"/>
                <w:color w:val="auto"/>
                <w:u w:val="single"/>
                <w:lang w:eastAsia="zh-CN"/>
              </w:rPr>
              <w:t>否</w:t>
            </w:r>
            <w:r>
              <w:rPr>
                <w:rFonts w:hint="eastAsia"/>
                <w:color w:val="auto"/>
                <w:u w:val="single"/>
              </w:rPr>
              <w:t xml:space="preserve"> </w:t>
            </w:r>
            <w:r>
              <w:rPr>
                <w:rFonts w:hint="eastAsia"/>
                <w:color w:val="auto"/>
              </w:rPr>
              <w:t xml:space="preserve"> </w:t>
            </w:r>
          </w:p>
          <w:p>
            <w:pPr>
              <w:pStyle w:val="25"/>
              <w:rPr>
                <w:rFonts w:hint="eastAsia"/>
                <w:color w:val="auto"/>
              </w:rPr>
            </w:pPr>
            <w:r>
              <w:rPr>
                <w:rFonts w:hint="eastAsia" w:cs="宋体"/>
                <w:b/>
                <w:color w:val="auto"/>
                <w:sz w:val="24"/>
                <w:lang w:val="en-US" w:eastAsia="zh-CN"/>
              </w:rPr>
              <w:t>潜在投标企业属于中小微企业的，请在投标文件中提供“中小企业声明函”，如果未提供或提供虚假的“中小企业声明函”，投标企业将承担因此造成的一切不利后果。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是否允许联合体磋商：</w:t>
            </w:r>
            <w:r>
              <w:rPr>
                <w:rFonts w:hint="eastAsia" w:ascii="宋体" w:hAnsi="宋体" w:eastAsia="宋体" w:cs="宋体"/>
                <w:color w:val="auto"/>
                <w:sz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1.4.8</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2.2</w:t>
            </w:r>
          </w:p>
        </w:tc>
        <w:tc>
          <w:tcPr>
            <w:tcW w:w="8115" w:type="dxa"/>
            <w:vAlign w:val="center"/>
          </w:tcPr>
          <w:p>
            <w:pPr>
              <w:pStyle w:val="2"/>
              <w:snapToGrid w:val="0"/>
              <w:spacing w:line="360" w:lineRule="exact"/>
              <w:ind w:firstLine="0"/>
              <w:textAlignment w:val="baseline"/>
              <w:rPr>
                <w:rFonts w:hint="eastAsia" w:ascii="宋体" w:hAnsi="宋体" w:eastAsia="宋体" w:cs="宋体"/>
                <w:color w:val="auto"/>
              </w:rPr>
            </w:pPr>
            <w:r>
              <w:rPr>
                <w:rFonts w:hint="eastAsia" w:ascii="宋体" w:hAnsi="宋体" w:eastAsia="宋体" w:cs="宋体"/>
                <w:color w:val="auto"/>
                <w:kern w:val="2"/>
                <w:szCs w:val="24"/>
              </w:rPr>
              <w:t>项目预算金额：</w:t>
            </w:r>
            <w:r>
              <w:rPr>
                <w:rFonts w:hint="eastAsia" w:hAnsi="宋体" w:cs="宋体"/>
                <w:color w:val="auto"/>
                <w:kern w:val="2"/>
                <w:szCs w:val="24"/>
                <w:lang w:val="en-US" w:eastAsia="zh-CN"/>
              </w:rPr>
              <w:t>310</w:t>
            </w:r>
            <w:r>
              <w:rPr>
                <w:rFonts w:hint="eastAsia" w:ascii="宋体" w:hAnsi="宋体" w:eastAsia="宋体" w:cs="宋体"/>
                <w:color w:val="auto"/>
                <w:kern w:val="2"/>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12.1</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磋商保证金形式：☑保函  </w:t>
            </w:r>
            <w:r>
              <w:rPr>
                <w:rFonts w:hint="eastAsia" w:ascii="宋体" w:hAnsi="宋体" w:cs="宋体"/>
                <w:color w:val="auto"/>
                <w:sz w:val="24"/>
                <w:lang w:eastAsia="zh-CN"/>
              </w:rPr>
              <w:t>□</w:t>
            </w:r>
            <w:r>
              <w:rPr>
                <w:rFonts w:hint="eastAsia" w:ascii="宋体" w:hAnsi="宋体" w:eastAsia="宋体" w:cs="宋体"/>
                <w:color w:val="auto"/>
                <w:sz w:val="24"/>
              </w:rPr>
              <w:t xml:space="preserve">电汇  □支票   ☑对公转账   </w:t>
            </w:r>
          </w:p>
          <w:p>
            <w:pPr>
              <w:snapToGrid w:val="0"/>
              <w:spacing w:line="3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磋商保证金金额：</w:t>
            </w:r>
            <w:r>
              <w:rPr>
                <w:rFonts w:hint="eastAsia" w:ascii="宋体" w:hAnsi="宋体" w:cs="宋体"/>
                <w:color w:val="auto"/>
                <w:sz w:val="24"/>
                <w:highlight w:val="none"/>
                <w:lang w:val="en-US" w:eastAsia="zh-CN"/>
              </w:rPr>
              <w:t>55000</w:t>
            </w:r>
            <w:r>
              <w:rPr>
                <w:rFonts w:hint="eastAsia" w:ascii="宋体" w:hAnsi="宋体" w:eastAsia="宋体" w:cs="宋体"/>
                <w:color w:val="auto"/>
                <w:sz w:val="24"/>
                <w:highlight w:val="none"/>
              </w:rPr>
              <w:t>元（人民币</w:t>
            </w:r>
            <w:r>
              <w:rPr>
                <w:rFonts w:hint="eastAsia" w:ascii="宋体" w:hAnsi="宋体" w:cs="宋体"/>
                <w:color w:val="auto"/>
                <w:sz w:val="24"/>
                <w:highlight w:val="none"/>
                <w:lang w:val="en-US" w:eastAsia="zh-CN"/>
              </w:rPr>
              <w:t>伍万伍仟</w:t>
            </w:r>
            <w:r>
              <w:rPr>
                <w:rFonts w:hint="eastAsia" w:ascii="宋体" w:hAnsi="宋体" w:eastAsia="宋体" w:cs="宋体"/>
                <w:color w:val="auto"/>
                <w:sz w:val="24"/>
                <w:highlight w:val="none"/>
                <w:lang w:val="en-US" w:eastAsia="zh-CN"/>
              </w:rPr>
              <w:t>元整</w:t>
            </w:r>
            <w:r>
              <w:rPr>
                <w:rFonts w:hint="eastAsia" w:ascii="宋体" w:hAnsi="宋体" w:eastAsia="宋体" w:cs="宋体"/>
                <w:color w:val="auto"/>
                <w:sz w:val="24"/>
                <w:highlight w:val="none"/>
              </w:rPr>
              <w:t>）</w:t>
            </w:r>
          </w:p>
          <w:p>
            <w:pPr>
              <w:spacing w:line="36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保证金收款人：</w:t>
            </w:r>
            <w:r>
              <w:rPr>
                <w:rFonts w:hint="eastAsia" w:ascii="宋体" w:hAnsi="宋体" w:cs="宋体"/>
                <w:b/>
                <w:bCs/>
                <w:color w:val="auto"/>
                <w:sz w:val="24"/>
                <w:highlight w:val="none"/>
                <w:lang w:val="en-US" w:eastAsia="zh-CN"/>
              </w:rPr>
              <w:t>新疆方卓项目管理有限公司</w:t>
            </w:r>
          </w:p>
          <w:p>
            <w:pPr>
              <w:spacing w:line="360" w:lineRule="exact"/>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rPr>
              <w:t>账号：</w:t>
            </w:r>
            <w:r>
              <w:rPr>
                <w:rFonts w:hint="eastAsia" w:ascii="宋体" w:hAnsi="宋体" w:eastAsia="宋体" w:cs="宋体"/>
                <w:b/>
                <w:bCs/>
                <w:color w:val="auto"/>
                <w:sz w:val="24"/>
                <w:highlight w:val="none"/>
                <w:lang w:val="en-US" w:eastAsia="zh-CN"/>
              </w:rPr>
              <w:t>108285557537</w:t>
            </w:r>
          </w:p>
          <w:p>
            <w:pPr>
              <w:spacing w:line="36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开户行：</w:t>
            </w:r>
            <w:r>
              <w:rPr>
                <w:rFonts w:hint="eastAsia" w:ascii="宋体" w:hAnsi="宋体" w:eastAsia="宋体" w:cs="宋体"/>
                <w:b/>
                <w:bCs/>
                <w:color w:val="auto"/>
                <w:sz w:val="24"/>
                <w:highlight w:val="none"/>
                <w:lang w:val="en-US" w:eastAsia="zh-CN"/>
              </w:rPr>
              <w:t>中国银行股份有限公司喀什市克孜都维路支行</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打款时注明投标保证金项目名称。到账截止时间：</w:t>
            </w:r>
            <w:r>
              <w:rPr>
                <w:rFonts w:hint="eastAsia" w:ascii="宋体" w:hAnsi="宋体" w:eastAsia="宋体" w:cs="宋体"/>
                <w:b/>
                <w:bCs/>
                <w:color w:val="auto"/>
                <w:sz w:val="24"/>
                <w:highlight w:val="none"/>
                <w:lang w:val="en-US" w:eastAsia="zh-CN"/>
              </w:rPr>
              <w:t>2023年</w:t>
            </w: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lang w:val="en-US" w:eastAsia="zh-CN"/>
              </w:rPr>
              <w:t>月</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日</w:t>
            </w:r>
            <w:r>
              <w:rPr>
                <w:rFonts w:hint="eastAsia" w:ascii="宋体" w:hAnsi="宋体" w:cs="宋体"/>
                <w:b/>
                <w:bCs/>
                <w:color w:val="auto"/>
                <w:sz w:val="24"/>
                <w:highlight w:val="none"/>
                <w:lang w:val="en-US" w:eastAsia="zh-CN"/>
              </w:rPr>
              <w:t>19</w:t>
            </w:r>
            <w:r>
              <w:rPr>
                <w:rFonts w:hint="eastAsia" w:ascii="宋体" w:hAnsi="宋体" w:eastAsia="宋体" w:cs="宋体"/>
                <w:b/>
                <w:bCs/>
                <w:color w:val="auto"/>
                <w:sz w:val="24"/>
                <w:highlight w:val="none"/>
                <w:lang w:val="en-US" w:eastAsia="zh-CN"/>
              </w:rPr>
              <w:t>：00前</w:t>
            </w:r>
            <w:r>
              <w:rPr>
                <w:rFonts w:hint="eastAsia" w:ascii="宋体" w:hAnsi="宋体" w:cs="宋体"/>
                <w:b/>
                <w:bCs/>
                <w:color w:val="auto"/>
                <w:sz w:val="24"/>
                <w:highlight w:val="none"/>
                <w:lang w:val="en-US" w:eastAsia="zh-CN"/>
              </w:rPr>
              <w:t>（北京时间）</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打款时</w:t>
            </w:r>
            <w:r>
              <w:rPr>
                <w:rFonts w:hint="eastAsia" w:ascii="宋体" w:hAnsi="宋体" w:eastAsia="宋体" w:cs="宋体"/>
                <w:b/>
                <w:bCs/>
                <w:color w:val="auto"/>
                <w:sz w:val="24"/>
                <w:highlight w:val="none"/>
                <w:lang w:eastAsia="zh-CN"/>
              </w:rPr>
              <w:t>必须</w:t>
            </w:r>
            <w:r>
              <w:rPr>
                <w:rFonts w:hint="eastAsia" w:ascii="宋体" w:hAnsi="宋体" w:eastAsia="宋体" w:cs="宋体"/>
                <w:b/>
                <w:bCs/>
                <w:color w:val="auto"/>
                <w:sz w:val="24"/>
                <w:highlight w:val="none"/>
              </w:rPr>
              <w:t>注明投标保证金项目名称</w:t>
            </w:r>
            <w:r>
              <w:rPr>
                <w:rFonts w:hint="eastAsia" w:ascii="宋体" w:hAnsi="宋体" w:eastAsia="宋体" w:cs="宋体"/>
                <w:b/>
                <w:bCs/>
                <w:color w:val="auto"/>
                <w:sz w:val="24"/>
                <w:highlight w:val="none"/>
                <w:lang w:eastAsia="zh-CN"/>
              </w:rPr>
              <w:t>或</w:t>
            </w:r>
            <w:r>
              <w:rPr>
                <w:rFonts w:hint="eastAsia" w:ascii="宋体" w:hAnsi="宋体" w:eastAsia="宋体" w:cs="宋体"/>
                <w:b/>
                <w:bCs/>
                <w:color w:val="auto"/>
                <w:sz w:val="24"/>
                <w:highlight w:val="none"/>
              </w:rPr>
              <w:t>项目编号</w:t>
            </w:r>
            <w:r>
              <w:rPr>
                <w:rFonts w:hint="eastAsia" w:ascii="宋体" w:hAnsi="宋体" w:eastAsia="宋体" w:cs="宋体"/>
                <w:b/>
                <w:bCs/>
                <w:color w:val="auto"/>
                <w:sz w:val="24"/>
                <w:highlight w:val="none"/>
                <w:lang w:eastAsia="zh-CN"/>
              </w:rPr>
              <w:t>（否则视为无效打款）</w:t>
            </w:r>
            <w:r>
              <w:rPr>
                <w:rFonts w:hint="eastAsia" w:ascii="宋体" w:hAnsi="宋体" w:eastAsia="宋体" w:cs="宋体"/>
                <w:b/>
                <w:bCs/>
                <w:color w:val="auto"/>
                <w:sz w:val="24"/>
                <w:highlight w:val="none"/>
              </w:rPr>
              <w:t>。到账截止时间：投标截止时间前</w:t>
            </w:r>
            <w:r>
              <w:rPr>
                <w:rFonts w:hint="eastAsia" w:ascii="宋体" w:hAnsi="宋体" w:eastAsia="宋体" w:cs="宋体"/>
                <w:b/>
                <w:bCs/>
                <w:color w:val="auto"/>
                <w:sz w:val="24"/>
                <w:highlight w:val="none"/>
                <w:lang w:eastAsia="zh-CN"/>
              </w:rPr>
              <w:t>（以到账时间为准，节假日除外）</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打款后请联系是否到账</w:t>
            </w:r>
            <w:r>
              <w:rPr>
                <w:rFonts w:hint="eastAsia" w:ascii="宋体" w:hAnsi="宋体" w:eastAsia="宋体" w:cs="宋体"/>
                <w:b/>
                <w:bCs/>
                <w:color w:val="auto"/>
                <w:sz w:val="24"/>
                <w:highlight w:val="none"/>
                <w:lang w:eastAsia="zh-CN"/>
              </w:rPr>
              <w:t>，本项目不需要换取收据，银行汇款凭证用于投标保证金证明</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如因投标人自身原因打款不成功的，代理公司不承担任何责任。</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rPr>
              <w:t>B</w:t>
            </w:r>
            <w:r>
              <w:rPr>
                <w:rFonts w:hint="eastAsia" w:ascii="宋体" w:hAnsi="宋体" w:eastAsia="宋体" w:cs="宋体"/>
                <w:b/>
                <w:bCs/>
                <w:color w:val="auto"/>
                <w:kern w:val="2"/>
                <w:sz w:val="24"/>
                <w:szCs w:val="24"/>
                <w:lang w:val="en-US" w:eastAsia="zh-CN" w:bidi="ar-SA"/>
              </w:rPr>
              <w:t>：退保证金：（1）评审结束后，未成交供应商的保证金将在5个工作日内退回原账户，供应商不需办理任何手续。备注：保证金退款手续根据《中华人民共和国政府采购法》、《政府采购货物和服务招标投标管理办法》（中华人民共和国财政部令第87号）等相关文件执行。</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4"/>
              </w:rPr>
            </w:pPr>
            <w:r>
              <w:rPr>
                <w:rFonts w:hint="eastAsia" w:ascii="宋体" w:hAnsi="宋体" w:eastAsia="宋体" w:cs="宋体"/>
                <w:b/>
                <w:bCs/>
                <w:color w:val="auto"/>
                <w:kern w:val="2"/>
                <w:sz w:val="24"/>
                <w:szCs w:val="24"/>
                <w:lang w:val="en-US" w:eastAsia="zh-CN" w:bidi="ar-SA"/>
              </w:rPr>
              <w:t>（2）成交供应商的保证金在与采购人签订合同后，把合同扫描件发送至邮箱</w:t>
            </w:r>
            <w:r>
              <w:rPr>
                <w:rFonts w:hint="eastAsia" w:ascii="宋体" w:hAnsi="宋体" w:cs="宋体"/>
                <w:b/>
                <w:bCs/>
                <w:color w:val="auto"/>
                <w:kern w:val="2"/>
                <w:sz w:val="24"/>
                <w:szCs w:val="24"/>
                <w:lang w:val="en-US" w:eastAsia="zh-CN" w:bidi="ar-SA"/>
              </w:rPr>
              <w:t>812673726</w:t>
            </w:r>
            <w:r>
              <w:rPr>
                <w:rFonts w:hint="eastAsia" w:ascii="宋体" w:hAnsi="宋体" w:eastAsia="宋体" w:cs="宋体"/>
                <w:b/>
                <w:bCs/>
                <w:color w:val="auto"/>
                <w:kern w:val="2"/>
                <w:sz w:val="24"/>
                <w:szCs w:val="24"/>
                <w:lang w:val="en-US" w:eastAsia="zh-CN" w:bidi="ar-SA"/>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13.1</w:t>
            </w:r>
          </w:p>
        </w:tc>
        <w:tc>
          <w:tcPr>
            <w:tcW w:w="8115" w:type="dxa"/>
            <w:vAlign w:val="center"/>
          </w:tcPr>
          <w:p>
            <w:pPr>
              <w:snapToGrid w:val="0"/>
              <w:spacing w:line="360" w:lineRule="exact"/>
              <w:textAlignment w:val="baseline"/>
              <w:rPr>
                <w:rFonts w:hint="eastAsia" w:ascii="宋体" w:hAnsi="宋体" w:eastAsia="宋体" w:cs="宋体"/>
                <w:color w:val="auto"/>
                <w:sz w:val="24"/>
                <w:u w:val="single" w:color="000000"/>
              </w:rPr>
            </w:pPr>
            <w:r>
              <w:rPr>
                <w:rFonts w:hint="eastAsia" w:ascii="宋体" w:hAnsi="宋体" w:eastAsia="宋体" w:cs="宋体"/>
                <w:color w:val="auto"/>
                <w:sz w:val="24"/>
              </w:rPr>
              <w:t>磋商有效期：</w:t>
            </w:r>
            <w:r>
              <w:rPr>
                <w:rFonts w:hint="eastAsia" w:ascii="宋体" w:hAnsi="宋体" w:eastAsia="宋体" w:cs="宋体"/>
                <w:color w:val="auto"/>
                <w:sz w:val="24"/>
                <w:u w:val="single" w:color="000000"/>
              </w:rPr>
              <w:t>　</w:t>
            </w:r>
            <w:r>
              <w:rPr>
                <w:rFonts w:hint="eastAsia" w:ascii="宋体" w:hAnsi="宋体" w:eastAsia="宋体" w:cs="宋体"/>
                <w:color w:val="auto"/>
                <w:sz w:val="24"/>
                <w:u w:val="single" w:color="000000"/>
                <w:lang w:val="en-US" w:eastAsia="zh-CN"/>
              </w:rPr>
              <w:t>90</w:t>
            </w:r>
            <w:r>
              <w:rPr>
                <w:rFonts w:hint="eastAsia" w:ascii="宋体" w:hAnsi="宋体" w:eastAsia="宋体" w:cs="宋体"/>
                <w:color w:val="auto"/>
                <w:sz w:val="24"/>
                <w:u w:val="single" w:color="000000"/>
              </w:rPr>
              <w:t>　</w:t>
            </w:r>
            <w:r>
              <w:rPr>
                <w:rFonts w:hint="eastAsia" w:ascii="宋体" w:hAnsi="宋体" w:eastAsia="宋体" w:cs="宋体"/>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14.1</w:t>
            </w:r>
          </w:p>
        </w:tc>
        <w:tc>
          <w:tcPr>
            <w:tcW w:w="8115" w:type="dxa"/>
            <w:vAlign w:val="center"/>
          </w:tcPr>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（2）本项目实行网上投标，采用电子投标文件(供应商须使用 CA 加密设备通过政采云电子投标客户端制作投标文件)。若供应商参与投标，自行承担投标一切费用。</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（3）各供应商应在开标前应确保成为新疆政府采购网正式注册入库供应商，并完成 CA 数字证书申领。因未注册入库、未办理 CA 数字证书等原因造成无法投标或投标失败等后果由供应商自行承担。</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（4）供应商将政采云电子交易客户端下载、安装完成后，可通过账号密码或CA 登录客户端进行投标文件制作。在使用政采云投标客户端时，建议使用 WIN7及以上操作系统 。 客户端请至新疆政府采 购网  400-881-7190 进行咨询。</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（5）供应商在开标时须使用制作加密电子投标文件所使用的 CA 锁及电脑，电脑须提前配置好浏览器（建议使用360浏览器或谷歌浏览器），以便开标时解锁。</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（7）供应商对不见面开评标系统的技术操作咨询，可通过https://edu.zcygov.cn/luban/xinjiang-e-biding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8）各供应商须在投标截止时间前完成在系统上递交电子招标文件。供应商的电子投标文件是经过CA证书加密后上传提交的，任何单位或个人均无法在投标截止时间(即开标时间)之前查看或篡改，不存在泄密风险。（严格按照政采云电子投标流程制作并上传电子投标文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各供应商在投标截止时间前将“投标文件”上传至政采云平台。投标文件包括“报价一览表及资格证明文件”与“商务及技术文件”两部分合并成一册。投标文件应按照招标文件规定的格式填写、签署和盖章，并以.jmbs格式上传至政采云开评标平台（投标文件为正本扫描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所有供应商应在中标公告公示期结束后2个工作日内将纸质版投标文件邮寄至代理机构备案，纸质版投标文件包括“报价一览表及资格证明文件”和“商务及技术文件”两部分，两部分合订成一册递交。(邮寄标书事项会影响退还投标保证金)</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（11）递交数量：正本：壹份、副本：</w:t>
            </w:r>
            <w:r>
              <w:rPr>
                <w:rFonts w:hint="eastAsia" w:ascii="宋体" w:hAnsi="宋体" w:cs="宋体"/>
                <w:b/>
                <w:bCs/>
                <w:color w:val="auto"/>
                <w:kern w:val="2"/>
                <w:sz w:val="24"/>
                <w:szCs w:val="24"/>
                <w:lang w:val="en-US" w:eastAsia="zh-CN" w:bidi="ar-SA"/>
              </w:rPr>
              <w:t>贰</w:t>
            </w:r>
            <w:r>
              <w:rPr>
                <w:rFonts w:hint="eastAsia" w:ascii="宋体" w:hAnsi="宋体" w:eastAsia="宋体" w:cs="宋体"/>
                <w:b/>
                <w:bCs/>
                <w:color w:val="auto"/>
                <w:kern w:val="2"/>
                <w:sz w:val="24"/>
                <w:szCs w:val="24"/>
                <w:lang w:val="en-US" w:eastAsia="zh-CN" w:bidi="ar-SA"/>
              </w:rPr>
              <w:t>份；电子文档1份（以正本为准，副本可以是正本的复印件）</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b/>
                <w:bCs/>
                <w:color w:val="auto"/>
                <w:kern w:val="2"/>
                <w:sz w:val="24"/>
                <w:szCs w:val="24"/>
                <w:lang w:val="en-US" w:eastAsia="zh-CN" w:bidi="ar-SA"/>
              </w:rPr>
            </w:pPr>
            <w:bookmarkStart w:id="912" w:name="_Toc14647"/>
            <w:r>
              <w:rPr>
                <w:rFonts w:hint="eastAsia" w:ascii="宋体" w:hAnsi="宋体" w:eastAsia="宋体" w:cs="宋体"/>
                <w:b/>
                <w:bCs/>
                <w:color w:val="auto"/>
                <w:kern w:val="2"/>
                <w:sz w:val="24"/>
                <w:szCs w:val="24"/>
                <w:lang w:val="en-US" w:eastAsia="zh-CN" w:bidi="ar-SA"/>
              </w:rPr>
              <w:t>纸质投标文件的签署及规定：</w:t>
            </w:r>
            <w:bookmarkEnd w:id="912"/>
            <w:r>
              <w:rPr>
                <w:rFonts w:hint="eastAsia" w:ascii="宋体" w:hAnsi="宋体" w:eastAsia="宋体" w:cs="宋体"/>
                <w:b/>
                <w:bCs/>
                <w:color w:val="auto"/>
                <w:kern w:val="2"/>
                <w:sz w:val="24"/>
                <w:szCs w:val="24"/>
                <w:lang w:val="en-US" w:eastAsia="zh-CN" w:bidi="ar-SA"/>
              </w:rPr>
              <w:t>投标文件的正副本需打印或用不褪色墨水书写，并由供应商的法定代表人或经其正式委托代理人按招标文件规定在投标文件上签字或盖章，并加盖单位印章。</w:t>
            </w:r>
          </w:p>
          <w:p>
            <w:pPr>
              <w:pStyle w:val="3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auto"/>
                <w:sz w:val="24"/>
              </w:rPr>
            </w:pPr>
            <w:r>
              <w:rPr>
                <w:rFonts w:hint="eastAsia" w:ascii="宋体" w:hAnsi="宋体" w:eastAsia="宋体" w:cs="宋体"/>
                <w:b/>
                <w:bCs/>
                <w:color w:val="auto"/>
                <w:kern w:val="2"/>
                <w:sz w:val="24"/>
                <w:szCs w:val="24"/>
                <w:lang w:val="en-US" w:eastAsia="zh-CN" w:bidi="ar-SA"/>
              </w:rPr>
              <w:t>（12）投标文件解密时长（分钟）为30分钟。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8115" w:type="dxa"/>
            <w:vAlign w:val="center"/>
          </w:tcPr>
          <w:p>
            <w:pPr>
              <w:snapToGrid w:val="0"/>
              <w:spacing w:line="360" w:lineRule="exact"/>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磋商截止时间：</w:t>
            </w:r>
            <w:r>
              <w:rPr>
                <w:rFonts w:hint="eastAsia" w:ascii="宋体" w:hAnsi="宋体" w:eastAsia="宋体" w:cs="宋体"/>
                <w:color w:val="auto"/>
                <w:sz w:val="24"/>
                <w:highlight w:val="none"/>
                <w:lang w:eastAsia="zh-CN"/>
              </w:rPr>
              <w:t>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lang w:eastAsia="zh-CN"/>
              </w:rPr>
              <w:t>下</w:t>
            </w:r>
            <w:r>
              <w:rPr>
                <w:rFonts w:hint="eastAsia" w:ascii="宋体" w:hAnsi="宋体" w:eastAsia="宋体" w:cs="宋体"/>
                <w:color w:val="auto"/>
                <w:sz w:val="24"/>
                <w:highlight w:val="none"/>
                <w:lang w:eastAsia="zh-CN"/>
              </w:rPr>
              <w:t>午1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8115" w:type="dxa"/>
            <w:vAlign w:val="center"/>
          </w:tcPr>
          <w:p>
            <w:pPr>
              <w:snapToGrid w:val="0"/>
              <w:spacing w:line="360" w:lineRule="exac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磋商</w:t>
            </w:r>
            <w:r>
              <w:rPr>
                <w:rFonts w:hint="eastAsia" w:ascii="宋体" w:hAnsi="宋体" w:eastAsia="宋体" w:cs="宋体"/>
                <w:color w:val="auto"/>
                <w:kern w:val="0"/>
                <w:sz w:val="24"/>
                <w:highlight w:val="none"/>
              </w:rPr>
              <w:t>时间：</w:t>
            </w:r>
            <w:r>
              <w:rPr>
                <w:rFonts w:hint="eastAsia" w:ascii="宋体" w:hAnsi="宋体" w:eastAsia="宋体" w:cs="宋体"/>
                <w:color w:val="auto"/>
                <w:sz w:val="24"/>
                <w:highlight w:val="none"/>
                <w:lang w:eastAsia="zh-CN"/>
              </w:rPr>
              <w:t>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日</w:t>
            </w:r>
            <w:r>
              <w:rPr>
                <w:rFonts w:hint="eastAsia" w:ascii="宋体" w:hAnsi="宋体" w:cs="宋体"/>
                <w:color w:val="auto"/>
                <w:sz w:val="24"/>
                <w:highlight w:val="none"/>
                <w:lang w:eastAsia="zh-CN"/>
              </w:rPr>
              <w:t>下</w:t>
            </w:r>
            <w:r>
              <w:rPr>
                <w:rFonts w:hint="eastAsia" w:ascii="宋体" w:hAnsi="宋体" w:eastAsia="宋体" w:cs="宋体"/>
                <w:color w:val="auto"/>
                <w:sz w:val="24"/>
                <w:highlight w:val="none"/>
                <w:lang w:eastAsia="zh-CN"/>
              </w:rPr>
              <w:t>午1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点 00 分（北京时间）</w:t>
            </w:r>
          </w:p>
          <w:p>
            <w:pPr>
              <w:snapToGrid w:val="0"/>
              <w:spacing w:line="36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磋商地点：</w:t>
            </w:r>
            <w:r>
              <w:rPr>
                <w:rFonts w:hint="eastAsia" w:ascii="宋体" w:hAnsi="宋体" w:eastAsia="宋体" w:cs="宋体"/>
                <w:color w:val="auto"/>
                <w:sz w:val="24"/>
                <w:highlight w:val="none"/>
                <w:lang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23.2</w:t>
            </w:r>
          </w:p>
        </w:tc>
        <w:tc>
          <w:tcPr>
            <w:tcW w:w="8115" w:type="dxa"/>
            <w:vAlign w:val="center"/>
          </w:tcPr>
          <w:p>
            <w:pPr>
              <w:snapToGrid w:val="0"/>
              <w:spacing w:line="360" w:lineRule="exact"/>
              <w:textAlignment w:val="baseline"/>
              <w:rPr>
                <w:rFonts w:hint="eastAsia" w:ascii="宋体" w:hAnsi="宋体" w:eastAsia="宋体" w:cs="宋体"/>
                <w:i/>
                <w:color w:val="auto"/>
                <w:sz w:val="24"/>
              </w:rPr>
            </w:pPr>
            <w:r>
              <w:rPr>
                <w:rFonts w:hint="eastAsia" w:ascii="宋体" w:hAnsi="宋体" w:eastAsia="宋体" w:cs="宋体"/>
                <w:color w:val="auto"/>
                <w:sz w:val="24"/>
              </w:rPr>
              <w:t>评审方法：</w:t>
            </w:r>
            <w:r>
              <w:rPr>
                <w:rFonts w:hint="eastAsia" w:ascii="宋体" w:hAnsi="宋体" w:eastAsia="宋体" w:cs="宋体"/>
                <w:color w:val="auto"/>
                <w:sz w:val="24"/>
                <w:u w:val="single" w:color="000000"/>
              </w:rPr>
              <w:t>　综合评分法　</w:t>
            </w:r>
            <w:r>
              <w:rPr>
                <w:rFonts w:hint="eastAsia" w:ascii="宋体" w:hAnsi="宋体" w:eastAsia="宋体" w:cs="宋体"/>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27</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推荐成交候选供应商的数量：</w:t>
            </w:r>
            <w:r>
              <w:rPr>
                <w:rFonts w:hint="eastAsia" w:ascii="宋体" w:hAnsi="宋体" w:eastAsia="宋体" w:cs="宋体"/>
                <w:color w:val="auto"/>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27</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采购人是否委托评审委员会直接确定成交人：</w:t>
            </w:r>
            <w:r>
              <w:rPr>
                <w:rFonts w:hint="eastAsia" w:ascii="宋体" w:hAnsi="宋体" w:eastAsia="宋体" w:cs="宋体"/>
                <w:color w:val="auto"/>
                <w:sz w:val="24"/>
                <w:u w:val="single" w:color="000000"/>
              </w:rPr>
              <w:t xml:space="preserve">  否  </w:t>
            </w:r>
            <w:r>
              <w:rPr>
                <w:rFonts w:hint="eastAsia" w:ascii="宋体" w:hAnsi="宋体" w:eastAsia="宋体" w:cs="宋体"/>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ind w:left="1080" w:leftChars="257" w:hanging="540"/>
              <w:textAlignment w:val="baseline"/>
              <w:rPr>
                <w:rFonts w:hint="eastAsia" w:ascii="宋体" w:hAnsi="宋体" w:eastAsia="宋体" w:cs="宋体"/>
                <w:color w:val="auto"/>
                <w:sz w:val="24"/>
              </w:rPr>
            </w:pPr>
            <w:r>
              <w:rPr>
                <w:rFonts w:hint="eastAsia" w:ascii="宋体" w:hAnsi="宋体" w:eastAsia="宋体" w:cs="宋体"/>
                <w:color w:val="auto"/>
                <w:sz w:val="24"/>
              </w:rPr>
              <w:t>32</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成交服务费：根据发改委价格[2015]299文件：代理服务费按照成交金额的1.</w:t>
            </w:r>
            <w:r>
              <w:rPr>
                <w:rFonts w:hint="eastAsia" w:ascii="宋体" w:hAnsi="宋体" w:cs="宋体"/>
                <w:color w:val="auto"/>
                <w:sz w:val="24"/>
                <w:lang w:val="en-US" w:eastAsia="zh-CN"/>
              </w:rPr>
              <w:t>5</w:t>
            </w:r>
            <w:r>
              <w:rPr>
                <w:rFonts w:hint="eastAsia" w:ascii="宋体" w:hAnsi="宋体" w:eastAsia="宋体" w:cs="宋体"/>
                <w:color w:val="auto"/>
                <w:sz w:val="24"/>
              </w:rPr>
              <w:t>%收取。（由成交供应商支付）</w:t>
            </w:r>
          </w:p>
          <w:p>
            <w:pPr>
              <w:snapToGrid w:val="0"/>
              <w:spacing w:line="360" w:lineRule="exact"/>
              <w:ind w:left="900" w:hanging="900" w:hangingChars="375"/>
              <w:textAlignment w:val="baseline"/>
              <w:rPr>
                <w:rFonts w:hint="eastAsia" w:ascii="宋体" w:hAnsi="宋体" w:eastAsia="宋体" w:cs="宋体"/>
                <w:color w:val="auto"/>
                <w:sz w:val="24"/>
              </w:rPr>
            </w:pPr>
            <w:r>
              <w:rPr>
                <w:rFonts w:hint="eastAsia" w:ascii="宋体" w:hAnsi="宋体" w:eastAsia="宋体" w:cs="宋体"/>
                <w:color w:val="auto"/>
                <w:sz w:val="24"/>
              </w:rPr>
              <w:t>支付形式：</w:t>
            </w:r>
            <w:r>
              <w:rPr>
                <w:rFonts w:hint="eastAsia" w:ascii="宋体" w:hAnsi="宋体" w:eastAsia="宋体" w:cs="宋体"/>
                <w:color w:val="auto"/>
                <w:sz w:val="24"/>
                <w:u w:val="single" w:color="000000"/>
              </w:rPr>
              <w:t xml:space="preserve"> 对公转账  </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支付时间：</w:t>
            </w:r>
            <w:r>
              <w:rPr>
                <w:rFonts w:hint="eastAsia" w:ascii="宋体" w:hAnsi="宋体" w:eastAsia="宋体" w:cs="宋体"/>
                <w:color w:val="auto"/>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33.1</w:t>
            </w:r>
          </w:p>
        </w:tc>
        <w:tc>
          <w:tcPr>
            <w:tcW w:w="8115" w:type="dxa"/>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本项目是否属于信用担保试点范围：  否  </w:t>
            </w:r>
          </w:p>
        </w:tc>
      </w:tr>
    </w:tbl>
    <w:p>
      <w:pPr>
        <w:pStyle w:val="25"/>
        <w:rPr>
          <w:rFonts w:hint="eastAsia" w:ascii="宋体" w:hAnsi="宋体" w:eastAsia="宋体" w:cs="宋体"/>
          <w:color w:val="auto"/>
          <w:sz w:val="24"/>
        </w:rPr>
      </w:pPr>
    </w:p>
    <w:p>
      <w:pPr>
        <w:pStyle w:val="25"/>
        <w:rPr>
          <w:rFonts w:hint="eastAsia" w:ascii="宋体" w:hAnsi="宋体" w:eastAsia="宋体" w:cs="宋体"/>
          <w:color w:val="auto"/>
          <w:sz w:val="24"/>
        </w:rPr>
      </w:pPr>
    </w:p>
    <w:p>
      <w:pPr>
        <w:pStyle w:val="11"/>
        <w:rPr>
          <w:rFonts w:hint="eastAsia" w:ascii="宋体" w:hAnsi="宋体" w:eastAsia="宋体" w:cs="宋体"/>
          <w:color w:val="auto"/>
          <w:sz w:val="24"/>
        </w:rPr>
      </w:pPr>
    </w:p>
    <w:p>
      <w:pPr>
        <w:rPr>
          <w:rFonts w:hint="eastAsia" w:ascii="宋体" w:hAnsi="宋体" w:eastAsia="宋体" w:cs="宋体"/>
          <w:color w:val="auto"/>
          <w:sz w:val="24"/>
        </w:rPr>
      </w:pPr>
    </w:p>
    <w:p>
      <w:pPr>
        <w:snapToGrid w:val="0"/>
        <w:spacing w:line="360" w:lineRule="exact"/>
        <w:jc w:val="both"/>
        <w:textAlignment w:val="baseline"/>
        <w:rPr>
          <w:rFonts w:hint="eastAsia" w:ascii="宋体" w:hAnsi="宋体" w:eastAsia="宋体" w:cs="宋体"/>
          <w:color w:val="auto"/>
          <w:sz w:val="24"/>
        </w:rPr>
      </w:pPr>
    </w:p>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资格性审查表</w:t>
      </w:r>
    </w:p>
    <w:p>
      <w:pPr>
        <w:snapToGrid w:val="0"/>
        <w:spacing w:line="360" w:lineRule="exact"/>
        <w:textAlignment w:val="baseline"/>
        <w:rPr>
          <w:rFonts w:hint="eastAsia" w:ascii="宋体" w:hAnsi="宋体" w:eastAsia="宋体" w:cs="宋体"/>
          <w:color w:val="auto"/>
          <w:sz w:val="24"/>
          <w:lang w:val="en-US" w:eastAsia="zh-CN"/>
        </w:rPr>
      </w:pPr>
    </w:p>
    <w:tbl>
      <w:tblPr>
        <w:tblStyle w:val="35"/>
        <w:tblpPr w:leftFromText="180" w:rightFromText="180" w:vertAnchor="text" w:horzAnchor="page" w:tblpXSpec="center" w:tblpY="116"/>
        <w:tblOverlap w:val="never"/>
        <w:tblW w:w="10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00"/>
        <w:gridCol w:w="1635"/>
        <w:gridCol w:w="1380"/>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88" w:type="dxa"/>
            <w:vMerge w:val="restart"/>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5700" w:type="dxa"/>
            <w:vMerge w:val="restart"/>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评审内容</w:t>
            </w:r>
          </w:p>
        </w:tc>
        <w:tc>
          <w:tcPr>
            <w:tcW w:w="4263" w:type="dxa"/>
            <w:gridSpan w:val="3"/>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88" w:type="dxa"/>
            <w:vMerge w:val="continue"/>
            <w:noWrap w:val="0"/>
            <w:vAlign w:val="center"/>
          </w:tcPr>
          <w:p>
            <w:pPr>
              <w:snapToGrid w:val="0"/>
              <w:spacing w:line="360" w:lineRule="exact"/>
              <w:textAlignment w:val="baseline"/>
              <w:rPr>
                <w:rFonts w:hint="eastAsia" w:ascii="宋体" w:hAnsi="宋体" w:eastAsia="宋体" w:cs="宋体"/>
                <w:color w:val="auto"/>
                <w:sz w:val="24"/>
              </w:rPr>
            </w:pPr>
          </w:p>
        </w:tc>
        <w:tc>
          <w:tcPr>
            <w:tcW w:w="5700" w:type="dxa"/>
            <w:vMerge w:val="continue"/>
            <w:noWrap w:val="0"/>
            <w:vAlign w:val="center"/>
          </w:tcPr>
          <w:p>
            <w:pPr>
              <w:snapToGrid w:val="0"/>
              <w:spacing w:line="360" w:lineRule="exact"/>
              <w:textAlignment w:val="baseline"/>
              <w:rPr>
                <w:rFonts w:hint="eastAsia" w:ascii="宋体" w:hAnsi="宋体" w:eastAsia="宋体" w:cs="宋体"/>
                <w:color w:val="auto"/>
                <w:sz w:val="24"/>
              </w:rPr>
            </w:pPr>
          </w:p>
        </w:tc>
        <w:tc>
          <w:tcPr>
            <w:tcW w:w="1635"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c>
          <w:tcPr>
            <w:tcW w:w="1380"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c>
          <w:tcPr>
            <w:tcW w:w="124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法人本人投标的需提供法人身份证原件；被授权委托人需提供法人授权委托书原件、法人身份证复印件及被授权委托人身份证原件；</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具有良好的商业信誉和健全的财务会计制度，</w:t>
            </w:r>
            <w:r>
              <w:rPr>
                <w:rFonts w:hint="eastAsia" w:ascii="宋体" w:hAnsi="宋体" w:cs="宋体"/>
                <w:color w:val="auto"/>
                <w:sz w:val="24"/>
                <w:lang w:val="en-US" w:eastAsia="zh-CN"/>
              </w:rPr>
              <w:t>提供2021年或2022年经审计的财务报告</w:t>
            </w:r>
            <w:r>
              <w:rPr>
                <w:rFonts w:hint="eastAsia" w:ascii="宋体" w:hAnsi="宋体" w:eastAsia="宋体" w:cs="宋体"/>
                <w:color w:val="auto"/>
                <w:sz w:val="24"/>
                <w:lang w:val="en-US" w:eastAsia="zh-CN"/>
              </w:rPr>
              <w:t>（新公司出具银行资信证明）；</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投标单位（供应商）提供针对本次项目《反商业贿赂承诺书》；</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rPr>
              <w:t>参加政府采购活动前3年内在经营活动中没有重大违法记录的书面声明；</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5700" w:type="dxa"/>
            <w:noWrap w:val="0"/>
            <w:vAlign w:val="center"/>
          </w:tcPr>
          <w:p>
            <w:pPr>
              <w:snapToGrid w:val="0"/>
              <w:spacing w:line="360" w:lineRule="exact"/>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缴纳磋商保证金的</w:t>
            </w:r>
            <w:r>
              <w:rPr>
                <w:rFonts w:hint="eastAsia" w:ascii="宋体" w:hAnsi="宋体" w:cs="宋体"/>
                <w:color w:val="auto"/>
                <w:sz w:val="24"/>
                <w:lang w:val="en-US" w:eastAsia="zh-CN"/>
              </w:rPr>
              <w:t>凭证</w:t>
            </w:r>
            <w:r>
              <w:rPr>
                <w:rFonts w:hint="eastAsia" w:ascii="宋体" w:hAnsi="宋体" w:eastAsia="宋体" w:cs="宋体"/>
                <w:color w:val="auto"/>
                <w:sz w:val="24"/>
                <w:lang w:val="en-US" w:eastAsia="zh-CN"/>
              </w:rPr>
              <w:t>；</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5700" w:type="dxa"/>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88" w:type="dxa"/>
            <w:noWrap w:val="0"/>
            <w:vAlign w:val="center"/>
          </w:tcPr>
          <w:p>
            <w:pPr>
              <w:snapToGrid w:val="0"/>
              <w:spacing w:line="360" w:lineRule="exact"/>
              <w:textAlignment w:val="baseline"/>
              <w:rPr>
                <w:rFonts w:hint="eastAsia" w:ascii="宋体" w:hAnsi="宋体" w:eastAsia="宋体" w:cs="宋体"/>
                <w:color w:val="auto"/>
                <w:sz w:val="24"/>
              </w:rPr>
            </w:pPr>
          </w:p>
        </w:tc>
        <w:tc>
          <w:tcPr>
            <w:tcW w:w="5700" w:type="dxa"/>
            <w:noWrap w:val="0"/>
            <w:vAlign w:val="center"/>
          </w:tcPr>
          <w:p>
            <w:pPr>
              <w:snapToGrid w:val="0"/>
              <w:spacing w:line="36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结论</w:t>
            </w:r>
          </w:p>
        </w:tc>
        <w:tc>
          <w:tcPr>
            <w:tcW w:w="1635" w:type="dxa"/>
            <w:noWrap w:val="0"/>
            <w:vAlign w:val="top"/>
          </w:tcPr>
          <w:p>
            <w:pPr>
              <w:snapToGrid w:val="0"/>
              <w:spacing w:line="360" w:lineRule="exact"/>
              <w:textAlignment w:val="baseline"/>
              <w:rPr>
                <w:rFonts w:hint="eastAsia" w:ascii="宋体" w:hAnsi="宋体" w:eastAsia="宋体" w:cs="宋体"/>
                <w:color w:val="auto"/>
                <w:sz w:val="24"/>
              </w:rPr>
            </w:pPr>
          </w:p>
        </w:tc>
        <w:tc>
          <w:tcPr>
            <w:tcW w:w="1380" w:type="dxa"/>
            <w:noWrap w:val="0"/>
            <w:vAlign w:val="top"/>
          </w:tcPr>
          <w:p>
            <w:pPr>
              <w:snapToGrid w:val="0"/>
              <w:spacing w:line="360" w:lineRule="exact"/>
              <w:textAlignment w:val="baseline"/>
              <w:rPr>
                <w:rFonts w:hint="eastAsia" w:ascii="宋体" w:hAnsi="宋体" w:eastAsia="宋体" w:cs="宋体"/>
                <w:color w:val="auto"/>
                <w:sz w:val="24"/>
              </w:rPr>
            </w:pPr>
          </w:p>
        </w:tc>
        <w:tc>
          <w:tcPr>
            <w:tcW w:w="1248" w:type="dxa"/>
            <w:noWrap w:val="0"/>
            <w:vAlign w:val="top"/>
          </w:tcPr>
          <w:p>
            <w:pPr>
              <w:snapToGrid w:val="0"/>
              <w:spacing w:line="360" w:lineRule="exact"/>
              <w:textAlignment w:val="baseline"/>
              <w:rPr>
                <w:rFonts w:hint="eastAsia" w:ascii="宋体" w:hAnsi="宋体" w:eastAsia="宋体" w:cs="宋体"/>
                <w:color w:val="auto"/>
                <w:sz w:val="24"/>
              </w:rPr>
            </w:pPr>
          </w:p>
        </w:tc>
      </w:tr>
    </w:tbl>
    <w:p>
      <w:pPr>
        <w:snapToGrid w:val="0"/>
        <w:spacing w:line="240" w:lineRule="atLeast"/>
        <w:ind w:left="1080" w:leftChars="257" w:hanging="540"/>
        <w:textAlignment w:val="baseline"/>
        <w:rPr>
          <w:rFonts w:hint="eastAsia" w:ascii="宋体" w:hAnsi="宋体" w:eastAsia="宋体" w:cs="宋体"/>
          <w:color w:val="auto"/>
          <w:sz w:val="24"/>
        </w:rPr>
      </w:pPr>
    </w:p>
    <w:p>
      <w:pPr>
        <w:pStyle w:val="25"/>
        <w:rPr>
          <w:rFonts w:hint="eastAsia" w:ascii="宋体" w:hAnsi="宋体" w:eastAsia="宋体" w:cs="宋体"/>
          <w:color w:val="auto"/>
          <w:sz w:val="24"/>
        </w:rPr>
      </w:pPr>
    </w:p>
    <w:p>
      <w:pPr>
        <w:rPr>
          <w:rFonts w:hint="eastAsia" w:ascii="宋体" w:hAnsi="宋体" w:eastAsia="宋体" w:cs="宋体"/>
          <w:color w:val="auto"/>
          <w:sz w:val="24"/>
        </w:rPr>
      </w:pPr>
    </w:p>
    <w:p>
      <w:pPr>
        <w:pStyle w:val="25"/>
        <w:rPr>
          <w:rFonts w:hint="eastAsia"/>
        </w:rPr>
        <w:sectPr>
          <w:pgSz w:w="11906" w:h="16838"/>
          <w:pgMar w:top="1440" w:right="1797" w:bottom="1440" w:left="1797" w:header="851" w:footer="992" w:gutter="0"/>
          <w:pgNumType w:fmt="decimal"/>
          <w:cols w:space="720" w:num="1"/>
          <w:docGrid w:linePitch="312" w:charSpace="0"/>
        </w:sectPr>
      </w:pPr>
    </w:p>
    <w:p>
      <w:pPr>
        <w:pStyle w:val="25"/>
        <w:rPr>
          <w:rFonts w:hint="eastAsia" w:ascii="宋体" w:hAnsi="宋体" w:eastAsia="宋体" w:cs="宋体"/>
          <w:b/>
          <w:bCs/>
          <w:vanish/>
          <w:color w:val="auto"/>
          <w:sz w:val="24"/>
        </w:rPr>
      </w:pPr>
    </w:p>
    <w:p>
      <w:pPr>
        <w:pStyle w:val="25"/>
        <w:rPr>
          <w:rFonts w:hint="eastAsia" w:ascii="宋体" w:hAnsi="宋体" w:eastAsia="宋体" w:cs="宋体"/>
          <w:b/>
          <w:bCs/>
          <w:vanish/>
          <w:color w:val="auto"/>
          <w:sz w:val="24"/>
        </w:rPr>
      </w:pPr>
    </w:p>
    <w:p>
      <w:pPr>
        <w:pStyle w:val="25"/>
        <w:rPr>
          <w:rFonts w:hint="eastAsia" w:ascii="宋体" w:hAnsi="宋体" w:eastAsia="宋体" w:cs="宋体"/>
          <w:b/>
          <w:bCs/>
          <w:vanish/>
          <w:color w:val="auto"/>
          <w:sz w:val="24"/>
        </w:rPr>
        <w:sectPr>
          <w:pgSz w:w="11905" w:h="16838"/>
          <w:pgMar w:top="1440" w:right="1797" w:bottom="1440" w:left="1797" w:header="851" w:footer="992" w:gutter="0"/>
          <w:pgNumType w:fmt="decimal"/>
          <w:cols w:space="0" w:num="1"/>
          <w:docGrid w:linePitch="312" w:charSpace="0"/>
        </w:sectPr>
      </w:pPr>
    </w:p>
    <w:p>
      <w:pPr>
        <w:pStyle w:val="4"/>
        <w:numPr>
          <w:ilvl w:val="0"/>
          <w:numId w:val="9"/>
        </w:numPr>
        <w:tabs>
          <w:tab w:val="left" w:pos="0"/>
        </w:tabs>
        <w:snapToGrid w:val="0"/>
        <w:spacing w:before="0" w:after="0" w:line="240" w:lineRule="atLeast"/>
        <w:textAlignment w:val="baseline"/>
        <w:rPr>
          <w:rFonts w:hint="eastAsia" w:ascii="宋体" w:hAnsi="宋体" w:eastAsia="宋体" w:cs="宋体"/>
          <w:color w:val="auto"/>
          <w:highlight w:val="none"/>
        </w:rPr>
      </w:pPr>
      <w:bookmarkStart w:id="913" w:name="_Toc23158"/>
      <w:bookmarkStart w:id="914" w:name="_Toc216582826"/>
      <w:bookmarkStart w:id="915" w:name="_Toc219175639"/>
      <w:bookmarkStart w:id="916" w:name="_Toc218935355"/>
      <w:r>
        <w:rPr>
          <w:rFonts w:hint="eastAsia" w:ascii="宋体" w:hAnsi="宋体" w:eastAsia="宋体" w:cs="宋体"/>
          <w:color w:val="auto"/>
          <w:highlight w:val="none"/>
        </w:rPr>
        <w:t>服务需求一览表及项目要求</w:t>
      </w:r>
      <w:bookmarkEnd w:id="913"/>
    </w:p>
    <w:p>
      <w:pPr>
        <w:pStyle w:val="7"/>
        <w:numPr>
          <w:ilvl w:val="3"/>
          <w:numId w:val="0"/>
        </w:numPr>
        <w:spacing w:before="0" w:after="0" w:line="360" w:lineRule="auto"/>
        <w:rPr>
          <w:rFonts w:hint="eastAsia" w:ascii="Times New Roman" w:hAnsi="Times New Roman" w:eastAsia="宋体" w:cs="Times New Roman"/>
          <w:b w:val="0"/>
          <w:kern w:val="2"/>
          <w:sz w:val="28"/>
          <w:szCs w:val="36"/>
          <w:highlight w:val="none"/>
          <w:lang w:val="en-US" w:eastAsia="zh-CN" w:bidi="ar-SA"/>
        </w:rPr>
      </w:pPr>
      <w:bookmarkStart w:id="917" w:name="_Toc16903"/>
    </w:p>
    <w:p>
      <w:pPr>
        <w:rPr>
          <w:rFonts w:hint="eastAsia" w:ascii="Times New Roman" w:hAnsi="Times New Roman" w:eastAsia="宋体" w:cs="Times New Roman"/>
          <w:b w:val="0"/>
          <w:kern w:val="2"/>
          <w:sz w:val="28"/>
          <w:szCs w:val="36"/>
          <w:highlight w:val="none"/>
          <w:lang w:val="en-US" w:eastAsia="zh-CN" w:bidi="ar-SA"/>
        </w:rPr>
      </w:pPr>
    </w:p>
    <w:tbl>
      <w:tblPr>
        <w:tblStyle w:val="35"/>
        <w:tblpPr w:leftFromText="180" w:rightFromText="180" w:vertAnchor="text" w:horzAnchor="page" w:tblpX="1150" w:tblpY="303"/>
        <w:tblOverlap w:val="never"/>
        <w:tblW w:w="10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652"/>
        <w:gridCol w:w="3016"/>
        <w:gridCol w:w="2819"/>
        <w:gridCol w:w="426"/>
        <w:gridCol w:w="536"/>
        <w:gridCol w:w="696"/>
        <w:gridCol w:w="778"/>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1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圆幼" w:hAnsi="圆幼" w:eastAsia="圆幼" w:cs="圆幼"/>
                <w:i w:val="0"/>
                <w:iCs w:val="0"/>
                <w:color w:val="000000"/>
                <w:sz w:val="44"/>
                <w:szCs w:val="44"/>
                <w:u w:val="none"/>
              </w:rPr>
            </w:pPr>
            <w:r>
              <w:rPr>
                <w:rFonts w:hint="default" w:ascii="圆幼" w:hAnsi="圆幼" w:eastAsia="圆幼" w:cs="圆幼"/>
                <w:i w:val="0"/>
                <w:iCs w:val="0"/>
                <w:color w:val="000000"/>
                <w:kern w:val="0"/>
                <w:sz w:val="44"/>
                <w:szCs w:val="44"/>
                <w:u w:val="none"/>
                <w:lang w:val="en-US" w:eastAsia="zh-CN" w:bidi="ar"/>
              </w:rPr>
              <w:t>净化材料采购清单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1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圆幼" w:hAnsi="圆幼" w:eastAsia="圆幼" w:cs="圆幼"/>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主要参数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320X1250mm L=3193mm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500X120mm L=12040mm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630X160mm L=3590mm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800X200mm L=64320mm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800X800mm L=2340mm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1000X250mm L=22820mm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1250X320mm L=27400mm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1600X400mm L=8690mm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500X120/500X120/500X120mm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500X120/500X120/500X120/500X120mm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矩形变径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1000X250/500X120mm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1000×1000/250×630mm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800×800/200×630mm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内外弧形弯头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矩形变径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1250X320/800X200mm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1250X320/800X200/800X200/1250X320mm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矩形变径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1250X320/1000X250mm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1250X320/1250X320/1250X320mm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矩形变径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1000X250/800X200mm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内外弧形弯头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1250X320mm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矩形变径</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1600X400/1250X320mm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1600×400/400×1250mm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800X200/800X200/800X200mm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800X200/800X200/800X200/800X200mm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1000X250/800X200/800X200/1000X250mm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1600X400/800X200/800X200/1600X400mm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风管专用胶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阻燃耐高温，密封胶粘合剂500ml</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插条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对接法兰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斤字法兰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铁角</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帆布接头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风机软连接伸缩式接头，阻燃防火，耐高温</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高效过滤送风口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 × 610mm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过滤效率≥99.9%@≥0.5μm，平均风速1.2-2m/s</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 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高效过滤送风口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 × 320mm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过滤效率≥99.9%@≥0.5μm，平均风速1.2-2m/s</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 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高效过滤送风口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484 × 484mm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过滤效率≥99.9%@≥0.5μm，平均风速1.2-2m/s</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 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高效过滤送风口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 × 610mm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过滤效率≥99.9%@≥0.5μm，平均风速1.2-2m/s</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 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高效过滤送风口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 × 630mm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过滤效率≥99.9%@≥0.5μm，平均风速1.2-2m/s</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 m³/h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方形风口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 × 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带调节阀控制风口大小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风幕</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900×300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FM-1209Z/Y,功率120w，风量1400m³/h</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风幕</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1200×300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FM-1212Z/Y,功率155w，风量2000m³/h</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风幕控制器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500X120mm L=177650mm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630X160mm L=19720mm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800X200mm L=28730mm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800X800mm L=998mm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1250X320mm L=21820mm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圆形风管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φ200mm L=380mm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材质：50型净化板（酚醛板为芯材），含高效过滤送风风口，对开多叶调节阀，过滤网等新风系统管网及用于新风系统配套设备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500X120/500X120/500X120mm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内外弧形弯头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1250X320mm L=21820mm </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500X500/500X120/500X120/500X500mm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800X200/800X200/800X200mm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800X200/500X200/500X200mm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内外弧形弯头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630X160mm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630X160/630X160/630X160mm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630X160/500X160/500X160mm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矩形四通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800X800/500X200/500X120/800X800mm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用于新风系统配套设备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净化板材质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止回阀2</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φ200mm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排气扇管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手动对开多叶调节阀</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500X120mm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手动调节，五档可调风量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手动对开多叶调节阀</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630X160mm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手动调节，五档可调风量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手动对开多叶调节阀</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手动调节，五档可调风量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镀锌板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帆布接头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630X160mm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风机软连接伸缩式接头，阻燃防火，耐高温</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帆布接头</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800X200mm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风机软连接伸缩式接头，阻燃防火，耐高温</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防火、无味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方形风口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 × 260mm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新风系统出风口</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方形风口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 × 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新风系统出风口</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方形风口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 × 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新风系统出风口</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侧墙风口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 × 150mm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侧墙风口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 × 200mm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侧墙风口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 × 260mm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侧墙风口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 × 260mm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侧墙风口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 × 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带调节阀过滤网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锥形风帽</w:t>
            </w:r>
          </w:p>
        </w:tc>
        <w:tc>
          <w:tcPr>
            <w:tcW w:w="30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140.0mm</w:t>
            </w:r>
          </w:p>
        </w:tc>
        <w:tc>
          <w:tcPr>
            <w:tcW w:w="2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半径140mm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插条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对接法兰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斤字法兰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F法兰</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护角</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铁角</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H=20</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马口铁材质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马口铁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净化库板</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双彩0.4 *5cm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聚氨酯50型机制净化板，彩涂板厚度0.42mm容重100kg/m³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双彩聚氨酯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净化门（半埋门）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0.9*19m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聚氨酯50型机制净化板，彩涂板厚度0.42mm容重100kg/m³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双彩聚氨酯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净化对开扫地门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聚氨酯50型机制净化板，彩涂板厚度0.42mm容重100kg/m³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方形风口</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 × 800mm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新风系统配套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带过滤网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喷塑内圆弧角</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配套PVC底座</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内圆弧角底座</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中字铝</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吊顶大五金</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鱼鳞拉爆，螺母，丝杆吊件</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喷塑外圆柱</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120mm*50mm*6000mm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120mm*50mm*6000mm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喷塑外二通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25mm*50mm*6000mm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25mm*50mm*6000mm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喷塑槽铝</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内弧150mm，外弧：200mm*50mm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内弧150mm，外弧：200mm*50mm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喷塑三通</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50mm*50mm*50mm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50mm*50mm*50mm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压差计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2000型空气压差计，0-60pa</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内外压差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净化玻璃胶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DJ-A2-CD03</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耐高温防火密封胶，300ml</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吊筋</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φ8</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两母两垫两弹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发泡胶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b1级防火阻燃，750ml/900g</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T形梁</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80*60*2mm</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铝合金喷塑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食用菌净化机组</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空调专用机，冷量150KW，送风量30000m³/h，风压机外余压800Pa，新风量4000m³/h，与排风风机22000m³/h联动，净化级别万级。</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0度送风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食用菌净化机组</w:t>
            </w:r>
          </w:p>
        </w:tc>
        <w:tc>
          <w:tcPr>
            <w:tcW w:w="583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净化区域万级净化，风量：15000m3/h；  机外静压600Pa  送风机变频；制冷量70kW  制热量70kW+16kW（电加热）；室内机功率 15+16=31kW；室外机功率 24kW</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新风、回风工况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紫外线光波灯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UV-A   120mm  低压金属卤化物</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杀菌、灭菌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净化灯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48w，300*1200mm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无尘照明灯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穿线管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Φ20mm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参观窗</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双层定制成品窗800mm*2000mm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玻璃成套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通道避险指示灯</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功率5w及以下，灯具带光源，电压111v~240v，带指示箭头，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指示停电4小时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6平方</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国标3芯7000w，铜线</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电线</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4平方</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国标3芯5000w,铜线</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插座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双开/四开</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16A,3.5kw</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插座底座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双开/四开</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和插座配套使用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空开</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16A</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63空气开关（磁吹断路器），控制电源接通和断开，</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换气扇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风量600m³/h</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2.2kw</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排潮风机</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22000m³/h</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3kw</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风淋室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不锈钢、单人双吹</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1400*1000*2100mm,1.1kw，12喷球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电控箱</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160kw，1500*800*600mm</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地面底漆</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20公斤每桶，绿色环保底漆</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环氧中涂漆</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20公斤每桶，绿色环保漆</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水性自流地坪漆</w:t>
            </w:r>
          </w:p>
        </w:tc>
        <w:tc>
          <w:tcPr>
            <w:tcW w:w="5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20公斤每桶，绿色环保漆</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43"/>
        <w:rPr>
          <w:rFonts w:hint="eastAsia" w:ascii="Times New Roman" w:hAnsi="Times New Roman" w:eastAsia="宋体" w:cs="Times New Roman"/>
          <w:b w:val="0"/>
          <w:kern w:val="2"/>
          <w:sz w:val="28"/>
          <w:szCs w:val="36"/>
          <w:highlight w:val="none"/>
          <w:lang w:val="en-US" w:eastAsia="zh-CN" w:bidi="ar-SA"/>
        </w:rPr>
      </w:pPr>
    </w:p>
    <w:p>
      <w:pPr>
        <w:pStyle w:val="43"/>
        <w:ind w:left="0" w:leftChars="0" w:firstLine="0" w:firstLineChars="0"/>
        <w:rPr>
          <w:rFonts w:hint="eastAsia" w:ascii="Times New Roman" w:hAnsi="Times New Roman" w:eastAsia="宋体" w:cs="Times New Roman"/>
          <w:b w:val="0"/>
          <w:kern w:val="2"/>
          <w:sz w:val="28"/>
          <w:szCs w:val="36"/>
          <w:highlight w:val="none"/>
          <w:lang w:val="en-US" w:eastAsia="zh-CN" w:bidi="ar-SA"/>
        </w:rPr>
      </w:pPr>
    </w:p>
    <w:p>
      <w:pPr>
        <w:pStyle w:val="7"/>
        <w:numPr>
          <w:ilvl w:val="3"/>
          <w:numId w:val="0"/>
        </w:numPr>
        <w:spacing w:before="0" w:after="0" w:line="360" w:lineRule="auto"/>
        <w:rPr>
          <w:rFonts w:hint="eastAsia" w:ascii="Times New Roman" w:hAnsi="Times New Roman" w:eastAsia="宋体" w:cs="Times New Roman"/>
          <w:b w:val="0"/>
          <w:kern w:val="2"/>
          <w:sz w:val="28"/>
          <w:szCs w:val="36"/>
          <w:highlight w:val="none"/>
          <w:lang w:val="en-US" w:eastAsia="zh-CN" w:bidi="ar-SA"/>
        </w:rPr>
      </w:pPr>
      <w:r>
        <w:rPr>
          <w:rFonts w:hint="eastAsia" w:ascii="Times New Roman" w:hAnsi="Times New Roman" w:eastAsia="宋体" w:cs="Times New Roman"/>
          <w:b w:val="0"/>
          <w:kern w:val="2"/>
          <w:sz w:val="28"/>
          <w:szCs w:val="36"/>
          <w:highlight w:val="none"/>
          <w:lang w:val="en-US" w:eastAsia="zh-CN" w:bidi="ar-SA"/>
        </w:rPr>
        <w:t>交货日期：合同签订后</w:t>
      </w:r>
      <w:r>
        <w:rPr>
          <w:rFonts w:hint="eastAsia" w:ascii="Times New Roman" w:hAnsi="Times New Roman" w:cs="Times New Roman"/>
          <w:b w:val="0"/>
          <w:kern w:val="2"/>
          <w:sz w:val="28"/>
          <w:szCs w:val="36"/>
          <w:highlight w:val="none"/>
          <w:lang w:val="en-US" w:eastAsia="zh-CN" w:bidi="ar-SA"/>
        </w:rPr>
        <w:t>20天</w:t>
      </w:r>
      <w:r>
        <w:rPr>
          <w:rFonts w:hint="eastAsia" w:ascii="Times New Roman" w:hAnsi="Times New Roman" w:eastAsia="宋体" w:cs="Times New Roman"/>
          <w:b w:val="0"/>
          <w:kern w:val="2"/>
          <w:sz w:val="28"/>
          <w:szCs w:val="36"/>
          <w:highlight w:val="none"/>
          <w:lang w:val="en-US" w:eastAsia="zh-CN" w:bidi="ar-SA"/>
        </w:rPr>
        <w:t>内按照要求完成设备的安装调试</w:t>
      </w:r>
    </w:p>
    <w:p>
      <w:pPr>
        <w:spacing w:line="360" w:lineRule="auto"/>
        <w:rPr>
          <w:rFonts w:hint="default"/>
          <w:sz w:val="28"/>
          <w:szCs w:val="36"/>
          <w:highlight w:val="none"/>
          <w:lang w:val="en-US" w:eastAsia="zh-CN"/>
        </w:rPr>
      </w:pPr>
      <w:r>
        <w:rPr>
          <w:rFonts w:hint="eastAsia"/>
          <w:sz w:val="28"/>
          <w:szCs w:val="36"/>
          <w:highlight w:val="none"/>
          <w:lang w:val="en-US" w:eastAsia="zh-CN"/>
        </w:rPr>
        <w:t>支付方式：合同签订完成后预付30%预付款，剩余70%根据设备安装调试进度依次进行支付</w:t>
      </w:r>
    </w:p>
    <w:p>
      <w:pPr>
        <w:spacing w:line="360" w:lineRule="auto"/>
        <w:rPr>
          <w:rFonts w:hint="eastAsia" w:ascii="Times New Roman" w:hAnsi="Times New Roman" w:eastAsia="宋体" w:cs="Times New Roman"/>
          <w:b w:val="0"/>
          <w:kern w:val="2"/>
          <w:sz w:val="28"/>
          <w:szCs w:val="36"/>
          <w:highlight w:val="none"/>
          <w:lang w:val="en-US" w:eastAsia="zh-CN" w:bidi="ar-SA"/>
        </w:rPr>
      </w:pPr>
      <w:r>
        <w:rPr>
          <w:rFonts w:hint="eastAsia" w:ascii="Times New Roman" w:hAnsi="Times New Roman" w:eastAsia="宋体" w:cs="Times New Roman"/>
          <w:b w:val="0"/>
          <w:kern w:val="2"/>
          <w:sz w:val="28"/>
          <w:szCs w:val="36"/>
          <w:highlight w:val="none"/>
          <w:lang w:val="en-US" w:eastAsia="zh-CN" w:bidi="ar-SA"/>
        </w:rPr>
        <w:t>质保期：一年</w:t>
      </w:r>
    </w:p>
    <w:p>
      <w:pPr>
        <w:spacing w:line="360" w:lineRule="auto"/>
        <w:rPr>
          <w:rFonts w:hint="eastAsia"/>
          <w:highlight w:val="yellow"/>
        </w:rPr>
      </w:pPr>
      <w:r>
        <w:rPr>
          <w:rFonts w:hint="eastAsia" w:ascii="宋体" w:hAnsi="宋体" w:eastAsia="宋体" w:cs="宋体"/>
          <w:color w:val="auto"/>
          <w:highlight w:val="yellow"/>
        </w:rPr>
        <w:br w:type="page"/>
      </w:r>
    </w:p>
    <w:p>
      <w:pPr>
        <w:pStyle w:val="25"/>
        <w:rPr>
          <w:rFonts w:hint="eastAsia" w:ascii="宋体" w:hAnsi="宋体" w:eastAsia="宋体" w:cs="宋体"/>
          <w:color w:val="auto"/>
        </w:rPr>
      </w:pPr>
    </w:p>
    <w:p>
      <w:pPr>
        <w:pStyle w:val="4"/>
        <w:tabs>
          <w:tab w:val="left" w:pos="0"/>
        </w:tabs>
        <w:snapToGrid w:val="0"/>
        <w:spacing w:before="0" w:after="0" w:line="240" w:lineRule="atLeast"/>
        <w:jc w:val="center"/>
        <w:textAlignment w:val="baseline"/>
        <w:rPr>
          <w:rFonts w:hint="eastAsia" w:ascii="宋体" w:hAnsi="宋体" w:eastAsia="宋体" w:cs="宋体"/>
          <w:b w:val="0"/>
          <w:color w:val="auto"/>
          <w:sz w:val="24"/>
        </w:rPr>
      </w:pPr>
      <w:r>
        <w:rPr>
          <w:rFonts w:hint="eastAsia" w:ascii="宋体" w:hAnsi="宋体" w:eastAsia="宋体" w:cs="宋体"/>
          <w:color w:val="auto"/>
        </w:rPr>
        <w:t xml:space="preserve">第6章 </w:t>
      </w:r>
      <w:bookmarkStart w:id="918" w:name="_Toc32647"/>
      <w:bookmarkStart w:id="919" w:name="_Toc507399907"/>
      <w:bookmarkStart w:id="920" w:name="_Toc515647832"/>
      <w:bookmarkStart w:id="921" w:name="_Toc7971"/>
      <w:r>
        <w:rPr>
          <w:rFonts w:hint="eastAsia" w:ascii="宋体" w:hAnsi="宋体" w:eastAsia="宋体" w:cs="宋体"/>
          <w:color w:val="auto"/>
        </w:rPr>
        <w:t>评审方法和标准</w:t>
      </w:r>
      <w:bookmarkEnd w:id="914"/>
      <w:bookmarkEnd w:id="915"/>
      <w:bookmarkEnd w:id="916"/>
      <w:bookmarkEnd w:id="917"/>
      <w:bookmarkEnd w:id="918"/>
      <w:bookmarkEnd w:id="919"/>
      <w:bookmarkEnd w:id="920"/>
      <w:bookmarkEnd w:id="921"/>
    </w:p>
    <w:p>
      <w:pPr>
        <w:pStyle w:val="11"/>
        <w:snapToGrid w:val="0"/>
        <w:spacing w:before="0" w:line="400" w:lineRule="exact"/>
        <w:ind w:firstLine="540" w:firstLineChars="225"/>
        <w:textAlignment w:val="baseline"/>
        <w:rPr>
          <w:rFonts w:hint="eastAsia" w:ascii="宋体" w:hAnsi="宋体" w:eastAsia="宋体" w:cs="宋体"/>
          <w:color w:val="auto"/>
        </w:rPr>
      </w:pPr>
      <w:r>
        <w:rPr>
          <w:rFonts w:hint="eastAsia" w:ascii="宋体" w:hAnsi="宋体" w:eastAsia="宋体" w:cs="宋体"/>
          <w:color w:val="auto"/>
        </w:rPr>
        <w:t>本项目将按照磋商文件第一章供应商须知中“五 磋商开启及评审”、“六 确定成交”及本章的规定评标。</w:t>
      </w:r>
    </w:p>
    <w:p>
      <w:pPr>
        <w:widowControl/>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注：1.磋商无效的情形：</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（1）单位负责人为同一人或者存在直接控股、管理关系的不同供应商，其相关磋商将被认定为磋商无效。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（2）若供应商须知资料表中未写明允许采购进口产品，如供应商所投产品为进口产品，其磋商将被认定为磋商无效。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（3）为本项目提供过整体设计、规范编制或者项目管理、监理、检测等服务的供应商，不得再参加本项目上述服务以外的其他采购活动。否则其磋商将被认定为磋商无效。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供应商在磋商过程中不得向采购人提供、给予任何有价值的物品，影响其正常决策行为。一经发现，其将被认定为磋商无效。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（4）供应商报价超过磋商文件规定的预算金额或者分项、分包最高限价的，其磋商将被认定为磋商无效。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 xml:space="preserve"> （6）供应商应当对所投分包磋商文件中“服务需求”所列的所有内容进行磋商，如仅响应某一包中的部分内容，其该包磋商将被认定为磋商无效。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（7）供应商未按本须知第12.1和12.3条规定提交磋商保证金的，其磋商资格将被认定为无效。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8）所有磋商均以人民币报价。供应商的磋商报价应遵守《中华人民共和国价格法》。同时，根据《中华人民共和国政府采购法》第二条的规定，为保证公平竞争，如有服务主体部分的赠与行为，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（9）供应商所报的各分项磋商单价在合同履行过程中是固定不变的，不得以任何理由予以变更。任何包含价格调整要求的磋商，其磋商将被认定为磋商无效。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（10）磋商应在供应商须知资料表中规定时间内保持有效。磋商有效期不满足要求的磋商，其磋商将被认定为磋商无效。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（11）所有响应文件采用不可拆装的胶订方式装订，否则其磋商将被认定为磋商无效。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（12）采购人或采购代理机构将在开标前1个工作日至磋商截止后1小时的期间内查询供应商的信用记录。供应商存在不良信用记录的，其磋商将被认定为磋商无效。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（15）如发现下列情况之一的，其磋商将被认定为磋商无效：</w:t>
      </w:r>
    </w:p>
    <w:p>
      <w:pPr>
        <w:widowControl/>
        <w:snapToGrid w:val="0"/>
        <w:spacing w:line="400" w:lineRule="exact"/>
        <w:textAlignment w:val="baseline"/>
        <w:rPr>
          <w:rFonts w:hint="eastAsia" w:ascii="宋体" w:hAnsi="宋体" w:eastAsia="宋体" w:cs="宋体"/>
          <w:color w:val="auto"/>
          <w:sz w:val="24"/>
        </w:rPr>
      </w:pPr>
      <w:r>
        <w:rPr>
          <w:rFonts w:hint="eastAsia" w:ascii="宋体" w:hAnsi="宋体" w:eastAsia="宋体" w:cs="宋体"/>
          <w:color w:val="auto"/>
          <w:sz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napToGrid w:val="0"/>
        <w:spacing w:line="400" w:lineRule="exact"/>
        <w:textAlignment w:val="baseline"/>
        <w:rPr>
          <w:rFonts w:hint="eastAsia" w:ascii="宋体" w:hAnsi="宋体" w:eastAsia="宋体" w:cs="宋体"/>
          <w:b/>
          <w:bCs/>
          <w:color w:val="auto"/>
          <w:sz w:val="24"/>
        </w:rPr>
      </w:pPr>
      <w:r>
        <w:rPr>
          <w:rFonts w:hint="eastAsia" w:ascii="宋体" w:hAnsi="宋体" w:eastAsia="宋体" w:cs="宋体"/>
          <w:b/>
          <w:bCs/>
          <w:color w:val="auto"/>
          <w:sz w:val="24"/>
        </w:rPr>
        <w:t>2.  根据《政府采购促进中小企业发展管理办法》（财库[2020]46号）</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《关于进一步加大政府采购支持中小企业力度的通知》（财库【2022】19号）</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《财政部</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司法部关于政府采购支持监狱企业发展有关问题的通知》（财库〔2014〕68号）和《三部门联合发布关于促进残疾人就业政府采购政策的通知》（财库〔2017〕141号）的规定，对满足价格扣除条件且在响应文件中提交了《供应商企业类型声明函》或省级以上监狱管理局、戒毒管理局（含新疆生产建设兵团）出具的属于监狱企业的证明文件的供应商，其磋商报价扣除</w:t>
      </w:r>
      <w:r>
        <w:rPr>
          <w:rFonts w:hint="eastAsia" w:ascii="宋体" w:hAnsi="宋体" w:eastAsia="宋体" w:cs="宋体"/>
          <w:b/>
          <w:bCs/>
          <w:color w:val="auto"/>
          <w:sz w:val="24"/>
          <w:u w:val="single"/>
        </w:rPr>
        <w:t>10%</w:t>
      </w:r>
      <w:r>
        <w:rPr>
          <w:rFonts w:hint="eastAsia" w:ascii="宋体" w:hAnsi="宋体" w:eastAsia="宋体" w:cs="宋体"/>
          <w:b/>
          <w:bCs/>
          <w:color w:val="auto"/>
          <w:sz w:val="24"/>
        </w:rPr>
        <w:t>后参与评审。</w:t>
      </w:r>
      <w:r>
        <w:rPr>
          <w:rFonts w:hint="eastAsia" w:ascii="宋体" w:hAnsi="宋体" w:eastAsia="宋体" w:cs="宋体"/>
          <w:b/>
          <w:bCs/>
          <w:color w:val="auto"/>
          <w:sz w:val="24"/>
          <w:lang w:val="en-US" w:eastAsia="zh-CN"/>
        </w:rPr>
        <w:t>对于同时属于小微企业、监狱企业或残疾人福利性单位的，不重复进行投标报价扣除。</w:t>
      </w:r>
    </w:p>
    <w:p>
      <w:pPr>
        <w:widowControl/>
        <w:snapToGrid w:val="0"/>
        <w:spacing w:line="400" w:lineRule="exact"/>
        <w:jc w:val="left"/>
        <w:textAlignment w:val="baseline"/>
        <w:rPr>
          <w:rFonts w:hint="eastAsia" w:ascii="宋体" w:hAnsi="宋体" w:eastAsia="宋体" w:cs="宋体"/>
          <w:color w:val="auto"/>
          <w:sz w:val="24"/>
        </w:rPr>
      </w:pPr>
      <w:r>
        <w:rPr>
          <w:rFonts w:hint="eastAsia" w:ascii="宋体" w:hAnsi="宋体" w:eastAsia="宋体" w:cs="宋体"/>
          <w:color w:val="auto"/>
          <w:sz w:val="24"/>
        </w:rPr>
        <w:t>3.联合协议中约定，小型、微型企业和监狱企业的协议合同金额占到联合体协议合同总金额30%以上的，可给予联合体</w:t>
      </w:r>
      <w:r>
        <w:rPr>
          <w:rFonts w:hint="eastAsia" w:ascii="宋体" w:hAnsi="宋体" w:eastAsia="宋体" w:cs="宋体"/>
          <w:color w:val="auto"/>
          <w:sz w:val="24"/>
          <w:u w:val="single" w:color="000000"/>
        </w:rPr>
        <w:t xml:space="preserve"> </w:t>
      </w:r>
      <w:r>
        <w:rPr>
          <w:rFonts w:hint="eastAsia" w:ascii="宋体" w:hAnsi="宋体" w:eastAsia="宋体" w:cs="宋体"/>
          <w:color w:val="auto"/>
          <w:sz w:val="24"/>
          <w:u w:val="single" w:color="000000"/>
          <w:lang w:val="en-US" w:eastAsia="zh-CN"/>
        </w:rPr>
        <w:t>/</w:t>
      </w:r>
      <w:r>
        <w:rPr>
          <w:rFonts w:hint="eastAsia" w:ascii="宋体" w:hAnsi="宋体" w:eastAsia="宋体" w:cs="宋体"/>
          <w:color w:val="auto"/>
          <w:sz w:val="24"/>
        </w:rPr>
        <w:t>的价格扣除。</w:t>
      </w:r>
      <w:r>
        <w:rPr>
          <w:rFonts w:hint="eastAsia" w:ascii="宋体" w:hAnsi="宋体" w:eastAsia="宋体" w:cs="宋体"/>
          <w:b/>
          <w:bCs/>
          <w:color w:val="auto"/>
          <w:sz w:val="24"/>
        </w:rPr>
        <w:t>（本项目不适用）</w:t>
      </w:r>
    </w:p>
    <w:p>
      <w:pPr>
        <w:widowControl/>
        <w:snapToGrid w:val="0"/>
        <w:spacing w:line="400" w:lineRule="exact"/>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联合体各方均为小型、微型企业和监狱企业的，联合体视同为小型、微型企业和监狱企业。</w:t>
      </w:r>
    </w:p>
    <w:p>
      <w:pPr>
        <w:pStyle w:val="11"/>
        <w:snapToGrid w:val="0"/>
        <w:spacing w:before="0" w:line="400" w:lineRule="exact"/>
        <w:ind w:left="-61" w:leftChars="-29" w:firstLine="540" w:firstLineChars="225"/>
        <w:textAlignment w:val="baseline"/>
        <w:rPr>
          <w:rFonts w:hint="eastAsia" w:ascii="宋体" w:hAnsi="宋体" w:eastAsia="宋体" w:cs="宋体"/>
          <w:color w:val="auto"/>
        </w:rPr>
      </w:pPr>
      <w:r>
        <w:rPr>
          <w:rFonts w:hint="eastAsia" w:ascii="宋体" w:hAnsi="宋体" w:eastAsia="宋体" w:cs="宋体"/>
          <w:color w:val="auto"/>
        </w:rPr>
        <w:t>4.供应商为提供服务在磋商中伴随磋商的产品如被列入财政部与国家主管部门颁发的节能产品目录或环境标志产品目录或无线局域网产品目录，应提供相关证明，在评标时予以优先采购，具体优惠措施为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u w:val="single" w:color="000000"/>
        </w:rPr>
        <w:t>：供应商所投产品应优先选择《关于印发节能产品政府采购品目清单的通知》（财库〔2019〕19号）、《关于印发环境标志产品政府采购品目清单的通知》（财库〔2019〕18号）目录内的产品。</w:t>
      </w:r>
    </w:p>
    <w:p>
      <w:pPr>
        <w:pStyle w:val="2"/>
        <w:snapToGrid w:val="0"/>
        <w:spacing w:line="400" w:lineRule="exact"/>
        <w:ind w:firstLine="0"/>
        <w:textAlignment w:val="baseline"/>
        <w:rPr>
          <w:rFonts w:hint="eastAsia" w:ascii="宋体" w:hAnsi="宋体" w:eastAsia="宋体" w:cs="宋体"/>
          <w:color w:val="auto"/>
        </w:rPr>
      </w:pPr>
      <w:r>
        <w:rPr>
          <w:rFonts w:hint="eastAsia" w:ascii="宋体" w:hAnsi="宋体" w:eastAsia="宋体" w:cs="宋体"/>
          <w:color w:val="auto"/>
        </w:rPr>
        <w:t>5.</w:t>
      </w:r>
      <w:r>
        <w:rPr>
          <w:rFonts w:hint="eastAsia" w:hAnsi="宋体" w:cs="宋体"/>
          <w:color w:val="auto"/>
          <w:lang w:eastAsia="zh-CN"/>
        </w:rPr>
        <w:t>磋商</w:t>
      </w:r>
      <w:r>
        <w:rPr>
          <w:rFonts w:hint="eastAsia" w:ascii="宋体" w:hAnsi="宋体" w:eastAsia="宋体" w:cs="宋体"/>
          <w:color w:val="auto"/>
        </w:rPr>
        <w:t>：</w:t>
      </w:r>
    </w:p>
    <w:p>
      <w:pPr>
        <w:rPr>
          <w:rFonts w:hint="eastAsia" w:ascii="宋体" w:hAnsi="宋体" w:eastAsia="宋体" w:cs="宋体"/>
          <w:color w:val="auto"/>
          <w:sz w:val="24"/>
        </w:rPr>
      </w:pPr>
      <w:r>
        <w:rPr>
          <w:rFonts w:hint="eastAsia" w:ascii="宋体" w:hAnsi="宋体" w:eastAsia="宋体" w:cs="宋体"/>
          <w:color w:val="auto"/>
          <w:sz w:val="24"/>
        </w:rPr>
        <w:t xml:space="preserve">按照招标文件要求，在投标截止时间之前，开启监控设备，接收投标单位递交的投标文件，投标截止时间后不再接收投标单位递交投标文件，供应商不足3家的，不得开标。 </w:t>
      </w:r>
    </w:p>
    <w:p>
      <w:pPr>
        <w:rPr>
          <w:rFonts w:hint="eastAsia" w:ascii="宋体" w:hAnsi="宋体" w:eastAsia="宋体" w:cs="宋体"/>
          <w:color w:val="auto"/>
          <w:sz w:val="24"/>
        </w:rPr>
      </w:pPr>
      <w:r>
        <w:rPr>
          <w:rFonts w:hint="eastAsia" w:ascii="宋体" w:hAnsi="宋体" w:eastAsia="宋体" w:cs="宋体"/>
          <w:color w:val="auto"/>
          <w:sz w:val="24"/>
        </w:rPr>
        <w:t xml:space="preserve">第一项：宣布会议会场纪律 </w:t>
      </w:r>
    </w:p>
    <w:p>
      <w:pPr>
        <w:rPr>
          <w:rFonts w:hint="eastAsia" w:ascii="宋体" w:hAnsi="宋体" w:eastAsia="宋体" w:cs="宋体"/>
          <w:color w:val="auto"/>
          <w:sz w:val="24"/>
        </w:rPr>
      </w:pPr>
      <w:r>
        <w:rPr>
          <w:rFonts w:hint="eastAsia" w:ascii="宋体" w:hAnsi="宋体" w:eastAsia="宋体" w:cs="宋体"/>
          <w:color w:val="auto"/>
          <w:sz w:val="24"/>
        </w:rPr>
        <w:t xml:space="preserve">与会各位代表保持网络畅通，并保持会场纪律，开标会议主持人宣布开标环节正式开始，各供应商员手机时刻保持畅通，评标专家手机调成静音交由代理公司保管，评标期间不得擅自离开。 </w:t>
      </w:r>
    </w:p>
    <w:p>
      <w:pPr>
        <w:rPr>
          <w:rFonts w:hint="eastAsia" w:ascii="宋体" w:hAnsi="宋体" w:eastAsia="宋体" w:cs="宋体"/>
          <w:color w:val="auto"/>
          <w:sz w:val="24"/>
        </w:rPr>
      </w:pPr>
      <w:r>
        <w:rPr>
          <w:rFonts w:hint="eastAsia" w:ascii="宋体" w:hAnsi="宋体" w:eastAsia="宋体" w:cs="宋体"/>
          <w:color w:val="auto"/>
          <w:sz w:val="24"/>
        </w:rPr>
        <w:t xml:space="preserve">第二项：请投标单位对投标文件进行解密，解密时长为 30 分钟。 </w:t>
      </w:r>
    </w:p>
    <w:p>
      <w:pPr>
        <w:rPr>
          <w:rFonts w:hint="eastAsia" w:ascii="宋体" w:hAnsi="宋体" w:eastAsia="宋体" w:cs="宋体"/>
          <w:color w:val="auto"/>
          <w:sz w:val="24"/>
        </w:rPr>
      </w:pPr>
      <w:r>
        <w:rPr>
          <w:rFonts w:hint="eastAsia" w:ascii="宋体" w:hAnsi="宋体" w:eastAsia="宋体" w:cs="宋体"/>
          <w:color w:val="auto"/>
          <w:sz w:val="24"/>
        </w:rPr>
        <w:t xml:space="preserve">第三项：由采购代理机构开启标书。 </w:t>
      </w:r>
    </w:p>
    <w:p>
      <w:pPr>
        <w:rPr>
          <w:rFonts w:hint="eastAsia" w:ascii="宋体" w:hAnsi="宋体" w:eastAsia="宋体" w:cs="宋体"/>
          <w:color w:val="auto"/>
          <w:sz w:val="24"/>
        </w:rPr>
      </w:pPr>
      <w:r>
        <w:rPr>
          <w:rFonts w:hint="eastAsia" w:ascii="宋体" w:hAnsi="宋体" w:eastAsia="宋体" w:cs="宋体"/>
          <w:color w:val="auto"/>
          <w:sz w:val="24"/>
        </w:rPr>
        <w:t xml:space="preserve">第四项：由磋商小组推选一名组长，负责组织评标。 </w:t>
      </w:r>
    </w:p>
    <w:p>
      <w:pPr>
        <w:rPr>
          <w:rFonts w:hint="eastAsia" w:ascii="宋体" w:hAnsi="宋体" w:eastAsia="宋体" w:cs="宋体"/>
          <w:color w:val="auto"/>
          <w:sz w:val="24"/>
        </w:rPr>
      </w:pPr>
      <w:r>
        <w:rPr>
          <w:rFonts w:hint="eastAsia" w:ascii="宋体" w:hAnsi="宋体" w:eastAsia="宋体" w:cs="宋体"/>
          <w:color w:val="auto"/>
          <w:sz w:val="24"/>
        </w:rPr>
        <w:t xml:space="preserve">第五项：由采购人或采购代理机构当众宣读供应商名称、投标报价及招标文件规定的内容。对于供应商在投标截止期前递交的投标声明，在开标时当众宣读，评标时有效。 </w:t>
      </w:r>
    </w:p>
    <w:p>
      <w:pPr>
        <w:rPr>
          <w:rFonts w:hint="eastAsia" w:ascii="宋体" w:hAnsi="宋体" w:eastAsia="宋体" w:cs="宋体"/>
          <w:color w:val="auto"/>
          <w:sz w:val="24"/>
        </w:rPr>
      </w:pPr>
      <w:r>
        <w:rPr>
          <w:rFonts w:hint="eastAsia" w:ascii="宋体" w:hAnsi="宋体" w:eastAsia="宋体" w:cs="宋体"/>
          <w:color w:val="auto"/>
          <w:sz w:val="24"/>
        </w:rPr>
        <w:t xml:space="preserve">第六项：未宣读投标价格、价格折扣等实质内容，评标时不予承认。 </w:t>
      </w:r>
    </w:p>
    <w:p>
      <w:pPr>
        <w:rPr>
          <w:rFonts w:hint="eastAsia" w:ascii="宋体" w:hAnsi="宋体" w:eastAsia="宋体" w:cs="宋体"/>
          <w:color w:val="auto"/>
          <w:sz w:val="24"/>
        </w:rPr>
      </w:pPr>
      <w:r>
        <w:rPr>
          <w:rFonts w:hint="eastAsia" w:ascii="宋体" w:hAnsi="宋体" w:eastAsia="宋体" w:cs="宋体"/>
          <w:color w:val="auto"/>
          <w:sz w:val="24"/>
        </w:rPr>
        <w:t xml:space="preserve">第七项：采购人或采购代理机构将对开标过程进行记录，由参加开标的各供应商代表在系统上签字确认，工作人员打印并签字，存档备查。 </w:t>
      </w:r>
    </w:p>
    <w:p>
      <w:pPr>
        <w:rPr>
          <w:rFonts w:hint="eastAsia" w:ascii="宋体" w:hAnsi="宋体" w:eastAsia="宋体" w:cs="宋体"/>
          <w:color w:val="auto"/>
          <w:sz w:val="24"/>
        </w:rPr>
      </w:pPr>
      <w:r>
        <w:rPr>
          <w:rFonts w:hint="eastAsia" w:ascii="宋体" w:hAnsi="宋体" w:eastAsia="宋体" w:cs="宋体"/>
          <w:color w:val="auto"/>
          <w:sz w:val="24"/>
        </w:rPr>
        <w:t>第八项：供应商代表对开标过程和开标记录有疑义，以及认为采购人、采购代理机构相关工作人员有需要回避的情形的，应当场提出询问或者回避申请。</w:t>
      </w:r>
    </w:p>
    <w:p>
      <w:pPr>
        <w:rPr>
          <w:rFonts w:hint="eastAsia" w:ascii="宋体" w:hAnsi="宋体" w:eastAsia="宋体" w:cs="宋体"/>
          <w:color w:val="auto"/>
          <w:sz w:val="24"/>
        </w:rPr>
      </w:pPr>
      <w:r>
        <w:rPr>
          <w:rFonts w:hint="eastAsia" w:ascii="宋体" w:hAnsi="宋体" w:eastAsia="宋体" w:cs="宋体"/>
          <w:color w:val="auto"/>
          <w:sz w:val="24"/>
        </w:rPr>
        <w:t>6.评审：</w:t>
      </w:r>
    </w:p>
    <w:p>
      <w:pPr>
        <w:pStyle w:val="11"/>
        <w:snapToGrid w:val="0"/>
        <w:spacing w:before="0" w:line="400" w:lineRule="exact"/>
        <w:textAlignment w:val="baseline"/>
        <w:rPr>
          <w:rFonts w:hint="eastAsia" w:ascii="宋体" w:hAnsi="宋体" w:eastAsia="宋体" w:cs="宋体"/>
          <w:color w:val="auto"/>
          <w:lang w:eastAsia="zh-CN"/>
        </w:rPr>
      </w:pPr>
      <w:r>
        <w:rPr>
          <w:rFonts w:hint="eastAsia" w:ascii="宋体" w:hAnsi="宋体" w:eastAsia="宋体" w:cs="宋体"/>
          <w:color w:val="auto"/>
        </w:rPr>
        <w:t>（1）在政采云平台上自行抽取，共3名组成磋商小组负责评审工作</w:t>
      </w:r>
      <w:r>
        <w:rPr>
          <w:rFonts w:hint="eastAsia" w:ascii="宋体" w:hAnsi="宋体" w:eastAsia="宋体" w:cs="宋体"/>
          <w:color w:val="auto"/>
          <w:lang w:eastAsia="zh-CN"/>
        </w:rPr>
        <w:t>。</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（2）磋商小组应当按照磋商文件中规定的评审方法和标准，对所有响应文件进行资格性审查，再对符合资格要求的供应商的响应文件进行符合性审查，以确定其是否满足磋商文件的实质性要求。</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3）若对于响应磋商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磋商文件的范围或者改变磋商文件的实质性内容。</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4）磋商小组应当按照磋商文件中规定的评审方法和标准，对符合性审查合格的响应文件进行商务和技术评估，综合比较与评价。综合评分法，是指响应文件满足磋商文件全部实质性要求，且按照评审因素的量化指标评审得分最高的供应商为中标候选人的评审方法。</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5）采用综合评分法的，评审结果按评审后得分由高到低顺序排列。得分相同的，按磋商报价由低到高顺序排列。得分且磋商报价相同的并列。响应文件满足磋商文件全部实质性要求，且按照评审因素的量化指标评审得分最高的供应商为排名第一的中标候选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（6）磋商小组成员对需要共同认定的事项存在争议的，应当按照少数服从多数的原则作出结论。持不同意见的磋商成员应当在评标报告上签署不同意见及理由，否则视为同意评标报告。</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7.定标：</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（1）采购代理机构应当在评审结束后2个工作日内将评审报告送采购人。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 xml:space="preserve">（3）成交候选人并列式时的处理方式：评审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（4）采购人在收到评审报告5个工作日内未按评审报告推荐的成交候选人顺序确定成交人，又不能说明合法理由的，视同按评审报告推荐的顺序确定排名第一的成交候选人为成交人</w:t>
      </w:r>
    </w:p>
    <w:p>
      <w:pPr>
        <w:widowControl/>
        <w:snapToGrid w:val="0"/>
        <w:spacing w:line="400" w:lineRule="exact"/>
        <w:textAlignment w:val="baseline"/>
        <w:rPr>
          <w:rFonts w:hint="eastAsia" w:ascii="宋体" w:hAnsi="宋体" w:eastAsia="宋体" w:cs="宋体"/>
          <w:color w:val="auto"/>
          <w:sz w:val="24"/>
        </w:rPr>
      </w:pPr>
      <w:bookmarkStart w:id="922" w:name="_Toc18284"/>
      <w:r>
        <w:rPr>
          <w:rFonts w:hint="eastAsia" w:ascii="宋体" w:hAnsi="宋体" w:eastAsia="宋体" w:cs="宋体"/>
          <w:color w:val="auto"/>
          <w:sz w:val="24"/>
        </w:rPr>
        <w:t>8.评审标准：（具体详见综合评分表）</w:t>
      </w:r>
    </w:p>
    <w:p>
      <w:pPr>
        <w:pStyle w:val="11"/>
        <w:snapToGrid w:val="0"/>
        <w:spacing w:before="0" w:line="400" w:lineRule="exact"/>
        <w:textAlignment w:val="baseline"/>
        <w:rPr>
          <w:rFonts w:hint="eastAsia" w:ascii="宋体" w:hAnsi="宋体" w:eastAsia="宋体" w:cs="宋体"/>
          <w:color w:val="auto"/>
        </w:rPr>
      </w:pPr>
      <w:r>
        <w:rPr>
          <w:rFonts w:hint="eastAsia" w:ascii="宋体" w:hAnsi="宋体" w:eastAsia="宋体" w:cs="宋体"/>
          <w:color w:val="auto"/>
        </w:rPr>
        <w:t>（1）价格评分占</w:t>
      </w:r>
      <w:r>
        <w:rPr>
          <w:rFonts w:hint="eastAsia" w:cs="宋体"/>
          <w:color w:val="auto"/>
          <w:lang w:val="en-US" w:eastAsia="zh-CN"/>
        </w:rPr>
        <w:t>1</w:t>
      </w:r>
      <w:r>
        <w:rPr>
          <w:rFonts w:hint="eastAsia" w:ascii="宋体" w:hAnsi="宋体" w:eastAsia="宋体" w:cs="宋体"/>
          <w:color w:val="auto"/>
          <w:lang w:val="en-US" w:eastAsia="zh-CN"/>
        </w:rPr>
        <w:t>0</w:t>
      </w:r>
      <w:r>
        <w:rPr>
          <w:rFonts w:hint="eastAsia" w:ascii="宋体" w:hAnsi="宋体" w:eastAsia="宋体" w:cs="宋体"/>
          <w:color w:val="auto"/>
        </w:rPr>
        <w:t>%，完全满足磋商文件参数的报价中的最低价为评标基准价，按照下列公式计算每个投标人的投标价格得分。投标报价得分＝（基准价/投标报价）×价格权重×100。</w:t>
      </w:r>
    </w:p>
    <w:p>
      <w:pPr>
        <w:snapToGrid w:val="0"/>
        <w:spacing w:line="300" w:lineRule="auto"/>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w:t>
      </w:r>
      <w:r>
        <w:rPr>
          <w:rFonts w:hint="eastAsia" w:ascii="宋体" w:hAnsi="宋体" w:eastAsia="宋体" w:cs="宋体"/>
          <w:color w:val="auto"/>
          <w:kern w:val="2"/>
          <w:sz w:val="24"/>
          <w:szCs w:val="24"/>
          <w:highlight w:val="none"/>
          <w:lang w:val="en-US" w:eastAsia="zh-CN" w:bidi="ar-SA"/>
        </w:rPr>
        <w:t>）商务</w:t>
      </w:r>
      <w:bookmarkStart w:id="923" w:name="_Toc19292"/>
      <w:bookmarkStart w:id="924" w:name="_Toc5480"/>
      <w:bookmarkStart w:id="925" w:name="_Toc11629"/>
      <w:bookmarkStart w:id="926" w:name="_Toc4807"/>
      <w:bookmarkStart w:id="927" w:name="_Toc25232"/>
      <w:bookmarkStart w:id="928" w:name="_Toc833"/>
      <w:bookmarkStart w:id="929" w:name="_Toc1826"/>
      <w:bookmarkStart w:id="930" w:name="_Toc5997"/>
      <w:bookmarkStart w:id="931" w:name="_Toc9048"/>
      <w:bookmarkStart w:id="932" w:name="_Toc3722"/>
      <w:bookmarkStart w:id="933" w:name="_Toc4729"/>
      <w:bookmarkStart w:id="934" w:name="_Toc10077"/>
      <w:bookmarkStart w:id="935" w:name="_Toc25450"/>
      <w:bookmarkStart w:id="936" w:name="_Toc15607"/>
      <w:r>
        <w:rPr>
          <w:rFonts w:hint="eastAsia" w:ascii="宋体" w:hAnsi="宋体" w:eastAsia="宋体" w:cs="宋体"/>
          <w:color w:val="auto"/>
          <w:kern w:val="2"/>
          <w:sz w:val="24"/>
          <w:szCs w:val="24"/>
          <w:highlight w:val="none"/>
          <w:lang w:val="en-US" w:eastAsia="zh-CN" w:bidi="ar-SA"/>
        </w:rPr>
        <w:t>技术占</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0%</w:t>
      </w:r>
    </w:p>
    <w:p>
      <w:pPr>
        <w:snapToGrid w:val="0"/>
        <w:spacing w:line="300" w:lineRule="auto"/>
        <w:jc w:val="left"/>
        <w:textAlignment w:val="baseline"/>
        <w:rPr>
          <w:rFonts w:hint="eastAsia" w:ascii="宋体" w:hAnsi="宋体" w:eastAsia="宋体" w:cs="宋体"/>
          <w:color w:val="auto"/>
          <w:kern w:val="2"/>
          <w:sz w:val="24"/>
          <w:szCs w:val="24"/>
          <w:lang w:val="en-US" w:eastAsia="zh-CN" w:bidi="ar-SA"/>
        </w:rPr>
      </w:pPr>
    </w:p>
    <w:p>
      <w:pPr>
        <w:snapToGrid w:val="0"/>
        <w:spacing w:line="300" w:lineRule="auto"/>
        <w:jc w:val="center"/>
        <w:textAlignment w:val="baseline"/>
        <w:rPr>
          <w:rFonts w:hint="eastAsia" w:ascii="宋体" w:hAnsi="宋体" w:eastAsia="宋体" w:cs="宋体"/>
          <w:color w:val="auto"/>
          <w:kern w:val="2"/>
          <w:sz w:val="24"/>
          <w:szCs w:val="24"/>
          <w:lang w:val="en-US" w:eastAsia="zh-CN" w:bidi="ar-SA"/>
        </w:rPr>
      </w:pPr>
    </w:p>
    <w:p>
      <w:pPr>
        <w:rPr>
          <w:rFonts w:hint="eastAsia"/>
          <w:color w:val="auto"/>
        </w:rPr>
      </w:pPr>
    </w:p>
    <w:p>
      <w:pPr>
        <w:pStyle w:val="6"/>
        <w:rPr>
          <w:rFonts w:hint="eastAsia"/>
        </w:rPr>
      </w:pPr>
    </w:p>
    <w:p>
      <w:pPr>
        <w:snapToGrid w:val="0"/>
        <w:spacing w:line="300" w:lineRule="auto"/>
        <w:jc w:val="center"/>
        <w:textAlignment w:val="baseline"/>
        <w:outlineLvl w:val="1"/>
        <w:rPr>
          <w:rFonts w:hint="eastAsia" w:ascii="宋体" w:hAnsi="宋体" w:eastAsia="宋体" w:cs="宋体"/>
          <w:b/>
          <w:bCs/>
          <w:color w:val="auto"/>
          <w:sz w:val="24"/>
        </w:rPr>
      </w:pPr>
      <w:r>
        <w:rPr>
          <w:rFonts w:hint="eastAsia" w:ascii="宋体" w:hAnsi="宋体" w:eastAsia="宋体" w:cs="宋体"/>
          <w:b/>
          <w:bCs/>
          <w:color w:val="auto"/>
          <w:sz w:val="24"/>
        </w:rPr>
        <w:t>初步评审—资格性审查表</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tbl>
      <w:tblPr>
        <w:tblStyle w:val="35"/>
        <w:tblpPr w:leftFromText="180" w:rightFromText="180" w:vertAnchor="text" w:horzAnchor="page" w:tblpX="1293" w:tblpY="442"/>
        <w:tblOverlap w:val="never"/>
        <w:tblW w:w="95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587"/>
        <w:gridCol w:w="625"/>
        <w:gridCol w:w="643"/>
        <w:gridCol w:w="534"/>
        <w:gridCol w:w="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513" w:type="dxa"/>
            <w:vMerge w:val="restart"/>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6587" w:type="dxa"/>
            <w:vMerge w:val="restart"/>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评审内容</w:t>
            </w:r>
          </w:p>
        </w:tc>
        <w:tc>
          <w:tcPr>
            <w:tcW w:w="2472" w:type="dxa"/>
            <w:gridSpan w:val="4"/>
            <w:tcBorders>
              <w:top w:val="single" w:color="auto" w:sz="12" w:space="0"/>
              <w:left w:val="single" w:color="auto" w:sz="4" w:space="0"/>
              <w:bottom w:val="single" w:color="auto" w:sz="4" w:space="0"/>
              <w:right w:val="single" w:color="auto" w:sz="12"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trPr>
        <w:tc>
          <w:tcPr>
            <w:tcW w:w="513" w:type="dxa"/>
            <w:vMerge w:val="continue"/>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587" w:type="dxa"/>
            <w:vMerge w:val="continue"/>
            <w:tcBorders>
              <w:top w:val="single" w:color="auto" w:sz="12" w:space="0"/>
              <w:left w:val="single" w:color="auto" w:sz="12"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25" w:type="dxa"/>
            <w:tcBorders>
              <w:top w:val="single" w:color="auto" w:sz="4" w:space="0"/>
              <w:left w:val="single" w:color="auto" w:sz="4" w:space="0"/>
              <w:bottom w:val="single" w:color="auto" w:sz="6" w:space="0"/>
              <w:right w:val="single" w:color="auto" w:sz="4" w:space="0"/>
            </w:tcBorders>
            <w:noWrap w:val="0"/>
            <w:vAlign w:val="top"/>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643" w:type="dxa"/>
            <w:tcBorders>
              <w:top w:val="single" w:color="auto" w:sz="4" w:space="0"/>
              <w:left w:val="single" w:color="auto" w:sz="4" w:space="0"/>
              <w:bottom w:val="single" w:color="auto" w:sz="6" w:space="0"/>
              <w:right w:val="single" w:color="auto" w:sz="6" w:space="0"/>
            </w:tcBorders>
            <w:noWrap w:val="0"/>
            <w:vAlign w:val="top"/>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534" w:type="dxa"/>
            <w:tcBorders>
              <w:top w:val="single" w:color="auto" w:sz="6" w:space="0"/>
              <w:left w:val="single" w:color="auto" w:sz="6"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w:t>
            </w:r>
          </w:p>
        </w:tc>
        <w:tc>
          <w:tcPr>
            <w:tcW w:w="670" w:type="dxa"/>
            <w:tcBorders>
              <w:top w:val="single" w:color="auto" w:sz="6" w:space="0"/>
              <w:left w:val="single" w:color="auto" w:sz="6" w:space="0"/>
              <w:bottom w:val="single" w:color="auto" w:sz="6" w:space="0"/>
              <w:right w:val="single" w:color="auto" w:sz="12"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1</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eastAsia="zh-CN"/>
              </w:rPr>
              <w:t>具有相应经营范围的营业执照</w:t>
            </w:r>
            <w:r>
              <w:rPr>
                <w:rFonts w:hint="eastAsia" w:ascii="宋体" w:hAnsi="宋体" w:eastAsia="宋体" w:cs="宋体"/>
                <w:color w:val="auto"/>
                <w:sz w:val="24"/>
              </w:rPr>
              <w:t>（原件、复印件、影印件均可）</w:t>
            </w:r>
            <w:r>
              <w:rPr>
                <w:rFonts w:hint="eastAsia" w:ascii="宋体" w:hAnsi="宋体" w:eastAsia="宋体" w:cs="宋体"/>
                <w:color w:val="auto"/>
                <w:sz w:val="24"/>
                <w:lang w:eastAsia="zh-CN"/>
              </w:rPr>
              <w:t>；</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2</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法人本人投标的需提供法人身份证原件；被授权委托人需提供法人授权委托书原件、法人身份证复印件及被授权委托人身份证原件；</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3</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具有良好的商业信誉和健全的财务会计制度，</w:t>
            </w:r>
            <w:r>
              <w:rPr>
                <w:rFonts w:hint="eastAsia" w:ascii="宋体" w:hAnsi="宋体" w:cs="宋体"/>
                <w:color w:val="auto"/>
                <w:sz w:val="24"/>
                <w:lang w:val="en-US" w:eastAsia="zh-CN"/>
              </w:rPr>
              <w:t>提供2022年经审计的财务报告</w:t>
            </w:r>
            <w:r>
              <w:rPr>
                <w:rFonts w:hint="eastAsia" w:ascii="宋体" w:hAnsi="宋体" w:eastAsia="宋体" w:cs="宋体"/>
                <w:color w:val="auto"/>
                <w:sz w:val="24"/>
                <w:lang w:val="en-US" w:eastAsia="zh-CN"/>
              </w:rPr>
              <w:t>（新公司出具银行资信证明）；</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4</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个月的社会保险社保缴纳凭证；公司依法缴纳近</w:t>
            </w:r>
            <w:r>
              <w:rPr>
                <w:rFonts w:hint="eastAsia" w:ascii="宋体" w:hAnsi="宋体" w:eastAsia="宋体" w:cs="宋体"/>
                <w:color w:val="auto"/>
                <w:sz w:val="24"/>
                <w:lang w:eastAsia="zh-CN"/>
              </w:rPr>
              <w:t>一</w:t>
            </w:r>
            <w:r>
              <w:rPr>
                <w:rFonts w:hint="eastAsia" w:ascii="宋体" w:hAnsi="宋体" w:eastAsia="宋体" w:cs="宋体"/>
                <w:color w:val="auto"/>
                <w:sz w:val="24"/>
              </w:rPr>
              <w:t>个月的税收良好记录证明；</w:t>
            </w:r>
            <w:r>
              <w:rPr>
                <w:rFonts w:hint="eastAsia" w:ascii="宋体" w:hAnsi="宋体" w:eastAsia="宋体" w:cs="宋体"/>
                <w:color w:val="auto"/>
                <w:sz w:val="24"/>
                <w:lang w:eastAsia="zh-CN"/>
              </w:rPr>
              <w:t>（新公司除外）</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5</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投标单位（供应商）提供针对本次项目《反商业贿赂承诺书》；</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6</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参加政府采购活动前3年内在经营活动中没有重大违法记录的书面声明；</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7</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缴纳磋商保证金的</w:t>
            </w:r>
            <w:r>
              <w:rPr>
                <w:rFonts w:hint="eastAsia" w:ascii="宋体" w:hAnsi="宋体" w:cs="宋体"/>
                <w:color w:val="auto"/>
                <w:sz w:val="24"/>
                <w:lang w:val="en-US" w:eastAsia="zh-CN"/>
              </w:rPr>
              <w:t>凭证</w:t>
            </w:r>
            <w:r>
              <w:rPr>
                <w:rFonts w:hint="eastAsia" w:ascii="宋体" w:hAnsi="宋体" w:eastAsia="宋体" w:cs="宋体"/>
                <w:color w:val="auto"/>
                <w:sz w:val="24"/>
                <w:lang w:val="en-US" w:eastAsia="zh-CN"/>
              </w:rPr>
              <w:t>；</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8</w:t>
            </w:r>
          </w:p>
        </w:tc>
        <w:tc>
          <w:tcPr>
            <w:tcW w:w="6587"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13" w:type="dxa"/>
            <w:tcBorders>
              <w:top w:val="single" w:color="auto" w:sz="6" w:space="0"/>
              <w:left w:val="single" w:color="auto" w:sz="12" w:space="0"/>
              <w:bottom w:val="single" w:color="auto" w:sz="6" w:space="0"/>
              <w:right w:val="single" w:color="auto" w:sz="6" w:space="0"/>
            </w:tcBorders>
            <w:noWrap w:val="0"/>
            <w:vAlign w:val="center"/>
          </w:tcPr>
          <w:p>
            <w:pPr>
              <w:snapToGrid w:val="0"/>
              <w:spacing w:line="34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9</w:t>
            </w:r>
          </w:p>
        </w:tc>
        <w:tc>
          <w:tcPr>
            <w:tcW w:w="6587" w:type="dxa"/>
            <w:tcBorders>
              <w:top w:val="single" w:color="auto" w:sz="6" w:space="0"/>
              <w:left w:val="single" w:color="auto" w:sz="6" w:space="0"/>
              <w:bottom w:val="single" w:color="auto" w:sz="6" w:space="0"/>
              <w:right w:val="single" w:color="auto" w:sz="4" w:space="0"/>
            </w:tcBorders>
            <w:noWrap w:val="0"/>
            <w:vAlign w:val="bottom"/>
          </w:tcPr>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投标人在投标过程中向采购人提供、给予任何有价值的物品，影响其正常决策的行为。</w:t>
            </w:r>
          </w:p>
        </w:tc>
        <w:tc>
          <w:tcPr>
            <w:tcW w:w="625" w:type="dxa"/>
            <w:tcBorders>
              <w:top w:val="single" w:color="auto" w:sz="6" w:space="0"/>
              <w:left w:val="single" w:color="auto" w:sz="4" w:space="0"/>
              <w:bottom w:val="single" w:color="auto" w:sz="6" w:space="0"/>
              <w:right w:val="single" w:color="auto" w:sz="4"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6" w:space="0"/>
              <w:right w:val="single" w:color="auto" w:sz="6" w:space="0"/>
            </w:tcBorders>
            <w:noWrap w:val="0"/>
            <w:vAlign w:val="center"/>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6"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4" w:space="0"/>
              <w:bottom w:val="single" w:color="auto" w:sz="6"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100" w:type="dxa"/>
            <w:gridSpan w:val="2"/>
            <w:tcBorders>
              <w:top w:val="single" w:color="auto" w:sz="6" w:space="0"/>
              <w:left w:val="single" w:color="auto" w:sz="12"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结论：是否通过评审</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未通过初步评审的，为无效投标。</w:t>
            </w:r>
          </w:p>
        </w:tc>
        <w:tc>
          <w:tcPr>
            <w:tcW w:w="625" w:type="dxa"/>
            <w:tcBorders>
              <w:top w:val="single" w:color="auto" w:sz="6" w:space="0"/>
              <w:left w:val="single" w:color="auto" w:sz="4" w:space="0"/>
              <w:bottom w:val="single" w:color="auto" w:sz="12" w:space="0"/>
              <w:right w:val="single" w:color="auto" w:sz="4"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43" w:type="dxa"/>
            <w:tcBorders>
              <w:top w:val="single" w:color="auto" w:sz="6" w:space="0"/>
              <w:left w:val="single" w:color="auto" w:sz="4"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534" w:type="dxa"/>
            <w:tcBorders>
              <w:top w:val="single" w:color="auto" w:sz="6" w:space="0"/>
              <w:left w:val="single" w:color="auto" w:sz="6" w:space="0"/>
              <w:bottom w:val="single" w:color="auto" w:sz="12" w:space="0"/>
              <w:right w:val="single" w:color="auto" w:sz="6" w:space="0"/>
            </w:tcBorders>
            <w:noWrap w:val="0"/>
            <w:vAlign w:val="top"/>
          </w:tcPr>
          <w:p>
            <w:pPr>
              <w:snapToGrid w:val="0"/>
              <w:spacing w:line="340" w:lineRule="exact"/>
              <w:textAlignment w:val="baseline"/>
              <w:rPr>
                <w:rFonts w:hint="eastAsia" w:ascii="宋体" w:hAnsi="宋体" w:eastAsia="宋体" w:cs="宋体"/>
                <w:color w:val="auto"/>
                <w:sz w:val="24"/>
              </w:rPr>
            </w:pPr>
          </w:p>
        </w:tc>
        <w:tc>
          <w:tcPr>
            <w:tcW w:w="670" w:type="dxa"/>
            <w:tcBorders>
              <w:top w:val="single" w:color="auto" w:sz="6" w:space="0"/>
              <w:left w:val="single" w:color="auto" w:sz="6" w:space="0"/>
              <w:bottom w:val="single" w:color="auto" w:sz="12" w:space="0"/>
              <w:right w:val="single" w:color="auto" w:sz="12" w:space="0"/>
            </w:tcBorders>
            <w:noWrap w:val="0"/>
            <w:vAlign w:val="top"/>
          </w:tcPr>
          <w:p>
            <w:pPr>
              <w:snapToGrid w:val="0"/>
              <w:spacing w:line="340" w:lineRule="exact"/>
              <w:textAlignment w:val="baseline"/>
              <w:rPr>
                <w:rFonts w:hint="eastAsia" w:ascii="宋体" w:hAnsi="宋体" w:eastAsia="宋体" w:cs="宋体"/>
                <w:color w:val="auto"/>
                <w:sz w:val="24"/>
              </w:rPr>
            </w:pPr>
          </w:p>
        </w:tc>
      </w:tr>
    </w:tbl>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说明：（1）上述各项中用“√”表示通过，“×”表示不通过；</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（2）上述各项中如有一项为“×”，则结论为“×”，表示该磋商文件中存在重大偏差，不能通过初步评审；评委对某一分项评审认为不合格时，必须要写明原因。</w:t>
      </w:r>
    </w:p>
    <w:p>
      <w:pPr>
        <w:snapToGrid w:val="0"/>
        <w:spacing w:line="340" w:lineRule="exact"/>
        <w:textAlignment w:val="baseline"/>
        <w:rPr>
          <w:rFonts w:hint="eastAsia" w:ascii="宋体" w:hAnsi="宋体" w:eastAsia="宋体" w:cs="宋体"/>
          <w:color w:val="auto"/>
          <w:sz w:val="24"/>
        </w:rPr>
      </w:pPr>
      <w:r>
        <w:rPr>
          <w:rFonts w:hint="eastAsia" w:ascii="宋体" w:hAnsi="宋体" w:eastAsia="宋体" w:cs="宋体"/>
          <w:color w:val="auto"/>
          <w:sz w:val="24"/>
        </w:rPr>
        <w:t>（3）磋商文件最终合格与否，以所有评委的评审意见中少数服从多数为原则定论。</w:t>
      </w:r>
    </w:p>
    <w:p>
      <w:pPr>
        <w:snapToGrid w:val="0"/>
        <w:spacing w:line="340" w:lineRule="exact"/>
        <w:textAlignment w:val="baseline"/>
        <w:rPr>
          <w:rFonts w:hint="eastAsia" w:ascii="宋体" w:hAnsi="宋体" w:eastAsia="宋体" w:cs="宋体"/>
          <w:b/>
          <w:color w:val="auto"/>
          <w:sz w:val="28"/>
          <w:szCs w:val="28"/>
        </w:rPr>
      </w:pPr>
      <w:r>
        <w:rPr>
          <w:rFonts w:hint="eastAsia" w:ascii="宋体" w:hAnsi="宋体" w:eastAsia="宋体" w:cs="宋体"/>
          <w:b/>
          <w:bCs/>
          <w:color w:val="auto"/>
          <w:sz w:val="24"/>
        </w:rPr>
        <w:t>备注：如果磋商文件中有一项未通过上述审查标准，评审委员会将认定整个磋商文件未响应磋商文件而予以废标处理。</w:t>
      </w:r>
      <w:bookmarkStart w:id="937" w:name="_Toc10503"/>
      <w:bookmarkStart w:id="938" w:name="_Toc19893"/>
      <w:bookmarkStart w:id="939" w:name="_Toc13208"/>
      <w:bookmarkStart w:id="940" w:name="_Toc347"/>
      <w:bookmarkStart w:id="941" w:name="_Toc25729"/>
      <w:bookmarkStart w:id="942" w:name="_Toc19552"/>
      <w:bookmarkStart w:id="943" w:name="_Toc22896"/>
      <w:bookmarkStart w:id="944" w:name="_Toc25497"/>
      <w:bookmarkStart w:id="945" w:name="_Toc17473"/>
      <w:bookmarkStart w:id="946" w:name="_Toc11623"/>
      <w:bookmarkStart w:id="947" w:name="_Toc22949"/>
      <w:bookmarkStart w:id="948" w:name="_Toc4026"/>
      <w:bookmarkStart w:id="949" w:name="_Toc23517"/>
      <w:bookmarkStart w:id="950" w:name="_Toc17652"/>
      <w:bookmarkStart w:id="951" w:name="_Toc29597"/>
    </w:p>
    <w:p>
      <w:pPr>
        <w:pStyle w:val="25"/>
        <w:rPr>
          <w:rFonts w:hint="eastAsia" w:ascii="宋体" w:hAnsi="宋体" w:eastAsia="宋体" w:cs="宋体"/>
          <w:b/>
          <w:color w:val="auto"/>
          <w:sz w:val="28"/>
          <w:szCs w:val="28"/>
        </w:rPr>
      </w:pPr>
    </w:p>
    <w:p>
      <w:pPr>
        <w:rPr>
          <w:rFonts w:hint="eastAsia"/>
        </w:rPr>
      </w:pPr>
    </w:p>
    <w:p>
      <w:pPr>
        <w:pStyle w:val="25"/>
        <w:rPr>
          <w:rFonts w:hint="eastAsia"/>
        </w:rPr>
      </w:pPr>
    </w:p>
    <w:p>
      <w:pPr>
        <w:rPr>
          <w:rFonts w:hint="eastAsia"/>
        </w:rPr>
      </w:pPr>
    </w:p>
    <w:p>
      <w:pPr>
        <w:rPr>
          <w:rFonts w:hint="eastAsia"/>
        </w:rPr>
      </w:pPr>
    </w:p>
    <w:p>
      <w:pPr>
        <w:pStyle w:val="2"/>
        <w:snapToGrid w:val="0"/>
        <w:spacing w:line="300" w:lineRule="auto"/>
        <w:ind w:firstLine="0"/>
        <w:jc w:val="center"/>
        <w:textAlignment w:val="baseline"/>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初步评审—符合性审查表</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tbl>
      <w:tblPr>
        <w:tblStyle w:val="35"/>
        <w:tblpPr w:leftFromText="180" w:rightFromText="180" w:vertAnchor="text" w:horzAnchor="page" w:tblpXSpec="center" w:tblpY="262"/>
        <w:tblOverlap w:val="never"/>
        <w:tblW w:w="11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5"/>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1" w:type="dxa"/>
            <w:vMerge w:val="restart"/>
            <w:vAlign w:val="center"/>
          </w:tcPr>
          <w:p>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序号</w:t>
            </w:r>
          </w:p>
        </w:tc>
        <w:tc>
          <w:tcPr>
            <w:tcW w:w="7855" w:type="dxa"/>
            <w:vMerge w:val="restart"/>
            <w:vAlign w:val="center"/>
          </w:tcPr>
          <w:p>
            <w:pPr>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评审内容</w:t>
            </w:r>
          </w:p>
        </w:tc>
        <w:tc>
          <w:tcPr>
            <w:tcW w:w="2410" w:type="dxa"/>
            <w:gridSpan w:val="2"/>
            <w:vAlign w:val="center"/>
          </w:tcPr>
          <w:p>
            <w:pPr>
              <w:spacing w:line="360" w:lineRule="exact"/>
              <w:jc w:val="center"/>
              <w:rPr>
                <w:rFonts w:hint="eastAsia" w:ascii="宋体" w:hAnsi="宋体" w:eastAsia="宋体" w:cs="宋体"/>
                <w:b/>
                <w:color w:val="auto"/>
                <w:szCs w:val="21"/>
              </w:rPr>
            </w:pPr>
            <w:r>
              <w:rPr>
                <w:rFonts w:hint="eastAsia" w:ascii="宋体" w:hAnsi="宋体" w:eastAsia="宋体" w:cs="宋体"/>
                <w:b w:val="0"/>
                <w:bCs/>
                <w:color w:val="auto"/>
                <w:szCs w:val="21"/>
              </w:rPr>
              <w:t>投标人名称及审查情况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51" w:type="dxa"/>
            <w:vMerge w:val="continue"/>
            <w:vAlign w:val="center"/>
          </w:tcPr>
          <w:p>
            <w:pPr>
              <w:spacing w:line="360" w:lineRule="exact"/>
              <w:jc w:val="left"/>
              <w:rPr>
                <w:rFonts w:hint="eastAsia" w:ascii="宋体" w:hAnsi="宋体" w:eastAsia="宋体" w:cs="宋体"/>
                <w:color w:val="auto"/>
                <w:sz w:val="24"/>
              </w:rPr>
            </w:pPr>
          </w:p>
        </w:tc>
        <w:tc>
          <w:tcPr>
            <w:tcW w:w="7855" w:type="dxa"/>
            <w:vMerge w:val="continue"/>
            <w:vAlign w:val="center"/>
          </w:tcPr>
          <w:p>
            <w:pPr>
              <w:spacing w:line="360" w:lineRule="exact"/>
              <w:jc w:val="left"/>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1205"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响应文件的</w:t>
            </w:r>
            <w:r>
              <w:rPr>
                <w:rFonts w:hint="eastAsia" w:ascii="宋体" w:hAnsi="宋体" w:cs="宋体"/>
                <w:sz w:val="21"/>
                <w:szCs w:val="21"/>
                <w:lang w:eastAsia="zh-CN"/>
              </w:rPr>
              <w:t>加密</w:t>
            </w:r>
            <w:r>
              <w:rPr>
                <w:rFonts w:hint="eastAsia" w:ascii="宋体" w:hAnsi="宋体" w:cs="宋体"/>
                <w:sz w:val="21"/>
                <w:szCs w:val="21"/>
              </w:rPr>
              <w:t>和标识符合磋商文件要求；</w:t>
            </w:r>
          </w:p>
        </w:tc>
        <w:tc>
          <w:tcPr>
            <w:tcW w:w="1205" w:type="dxa"/>
            <w:vAlign w:val="center"/>
          </w:tcPr>
          <w:p>
            <w:pPr>
              <w:spacing w:line="360" w:lineRule="exact"/>
              <w:rPr>
                <w:rFonts w:hint="eastAsia" w:ascii="宋体" w:hAnsi="宋体" w:eastAsia="宋体" w:cs="宋体"/>
                <w:color w:val="auto"/>
                <w:spacing w:val="-2"/>
                <w:szCs w:val="21"/>
              </w:rPr>
            </w:pPr>
          </w:p>
        </w:tc>
        <w:tc>
          <w:tcPr>
            <w:tcW w:w="1205" w:type="dxa"/>
            <w:vAlign w:val="center"/>
          </w:tcPr>
          <w:p>
            <w:pPr>
              <w:spacing w:line="360" w:lineRule="exact"/>
              <w:rPr>
                <w:rFonts w:hint="eastAsia" w:ascii="宋体" w:hAnsi="宋体" w:eastAsia="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1" w:type="dxa"/>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按照磋商文件规定和要求密封、签署、盖章；</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按照磋商文件规定交纳磋商保证金；</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磋商报价不高于设定的预算金额；</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lang w:eastAsia="zh-CN"/>
              </w:rPr>
              <w:t>服务</w:t>
            </w:r>
            <w:r>
              <w:rPr>
                <w:rFonts w:hint="eastAsia" w:ascii="宋体" w:hAnsi="宋体" w:cs="宋体"/>
                <w:sz w:val="21"/>
                <w:szCs w:val="21"/>
              </w:rPr>
              <w:t>期符合磋商文件规定期限；</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按照磋商文件规定的格式要求编制响应文件，实质性响应磋商文件内容；</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响应文件不得附有采购人不能接受的条件；</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7855" w:type="dxa"/>
            <w:vAlign w:val="center"/>
          </w:tcPr>
          <w:p>
            <w:pPr>
              <w:pStyle w:val="95"/>
              <w:textAlignment w:val="center"/>
              <w:rPr>
                <w:rFonts w:hint="eastAsia" w:ascii="宋体" w:hAnsi="宋体" w:eastAsia="宋体" w:cs="宋体"/>
                <w:color w:val="auto"/>
                <w:sz w:val="24"/>
              </w:rPr>
            </w:pPr>
            <w:r>
              <w:rPr>
                <w:rFonts w:hint="eastAsia" w:ascii="宋体" w:hAnsi="宋体" w:cs="宋体"/>
                <w:sz w:val="21"/>
                <w:szCs w:val="21"/>
              </w:rPr>
              <w:t>响应文件实质性响应磋商文件要求。</w:t>
            </w:r>
          </w:p>
        </w:tc>
        <w:tc>
          <w:tcPr>
            <w:tcW w:w="1205" w:type="dxa"/>
            <w:vAlign w:val="center"/>
          </w:tcPr>
          <w:p>
            <w:pPr>
              <w:spacing w:line="360" w:lineRule="exact"/>
              <w:jc w:val="center"/>
              <w:rPr>
                <w:rFonts w:hint="eastAsia" w:ascii="宋体" w:hAnsi="宋体" w:eastAsia="宋体" w:cs="宋体"/>
                <w:color w:val="auto"/>
                <w:sz w:val="24"/>
              </w:rPr>
            </w:pPr>
          </w:p>
        </w:tc>
        <w:tc>
          <w:tcPr>
            <w:tcW w:w="1205" w:type="dxa"/>
            <w:vAlign w:val="center"/>
          </w:tcPr>
          <w:p>
            <w:pPr>
              <w:spacing w:line="36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911" w:type="dxa"/>
            <w:gridSpan w:val="3"/>
            <w:vAlign w:val="center"/>
          </w:tcPr>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备注：如发现上述情况之一的，其投标将被否决。</w:t>
            </w:r>
          </w:p>
        </w:tc>
        <w:tc>
          <w:tcPr>
            <w:tcW w:w="1205" w:type="dxa"/>
            <w:vAlign w:val="center"/>
          </w:tcPr>
          <w:p>
            <w:pPr>
              <w:spacing w:line="360" w:lineRule="exact"/>
              <w:jc w:val="center"/>
              <w:rPr>
                <w:rFonts w:hint="eastAsia" w:ascii="宋体" w:hAnsi="宋体" w:eastAsia="宋体" w:cs="宋体"/>
                <w:color w:val="auto"/>
                <w:sz w:val="24"/>
              </w:rPr>
            </w:pPr>
          </w:p>
        </w:tc>
      </w:tr>
    </w:tbl>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说明：</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（1）上述各项中用“√”表示通过，“×”表示不通过；</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hint="eastAsia" w:ascii="宋体" w:hAnsi="宋体" w:eastAsia="宋体" w:cs="宋体"/>
          <w:color w:val="auto"/>
          <w:sz w:val="24"/>
        </w:rPr>
      </w:pPr>
      <w:r>
        <w:rPr>
          <w:rFonts w:hint="eastAsia" w:ascii="宋体" w:hAnsi="宋体" w:eastAsia="宋体" w:cs="宋体"/>
          <w:color w:val="auto"/>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hint="eastAsia" w:ascii="宋体" w:hAnsi="宋体" w:eastAsia="宋体" w:cs="宋体"/>
          <w:b/>
          <w:color w:val="auto"/>
          <w:sz w:val="28"/>
          <w:szCs w:val="28"/>
        </w:rPr>
      </w:pPr>
      <w:r>
        <w:rPr>
          <w:rFonts w:hint="eastAsia" w:ascii="宋体" w:hAnsi="宋体" w:eastAsia="宋体" w:cs="宋体"/>
          <w:b/>
          <w:bCs/>
          <w:color w:val="auto"/>
          <w:sz w:val="24"/>
        </w:rPr>
        <w:t>备注：如果磋商文件中有一项未通过上述审查标准，评审委员会将认定整个磋商文件未响应磋商文件而予以废标处理。</w:t>
      </w:r>
      <w:bookmarkStart w:id="952" w:name="_Toc25310"/>
      <w:bookmarkStart w:id="953" w:name="_Toc20930"/>
      <w:bookmarkStart w:id="954" w:name="_Toc507399904"/>
    </w:p>
    <w:p>
      <w:pPr>
        <w:pStyle w:val="11"/>
        <w:snapToGrid w:val="0"/>
        <w:spacing w:before="0" w:line="360" w:lineRule="exact"/>
        <w:textAlignment w:val="baseline"/>
        <w:rPr>
          <w:rFonts w:hint="eastAsia" w:ascii="宋体" w:hAnsi="宋体" w:eastAsia="宋体" w:cs="宋体"/>
          <w:i/>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pStyle w:val="11"/>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11"/>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rPr>
          <w:rFonts w:hint="eastAsia" w:ascii="宋体" w:hAnsi="宋体" w:eastAsia="宋体" w:cs="宋体"/>
          <w:color w:val="auto"/>
        </w:rPr>
      </w:pPr>
    </w:p>
    <w:tbl>
      <w:tblPr>
        <w:tblStyle w:val="35"/>
        <w:tblW w:w="10035" w:type="dxa"/>
        <w:tblInd w:w="-649" w:type="dxa"/>
        <w:tblLayout w:type="fixed"/>
        <w:tblCellMar>
          <w:top w:w="0" w:type="dxa"/>
          <w:left w:w="108" w:type="dxa"/>
          <w:bottom w:w="0" w:type="dxa"/>
          <w:right w:w="108" w:type="dxa"/>
        </w:tblCellMar>
      </w:tblPr>
      <w:tblGrid>
        <w:gridCol w:w="2790"/>
        <w:gridCol w:w="5729"/>
        <w:gridCol w:w="450"/>
        <w:gridCol w:w="555"/>
        <w:gridCol w:w="511"/>
      </w:tblGrid>
      <w:tr>
        <w:tblPrEx>
          <w:tblCellMar>
            <w:top w:w="0" w:type="dxa"/>
            <w:left w:w="108" w:type="dxa"/>
            <w:bottom w:w="0" w:type="dxa"/>
            <w:right w:w="108" w:type="dxa"/>
          </w:tblCellMar>
        </w:tblPrEx>
        <w:trPr>
          <w:trHeight w:val="368" w:hRule="atLeast"/>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一、商务符合性审查表</w:t>
            </w:r>
          </w:p>
        </w:tc>
      </w:tr>
      <w:tr>
        <w:tblPrEx>
          <w:tblCellMar>
            <w:top w:w="0" w:type="dxa"/>
            <w:left w:w="108" w:type="dxa"/>
            <w:bottom w:w="0" w:type="dxa"/>
            <w:right w:w="108" w:type="dxa"/>
          </w:tblCellMar>
        </w:tblPrEx>
        <w:trPr>
          <w:trHeight w:val="90" w:hRule="atLeast"/>
        </w:trPr>
        <w:tc>
          <w:tcPr>
            <w:tcW w:w="851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审查事项</w:t>
            </w:r>
          </w:p>
        </w:tc>
        <w:tc>
          <w:tcPr>
            <w:tcW w:w="151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磋商文件条款（供应商须知、供应商须知资料表条款号）</w:t>
            </w:r>
          </w:p>
        </w:tc>
        <w:tc>
          <w:tcPr>
            <w:tcW w:w="572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本项目要求</w:t>
            </w:r>
          </w:p>
        </w:tc>
        <w:tc>
          <w:tcPr>
            <w:tcW w:w="45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45"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中小企业投标要求（1.3.6）</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适用</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联合体投标规定</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不接受</w:t>
            </w:r>
            <w:r>
              <w:rPr>
                <w:rFonts w:hint="eastAsia" w:ascii="宋体" w:hAnsi="宋体" w:eastAsia="宋体" w:cs="宋体"/>
                <w:color w:val="auto"/>
                <w:kern w:val="0"/>
                <w:sz w:val="21"/>
                <w:szCs w:val="21"/>
              </w:rPr>
              <w:t>联合体投标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931"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供应商的关联性</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在同一标包内，单位负责人为非同一人或者不存在直接控股、管理关系的不同供应商。</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未发现影响采购人决策行为（1.5）</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供应商在投标过程中未向采购人提供、给予任何有价值的物品，影响其正常决策行为。</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满足投标范围的完整性要求（8.1）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供应商对所投磋商文件中所列的所有内容进行投标。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未包含价格调整要求（11.4）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供应商所报的各分项投标报价在合同履行过程中是固定不变的，不得以任何理由予以变更。</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磋商保证金（12.1）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符合磋商文件要求</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投标有效期满足要求（13.1）</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自提交响应文件截止之日起</w:t>
            </w:r>
            <w:r>
              <w:rPr>
                <w:rFonts w:hint="eastAsia" w:ascii="宋体" w:hAnsi="宋体" w:eastAsia="宋体" w:cs="宋体"/>
                <w:color w:val="auto"/>
                <w:sz w:val="21"/>
                <w:szCs w:val="21"/>
                <w:u w:val="single" w:color="000000"/>
                <w:lang w:val="en-US" w:eastAsia="zh-CN"/>
              </w:rPr>
              <w:t>90</w:t>
            </w:r>
            <w:r>
              <w:rPr>
                <w:rFonts w:hint="eastAsia" w:ascii="宋体" w:hAnsi="宋体" w:eastAsia="宋体" w:cs="宋体"/>
                <w:color w:val="auto"/>
                <w:sz w:val="21"/>
                <w:szCs w:val="21"/>
                <w:u w:val="single" w:color="000000"/>
              </w:rPr>
              <w:t xml:space="preserve"> 日</w:t>
            </w:r>
            <w:r>
              <w:rPr>
                <w:rFonts w:hint="eastAsia" w:ascii="宋体" w:hAnsi="宋体" w:eastAsia="宋体" w:cs="宋体"/>
                <w:color w:val="auto"/>
                <w:sz w:val="21"/>
                <w:szCs w:val="21"/>
              </w:rPr>
              <w:t>历日</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响应文件的签署和盖章符合要求</w:t>
            </w:r>
          </w:p>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（14.2、14.4）</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按照磋商文件规定要求签署、盖章。</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接受价格的算术修正（20.3）</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响应文件报价出现前后不一致的，应按照磋商文件规定的顺序修正。修正后的报价经供应商确认后产生约束力。</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符合强制采购节能产品要求（20.6）</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w:t>
            </w:r>
            <w:r>
              <w:rPr>
                <w:rFonts w:hint="eastAsia" w:ascii="宋体" w:hAnsi="宋体" w:eastAsia="宋体" w:cs="宋体"/>
                <w:i/>
                <w:iCs/>
                <w:color w:val="auto"/>
                <w:kern w:val="0"/>
                <w:sz w:val="21"/>
                <w:szCs w:val="21"/>
                <w:u w:val="single" w:color="000000"/>
              </w:rPr>
              <w:t>不适用</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未发现串通投标（22.2）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未与其他供应商串通投标，或者与招标人串通投标。</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报价说明可以接受（22.2）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供应商的报价明显低于其他通过符合性检查供应商的报价，有可能影响履约的，供应商能按照规定证明其报价合理性。</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无采购人不能接受的附加条件（22.2）</w:t>
            </w:r>
          </w:p>
        </w:tc>
        <w:tc>
          <w:tcPr>
            <w:tcW w:w="5729"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响应文件未含有采购人不能接受的附加条件。</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1"/>
                <w:szCs w:val="21"/>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hint="eastAsia" w:ascii="宋体" w:hAnsi="宋体" w:eastAsia="宋体" w:cs="宋体"/>
                <w:color w:val="auto"/>
                <w:kern w:val="0"/>
                <w:sz w:val="24"/>
              </w:rPr>
            </w:pPr>
          </w:p>
        </w:tc>
      </w:tr>
      <w:tr>
        <w:tblPrEx>
          <w:tblCellMar>
            <w:top w:w="0" w:type="dxa"/>
            <w:left w:w="108" w:type="dxa"/>
            <w:bottom w:w="0" w:type="dxa"/>
            <w:right w:w="108" w:type="dxa"/>
          </w:tblCellMar>
        </w:tblPrEx>
        <w:trPr>
          <w:trHeight w:val="774" w:hRule="atLeast"/>
        </w:trPr>
        <w:tc>
          <w:tcPr>
            <w:tcW w:w="851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b/>
                <w:color w:val="auto"/>
                <w:sz w:val="24"/>
              </w:rPr>
            </w:pPr>
            <w:r>
              <w:rPr>
                <w:rFonts w:hint="eastAsia" w:ascii="宋体" w:hAnsi="宋体" w:eastAsia="宋体" w:cs="宋体"/>
                <w:b/>
                <w:color w:val="auto"/>
                <w:kern w:val="0"/>
                <w:sz w:val="24"/>
              </w:rPr>
              <w:t>结论</w:t>
            </w:r>
          </w:p>
        </w:tc>
        <w:tc>
          <w:tcPr>
            <w:tcW w:w="45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c>
          <w:tcPr>
            <w:tcW w:w="5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c>
          <w:tcPr>
            <w:tcW w:w="511"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hint="eastAsia" w:ascii="宋体" w:hAnsi="宋体" w:eastAsia="宋体" w:cs="宋体"/>
                <w:color w:val="auto"/>
                <w:kern w:val="0"/>
                <w:sz w:val="24"/>
              </w:rPr>
            </w:pPr>
          </w:p>
        </w:tc>
      </w:tr>
    </w:tbl>
    <w:p>
      <w:pPr>
        <w:pStyle w:val="11"/>
        <w:snapToGrid w:val="0"/>
        <w:spacing w:before="0" w:line="360" w:lineRule="exact"/>
        <w:ind w:left="-181" w:leftChars="-86" w:firstLine="660" w:firstLineChars="275"/>
        <w:textAlignment w:val="baseline"/>
        <w:rPr>
          <w:rFonts w:hint="eastAsia" w:ascii="宋体" w:hAnsi="宋体" w:eastAsia="宋体" w:cs="宋体"/>
          <w:b/>
          <w:color w:val="auto"/>
          <w:sz w:val="28"/>
          <w:szCs w:val="28"/>
        </w:rPr>
      </w:pPr>
      <w:r>
        <w:rPr>
          <w:rFonts w:hint="eastAsia" w:ascii="宋体" w:hAnsi="宋体" w:eastAsia="宋体" w:cs="宋体"/>
          <w:color w:val="auto"/>
        </w:rPr>
        <w:br w:type="page"/>
      </w:r>
      <w:bookmarkStart w:id="955" w:name="_Toc27185"/>
      <w:bookmarkStart w:id="956" w:name="_Toc10809"/>
      <w:bookmarkStart w:id="957" w:name="_Toc19042"/>
      <w:bookmarkStart w:id="958" w:name="_Toc29461"/>
      <w:bookmarkStart w:id="959" w:name="_Toc11838"/>
      <w:bookmarkStart w:id="960" w:name="_Toc25279"/>
      <w:bookmarkStart w:id="961" w:name="_Toc9113"/>
      <w:bookmarkStart w:id="962" w:name="_Toc11236"/>
      <w:bookmarkStart w:id="963" w:name="_Toc26359"/>
      <w:bookmarkStart w:id="964" w:name="_Toc20034"/>
      <w:bookmarkStart w:id="965" w:name="_Toc21660"/>
      <w:bookmarkStart w:id="966" w:name="_Toc26098"/>
      <w:bookmarkStart w:id="967" w:name="_Toc20547"/>
    </w:p>
    <w:p>
      <w:pPr>
        <w:pStyle w:val="25"/>
        <w:rPr>
          <w:rFonts w:hint="eastAsia" w:ascii="宋体" w:hAnsi="宋体" w:eastAsia="宋体" w:cs="宋体"/>
          <w:b/>
          <w:color w:val="auto"/>
          <w:sz w:val="28"/>
          <w:szCs w:val="28"/>
        </w:rPr>
      </w:pPr>
    </w:p>
    <w:p>
      <w:pPr>
        <w:snapToGrid w:val="0"/>
        <w:spacing w:line="240" w:lineRule="atLeast"/>
        <w:ind w:left="1080" w:leftChars="257" w:hanging="540"/>
        <w:jc w:val="center"/>
        <w:textAlignment w:val="baseline"/>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综合评分表</w:t>
      </w:r>
      <w:bookmarkEnd w:id="952"/>
      <w:bookmarkEnd w:id="953"/>
      <w:bookmarkEnd w:id="955"/>
      <w:bookmarkEnd w:id="956"/>
      <w:bookmarkEnd w:id="957"/>
      <w:bookmarkEnd w:id="958"/>
      <w:bookmarkEnd w:id="959"/>
      <w:bookmarkEnd w:id="960"/>
      <w:bookmarkEnd w:id="961"/>
      <w:bookmarkEnd w:id="962"/>
      <w:bookmarkEnd w:id="963"/>
      <w:bookmarkEnd w:id="964"/>
      <w:bookmarkEnd w:id="965"/>
      <w:bookmarkEnd w:id="966"/>
      <w:bookmarkEnd w:id="967"/>
      <w:r>
        <w:rPr>
          <w:rFonts w:hint="eastAsia" w:ascii="宋体" w:hAnsi="宋体" w:eastAsia="宋体" w:cs="宋体"/>
          <w:b/>
          <w:color w:val="auto"/>
          <w:sz w:val="28"/>
          <w:szCs w:val="28"/>
        </w:rPr>
        <w:t xml:space="preserve"> </w:t>
      </w:r>
    </w:p>
    <w:tbl>
      <w:tblPr>
        <w:tblStyle w:val="35"/>
        <w:tblW w:w="9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8"/>
        <w:gridCol w:w="1500"/>
        <w:gridCol w:w="1171"/>
        <w:gridCol w:w="65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jc w:val="center"/>
        </w:trPr>
        <w:tc>
          <w:tcPr>
            <w:tcW w:w="53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序号  </w:t>
            </w:r>
          </w:p>
        </w:tc>
        <w:tc>
          <w:tcPr>
            <w:tcW w:w="1500"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分项指标</w:t>
            </w:r>
          </w:p>
        </w:tc>
        <w:tc>
          <w:tcPr>
            <w:tcW w:w="1171"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分项分值</w:t>
            </w:r>
          </w:p>
        </w:tc>
        <w:tc>
          <w:tcPr>
            <w:tcW w:w="651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价格：</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    商务</w:t>
            </w:r>
            <w:r>
              <w:rPr>
                <w:rFonts w:hint="eastAsia" w:ascii="宋体" w:hAnsi="宋体" w:cs="宋体"/>
                <w:b/>
                <w:bCs/>
                <w:color w:val="auto"/>
                <w:kern w:val="0"/>
                <w:sz w:val="24"/>
                <w:szCs w:val="24"/>
                <w:lang w:eastAsia="zh-CN"/>
              </w:rPr>
              <w:t>技术</w:t>
            </w:r>
            <w:r>
              <w:rPr>
                <w:rFonts w:hint="eastAsia" w:ascii="宋体" w:hAnsi="宋体" w:eastAsia="宋体" w:cs="宋体"/>
                <w:b/>
                <w:bCs/>
                <w:color w:val="auto"/>
                <w:kern w:val="0"/>
                <w:sz w:val="24"/>
                <w:szCs w:val="24"/>
                <w:lang w:eastAsia="zh-CN"/>
              </w:rPr>
              <w:t>：</w:t>
            </w:r>
            <w:r>
              <w:rPr>
                <w:rFonts w:hint="eastAsia" w:ascii="宋体" w:hAnsi="宋体" w:cs="宋体"/>
                <w:b/>
                <w:bCs/>
                <w:color w:val="auto"/>
                <w:kern w:val="0"/>
                <w:sz w:val="24"/>
                <w:szCs w:val="24"/>
                <w:lang w:val="en-US" w:eastAsia="zh-CN"/>
              </w:rPr>
              <w:t>90</w:t>
            </w:r>
            <w:r>
              <w:rPr>
                <w:rFonts w:hint="eastAsia" w:ascii="宋体" w:hAnsi="宋体" w:eastAsia="宋体" w:cs="宋体"/>
                <w:b/>
                <w:bCs/>
                <w:color w:val="auto"/>
                <w:kern w:val="0"/>
                <w:sz w:val="24"/>
                <w:szCs w:val="24"/>
                <w:lang w:eastAsia="zh-CN"/>
              </w:rPr>
              <w:t xml:space="preserve">分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 w:hRule="atLeast"/>
          <w:jc w:val="center"/>
        </w:trPr>
        <w:tc>
          <w:tcPr>
            <w:tcW w:w="9727" w:type="dxa"/>
            <w:gridSpan w:val="4"/>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一、价格得分（</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9" w:hRule="atLeast"/>
          <w:jc w:val="center"/>
        </w:trPr>
        <w:tc>
          <w:tcPr>
            <w:tcW w:w="538"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1</w:t>
            </w:r>
          </w:p>
        </w:tc>
        <w:tc>
          <w:tcPr>
            <w:tcW w:w="1500"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报价</w:t>
            </w:r>
          </w:p>
        </w:tc>
        <w:tc>
          <w:tcPr>
            <w:tcW w:w="1171" w:type="dxa"/>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lang w:val="en-US" w:eastAsia="zh-CN"/>
              </w:rPr>
              <w:t>0</w:t>
            </w:r>
            <w:r>
              <w:rPr>
                <w:rFonts w:hint="eastAsia" w:ascii="宋体" w:hAnsi="宋体" w:eastAsia="宋体" w:cs="宋体"/>
                <w:b/>
                <w:bCs/>
                <w:color w:val="auto"/>
                <w:kern w:val="0"/>
                <w:sz w:val="24"/>
                <w:szCs w:val="24"/>
                <w:lang w:eastAsia="zh-CN"/>
              </w:rPr>
              <w:t>分</w:t>
            </w:r>
          </w:p>
        </w:tc>
        <w:tc>
          <w:tcPr>
            <w:tcW w:w="6518" w:type="dxa"/>
            <w:noWrap w:val="0"/>
            <w:vAlign w:val="center"/>
          </w:tcPr>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价格分统一采用低价优先法计算，即满足磋商文件要求且最后报价最低的供应商的价格为磋商基准价，其价格分为满分。其他供应商的价格分统一按照下列公式计算：</w:t>
            </w:r>
          </w:p>
          <w:p>
            <w:pPr>
              <w:widowControl/>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磋商报价得分=（磋商报价/磋商基准价）×价格权重×100；有效磋商报价为通过初步审查的供应商报价。项目评审过程中，不得去掉最后报价中的最高报价和最低报价。</w:t>
            </w:r>
          </w:p>
          <w:p>
            <w:pPr>
              <w:pStyle w:val="34"/>
              <w:ind w:left="0" w:leftChars="0" w:firstLine="0" w:firstLineChars="0"/>
              <w:rPr>
                <w:rFonts w:hint="eastAsia" w:ascii="宋体" w:hAnsi="宋体" w:eastAsia="宋体" w:cs="宋体"/>
                <w:b/>
                <w:bCs/>
                <w:color w:val="auto"/>
                <w:kern w:val="0"/>
                <w:sz w:val="24"/>
                <w:szCs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727" w:type="dxa"/>
            <w:gridSpan w:val="4"/>
            <w:noWrap w:val="0"/>
            <w:vAlign w:val="center"/>
          </w:tcPr>
          <w:p>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二、商务</w:t>
            </w:r>
            <w:r>
              <w:rPr>
                <w:rFonts w:hint="eastAsia" w:ascii="宋体" w:hAnsi="宋体" w:cs="宋体"/>
                <w:b/>
                <w:bCs/>
                <w:color w:val="auto"/>
                <w:kern w:val="0"/>
                <w:sz w:val="24"/>
                <w:szCs w:val="24"/>
                <w:lang w:eastAsia="zh-CN"/>
              </w:rPr>
              <w:t>技术</w:t>
            </w:r>
            <w:r>
              <w:rPr>
                <w:rFonts w:hint="eastAsia" w:ascii="宋体" w:hAnsi="宋体" w:eastAsia="宋体" w:cs="宋体"/>
                <w:b/>
                <w:bCs/>
                <w:color w:val="auto"/>
                <w:kern w:val="0"/>
                <w:sz w:val="24"/>
                <w:szCs w:val="24"/>
                <w:lang w:eastAsia="zh-CN"/>
              </w:rPr>
              <w:t>部分（</w:t>
            </w:r>
            <w:r>
              <w:rPr>
                <w:rFonts w:hint="eastAsia" w:ascii="宋体" w:hAnsi="宋体" w:cs="宋体"/>
                <w:b/>
                <w:bCs/>
                <w:color w:val="auto"/>
                <w:kern w:val="0"/>
                <w:sz w:val="24"/>
                <w:szCs w:val="24"/>
                <w:lang w:val="en-US" w:eastAsia="zh-CN"/>
              </w:rPr>
              <w:t>90</w:t>
            </w:r>
            <w:r>
              <w:rPr>
                <w:rFonts w:hint="eastAsia" w:ascii="宋体" w:hAnsi="宋体" w:eastAsia="宋体" w:cs="宋体"/>
                <w:b/>
                <w:bCs/>
                <w:color w:val="auto"/>
                <w:kern w:val="0"/>
                <w:sz w:val="24"/>
                <w:szCs w:val="24"/>
                <w:lang w:eastAsia="zh-CN"/>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8" w:hRule="atLeast"/>
          <w:jc w:val="center"/>
        </w:trPr>
        <w:tc>
          <w:tcPr>
            <w:tcW w:w="538" w:type="dxa"/>
            <w:vMerge w:val="restart"/>
            <w:noWrap w:val="0"/>
            <w:vAlign w:val="center"/>
          </w:tcPr>
          <w:p>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2</w:t>
            </w:r>
          </w:p>
        </w:tc>
        <w:tc>
          <w:tcPr>
            <w:tcW w:w="1500" w:type="dxa"/>
            <w:vMerge w:val="restart"/>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货物配送计划</w:t>
            </w:r>
          </w:p>
          <w:p>
            <w:pPr>
              <w:widowControl/>
              <w:jc w:val="center"/>
              <w:rPr>
                <w:rFonts w:hint="eastAsia" w:ascii="宋体" w:hAnsi="宋体" w:eastAsia="宋体" w:cs="宋体"/>
                <w:b/>
                <w:bCs/>
                <w:color w:val="auto"/>
                <w:kern w:val="0"/>
                <w:sz w:val="24"/>
                <w:szCs w:val="24"/>
                <w:highlight w:val="none"/>
                <w:lang w:val="en-US" w:eastAsia="zh-CN"/>
              </w:rPr>
            </w:pPr>
          </w:p>
        </w:tc>
        <w:tc>
          <w:tcPr>
            <w:tcW w:w="1171" w:type="dxa"/>
            <w:vMerge w:val="restart"/>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10分</w:t>
            </w:r>
          </w:p>
        </w:tc>
        <w:tc>
          <w:tcPr>
            <w:tcW w:w="6518" w:type="dxa"/>
            <w:noWrap w:val="0"/>
            <w:vAlign w:val="center"/>
          </w:tcPr>
          <w:p>
            <w:pPr>
              <w:widowControl/>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根据供应商针对本项目的采购货物或生产货物、包装、运输、配送、仪器校准检定要求、仪器使用应急替换方案、进度、质量、安全控制措施等，由评委综合评分：按要求提供的货物配送计划具有全面性、科学性、合理性和可操作性完全满足的得 10 分；缺一项扣 1.5 分， 内容不完整、不合理扣 1 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5"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3</w:t>
            </w:r>
          </w:p>
        </w:tc>
        <w:tc>
          <w:tcPr>
            <w:tcW w:w="1500" w:type="dxa"/>
            <w:tcBorders>
              <w:top w:val="single" w:color="auto" w:sz="4" w:space="0"/>
            </w:tcBorders>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招标人货物的技术指标要求</w:t>
            </w: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cs="Times New Roman"/>
                <w:b/>
                <w:bCs/>
                <w:kern w:val="2"/>
                <w:sz w:val="21"/>
                <w:szCs w:val="24"/>
                <w:lang w:val="en-US" w:eastAsia="zh-CN" w:bidi="ar-SA"/>
              </w:rPr>
              <w:t>10</w:t>
            </w:r>
            <w:r>
              <w:rPr>
                <w:rFonts w:hint="eastAsia" w:ascii="Times New Roman" w:hAnsi="Times New Roman" w:eastAsia="宋体" w:cs="Times New Roman"/>
                <w:b/>
                <w:bCs/>
                <w:kern w:val="2"/>
                <w:sz w:val="21"/>
                <w:szCs w:val="24"/>
                <w:lang w:val="en-US" w:eastAsia="zh-CN" w:bidi="ar-SA"/>
              </w:rPr>
              <w:t>分</w:t>
            </w:r>
          </w:p>
        </w:tc>
        <w:tc>
          <w:tcPr>
            <w:tcW w:w="6518" w:type="dxa"/>
            <w:noWrap w:val="0"/>
            <w:vAlign w:val="center"/>
          </w:tcPr>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 xml:space="preserve">货物的技术指标优于招标人的要求得 </w:t>
            </w:r>
            <w:r>
              <w:rPr>
                <w:rFonts w:hint="eastAsia" w:ascii="宋体" w:hAnsi="宋体" w:cs="宋体"/>
                <w:b/>
                <w:bCs/>
                <w:color w:val="auto"/>
                <w:kern w:val="0"/>
                <w:sz w:val="24"/>
                <w:szCs w:val="24"/>
                <w:highlight w:val="none"/>
                <w:lang w:val="en-US" w:eastAsia="zh-CN"/>
              </w:rPr>
              <w:t>10</w:t>
            </w:r>
            <w:r>
              <w:rPr>
                <w:rFonts w:hint="default" w:ascii="宋体" w:hAnsi="宋体" w:eastAsia="宋体" w:cs="宋体"/>
                <w:b/>
                <w:bCs/>
                <w:color w:val="auto"/>
                <w:kern w:val="0"/>
                <w:sz w:val="24"/>
                <w:szCs w:val="24"/>
                <w:highlight w:val="none"/>
                <w:lang w:val="en-US" w:eastAsia="zh-CN"/>
              </w:rPr>
              <w:t>分 ；</w:t>
            </w:r>
          </w:p>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 xml:space="preserve">货物的技术指标满足招标人的要求得 </w:t>
            </w:r>
            <w:r>
              <w:rPr>
                <w:rFonts w:hint="eastAsia" w:ascii="宋体" w:hAnsi="宋体" w:cs="宋体"/>
                <w:b/>
                <w:bCs/>
                <w:color w:val="auto"/>
                <w:kern w:val="0"/>
                <w:sz w:val="24"/>
                <w:szCs w:val="24"/>
                <w:highlight w:val="none"/>
                <w:lang w:val="en-US" w:eastAsia="zh-CN"/>
              </w:rPr>
              <w:t>8</w:t>
            </w:r>
            <w:r>
              <w:rPr>
                <w:rFonts w:hint="default" w:ascii="宋体" w:hAnsi="宋体" w:eastAsia="宋体" w:cs="宋体"/>
                <w:b/>
                <w:bCs/>
                <w:color w:val="auto"/>
                <w:kern w:val="0"/>
                <w:sz w:val="24"/>
                <w:szCs w:val="24"/>
                <w:highlight w:val="none"/>
                <w:lang w:val="en-US" w:eastAsia="zh-CN"/>
              </w:rPr>
              <w:t xml:space="preserve"> 分；</w:t>
            </w:r>
          </w:p>
          <w:p>
            <w:pPr>
              <w:widowControl/>
              <w:jc w:val="both"/>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货物的技术指标不能满足招标人的要求得 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安装调试服务方案、规划设计方案</w:t>
            </w:r>
          </w:p>
          <w:p>
            <w:pPr>
              <w:widowControl/>
              <w:jc w:val="center"/>
              <w:rPr>
                <w:rFonts w:hint="eastAsia" w:ascii="宋体" w:hAnsi="宋体" w:eastAsia="宋体" w:cs="宋体"/>
                <w:b/>
                <w:bCs/>
                <w:color w:val="auto"/>
                <w:kern w:val="0"/>
                <w:sz w:val="24"/>
                <w:szCs w:val="24"/>
                <w:highlight w:val="none"/>
                <w:lang w:val="en-US" w:eastAsia="zh-CN"/>
              </w:rPr>
            </w:pP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10</w:t>
            </w:r>
            <w:r>
              <w:rPr>
                <w:rFonts w:hint="default" w:ascii="宋体" w:hAnsi="宋体" w:eastAsia="宋体" w:cs="宋体"/>
                <w:b/>
                <w:bCs/>
                <w:color w:val="auto"/>
                <w:kern w:val="0"/>
                <w:sz w:val="24"/>
                <w:szCs w:val="24"/>
                <w:highlight w:val="none"/>
                <w:lang w:val="en-US" w:eastAsia="zh-CN" w:bidi="ar-SA"/>
              </w:rPr>
              <w:t>分</w:t>
            </w:r>
          </w:p>
        </w:tc>
        <w:tc>
          <w:tcPr>
            <w:tcW w:w="6518" w:type="dxa"/>
            <w:noWrap w:val="0"/>
            <w:vAlign w:val="top"/>
          </w:tcPr>
          <w:p>
            <w:pPr>
              <w:pStyle w:val="96"/>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根据供应商按要求提供针对本项目的安装调试服务方案、规划设计方案的全面性、严谨性、合理性、可行性等情况进行逐一响应。</w:t>
            </w:r>
          </w:p>
          <w:p>
            <w:pPr>
              <w:widowControl/>
              <w:jc w:val="both"/>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由评委综合评分：完全满足的得 10 分；缺一项扣 1.5分，内容不完整、不合理扣 1分，未提供不得分。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1" w:hRule="atLeast"/>
          <w:jc w:val="center"/>
        </w:trPr>
        <w:tc>
          <w:tcPr>
            <w:tcW w:w="538" w:type="dxa"/>
            <w:noWrap w:val="0"/>
            <w:vAlign w:val="center"/>
          </w:tcPr>
          <w:p>
            <w:pPr>
              <w:widowControl/>
              <w:jc w:val="center"/>
              <w:rPr>
                <w:rFonts w:hint="eastAsia" w:ascii="宋体" w:hAnsi="宋体" w:eastAsia="宋体" w:cs="宋体"/>
                <w:b/>
                <w:bCs/>
                <w:color w:val="auto"/>
                <w:kern w:val="0"/>
                <w:sz w:val="24"/>
                <w:szCs w:val="24"/>
                <w:lang w:val="en-US" w:eastAsia="zh-CN"/>
              </w:rPr>
            </w:pPr>
          </w:p>
        </w:tc>
        <w:tc>
          <w:tcPr>
            <w:tcW w:w="1500"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进度计划</w:t>
            </w: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cs="Times New Roman"/>
                <w:b w:val="0"/>
                <w:kern w:val="2"/>
                <w:sz w:val="21"/>
                <w:szCs w:val="24"/>
                <w:lang w:val="en-US" w:eastAsia="zh-CN" w:bidi="ar-SA"/>
              </w:rPr>
              <w:t>10</w:t>
            </w:r>
            <w:r>
              <w:rPr>
                <w:rFonts w:ascii="Times New Roman" w:hAnsi="Times New Roman" w:eastAsia="宋体" w:cs="Times New Roman"/>
                <w:b w:val="0"/>
                <w:kern w:val="2"/>
                <w:sz w:val="21"/>
                <w:szCs w:val="24"/>
                <w:lang w:val="en-US" w:eastAsia="zh-CN" w:bidi="ar-SA"/>
              </w:rPr>
              <w:t>分</w:t>
            </w:r>
          </w:p>
        </w:tc>
        <w:tc>
          <w:tcPr>
            <w:tcW w:w="6518" w:type="dxa"/>
            <w:noWrap w:val="0"/>
            <w:vAlign w:val="top"/>
          </w:tcPr>
          <w:p>
            <w:pPr>
              <w:widowControl/>
              <w:jc w:val="both"/>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通过货物的运输、安装、调试完成等方面给出完善的计划，尽可能合理的缩短工期：</w:t>
            </w:r>
          </w:p>
          <w:p>
            <w:pPr>
              <w:pStyle w:val="43"/>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1,实施计划能提前10天完成的，得10分。</w:t>
            </w:r>
          </w:p>
          <w:p>
            <w:pPr>
              <w:pStyle w:val="43"/>
              <w:numPr>
                <w:ilvl w:val="0"/>
                <w:numId w:val="10"/>
              </w:numPr>
              <w:ind w:left="0" w:leftChars="0" w:firstLine="0" w:firstLineChars="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实施计划能提前5天完成的，得5分。</w:t>
            </w:r>
          </w:p>
          <w:p>
            <w:pPr>
              <w:pStyle w:val="43"/>
              <w:numPr>
                <w:ilvl w:val="0"/>
                <w:numId w:val="10"/>
              </w:numPr>
              <w:ind w:left="0" w:leftChars="0" w:firstLine="0" w:firstLineChars="0"/>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没有提供相关材料或达不到要求的不得分</w:t>
            </w:r>
          </w:p>
          <w:p>
            <w:pPr>
              <w:pStyle w:val="43"/>
              <w:numPr>
                <w:ilvl w:val="0"/>
                <w:numId w:val="0"/>
              </w:numPr>
              <w:ind w:left="0" w:leftChars="0"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（提供完整计划方案时还须提供确保能按照计划实施的承诺书）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eastAsia" w:ascii="宋体" w:hAnsi="宋体" w:eastAsia="宋体" w:cs="宋体"/>
                <w:b/>
                <w:bCs/>
                <w:color w:val="auto"/>
                <w:kern w:val="0"/>
                <w:sz w:val="24"/>
                <w:szCs w:val="24"/>
                <w:lang w:val="en-US" w:eastAsia="zh-CN"/>
              </w:rPr>
            </w:pPr>
          </w:p>
        </w:tc>
        <w:tc>
          <w:tcPr>
            <w:tcW w:w="1500"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培训方案</w:t>
            </w: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Times New Roman" w:hAnsi="Times New Roman" w:eastAsia="宋体" w:cs="Times New Roman"/>
                <w:b w:val="0"/>
                <w:kern w:val="2"/>
                <w:sz w:val="21"/>
                <w:szCs w:val="24"/>
                <w:lang w:val="en-US" w:eastAsia="zh-CN" w:bidi="ar-SA"/>
              </w:rPr>
              <w:t>1</w:t>
            </w:r>
            <w:r>
              <w:rPr>
                <w:rFonts w:hint="eastAsia" w:cs="Times New Roman"/>
                <w:b w:val="0"/>
                <w:kern w:val="2"/>
                <w:sz w:val="21"/>
                <w:szCs w:val="24"/>
                <w:lang w:val="en-US" w:eastAsia="zh-CN" w:bidi="ar-SA"/>
              </w:rPr>
              <w:t>0</w:t>
            </w:r>
            <w:r>
              <w:rPr>
                <w:rFonts w:ascii="Times New Roman" w:hAnsi="Times New Roman" w:eastAsia="宋体" w:cs="Times New Roman"/>
                <w:b w:val="0"/>
                <w:kern w:val="2"/>
                <w:sz w:val="21"/>
                <w:szCs w:val="24"/>
                <w:lang w:val="en-US" w:eastAsia="zh-CN" w:bidi="ar-SA"/>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针对本项目制定非常详细、合理的培训计划，培训方式、培训内容、培训目标等得10分；</w:t>
            </w:r>
          </w:p>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针对本项目制定比较详细、合理的培训计划，培训方式、培训内容、培训目标等得5分；</w:t>
            </w:r>
          </w:p>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针对本项目制定详细、合理的培训计划，培训方式、培训内容、培训目标等得 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p>
        </w:tc>
        <w:tc>
          <w:tcPr>
            <w:tcW w:w="1500"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质保期</w:t>
            </w:r>
          </w:p>
          <w:p>
            <w:pPr>
              <w:widowControl/>
              <w:jc w:val="center"/>
              <w:rPr>
                <w:rFonts w:hint="eastAsia" w:ascii="宋体" w:hAnsi="宋体" w:eastAsia="宋体" w:cs="宋体"/>
                <w:b/>
                <w:bCs/>
                <w:color w:val="auto"/>
                <w:kern w:val="0"/>
                <w:sz w:val="24"/>
                <w:szCs w:val="24"/>
                <w:highlight w:val="none"/>
                <w:lang w:val="en-US" w:eastAsia="zh-CN"/>
              </w:rPr>
            </w:pPr>
          </w:p>
        </w:tc>
        <w:tc>
          <w:tcPr>
            <w:tcW w:w="1171" w:type="dxa"/>
            <w:noWrap w:val="0"/>
            <w:vAlign w:val="center"/>
          </w:tcPr>
          <w:p>
            <w:pPr>
              <w:widowControl/>
              <w:jc w:val="center"/>
              <w:rPr>
                <w:rFonts w:hint="eastAsia" w:ascii="Times New Roman" w:hAnsi="Times New Roman" w:eastAsia="宋体" w:cs="Times New Roman"/>
                <w:b w:val="0"/>
                <w:kern w:val="2"/>
                <w:sz w:val="21"/>
                <w:szCs w:val="24"/>
                <w:lang w:val="en-US" w:eastAsia="zh-CN" w:bidi="ar-SA"/>
              </w:rPr>
            </w:pPr>
            <w:r>
              <w:rPr>
                <w:rFonts w:hint="eastAsia" w:ascii="宋体" w:hAnsi="宋体" w:eastAsia="宋体" w:cs="宋体"/>
                <w:b/>
                <w:bCs/>
                <w:color w:val="auto"/>
                <w:kern w:val="0"/>
                <w:sz w:val="24"/>
                <w:szCs w:val="24"/>
                <w:highlight w:val="none"/>
                <w:lang w:val="en-US" w:eastAsia="zh-CN"/>
              </w:rPr>
              <w:t>4分</w:t>
            </w:r>
          </w:p>
        </w:tc>
        <w:tc>
          <w:tcPr>
            <w:tcW w:w="6518" w:type="dxa"/>
            <w:noWrap w:val="0"/>
            <w:vAlign w:val="top"/>
          </w:tcPr>
          <w:p>
            <w:pPr>
              <w:widowControl/>
              <w:jc w:val="both"/>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质保期超过招标人要求的，每增加一年加2分，此项最高得4分。</w:t>
            </w:r>
            <w:r>
              <w:rPr>
                <w:rFonts w:hint="eastAsia" w:ascii="宋体" w:hAnsi="宋体" w:cs="宋体"/>
                <w:b/>
                <w:bCs/>
                <w:color w:val="auto"/>
                <w:kern w:val="0"/>
                <w:sz w:val="24"/>
                <w:szCs w:val="24"/>
                <w:highlight w:val="none"/>
                <w:lang w:val="en-US" w:eastAsia="zh-CN"/>
              </w:rPr>
              <w:t>（需提供承诺书）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both"/>
            </w:pP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售后服务及承诺</w:t>
            </w:r>
          </w:p>
          <w:p>
            <w:pPr>
              <w:widowControl/>
              <w:jc w:val="both"/>
              <w:rPr>
                <w:rFonts w:hint="eastAsia" w:ascii="宋体" w:hAnsi="宋体" w:eastAsia="宋体" w:cs="宋体"/>
                <w:b/>
                <w:bCs/>
                <w:color w:val="auto"/>
                <w:kern w:val="0"/>
                <w:sz w:val="24"/>
                <w:szCs w:val="24"/>
                <w:highlight w:val="none"/>
                <w:lang w:val="en-US" w:eastAsia="zh-CN"/>
              </w:rPr>
            </w:pPr>
          </w:p>
        </w:tc>
        <w:tc>
          <w:tcPr>
            <w:tcW w:w="1171" w:type="dxa"/>
            <w:noWrap w:val="0"/>
            <w:vAlign w:val="center"/>
          </w:tcPr>
          <w:p>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10分</w:t>
            </w:r>
          </w:p>
        </w:tc>
        <w:tc>
          <w:tcPr>
            <w:tcW w:w="6518" w:type="dxa"/>
            <w:noWrap w:val="0"/>
            <w:vAlign w:val="top"/>
          </w:tcPr>
          <w:p>
            <w:pPr>
              <w:widowControl/>
              <w:numPr>
                <w:ilvl w:val="0"/>
                <w:numId w:val="11"/>
              </w:numPr>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供应商承诺在24小时内响应，在接到通知1小时内到现场且能提出具体落实措施的，得10分；供应商承诺在24小时内响应，在接到通知2小时内到现场且能提出具体落实措施的，得5分；供应商承诺在24小时内响应，在接到通知4小时内到现场且能提出具体落实措施的，得2分；不满足或措施不可行或无措施的不得分；</w:t>
            </w:r>
          </w:p>
          <w:p>
            <w:pPr>
              <w:pStyle w:val="34"/>
              <w:numPr>
                <w:ilvl w:val="0"/>
                <w:numId w:val="0"/>
              </w:numPr>
              <w:ind w:left="0" w:leftChars="0" w:firstLine="0" w:firstLine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（需提供承诺书）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 w:hRule="atLeast"/>
          <w:jc w:val="center"/>
        </w:trPr>
        <w:tc>
          <w:tcPr>
            <w:tcW w:w="538" w:type="dxa"/>
            <w:noWrap w:val="0"/>
            <w:vAlign w:val="center"/>
          </w:tcPr>
          <w:p>
            <w:pPr>
              <w:widowControl/>
              <w:jc w:val="both"/>
              <w:rPr>
                <w:rFonts w:hint="eastAsia" w:ascii="宋体" w:hAnsi="宋体" w:eastAsia="宋体" w:cs="宋体"/>
                <w:b/>
                <w:bCs/>
                <w:color w:val="auto"/>
                <w:kern w:val="0"/>
                <w:sz w:val="24"/>
                <w:szCs w:val="24"/>
                <w:highlight w:val="none"/>
                <w:lang w:val="en-US" w:eastAsia="zh-CN"/>
              </w:rPr>
            </w:pPr>
          </w:p>
        </w:tc>
        <w:tc>
          <w:tcPr>
            <w:tcW w:w="1500"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企业类似业绩</w:t>
            </w:r>
          </w:p>
        </w:tc>
        <w:tc>
          <w:tcPr>
            <w:tcW w:w="1171" w:type="dxa"/>
            <w:noWrap w:val="0"/>
            <w:vAlign w:val="center"/>
          </w:tcPr>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供应商近三年（2020年11月2</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日-至2023年11月2</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日，以竣工验收表日期为准）完成的类似业绩，每提供一项得2分，最多计</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项（须提供中标通知书、施工合同、竣工验收表）。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6</w:t>
            </w:r>
          </w:p>
        </w:tc>
        <w:tc>
          <w:tcPr>
            <w:tcW w:w="1500" w:type="dxa"/>
            <w:noWrap w:val="0"/>
            <w:vAlign w:val="center"/>
          </w:tcPr>
          <w:p>
            <w:pPr>
              <w:pStyle w:val="90"/>
              <w:spacing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合理化</w:t>
            </w:r>
          </w:p>
          <w:p>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建议</w:t>
            </w:r>
          </w:p>
        </w:tc>
        <w:tc>
          <w:tcPr>
            <w:tcW w:w="1171" w:type="dxa"/>
            <w:noWrap w:val="0"/>
            <w:vAlign w:val="center"/>
          </w:tcPr>
          <w:p>
            <w:pPr>
              <w:widowControl/>
              <w:jc w:val="center"/>
              <w:rPr>
                <w:rFonts w:hint="default" w:ascii="Times New Roman" w:hAnsi="Times New Roman" w:eastAsia="宋体" w:cs="Times New Roman"/>
                <w:b w:val="0"/>
                <w:kern w:val="2"/>
                <w:sz w:val="21"/>
                <w:szCs w:val="24"/>
                <w:lang w:val="en-US" w:eastAsia="zh-CN" w:bidi="ar-SA"/>
              </w:rPr>
            </w:pPr>
            <w:r>
              <w:rPr>
                <w:rFonts w:hint="eastAsia" w:ascii="宋体" w:hAnsi="宋体" w:cs="宋体"/>
                <w:b/>
                <w:bCs/>
                <w:color w:val="auto"/>
                <w:kern w:val="0"/>
                <w:sz w:val="24"/>
                <w:szCs w:val="24"/>
                <w:highlight w:val="none"/>
                <w:lang w:val="en-US" w:eastAsia="zh-CN" w:bidi="ar-SA"/>
              </w:rPr>
              <w:t>10分</w:t>
            </w:r>
          </w:p>
        </w:tc>
        <w:tc>
          <w:tcPr>
            <w:tcW w:w="6518" w:type="dxa"/>
            <w:noWrap w:val="0"/>
            <w:vAlign w:val="top"/>
          </w:tcPr>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投标人针对本项目提出具有创新性、建设性的建议，能够提高项目进度和质量。</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针对性强，可操作性强，得</w:t>
            </w:r>
            <w:r>
              <w:rPr>
                <w:rFonts w:hint="eastAsia" w:ascii="宋体" w:hAnsi="宋体" w:cs="宋体"/>
                <w:b/>
                <w:bCs/>
                <w:color w:val="auto"/>
                <w:kern w:val="0"/>
                <w:sz w:val="24"/>
                <w:szCs w:val="24"/>
                <w:highlight w:val="none"/>
                <w:lang w:val="en-US" w:eastAsia="zh-CN" w:bidi="ar-SA"/>
              </w:rPr>
              <w:t>10</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针对性较强，可操作性较强，得</w:t>
            </w:r>
            <w:r>
              <w:rPr>
                <w:rFonts w:hint="eastAsia" w:ascii="宋体" w:hAnsi="宋体" w:cs="宋体"/>
                <w:b/>
                <w:bCs/>
                <w:color w:val="auto"/>
                <w:kern w:val="0"/>
                <w:sz w:val="24"/>
                <w:szCs w:val="24"/>
                <w:highlight w:val="none"/>
                <w:lang w:val="en-US" w:eastAsia="zh-CN" w:bidi="ar-SA"/>
              </w:rPr>
              <w:t>7</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针对性良好，可操作性良好，得</w:t>
            </w:r>
            <w:r>
              <w:rPr>
                <w:rFonts w:hint="eastAsia" w:ascii="宋体" w:hAnsi="宋体" w:cs="宋体"/>
                <w:b/>
                <w:bCs/>
                <w:color w:val="auto"/>
                <w:kern w:val="0"/>
                <w:sz w:val="24"/>
                <w:szCs w:val="24"/>
                <w:highlight w:val="none"/>
                <w:lang w:val="en-US" w:eastAsia="zh-CN" w:bidi="ar-SA"/>
              </w:rPr>
              <w:t>5</w:t>
            </w:r>
            <w:r>
              <w:rPr>
                <w:rFonts w:hint="eastAsia" w:ascii="宋体" w:hAnsi="宋体" w:eastAsia="宋体" w:cs="宋体"/>
                <w:b/>
                <w:bCs/>
                <w:color w:val="auto"/>
                <w:kern w:val="0"/>
                <w:sz w:val="24"/>
                <w:szCs w:val="24"/>
                <w:highlight w:val="none"/>
                <w:lang w:val="en-US" w:eastAsia="zh-CN" w:bidi="ar-SA"/>
              </w:rPr>
              <w:t>分</w:t>
            </w:r>
          </w:p>
          <w:p>
            <w:pPr>
              <w:pStyle w:val="90"/>
              <w:numPr>
                <w:ilvl w:val="0"/>
                <w:numId w:val="0"/>
              </w:numPr>
              <w:spacing w:line="240" w:lineRule="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针对性一般，可操作性一般，得2分</w:t>
            </w:r>
          </w:p>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无针对性，无可操作性，不得分。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8" w:hRule="atLeast"/>
          <w:jc w:val="center"/>
        </w:trPr>
        <w:tc>
          <w:tcPr>
            <w:tcW w:w="538" w:type="dxa"/>
            <w:noWrap w:val="0"/>
            <w:vAlign w:val="center"/>
          </w:tcPr>
          <w:p>
            <w:pPr>
              <w:widowControl/>
              <w:jc w:val="center"/>
              <w:rPr>
                <w:rFonts w:hint="default" w:ascii="宋体" w:hAnsi="宋体" w:cs="宋体"/>
                <w:b/>
                <w:bCs/>
                <w:color w:val="auto"/>
                <w:kern w:val="0"/>
                <w:sz w:val="24"/>
                <w:szCs w:val="24"/>
                <w:lang w:val="en-US" w:eastAsia="zh-CN"/>
              </w:rPr>
            </w:pPr>
          </w:p>
        </w:tc>
        <w:tc>
          <w:tcPr>
            <w:tcW w:w="1500" w:type="dxa"/>
            <w:noWrap w:val="0"/>
            <w:vAlign w:val="center"/>
          </w:tcPr>
          <w:p>
            <w:pPr>
              <w:widowControl/>
              <w:jc w:val="both"/>
              <w:rPr>
                <w:rFonts w:ascii="Times New Roman" w:hAnsi="Times New Roman" w:eastAsia="宋体" w:cs="Times New Roman"/>
                <w:b w:val="0"/>
                <w:kern w:val="2"/>
                <w:sz w:val="21"/>
                <w:szCs w:val="24"/>
                <w:highlight w:val="yellow"/>
                <w:lang w:val="en-US" w:eastAsia="zh-CN" w:bidi="ar-SA"/>
              </w:rPr>
            </w:pPr>
            <w:r>
              <w:rPr>
                <w:rFonts w:hint="eastAsia" w:ascii="宋体" w:hAnsi="宋体" w:eastAsia="宋体" w:cs="宋体"/>
                <w:b/>
                <w:bCs/>
                <w:color w:val="auto"/>
                <w:kern w:val="0"/>
                <w:sz w:val="24"/>
                <w:szCs w:val="24"/>
                <w:highlight w:val="none"/>
                <w:lang w:val="en-US" w:eastAsia="zh-CN"/>
              </w:rPr>
              <w:t>防范措施和处理建议</w:t>
            </w:r>
          </w:p>
        </w:tc>
        <w:tc>
          <w:tcPr>
            <w:tcW w:w="1171" w:type="dxa"/>
            <w:noWrap w:val="0"/>
            <w:vAlign w:val="center"/>
          </w:tcPr>
          <w:p>
            <w:pPr>
              <w:widowControl/>
              <w:jc w:val="center"/>
              <w:rPr>
                <w:rFonts w:hint="default" w:ascii="Times New Roman" w:hAnsi="Times New Roman" w:eastAsia="宋体" w:cs="Times New Roman"/>
                <w:b w:val="0"/>
                <w:kern w:val="2"/>
                <w:sz w:val="21"/>
                <w:szCs w:val="24"/>
                <w:highlight w:val="yellow"/>
                <w:lang w:val="en-US" w:eastAsia="zh-CN" w:bidi="ar-SA"/>
              </w:rPr>
            </w:pP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分</w:t>
            </w:r>
          </w:p>
        </w:tc>
        <w:tc>
          <w:tcPr>
            <w:tcW w:w="6518" w:type="dxa"/>
            <w:noWrap w:val="0"/>
            <w:vAlign w:val="top"/>
          </w:tcPr>
          <w:p>
            <w:pPr>
              <w:widowControl/>
              <w:jc w:val="both"/>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根据供应商对项目过程中出现问题情况的防范措施、处理建议、合理化建议等，由评委综合评分：完全满足的得</w:t>
            </w:r>
            <w:r>
              <w:rPr>
                <w:rFonts w:hint="eastAsia" w:ascii="宋体" w:hAnsi="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lang w:val="en-US" w:eastAsia="zh-CN"/>
              </w:rPr>
              <w:t>分；缺一项扣2分，内容不完整、不合理扣 1分，未提供不得分。</w:t>
            </w:r>
          </w:p>
        </w:tc>
      </w:tr>
    </w:tbl>
    <w:p>
      <w:pPr>
        <w:widowControl/>
        <w:jc w:val="left"/>
        <w:rPr>
          <w:rFonts w:hint="eastAsia" w:ascii="宋体" w:hAnsi="宋体" w:eastAsia="宋体" w:cs="宋体"/>
          <w:b/>
          <w:bCs/>
          <w:color w:val="auto"/>
          <w:kern w:val="0"/>
          <w:sz w:val="24"/>
          <w:szCs w:val="24"/>
          <w:lang w:eastAsia="zh-CN"/>
        </w:rPr>
      </w:pPr>
    </w:p>
    <w:p>
      <w:pPr>
        <w:pStyle w:val="3"/>
        <w:rPr>
          <w:rFonts w:hint="eastAsia" w:ascii="宋体" w:hAnsi="宋体" w:eastAsia="宋体" w:cs="宋体"/>
          <w:b/>
          <w:color w:val="auto"/>
          <w:sz w:val="48"/>
          <w:szCs w:val="48"/>
        </w:rPr>
      </w:pPr>
    </w:p>
    <w:p>
      <w:pPr>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b/>
          <w:color w:val="auto"/>
          <w:sz w:val="48"/>
          <w:szCs w:val="48"/>
        </w:rPr>
      </w:pPr>
    </w:p>
    <w:p>
      <w:pPr>
        <w:pStyle w:val="25"/>
        <w:rPr>
          <w:rFonts w:hint="eastAsia" w:ascii="宋体" w:hAnsi="宋体" w:eastAsia="宋体" w:cs="宋体"/>
          <w:color w:val="auto"/>
        </w:rPr>
      </w:pPr>
    </w:p>
    <w:p>
      <w:pPr>
        <w:pStyle w:val="11"/>
        <w:rPr>
          <w:rFonts w:hint="eastAsia" w:ascii="宋体" w:hAnsi="宋体" w:eastAsia="宋体" w:cs="宋体"/>
          <w:color w:val="auto"/>
        </w:rPr>
      </w:pPr>
    </w:p>
    <w:p>
      <w:pPr>
        <w:rPr>
          <w:rFonts w:hint="eastAsia"/>
        </w:rPr>
      </w:pPr>
    </w:p>
    <w:p>
      <w:pPr>
        <w:rPr>
          <w:rFonts w:hint="eastAsia" w:ascii="宋体" w:hAnsi="宋体" w:eastAsia="宋体" w:cs="宋体"/>
          <w:color w:val="auto"/>
        </w:rPr>
      </w:pPr>
    </w:p>
    <w:p>
      <w:pPr>
        <w:pStyle w:val="11"/>
        <w:rPr>
          <w:rFonts w:hint="eastAsia" w:ascii="宋体" w:hAnsi="宋体" w:eastAsia="宋体" w:cs="宋体"/>
          <w:color w:val="auto"/>
        </w:rPr>
      </w:pPr>
    </w:p>
    <w:p>
      <w:pPr>
        <w:rPr>
          <w:rFonts w:hint="eastAsia" w:ascii="宋体" w:hAnsi="宋体" w:eastAsia="宋体" w:cs="宋体"/>
          <w:color w:val="auto"/>
        </w:rPr>
      </w:pPr>
    </w:p>
    <w:p>
      <w:pPr>
        <w:pStyle w:val="25"/>
        <w:rPr>
          <w:rFonts w:hint="eastAsia" w:ascii="宋体" w:hAnsi="宋体" w:eastAsia="宋体" w:cs="宋体"/>
          <w:color w:val="auto"/>
        </w:rPr>
      </w:pPr>
    </w:p>
    <w:p>
      <w:pPr>
        <w:pStyle w:val="25"/>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p>
    <w:p>
      <w:pPr>
        <w:pStyle w:val="43"/>
        <w:rPr>
          <w:rFonts w:hint="eastAsia" w:ascii="宋体" w:hAnsi="宋体" w:eastAsia="宋体" w:cs="宋体"/>
          <w:b/>
          <w:color w:val="auto"/>
          <w:sz w:val="48"/>
          <w:szCs w:val="48"/>
        </w:rPr>
      </w:pPr>
    </w:p>
    <w:p>
      <w:pPr>
        <w:pStyle w:val="43"/>
        <w:rPr>
          <w:rFonts w:hint="eastAsia" w:ascii="宋体" w:hAnsi="宋体" w:eastAsia="宋体" w:cs="宋体"/>
          <w:b/>
          <w:color w:val="auto"/>
          <w:sz w:val="48"/>
          <w:szCs w:val="48"/>
        </w:rPr>
      </w:pPr>
    </w:p>
    <w:p>
      <w:pPr>
        <w:pStyle w:val="43"/>
        <w:rPr>
          <w:rFonts w:hint="eastAsia" w:ascii="宋体" w:hAnsi="宋体" w:eastAsia="宋体" w:cs="宋体"/>
          <w:b/>
          <w:color w:val="auto"/>
          <w:sz w:val="48"/>
          <w:szCs w:val="48"/>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竞争性磋商文件</w:t>
      </w:r>
    </w:p>
    <w:p>
      <w:pPr>
        <w:snapToGrid w:val="0"/>
        <w:spacing w:line="240" w:lineRule="atLeast"/>
        <w:ind w:left="1080" w:leftChars="257" w:hanging="540"/>
        <w:jc w:val="center"/>
        <w:textAlignment w:val="baseline"/>
        <w:rPr>
          <w:rFonts w:hint="eastAsia" w:ascii="宋体" w:hAnsi="宋体" w:eastAsia="宋体" w:cs="宋体"/>
          <w:b/>
          <w:color w:val="auto"/>
          <w:sz w:val="48"/>
          <w:szCs w:val="48"/>
        </w:rPr>
      </w:pPr>
    </w:p>
    <w:p>
      <w:pPr>
        <w:snapToGrid w:val="0"/>
        <w:spacing w:line="240" w:lineRule="atLeast"/>
        <w:ind w:left="1080" w:leftChars="257" w:hanging="540"/>
        <w:jc w:val="center"/>
        <w:textAlignment w:val="baseline"/>
        <w:rPr>
          <w:rFonts w:hint="default" w:ascii="宋体" w:hAnsi="宋体" w:eastAsia="宋体" w:cs="宋体"/>
          <w:b/>
          <w:color w:val="auto"/>
          <w:sz w:val="48"/>
          <w:szCs w:val="48"/>
          <w:lang w:val="en-US"/>
        </w:rPr>
      </w:pPr>
      <w:r>
        <w:rPr>
          <w:rFonts w:hint="eastAsia" w:ascii="宋体" w:hAnsi="宋体" w:eastAsia="宋体" w:cs="宋体"/>
          <w:b/>
          <w:color w:val="auto"/>
          <w:sz w:val="48"/>
          <w:szCs w:val="48"/>
        </w:rPr>
        <w:t>编号：</w:t>
      </w:r>
      <w:r>
        <w:rPr>
          <w:rFonts w:hint="eastAsia" w:ascii="宋体" w:hAnsi="宋体" w:cs="宋体"/>
          <w:b/>
          <w:color w:val="auto"/>
          <w:sz w:val="48"/>
          <w:szCs w:val="48"/>
          <w:lang w:val="en-US" w:eastAsia="zh-CN"/>
        </w:rPr>
        <w:t>XJFZ-SLTZH-CG-003号</w:t>
      </w:r>
    </w:p>
    <w:p>
      <w:pPr>
        <w:snapToGrid w:val="0"/>
        <w:spacing w:line="240" w:lineRule="atLeast"/>
        <w:textAlignment w:val="baseline"/>
        <w:rPr>
          <w:rFonts w:hint="eastAsia" w:ascii="宋体" w:hAnsi="宋体" w:eastAsia="宋体" w:cs="宋体"/>
          <w:b/>
          <w:color w:val="auto"/>
          <w:sz w:val="28"/>
        </w:rPr>
      </w:pPr>
    </w:p>
    <w:p>
      <w:pPr>
        <w:snapToGrid w:val="0"/>
        <w:spacing w:line="240" w:lineRule="atLeast"/>
        <w:jc w:val="center"/>
        <w:textAlignment w:val="baseline"/>
        <w:rPr>
          <w:rFonts w:hint="eastAsia" w:ascii="宋体" w:hAnsi="宋体" w:eastAsia="宋体" w:cs="宋体"/>
          <w:b/>
          <w:color w:val="auto"/>
          <w:sz w:val="48"/>
          <w:szCs w:val="48"/>
        </w:rPr>
      </w:pPr>
      <w:r>
        <w:rPr>
          <w:rFonts w:hint="eastAsia" w:ascii="宋体" w:hAnsi="宋体" w:eastAsia="宋体" w:cs="宋体"/>
          <w:b/>
          <w:color w:val="auto"/>
          <w:sz w:val="48"/>
          <w:szCs w:val="48"/>
        </w:rPr>
        <w:t>第三册</w:t>
      </w:r>
    </w:p>
    <w:p>
      <w:pPr>
        <w:pStyle w:val="34"/>
        <w:ind w:firstLine="960"/>
        <w:rPr>
          <w:rFonts w:hint="eastAsia" w:ascii="宋体" w:hAnsi="宋体" w:eastAsia="宋体" w:cs="宋体"/>
          <w:b/>
          <w:color w:val="auto"/>
          <w:sz w:val="48"/>
          <w:szCs w:val="48"/>
        </w:rPr>
      </w:pPr>
    </w:p>
    <w:p>
      <w:pPr>
        <w:pStyle w:val="34"/>
        <w:ind w:firstLine="960"/>
        <w:rPr>
          <w:rFonts w:hint="eastAsia" w:ascii="宋体" w:hAnsi="宋体" w:eastAsia="宋体" w:cs="宋体"/>
          <w:b/>
          <w:color w:val="auto"/>
          <w:sz w:val="48"/>
          <w:szCs w:val="48"/>
        </w:rPr>
      </w:pPr>
    </w:p>
    <w:p>
      <w:pPr>
        <w:pStyle w:val="34"/>
        <w:ind w:firstLine="960"/>
        <w:rPr>
          <w:rFonts w:hint="eastAsia" w:ascii="宋体" w:hAnsi="宋体" w:eastAsia="宋体" w:cs="宋体"/>
          <w:b/>
          <w:color w:val="auto"/>
          <w:sz w:val="48"/>
          <w:szCs w:val="48"/>
        </w:rPr>
      </w:pPr>
    </w:p>
    <w:bookmarkEnd w:id="954"/>
    <w:p>
      <w:pPr>
        <w:pStyle w:val="2"/>
        <w:ind w:firstLine="0"/>
        <w:rPr>
          <w:rFonts w:hint="eastAsia" w:ascii="宋体" w:hAnsi="宋体" w:eastAsia="宋体" w:cs="宋体"/>
          <w:color w:val="auto"/>
        </w:rPr>
      </w:pPr>
      <w:bookmarkStart w:id="968" w:name="_Toc5754"/>
      <w:bookmarkStart w:id="969" w:name="_Toc514"/>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pStyle w:val="11"/>
        <w:rPr>
          <w:rFonts w:hint="eastAsia"/>
        </w:rPr>
      </w:pPr>
    </w:p>
    <w:p>
      <w:pPr>
        <w:rPr>
          <w:rFonts w:hint="eastAsia"/>
        </w:rPr>
      </w:pPr>
    </w:p>
    <w:p>
      <w:pPr>
        <w:pStyle w:val="25"/>
        <w:rPr>
          <w:rFonts w:hint="eastAsia"/>
        </w:rPr>
      </w:pPr>
    </w:p>
    <w:p>
      <w:pPr>
        <w:rPr>
          <w:rFonts w:hint="eastAsia"/>
        </w:rPr>
      </w:pPr>
    </w:p>
    <w:p>
      <w:pPr>
        <w:pStyle w:val="2"/>
        <w:rPr>
          <w:rFonts w:hint="eastAsia" w:ascii="宋体" w:hAnsi="宋体" w:eastAsia="宋体" w:cs="宋体"/>
          <w:color w:val="auto"/>
        </w:rPr>
      </w:pPr>
      <w:bookmarkStart w:id="970" w:name="_Toc25581"/>
    </w:p>
    <w:p>
      <w:pPr>
        <w:pStyle w:val="4"/>
        <w:tabs>
          <w:tab w:val="left" w:pos="0"/>
        </w:tabs>
        <w:spacing w:before="0" w:after="0" w:line="400" w:lineRule="exact"/>
        <w:rPr>
          <w:rFonts w:hint="eastAsia" w:ascii="宋体" w:hAnsi="宋体" w:eastAsia="宋体" w:cs="宋体"/>
          <w:color w:val="auto"/>
        </w:rPr>
      </w:pPr>
      <w:r>
        <w:rPr>
          <w:rFonts w:hint="eastAsia" w:ascii="宋体" w:hAnsi="宋体" w:eastAsia="宋体" w:cs="宋体"/>
          <w:color w:val="auto"/>
        </w:rPr>
        <w:t>第7章  政府采购合同</w:t>
      </w:r>
      <w:bookmarkEnd w:id="968"/>
      <w:bookmarkEnd w:id="969"/>
      <w:bookmarkEnd w:id="970"/>
    </w:p>
    <w:p>
      <w:pPr>
        <w:rPr>
          <w:rFonts w:hint="eastAsia" w:ascii="宋体" w:hAnsi="宋体" w:eastAsia="宋体" w:cs="宋体"/>
          <w:color w:val="auto"/>
          <w:sz w:val="24"/>
        </w:rPr>
      </w:pPr>
    </w:p>
    <w:p>
      <w:pPr>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合同编号：   </w:t>
      </w:r>
      <w:r>
        <w:rPr>
          <w:rFonts w:hint="eastAsia" w:ascii="微软雅黑" w:hAnsi="微软雅黑" w:eastAsia="微软雅黑" w:cs="微软雅黑"/>
          <w:color w:val="auto"/>
          <w:highlight w:val="none"/>
        </w:rPr>
        <w:t xml:space="preserve">        </w:t>
      </w: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line="240" w:lineRule="auto"/>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政府采购合同参考范本</w:t>
      </w:r>
    </w:p>
    <w:p>
      <w:pPr>
        <w:spacing w:line="240" w:lineRule="auto"/>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（货物类）</w:t>
      </w:r>
    </w:p>
    <w:p>
      <w:pPr>
        <w:spacing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pStyle w:val="58"/>
        <w:spacing w:line="240" w:lineRule="auto"/>
        <w:ind w:firstLine="0"/>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第一部分 合同书</w:t>
      </w:r>
    </w:p>
    <w:p>
      <w:pPr>
        <w:spacing w:line="240" w:lineRule="auto"/>
        <w:rPr>
          <w:rFonts w:hint="eastAsia" w:ascii="微软雅黑" w:hAnsi="微软雅黑" w:eastAsia="微软雅黑" w:cs="微软雅黑"/>
          <w:color w:val="auto"/>
          <w:highlight w:val="none"/>
        </w:rPr>
      </w:pPr>
    </w:p>
    <w:p>
      <w:pPr>
        <w:spacing w:before="120" w:line="240" w:lineRule="auto"/>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pStyle w:val="46"/>
        <w:spacing w:before="120" w:line="240" w:lineRule="auto"/>
        <w:rPr>
          <w:rFonts w:hint="eastAsia" w:ascii="微软雅黑" w:hAnsi="微软雅黑" w:eastAsia="微软雅黑" w:cs="微软雅黑"/>
          <w:color w:val="auto"/>
          <w:highlight w:val="none"/>
        </w:rPr>
      </w:pPr>
    </w:p>
    <w:p>
      <w:pPr>
        <w:pStyle w:val="46"/>
        <w:spacing w:before="120" w:line="240" w:lineRule="auto"/>
        <w:rPr>
          <w:rFonts w:hint="eastAsia" w:ascii="微软雅黑" w:hAnsi="微软雅黑" w:eastAsia="微软雅黑" w:cs="微软雅黑"/>
          <w:color w:val="auto"/>
          <w:highlight w:val="none"/>
        </w:rPr>
      </w:pPr>
    </w:p>
    <w:p>
      <w:pPr>
        <w:spacing w:line="240" w:lineRule="auto"/>
        <w:rPr>
          <w:rFonts w:hint="eastAsia" w:ascii="微软雅黑" w:hAnsi="微软雅黑" w:eastAsia="微软雅黑" w:cs="微软雅黑"/>
          <w:color w:val="auto"/>
          <w:highlight w:val="none"/>
        </w:rPr>
      </w:pPr>
    </w:p>
    <w:p>
      <w:pPr>
        <w:spacing w:before="120" w:line="240" w:lineRule="auto"/>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pPr>
        <w:spacing w:before="120" w:line="240" w:lineRule="auto"/>
        <w:rPr>
          <w:rFonts w:hint="eastAsia" w:ascii="微软雅黑" w:hAnsi="微软雅黑" w:eastAsia="微软雅黑" w:cs="微软雅黑"/>
          <w:color w:val="auto"/>
          <w:sz w:val="24"/>
          <w:szCs w:val="24"/>
          <w:highlight w:val="none"/>
        </w:rPr>
      </w:pPr>
    </w:p>
    <w:p>
      <w:pPr>
        <w:spacing w:before="120" w:line="240" w:lineRule="auto"/>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pPr>
        <w:autoSpaceDE w:val="0"/>
        <w:autoSpaceDN w:val="0"/>
        <w:adjustRightInd w:val="0"/>
        <w:spacing w:line="240" w:lineRule="auto"/>
        <w:ind w:firstLine="640"/>
        <w:jc w:val="center"/>
        <w:rPr>
          <w:rFonts w:hint="eastAsia" w:ascii="微软雅黑" w:hAnsi="微软雅黑" w:eastAsia="微软雅黑" w:cs="微软雅黑"/>
          <w:color w:val="auto"/>
          <w:sz w:val="24"/>
          <w:szCs w:val="24"/>
          <w:highlight w:val="none"/>
        </w:rPr>
        <w:sectPr>
          <w:footerReference r:id="rId6" w:type="default"/>
          <w:pgSz w:w="11905" w:h="16838"/>
          <w:pgMar w:top="1440" w:right="1083" w:bottom="1440" w:left="1083"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971" w:name="_Toc24059"/>
      <w:bookmarkStart w:id="972" w:name="_Toc2232"/>
      <w:bookmarkStart w:id="973" w:name="_Toc3029"/>
      <w:bookmarkStart w:id="974" w:name="_Toc26721"/>
      <w:bookmarkStart w:id="975" w:name="_Toc2659"/>
      <w:bookmarkStart w:id="976" w:name="_Toc1846"/>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bookmarkEnd w:id="971"/>
    <w:bookmarkEnd w:id="972"/>
    <w:bookmarkEnd w:id="973"/>
    <w:bookmarkEnd w:id="974"/>
    <w:bookmarkEnd w:id="975"/>
    <w:bookmarkEnd w:id="976"/>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77" w:name="_Toc15812"/>
      <w:bookmarkStart w:id="978" w:name="_Toc29481"/>
      <w:bookmarkStart w:id="979" w:name="_Toc5838"/>
      <w:bookmarkStart w:id="980" w:name="_Toc18247"/>
      <w:bookmarkStart w:id="981" w:name="_Toc29751"/>
      <w:bookmarkStart w:id="982" w:name="_Toc1740"/>
      <w:bookmarkStart w:id="983" w:name="_Toc27963"/>
      <w:bookmarkStart w:id="984" w:name="_Toc4498"/>
      <w:bookmarkStart w:id="985" w:name="_Toc7199"/>
      <w:bookmarkStart w:id="986" w:name="_Toc25352"/>
      <w:bookmarkStart w:id="987" w:name="_Toc6038"/>
      <w:bookmarkStart w:id="988" w:name="_Toc967"/>
      <w:bookmarkStart w:id="989" w:name="_Toc27428"/>
      <w:bookmarkStart w:id="990" w:name="_Toc2992"/>
      <w:bookmarkStart w:id="991" w:name="_Toc10455"/>
      <w:bookmarkStart w:id="992" w:name="_Toc31438"/>
      <w:bookmarkStart w:id="993" w:name="_Toc4751"/>
      <w:bookmarkStart w:id="994" w:name="_Toc416"/>
      <w:bookmarkStart w:id="995" w:name="_Toc14766"/>
      <w:bookmarkStart w:id="996" w:name="_Toc30575"/>
      <w:bookmarkStart w:id="997" w:name="_Toc2048"/>
      <w:bookmarkStart w:id="998" w:name="_Toc16137"/>
      <w:bookmarkStart w:id="999" w:name="_Toc21386"/>
      <w:bookmarkStart w:id="1000" w:name="_Toc28090"/>
      <w:bookmarkStart w:id="1001" w:name="_Toc14986"/>
      <w:bookmarkStart w:id="1002" w:name="_Toc24186"/>
      <w:r>
        <w:rPr>
          <w:rFonts w:hint="eastAsia" w:ascii="微软雅黑" w:hAnsi="微软雅黑" w:eastAsia="微软雅黑" w:cs="微软雅黑"/>
          <w:b/>
          <w:bCs/>
          <w:color w:val="auto"/>
          <w:sz w:val="24"/>
          <w:szCs w:val="24"/>
          <w:highlight w:val="none"/>
        </w:rPr>
        <w:t>1.1 合同组成部分</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中标通知书；</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投标文件（含澄清或者说明文件）；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 招标文件（含澄清或者修改文件）；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03" w:name="_Toc19593"/>
      <w:bookmarkStart w:id="1004" w:name="_Toc5906"/>
      <w:bookmarkStart w:id="1005" w:name="_Toc21690"/>
      <w:bookmarkStart w:id="1006" w:name="_Toc25402"/>
      <w:bookmarkStart w:id="1007" w:name="_Toc21295"/>
      <w:bookmarkStart w:id="1008" w:name="_Toc3607"/>
      <w:bookmarkStart w:id="1009" w:name="_Toc15345"/>
      <w:bookmarkStart w:id="1010" w:name="_Toc27318"/>
      <w:bookmarkStart w:id="1011" w:name="_Toc9006"/>
      <w:bookmarkStart w:id="1012" w:name="_Toc8631"/>
      <w:bookmarkStart w:id="1013" w:name="_Toc25735"/>
      <w:bookmarkStart w:id="1014" w:name="_Toc19432"/>
      <w:bookmarkStart w:id="1015" w:name="_Toc23199"/>
      <w:bookmarkStart w:id="1016" w:name="_Toc10465"/>
      <w:bookmarkStart w:id="1017" w:name="_Toc21149"/>
      <w:bookmarkStart w:id="1018" w:name="_Toc17543"/>
      <w:bookmarkStart w:id="1019" w:name="_Toc31632"/>
      <w:bookmarkStart w:id="1020" w:name="_Toc4735"/>
      <w:bookmarkStart w:id="1021" w:name="_Toc18558"/>
      <w:bookmarkStart w:id="1022" w:name="_Toc31638"/>
      <w:bookmarkStart w:id="1023" w:name="_Toc11238"/>
      <w:bookmarkStart w:id="1024" w:name="_Toc27126"/>
      <w:bookmarkStart w:id="1025" w:name="_Toc1446"/>
      <w:bookmarkStart w:id="1026" w:name="_Toc14235"/>
      <w:bookmarkStart w:id="1027" w:name="_Toc13138"/>
      <w:bookmarkStart w:id="1028" w:name="_Toc24413"/>
      <w:bookmarkStart w:id="1029" w:name="_Toc21217"/>
      <w:bookmarkStart w:id="1030" w:name="_Toc24564"/>
      <w:bookmarkStart w:id="1031" w:name="_Toc32674"/>
      <w:bookmarkStart w:id="1032" w:name="_Toc7977"/>
      <w:bookmarkStart w:id="1033" w:name="_Toc2579"/>
      <w:bookmarkStart w:id="1034" w:name="_Toc24300"/>
      <w:r>
        <w:rPr>
          <w:rFonts w:hint="eastAsia" w:ascii="微软雅黑" w:hAnsi="微软雅黑" w:eastAsia="微软雅黑" w:cs="微软雅黑"/>
          <w:b/>
          <w:bCs/>
          <w:color w:val="auto"/>
          <w:sz w:val="24"/>
          <w:szCs w:val="24"/>
          <w:highlight w:val="none"/>
        </w:rPr>
        <w:t>1.2 货物</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货物名称：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货物数量：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货物质量：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35" w:name="_Toc21551"/>
      <w:bookmarkStart w:id="1036" w:name="_Toc30755"/>
      <w:bookmarkStart w:id="1037" w:name="_Toc30667"/>
      <w:bookmarkStart w:id="1038" w:name="_Toc27282"/>
      <w:bookmarkStart w:id="1039" w:name="_Toc11045"/>
      <w:bookmarkStart w:id="1040" w:name="_Toc1267"/>
      <w:bookmarkStart w:id="1041" w:name="_Toc18883"/>
      <w:bookmarkStart w:id="1042" w:name="_Toc21631"/>
      <w:bookmarkStart w:id="1043" w:name="_Toc21040"/>
      <w:bookmarkStart w:id="1044" w:name="_Toc11463"/>
      <w:bookmarkStart w:id="1045" w:name="_Toc23292"/>
      <w:bookmarkStart w:id="1046" w:name="_Toc19682"/>
      <w:bookmarkStart w:id="1047" w:name="_Toc9364"/>
      <w:bookmarkStart w:id="1048" w:name="_Toc9271"/>
      <w:bookmarkStart w:id="1049" w:name="_Toc12266"/>
      <w:bookmarkStart w:id="1050" w:name="_Toc13924"/>
      <w:bookmarkStart w:id="1051" w:name="_Toc6581"/>
      <w:bookmarkStart w:id="1052" w:name="_Toc633"/>
      <w:bookmarkStart w:id="1053" w:name="_Toc25368"/>
      <w:bookmarkStart w:id="1054" w:name="_Toc31994"/>
      <w:bookmarkStart w:id="1055" w:name="_Toc9586"/>
      <w:bookmarkStart w:id="1056" w:name="_Toc10942"/>
      <w:bookmarkStart w:id="1057" w:name="_Toc4392"/>
      <w:bookmarkStart w:id="1058" w:name="_Toc16998"/>
      <w:bookmarkStart w:id="1059" w:name="_Toc9579"/>
      <w:bookmarkStart w:id="1060" w:name="_Toc8386"/>
      <w:bookmarkStart w:id="1061" w:name="_Toc29540"/>
      <w:bookmarkStart w:id="1062" w:name="_Toc3756"/>
      <w:bookmarkStart w:id="1063" w:name="_Toc2897"/>
      <w:bookmarkStart w:id="1064" w:name="_Toc7263"/>
      <w:bookmarkStart w:id="1065" w:name="_Toc13898"/>
      <w:bookmarkStart w:id="1066" w:name="_Toc1528"/>
      <w:r>
        <w:rPr>
          <w:rFonts w:hint="eastAsia" w:ascii="微软雅黑" w:hAnsi="微软雅黑" w:eastAsia="微软雅黑" w:cs="微软雅黑"/>
          <w:b/>
          <w:bCs/>
          <w:color w:val="auto"/>
          <w:sz w:val="24"/>
          <w:szCs w:val="24"/>
          <w:highlight w:val="none"/>
        </w:rPr>
        <w:t>1.3 价款</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3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803" w:type="dxa"/>
            <w:vAlign w:val="center"/>
          </w:tcPr>
          <w:p>
            <w:pPr>
              <w:pStyle w:val="56"/>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803" w:type="dxa"/>
            <w:vAlign w:val="center"/>
          </w:tcPr>
          <w:p>
            <w:pPr>
              <w:pStyle w:val="56"/>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color w:val="auto"/>
                <w:kern w:val="2"/>
                <w:sz w:val="24"/>
                <w:szCs w:val="24"/>
                <w:highlight w:val="none"/>
              </w:rPr>
            </w:pPr>
          </w:p>
        </w:tc>
      </w:tr>
    </w:tbl>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67" w:name="_Toc21349"/>
      <w:bookmarkStart w:id="1068" w:name="_Toc673"/>
      <w:bookmarkStart w:id="1069" w:name="_Toc24781"/>
      <w:bookmarkStart w:id="1070" w:name="_Toc10086"/>
      <w:bookmarkStart w:id="1071" w:name="_Toc26112"/>
      <w:bookmarkStart w:id="1072" w:name="_Toc4585"/>
      <w:bookmarkStart w:id="1073" w:name="_Toc29742"/>
      <w:bookmarkStart w:id="1074" w:name="_Toc30643"/>
      <w:bookmarkStart w:id="1075" w:name="_Toc7458"/>
      <w:bookmarkStart w:id="1076" w:name="_Toc26470"/>
      <w:bookmarkStart w:id="1077" w:name="_Toc22618"/>
      <w:bookmarkStart w:id="1078" w:name="_Toc1505"/>
      <w:bookmarkStart w:id="1079" w:name="_Toc30507"/>
      <w:bookmarkStart w:id="1080" w:name="_Toc7801"/>
      <w:bookmarkStart w:id="1081" w:name="_Toc21854"/>
      <w:bookmarkStart w:id="1082" w:name="_Toc21104"/>
      <w:bookmarkStart w:id="1083" w:name="_Toc27811"/>
      <w:bookmarkStart w:id="1084" w:name="_Toc8933"/>
      <w:bookmarkStart w:id="1085" w:name="_Toc1814"/>
      <w:bookmarkStart w:id="1086" w:name="_Toc28773"/>
      <w:bookmarkStart w:id="1087" w:name="_Toc7087"/>
      <w:bookmarkStart w:id="1088" w:name="_Toc19093"/>
      <w:bookmarkStart w:id="1089" w:name="_Toc44"/>
      <w:bookmarkStart w:id="1090" w:name="_Toc5736"/>
      <w:bookmarkStart w:id="1091" w:name="_Toc27654"/>
      <w:bookmarkStart w:id="1092" w:name="_Toc27817"/>
      <w:bookmarkStart w:id="1093" w:name="_Toc2285"/>
      <w:bookmarkStart w:id="1094" w:name="_Toc17184"/>
      <w:bookmarkStart w:id="1095" w:name="_Toc30437"/>
      <w:bookmarkStart w:id="1096" w:name="_Toc10340"/>
      <w:bookmarkStart w:id="1097" w:name="_Toc30462"/>
      <w:r>
        <w:rPr>
          <w:rFonts w:hint="eastAsia" w:ascii="微软雅黑" w:hAnsi="微软雅黑" w:eastAsia="微软雅黑" w:cs="微软雅黑"/>
          <w:b/>
          <w:bCs/>
          <w:color w:val="auto"/>
          <w:sz w:val="24"/>
          <w:szCs w:val="24"/>
          <w:highlight w:val="none"/>
        </w:rPr>
        <w:t>1.4 付款方式和发票开具方式</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98" w:name="_Toc17448"/>
      <w:bookmarkStart w:id="1099" w:name="_Toc13284"/>
      <w:bookmarkStart w:id="1100" w:name="_Toc19304"/>
      <w:bookmarkStart w:id="1101" w:name="_Toc30563"/>
      <w:bookmarkStart w:id="1102" w:name="_Toc2846"/>
      <w:bookmarkStart w:id="1103" w:name="_Toc16823"/>
      <w:bookmarkStart w:id="1104" w:name="_Toc10276"/>
      <w:bookmarkStart w:id="1105" w:name="_Toc2750"/>
      <w:bookmarkStart w:id="1106" w:name="_Toc4377"/>
      <w:bookmarkStart w:id="1107" w:name="_Toc11682"/>
      <w:bookmarkStart w:id="1108" w:name="_Toc25278"/>
      <w:bookmarkStart w:id="1109" w:name="_Toc32071"/>
      <w:bookmarkStart w:id="1110" w:name="_Toc18875"/>
      <w:bookmarkStart w:id="1111" w:name="_Toc25427"/>
      <w:bookmarkStart w:id="1112" w:name="_Toc2083"/>
      <w:bookmarkStart w:id="1113" w:name="_Toc26187"/>
      <w:bookmarkStart w:id="1114" w:name="_Toc32347"/>
      <w:bookmarkStart w:id="1115" w:name="_Toc30447"/>
      <w:bookmarkStart w:id="1116" w:name="_Toc1964"/>
      <w:bookmarkStart w:id="1117" w:name="_Toc17179"/>
      <w:bookmarkStart w:id="1118" w:name="_Toc22861"/>
      <w:bookmarkStart w:id="1119" w:name="_Toc2519"/>
      <w:bookmarkStart w:id="1120" w:name="_Toc4058"/>
      <w:bookmarkStart w:id="1121" w:name="_Toc13703"/>
      <w:bookmarkStart w:id="1122" w:name="_Toc29386"/>
      <w:bookmarkStart w:id="1123" w:name="_Toc30894"/>
      <w:bookmarkStart w:id="1124" w:name="_Toc19978"/>
      <w:bookmarkStart w:id="1125" w:name="_Toc4501"/>
      <w:bookmarkStart w:id="1126" w:name="_Toc23862"/>
      <w:bookmarkStart w:id="1127" w:name="_Toc32641"/>
      <w:bookmarkStart w:id="1128" w:name="_Toc2852"/>
      <w:r>
        <w:rPr>
          <w:rFonts w:hint="eastAsia" w:ascii="微软雅黑" w:hAnsi="微软雅黑" w:eastAsia="微软雅黑" w:cs="微软雅黑"/>
          <w:b/>
          <w:bCs/>
          <w:color w:val="auto"/>
          <w:sz w:val="24"/>
          <w:szCs w:val="24"/>
          <w:highlight w:val="none"/>
        </w:rPr>
        <w:t>1.5 货物交付期限、地点和方式</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交付期限：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交付地点：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交付方式：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29" w:name="_Toc25443"/>
      <w:bookmarkStart w:id="1130" w:name="_Toc27571"/>
      <w:bookmarkStart w:id="1131" w:name="_Toc21406"/>
      <w:bookmarkStart w:id="1132" w:name="_Toc19554"/>
      <w:bookmarkStart w:id="1133" w:name="_Toc12753"/>
      <w:bookmarkStart w:id="1134" w:name="_Toc12988"/>
      <w:bookmarkStart w:id="1135" w:name="_Toc12679"/>
      <w:bookmarkStart w:id="1136" w:name="_Toc6841"/>
      <w:bookmarkStart w:id="1137" w:name="_Toc4190"/>
      <w:bookmarkStart w:id="1138" w:name="_Toc21423"/>
      <w:bookmarkStart w:id="1139" w:name="_Toc26850"/>
      <w:bookmarkStart w:id="1140" w:name="_Toc8569"/>
      <w:bookmarkStart w:id="1141" w:name="_Toc29769"/>
      <w:bookmarkStart w:id="1142" w:name="_Toc11237"/>
      <w:bookmarkStart w:id="1143" w:name="_Toc28455"/>
      <w:bookmarkStart w:id="1144" w:name="_Toc10321"/>
      <w:bookmarkStart w:id="1145" w:name="_Toc15865"/>
      <w:bookmarkStart w:id="1146" w:name="_Toc30591"/>
      <w:bookmarkStart w:id="1147" w:name="_Toc10320"/>
      <w:bookmarkStart w:id="1148" w:name="_Toc13569"/>
      <w:bookmarkStart w:id="1149" w:name="_Toc27250"/>
      <w:bookmarkStart w:id="1150" w:name="_Toc1835"/>
      <w:bookmarkStart w:id="1151" w:name="_Toc27319"/>
      <w:bookmarkStart w:id="1152" w:name="_Toc1892"/>
      <w:bookmarkStart w:id="1153" w:name="_Toc17642"/>
      <w:bookmarkStart w:id="1154" w:name="_Toc13854"/>
      <w:bookmarkStart w:id="1155" w:name="_Toc25672"/>
      <w:bookmarkStart w:id="1156" w:name="_Toc12629"/>
      <w:bookmarkStart w:id="1157" w:name="_Toc27247"/>
      <w:bookmarkStart w:id="1158" w:name="_Toc12424"/>
      <w:bookmarkStart w:id="1159" w:name="_Toc8754"/>
      <w:bookmarkStart w:id="1160" w:name="_Toc29903"/>
      <w:r>
        <w:rPr>
          <w:rFonts w:hint="eastAsia" w:ascii="微软雅黑" w:hAnsi="微软雅黑" w:eastAsia="微软雅黑" w:cs="微软雅黑"/>
          <w:b/>
          <w:bCs/>
          <w:color w:val="auto"/>
          <w:sz w:val="24"/>
          <w:szCs w:val="24"/>
          <w:highlight w:val="none"/>
        </w:rPr>
        <w:t>1.6 违约责任</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61" w:name="_Toc16021"/>
      <w:bookmarkStart w:id="1162" w:name="_Toc18652"/>
      <w:bookmarkStart w:id="1163" w:name="_Toc29338"/>
      <w:bookmarkStart w:id="1164" w:name="_Toc13430"/>
      <w:bookmarkStart w:id="1165" w:name="_Toc3403"/>
      <w:bookmarkStart w:id="1166" w:name="_Toc21643"/>
      <w:bookmarkStart w:id="1167" w:name="_Toc19011"/>
      <w:bookmarkStart w:id="1168" w:name="_Toc8966"/>
      <w:bookmarkStart w:id="1169" w:name="_Toc15503"/>
      <w:bookmarkStart w:id="1170" w:name="_Toc28375"/>
      <w:bookmarkStart w:id="1171" w:name="_Toc27927"/>
      <w:bookmarkStart w:id="1172" w:name="_Toc7216"/>
      <w:bookmarkStart w:id="1173" w:name="_Toc31145"/>
      <w:bookmarkStart w:id="1174" w:name="_Toc29755"/>
      <w:bookmarkStart w:id="1175" w:name="_Toc24393"/>
      <w:bookmarkStart w:id="1176" w:name="_Toc19374"/>
      <w:bookmarkStart w:id="1177" w:name="_Toc15583"/>
      <w:bookmarkStart w:id="1178" w:name="_Toc20497"/>
      <w:bookmarkStart w:id="1179" w:name="_Toc9202"/>
      <w:bookmarkStart w:id="1180" w:name="_Toc22341"/>
      <w:bookmarkStart w:id="1181" w:name="_Toc24352"/>
      <w:bookmarkStart w:id="1182" w:name="_Toc8914"/>
      <w:bookmarkStart w:id="1183" w:name="_Toc6344"/>
      <w:bookmarkStart w:id="1184" w:name="_Toc23654"/>
      <w:bookmarkStart w:id="1185" w:name="_Toc20610"/>
      <w:bookmarkStart w:id="1186" w:name="_Toc27762"/>
      <w:bookmarkStart w:id="1187" w:name="_Toc3431"/>
      <w:bookmarkStart w:id="1188" w:name="_Toc12021"/>
      <w:bookmarkStart w:id="1189" w:name="_Toc16341"/>
      <w:bookmarkStart w:id="1190" w:name="_Toc5482"/>
      <w:bookmarkStart w:id="1191" w:name="_Toc25915"/>
      <w:bookmarkStart w:id="1192" w:name="_Toc12178"/>
      <w:r>
        <w:rPr>
          <w:rFonts w:hint="eastAsia" w:ascii="微软雅黑" w:hAnsi="微软雅黑" w:eastAsia="微软雅黑" w:cs="微软雅黑"/>
          <w:b/>
          <w:bCs/>
          <w:color w:val="auto"/>
          <w:sz w:val="24"/>
          <w:szCs w:val="24"/>
          <w:highlight w:val="none"/>
        </w:rPr>
        <w:t>1.7 合同争议的解决</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93" w:name="_Toc4516"/>
      <w:bookmarkStart w:id="1194" w:name="_Toc17113"/>
      <w:bookmarkStart w:id="1195" w:name="_Toc4964"/>
      <w:bookmarkStart w:id="1196" w:name="_Toc32578"/>
      <w:bookmarkStart w:id="1197" w:name="_Toc5982"/>
      <w:bookmarkStart w:id="1198" w:name="_Toc2894"/>
      <w:bookmarkStart w:id="1199" w:name="_Toc17760"/>
      <w:bookmarkStart w:id="1200" w:name="_Toc1647"/>
      <w:bookmarkStart w:id="1201" w:name="_Toc16410"/>
      <w:bookmarkStart w:id="1202" w:name="_Toc10429"/>
      <w:bookmarkStart w:id="1203" w:name="_Toc6411"/>
      <w:bookmarkStart w:id="1204" w:name="_Toc518"/>
      <w:bookmarkStart w:id="1205" w:name="_Toc29292"/>
      <w:bookmarkStart w:id="1206" w:name="_Toc2901"/>
      <w:bookmarkStart w:id="1207" w:name="_Toc26231"/>
      <w:bookmarkStart w:id="1208" w:name="_Toc10043"/>
      <w:bookmarkStart w:id="1209" w:name="_Toc15322"/>
      <w:bookmarkStart w:id="1210" w:name="_Toc9329"/>
      <w:bookmarkStart w:id="1211" w:name="_Toc6964"/>
      <w:bookmarkStart w:id="1212" w:name="_Toc7245"/>
      <w:bookmarkStart w:id="1213" w:name="_Toc10255"/>
      <w:bookmarkStart w:id="1214" w:name="_Toc8564"/>
      <w:bookmarkStart w:id="1215" w:name="_Toc21955"/>
      <w:bookmarkStart w:id="1216" w:name="_Toc11173"/>
      <w:bookmarkStart w:id="1217" w:name="_Toc8975"/>
      <w:bookmarkStart w:id="1218" w:name="_Toc12946"/>
      <w:bookmarkStart w:id="1219" w:name="_Toc20192"/>
      <w:bookmarkStart w:id="1220" w:name="_Toc14796"/>
      <w:bookmarkStart w:id="1221" w:name="_Toc30260"/>
      <w:bookmarkStart w:id="1222" w:name="_Toc20305"/>
      <w:bookmarkStart w:id="1223" w:name="_Toc5077"/>
      <w:bookmarkStart w:id="1224" w:name="_Toc496"/>
      <w:r>
        <w:rPr>
          <w:rFonts w:hint="eastAsia" w:ascii="微软雅黑" w:hAnsi="微软雅黑" w:eastAsia="微软雅黑" w:cs="微软雅黑"/>
          <w:b/>
          <w:bCs/>
          <w:color w:val="auto"/>
          <w:sz w:val="24"/>
          <w:szCs w:val="24"/>
          <w:highlight w:val="none"/>
        </w:rPr>
        <w:t>1.8 合同生效</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bCs/>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bCs/>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pPr>
        <w:keepNext w:val="0"/>
        <w:keepLines w:val="0"/>
        <w:pageBreakBefore w:val="0"/>
        <w:kinsoku/>
        <w:wordWrap/>
        <w:overflowPunct/>
        <w:topLinePunct w:val="0"/>
        <w:autoSpaceDE w:val="0"/>
        <w:autoSpaceDN w:val="0"/>
        <w:bidi w:val="0"/>
        <w:adjustRightInd w:val="0"/>
        <w:snapToGrid/>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pPr>
        <w:keepNext w:val="0"/>
        <w:keepLines w:val="0"/>
        <w:pageBreakBefore w:val="0"/>
        <w:widowControl/>
        <w:kinsoku/>
        <w:wordWrap/>
        <w:overflowPunct/>
        <w:topLinePunct w:val="0"/>
        <w:bidi w:val="0"/>
        <w:snapToGrid/>
        <w:spacing w:line="240" w:lineRule="auto"/>
        <w:jc w:val="left"/>
        <w:textAlignment w:val="auto"/>
        <w:rPr>
          <w:rFonts w:hint="eastAsia" w:ascii="微软雅黑" w:hAnsi="微软雅黑" w:eastAsia="微软雅黑" w:cs="微软雅黑"/>
          <w:b/>
          <w:bCs/>
          <w:color w:val="auto"/>
          <w:highlight w:val="none"/>
        </w:rPr>
      </w:pPr>
      <w:bookmarkStart w:id="1225" w:name="_Toc331685783"/>
    </w:p>
    <w:p>
      <w:pPr>
        <w:keepNext w:val="0"/>
        <w:keepLines w:val="0"/>
        <w:pageBreakBefore w:val="0"/>
        <w:widowControl/>
        <w:kinsoku/>
        <w:wordWrap/>
        <w:overflowPunct/>
        <w:topLinePunct w:val="0"/>
        <w:bidi w:val="0"/>
        <w:snapToGrid/>
        <w:spacing w:line="240" w:lineRule="auto"/>
        <w:jc w:val="left"/>
        <w:textAlignment w:val="auto"/>
        <w:rPr>
          <w:rFonts w:hint="eastAsia" w:ascii="微软雅黑" w:hAnsi="微软雅黑" w:eastAsia="微软雅黑" w:cs="微软雅黑"/>
          <w:b/>
          <w:bCs/>
          <w:color w:val="auto"/>
          <w:highlight w:val="none"/>
        </w:rPr>
      </w:pPr>
    </w:p>
    <w:p>
      <w:pPr>
        <w:pStyle w:val="58"/>
        <w:keepNext w:val="0"/>
        <w:keepLines w:val="0"/>
        <w:pageBreakBefore w:val="0"/>
        <w:kinsoku/>
        <w:wordWrap/>
        <w:overflowPunct/>
        <w:topLinePunct w:val="0"/>
        <w:bidi w:val="0"/>
        <w:snapToGrid/>
        <w:spacing w:line="240" w:lineRule="auto"/>
        <w:ind w:firstLine="20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第二部分 合同一般条款</w:t>
      </w:r>
      <w:bookmarkEnd w:id="1225"/>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26" w:name="_Ref467378499"/>
      <w:bookmarkStart w:id="1227" w:name="_Toc28763"/>
      <w:bookmarkStart w:id="1228" w:name="_Toc10572"/>
      <w:bookmarkStart w:id="1229" w:name="_Ref467379205"/>
      <w:bookmarkStart w:id="1230" w:name="_Toc3091"/>
      <w:bookmarkStart w:id="1231" w:name="_Toc21840"/>
      <w:bookmarkStart w:id="1232" w:name="_Toc2034"/>
      <w:bookmarkStart w:id="1233" w:name="_Ref467379094"/>
      <w:bookmarkStart w:id="1234" w:name="_Ref467378463"/>
      <w:bookmarkStart w:id="1235" w:name="_Ref467379195"/>
      <w:bookmarkStart w:id="1236" w:name="_Ref467378404"/>
      <w:bookmarkStart w:id="1237" w:name="_Toc28865"/>
      <w:bookmarkStart w:id="1238" w:name="_Toc5579"/>
      <w:bookmarkStart w:id="1239" w:name="_Toc29659"/>
      <w:bookmarkStart w:id="1240" w:name="_Ref467379101"/>
      <w:bookmarkStart w:id="1241" w:name="_Toc26415"/>
      <w:bookmarkStart w:id="1242" w:name="_Toc14827"/>
      <w:bookmarkStart w:id="1243" w:name="_Toc28547"/>
      <w:bookmarkStart w:id="1244" w:name="_Toc26936"/>
      <w:bookmarkStart w:id="1245" w:name="_Ref467379214"/>
      <w:bookmarkStart w:id="1246" w:name="_Toc31417"/>
      <w:bookmarkStart w:id="1247" w:name="_Toc20160"/>
      <w:bookmarkStart w:id="1248" w:name="_Toc23997"/>
      <w:bookmarkStart w:id="1249" w:name="_Toc259093669"/>
      <w:bookmarkStart w:id="1250" w:name="_Toc25035"/>
      <w:bookmarkStart w:id="1251" w:name="_Toc25689"/>
      <w:bookmarkStart w:id="1252" w:name="_Toc17718"/>
      <w:bookmarkStart w:id="1253" w:name="_Toc25554"/>
      <w:bookmarkStart w:id="1254" w:name="_Toc25060"/>
      <w:bookmarkStart w:id="1255" w:name="_Toc19614"/>
      <w:bookmarkStart w:id="1256" w:name="_Toc31310"/>
      <w:bookmarkStart w:id="1257" w:name="_Toc10245"/>
      <w:bookmarkStart w:id="1258" w:name="_Toc18089"/>
      <w:bookmarkStart w:id="1259" w:name="_Toc20709"/>
      <w:bookmarkStart w:id="1260" w:name="_Ref467379225"/>
      <w:bookmarkStart w:id="1261" w:name="_Toc279701240"/>
      <w:bookmarkStart w:id="1262" w:name="_Toc9087"/>
      <w:bookmarkStart w:id="1263" w:name="_Toc487900349"/>
      <w:bookmarkStart w:id="1264" w:name="_Toc32624"/>
      <w:bookmarkStart w:id="1265" w:name="_Ref467379109"/>
      <w:bookmarkStart w:id="1266" w:name="_Toc510"/>
      <w:bookmarkStart w:id="1267" w:name="_Toc16917"/>
      <w:bookmarkStart w:id="1268" w:name="_Toc2854"/>
      <w:bookmarkStart w:id="1269" w:name="_Toc26015"/>
      <w:r>
        <w:rPr>
          <w:rFonts w:hint="eastAsia" w:ascii="微软雅黑" w:hAnsi="微软雅黑" w:eastAsia="微软雅黑" w:cs="微软雅黑"/>
          <w:b/>
          <w:bCs/>
          <w:color w:val="auto"/>
          <w:sz w:val="24"/>
          <w:szCs w:val="24"/>
          <w:highlight w:val="none"/>
        </w:rPr>
        <w:t>2.1 定义</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0" w:name="_Ref467378840"/>
      <w:r>
        <w:rPr>
          <w:rFonts w:hint="eastAsia" w:ascii="微软雅黑" w:hAnsi="微软雅黑" w:eastAsia="微软雅黑" w:cs="微软雅黑"/>
          <w:color w:val="auto"/>
          <w:sz w:val="24"/>
          <w:szCs w:val="24"/>
          <w:highlight w:val="none"/>
        </w:rPr>
        <w:t>2.1.4 “甲方”系指与中标供应商签署合同的采购人</w:t>
      </w:r>
      <w:bookmarkEnd w:id="1270"/>
      <w:r>
        <w:rPr>
          <w:rFonts w:hint="eastAsia" w:ascii="微软雅黑" w:hAnsi="微软雅黑" w:eastAsia="微软雅黑" w:cs="微软雅黑"/>
          <w:color w:val="auto"/>
          <w:sz w:val="24"/>
          <w:szCs w:val="24"/>
          <w:highlight w:val="none"/>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1" w:name="_Ref467379400"/>
      <w:r>
        <w:rPr>
          <w:rFonts w:hint="eastAsia" w:ascii="微软雅黑" w:hAnsi="微软雅黑" w:eastAsia="微软雅黑" w:cs="微软雅黑"/>
          <w:color w:val="auto"/>
          <w:sz w:val="24"/>
          <w:szCs w:val="24"/>
          <w:highlight w:val="none"/>
        </w:rPr>
        <w:t>2.1.5 “乙方”系指根据合同约定交付货物的中标供应商</w:t>
      </w:r>
      <w:bookmarkEnd w:id="1271"/>
      <w:r>
        <w:rPr>
          <w:rFonts w:hint="eastAsia" w:ascii="微软雅黑" w:hAnsi="微软雅黑" w:eastAsia="微软雅黑" w:cs="微软雅黑"/>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272" w:name="_Ref467379436"/>
      <w:r>
        <w:rPr>
          <w:rFonts w:hint="eastAsia" w:ascii="微软雅黑" w:hAnsi="微软雅黑" w:eastAsia="微软雅黑" w:cs="微软雅黑"/>
          <w:color w:val="auto"/>
          <w:sz w:val="24"/>
          <w:szCs w:val="24"/>
          <w:highlight w:val="none"/>
        </w:rPr>
        <w:t>2.1.6 “现场”系指合同约定货物将要运至或者安装的地点。</w:t>
      </w:r>
      <w:bookmarkEnd w:id="1272"/>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73" w:name="_Toc24523"/>
      <w:bookmarkStart w:id="1274" w:name="_Toc17151"/>
      <w:bookmarkStart w:id="1275" w:name="_Toc23702"/>
      <w:bookmarkStart w:id="1276" w:name="_Toc22769"/>
      <w:bookmarkStart w:id="1277" w:name="_Toc30767"/>
      <w:bookmarkStart w:id="1278" w:name="_Toc27635"/>
      <w:bookmarkStart w:id="1279" w:name="_Toc29206"/>
      <w:bookmarkStart w:id="1280" w:name="_Toc25269"/>
      <w:bookmarkStart w:id="1281" w:name="_Toc25266"/>
      <w:bookmarkStart w:id="1282" w:name="_Toc3949"/>
      <w:bookmarkStart w:id="1283" w:name="_Toc3193"/>
      <w:bookmarkStart w:id="1284" w:name="_Toc1447"/>
      <w:bookmarkStart w:id="1285" w:name="_Toc23689"/>
      <w:bookmarkStart w:id="1286" w:name="_Toc15269"/>
      <w:bookmarkStart w:id="1287" w:name="_Toc1221"/>
      <w:bookmarkStart w:id="1288" w:name="_Toc259093670"/>
      <w:bookmarkStart w:id="1289" w:name="_Toc487900350"/>
      <w:bookmarkStart w:id="1290" w:name="_Toc1352"/>
      <w:bookmarkStart w:id="1291" w:name="_Toc8687"/>
      <w:bookmarkStart w:id="1292" w:name="_Toc279701241"/>
      <w:bookmarkStart w:id="1293" w:name="_Toc5592"/>
      <w:bookmarkStart w:id="1294" w:name="_Toc22122"/>
      <w:bookmarkStart w:id="1295" w:name="_Toc31414"/>
      <w:bookmarkStart w:id="1296" w:name="_Toc19892"/>
      <w:bookmarkStart w:id="1297" w:name="_Toc1183"/>
      <w:bookmarkStart w:id="1298" w:name="_Toc24792"/>
      <w:bookmarkStart w:id="1299" w:name="_Toc24322"/>
      <w:bookmarkStart w:id="1300" w:name="_Toc11142"/>
      <w:bookmarkStart w:id="1301" w:name="_Toc13336"/>
      <w:bookmarkStart w:id="1302" w:name="_Toc32504"/>
      <w:bookmarkStart w:id="1303" w:name="_Toc25336"/>
      <w:bookmarkStart w:id="1304" w:name="_Toc9246"/>
      <w:bookmarkStart w:id="1305" w:name="_Toc7416"/>
      <w:bookmarkStart w:id="1306" w:name="_Toc7048"/>
      <w:r>
        <w:rPr>
          <w:rFonts w:hint="eastAsia" w:ascii="微软雅黑" w:hAnsi="微软雅黑" w:eastAsia="微软雅黑" w:cs="微软雅黑"/>
          <w:b/>
          <w:bCs/>
          <w:color w:val="auto"/>
          <w:sz w:val="24"/>
          <w:szCs w:val="24"/>
          <w:highlight w:val="none"/>
        </w:rPr>
        <w:t>2.2 技术规范</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07" w:name="_Toc6121"/>
      <w:bookmarkStart w:id="1308" w:name="_Toc23791"/>
      <w:bookmarkStart w:id="1309" w:name="_Toc4916"/>
      <w:bookmarkStart w:id="1310" w:name="_Toc4029"/>
      <w:bookmarkStart w:id="1311" w:name="_Toc988"/>
      <w:bookmarkStart w:id="1312" w:name="_Toc6835"/>
      <w:bookmarkStart w:id="1313" w:name="_Toc18758"/>
      <w:bookmarkStart w:id="1314" w:name="_Toc30700"/>
      <w:bookmarkStart w:id="1315" w:name="_Toc24537"/>
      <w:bookmarkStart w:id="1316" w:name="_Toc1649"/>
      <w:bookmarkStart w:id="1317" w:name="_Toc18842"/>
      <w:bookmarkStart w:id="1318" w:name="_Toc7722"/>
      <w:bookmarkStart w:id="1319" w:name="_Toc30552"/>
      <w:bookmarkStart w:id="1320" w:name="_Toc975"/>
      <w:bookmarkStart w:id="1321" w:name="_Toc10461"/>
      <w:bookmarkStart w:id="1322" w:name="_Toc15733"/>
      <w:bookmarkStart w:id="1323" w:name="_Toc279701242"/>
      <w:bookmarkStart w:id="1324" w:name="_Toc23649"/>
      <w:bookmarkStart w:id="1325" w:name="_Toc17383"/>
      <w:bookmarkStart w:id="1326" w:name="_Toc487900351"/>
      <w:bookmarkStart w:id="1327" w:name="_Toc22279"/>
      <w:bookmarkStart w:id="1328" w:name="_Toc31634"/>
      <w:bookmarkStart w:id="1329" w:name="_Toc4277"/>
      <w:bookmarkStart w:id="1330" w:name="_Toc28662"/>
      <w:bookmarkStart w:id="1331" w:name="_Toc25255"/>
      <w:bookmarkStart w:id="1332" w:name="_Toc14632"/>
      <w:bookmarkStart w:id="1333" w:name="_Toc26928"/>
      <w:bookmarkStart w:id="1334" w:name="_Toc20130"/>
      <w:bookmarkStart w:id="1335" w:name="_Toc28946"/>
      <w:bookmarkStart w:id="1336" w:name="_Toc3854"/>
      <w:bookmarkStart w:id="1337" w:name="_Toc32048"/>
      <w:bookmarkStart w:id="1338" w:name="_Toc28532"/>
      <w:bookmarkStart w:id="1339" w:name="_Toc259093671"/>
      <w:bookmarkStart w:id="1340" w:name="_Toc9829"/>
      <w:bookmarkStart w:id="1341" w:name="_Toc27853"/>
      <w:r>
        <w:rPr>
          <w:rFonts w:hint="eastAsia" w:ascii="微软雅黑" w:hAnsi="微软雅黑" w:eastAsia="微软雅黑" w:cs="微软雅黑"/>
          <w:b/>
          <w:bCs/>
          <w:color w:val="auto"/>
          <w:sz w:val="24"/>
          <w:szCs w:val="24"/>
          <w:highlight w:val="none"/>
        </w:rPr>
        <w:t>2.3 知识产权</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42" w:name="_Toc8795"/>
      <w:bookmarkStart w:id="1343" w:name="_Toc1945"/>
      <w:bookmarkStart w:id="1344" w:name="_Toc28170"/>
      <w:bookmarkStart w:id="1345" w:name="_Toc17176"/>
      <w:bookmarkStart w:id="1346" w:name="_Toc10546"/>
      <w:bookmarkStart w:id="1347" w:name="_Toc12219"/>
      <w:bookmarkStart w:id="1348" w:name="_Toc5395"/>
      <w:bookmarkStart w:id="1349" w:name="_Toc2585"/>
      <w:bookmarkStart w:id="1350" w:name="_Toc25749"/>
      <w:bookmarkStart w:id="1351" w:name="_Toc19638"/>
      <w:bookmarkStart w:id="1352" w:name="_Toc3486"/>
      <w:bookmarkStart w:id="1353" w:name="_Toc13341"/>
      <w:bookmarkStart w:id="1354" w:name="_Toc9172"/>
      <w:bookmarkStart w:id="1355" w:name="_Toc21468"/>
      <w:bookmarkStart w:id="1356" w:name="_Toc455"/>
      <w:bookmarkStart w:id="1357" w:name="_Toc25767"/>
      <w:bookmarkStart w:id="1358" w:name="_Toc24384"/>
      <w:bookmarkStart w:id="1359" w:name="_Toc6781"/>
      <w:bookmarkStart w:id="1360" w:name="_Toc11932"/>
      <w:bookmarkStart w:id="1361" w:name="_Toc1877"/>
      <w:bookmarkStart w:id="1362" w:name="_Toc18554"/>
      <w:bookmarkStart w:id="1363" w:name="_Toc23105"/>
      <w:bookmarkStart w:id="1364" w:name="_Toc4194"/>
      <w:bookmarkStart w:id="1365" w:name="_Toc17876"/>
      <w:bookmarkStart w:id="1366" w:name="_Toc10397"/>
      <w:bookmarkStart w:id="1367" w:name="_Toc26731"/>
      <w:bookmarkStart w:id="1368" w:name="_Toc17080"/>
      <w:bookmarkStart w:id="1369" w:name="_Toc9470"/>
      <w:bookmarkStart w:id="1370" w:name="_Toc10970"/>
      <w:bookmarkStart w:id="1371" w:name="_Toc28714"/>
      <w:bookmarkStart w:id="1372" w:name="_Toc29149"/>
      <w:r>
        <w:rPr>
          <w:rFonts w:hint="eastAsia" w:ascii="微软雅黑" w:hAnsi="微软雅黑" w:eastAsia="微软雅黑" w:cs="微软雅黑"/>
          <w:b/>
          <w:bCs/>
          <w:color w:val="auto"/>
          <w:sz w:val="24"/>
          <w:szCs w:val="24"/>
          <w:highlight w:val="none"/>
        </w:rPr>
        <w:t>2.4 包装和装运</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装运货物的要求和通知，详见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73" w:name="_Toc487900354"/>
      <w:bookmarkStart w:id="1374" w:name="_Ref467378541"/>
      <w:bookmarkStart w:id="1375" w:name="_Ref467378591"/>
      <w:bookmarkStart w:id="1376" w:name="_Toc259093674"/>
      <w:bookmarkStart w:id="1377" w:name="_Ref467379536"/>
      <w:bookmarkStart w:id="1378" w:name="_Ref467379527"/>
      <w:bookmarkStart w:id="1379" w:name="_Ref467379542"/>
      <w:bookmarkStart w:id="1380" w:name="_Toc279701245"/>
      <w:bookmarkStart w:id="1381" w:name="_Toc28324"/>
      <w:bookmarkStart w:id="1382" w:name="_Toc30272"/>
      <w:bookmarkStart w:id="1383" w:name="_Toc8552"/>
      <w:bookmarkStart w:id="1384" w:name="_Toc8576"/>
      <w:bookmarkStart w:id="1385" w:name="_Toc24299"/>
      <w:bookmarkStart w:id="1386" w:name="_Toc530"/>
      <w:bookmarkStart w:id="1387" w:name="_Toc26182"/>
      <w:bookmarkStart w:id="1388" w:name="_Toc28998"/>
      <w:bookmarkStart w:id="1389" w:name="_Toc5927"/>
      <w:bookmarkStart w:id="1390" w:name="_Toc28937"/>
      <w:bookmarkStart w:id="1391" w:name="_Toc4831"/>
      <w:bookmarkStart w:id="1392" w:name="_Toc2815"/>
      <w:bookmarkStart w:id="1393" w:name="_Toc7379"/>
      <w:bookmarkStart w:id="1394" w:name="_Toc1580"/>
      <w:bookmarkStart w:id="1395" w:name="_Toc30291"/>
      <w:bookmarkStart w:id="1396" w:name="_Toc18307"/>
      <w:bookmarkStart w:id="1397" w:name="_Toc14100"/>
      <w:bookmarkStart w:id="1398" w:name="_Toc31437"/>
      <w:bookmarkStart w:id="1399" w:name="_Toc21410"/>
      <w:bookmarkStart w:id="1400" w:name="_Toc2039"/>
      <w:bookmarkStart w:id="1401" w:name="_Toc21198"/>
      <w:bookmarkStart w:id="1402" w:name="_Toc18515"/>
      <w:bookmarkStart w:id="1403" w:name="_Toc20866"/>
      <w:bookmarkStart w:id="1404" w:name="_Toc15512"/>
      <w:bookmarkStart w:id="1405" w:name="_Toc10209"/>
      <w:bookmarkStart w:id="1406" w:name="_Toc30185"/>
      <w:bookmarkStart w:id="1407" w:name="_Toc12428"/>
      <w:bookmarkStart w:id="1408" w:name="_Toc19074"/>
      <w:bookmarkStart w:id="1409" w:name="_Toc14170"/>
      <w:bookmarkStart w:id="1410" w:name="_Toc30516"/>
      <w:bookmarkStart w:id="1411" w:name="_Toc7299"/>
      <w:bookmarkStart w:id="1412" w:name="_Toc24935"/>
      <w:r>
        <w:rPr>
          <w:rFonts w:hint="eastAsia" w:ascii="微软雅黑" w:hAnsi="微软雅黑" w:eastAsia="微软雅黑" w:cs="微软雅黑"/>
          <w:b/>
          <w:bCs/>
          <w:color w:val="auto"/>
          <w:sz w:val="24"/>
          <w:szCs w:val="24"/>
          <w:highlight w:val="none"/>
        </w:rPr>
        <w:t>2.</w:t>
      </w:r>
      <w:bookmarkEnd w:id="1373"/>
      <w:bookmarkEnd w:id="1374"/>
      <w:bookmarkEnd w:id="1375"/>
      <w:bookmarkEnd w:id="1376"/>
      <w:bookmarkEnd w:id="1377"/>
      <w:bookmarkEnd w:id="1378"/>
      <w:bookmarkEnd w:id="1379"/>
      <w:bookmarkEnd w:id="1380"/>
      <w:r>
        <w:rPr>
          <w:rFonts w:hint="eastAsia" w:ascii="微软雅黑" w:hAnsi="微软雅黑" w:eastAsia="微软雅黑" w:cs="微软雅黑"/>
          <w:b/>
          <w:bCs/>
          <w:color w:val="auto"/>
          <w:sz w:val="24"/>
          <w:szCs w:val="24"/>
          <w:highlight w:val="none"/>
        </w:rPr>
        <w:t>5 履约检查和问题反馈</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413" w:name="_Ref467379657"/>
      <w:r>
        <w:rPr>
          <w:rFonts w:hint="eastAsia" w:ascii="微软雅黑" w:hAnsi="微软雅黑" w:eastAsia="微软雅黑" w:cs="微软雅黑"/>
          <w:color w:val="auto"/>
          <w:sz w:val="24"/>
          <w:szCs w:val="24"/>
          <w:highlight w:val="none"/>
        </w:rPr>
        <w:t>2.5.1</w:t>
      </w:r>
      <w:bookmarkEnd w:id="1413"/>
      <w:bookmarkStart w:id="1414" w:name="_Toc186431854"/>
      <w:bookmarkStart w:id="1415" w:name="_Toc259093676"/>
      <w:bookmarkStart w:id="1416" w:name="_Toc487900357"/>
      <w:bookmarkStart w:id="1417" w:name="_Toc279701247"/>
      <w:bookmarkStart w:id="1418" w:name="_Ref467379807"/>
      <w:bookmarkStart w:id="1419" w:name="_Ref467379793"/>
      <w:r>
        <w:rPr>
          <w:rFonts w:hint="eastAsia" w:ascii="微软雅黑" w:hAnsi="微软雅黑" w:eastAsia="微软雅黑" w:cs="微软雅黑"/>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 合同履行期间，甲方有权将履行过程中出现的问题反馈给乙方，双方当事人应以书面形式约定需要完善和改进的内容</w:t>
      </w:r>
      <w:bookmarkEnd w:id="1414"/>
      <w:bookmarkStart w:id="1420" w:name="_Toc186431855"/>
      <w:r>
        <w:rPr>
          <w:rFonts w:hint="eastAsia" w:ascii="微软雅黑" w:hAnsi="微软雅黑" w:eastAsia="微软雅黑" w:cs="微软雅黑"/>
          <w:color w:val="auto"/>
          <w:sz w:val="24"/>
          <w:szCs w:val="24"/>
          <w:highlight w:val="none"/>
        </w:rPr>
        <w:t>。</w:t>
      </w:r>
    </w:p>
    <w:bookmarkEnd w:id="1420"/>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21" w:name="_Toc28142"/>
      <w:bookmarkStart w:id="1422" w:name="_Toc7836"/>
      <w:bookmarkStart w:id="1423" w:name="_Toc27802"/>
      <w:bookmarkStart w:id="1424" w:name="_Toc12360"/>
      <w:bookmarkStart w:id="1425" w:name="_Toc30354"/>
      <w:bookmarkStart w:id="1426" w:name="_Toc11522"/>
      <w:bookmarkStart w:id="1427" w:name="_Toc12377"/>
      <w:bookmarkStart w:id="1428" w:name="_Toc26298"/>
      <w:bookmarkStart w:id="1429" w:name="_Toc23261"/>
      <w:bookmarkStart w:id="1430" w:name="_Toc17283"/>
      <w:bookmarkStart w:id="1431" w:name="_Toc15854"/>
      <w:bookmarkStart w:id="1432" w:name="_Toc9092"/>
      <w:bookmarkStart w:id="1433" w:name="_Toc6725"/>
      <w:bookmarkStart w:id="1434" w:name="_Toc10980"/>
      <w:bookmarkStart w:id="1435" w:name="_Toc31520"/>
      <w:bookmarkStart w:id="1436" w:name="_Toc28451"/>
      <w:bookmarkStart w:id="1437" w:name="_Toc8058"/>
      <w:bookmarkStart w:id="1438" w:name="_Toc22499"/>
      <w:bookmarkStart w:id="1439" w:name="_Toc26232"/>
      <w:bookmarkStart w:id="1440" w:name="_Toc2067"/>
      <w:bookmarkStart w:id="1441" w:name="_Toc31564"/>
      <w:bookmarkStart w:id="1442" w:name="_Toc10704"/>
      <w:bookmarkStart w:id="1443" w:name="_Toc234"/>
      <w:bookmarkStart w:id="1444" w:name="_Toc582"/>
      <w:bookmarkStart w:id="1445" w:name="_Toc18294"/>
      <w:bookmarkStart w:id="1446" w:name="_Toc3518"/>
      <w:bookmarkStart w:id="1447" w:name="_Toc10470"/>
      <w:bookmarkStart w:id="1448" w:name="_Toc5304"/>
      <w:bookmarkStart w:id="1449" w:name="_Toc19219"/>
      <w:bookmarkStart w:id="1450" w:name="_Toc26245"/>
      <w:bookmarkStart w:id="1451" w:name="_Toc1530"/>
      <w:bookmarkStart w:id="1452" w:name="_Toc5363"/>
      <w:r>
        <w:rPr>
          <w:rFonts w:hint="eastAsia" w:ascii="微软雅黑" w:hAnsi="微软雅黑" w:eastAsia="微软雅黑" w:cs="微软雅黑"/>
          <w:b/>
          <w:bCs/>
          <w:color w:val="auto"/>
          <w:sz w:val="24"/>
          <w:szCs w:val="24"/>
          <w:highlight w:val="none"/>
        </w:rPr>
        <w:t>2.6 结算方式和付款条件</w:t>
      </w:r>
      <w:bookmarkEnd w:id="1415"/>
      <w:bookmarkEnd w:id="1416"/>
      <w:bookmarkEnd w:id="1417"/>
      <w:bookmarkEnd w:id="1418"/>
      <w:bookmarkEnd w:id="1419"/>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53" w:name="_Ref467379923"/>
      <w:bookmarkStart w:id="1454" w:name="_Ref467379852"/>
      <w:bookmarkStart w:id="1455" w:name="_Toc487900358"/>
      <w:bookmarkStart w:id="1456" w:name="_Toc259093677"/>
      <w:bookmarkStart w:id="1457" w:name="_Ref467379863"/>
      <w:bookmarkStart w:id="1458" w:name="_Toc279701248"/>
      <w:bookmarkStart w:id="1459" w:name="_Toc12608"/>
      <w:bookmarkStart w:id="1460" w:name="_Toc31305"/>
      <w:bookmarkStart w:id="1461" w:name="_Toc10114"/>
      <w:bookmarkStart w:id="1462" w:name="_Toc3333"/>
      <w:bookmarkStart w:id="1463" w:name="_Toc14432"/>
      <w:bookmarkStart w:id="1464" w:name="_Toc29616"/>
      <w:bookmarkStart w:id="1465" w:name="_Toc774"/>
      <w:bookmarkStart w:id="1466" w:name="_Toc24083"/>
      <w:bookmarkStart w:id="1467" w:name="_Toc23170"/>
      <w:bookmarkStart w:id="1468" w:name="_Toc16110"/>
      <w:bookmarkStart w:id="1469" w:name="_Toc17051"/>
      <w:bookmarkStart w:id="1470" w:name="_Toc7000"/>
      <w:bookmarkStart w:id="1471" w:name="_Toc11615"/>
      <w:bookmarkStart w:id="1472" w:name="_Toc1200"/>
      <w:bookmarkStart w:id="1473" w:name="_Toc31971"/>
      <w:bookmarkStart w:id="1474" w:name="_Toc21510"/>
      <w:bookmarkStart w:id="1475" w:name="_Toc14939"/>
      <w:bookmarkStart w:id="1476" w:name="_Toc6635"/>
      <w:bookmarkStart w:id="1477" w:name="_Toc22229"/>
      <w:bookmarkStart w:id="1478" w:name="_Toc9845"/>
      <w:bookmarkStart w:id="1479" w:name="_Toc13023"/>
      <w:bookmarkStart w:id="1480" w:name="_Toc28781"/>
      <w:bookmarkStart w:id="1481" w:name="_Toc29030"/>
      <w:bookmarkStart w:id="1482" w:name="_Toc17136"/>
      <w:bookmarkStart w:id="1483" w:name="_Toc31128"/>
      <w:bookmarkStart w:id="1484" w:name="_Toc3225"/>
      <w:bookmarkStart w:id="1485" w:name="_Toc14491"/>
      <w:bookmarkStart w:id="1486" w:name="_Toc17607"/>
      <w:bookmarkStart w:id="1487" w:name="_Toc8272"/>
      <w:bookmarkStart w:id="1488" w:name="_Toc25277"/>
      <w:r>
        <w:rPr>
          <w:rFonts w:hint="eastAsia" w:ascii="微软雅黑" w:hAnsi="微软雅黑" w:eastAsia="微软雅黑" w:cs="微软雅黑"/>
          <w:b/>
          <w:bCs/>
          <w:color w:val="auto"/>
          <w:sz w:val="24"/>
          <w:szCs w:val="24"/>
          <w:highlight w:val="none"/>
        </w:rPr>
        <w:t>2.7 技术资料</w:t>
      </w:r>
      <w:bookmarkEnd w:id="1453"/>
      <w:bookmarkEnd w:id="1454"/>
      <w:bookmarkEnd w:id="1455"/>
      <w:bookmarkEnd w:id="1456"/>
      <w:bookmarkEnd w:id="1457"/>
      <w:bookmarkEnd w:id="1458"/>
      <w:r>
        <w:rPr>
          <w:rFonts w:hint="eastAsia" w:ascii="微软雅黑" w:hAnsi="微软雅黑" w:eastAsia="微软雅黑" w:cs="微软雅黑"/>
          <w:b/>
          <w:bCs/>
          <w:color w:val="auto"/>
          <w:sz w:val="24"/>
          <w:szCs w:val="24"/>
          <w:highlight w:val="none"/>
        </w:rPr>
        <w:t>和保密义务</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乙方有义务妥善保管和保护由甲方提供的前款信息和资料等；</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89" w:name="_Toc18551"/>
      <w:bookmarkStart w:id="1490" w:name="_Toc15850"/>
      <w:bookmarkStart w:id="1491" w:name="_Toc14045"/>
      <w:bookmarkStart w:id="1492" w:name="_Toc7860"/>
      <w:bookmarkStart w:id="1493" w:name="_Toc11530"/>
      <w:bookmarkStart w:id="1494" w:name="_Toc16190"/>
      <w:bookmarkStart w:id="1495" w:name="_Toc8288"/>
      <w:bookmarkStart w:id="1496" w:name="_Toc26425"/>
      <w:bookmarkStart w:id="1497" w:name="_Toc7771"/>
      <w:bookmarkStart w:id="1498" w:name="_Toc5556"/>
      <w:bookmarkStart w:id="1499" w:name="_Toc23081"/>
      <w:bookmarkStart w:id="1500" w:name="_Toc5200"/>
      <w:bookmarkStart w:id="1501" w:name="_Toc10326"/>
      <w:bookmarkStart w:id="1502" w:name="_Toc9561"/>
      <w:bookmarkStart w:id="1503" w:name="_Toc21267"/>
      <w:bookmarkStart w:id="1504" w:name="_Toc30167"/>
      <w:bookmarkStart w:id="1505" w:name="_Toc30503"/>
      <w:bookmarkStart w:id="1506" w:name="_Toc122"/>
      <w:bookmarkStart w:id="1507" w:name="_Toc31883"/>
      <w:bookmarkStart w:id="1508" w:name="_Toc19659"/>
      <w:bookmarkStart w:id="1509" w:name="_Toc25676"/>
      <w:bookmarkStart w:id="1510" w:name="_Toc24654"/>
      <w:bookmarkStart w:id="1511" w:name="_Toc20641"/>
      <w:bookmarkStart w:id="1512" w:name="_Toc11328"/>
      <w:bookmarkStart w:id="1513" w:name="_Toc30477"/>
      <w:bookmarkStart w:id="1514" w:name="_Toc27453"/>
      <w:bookmarkStart w:id="1515" w:name="_Toc18231"/>
      <w:bookmarkStart w:id="1516" w:name="_Toc31496"/>
      <w:bookmarkStart w:id="1517" w:name="_Toc4779"/>
      <w:bookmarkStart w:id="1518" w:name="_Toc3156"/>
      <w:r>
        <w:rPr>
          <w:rFonts w:hint="eastAsia" w:ascii="微软雅黑" w:hAnsi="微软雅黑" w:eastAsia="微软雅黑" w:cs="微软雅黑"/>
          <w:b/>
          <w:bCs/>
          <w:color w:val="auto"/>
          <w:sz w:val="24"/>
          <w:szCs w:val="24"/>
          <w:highlight w:val="none"/>
        </w:rPr>
        <w:t>2.8 质量保证</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19" w:name="_Toc14596"/>
      <w:bookmarkStart w:id="1520" w:name="_Toc22016"/>
      <w:bookmarkStart w:id="1521" w:name="_Toc2308"/>
      <w:bookmarkStart w:id="1522" w:name="_Toc801"/>
      <w:bookmarkStart w:id="1523" w:name="_Toc26555"/>
      <w:bookmarkStart w:id="1524" w:name="_Toc28147"/>
      <w:bookmarkStart w:id="1525" w:name="_Toc17030"/>
      <w:bookmarkStart w:id="1526" w:name="_Toc7569"/>
      <w:bookmarkStart w:id="1527" w:name="_Toc27806"/>
      <w:bookmarkStart w:id="1528" w:name="_Toc12966"/>
      <w:bookmarkStart w:id="1529" w:name="_Toc17244"/>
      <w:bookmarkStart w:id="1530" w:name="_Toc23172"/>
      <w:bookmarkStart w:id="1531" w:name="_Toc15929"/>
      <w:bookmarkStart w:id="1532" w:name="_Toc6526"/>
      <w:bookmarkStart w:id="1533" w:name="_Toc12408"/>
      <w:bookmarkStart w:id="1534" w:name="_Toc31920"/>
      <w:bookmarkStart w:id="1535" w:name="_Toc22833"/>
      <w:bookmarkStart w:id="1536" w:name="_Toc27234"/>
      <w:bookmarkStart w:id="1537" w:name="_Toc3300"/>
      <w:bookmarkStart w:id="1538" w:name="_Toc12010"/>
      <w:bookmarkStart w:id="1539" w:name="_Toc25529"/>
      <w:bookmarkStart w:id="1540" w:name="_Toc15408"/>
      <w:bookmarkStart w:id="1541" w:name="_Toc17497"/>
      <w:bookmarkStart w:id="1542" w:name="_Toc13812"/>
      <w:bookmarkStart w:id="1543" w:name="_Toc27238"/>
      <w:bookmarkStart w:id="1544" w:name="_Toc14663"/>
      <w:bookmarkStart w:id="1545" w:name="_Toc13410"/>
      <w:bookmarkStart w:id="1546" w:name="_Toc812"/>
      <w:bookmarkStart w:id="1547" w:name="_Toc279701252"/>
      <w:bookmarkStart w:id="1548" w:name="_Toc259093681"/>
      <w:bookmarkStart w:id="1549" w:name="_Toc487900362"/>
      <w:r>
        <w:rPr>
          <w:rFonts w:hint="eastAsia" w:ascii="微软雅黑" w:hAnsi="微软雅黑" w:eastAsia="微软雅黑" w:cs="微软雅黑"/>
          <w:b/>
          <w:bCs/>
          <w:color w:val="auto"/>
          <w:sz w:val="24"/>
          <w:szCs w:val="24"/>
          <w:highlight w:val="none"/>
        </w:rPr>
        <w:t>2.9 货物的风险负担</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50" w:name="_Toc15112"/>
      <w:bookmarkStart w:id="1551" w:name="_Toc2"/>
      <w:bookmarkStart w:id="1552" w:name="_Toc10676"/>
      <w:bookmarkStart w:id="1553" w:name="_Toc29192"/>
      <w:bookmarkStart w:id="1554" w:name="_Toc24830"/>
      <w:bookmarkStart w:id="1555" w:name="_Toc20457"/>
      <w:bookmarkStart w:id="1556" w:name="_Toc21426"/>
      <w:bookmarkStart w:id="1557" w:name="_Toc15616"/>
      <w:bookmarkStart w:id="1558" w:name="_Toc15972"/>
      <w:bookmarkStart w:id="1559" w:name="_Toc1494"/>
      <w:bookmarkStart w:id="1560" w:name="_Toc6602"/>
      <w:bookmarkStart w:id="1561" w:name="_Toc14698"/>
      <w:bookmarkStart w:id="1562" w:name="_Toc566"/>
      <w:bookmarkStart w:id="1563" w:name="_Toc16001"/>
      <w:bookmarkStart w:id="1564" w:name="_Toc5196"/>
      <w:bookmarkStart w:id="1565" w:name="_Toc14055"/>
      <w:bookmarkStart w:id="1566" w:name="_Toc20938"/>
      <w:bookmarkStart w:id="1567" w:name="_Toc26567"/>
      <w:bookmarkStart w:id="1568" w:name="_Toc15465"/>
      <w:bookmarkStart w:id="1569" w:name="_Toc31257"/>
      <w:bookmarkStart w:id="1570" w:name="_Toc15310"/>
      <w:bookmarkStart w:id="1571" w:name="_Toc19684"/>
      <w:bookmarkStart w:id="1572" w:name="_Toc7986"/>
      <w:bookmarkStart w:id="1573" w:name="_Toc17555"/>
      <w:bookmarkStart w:id="1574" w:name="_Toc25663"/>
      <w:bookmarkStart w:id="1575" w:name="_Toc22674"/>
      <w:bookmarkStart w:id="1576" w:name="_Toc1299"/>
      <w:bookmarkStart w:id="1577" w:name="_Toc11963"/>
      <w:bookmarkStart w:id="1578" w:name="_Toc5876"/>
      <w:r>
        <w:rPr>
          <w:rFonts w:hint="eastAsia" w:ascii="微软雅黑" w:hAnsi="微软雅黑" w:eastAsia="微软雅黑" w:cs="微软雅黑"/>
          <w:b/>
          <w:bCs/>
          <w:color w:val="auto"/>
          <w:sz w:val="24"/>
          <w:szCs w:val="24"/>
          <w:highlight w:val="none"/>
        </w:rPr>
        <w:t>2.10 延迟交货</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79" w:name="_Toc21567"/>
      <w:bookmarkStart w:id="1580" w:name="_Toc8286"/>
      <w:bookmarkStart w:id="1581" w:name="_Toc31403"/>
      <w:bookmarkStart w:id="1582" w:name="_Toc12175"/>
      <w:bookmarkStart w:id="1583" w:name="_Toc17237"/>
      <w:bookmarkStart w:id="1584" w:name="_Toc20266"/>
      <w:bookmarkStart w:id="1585" w:name="_Toc16810"/>
      <w:bookmarkStart w:id="1586" w:name="_Toc15143"/>
      <w:bookmarkStart w:id="1587" w:name="_Toc2860"/>
      <w:bookmarkStart w:id="1588" w:name="_Toc26004"/>
      <w:bookmarkStart w:id="1589" w:name="_Toc29075"/>
      <w:bookmarkStart w:id="1590" w:name="_Toc10956"/>
      <w:bookmarkStart w:id="1591" w:name="_Toc507"/>
      <w:bookmarkStart w:id="1592" w:name="_Toc7502"/>
      <w:bookmarkStart w:id="1593" w:name="_Toc26357"/>
      <w:bookmarkStart w:id="1594" w:name="_Toc14851"/>
      <w:bookmarkStart w:id="1595" w:name="_Toc25717"/>
      <w:bookmarkStart w:id="1596" w:name="_Toc19951"/>
      <w:bookmarkStart w:id="1597" w:name="_Toc9194"/>
      <w:bookmarkStart w:id="1598" w:name="_Toc8731"/>
      <w:bookmarkStart w:id="1599" w:name="_Toc18704"/>
      <w:bookmarkStart w:id="1600" w:name="_Toc9706"/>
      <w:bookmarkStart w:id="1601" w:name="_Toc19434"/>
      <w:bookmarkStart w:id="1602" w:name="_Toc7444"/>
      <w:bookmarkStart w:id="1603" w:name="_Toc8126"/>
      <w:bookmarkStart w:id="1604" w:name="_Toc16528"/>
      <w:bookmarkStart w:id="1605" w:name="_Toc3064"/>
      <w:bookmarkStart w:id="1606" w:name="_Toc23198"/>
      <w:bookmarkStart w:id="1607" w:name="_Toc8441"/>
      <w:bookmarkStart w:id="1608" w:name="_Ref467378121"/>
      <w:bookmarkStart w:id="1609" w:name="_Toc487900364"/>
      <w:bookmarkStart w:id="1610" w:name="_Toc259093683"/>
      <w:bookmarkStart w:id="1611" w:name="_Toc279701254"/>
      <w:r>
        <w:rPr>
          <w:rFonts w:hint="eastAsia" w:ascii="微软雅黑" w:hAnsi="微软雅黑" w:eastAsia="微软雅黑" w:cs="微软雅黑"/>
          <w:b/>
          <w:bCs/>
          <w:color w:val="auto"/>
          <w:sz w:val="24"/>
          <w:szCs w:val="24"/>
          <w:highlight w:val="none"/>
        </w:rPr>
        <w:t>2.11 合同变更</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612" w:name="_Toc259093688"/>
      <w:bookmarkStart w:id="1613" w:name="_Toc487900369"/>
      <w:bookmarkStart w:id="1614" w:name="_Toc279701259"/>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15" w:name="_Toc18316"/>
      <w:bookmarkStart w:id="1616" w:name="_Toc29045"/>
      <w:bookmarkStart w:id="1617" w:name="_Toc12023"/>
      <w:bookmarkStart w:id="1618" w:name="_Toc3931"/>
      <w:bookmarkStart w:id="1619" w:name="_Toc26224"/>
      <w:bookmarkStart w:id="1620" w:name="_Toc17486"/>
      <w:bookmarkStart w:id="1621" w:name="_Toc10366"/>
      <w:bookmarkStart w:id="1622" w:name="_Toc22955"/>
      <w:bookmarkStart w:id="1623" w:name="_Toc26864"/>
      <w:bookmarkStart w:id="1624" w:name="_Toc3062"/>
      <w:bookmarkStart w:id="1625" w:name="_Toc32003"/>
      <w:bookmarkStart w:id="1626" w:name="_Toc28480"/>
      <w:bookmarkStart w:id="1627" w:name="_Toc10537"/>
      <w:bookmarkStart w:id="1628" w:name="_Toc3825"/>
      <w:bookmarkStart w:id="1629" w:name="_Toc8679"/>
      <w:bookmarkStart w:id="1630" w:name="_Toc27772"/>
      <w:bookmarkStart w:id="1631" w:name="_Toc6051"/>
      <w:bookmarkStart w:id="1632" w:name="_Toc23079"/>
      <w:bookmarkStart w:id="1633" w:name="_Toc3928"/>
      <w:bookmarkStart w:id="1634" w:name="_Toc24511"/>
      <w:bookmarkStart w:id="1635" w:name="_Toc15237"/>
      <w:bookmarkStart w:id="1636" w:name="_Toc31419"/>
      <w:bookmarkStart w:id="1637" w:name="_Toc2157"/>
      <w:bookmarkStart w:id="1638" w:name="_Toc30397"/>
      <w:bookmarkStart w:id="1639" w:name="_Toc21753"/>
      <w:bookmarkStart w:id="1640" w:name="_Toc24850"/>
      <w:bookmarkStart w:id="1641" w:name="_Toc11626"/>
      <w:bookmarkStart w:id="1642" w:name="_Toc14895"/>
      <w:bookmarkStart w:id="1643" w:name="_Toc19380"/>
      <w:bookmarkStart w:id="1644" w:name="_Toc32581"/>
      <w:bookmarkStart w:id="1645" w:name="_Toc32309"/>
      <w:bookmarkStart w:id="1646" w:name="_Toc25508"/>
      <w:r>
        <w:rPr>
          <w:rFonts w:hint="eastAsia" w:ascii="微软雅黑" w:hAnsi="微软雅黑" w:eastAsia="微软雅黑" w:cs="微软雅黑"/>
          <w:b/>
          <w:bCs/>
          <w:color w:val="auto"/>
          <w:sz w:val="24"/>
          <w:szCs w:val="24"/>
          <w:highlight w:val="none"/>
        </w:rPr>
        <w:t>2.12 合同转让</w:t>
      </w:r>
      <w:bookmarkEnd w:id="1612"/>
      <w:bookmarkEnd w:id="1613"/>
      <w:bookmarkEnd w:id="1614"/>
      <w:r>
        <w:rPr>
          <w:rFonts w:hint="eastAsia" w:ascii="微软雅黑" w:hAnsi="微软雅黑" w:eastAsia="微软雅黑" w:cs="微软雅黑"/>
          <w:b/>
          <w:bCs/>
          <w:color w:val="auto"/>
          <w:sz w:val="24"/>
          <w:szCs w:val="24"/>
          <w:highlight w:val="none"/>
        </w:rPr>
        <w:t>和分包</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47" w:name="_Toc14066"/>
      <w:bookmarkStart w:id="1648" w:name="_Toc32515"/>
      <w:bookmarkStart w:id="1649" w:name="_Toc3177"/>
      <w:bookmarkStart w:id="1650" w:name="_Toc17498"/>
      <w:bookmarkStart w:id="1651" w:name="_Toc16508"/>
      <w:bookmarkStart w:id="1652" w:name="_Toc32580"/>
      <w:bookmarkStart w:id="1653" w:name="_Toc19407"/>
      <w:bookmarkStart w:id="1654" w:name="_Toc13557"/>
      <w:bookmarkStart w:id="1655" w:name="_Toc18272"/>
      <w:bookmarkStart w:id="1656" w:name="_Toc16893"/>
      <w:bookmarkStart w:id="1657" w:name="_Toc11104"/>
      <w:bookmarkStart w:id="1658" w:name="_Toc12165"/>
      <w:bookmarkStart w:id="1659" w:name="_Toc10688"/>
      <w:bookmarkStart w:id="1660" w:name="_Toc19750"/>
      <w:bookmarkStart w:id="1661" w:name="_Toc12809"/>
      <w:bookmarkStart w:id="1662" w:name="_Toc8114"/>
      <w:bookmarkStart w:id="1663" w:name="_Toc7077"/>
      <w:bookmarkStart w:id="1664" w:name="_Toc4193"/>
      <w:bookmarkStart w:id="1665" w:name="_Toc5484"/>
      <w:bookmarkStart w:id="1666" w:name="_Toc15741"/>
      <w:bookmarkStart w:id="1667" w:name="_Toc24741"/>
      <w:bookmarkStart w:id="1668" w:name="_Toc14564"/>
      <w:bookmarkStart w:id="1669" w:name="_Toc6414"/>
      <w:bookmarkStart w:id="1670" w:name="_Toc3533"/>
      <w:bookmarkStart w:id="1671" w:name="_Toc4540"/>
      <w:bookmarkStart w:id="1672" w:name="_Toc22326"/>
      <w:bookmarkStart w:id="1673" w:name="_Toc2586"/>
      <w:bookmarkStart w:id="1674" w:name="_Toc31984"/>
      <w:bookmarkStart w:id="1675" w:name="_Toc14752"/>
      <w:bookmarkStart w:id="1676" w:name="_Toc29987"/>
      <w:bookmarkStart w:id="1677" w:name="_Toc13566"/>
      <w:bookmarkStart w:id="1678" w:name="_Toc32426"/>
      <w:r>
        <w:rPr>
          <w:rFonts w:hint="eastAsia" w:ascii="微软雅黑" w:hAnsi="微软雅黑" w:eastAsia="微软雅黑" w:cs="微软雅黑"/>
          <w:b/>
          <w:bCs/>
          <w:color w:val="auto"/>
          <w:sz w:val="24"/>
          <w:szCs w:val="24"/>
          <w:highlight w:val="none"/>
        </w:rPr>
        <w:t>2.13 不可抗力</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2.13.2 因不可抗力致使不能实现合同目的的，当事人可以解除合同；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2.13.3 因不可抗力致使合同有变更必要的，双方当事人应在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2.13.4受不可抗力影响的一方在不可抗力发生后，应在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79" w:name="_Toc25124"/>
      <w:bookmarkStart w:id="1680" w:name="_Toc16229"/>
      <w:bookmarkStart w:id="1681" w:name="_Toc4006"/>
      <w:bookmarkStart w:id="1682" w:name="_Toc10528"/>
      <w:bookmarkStart w:id="1683" w:name="_Toc6288"/>
      <w:bookmarkStart w:id="1684" w:name="_Toc279701255"/>
      <w:bookmarkStart w:id="1685" w:name="_Toc11423"/>
      <w:bookmarkStart w:id="1686" w:name="_Toc10789"/>
      <w:bookmarkStart w:id="1687" w:name="_Toc15941"/>
      <w:bookmarkStart w:id="1688" w:name="_Toc7175"/>
      <w:bookmarkStart w:id="1689" w:name="_Toc31597"/>
      <w:bookmarkStart w:id="1690" w:name="_Toc24010"/>
      <w:bookmarkStart w:id="1691" w:name="_Toc1584"/>
      <w:bookmarkStart w:id="1692" w:name="_Toc32764"/>
      <w:bookmarkStart w:id="1693" w:name="_Toc689"/>
      <w:bookmarkStart w:id="1694" w:name="_Toc6969"/>
      <w:bookmarkStart w:id="1695" w:name="_Toc6676"/>
      <w:bookmarkStart w:id="1696" w:name="_Toc28117"/>
      <w:bookmarkStart w:id="1697" w:name="_Toc487900365"/>
      <w:bookmarkStart w:id="1698" w:name="_Toc30676"/>
      <w:bookmarkStart w:id="1699" w:name="_Toc26085"/>
      <w:bookmarkStart w:id="1700" w:name="_Toc28340"/>
      <w:bookmarkStart w:id="1701" w:name="_Toc7145"/>
      <w:bookmarkStart w:id="1702" w:name="_Toc1957"/>
      <w:bookmarkStart w:id="1703" w:name="_Toc5884"/>
      <w:bookmarkStart w:id="1704" w:name="_Toc19677"/>
      <w:bookmarkStart w:id="1705" w:name="_Toc20375"/>
      <w:bookmarkStart w:id="1706" w:name="_Toc6047"/>
      <w:bookmarkStart w:id="1707" w:name="_Toc11875"/>
      <w:bookmarkStart w:id="1708" w:name="_Toc259093684"/>
      <w:bookmarkStart w:id="1709" w:name="_Toc12959"/>
      <w:bookmarkStart w:id="1710" w:name="_Toc13910"/>
      <w:bookmarkStart w:id="1711" w:name="_Toc22812"/>
      <w:bookmarkStart w:id="1712" w:name="_Toc16506"/>
      <w:bookmarkStart w:id="1713" w:name="_Toc11876"/>
      <w:r>
        <w:rPr>
          <w:rFonts w:hint="eastAsia" w:ascii="微软雅黑" w:hAnsi="微软雅黑" w:eastAsia="微软雅黑" w:cs="微软雅黑"/>
          <w:b/>
          <w:bCs/>
          <w:color w:val="auto"/>
          <w:sz w:val="24"/>
          <w:szCs w:val="24"/>
          <w:highlight w:val="none"/>
        </w:rPr>
        <w:t>2.14 税费</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14" w:name="_Toc7102"/>
      <w:bookmarkStart w:id="1715" w:name="_Toc16959"/>
      <w:bookmarkStart w:id="1716" w:name="_Toc24862"/>
      <w:bookmarkStart w:id="1717" w:name="_Toc279701258"/>
      <w:bookmarkStart w:id="1718" w:name="_Toc14403"/>
      <w:bookmarkStart w:id="1719" w:name="_Toc29993"/>
      <w:bookmarkStart w:id="1720" w:name="_Toc8496"/>
      <w:bookmarkStart w:id="1721" w:name="_Toc11308"/>
      <w:bookmarkStart w:id="1722" w:name="_Toc22239"/>
      <w:bookmarkStart w:id="1723" w:name="_Toc20594"/>
      <w:bookmarkStart w:id="1724" w:name="_Toc18401"/>
      <w:bookmarkStart w:id="1725" w:name="_Toc15527"/>
      <w:bookmarkStart w:id="1726" w:name="_Toc259093687"/>
      <w:bookmarkStart w:id="1727" w:name="_Toc23266"/>
      <w:bookmarkStart w:id="1728" w:name="_Toc29869"/>
      <w:bookmarkStart w:id="1729" w:name="_Toc23872"/>
      <w:bookmarkStart w:id="1730" w:name="_Toc8298"/>
      <w:bookmarkStart w:id="1731" w:name="_Toc25055"/>
      <w:bookmarkStart w:id="1732" w:name="_Toc8934"/>
      <w:bookmarkStart w:id="1733" w:name="_Toc27541"/>
      <w:bookmarkStart w:id="1734" w:name="_Toc515"/>
      <w:bookmarkStart w:id="1735" w:name="_Toc21290"/>
      <w:bookmarkStart w:id="1736" w:name="_Toc4812"/>
      <w:bookmarkStart w:id="1737" w:name="_Toc23510"/>
      <w:bookmarkStart w:id="1738" w:name="_Toc15256"/>
      <w:bookmarkStart w:id="1739" w:name="_Toc25260"/>
      <w:bookmarkStart w:id="1740" w:name="_Toc26719"/>
      <w:bookmarkStart w:id="1741" w:name="_Toc13488"/>
      <w:bookmarkStart w:id="1742" w:name="_Toc7228"/>
      <w:bookmarkStart w:id="1743" w:name="_Toc13626"/>
      <w:bookmarkStart w:id="1744" w:name="_Toc17523"/>
      <w:bookmarkStart w:id="1745" w:name="_Toc487900368"/>
      <w:bookmarkStart w:id="1746" w:name="_Toc7117"/>
      <w:bookmarkStart w:id="1747" w:name="_Toc16374"/>
      <w:bookmarkStart w:id="1748" w:name="_Toc12141"/>
      <w:r>
        <w:rPr>
          <w:rFonts w:hint="eastAsia" w:ascii="微软雅黑" w:hAnsi="微软雅黑" w:eastAsia="微软雅黑" w:cs="微软雅黑"/>
          <w:b/>
          <w:bCs/>
          <w:color w:val="auto"/>
          <w:sz w:val="24"/>
          <w:szCs w:val="24"/>
          <w:highlight w:val="none"/>
        </w:rPr>
        <w:t>2.15 乙方破产</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49" w:name="_Toc4013"/>
      <w:bookmarkStart w:id="1750" w:name="_Toc3991"/>
      <w:bookmarkStart w:id="1751" w:name="_Toc6968"/>
      <w:bookmarkStart w:id="1752" w:name="_Toc1303"/>
      <w:bookmarkStart w:id="1753" w:name="_Toc23355"/>
      <w:bookmarkStart w:id="1754" w:name="_Toc29764"/>
      <w:bookmarkStart w:id="1755" w:name="_Toc9318"/>
      <w:bookmarkStart w:id="1756" w:name="_Toc24066"/>
      <w:bookmarkStart w:id="1757" w:name="_Toc29333"/>
      <w:bookmarkStart w:id="1758" w:name="_Toc23440"/>
      <w:bookmarkStart w:id="1759" w:name="_Toc6134"/>
      <w:bookmarkStart w:id="1760" w:name="_Toc12606"/>
      <w:bookmarkStart w:id="1761" w:name="_Toc12420"/>
      <w:bookmarkStart w:id="1762" w:name="_Toc30362"/>
      <w:bookmarkStart w:id="1763" w:name="_Toc4227"/>
      <w:bookmarkStart w:id="1764" w:name="_Toc9893"/>
      <w:bookmarkStart w:id="1765" w:name="_Toc15445"/>
      <w:bookmarkStart w:id="1766" w:name="_Toc31639"/>
      <w:bookmarkStart w:id="1767" w:name="_Toc1942"/>
      <w:bookmarkStart w:id="1768" w:name="_Toc26255"/>
      <w:bookmarkStart w:id="1769" w:name="_Toc15605"/>
      <w:bookmarkStart w:id="1770" w:name="_Toc32508"/>
      <w:bookmarkStart w:id="1771" w:name="_Toc27106"/>
      <w:bookmarkStart w:id="1772" w:name="_Toc15387"/>
      <w:bookmarkStart w:id="1773" w:name="_Toc23040"/>
      <w:bookmarkStart w:id="1774" w:name="_Toc24867"/>
      <w:bookmarkStart w:id="1775" w:name="_Toc16990"/>
      <w:bookmarkStart w:id="1776" w:name="_Toc818"/>
      <w:bookmarkStart w:id="1777" w:name="_Toc25273"/>
      <w:bookmarkStart w:id="1778" w:name="_Toc21321"/>
      <w:bookmarkStart w:id="1779" w:name="_Toc24976"/>
      <w:bookmarkStart w:id="1780" w:name="_Toc110"/>
      <w:r>
        <w:rPr>
          <w:rFonts w:hint="eastAsia" w:ascii="微软雅黑" w:hAnsi="微软雅黑" w:eastAsia="微软雅黑" w:cs="微软雅黑"/>
          <w:b/>
          <w:bCs/>
          <w:color w:val="auto"/>
          <w:sz w:val="24"/>
          <w:szCs w:val="24"/>
          <w:highlight w:val="none"/>
        </w:rPr>
        <w:t>2.16 合同中止、终止</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 双方当事人不得擅自中止或者终止合同；</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781" w:name="_Toc6596"/>
      <w:bookmarkStart w:id="1782" w:name="_Toc30476"/>
      <w:bookmarkStart w:id="1783" w:name="_Toc6704"/>
      <w:bookmarkStart w:id="1784" w:name="_Toc14563"/>
      <w:bookmarkStart w:id="1785" w:name="_Toc26464"/>
      <w:bookmarkStart w:id="1786" w:name="_Toc25358"/>
      <w:bookmarkStart w:id="1787" w:name="_Toc29952"/>
      <w:bookmarkStart w:id="1788" w:name="_Toc19755"/>
      <w:bookmarkStart w:id="1789" w:name="_Toc2491"/>
      <w:bookmarkStart w:id="1790" w:name="_Toc30958"/>
      <w:bookmarkStart w:id="1791" w:name="_Toc23870"/>
      <w:bookmarkStart w:id="1792" w:name="_Toc25516"/>
      <w:bookmarkStart w:id="1793" w:name="_Toc5648"/>
      <w:bookmarkStart w:id="1794" w:name="_Toc13848"/>
      <w:bookmarkStart w:id="1795" w:name="_Toc14890"/>
      <w:bookmarkStart w:id="1796" w:name="_Toc25230"/>
      <w:bookmarkStart w:id="1797" w:name="_Toc21636"/>
      <w:bookmarkStart w:id="1798" w:name="_Toc30133"/>
      <w:bookmarkStart w:id="1799" w:name="_Toc26299"/>
      <w:bookmarkStart w:id="1800" w:name="_Toc13150"/>
      <w:bookmarkStart w:id="1801" w:name="_Toc25710"/>
      <w:bookmarkStart w:id="1802" w:name="_Toc11658"/>
      <w:bookmarkStart w:id="1803" w:name="_Toc11637"/>
      <w:bookmarkStart w:id="1804" w:name="_Toc28303"/>
      <w:bookmarkStart w:id="1805" w:name="_Toc1125"/>
      <w:bookmarkStart w:id="1806" w:name="_Toc24731"/>
      <w:bookmarkStart w:id="1807" w:name="_Toc8479"/>
      <w:bookmarkStart w:id="1808" w:name="_Toc28047"/>
      <w:bookmarkStart w:id="1809" w:name="_Toc12777"/>
      <w:bookmarkStart w:id="1810" w:name="_Toc31577"/>
      <w:bookmarkStart w:id="1811" w:name="_Toc4111"/>
      <w:bookmarkStart w:id="1812" w:name="_Toc20145"/>
      <w:r>
        <w:rPr>
          <w:rFonts w:hint="eastAsia" w:ascii="微软雅黑" w:hAnsi="微软雅黑" w:eastAsia="微软雅黑" w:cs="微软雅黑"/>
          <w:b/>
          <w:bCs/>
          <w:color w:val="auto"/>
          <w:sz w:val="24"/>
          <w:szCs w:val="24"/>
          <w:highlight w:val="none"/>
        </w:rPr>
        <w:t>2.17 检验和验收</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i/>
          <w:iCs/>
          <w:color w:val="auto"/>
          <w:sz w:val="24"/>
          <w:szCs w:val="24"/>
          <w:highlight w:val="none"/>
        </w:rPr>
        <w:t>。</w:t>
      </w:r>
    </w:p>
    <w:bookmarkEnd w:id="1608"/>
    <w:bookmarkEnd w:id="1609"/>
    <w:bookmarkEnd w:id="1610"/>
    <w:bookmarkEnd w:id="1611"/>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13" w:name="_Toc487900371"/>
      <w:bookmarkStart w:id="1814" w:name="_Toc279701261"/>
      <w:bookmarkStart w:id="1815" w:name="_Toc259093690"/>
      <w:bookmarkStart w:id="1816" w:name="_Toc17270"/>
      <w:bookmarkStart w:id="1817" w:name="_Toc8125"/>
      <w:bookmarkStart w:id="1818" w:name="_Toc17313"/>
      <w:bookmarkStart w:id="1819" w:name="_Toc22021"/>
      <w:bookmarkStart w:id="1820" w:name="_Toc26823"/>
      <w:bookmarkStart w:id="1821" w:name="_Toc7113"/>
      <w:bookmarkStart w:id="1822" w:name="_Toc1851"/>
      <w:bookmarkStart w:id="1823" w:name="_Toc24150"/>
      <w:bookmarkStart w:id="1824" w:name="_Toc31945"/>
      <w:bookmarkStart w:id="1825" w:name="_Toc9266"/>
      <w:bookmarkStart w:id="1826" w:name="_Toc28373"/>
      <w:bookmarkStart w:id="1827" w:name="_Toc11284"/>
      <w:bookmarkStart w:id="1828" w:name="_Toc15037"/>
      <w:bookmarkStart w:id="1829" w:name="_Toc25182"/>
      <w:bookmarkStart w:id="1830" w:name="_Toc23633"/>
      <w:bookmarkStart w:id="1831" w:name="_Toc14242"/>
      <w:bookmarkStart w:id="1832" w:name="_Toc26892"/>
      <w:bookmarkStart w:id="1833" w:name="_Toc7641"/>
      <w:bookmarkStart w:id="1834" w:name="_Toc12493"/>
      <w:bookmarkStart w:id="1835" w:name="_Toc8096"/>
      <w:bookmarkStart w:id="1836" w:name="_Toc7660"/>
      <w:bookmarkStart w:id="1837" w:name="_Toc27621"/>
      <w:bookmarkStart w:id="1838" w:name="_Toc10130"/>
      <w:bookmarkStart w:id="1839" w:name="_Toc324"/>
      <w:bookmarkStart w:id="1840" w:name="_Toc25692"/>
      <w:bookmarkStart w:id="1841" w:name="_Toc13220"/>
      <w:bookmarkStart w:id="1842" w:name="_Toc725"/>
      <w:bookmarkStart w:id="1843" w:name="_Toc19604"/>
      <w:bookmarkStart w:id="1844" w:name="_Toc20557"/>
      <w:bookmarkStart w:id="1845" w:name="_Toc29267"/>
      <w:bookmarkStart w:id="1846" w:name="_Toc14665"/>
      <w:bookmarkStart w:id="1847" w:name="_Toc4983"/>
      <w:r>
        <w:rPr>
          <w:rFonts w:hint="eastAsia" w:ascii="微软雅黑" w:hAnsi="微软雅黑" w:eastAsia="微软雅黑" w:cs="微软雅黑"/>
          <w:b/>
          <w:bCs/>
          <w:color w:val="auto"/>
          <w:sz w:val="24"/>
          <w:szCs w:val="24"/>
          <w:highlight w:val="none"/>
        </w:rPr>
        <w:t>2.18 通知</w:t>
      </w:r>
      <w:bookmarkEnd w:id="1813"/>
      <w:bookmarkEnd w:id="1814"/>
      <w:bookmarkEnd w:id="1815"/>
      <w:r>
        <w:rPr>
          <w:rFonts w:hint="eastAsia" w:ascii="微软雅黑" w:hAnsi="微软雅黑" w:eastAsia="微软雅黑" w:cs="微软雅黑"/>
          <w:b/>
          <w:bCs/>
          <w:color w:val="auto"/>
          <w:sz w:val="24"/>
          <w:szCs w:val="24"/>
          <w:highlight w:val="none"/>
        </w:rPr>
        <w:t>和送达</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848" w:name="_Toc6698"/>
      <w:bookmarkStart w:id="1849" w:name="_Toc3135"/>
      <w:bookmarkStart w:id="1850" w:name="_Toc279701262"/>
      <w:bookmarkStart w:id="1851" w:name="_Toc259093691"/>
      <w:bookmarkStart w:id="1852" w:name="_Toc487900372"/>
      <w:r>
        <w:rPr>
          <w:rFonts w:hint="eastAsia" w:ascii="微软雅黑" w:hAnsi="微软雅黑" w:eastAsia="微软雅黑" w:cs="微软雅黑"/>
          <w:color w:val="auto"/>
          <w:sz w:val="24"/>
          <w:szCs w:val="24"/>
          <w:highlight w:val="none"/>
        </w:rPr>
        <w:t>2.18.1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848"/>
      <w:bookmarkEnd w:id="1849"/>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bookmarkStart w:id="1853" w:name="_Toc23294"/>
      <w:bookmarkStart w:id="1854" w:name="_Toc23128"/>
      <w:r>
        <w:rPr>
          <w:rFonts w:hint="eastAsia" w:ascii="微软雅黑" w:hAnsi="微软雅黑" w:eastAsia="微软雅黑" w:cs="微软雅黑"/>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53"/>
      <w:bookmarkEnd w:id="1854"/>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55" w:name="_Toc32386"/>
      <w:bookmarkStart w:id="1856" w:name="_Toc11892"/>
      <w:bookmarkStart w:id="1857" w:name="_Toc4355"/>
      <w:bookmarkStart w:id="1858" w:name="_Toc18540"/>
      <w:bookmarkStart w:id="1859" w:name="_Toc25392"/>
      <w:bookmarkStart w:id="1860" w:name="_Toc21464"/>
      <w:bookmarkStart w:id="1861" w:name="_Toc31861"/>
      <w:bookmarkStart w:id="1862" w:name="_Toc12721"/>
      <w:bookmarkStart w:id="1863" w:name="_Toc27038"/>
      <w:bookmarkStart w:id="1864" w:name="_Toc20914"/>
      <w:bookmarkStart w:id="1865" w:name="_Toc20837"/>
      <w:bookmarkStart w:id="1866" w:name="_Toc5141"/>
      <w:bookmarkStart w:id="1867" w:name="_Toc30497"/>
      <w:bookmarkStart w:id="1868" w:name="_Toc7224"/>
      <w:bookmarkStart w:id="1869" w:name="_Toc11256"/>
      <w:bookmarkStart w:id="1870" w:name="_Toc9371"/>
      <w:bookmarkStart w:id="1871" w:name="_Toc4747"/>
      <w:bookmarkStart w:id="1872" w:name="_Toc29312"/>
      <w:bookmarkStart w:id="1873" w:name="_Toc18621"/>
      <w:bookmarkStart w:id="1874" w:name="_Toc20309"/>
      <w:bookmarkStart w:id="1875" w:name="_Toc2100"/>
      <w:bookmarkStart w:id="1876" w:name="_Toc10932"/>
      <w:bookmarkStart w:id="1877" w:name="_Toc7942"/>
      <w:bookmarkStart w:id="1878" w:name="_Toc21923"/>
      <w:bookmarkStart w:id="1879" w:name="_Toc4241"/>
      <w:bookmarkStart w:id="1880" w:name="_Toc2623"/>
      <w:bookmarkStart w:id="1881" w:name="_Toc24265"/>
      <w:bookmarkStart w:id="1882" w:name="_Toc14371"/>
      <w:bookmarkStart w:id="1883" w:name="_Toc30599"/>
      <w:bookmarkStart w:id="1884" w:name="_Toc15273"/>
      <w:bookmarkStart w:id="1885" w:name="_Toc14810"/>
      <w:r>
        <w:rPr>
          <w:rFonts w:hint="eastAsia" w:ascii="微软雅黑" w:hAnsi="微软雅黑" w:eastAsia="微软雅黑" w:cs="微软雅黑"/>
          <w:b/>
          <w:bCs/>
          <w:color w:val="auto"/>
          <w:sz w:val="24"/>
          <w:szCs w:val="24"/>
          <w:highlight w:val="none"/>
        </w:rPr>
        <w:t>2.19 计量单位</w:t>
      </w:r>
      <w:bookmarkEnd w:id="1850"/>
      <w:bookmarkEnd w:id="1851"/>
      <w:bookmarkEnd w:id="1852"/>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除技术规范中另有规定外,合同的计量单位均使用国家法定计量单位。</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886" w:name="_Toc13131"/>
      <w:bookmarkStart w:id="1887" w:name="_Toc15589"/>
      <w:bookmarkStart w:id="1888" w:name="_Toc16880"/>
      <w:bookmarkStart w:id="1889" w:name="_Toc18567"/>
      <w:bookmarkStart w:id="1890" w:name="_Toc15288"/>
      <w:bookmarkStart w:id="1891" w:name="_Toc10330"/>
      <w:bookmarkStart w:id="1892" w:name="_Toc28784"/>
      <w:bookmarkStart w:id="1893" w:name="_Toc5796"/>
      <w:bookmarkStart w:id="1894" w:name="_Toc20921"/>
      <w:bookmarkStart w:id="1895" w:name="_Toc15868"/>
      <w:bookmarkStart w:id="1896" w:name="_Toc259093692"/>
      <w:bookmarkStart w:id="1897" w:name="_Toc18634"/>
      <w:bookmarkStart w:id="1898" w:name="_Toc6555"/>
      <w:bookmarkStart w:id="1899" w:name="_Toc16663"/>
      <w:bookmarkStart w:id="1900" w:name="_Toc32583"/>
      <w:bookmarkStart w:id="1901" w:name="_Toc17294"/>
      <w:bookmarkStart w:id="1902" w:name="_Toc20624"/>
      <w:bookmarkStart w:id="1903" w:name="_Toc12582"/>
      <w:bookmarkStart w:id="1904" w:name="_Toc17517"/>
      <w:bookmarkStart w:id="1905" w:name="_Toc15315"/>
      <w:bookmarkStart w:id="1906" w:name="_Toc21463"/>
      <w:bookmarkStart w:id="1907" w:name="_Toc13041"/>
      <w:bookmarkStart w:id="1908" w:name="_Toc487900373"/>
      <w:bookmarkStart w:id="1909" w:name="_Toc279701263"/>
      <w:bookmarkStart w:id="1910" w:name="_Toc11130"/>
      <w:bookmarkStart w:id="1911" w:name="_Toc19154"/>
      <w:bookmarkStart w:id="1912" w:name="_Toc9178"/>
      <w:bookmarkStart w:id="1913" w:name="_Toc27589"/>
      <w:bookmarkStart w:id="1914" w:name="_Toc15261"/>
      <w:bookmarkStart w:id="1915" w:name="_Toc1728"/>
      <w:bookmarkStart w:id="1916" w:name="_Toc9626"/>
      <w:bookmarkStart w:id="1917" w:name="_Toc12773"/>
      <w:bookmarkStart w:id="1918" w:name="_Toc32236"/>
      <w:r>
        <w:rPr>
          <w:rFonts w:hint="eastAsia" w:ascii="微软雅黑" w:hAnsi="微软雅黑" w:eastAsia="微软雅黑" w:cs="微软雅黑"/>
          <w:b/>
          <w:bCs/>
          <w:color w:val="auto"/>
          <w:sz w:val="24"/>
          <w:szCs w:val="24"/>
          <w:highlight w:val="none"/>
        </w:rPr>
        <w:t>2.20 合同使用的文字和适用的法律</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 合同使用汉语书就、变更和解释；</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 合同适用中华人民共和国法律。</w:t>
      </w:r>
    </w:p>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919" w:name="_Toc31421"/>
      <w:bookmarkStart w:id="1920" w:name="_Toc25551"/>
      <w:bookmarkStart w:id="1921" w:name="_Toc32497"/>
      <w:bookmarkStart w:id="1922" w:name="_Toc279701264"/>
      <w:bookmarkStart w:id="1923" w:name="_Toc29073"/>
      <w:bookmarkStart w:id="1924" w:name="_Toc5571"/>
      <w:bookmarkStart w:id="1925" w:name="_Toc19815"/>
      <w:bookmarkStart w:id="1926" w:name="_Toc15434"/>
      <w:bookmarkStart w:id="1927" w:name="_Toc27945"/>
      <w:bookmarkStart w:id="1928" w:name="_Toc16778"/>
      <w:bookmarkStart w:id="1929" w:name="_Toc11628"/>
      <w:bookmarkStart w:id="1930" w:name="_Toc14964"/>
      <w:bookmarkStart w:id="1931" w:name="_Toc18845"/>
      <w:bookmarkStart w:id="1932" w:name="_Toc5000"/>
      <w:bookmarkStart w:id="1933" w:name="_Toc26372"/>
      <w:bookmarkStart w:id="1934" w:name="_Toc30675"/>
      <w:bookmarkStart w:id="1935" w:name="_Toc22858"/>
      <w:bookmarkStart w:id="1936" w:name="_Toc13925"/>
      <w:bookmarkStart w:id="1937" w:name="_Toc9739"/>
      <w:bookmarkStart w:id="1938" w:name="_Toc28767"/>
      <w:bookmarkStart w:id="1939" w:name="_Toc20231"/>
      <w:bookmarkStart w:id="1940" w:name="_Toc1670"/>
      <w:bookmarkStart w:id="1941" w:name="_Toc16673"/>
      <w:bookmarkStart w:id="1942" w:name="_Toc3148"/>
      <w:bookmarkStart w:id="1943" w:name="_Toc3838"/>
      <w:bookmarkStart w:id="1944" w:name="_Toc638"/>
      <w:bookmarkStart w:id="1945" w:name="_Toc259093693"/>
      <w:bookmarkStart w:id="1946" w:name="_Toc31790"/>
      <w:bookmarkStart w:id="1947" w:name="_Toc8602"/>
      <w:bookmarkStart w:id="1948" w:name="_Toc16176"/>
      <w:bookmarkStart w:id="1949" w:name="_Toc12004"/>
      <w:bookmarkStart w:id="1950" w:name="_Toc14308"/>
      <w:bookmarkStart w:id="1951" w:name="_Toc487900374"/>
      <w:r>
        <w:rPr>
          <w:rFonts w:hint="eastAsia" w:ascii="微软雅黑" w:hAnsi="微软雅黑" w:eastAsia="微软雅黑" w:cs="微软雅黑"/>
          <w:b/>
          <w:bCs/>
          <w:color w:val="auto"/>
          <w:sz w:val="24"/>
          <w:szCs w:val="24"/>
          <w:highlight w:val="none"/>
        </w:rPr>
        <w:t>2.21 履约保证金</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 采购文件要求乙方提交履约保证金的，乙方应按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  履约保证金在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51"/>
    <w:p>
      <w:pPr>
        <w:keepNext w:val="0"/>
        <w:keepLines w:val="0"/>
        <w:pageBreakBefore w:val="0"/>
        <w:kinsoku/>
        <w:wordWrap/>
        <w:overflowPunct/>
        <w:topLinePunct w:val="0"/>
        <w:bidi w:val="0"/>
        <w:snapToGrid/>
        <w:spacing w:line="240" w:lineRule="auto"/>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952" w:name="_Toc32408"/>
      <w:bookmarkStart w:id="1953" w:name="_Toc28555"/>
      <w:bookmarkStart w:id="1954" w:name="_Toc14217"/>
      <w:bookmarkStart w:id="1955" w:name="_Toc11103"/>
      <w:bookmarkStart w:id="1956" w:name="_Toc12034"/>
      <w:bookmarkStart w:id="1957" w:name="_Toc8867"/>
      <w:bookmarkStart w:id="1958" w:name="_Toc19890"/>
      <w:bookmarkStart w:id="1959" w:name="_Toc32754"/>
      <w:bookmarkStart w:id="1960" w:name="_Toc13022"/>
      <w:bookmarkStart w:id="1961" w:name="_Toc8495"/>
      <w:bookmarkStart w:id="1962" w:name="_Toc5346"/>
      <w:bookmarkStart w:id="1963" w:name="_Toc16450"/>
      <w:bookmarkStart w:id="1964" w:name="_Toc27563"/>
      <w:bookmarkStart w:id="1965" w:name="_Toc22496"/>
      <w:bookmarkStart w:id="1966" w:name="_Toc6325"/>
      <w:bookmarkStart w:id="1967" w:name="_Toc2720"/>
      <w:bookmarkStart w:id="1968" w:name="_Toc30496"/>
      <w:bookmarkStart w:id="1969" w:name="_Toc30847"/>
      <w:bookmarkStart w:id="1970" w:name="_Toc21772"/>
      <w:bookmarkStart w:id="1971" w:name="_Toc16431"/>
      <w:bookmarkStart w:id="1972" w:name="_Toc14001"/>
      <w:bookmarkStart w:id="1973" w:name="_Toc6885"/>
      <w:bookmarkStart w:id="1974" w:name="_Toc24006"/>
      <w:bookmarkStart w:id="1975" w:name="_Toc22821"/>
      <w:bookmarkStart w:id="1976" w:name="_Toc3595"/>
      <w:bookmarkStart w:id="1977" w:name="_Toc17310"/>
      <w:bookmarkStart w:id="1978" w:name="_Toc20802"/>
      <w:bookmarkStart w:id="1979" w:name="_Toc25691"/>
      <w:bookmarkStart w:id="1980" w:name="_Toc23163"/>
      <w:bookmarkStart w:id="1981" w:name="_Toc10801"/>
      <w:bookmarkStart w:id="1982" w:name="_Toc24807"/>
      <w:r>
        <w:rPr>
          <w:rFonts w:hint="eastAsia" w:ascii="微软雅黑" w:hAnsi="微软雅黑" w:eastAsia="微软雅黑" w:cs="微软雅黑"/>
          <w:b/>
          <w:bCs/>
          <w:color w:val="auto"/>
          <w:sz w:val="24"/>
          <w:szCs w:val="24"/>
          <w:highlight w:val="none"/>
        </w:rPr>
        <w:t>2.22 合同份数</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983" w:name="_Toc331685784"/>
    </w:p>
    <w:p>
      <w:pPr>
        <w:pStyle w:val="58"/>
        <w:keepNext w:val="0"/>
        <w:keepLines w:val="0"/>
        <w:pageBreakBefore w:val="0"/>
        <w:kinsoku/>
        <w:wordWrap/>
        <w:overflowPunct/>
        <w:topLinePunct w:val="0"/>
        <w:bidi w:val="0"/>
        <w:snapToGrid/>
        <w:spacing w:line="240" w:lineRule="auto"/>
        <w:ind w:firstLine="0"/>
        <w:jc w:val="center"/>
        <w:textAlignment w:val="auto"/>
        <w:rPr>
          <w:rFonts w:hint="eastAsia" w:ascii="微软雅黑" w:hAnsi="微软雅黑" w:eastAsia="微软雅黑" w:cs="微软雅黑"/>
          <w:b/>
          <w:bCs/>
          <w:color w:val="auto"/>
          <w:highlight w:val="none"/>
        </w:rPr>
      </w:pPr>
    </w:p>
    <w:p>
      <w:pPr>
        <w:pStyle w:val="58"/>
        <w:keepNext w:val="0"/>
        <w:keepLines w:val="0"/>
        <w:pageBreakBefore w:val="0"/>
        <w:kinsoku/>
        <w:wordWrap/>
        <w:overflowPunct/>
        <w:topLinePunct w:val="0"/>
        <w:bidi w:val="0"/>
        <w:snapToGrid/>
        <w:spacing w:line="240" w:lineRule="auto"/>
        <w:ind w:firstLine="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第三部分  合同专用条款</w:t>
      </w:r>
      <w:bookmarkEnd w:id="1983"/>
    </w:p>
    <w:p>
      <w:pPr>
        <w:keepNext w:val="0"/>
        <w:keepLines w:val="0"/>
        <w:pageBreakBefore w:val="0"/>
        <w:kinsoku/>
        <w:wordWrap/>
        <w:overflowPunct/>
        <w:topLinePunct w:val="0"/>
        <w:bidi w:val="0"/>
        <w:snapToGrid/>
        <w:spacing w:line="240"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7633" w:type="dxa"/>
            <w:vAlign w:val="center"/>
          </w:tcPr>
          <w:p>
            <w:pPr>
              <w:keepNext w:val="0"/>
              <w:keepLines w:val="0"/>
              <w:pageBreakBefore w:val="0"/>
              <w:kinsoku/>
              <w:wordWrap/>
              <w:overflowPunct/>
              <w:topLinePunct w:val="0"/>
              <w:bidi w:val="0"/>
              <w:snapToGrid/>
              <w:spacing w:line="240" w:lineRule="auto"/>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rPr>
            </w:pPr>
          </w:p>
        </w:tc>
      </w:tr>
    </w:tbl>
    <w:p>
      <w:pPr>
        <w:spacing w:after="156" w:line="400" w:lineRule="exact"/>
        <w:ind w:firstLine="480"/>
        <w:rPr>
          <w:rFonts w:hint="eastAsia" w:ascii="宋体" w:hAnsi="宋体" w:eastAsia="宋体" w:cs="宋体"/>
          <w:color w:val="auto"/>
        </w:rPr>
      </w:pPr>
    </w:p>
    <w:p>
      <w:pPr>
        <w:rPr>
          <w:rFonts w:hint="eastAsia" w:ascii="宋体" w:hAnsi="宋体" w:eastAsia="宋体" w:cs="宋体"/>
          <w:color w:val="auto"/>
        </w:rPr>
      </w:pPr>
    </w:p>
    <w:p>
      <w:pPr>
        <w:pStyle w:val="2"/>
        <w:snapToGrid w:val="0"/>
        <w:spacing w:line="240" w:lineRule="atLeast"/>
        <w:ind w:firstLine="0"/>
        <w:textAlignment w:val="baseline"/>
        <w:rPr>
          <w:rFonts w:hint="eastAsia" w:ascii="宋体" w:hAnsi="宋体" w:eastAsia="宋体" w:cs="宋体"/>
          <w:vanish/>
          <w:color w:val="auto"/>
          <w:sz w:val="24"/>
          <w:szCs w:val="18"/>
        </w:rPr>
      </w:pPr>
    </w:p>
    <w:sectPr>
      <w:headerReference r:id="rId7" w:type="default"/>
      <w:footerReference r:id="rId8"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圆幼">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cs="Times New Roman"/>
      </w:rPr>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21"/>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21"/>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9E1CD"/>
    <w:multiLevelType w:val="singleLevel"/>
    <w:tmpl w:val="9109E1CD"/>
    <w:lvl w:ilvl="0" w:tentative="0">
      <w:start w:val="1"/>
      <w:numFmt w:val="decimal"/>
      <w:suff w:val="nothing"/>
      <w:lvlText w:val="%1、"/>
      <w:lvlJc w:val="left"/>
    </w:lvl>
  </w:abstractNum>
  <w:abstractNum w:abstractNumId="1">
    <w:nsid w:val="954E67F6"/>
    <w:multiLevelType w:val="singleLevel"/>
    <w:tmpl w:val="954E67F6"/>
    <w:lvl w:ilvl="0" w:tentative="0">
      <w:start w:val="3"/>
      <w:numFmt w:val="decimal"/>
      <w:suff w:val="space"/>
      <w:lvlText w:val="第%1章"/>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EEE5644A"/>
    <w:multiLevelType w:val="singleLevel"/>
    <w:tmpl w:val="EEE5644A"/>
    <w:lvl w:ilvl="0" w:tentative="0">
      <w:start w:val="2"/>
      <w:numFmt w:val="decimal"/>
      <w:suff w:val="nothing"/>
      <w:lvlText w:val="%1，"/>
      <w:lvlJc w:val="left"/>
    </w:lvl>
  </w:abstractNum>
  <w:abstractNum w:abstractNumId="4">
    <w:nsid w:val="F1D5E71C"/>
    <w:multiLevelType w:val="singleLevel"/>
    <w:tmpl w:val="F1D5E71C"/>
    <w:lvl w:ilvl="0" w:tentative="0">
      <w:start w:val="1"/>
      <w:numFmt w:val="decimal"/>
      <w:suff w:val="nothing"/>
      <w:lvlText w:val="（%1）"/>
      <w:lvlJc w:val="left"/>
      <w:pPr>
        <w:ind w:left="-482"/>
      </w:pPr>
    </w:lvl>
  </w:abstractNum>
  <w:abstractNum w:abstractNumId="5">
    <w:nsid w:val="2247F7D2"/>
    <w:multiLevelType w:val="singleLevel"/>
    <w:tmpl w:val="2247F7D2"/>
    <w:lvl w:ilvl="0" w:tentative="0">
      <w:start w:val="5"/>
      <w:numFmt w:val="decimal"/>
      <w:suff w:val="space"/>
      <w:lvlText w:val="第%1章"/>
      <w:lvlJc w:val="left"/>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8">
    <w:nsid w:val="48BFA080"/>
    <w:multiLevelType w:val="singleLevel"/>
    <w:tmpl w:val="48BFA080"/>
    <w:lvl w:ilvl="0" w:tentative="0">
      <w:start w:val="1"/>
      <w:numFmt w:val="decimal"/>
      <w:suff w:val="nothing"/>
      <w:lvlText w:val="（%1）"/>
      <w:lvlJc w:val="left"/>
    </w:lvl>
  </w:abstractNum>
  <w:abstractNum w:abstractNumId="9">
    <w:nsid w:val="50C592E2"/>
    <w:multiLevelType w:val="singleLevel"/>
    <w:tmpl w:val="50C592E2"/>
    <w:lvl w:ilvl="0" w:tentative="0">
      <w:start w:val="15"/>
      <w:numFmt w:val="decimal"/>
      <w:lvlText w:val="%1."/>
      <w:lvlJc w:val="left"/>
      <w:pPr>
        <w:tabs>
          <w:tab w:val="left" w:pos="312"/>
        </w:tabs>
      </w:pPr>
    </w:lvl>
  </w:abstractNum>
  <w:abstractNum w:abstractNumId="10">
    <w:nsid w:val="6F639B16"/>
    <w:multiLevelType w:val="singleLevel"/>
    <w:tmpl w:val="6F639B16"/>
    <w:lvl w:ilvl="0" w:tentative="0">
      <w:start w:val="26"/>
      <w:numFmt w:val="decimal"/>
      <w:lvlText w:val="%1."/>
      <w:lvlJc w:val="left"/>
      <w:pPr>
        <w:tabs>
          <w:tab w:val="left" w:pos="312"/>
        </w:tabs>
      </w:pPr>
    </w:lvl>
  </w:abstractNum>
  <w:num w:numId="1">
    <w:abstractNumId w:val="7"/>
  </w:num>
  <w:num w:numId="2">
    <w:abstractNumId w:val="6"/>
  </w:num>
  <w:num w:numId="3">
    <w:abstractNumId w:val="9"/>
  </w:num>
  <w:num w:numId="4">
    <w:abstractNumId w:val="2"/>
  </w:num>
  <w:num w:numId="5">
    <w:abstractNumId w:val="4"/>
  </w:num>
  <w:num w:numId="6">
    <w:abstractNumId w:val="10"/>
  </w:num>
  <w:num w:numId="7">
    <w:abstractNumId w:val="8"/>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k2ZGVlN2MzZjY4YzcxYTE2NWE3MzYxMzgxOWZlZTg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357E2"/>
    <w:rsid w:val="000434F9"/>
    <w:rsid w:val="00043533"/>
    <w:rsid w:val="00044A1E"/>
    <w:rsid w:val="00044A20"/>
    <w:rsid w:val="00044EF2"/>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755"/>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3897"/>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47BF7"/>
    <w:rsid w:val="00150EAD"/>
    <w:rsid w:val="0015142E"/>
    <w:rsid w:val="001541BE"/>
    <w:rsid w:val="00156C57"/>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2968"/>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D7D62"/>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5378"/>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30BB"/>
    <w:rsid w:val="00264327"/>
    <w:rsid w:val="002650F1"/>
    <w:rsid w:val="00266403"/>
    <w:rsid w:val="00266406"/>
    <w:rsid w:val="00266C09"/>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6413"/>
    <w:rsid w:val="002E766C"/>
    <w:rsid w:val="002E7C1C"/>
    <w:rsid w:val="002F02C8"/>
    <w:rsid w:val="002F0A07"/>
    <w:rsid w:val="002F179F"/>
    <w:rsid w:val="002F2D5F"/>
    <w:rsid w:val="002F46DC"/>
    <w:rsid w:val="002F5145"/>
    <w:rsid w:val="002F5CB9"/>
    <w:rsid w:val="002F5E9B"/>
    <w:rsid w:val="002F6108"/>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57D8"/>
    <w:rsid w:val="00337586"/>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040"/>
    <w:rsid w:val="0038151E"/>
    <w:rsid w:val="00382DE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2CED"/>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146"/>
    <w:rsid w:val="004164DF"/>
    <w:rsid w:val="0042141B"/>
    <w:rsid w:val="00422F90"/>
    <w:rsid w:val="00423C6D"/>
    <w:rsid w:val="00425FB2"/>
    <w:rsid w:val="004261AF"/>
    <w:rsid w:val="00426BB0"/>
    <w:rsid w:val="00427182"/>
    <w:rsid w:val="00433EEA"/>
    <w:rsid w:val="004408B0"/>
    <w:rsid w:val="004408EE"/>
    <w:rsid w:val="00441C7F"/>
    <w:rsid w:val="00441E5E"/>
    <w:rsid w:val="0044524F"/>
    <w:rsid w:val="00446103"/>
    <w:rsid w:val="0044654E"/>
    <w:rsid w:val="004479E5"/>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B06"/>
    <w:rsid w:val="00492CE8"/>
    <w:rsid w:val="00493558"/>
    <w:rsid w:val="00493EC9"/>
    <w:rsid w:val="00494ECE"/>
    <w:rsid w:val="00494FFB"/>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863"/>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19D6"/>
    <w:rsid w:val="00532B1D"/>
    <w:rsid w:val="00533524"/>
    <w:rsid w:val="00534347"/>
    <w:rsid w:val="00540C55"/>
    <w:rsid w:val="00542227"/>
    <w:rsid w:val="005422EB"/>
    <w:rsid w:val="0054426F"/>
    <w:rsid w:val="00544836"/>
    <w:rsid w:val="0054508A"/>
    <w:rsid w:val="0054508F"/>
    <w:rsid w:val="00546F3A"/>
    <w:rsid w:val="005475C6"/>
    <w:rsid w:val="00550C61"/>
    <w:rsid w:val="00552FBA"/>
    <w:rsid w:val="005539A0"/>
    <w:rsid w:val="00554D9D"/>
    <w:rsid w:val="0055574E"/>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37FCB"/>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36D3"/>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59E0"/>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45B2"/>
    <w:rsid w:val="00715D6B"/>
    <w:rsid w:val="00717F6B"/>
    <w:rsid w:val="007212F0"/>
    <w:rsid w:val="00722EC6"/>
    <w:rsid w:val="00723FF6"/>
    <w:rsid w:val="00724552"/>
    <w:rsid w:val="0072460B"/>
    <w:rsid w:val="00725ADF"/>
    <w:rsid w:val="00726876"/>
    <w:rsid w:val="007269B1"/>
    <w:rsid w:val="00730DF7"/>
    <w:rsid w:val="0073123A"/>
    <w:rsid w:val="007331F6"/>
    <w:rsid w:val="0073362F"/>
    <w:rsid w:val="00733A3E"/>
    <w:rsid w:val="00733E26"/>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6A53"/>
    <w:rsid w:val="007D71F7"/>
    <w:rsid w:val="007E024C"/>
    <w:rsid w:val="007E160E"/>
    <w:rsid w:val="007E1BDD"/>
    <w:rsid w:val="007E4CA5"/>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852"/>
    <w:rsid w:val="00821DF6"/>
    <w:rsid w:val="00823CCC"/>
    <w:rsid w:val="00826A56"/>
    <w:rsid w:val="00827179"/>
    <w:rsid w:val="0083029A"/>
    <w:rsid w:val="00830426"/>
    <w:rsid w:val="00830E02"/>
    <w:rsid w:val="00831C83"/>
    <w:rsid w:val="00831E0A"/>
    <w:rsid w:val="008343C4"/>
    <w:rsid w:val="00835847"/>
    <w:rsid w:val="00835C6F"/>
    <w:rsid w:val="00837429"/>
    <w:rsid w:val="0083745B"/>
    <w:rsid w:val="008375D4"/>
    <w:rsid w:val="00840023"/>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492A"/>
    <w:rsid w:val="00887D93"/>
    <w:rsid w:val="00890912"/>
    <w:rsid w:val="00890D7D"/>
    <w:rsid w:val="008917B4"/>
    <w:rsid w:val="008933C7"/>
    <w:rsid w:val="008941B9"/>
    <w:rsid w:val="00894216"/>
    <w:rsid w:val="008953F8"/>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38C"/>
    <w:rsid w:val="008D16BD"/>
    <w:rsid w:val="008D17A7"/>
    <w:rsid w:val="008D2E91"/>
    <w:rsid w:val="008D313A"/>
    <w:rsid w:val="008D4EE8"/>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034"/>
    <w:rsid w:val="009244DF"/>
    <w:rsid w:val="00927EF6"/>
    <w:rsid w:val="009303ED"/>
    <w:rsid w:val="00930D45"/>
    <w:rsid w:val="00930E14"/>
    <w:rsid w:val="00933885"/>
    <w:rsid w:val="009338DA"/>
    <w:rsid w:val="00936276"/>
    <w:rsid w:val="00936E93"/>
    <w:rsid w:val="009376D6"/>
    <w:rsid w:val="00937FDA"/>
    <w:rsid w:val="0094177F"/>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2E6D"/>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46ECE"/>
    <w:rsid w:val="00A51ECF"/>
    <w:rsid w:val="00A5335D"/>
    <w:rsid w:val="00A53EBD"/>
    <w:rsid w:val="00A56524"/>
    <w:rsid w:val="00A566D5"/>
    <w:rsid w:val="00A610B8"/>
    <w:rsid w:val="00A61208"/>
    <w:rsid w:val="00A6244D"/>
    <w:rsid w:val="00A62660"/>
    <w:rsid w:val="00A62D2C"/>
    <w:rsid w:val="00A64D6A"/>
    <w:rsid w:val="00A66A0F"/>
    <w:rsid w:val="00A67FB0"/>
    <w:rsid w:val="00A700BE"/>
    <w:rsid w:val="00A7038D"/>
    <w:rsid w:val="00A73440"/>
    <w:rsid w:val="00A74AC9"/>
    <w:rsid w:val="00A75908"/>
    <w:rsid w:val="00A75D01"/>
    <w:rsid w:val="00A76B01"/>
    <w:rsid w:val="00A813D7"/>
    <w:rsid w:val="00A83AD0"/>
    <w:rsid w:val="00A83BB1"/>
    <w:rsid w:val="00A87807"/>
    <w:rsid w:val="00A90332"/>
    <w:rsid w:val="00A94426"/>
    <w:rsid w:val="00A9734B"/>
    <w:rsid w:val="00A97848"/>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507A"/>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23E"/>
    <w:rsid w:val="00B3755E"/>
    <w:rsid w:val="00B404A6"/>
    <w:rsid w:val="00B40A63"/>
    <w:rsid w:val="00B41213"/>
    <w:rsid w:val="00B45C45"/>
    <w:rsid w:val="00B465AF"/>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76409"/>
    <w:rsid w:val="00B80847"/>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1F99"/>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72"/>
    <w:rsid w:val="00C841DB"/>
    <w:rsid w:val="00C8527E"/>
    <w:rsid w:val="00C855D2"/>
    <w:rsid w:val="00C85E96"/>
    <w:rsid w:val="00C86FBD"/>
    <w:rsid w:val="00C9128F"/>
    <w:rsid w:val="00C91666"/>
    <w:rsid w:val="00C91C98"/>
    <w:rsid w:val="00C9219D"/>
    <w:rsid w:val="00C923D5"/>
    <w:rsid w:val="00C94E84"/>
    <w:rsid w:val="00CA0D9F"/>
    <w:rsid w:val="00CA18FB"/>
    <w:rsid w:val="00CA1BD1"/>
    <w:rsid w:val="00CA1CEF"/>
    <w:rsid w:val="00CA71C7"/>
    <w:rsid w:val="00CB030A"/>
    <w:rsid w:val="00CB125C"/>
    <w:rsid w:val="00CB1EB4"/>
    <w:rsid w:val="00CB455B"/>
    <w:rsid w:val="00CB4D87"/>
    <w:rsid w:val="00CB6FEB"/>
    <w:rsid w:val="00CC4E6E"/>
    <w:rsid w:val="00CC6E0A"/>
    <w:rsid w:val="00CC7617"/>
    <w:rsid w:val="00CC7935"/>
    <w:rsid w:val="00CD17D1"/>
    <w:rsid w:val="00CD20F9"/>
    <w:rsid w:val="00CD3536"/>
    <w:rsid w:val="00CD66FB"/>
    <w:rsid w:val="00CD67D5"/>
    <w:rsid w:val="00CD79DA"/>
    <w:rsid w:val="00CE696A"/>
    <w:rsid w:val="00CE6D2A"/>
    <w:rsid w:val="00CE70E4"/>
    <w:rsid w:val="00CF0889"/>
    <w:rsid w:val="00CF2156"/>
    <w:rsid w:val="00CF2938"/>
    <w:rsid w:val="00CF30F6"/>
    <w:rsid w:val="00CF3752"/>
    <w:rsid w:val="00CF3AF9"/>
    <w:rsid w:val="00CF41C5"/>
    <w:rsid w:val="00CF4D7B"/>
    <w:rsid w:val="00CF5500"/>
    <w:rsid w:val="00CF6914"/>
    <w:rsid w:val="00CF7F30"/>
    <w:rsid w:val="00D003AF"/>
    <w:rsid w:val="00D03026"/>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5688F"/>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635A"/>
    <w:rsid w:val="00DB72D0"/>
    <w:rsid w:val="00DC44F4"/>
    <w:rsid w:val="00DD027E"/>
    <w:rsid w:val="00DD0447"/>
    <w:rsid w:val="00DD05BB"/>
    <w:rsid w:val="00DD688C"/>
    <w:rsid w:val="00DE1BE7"/>
    <w:rsid w:val="00DE2783"/>
    <w:rsid w:val="00DE27B8"/>
    <w:rsid w:val="00DE3D55"/>
    <w:rsid w:val="00DE5707"/>
    <w:rsid w:val="00DE70C6"/>
    <w:rsid w:val="00DF0DB1"/>
    <w:rsid w:val="00DF21A8"/>
    <w:rsid w:val="00DF3A84"/>
    <w:rsid w:val="00DF7C6E"/>
    <w:rsid w:val="00E01663"/>
    <w:rsid w:val="00E01A46"/>
    <w:rsid w:val="00E02A00"/>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2F76"/>
    <w:rsid w:val="00E5462E"/>
    <w:rsid w:val="00E62AD0"/>
    <w:rsid w:val="00E65605"/>
    <w:rsid w:val="00E65AFF"/>
    <w:rsid w:val="00E66F2C"/>
    <w:rsid w:val="00E6767D"/>
    <w:rsid w:val="00E71BF0"/>
    <w:rsid w:val="00E7411A"/>
    <w:rsid w:val="00E77A83"/>
    <w:rsid w:val="00E84814"/>
    <w:rsid w:val="00E85972"/>
    <w:rsid w:val="00E90E9C"/>
    <w:rsid w:val="00E9512C"/>
    <w:rsid w:val="00EA0077"/>
    <w:rsid w:val="00EA058C"/>
    <w:rsid w:val="00EA0E38"/>
    <w:rsid w:val="00EA1872"/>
    <w:rsid w:val="00EA604E"/>
    <w:rsid w:val="00EA6536"/>
    <w:rsid w:val="00EA7167"/>
    <w:rsid w:val="00EB0026"/>
    <w:rsid w:val="00EB0384"/>
    <w:rsid w:val="00EB1C0E"/>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9E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6D15"/>
    <w:rsid w:val="00F47DCD"/>
    <w:rsid w:val="00F50CA4"/>
    <w:rsid w:val="00F50CE7"/>
    <w:rsid w:val="00F51438"/>
    <w:rsid w:val="00F5301A"/>
    <w:rsid w:val="00F549E7"/>
    <w:rsid w:val="00F5550D"/>
    <w:rsid w:val="00F618BB"/>
    <w:rsid w:val="00F6302F"/>
    <w:rsid w:val="00F67625"/>
    <w:rsid w:val="00F67F18"/>
    <w:rsid w:val="00F705B3"/>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02BF"/>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0126"/>
    <w:rsid w:val="00FF213C"/>
    <w:rsid w:val="00FF4D81"/>
    <w:rsid w:val="00FF75F5"/>
    <w:rsid w:val="0100390C"/>
    <w:rsid w:val="01017684"/>
    <w:rsid w:val="01057174"/>
    <w:rsid w:val="01062EEC"/>
    <w:rsid w:val="01081C09"/>
    <w:rsid w:val="0109449D"/>
    <w:rsid w:val="010C27DA"/>
    <w:rsid w:val="01121891"/>
    <w:rsid w:val="011646D9"/>
    <w:rsid w:val="01176EA7"/>
    <w:rsid w:val="01192C1F"/>
    <w:rsid w:val="0119677B"/>
    <w:rsid w:val="011C0338"/>
    <w:rsid w:val="012515C4"/>
    <w:rsid w:val="012810B4"/>
    <w:rsid w:val="012A0989"/>
    <w:rsid w:val="012B64AF"/>
    <w:rsid w:val="012C10A6"/>
    <w:rsid w:val="012D0479"/>
    <w:rsid w:val="012F71CB"/>
    <w:rsid w:val="013435B5"/>
    <w:rsid w:val="01366D4C"/>
    <w:rsid w:val="013712F7"/>
    <w:rsid w:val="01371B76"/>
    <w:rsid w:val="01374E54"/>
    <w:rsid w:val="013A1F49"/>
    <w:rsid w:val="013B20A4"/>
    <w:rsid w:val="013F1E15"/>
    <w:rsid w:val="01401F5A"/>
    <w:rsid w:val="014252EF"/>
    <w:rsid w:val="014A102B"/>
    <w:rsid w:val="014D4677"/>
    <w:rsid w:val="014F03EF"/>
    <w:rsid w:val="014F219D"/>
    <w:rsid w:val="01541EA9"/>
    <w:rsid w:val="01545A05"/>
    <w:rsid w:val="01565C22"/>
    <w:rsid w:val="01592D24"/>
    <w:rsid w:val="015974C0"/>
    <w:rsid w:val="015B4FE6"/>
    <w:rsid w:val="015C48BA"/>
    <w:rsid w:val="015D0D5E"/>
    <w:rsid w:val="015E4AD6"/>
    <w:rsid w:val="01626374"/>
    <w:rsid w:val="016B7038"/>
    <w:rsid w:val="016D4D19"/>
    <w:rsid w:val="01775986"/>
    <w:rsid w:val="01787946"/>
    <w:rsid w:val="017C65C5"/>
    <w:rsid w:val="017D31AE"/>
    <w:rsid w:val="01853E11"/>
    <w:rsid w:val="018C33F1"/>
    <w:rsid w:val="018E7ABF"/>
    <w:rsid w:val="018F2EE2"/>
    <w:rsid w:val="01934780"/>
    <w:rsid w:val="019422A6"/>
    <w:rsid w:val="0198796C"/>
    <w:rsid w:val="019978BC"/>
    <w:rsid w:val="019B1886"/>
    <w:rsid w:val="019B3634"/>
    <w:rsid w:val="019C5EFA"/>
    <w:rsid w:val="01A544B3"/>
    <w:rsid w:val="01A56261"/>
    <w:rsid w:val="01B3097E"/>
    <w:rsid w:val="01B446F6"/>
    <w:rsid w:val="01B6046E"/>
    <w:rsid w:val="01BB3CD7"/>
    <w:rsid w:val="01BC7583"/>
    <w:rsid w:val="01BD35AB"/>
    <w:rsid w:val="01BD5233"/>
    <w:rsid w:val="01C04E49"/>
    <w:rsid w:val="01C133B8"/>
    <w:rsid w:val="01C26E13"/>
    <w:rsid w:val="01C34939"/>
    <w:rsid w:val="01C42B8B"/>
    <w:rsid w:val="01D07389"/>
    <w:rsid w:val="01D152A8"/>
    <w:rsid w:val="01D31020"/>
    <w:rsid w:val="01D32DCE"/>
    <w:rsid w:val="01D51748"/>
    <w:rsid w:val="01D628BE"/>
    <w:rsid w:val="01DF5C17"/>
    <w:rsid w:val="01E50D53"/>
    <w:rsid w:val="01E943A0"/>
    <w:rsid w:val="01E97937"/>
    <w:rsid w:val="01EC5C3E"/>
    <w:rsid w:val="01EE7C08"/>
    <w:rsid w:val="01F40F97"/>
    <w:rsid w:val="01F928B5"/>
    <w:rsid w:val="01FB40D3"/>
    <w:rsid w:val="01FD42EF"/>
    <w:rsid w:val="01FD609D"/>
    <w:rsid w:val="01FD7E4B"/>
    <w:rsid w:val="01FF1E15"/>
    <w:rsid w:val="020016E9"/>
    <w:rsid w:val="02025461"/>
    <w:rsid w:val="02070CCA"/>
    <w:rsid w:val="02076F1C"/>
    <w:rsid w:val="02094A42"/>
    <w:rsid w:val="020A2568"/>
    <w:rsid w:val="020F2171"/>
    <w:rsid w:val="021653B1"/>
    <w:rsid w:val="021A27AB"/>
    <w:rsid w:val="021B4775"/>
    <w:rsid w:val="021B6523"/>
    <w:rsid w:val="021F4265"/>
    <w:rsid w:val="021F6013"/>
    <w:rsid w:val="021F7DC1"/>
    <w:rsid w:val="02203B3A"/>
    <w:rsid w:val="02225B04"/>
    <w:rsid w:val="022E6257"/>
    <w:rsid w:val="02322A9A"/>
    <w:rsid w:val="02355837"/>
    <w:rsid w:val="023A109F"/>
    <w:rsid w:val="023A5F04"/>
    <w:rsid w:val="023D46EC"/>
    <w:rsid w:val="023F0464"/>
    <w:rsid w:val="024261A6"/>
    <w:rsid w:val="024617F2"/>
    <w:rsid w:val="02467A44"/>
    <w:rsid w:val="024A0BB7"/>
    <w:rsid w:val="024B505A"/>
    <w:rsid w:val="024B6E08"/>
    <w:rsid w:val="02511F45"/>
    <w:rsid w:val="025C7268"/>
    <w:rsid w:val="025D4D8E"/>
    <w:rsid w:val="025F0B06"/>
    <w:rsid w:val="026003DA"/>
    <w:rsid w:val="02600B79"/>
    <w:rsid w:val="02600D9A"/>
    <w:rsid w:val="026223A4"/>
    <w:rsid w:val="02622830"/>
    <w:rsid w:val="026305F6"/>
    <w:rsid w:val="02661E94"/>
    <w:rsid w:val="026826BF"/>
    <w:rsid w:val="026B74AB"/>
    <w:rsid w:val="026E2AF7"/>
    <w:rsid w:val="0270061D"/>
    <w:rsid w:val="02780976"/>
    <w:rsid w:val="027C1AEA"/>
    <w:rsid w:val="02902A6D"/>
    <w:rsid w:val="02922C89"/>
    <w:rsid w:val="02987B74"/>
    <w:rsid w:val="02994018"/>
    <w:rsid w:val="029C7664"/>
    <w:rsid w:val="029D518A"/>
    <w:rsid w:val="02A05595"/>
    <w:rsid w:val="02A209F3"/>
    <w:rsid w:val="02A3645B"/>
    <w:rsid w:val="02A931DE"/>
    <w:rsid w:val="02A97FD3"/>
    <w:rsid w:val="02AD361F"/>
    <w:rsid w:val="02AE7397"/>
    <w:rsid w:val="02B0310F"/>
    <w:rsid w:val="02B40E52"/>
    <w:rsid w:val="02B726F0"/>
    <w:rsid w:val="02B80282"/>
    <w:rsid w:val="02BA6838"/>
    <w:rsid w:val="02BD75DA"/>
    <w:rsid w:val="02BF2365"/>
    <w:rsid w:val="02BF77F6"/>
    <w:rsid w:val="02C32E43"/>
    <w:rsid w:val="02C44E0D"/>
    <w:rsid w:val="02C92423"/>
    <w:rsid w:val="02C941D1"/>
    <w:rsid w:val="02CB1CF7"/>
    <w:rsid w:val="02D0730E"/>
    <w:rsid w:val="02DA7354"/>
    <w:rsid w:val="02E35293"/>
    <w:rsid w:val="02E903CF"/>
    <w:rsid w:val="02E90BCF"/>
    <w:rsid w:val="02F0175E"/>
    <w:rsid w:val="02F079B0"/>
    <w:rsid w:val="02F1679D"/>
    <w:rsid w:val="02F254D6"/>
    <w:rsid w:val="02F474A0"/>
    <w:rsid w:val="02F778BD"/>
    <w:rsid w:val="02FE1F7B"/>
    <w:rsid w:val="02FE7248"/>
    <w:rsid w:val="03004097"/>
    <w:rsid w:val="03011BBD"/>
    <w:rsid w:val="030960FF"/>
    <w:rsid w:val="030A6CC4"/>
    <w:rsid w:val="030F740A"/>
    <w:rsid w:val="03121468"/>
    <w:rsid w:val="03141B37"/>
    <w:rsid w:val="0314369E"/>
    <w:rsid w:val="031511C4"/>
    <w:rsid w:val="03195159"/>
    <w:rsid w:val="031C69F7"/>
    <w:rsid w:val="03217B69"/>
    <w:rsid w:val="032B08FF"/>
    <w:rsid w:val="032B09E8"/>
    <w:rsid w:val="032D29B2"/>
    <w:rsid w:val="03326C27"/>
    <w:rsid w:val="033E4BBF"/>
    <w:rsid w:val="0341645D"/>
    <w:rsid w:val="03443858"/>
    <w:rsid w:val="03483348"/>
    <w:rsid w:val="034A3564"/>
    <w:rsid w:val="034C443F"/>
    <w:rsid w:val="034D095E"/>
    <w:rsid w:val="034F0B7A"/>
    <w:rsid w:val="035E0DBD"/>
    <w:rsid w:val="035E2B6B"/>
    <w:rsid w:val="035E700F"/>
    <w:rsid w:val="036208AE"/>
    <w:rsid w:val="03634DA8"/>
    <w:rsid w:val="03675EC4"/>
    <w:rsid w:val="036839EA"/>
    <w:rsid w:val="036A1510"/>
    <w:rsid w:val="036F4D79"/>
    <w:rsid w:val="036F6B27"/>
    <w:rsid w:val="037759DB"/>
    <w:rsid w:val="037C1244"/>
    <w:rsid w:val="037C7496"/>
    <w:rsid w:val="037E320E"/>
    <w:rsid w:val="03822C68"/>
    <w:rsid w:val="03830824"/>
    <w:rsid w:val="03836A76"/>
    <w:rsid w:val="03906A9D"/>
    <w:rsid w:val="03914CEF"/>
    <w:rsid w:val="03962305"/>
    <w:rsid w:val="039F2BBC"/>
    <w:rsid w:val="03A34A22"/>
    <w:rsid w:val="03A367D0"/>
    <w:rsid w:val="03A5079A"/>
    <w:rsid w:val="03A964DC"/>
    <w:rsid w:val="03AD58A1"/>
    <w:rsid w:val="03B22EB7"/>
    <w:rsid w:val="03B60BF9"/>
    <w:rsid w:val="03B7227C"/>
    <w:rsid w:val="03BD5AE4"/>
    <w:rsid w:val="03C03826"/>
    <w:rsid w:val="03C52BEB"/>
    <w:rsid w:val="03CA1FAF"/>
    <w:rsid w:val="03CA6453"/>
    <w:rsid w:val="03D8291E"/>
    <w:rsid w:val="03D96AC5"/>
    <w:rsid w:val="03DA2BBA"/>
    <w:rsid w:val="03EA4660"/>
    <w:rsid w:val="03EE0393"/>
    <w:rsid w:val="03EE3EEF"/>
    <w:rsid w:val="03F40ED9"/>
    <w:rsid w:val="03FD1F8B"/>
    <w:rsid w:val="03FD4132"/>
    <w:rsid w:val="0404275A"/>
    <w:rsid w:val="04071455"/>
    <w:rsid w:val="04082AD7"/>
    <w:rsid w:val="041250CE"/>
    <w:rsid w:val="04161698"/>
    <w:rsid w:val="04163446"/>
    <w:rsid w:val="041B280B"/>
    <w:rsid w:val="04206073"/>
    <w:rsid w:val="0422003D"/>
    <w:rsid w:val="04294F27"/>
    <w:rsid w:val="042A6EF2"/>
    <w:rsid w:val="04302475"/>
    <w:rsid w:val="0431202E"/>
    <w:rsid w:val="0433224A"/>
    <w:rsid w:val="04333FF8"/>
    <w:rsid w:val="04365896"/>
    <w:rsid w:val="04367644"/>
    <w:rsid w:val="04395ECC"/>
    <w:rsid w:val="043A5387"/>
    <w:rsid w:val="04441D61"/>
    <w:rsid w:val="0449381C"/>
    <w:rsid w:val="044B7594"/>
    <w:rsid w:val="045415F9"/>
    <w:rsid w:val="045521C0"/>
    <w:rsid w:val="04567CE7"/>
    <w:rsid w:val="045D1075"/>
    <w:rsid w:val="045F6B9B"/>
    <w:rsid w:val="046441B2"/>
    <w:rsid w:val="04653A3F"/>
    <w:rsid w:val="046C750A"/>
    <w:rsid w:val="0475016D"/>
    <w:rsid w:val="04754611"/>
    <w:rsid w:val="04781A0B"/>
    <w:rsid w:val="04785EAF"/>
    <w:rsid w:val="04787C5D"/>
    <w:rsid w:val="047B14FB"/>
    <w:rsid w:val="04857E10"/>
    <w:rsid w:val="048C54B6"/>
    <w:rsid w:val="048E56D2"/>
    <w:rsid w:val="04936845"/>
    <w:rsid w:val="049525BD"/>
    <w:rsid w:val="0496655E"/>
    <w:rsid w:val="04966B99"/>
    <w:rsid w:val="04974587"/>
    <w:rsid w:val="049A4077"/>
    <w:rsid w:val="049A5E25"/>
    <w:rsid w:val="04A46CA4"/>
    <w:rsid w:val="04A722F0"/>
    <w:rsid w:val="04A9250C"/>
    <w:rsid w:val="04AB3B8E"/>
    <w:rsid w:val="04AC7907"/>
    <w:rsid w:val="04B05649"/>
    <w:rsid w:val="04B213C1"/>
    <w:rsid w:val="04B844FD"/>
    <w:rsid w:val="04BD1D44"/>
    <w:rsid w:val="04BD38C2"/>
    <w:rsid w:val="04BF588C"/>
    <w:rsid w:val="04C74740"/>
    <w:rsid w:val="04C9495C"/>
    <w:rsid w:val="04CB2483"/>
    <w:rsid w:val="04D2164A"/>
    <w:rsid w:val="04D72BD5"/>
    <w:rsid w:val="04D76460"/>
    <w:rsid w:val="04DC643E"/>
    <w:rsid w:val="04DD5D12"/>
    <w:rsid w:val="04DF1A8A"/>
    <w:rsid w:val="04DF7CDC"/>
    <w:rsid w:val="04E13A54"/>
    <w:rsid w:val="04E470A0"/>
    <w:rsid w:val="04E60A4D"/>
    <w:rsid w:val="04E9233C"/>
    <w:rsid w:val="04F05A45"/>
    <w:rsid w:val="04F512AE"/>
    <w:rsid w:val="04F574FF"/>
    <w:rsid w:val="04F632A9"/>
    <w:rsid w:val="04FA68C4"/>
    <w:rsid w:val="04FF212C"/>
    <w:rsid w:val="05025778"/>
    <w:rsid w:val="05045994"/>
    <w:rsid w:val="050634BB"/>
    <w:rsid w:val="05071955"/>
    <w:rsid w:val="05092FAB"/>
    <w:rsid w:val="050B36B6"/>
    <w:rsid w:val="050E236F"/>
    <w:rsid w:val="050E558B"/>
    <w:rsid w:val="050F05C1"/>
    <w:rsid w:val="05104339"/>
    <w:rsid w:val="05123C0E"/>
    <w:rsid w:val="05151950"/>
    <w:rsid w:val="051756C8"/>
    <w:rsid w:val="05186DA8"/>
    <w:rsid w:val="051E3875"/>
    <w:rsid w:val="05224E91"/>
    <w:rsid w:val="052D1FA4"/>
    <w:rsid w:val="052D54F8"/>
    <w:rsid w:val="052E47BF"/>
    <w:rsid w:val="053022E6"/>
    <w:rsid w:val="0533125B"/>
    <w:rsid w:val="05377B18"/>
    <w:rsid w:val="05380AD9"/>
    <w:rsid w:val="053A3164"/>
    <w:rsid w:val="053B7608"/>
    <w:rsid w:val="053E7F1C"/>
    <w:rsid w:val="05404C1F"/>
    <w:rsid w:val="05461B09"/>
    <w:rsid w:val="054A15F9"/>
    <w:rsid w:val="054F4EE9"/>
    <w:rsid w:val="054F6C10"/>
    <w:rsid w:val="055222CD"/>
    <w:rsid w:val="05542478"/>
    <w:rsid w:val="055915DD"/>
    <w:rsid w:val="0559183C"/>
    <w:rsid w:val="055C132D"/>
    <w:rsid w:val="0563090D"/>
    <w:rsid w:val="056326BB"/>
    <w:rsid w:val="05634469"/>
    <w:rsid w:val="056401E1"/>
    <w:rsid w:val="05654685"/>
    <w:rsid w:val="05663F59"/>
    <w:rsid w:val="056A3A4A"/>
    <w:rsid w:val="056E4543"/>
    <w:rsid w:val="056F1060"/>
    <w:rsid w:val="05705813"/>
    <w:rsid w:val="05740424"/>
    <w:rsid w:val="05746809"/>
    <w:rsid w:val="057E7745"/>
    <w:rsid w:val="058014BF"/>
    <w:rsid w:val="05860158"/>
    <w:rsid w:val="05883ED0"/>
    <w:rsid w:val="05926AFC"/>
    <w:rsid w:val="05943D22"/>
    <w:rsid w:val="059705B7"/>
    <w:rsid w:val="059960DD"/>
    <w:rsid w:val="059B176D"/>
    <w:rsid w:val="059E36F3"/>
    <w:rsid w:val="059E3794"/>
    <w:rsid w:val="059E7B97"/>
    <w:rsid w:val="05A0746B"/>
    <w:rsid w:val="05A131E3"/>
    <w:rsid w:val="05A36F5B"/>
    <w:rsid w:val="05A4721B"/>
    <w:rsid w:val="05A47428"/>
    <w:rsid w:val="05A84572"/>
    <w:rsid w:val="05AC4062"/>
    <w:rsid w:val="05AD7DDA"/>
    <w:rsid w:val="05BB42A5"/>
    <w:rsid w:val="05BC001D"/>
    <w:rsid w:val="05C07B0D"/>
    <w:rsid w:val="05CC0260"/>
    <w:rsid w:val="05CF1AFF"/>
    <w:rsid w:val="05D02834"/>
    <w:rsid w:val="05D15877"/>
    <w:rsid w:val="05DC421B"/>
    <w:rsid w:val="05DE61E6"/>
    <w:rsid w:val="05E57574"/>
    <w:rsid w:val="05E80E12"/>
    <w:rsid w:val="05EC445F"/>
    <w:rsid w:val="05F5483F"/>
    <w:rsid w:val="05FB0B46"/>
    <w:rsid w:val="05FE0636"/>
    <w:rsid w:val="05FE4192"/>
    <w:rsid w:val="0600615C"/>
    <w:rsid w:val="06021ED4"/>
    <w:rsid w:val="06023C82"/>
    <w:rsid w:val="06043E9E"/>
    <w:rsid w:val="060519C4"/>
    <w:rsid w:val="060914B4"/>
    <w:rsid w:val="060A2B37"/>
    <w:rsid w:val="060C4B01"/>
    <w:rsid w:val="0616597F"/>
    <w:rsid w:val="061816F7"/>
    <w:rsid w:val="061D286A"/>
    <w:rsid w:val="061D76FA"/>
    <w:rsid w:val="06215A85"/>
    <w:rsid w:val="0627193B"/>
    <w:rsid w:val="06287461"/>
    <w:rsid w:val="062A142B"/>
    <w:rsid w:val="062F65B0"/>
    <w:rsid w:val="0639341C"/>
    <w:rsid w:val="063D2F0C"/>
    <w:rsid w:val="063E0A32"/>
    <w:rsid w:val="06456265"/>
    <w:rsid w:val="06473D8B"/>
    <w:rsid w:val="0647513E"/>
    <w:rsid w:val="064A5F93"/>
    <w:rsid w:val="064A73D7"/>
    <w:rsid w:val="06500FD9"/>
    <w:rsid w:val="065A3ABE"/>
    <w:rsid w:val="065B5A88"/>
    <w:rsid w:val="065C0B2C"/>
    <w:rsid w:val="06606BFB"/>
    <w:rsid w:val="06624721"/>
    <w:rsid w:val="06670810"/>
    <w:rsid w:val="06676490"/>
    <w:rsid w:val="06702C23"/>
    <w:rsid w:val="06752E14"/>
    <w:rsid w:val="067A4160"/>
    <w:rsid w:val="067C0116"/>
    <w:rsid w:val="06823015"/>
    <w:rsid w:val="06824DC3"/>
    <w:rsid w:val="0687687D"/>
    <w:rsid w:val="06907A1C"/>
    <w:rsid w:val="06913258"/>
    <w:rsid w:val="06952D48"/>
    <w:rsid w:val="069B5E85"/>
    <w:rsid w:val="069D39AB"/>
    <w:rsid w:val="069F3BC7"/>
    <w:rsid w:val="069F7723"/>
    <w:rsid w:val="06A0349B"/>
    <w:rsid w:val="06AB5586"/>
    <w:rsid w:val="06AB60C8"/>
    <w:rsid w:val="06AD6F44"/>
    <w:rsid w:val="06B62CBE"/>
    <w:rsid w:val="06B74FBC"/>
    <w:rsid w:val="06BB3727"/>
    <w:rsid w:val="06BC02D5"/>
    <w:rsid w:val="06BC55A9"/>
    <w:rsid w:val="06BD229F"/>
    <w:rsid w:val="06BF4752"/>
    <w:rsid w:val="06C47189"/>
    <w:rsid w:val="06CB44B7"/>
    <w:rsid w:val="06CC483B"/>
    <w:rsid w:val="06D03D80"/>
    <w:rsid w:val="06D373CC"/>
    <w:rsid w:val="06D432E7"/>
    <w:rsid w:val="06D53FDD"/>
    <w:rsid w:val="06E4288E"/>
    <w:rsid w:val="06E710CA"/>
    <w:rsid w:val="06E72E78"/>
    <w:rsid w:val="06E94152"/>
    <w:rsid w:val="06E94E42"/>
    <w:rsid w:val="06E96BF0"/>
    <w:rsid w:val="06EE0437"/>
    <w:rsid w:val="06EE20B1"/>
    <w:rsid w:val="06F31143"/>
    <w:rsid w:val="06F328AB"/>
    <w:rsid w:val="06F37A6F"/>
    <w:rsid w:val="06FF01C2"/>
    <w:rsid w:val="070457D8"/>
    <w:rsid w:val="07070D3D"/>
    <w:rsid w:val="07091040"/>
    <w:rsid w:val="070A7E58"/>
    <w:rsid w:val="070D0B30"/>
    <w:rsid w:val="070E6657"/>
    <w:rsid w:val="070F7770"/>
    <w:rsid w:val="071246D1"/>
    <w:rsid w:val="07150AD8"/>
    <w:rsid w:val="071719AF"/>
    <w:rsid w:val="07177643"/>
    <w:rsid w:val="07181283"/>
    <w:rsid w:val="071874D5"/>
    <w:rsid w:val="072365A6"/>
    <w:rsid w:val="0728596A"/>
    <w:rsid w:val="072E6CF9"/>
    <w:rsid w:val="07300CC3"/>
    <w:rsid w:val="073B7D80"/>
    <w:rsid w:val="073C31C4"/>
    <w:rsid w:val="073F0F06"/>
    <w:rsid w:val="073F2CB4"/>
    <w:rsid w:val="073F4A62"/>
    <w:rsid w:val="07425AFB"/>
    <w:rsid w:val="074327A4"/>
    <w:rsid w:val="0744651C"/>
    <w:rsid w:val="074A113E"/>
    <w:rsid w:val="074A3B33"/>
    <w:rsid w:val="074E2EF7"/>
    <w:rsid w:val="074F1149"/>
    <w:rsid w:val="07500A1D"/>
    <w:rsid w:val="0753050D"/>
    <w:rsid w:val="07550729"/>
    <w:rsid w:val="0757624F"/>
    <w:rsid w:val="075A189C"/>
    <w:rsid w:val="075B63E2"/>
    <w:rsid w:val="07632E46"/>
    <w:rsid w:val="07634BF4"/>
    <w:rsid w:val="076A28C3"/>
    <w:rsid w:val="076D2D2B"/>
    <w:rsid w:val="076D7821"/>
    <w:rsid w:val="07726BE5"/>
    <w:rsid w:val="07797F74"/>
    <w:rsid w:val="077C51DD"/>
    <w:rsid w:val="077E558A"/>
    <w:rsid w:val="07807554"/>
    <w:rsid w:val="078132CC"/>
    <w:rsid w:val="078D1C71"/>
    <w:rsid w:val="079426EA"/>
    <w:rsid w:val="079C0106"/>
    <w:rsid w:val="079C1EB4"/>
    <w:rsid w:val="079E0D1A"/>
    <w:rsid w:val="07A1571D"/>
    <w:rsid w:val="07A80859"/>
    <w:rsid w:val="07AA712B"/>
    <w:rsid w:val="07AB0349"/>
    <w:rsid w:val="07AF6AAF"/>
    <w:rsid w:val="07B1625B"/>
    <w:rsid w:val="07BA233A"/>
    <w:rsid w:val="07BC2556"/>
    <w:rsid w:val="07C37441"/>
    <w:rsid w:val="07C84A57"/>
    <w:rsid w:val="07CA6A21"/>
    <w:rsid w:val="07CB4548"/>
    <w:rsid w:val="07CC1A54"/>
    <w:rsid w:val="07CC279A"/>
    <w:rsid w:val="07CF0C6A"/>
    <w:rsid w:val="07D21D7A"/>
    <w:rsid w:val="07D63C5D"/>
    <w:rsid w:val="07D96E9C"/>
    <w:rsid w:val="07DB478B"/>
    <w:rsid w:val="07DD49A7"/>
    <w:rsid w:val="07DE071F"/>
    <w:rsid w:val="07E13D6B"/>
    <w:rsid w:val="07E31891"/>
    <w:rsid w:val="07E37AE3"/>
    <w:rsid w:val="07E43916"/>
    <w:rsid w:val="07E61381"/>
    <w:rsid w:val="07F04F0D"/>
    <w:rsid w:val="07FB1404"/>
    <w:rsid w:val="07FD6DF7"/>
    <w:rsid w:val="080041F1"/>
    <w:rsid w:val="08017F69"/>
    <w:rsid w:val="08021565"/>
    <w:rsid w:val="080621C9"/>
    <w:rsid w:val="080A1514"/>
    <w:rsid w:val="080D4B60"/>
    <w:rsid w:val="08122176"/>
    <w:rsid w:val="08123F24"/>
    <w:rsid w:val="08145EEF"/>
    <w:rsid w:val="081B46A0"/>
    <w:rsid w:val="081F3A97"/>
    <w:rsid w:val="08201FB2"/>
    <w:rsid w:val="082223BA"/>
    <w:rsid w:val="08250323"/>
    <w:rsid w:val="08273E74"/>
    <w:rsid w:val="082B45BE"/>
    <w:rsid w:val="08367B67"/>
    <w:rsid w:val="083D5445"/>
    <w:rsid w:val="083E575A"/>
    <w:rsid w:val="084542FA"/>
    <w:rsid w:val="084958C7"/>
    <w:rsid w:val="084A36BE"/>
    <w:rsid w:val="084A5DB4"/>
    <w:rsid w:val="084C7436"/>
    <w:rsid w:val="084E1401"/>
    <w:rsid w:val="08534B88"/>
    <w:rsid w:val="08536A17"/>
    <w:rsid w:val="08564759"/>
    <w:rsid w:val="08597DA5"/>
    <w:rsid w:val="085D6D89"/>
    <w:rsid w:val="085E716A"/>
    <w:rsid w:val="08624EAC"/>
    <w:rsid w:val="08670590"/>
    <w:rsid w:val="08674270"/>
    <w:rsid w:val="08681565"/>
    <w:rsid w:val="08687FE8"/>
    <w:rsid w:val="0869623A"/>
    <w:rsid w:val="086A5080"/>
    <w:rsid w:val="086C1887"/>
    <w:rsid w:val="086E5A46"/>
    <w:rsid w:val="08726929"/>
    <w:rsid w:val="08766BA9"/>
    <w:rsid w:val="0878446F"/>
    <w:rsid w:val="087D1CE6"/>
    <w:rsid w:val="0882554E"/>
    <w:rsid w:val="088272FC"/>
    <w:rsid w:val="08844E22"/>
    <w:rsid w:val="0884649D"/>
    <w:rsid w:val="088E5CA1"/>
    <w:rsid w:val="08951E84"/>
    <w:rsid w:val="089808CE"/>
    <w:rsid w:val="089D4136"/>
    <w:rsid w:val="08A234FA"/>
    <w:rsid w:val="08A3495F"/>
    <w:rsid w:val="08A640D8"/>
    <w:rsid w:val="08AB5379"/>
    <w:rsid w:val="08AE1E9F"/>
    <w:rsid w:val="08AF5C17"/>
    <w:rsid w:val="08B60D54"/>
    <w:rsid w:val="08B84ACC"/>
    <w:rsid w:val="08B94069"/>
    <w:rsid w:val="08BA39DE"/>
    <w:rsid w:val="08BA6A96"/>
    <w:rsid w:val="08BB280E"/>
    <w:rsid w:val="08C07E24"/>
    <w:rsid w:val="08C3297E"/>
    <w:rsid w:val="08C473AA"/>
    <w:rsid w:val="08C90A87"/>
    <w:rsid w:val="08CD7283"/>
    <w:rsid w:val="08CF313D"/>
    <w:rsid w:val="08D062B9"/>
    <w:rsid w:val="08D15B8E"/>
    <w:rsid w:val="08D56A29"/>
    <w:rsid w:val="08D77648"/>
    <w:rsid w:val="08DB07BA"/>
    <w:rsid w:val="08E25FED"/>
    <w:rsid w:val="08E41D65"/>
    <w:rsid w:val="08E81855"/>
    <w:rsid w:val="08EF3D5E"/>
    <w:rsid w:val="08F062C2"/>
    <w:rsid w:val="08F655F4"/>
    <w:rsid w:val="08FF6B9F"/>
    <w:rsid w:val="09016473"/>
    <w:rsid w:val="090B19E1"/>
    <w:rsid w:val="090B5543"/>
    <w:rsid w:val="090D12BC"/>
    <w:rsid w:val="090D4716"/>
    <w:rsid w:val="0910646C"/>
    <w:rsid w:val="0911242E"/>
    <w:rsid w:val="09137F54"/>
    <w:rsid w:val="09167A44"/>
    <w:rsid w:val="09173A6D"/>
    <w:rsid w:val="091A7535"/>
    <w:rsid w:val="092B0267"/>
    <w:rsid w:val="093323A4"/>
    <w:rsid w:val="0935611C"/>
    <w:rsid w:val="09383E5F"/>
    <w:rsid w:val="093D3223"/>
    <w:rsid w:val="093E76C7"/>
    <w:rsid w:val="0946032A"/>
    <w:rsid w:val="09497E1A"/>
    <w:rsid w:val="094B3B3B"/>
    <w:rsid w:val="094D16B8"/>
    <w:rsid w:val="096864F2"/>
    <w:rsid w:val="09686EE9"/>
    <w:rsid w:val="0969226A"/>
    <w:rsid w:val="096A04BC"/>
    <w:rsid w:val="096B1B3E"/>
    <w:rsid w:val="096B5FE2"/>
    <w:rsid w:val="096F5AD2"/>
    <w:rsid w:val="09704E33"/>
    <w:rsid w:val="09712E48"/>
    <w:rsid w:val="097E3F67"/>
    <w:rsid w:val="09813F2C"/>
    <w:rsid w:val="09862E1C"/>
    <w:rsid w:val="09864BCA"/>
    <w:rsid w:val="098826F0"/>
    <w:rsid w:val="098B0432"/>
    <w:rsid w:val="098B21E0"/>
    <w:rsid w:val="098B6337"/>
    <w:rsid w:val="09915912"/>
    <w:rsid w:val="0992356F"/>
    <w:rsid w:val="099245AB"/>
    <w:rsid w:val="09972933"/>
    <w:rsid w:val="099866AB"/>
    <w:rsid w:val="099C43EE"/>
    <w:rsid w:val="09A11A04"/>
    <w:rsid w:val="09A137B2"/>
    <w:rsid w:val="09A25201"/>
    <w:rsid w:val="09A35C82"/>
    <w:rsid w:val="09A432A2"/>
    <w:rsid w:val="09AC6517"/>
    <w:rsid w:val="09AD65FB"/>
    <w:rsid w:val="09AF4121"/>
    <w:rsid w:val="09B01C47"/>
    <w:rsid w:val="09B14DBC"/>
    <w:rsid w:val="09B554AF"/>
    <w:rsid w:val="09B6127A"/>
    <w:rsid w:val="09B72FD5"/>
    <w:rsid w:val="09B94F9F"/>
    <w:rsid w:val="09C13E54"/>
    <w:rsid w:val="09C33728"/>
    <w:rsid w:val="09CA0F5B"/>
    <w:rsid w:val="09CB6A81"/>
    <w:rsid w:val="09CF47C3"/>
    <w:rsid w:val="09D05E45"/>
    <w:rsid w:val="09D516AE"/>
    <w:rsid w:val="09D65B51"/>
    <w:rsid w:val="09D73678"/>
    <w:rsid w:val="09D9119E"/>
    <w:rsid w:val="09D92F4C"/>
    <w:rsid w:val="09E15530"/>
    <w:rsid w:val="09E162A4"/>
    <w:rsid w:val="09E661A6"/>
    <w:rsid w:val="09E85885"/>
    <w:rsid w:val="09EF4328"/>
    <w:rsid w:val="09EF6C13"/>
    <w:rsid w:val="09F15E14"/>
    <w:rsid w:val="09F22C0C"/>
    <w:rsid w:val="09F45FD8"/>
    <w:rsid w:val="09F50E0A"/>
    <w:rsid w:val="09FB5C77"/>
    <w:rsid w:val="0A014251"/>
    <w:rsid w:val="0A04459D"/>
    <w:rsid w:val="0A053D41"/>
    <w:rsid w:val="0A081A83"/>
    <w:rsid w:val="0A083831"/>
    <w:rsid w:val="0A0929BF"/>
    <w:rsid w:val="0A0B0E13"/>
    <w:rsid w:val="0A0F696E"/>
    <w:rsid w:val="0A1246B0"/>
    <w:rsid w:val="0A145C3C"/>
    <w:rsid w:val="0A14667A"/>
    <w:rsid w:val="0A1B5312"/>
    <w:rsid w:val="0A1B58FF"/>
    <w:rsid w:val="0A1E05EA"/>
    <w:rsid w:val="0A200B7B"/>
    <w:rsid w:val="0A267930"/>
    <w:rsid w:val="0A2763AD"/>
    <w:rsid w:val="0A285C81"/>
    <w:rsid w:val="0A2E773B"/>
    <w:rsid w:val="0A330F0E"/>
    <w:rsid w:val="0A3665F0"/>
    <w:rsid w:val="0A375EC4"/>
    <w:rsid w:val="0A40746F"/>
    <w:rsid w:val="0A432ABB"/>
    <w:rsid w:val="0A432C85"/>
    <w:rsid w:val="0A434869"/>
    <w:rsid w:val="0A570314"/>
    <w:rsid w:val="0A5922DF"/>
    <w:rsid w:val="0A5B5249"/>
    <w:rsid w:val="0A5C592B"/>
    <w:rsid w:val="0A5D72DC"/>
    <w:rsid w:val="0A6071C9"/>
    <w:rsid w:val="0A6273E5"/>
    <w:rsid w:val="0A634F0B"/>
    <w:rsid w:val="0A652A31"/>
    <w:rsid w:val="0A6A0544"/>
    <w:rsid w:val="0A6A374B"/>
    <w:rsid w:val="0A6D7B49"/>
    <w:rsid w:val="0A6F565E"/>
    <w:rsid w:val="0A782765"/>
    <w:rsid w:val="0A7D5FCD"/>
    <w:rsid w:val="0A7D7D7B"/>
    <w:rsid w:val="0A7E1D45"/>
    <w:rsid w:val="0A7F7F97"/>
    <w:rsid w:val="0A805ABD"/>
    <w:rsid w:val="0A84735B"/>
    <w:rsid w:val="0A870BFA"/>
    <w:rsid w:val="0A8729A8"/>
    <w:rsid w:val="0A8D3D36"/>
    <w:rsid w:val="0A8F3B8A"/>
    <w:rsid w:val="0A9256FD"/>
    <w:rsid w:val="0A941589"/>
    <w:rsid w:val="0A951569"/>
    <w:rsid w:val="0A953178"/>
    <w:rsid w:val="0A981059"/>
    <w:rsid w:val="0A9B46A5"/>
    <w:rsid w:val="0A9B6453"/>
    <w:rsid w:val="0A9D666F"/>
    <w:rsid w:val="0AA3501D"/>
    <w:rsid w:val="0AA51080"/>
    <w:rsid w:val="0AA74DF8"/>
    <w:rsid w:val="0AB2666B"/>
    <w:rsid w:val="0AB319EF"/>
    <w:rsid w:val="0AB3379D"/>
    <w:rsid w:val="0AB344FD"/>
    <w:rsid w:val="0AB37C41"/>
    <w:rsid w:val="0AB5040D"/>
    <w:rsid w:val="0AB6328D"/>
    <w:rsid w:val="0AB67731"/>
    <w:rsid w:val="0AB94B2B"/>
    <w:rsid w:val="0ABB08A3"/>
    <w:rsid w:val="0ABB55F8"/>
    <w:rsid w:val="0ABE2142"/>
    <w:rsid w:val="0AC37758"/>
    <w:rsid w:val="0AC57974"/>
    <w:rsid w:val="0AC91212"/>
    <w:rsid w:val="0ACA6D38"/>
    <w:rsid w:val="0ACE6829"/>
    <w:rsid w:val="0AD11D45"/>
    <w:rsid w:val="0AD27DEA"/>
    <w:rsid w:val="0AD41965"/>
    <w:rsid w:val="0AD57BB7"/>
    <w:rsid w:val="0AD876A7"/>
    <w:rsid w:val="0ADA223A"/>
    <w:rsid w:val="0AE0030A"/>
    <w:rsid w:val="0AE24082"/>
    <w:rsid w:val="0AE61DC4"/>
    <w:rsid w:val="0AE903B8"/>
    <w:rsid w:val="0AED7096"/>
    <w:rsid w:val="0AEE6ECB"/>
    <w:rsid w:val="0AF52007"/>
    <w:rsid w:val="0AF67B2D"/>
    <w:rsid w:val="0B000076"/>
    <w:rsid w:val="0B057D70"/>
    <w:rsid w:val="0B071D3B"/>
    <w:rsid w:val="0B0732A4"/>
    <w:rsid w:val="0B09160F"/>
    <w:rsid w:val="0B095686"/>
    <w:rsid w:val="0B0C1C85"/>
    <w:rsid w:val="0B0E131B"/>
    <w:rsid w:val="0B106E41"/>
    <w:rsid w:val="0B116715"/>
    <w:rsid w:val="0B12545C"/>
    <w:rsid w:val="0B1526A9"/>
    <w:rsid w:val="0B156206"/>
    <w:rsid w:val="0B163D2C"/>
    <w:rsid w:val="0B1873A5"/>
    <w:rsid w:val="0B1A65E0"/>
    <w:rsid w:val="0B204BAA"/>
    <w:rsid w:val="0B235FD0"/>
    <w:rsid w:val="0B260413"/>
    <w:rsid w:val="0B2810CA"/>
    <w:rsid w:val="0B2E5519"/>
    <w:rsid w:val="0B2F7131"/>
    <w:rsid w:val="0B3C19E4"/>
    <w:rsid w:val="0B3F14D4"/>
    <w:rsid w:val="0B424B21"/>
    <w:rsid w:val="0B446AEB"/>
    <w:rsid w:val="0B492353"/>
    <w:rsid w:val="0B494101"/>
    <w:rsid w:val="0B4C599F"/>
    <w:rsid w:val="0B5331D2"/>
    <w:rsid w:val="0B536D2E"/>
    <w:rsid w:val="0B5450D5"/>
    <w:rsid w:val="0B554854"/>
    <w:rsid w:val="0B5E5DFE"/>
    <w:rsid w:val="0B6078E4"/>
    <w:rsid w:val="0B615182"/>
    <w:rsid w:val="0B662F05"/>
    <w:rsid w:val="0B6727D9"/>
    <w:rsid w:val="0B6B051B"/>
    <w:rsid w:val="0B6B3136"/>
    <w:rsid w:val="0B6D4294"/>
    <w:rsid w:val="0B6D6042"/>
    <w:rsid w:val="0B714AAD"/>
    <w:rsid w:val="0B731858"/>
    <w:rsid w:val="0B7462A1"/>
    <w:rsid w:val="0B772A1C"/>
    <w:rsid w:val="0B786794"/>
    <w:rsid w:val="0B792C38"/>
    <w:rsid w:val="0B7A1322"/>
    <w:rsid w:val="0B7D1FFD"/>
    <w:rsid w:val="0B811AED"/>
    <w:rsid w:val="0B8213C1"/>
    <w:rsid w:val="0B837613"/>
    <w:rsid w:val="0B8415DD"/>
    <w:rsid w:val="0B860EB1"/>
    <w:rsid w:val="0B884C29"/>
    <w:rsid w:val="0B8B471A"/>
    <w:rsid w:val="0B8D66E4"/>
    <w:rsid w:val="0B8E7D66"/>
    <w:rsid w:val="0B903ADE"/>
    <w:rsid w:val="0B917C4B"/>
    <w:rsid w:val="0B927856"/>
    <w:rsid w:val="0B93537C"/>
    <w:rsid w:val="0B9C2E79"/>
    <w:rsid w:val="0BA14B06"/>
    <w:rsid w:val="0BA16641"/>
    <w:rsid w:val="0BA25F56"/>
    <w:rsid w:val="0BA457DB"/>
    <w:rsid w:val="0BA94BA0"/>
    <w:rsid w:val="0BAB4DBC"/>
    <w:rsid w:val="0BB2614A"/>
    <w:rsid w:val="0BB56D4E"/>
    <w:rsid w:val="0BBE4AEF"/>
    <w:rsid w:val="0BC1638D"/>
    <w:rsid w:val="0BC80175"/>
    <w:rsid w:val="0BC83278"/>
    <w:rsid w:val="0BCA5242"/>
    <w:rsid w:val="0BCD4D32"/>
    <w:rsid w:val="0BCD6AE0"/>
    <w:rsid w:val="0BD04822"/>
    <w:rsid w:val="0BD065D0"/>
    <w:rsid w:val="0BD13BA5"/>
    <w:rsid w:val="0BD31C1D"/>
    <w:rsid w:val="0BD7170D"/>
    <w:rsid w:val="0BD75BB1"/>
    <w:rsid w:val="0BD77A17"/>
    <w:rsid w:val="0BD87233"/>
    <w:rsid w:val="0BE04A65"/>
    <w:rsid w:val="0BEB340A"/>
    <w:rsid w:val="0BED2CDE"/>
    <w:rsid w:val="0BED58C1"/>
    <w:rsid w:val="0BED706C"/>
    <w:rsid w:val="0BF027CF"/>
    <w:rsid w:val="0BF422BF"/>
    <w:rsid w:val="0BF95B27"/>
    <w:rsid w:val="0BF978D5"/>
    <w:rsid w:val="0C012C2E"/>
    <w:rsid w:val="0C0759AC"/>
    <w:rsid w:val="0C0A1AE2"/>
    <w:rsid w:val="0C0F0EA7"/>
    <w:rsid w:val="0C1110C3"/>
    <w:rsid w:val="0C14470F"/>
    <w:rsid w:val="0C175FAD"/>
    <w:rsid w:val="0C1A1C88"/>
    <w:rsid w:val="0C1A784C"/>
    <w:rsid w:val="0C1C1816"/>
    <w:rsid w:val="0C2003EB"/>
    <w:rsid w:val="0C2030B4"/>
    <w:rsid w:val="0C210BDA"/>
    <w:rsid w:val="0C211D10"/>
    <w:rsid w:val="0C236700"/>
    <w:rsid w:val="0C2825BF"/>
    <w:rsid w:val="0C2A3F33"/>
    <w:rsid w:val="0C2C3BDF"/>
    <w:rsid w:val="0C2F4ABF"/>
    <w:rsid w:val="0C300E1D"/>
    <w:rsid w:val="0C321039"/>
    <w:rsid w:val="0C3472AC"/>
    <w:rsid w:val="0C395F24"/>
    <w:rsid w:val="0C3E353A"/>
    <w:rsid w:val="0C3F1EB2"/>
    <w:rsid w:val="0C4274CE"/>
    <w:rsid w:val="0C5114BF"/>
    <w:rsid w:val="0C547201"/>
    <w:rsid w:val="0C564D28"/>
    <w:rsid w:val="0C6108A9"/>
    <w:rsid w:val="0C656D19"/>
    <w:rsid w:val="0C670CE3"/>
    <w:rsid w:val="0C6C2856"/>
    <w:rsid w:val="0C6D3E1F"/>
    <w:rsid w:val="0C6F3B71"/>
    <w:rsid w:val="0C71390F"/>
    <w:rsid w:val="0C7451AE"/>
    <w:rsid w:val="0C7D4411"/>
    <w:rsid w:val="0C7E7DDA"/>
    <w:rsid w:val="0C822728"/>
    <w:rsid w:val="0C8D626F"/>
    <w:rsid w:val="0C8E44C1"/>
    <w:rsid w:val="0C8F4D2C"/>
    <w:rsid w:val="0C9475FE"/>
    <w:rsid w:val="0C9F5F62"/>
    <w:rsid w:val="0CAA1040"/>
    <w:rsid w:val="0CAC4948"/>
    <w:rsid w:val="0CAC6BB6"/>
    <w:rsid w:val="0CAD246E"/>
    <w:rsid w:val="0CB657C6"/>
    <w:rsid w:val="0CB724EF"/>
    <w:rsid w:val="0CC34F37"/>
    <w:rsid w:val="0CCC323C"/>
    <w:rsid w:val="0CD21ED4"/>
    <w:rsid w:val="0CD23B6E"/>
    <w:rsid w:val="0CD619C5"/>
    <w:rsid w:val="0CD66CE8"/>
    <w:rsid w:val="0CD8573D"/>
    <w:rsid w:val="0CDD2D53"/>
    <w:rsid w:val="0CE23077"/>
    <w:rsid w:val="0CE40585"/>
    <w:rsid w:val="0CE642FD"/>
    <w:rsid w:val="0CE65557"/>
    <w:rsid w:val="0CE73BD2"/>
    <w:rsid w:val="0CEA1C84"/>
    <w:rsid w:val="0CEE6D0E"/>
    <w:rsid w:val="0CF14A50"/>
    <w:rsid w:val="0CFD3DAC"/>
    <w:rsid w:val="0CFF7B5C"/>
    <w:rsid w:val="0D002EE5"/>
    <w:rsid w:val="0D020A0B"/>
    <w:rsid w:val="0D021AE7"/>
    <w:rsid w:val="0D0429D6"/>
    <w:rsid w:val="0D0522AA"/>
    <w:rsid w:val="0D093B48"/>
    <w:rsid w:val="0D0B5B12"/>
    <w:rsid w:val="0D0C585B"/>
    <w:rsid w:val="0D0D66B5"/>
    <w:rsid w:val="0D110C4F"/>
    <w:rsid w:val="0D1150F2"/>
    <w:rsid w:val="0D1424ED"/>
    <w:rsid w:val="0D181FDD"/>
    <w:rsid w:val="0D183D8B"/>
    <w:rsid w:val="0D1A3FA7"/>
    <w:rsid w:val="0D2B7F62"/>
    <w:rsid w:val="0D2E1801"/>
    <w:rsid w:val="0D3037CB"/>
    <w:rsid w:val="0D30674E"/>
    <w:rsid w:val="0D3419BA"/>
    <w:rsid w:val="0D3B5CCB"/>
    <w:rsid w:val="0D3F57BC"/>
    <w:rsid w:val="0D4234FE"/>
    <w:rsid w:val="0D470B14"/>
    <w:rsid w:val="0D4C1C87"/>
    <w:rsid w:val="0D5374B9"/>
    <w:rsid w:val="0D58062B"/>
    <w:rsid w:val="0D5A43A4"/>
    <w:rsid w:val="0D5B011C"/>
    <w:rsid w:val="0D5F19BA"/>
    <w:rsid w:val="0D605732"/>
    <w:rsid w:val="0D6276FC"/>
    <w:rsid w:val="0D660F9A"/>
    <w:rsid w:val="0D6671EC"/>
    <w:rsid w:val="0D671166"/>
    <w:rsid w:val="0D674D12"/>
    <w:rsid w:val="0D676AC1"/>
    <w:rsid w:val="0D690A8B"/>
    <w:rsid w:val="0D6E7E4F"/>
    <w:rsid w:val="0D703BC7"/>
    <w:rsid w:val="0D705975"/>
    <w:rsid w:val="0D7A67F4"/>
    <w:rsid w:val="0D7F2BE5"/>
    <w:rsid w:val="0D81340E"/>
    <w:rsid w:val="0D8609C6"/>
    <w:rsid w:val="0D8633EB"/>
    <w:rsid w:val="0D864353"/>
    <w:rsid w:val="0D8B0A01"/>
    <w:rsid w:val="0D971E4A"/>
    <w:rsid w:val="0D9A50E8"/>
    <w:rsid w:val="0D9C2C0E"/>
    <w:rsid w:val="0D9C49BC"/>
    <w:rsid w:val="0D9D6002"/>
    <w:rsid w:val="0D9F625A"/>
    <w:rsid w:val="0DA7019A"/>
    <w:rsid w:val="0DA970D9"/>
    <w:rsid w:val="0DAB3173"/>
    <w:rsid w:val="0DAD4E1B"/>
    <w:rsid w:val="0DB553D3"/>
    <w:rsid w:val="0DBD4932"/>
    <w:rsid w:val="0DC0575E"/>
    <w:rsid w:val="0DC12235"/>
    <w:rsid w:val="0DC42165"/>
    <w:rsid w:val="0DC422F7"/>
    <w:rsid w:val="0DC45CC1"/>
    <w:rsid w:val="0DC53105"/>
    <w:rsid w:val="0DC61A39"/>
    <w:rsid w:val="0DCB52A1"/>
    <w:rsid w:val="0DD4291F"/>
    <w:rsid w:val="0DD505F0"/>
    <w:rsid w:val="0DD8176C"/>
    <w:rsid w:val="0DDE4FD5"/>
    <w:rsid w:val="0DE63E89"/>
    <w:rsid w:val="0DE819AF"/>
    <w:rsid w:val="0DEA5E6A"/>
    <w:rsid w:val="0DEB5944"/>
    <w:rsid w:val="0DED371D"/>
    <w:rsid w:val="0DF04D08"/>
    <w:rsid w:val="0DF34311"/>
    <w:rsid w:val="0DF465A6"/>
    <w:rsid w:val="0DF5231E"/>
    <w:rsid w:val="0DF540CC"/>
    <w:rsid w:val="0DF77E44"/>
    <w:rsid w:val="0DFC1E50"/>
    <w:rsid w:val="0DFC36FB"/>
    <w:rsid w:val="0DFF319D"/>
    <w:rsid w:val="0E013467"/>
    <w:rsid w:val="0E016F15"/>
    <w:rsid w:val="0E034A3B"/>
    <w:rsid w:val="0E0407B3"/>
    <w:rsid w:val="0E097B78"/>
    <w:rsid w:val="0E107158"/>
    <w:rsid w:val="0E13321E"/>
    <w:rsid w:val="0E194089"/>
    <w:rsid w:val="0E19600D"/>
    <w:rsid w:val="0E1A3B33"/>
    <w:rsid w:val="0E1B7FD7"/>
    <w:rsid w:val="0E1E7AC7"/>
    <w:rsid w:val="0E223278"/>
    <w:rsid w:val="0E2311A8"/>
    <w:rsid w:val="0E26072A"/>
    <w:rsid w:val="0E2826F4"/>
    <w:rsid w:val="0E2844A2"/>
    <w:rsid w:val="0E2A1FC8"/>
    <w:rsid w:val="0E2A3543"/>
    <w:rsid w:val="0E2C5505"/>
    <w:rsid w:val="0E2F5830"/>
    <w:rsid w:val="0E320E7D"/>
    <w:rsid w:val="0E3746E5"/>
    <w:rsid w:val="0E386C82"/>
    <w:rsid w:val="0E3966AF"/>
    <w:rsid w:val="0E3A5F83"/>
    <w:rsid w:val="0E3E1F17"/>
    <w:rsid w:val="0E410303"/>
    <w:rsid w:val="0E417312"/>
    <w:rsid w:val="0E483874"/>
    <w:rsid w:val="0E52151F"/>
    <w:rsid w:val="0E527771"/>
    <w:rsid w:val="0E5465CF"/>
    <w:rsid w:val="0E5538D1"/>
    <w:rsid w:val="0E5E7EC3"/>
    <w:rsid w:val="0E5F1069"/>
    <w:rsid w:val="0E6000E3"/>
    <w:rsid w:val="0E601E8E"/>
    <w:rsid w:val="0E614144"/>
    <w:rsid w:val="0E651252"/>
    <w:rsid w:val="0E652AC5"/>
    <w:rsid w:val="0E6652FE"/>
    <w:rsid w:val="0E6F0323"/>
    <w:rsid w:val="0E72571D"/>
    <w:rsid w:val="0E727C94"/>
    <w:rsid w:val="0E7476E7"/>
    <w:rsid w:val="0E7B2823"/>
    <w:rsid w:val="0E7C659C"/>
    <w:rsid w:val="0E7E2310"/>
    <w:rsid w:val="0E813BB2"/>
    <w:rsid w:val="0E8611C8"/>
    <w:rsid w:val="0E884F40"/>
    <w:rsid w:val="0E8A0AC8"/>
    <w:rsid w:val="0E8D2557"/>
    <w:rsid w:val="0E8D69FB"/>
    <w:rsid w:val="0E8F62CF"/>
    <w:rsid w:val="0E911DEC"/>
    <w:rsid w:val="0E947D89"/>
    <w:rsid w:val="0E981627"/>
    <w:rsid w:val="0E9B2EC6"/>
    <w:rsid w:val="0E9B4C74"/>
    <w:rsid w:val="0E9C279A"/>
    <w:rsid w:val="0E9F40E6"/>
    <w:rsid w:val="0EB37705"/>
    <w:rsid w:val="0EBE0962"/>
    <w:rsid w:val="0EC248F6"/>
    <w:rsid w:val="0EC3241C"/>
    <w:rsid w:val="0EC35F79"/>
    <w:rsid w:val="0EC51CF1"/>
    <w:rsid w:val="0EC817E1"/>
    <w:rsid w:val="0EC86A0D"/>
    <w:rsid w:val="0ECE0F6B"/>
    <w:rsid w:val="0ED31185"/>
    <w:rsid w:val="0ED71555"/>
    <w:rsid w:val="0ED800D2"/>
    <w:rsid w:val="0ED939EE"/>
    <w:rsid w:val="0EDC703A"/>
    <w:rsid w:val="0EDE2DB2"/>
    <w:rsid w:val="0EE859DF"/>
    <w:rsid w:val="0EEF4FBF"/>
    <w:rsid w:val="0EF12AE6"/>
    <w:rsid w:val="0EF34AB0"/>
    <w:rsid w:val="0EF52D80"/>
    <w:rsid w:val="0EF56A7A"/>
    <w:rsid w:val="0EF83E74"/>
    <w:rsid w:val="0EF949FD"/>
    <w:rsid w:val="0EFD148A"/>
    <w:rsid w:val="0EFD592E"/>
    <w:rsid w:val="0F022F45"/>
    <w:rsid w:val="0F063F2C"/>
    <w:rsid w:val="0F0740B7"/>
    <w:rsid w:val="0F087E2F"/>
    <w:rsid w:val="0F0A004B"/>
    <w:rsid w:val="0F0C5B71"/>
    <w:rsid w:val="0F0D26CC"/>
    <w:rsid w:val="0F0E3698"/>
    <w:rsid w:val="0F0F11BE"/>
    <w:rsid w:val="0F130CAE"/>
    <w:rsid w:val="0F136F00"/>
    <w:rsid w:val="0F16079E"/>
    <w:rsid w:val="0F182768"/>
    <w:rsid w:val="0F184ADA"/>
    <w:rsid w:val="0F1A6C6C"/>
    <w:rsid w:val="0F20161D"/>
    <w:rsid w:val="0F20177B"/>
    <w:rsid w:val="0F2033CB"/>
    <w:rsid w:val="0F227143"/>
    <w:rsid w:val="0F276507"/>
    <w:rsid w:val="0F2C1D70"/>
    <w:rsid w:val="0F2C7FC2"/>
    <w:rsid w:val="0F2E5AE8"/>
    <w:rsid w:val="0F2F360E"/>
    <w:rsid w:val="0F384BB8"/>
    <w:rsid w:val="0F3A26DF"/>
    <w:rsid w:val="0F3A6970"/>
    <w:rsid w:val="0F3B0205"/>
    <w:rsid w:val="0F3B1FB3"/>
    <w:rsid w:val="0F3D5D2B"/>
    <w:rsid w:val="0F421593"/>
    <w:rsid w:val="0F4225B1"/>
    <w:rsid w:val="0F435158"/>
    <w:rsid w:val="0F44530B"/>
    <w:rsid w:val="0F470958"/>
    <w:rsid w:val="0F474DFC"/>
    <w:rsid w:val="0F4946D0"/>
    <w:rsid w:val="0F4F5A5E"/>
    <w:rsid w:val="0F4F7698"/>
    <w:rsid w:val="0F563291"/>
    <w:rsid w:val="0F580DB7"/>
    <w:rsid w:val="0F587009"/>
    <w:rsid w:val="0F5A4B2F"/>
    <w:rsid w:val="0F5B2655"/>
    <w:rsid w:val="0F5F5CA1"/>
    <w:rsid w:val="0F64150A"/>
    <w:rsid w:val="0F6E7396"/>
    <w:rsid w:val="0F704352"/>
    <w:rsid w:val="0F71660E"/>
    <w:rsid w:val="0F753717"/>
    <w:rsid w:val="0F7560C5"/>
    <w:rsid w:val="0F7756E1"/>
    <w:rsid w:val="0F780C8A"/>
    <w:rsid w:val="0F7A2ADB"/>
    <w:rsid w:val="0F7B6853"/>
    <w:rsid w:val="0F811AB3"/>
    <w:rsid w:val="0F926D2E"/>
    <w:rsid w:val="0F930041"/>
    <w:rsid w:val="0F9D0EBF"/>
    <w:rsid w:val="0FA1669B"/>
    <w:rsid w:val="0FA64EF2"/>
    <w:rsid w:val="0FA91612"/>
    <w:rsid w:val="0FA933C0"/>
    <w:rsid w:val="0FAC2EB1"/>
    <w:rsid w:val="0FB0474F"/>
    <w:rsid w:val="0FB544CE"/>
    <w:rsid w:val="0FB81855"/>
    <w:rsid w:val="0FBD0C1A"/>
    <w:rsid w:val="0FC409C2"/>
    <w:rsid w:val="0FC85F3C"/>
    <w:rsid w:val="0FCB3337"/>
    <w:rsid w:val="0FCD5301"/>
    <w:rsid w:val="0FCE2C6E"/>
    <w:rsid w:val="0FD50659"/>
    <w:rsid w:val="0FD85A54"/>
    <w:rsid w:val="0FDA17CC"/>
    <w:rsid w:val="0FDD148D"/>
    <w:rsid w:val="0FDF5034"/>
    <w:rsid w:val="0FE30A42"/>
    <w:rsid w:val="0FE465D5"/>
    <w:rsid w:val="0FE86882"/>
    <w:rsid w:val="0FEC40F3"/>
    <w:rsid w:val="0FED7751"/>
    <w:rsid w:val="0FEE34C9"/>
    <w:rsid w:val="0FF06008"/>
    <w:rsid w:val="0FF07241"/>
    <w:rsid w:val="0FF54858"/>
    <w:rsid w:val="0FF96498"/>
    <w:rsid w:val="10021B7B"/>
    <w:rsid w:val="10044A9B"/>
    <w:rsid w:val="10050318"/>
    <w:rsid w:val="100625C1"/>
    <w:rsid w:val="10086339"/>
    <w:rsid w:val="10101691"/>
    <w:rsid w:val="1010343F"/>
    <w:rsid w:val="10165BCE"/>
    <w:rsid w:val="10260EB5"/>
    <w:rsid w:val="10262C63"/>
    <w:rsid w:val="102962AF"/>
    <w:rsid w:val="102D3FF1"/>
    <w:rsid w:val="10334844"/>
    <w:rsid w:val="103435D2"/>
    <w:rsid w:val="10345380"/>
    <w:rsid w:val="1036740B"/>
    <w:rsid w:val="10374E70"/>
    <w:rsid w:val="103A226A"/>
    <w:rsid w:val="103B4960"/>
    <w:rsid w:val="103C5FE2"/>
    <w:rsid w:val="10411634"/>
    <w:rsid w:val="10482BD9"/>
    <w:rsid w:val="104906FF"/>
    <w:rsid w:val="104A6951"/>
    <w:rsid w:val="10507CE0"/>
    <w:rsid w:val="10526C57"/>
    <w:rsid w:val="105477D0"/>
    <w:rsid w:val="105E41AB"/>
    <w:rsid w:val="10611EED"/>
    <w:rsid w:val="106317C1"/>
    <w:rsid w:val="10640EFB"/>
    <w:rsid w:val="106B68C8"/>
    <w:rsid w:val="106F5617"/>
    <w:rsid w:val="106F63B8"/>
    <w:rsid w:val="107240FA"/>
    <w:rsid w:val="10725EA8"/>
    <w:rsid w:val="10742924"/>
    <w:rsid w:val="107439CE"/>
    <w:rsid w:val="107514F4"/>
    <w:rsid w:val="1077526D"/>
    <w:rsid w:val="107E2A9F"/>
    <w:rsid w:val="10802373"/>
    <w:rsid w:val="10841AA7"/>
    <w:rsid w:val="10857989"/>
    <w:rsid w:val="1086623A"/>
    <w:rsid w:val="108718E6"/>
    <w:rsid w:val="10945E1E"/>
    <w:rsid w:val="10961B97"/>
    <w:rsid w:val="109951E3"/>
    <w:rsid w:val="109A0F5B"/>
    <w:rsid w:val="10A06571"/>
    <w:rsid w:val="10A1053B"/>
    <w:rsid w:val="10A73DA4"/>
    <w:rsid w:val="10AD0C8E"/>
    <w:rsid w:val="10AF4A06"/>
    <w:rsid w:val="10B0731E"/>
    <w:rsid w:val="10B14C22"/>
    <w:rsid w:val="10B6001E"/>
    <w:rsid w:val="10B62239"/>
    <w:rsid w:val="10B85FB1"/>
    <w:rsid w:val="10C009C2"/>
    <w:rsid w:val="10C04426"/>
    <w:rsid w:val="10C04E65"/>
    <w:rsid w:val="10C5609D"/>
    <w:rsid w:val="10C761F4"/>
    <w:rsid w:val="10C85AC8"/>
    <w:rsid w:val="10CD1330"/>
    <w:rsid w:val="10CF50A9"/>
    <w:rsid w:val="10D40911"/>
    <w:rsid w:val="10D601E5"/>
    <w:rsid w:val="10D75D0B"/>
    <w:rsid w:val="10E16B8A"/>
    <w:rsid w:val="10E70644"/>
    <w:rsid w:val="10E943BC"/>
    <w:rsid w:val="10EC17B7"/>
    <w:rsid w:val="10EF538B"/>
    <w:rsid w:val="10F20D97"/>
    <w:rsid w:val="10F5757C"/>
    <w:rsid w:val="10FC5772"/>
    <w:rsid w:val="11025D89"/>
    <w:rsid w:val="11050ACA"/>
    <w:rsid w:val="110E5BD1"/>
    <w:rsid w:val="110F1949"/>
    <w:rsid w:val="110F7B9B"/>
    <w:rsid w:val="11162CD7"/>
    <w:rsid w:val="111B02EE"/>
    <w:rsid w:val="111E1B8C"/>
    <w:rsid w:val="111E393A"/>
    <w:rsid w:val="11203B56"/>
    <w:rsid w:val="11292A0B"/>
    <w:rsid w:val="112E0021"/>
    <w:rsid w:val="11311100"/>
    <w:rsid w:val="11312DC0"/>
    <w:rsid w:val="113B1BFC"/>
    <w:rsid w:val="113E3FDC"/>
    <w:rsid w:val="1142587A"/>
    <w:rsid w:val="114333A1"/>
    <w:rsid w:val="114701EB"/>
    <w:rsid w:val="11494E5B"/>
    <w:rsid w:val="114C1E2E"/>
    <w:rsid w:val="114F61E9"/>
    <w:rsid w:val="11537A88"/>
    <w:rsid w:val="11551A52"/>
    <w:rsid w:val="115F642C"/>
    <w:rsid w:val="11627CCB"/>
    <w:rsid w:val="11636354"/>
    <w:rsid w:val="11671785"/>
    <w:rsid w:val="11673533"/>
    <w:rsid w:val="11702FA8"/>
    <w:rsid w:val="1171795B"/>
    <w:rsid w:val="11733C86"/>
    <w:rsid w:val="1176055B"/>
    <w:rsid w:val="11765524"/>
    <w:rsid w:val="117F6ACF"/>
    <w:rsid w:val="11800151"/>
    <w:rsid w:val="118045F5"/>
    <w:rsid w:val="1182036D"/>
    <w:rsid w:val="11840ED4"/>
    <w:rsid w:val="118440E5"/>
    <w:rsid w:val="11851C0B"/>
    <w:rsid w:val="118848CF"/>
    <w:rsid w:val="118916FB"/>
    <w:rsid w:val="11916802"/>
    <w:rsid w:val="11967974"/>
    <w:rsid w:val="119913B2"/>
    <w:rsid w:val="119B75C7"/>
    <w:rsid w:val="119D3033"/>
    <w:rsid w:val="119D6F55"/>
    <w:rsid w:val="11A320A1"/>
    <w:rsid w:val="11A94765"/>
    <w:rsid w:val="11AE2F10"/>
    <w:rsid w:val="11B12A00"/>
    <w:rsid w:val="11B64CDD"/>
    <w:rsid w:val="11B95A28"/>
    <w:rsid w:val="11BB35CF"/>
    <w:rsid w:val="11BC387F"/>
    <w:rsid w:val="11BF336F"/>
    <w:rsid w:val="11C11380"/>
    <w:rsid w:val="11C27CB8"/>
    <w:rsid w:val="11C40985"/>
    <w:rsid w:val="11C444E1"/>
    <w:rsid w:val="11C97B52"/>
    <w:rsid w:val="11D02E86"/>
    <w:rsid w:val="11D81D3B"/>
    <w:rsid w:val="11DB182B"/>
    <w:rsid w:val="11E132E5"/>
    <w:rsid w:val="11E15093"/>
    <w:rsid w:val="11E642FD"/>
    <w:rsid w:val="11EE155E"/>
    <w:rsid w:val="11EE5A02"/>
    <w:rsid w:val="11EE77B0"/>
    <w:rsid w:val="11F56D91"/>
    <w:rsid w:val="11FA5202"/>
    <w:rsid w:val="11FE3E97"/>
    <w:rsid w:val="11FF376C"/>
    <w:rsid w:val="1202325C"/>
    <w:rsid w:val="12040D82"/>
    <w:rsid w:val="12042B30"/>
    <w:rsid w:val="12045226"/>
    <w:rsid w:val="12062D4C"/>
    <w:rsid w:val="12072620"/>
    <w:rsid w:val="12076322"/>
    <w:rsid w:val="12080872"/>
    <w:rsid w:val="12092462"/>
    <w:rsid w:val="1209283C"/>
    <w:rsid w:val="120B3EBE"/>
    <w:rsid w:val="120F2891"/>
    <w:rsid w:val="12107727"/>
    <w:rsid w:val="12152F8F"/>
    <w:rsid w:val="12176D07"/>
    <w:rsid w:val="121A2353"/>
    <w:rsid w:val="121C60CC"/>
    <w:rsid w:val="121D403F"/>
    <w:rsid w:val="121E5620"/>
    <w:rsid w:val="12211934"/>
    <w:rsid w:val="1222745A"/>
    <w:rsid w:val="122431D2"/>
    <w:rsid w:val="12266F4A"/>
    <w:rsid w:val="1230601B"/>
    <w:rsid w:val="123553DF"/>
    <w:rsid w:val="1236431D"/>
    <w:rsid w:val="12394ECF"/>
    <w:rsid w:val="123D15F6"/>
    <w:rsid w:val="123E24E6"/>
    <w:rsid w:val="12415B32"/>
    <w:rsid w:val="12463148"/>
    <w:rsid w:val="12471464"/>
    <w:rsid w:val="12485112"/>
    <w:rsid w:val="124949E7"/>
    <w:rsid w:val="124B075F"/>
    <w:rsid w:val="124F633D"/>
    <w:rsid w:val="12541464"/>
    <w:rsid w:val="125515DD"/>
    <w:rsid w:val="125A4E46"/>
    <w:rsid w:val="125C0BBE"/>
    <w:rsid w:val="125C14C6"/>
    <w:rsid w:val="125C296C"/>
    <w:rsid w:val="125C471A"/>
    <w:rsid w:val="125F420A"/>
    <w:rsid w:val="12614426"/>
    <w:rsid w:val="126161D4"/>
    <w:rsid w:val="12655CC4"/>
    <w:rsid w:val="126B2BAF"/>
    <w:rsid w:val="126D4B79"/>
    <w:rsid w:val="12751C80"/>
    <w:rsid w:val="12753A2E"/>
    <w:rsid w:val="127952CC"/>
    <w:rsid w:val="127B54E8"/>
    <w:rsid w:val="127E0B34"/>
    <w:rsid w:val="127F665A"/>
    <w:rsid w:val="128B4FFF"/>
    <w:rsid w:val="12906AB9"/>
    <w:rsid w:val="129F7C67"/>
    <w:rsid w:val="12A61E39"/>
    <w:rsid w:val="12A762DD"/>
    <w:rsid w:val="12AA1929"/>
    <w:rsid w:val="12AA36D7"/>
    <w:rsid w:val="12AB56A1"/>
    <w:rsid w:val="12B26A30"/>
    <w:rsid w:val="12B427A8"/>
    <w:rsid w:val="12B46304"/>
    <w:rsid w:val="12B47007"/>
    <w:rsid w:val="12B5207C"/>
    <w:rsid w:val="12B66520"/>
    <w:rsid w:val="12B83667"/>
    <w:rsid w:val="12B91B6C"/>
    <w:rsid w:val="12BB58E4"/>
    <w:rsid w:val="12BC78AF"/>
    <w:rsid w:val="12BE7183"/>
    <w:rsid w:val="12C0114D"/>
    <w:rsid w:val="12C046D2"/>
    <w:rsid w:val="12C34799"/>
    <w:rsid w:val="12C66037"/>
    <w:rsid w:val="12C7072D"/>
    <w:rsid w:val="12C86253"/>
    <w:rsid w:val="12CA5B28"/>
    <w:rsid w:val="12CD1ABC"/>
    <w:rsid w:val="12D04C70"/>
    <w:rsid w:val="12D20E80"/>
    <w:rsid w:val="12D270D2"/>
    <w:rsid w:val="12D40754"/>
    <w:rsid w:val="12D469A6"/>
    <w:rsid w:val="12E12E71"/>
    <w:rsid w:val="12E36BE9"/>
    <w:rsid w:val="12E84200"/>
    <w:rsid w:val="12EB3CF0"/>
    <w:rsid w:val="12EE5628"/>
    <w:rsid w:val="12F2507E"/>
    <w:rsid w:val="12F26E2C"/>
    <w:rsid w:val="12F76EF5"/>
    <w:rsid w:val="13031039"/>
    <w:rsid w:val="13086650"/>
    <w:rsid w:val="130C6140"/>
    <w:rsid w:val="130D010A"/>
    <w:rsid w:val="131B2827"/>
    <w:rsid w:val="13203999"/>
    <w:rsid w:val="13217712"/>
    <w:rsid w:val="13250FB0"/>
    <w:rsid w:val="13255454"/>
    <w:rsid w:val="13286CF2"/>
    <w:rsid w:val="132A0CBC"/>
    <w:rsid w:val="132D60B6"/>
    <w:rsid w:val="132D7EEA"/>
    <w:rsid w:val="132F1E2E"/>
    <w:rsid w:val="1331204B"/>
    <w:rsid w:val="13367AFF"/>
    <w:rsid w:val="13370CE3"/>
    <w:rsid w:val="13380DD8"/>
    <w:rsid w:val="13397096"/>
    <w:rsid w:val="133D09EF"/>
    <w:rsid w:val="133D454B"/>
    <w:rsid w:val="1340403C"/>
    <w:rsid w:val="13405DEA"/>
    <w:rsid w:val="134358DA"/>
    <w:rsid w:val="13441D7E"/>
    <w:rsid w:val="1344521A"/>
    <w:rsid w:val="134753CA"/>
    <w:rsid w:val="134A4EBA"/>
    <w:rsid w:val="134E49AB"/>
    <w:rsid w:val="135054F8"/>
    <w:rsid w:val="135519FF"/>
    <w:rsid w:val="13581385"/>
    <w:rsid w:val="135950FD"/>
    <w:rsid w:val="13596EAB"/>
    <w:rsid w:val="135D699C"/>
    <w:rsid w:val="13645ACB"/>
    <w:rsid w:val="13653AA2"/>
    <w:rsid w:val="136F089E"/>
    <w:rsid w:val="1370283F"/>
    <w:rsid w:val="137141F5"/>
    <w:rsid w:val="13727D5F"/>
    <w:rsid w:val="13767A5D"/>
    <w:rsid w:val="13785584"/>
    <w:rsid w:val="137B32C6"/>
    <w:rsid w:val="137D5290"/>
    <w:rsid w:val="137F0ED3"/>
    <w:rsid w:val="13871C6A"/>
    <w:rsid w:val="13873A19"/>
    <w:rsid w:val="138C102F"/>
    <w:rsid w:val="13901C58"/>
    <w:rsid w:val="13905E66"/>
    <w:rsid w:val="139E0D62"/>
    <w:rsid w:val="139F04BD"/>
    <w:rsid w:val="13A75E69"/>
    <w:rsid w:val="13A9398F"/>
    <w:rsid w:val="13AA5959"/>
    <w:rsid w:val="13AC7923"/>
    <w:rsid w:val="13B5049A"/>
    <w:rsid w:val="13B50586"/>
    <w:rsid w:val="13B642FE"/>
    <w:rsid w:val="13BC17CE"/>
    <w:rsid w:val="13BF1404"/>
    <w:rsid w:val="13BF6C59"/>
    <w:rsid w:val="13C24A51"/>
    <w:rsid w:val="13C94031"/>
    <w:rsid w:val="13D03611"/>
    <w:rsid w:val="13DF5603"/>
    <w:rsid w:val="13E0137B"/>
    <w:rsid w:val="13E56991"/>
    <w:rsid w:val="13E957B5"/>
    <w:rsid w:val="13EB21F9"/>
    <w:rsid w:val="13EC296F"/>
    <w:rsid w:val="13EE3A98"/>
    <w:rsid w:val="13F35552"/>
    <w:rsid w:val="13F54664"/>
    <w:rsid w:val="13FA68E0"/>
    <w:rsid w:val="14057953"/>
    <w:rsid w:val="14067033"/>
    <w:rsid w:val="14076907"/>
    <w:rsid w:val="140848AB"/>
    <w:rsid w:val="14101C60"/>
    <w:rsid w:val="14103A0E"/>
    <w:rsid w:val="141554C8"/>
    <w:rsid w:val="141637CB"/>
    <w:rsid w:val="14164D9C"/>
    <w:rsid w:val="14172444"/>
    <w:rsid w:val="1424570B"/>
    <w:rsid w:val="14270D58"/>
    <w:rsid w:val="14276A18"/>
    <w:rsid w:val="14292D22"/>
    <w:rsid w:val="142C636E"/>
    <w:rsid w:val="142E20E6"/>
    <w:rsid w:val="142F3046"/>
    <w:rsid w:val="14327E28"/>
    <w:rsid w:val="14380335"/>
    <w:rsid w:val="143A6CDD"/>
    <w:rsid w:val="14412BB2"/>
    <w:rsid w:val="14431033"/>
    <w:rsid w:val="14432035"/>
    <w:rsid w:val="14447B5C"/>
    <w:rsid w:val="144813FA"/>
    <w:rsid w:val="14495172"/>
    <w:rsid w:val="144D4C62"/>
    <w:rsid w:val="144E4536"/>
    <w:rsid w:val="14507177"/>
    <w:rsid w:val="14514F63"/>
    <w:rsid w:val="14515DD5"/>
    <w:rsid w:val="14551D69"/>
    <w:rsid w:val="14553B17"/>
    <w:rsid w:val="14587163"/>
    <w:rsid w:val="145E0C1D"/>
    <w:rsid w:val="145F4995"/>
    <w:rsid w:val="1461070D"/>
    <w:rsid w:val="14634486"/>
    <w:rsid w:val="14643D5A"/>
    <w:rsid w:val="14665D24"/>
    <w:rsid w:val="14667AD2"/>
    <w:rsid w:val="146F0E3A"/>
    <w:rsid w:val="146F2D0E"/>
    <w:rsid w:val="147026FF"/>
    <w:rsid w:val="14733F9D"/>
    <w:rsid w:val="14757D15"/>
    <w:rsid w:val="147A17CF"/>
    <w:rsid w:val="147A532B"/>
    <w:rsid w:val="147C5547"/>
    <w:rsid w:val="14812B5E"/>
    <w:rsid w:val="148443FC"/>
    <w:rsid w:val="14863CD0"/>
    <w:rsid w:val="148B578A"/>
    <w:rsid w:val="148D505F"/>
    <w:rsid w:val="14922675"/>
    <w:rsid w:val="14942891"/>
    <w:rsid w:val="14952165"/>
    <w:rsid w:val="1499542D"/>
    <w:rsid w:val="149C7998"/>
    <w:rsid w:val="14A13B2B"/>
    <w:rsid w:val="14A50B30"/>
    <w:rsid w:val="14A633A9"/>
    <w:rsid w:val="14A81E98"/>
    <w:rsid w:val="14AD608B"/>
    <w:rsid w:val="14B22D17"/>
    <w:rsid w:val="14B940A6"/>
    <w:rsid w:val="14BA1BCC"/>
    <w:rsid w:val="14BC09C4"/>
    <w:rsid w:val="14BC1DE8"/>
    <w:rsid w:val="14BC5944"/>
    <w:rsid w:val="14C12F5A"/>
    <w:rsid w:val="14C33176"/>
    <w:rsid w:val="14CB5B87"/>
    <w:rsid w:val="14CE0CF1"/>
    <w:rsid w:val="14D07641"/>
    <w:rsid w:val="14D26DE4"/>
    <w:rsid w:val="14D26F15"/>
    <w:rsid w:val="14D31E97"/>
    <w:rsid w:val="14D47131"/>
    <w:rsid w:val="14DB04C0"/>
    <w:rsid w:val="14DC1B42"/>
    <w:rsid w:val="14E84975"/>
    <w:rsid w:val="14EA24B1"/>
    <w:rsid w:val="14ED1FA1"/>
    <w:rsid w:val="14ED3D4F"/>
    <w:rsid w:val="14F0383F"/>
    <w:rsid w:val="14F275B8"/>
    <w:rsid w:val="14F41582"/>
    <w:rsid w:val="14FB46BE"/>
    <w:rsid w:val="14FB56DC"/>
    <w:rsid w:val="14FB7D9D"/>
    <w:rsid w:val="14FC3F92"/>
    <w:rsid w:val="14FD1E12"/>
    <w:rsid w:val="15003A82"/>
    <w:rsid w:val="150177FB"/>
    <w:rsid w:val="15086DDB"/>
    <w:rsid w:val="150A4901"/>
    <w:rsid w:val="150D1907"/>
    <w:rsid w:val="150D619F"/>
    <w:rsid w:val="151237B6"/>
    <w:rsid w:val="15194B44"/>
    <w:rsid w:val="151B08BC"/>
    <w:rsid w:val="151E65FF"/>
    <w:rsid w:val="151F68ED"/>
    <w:rsid w:val="15282FD9"/>
    <w:rsid w:val="152D239E"/>
    <w:rsid w:val="15311E8E"/>
    <w:rsid w:val="15316332"/>
    <w:rsid w:val="153B2D0D"/>
    <w:rsid w:val="153D1B4F"/>
    <w:rsid w:val="15406575"/>
    <w:rsid w:val="15415E49"/>
    <w:rsid w:val="15442C48"/>
    <w:rsid w:val="1546345F"/>
    <w:rsid w:val="154871D8"/>
    <w:rsid w:val="154F0566"/>
    <w:rsid w:val="15510901"/>
    <w:rsid w:val="155142DE"/>
    <w:rsid w:val="15520056"/>
    <w:rsid w:val="15545B7C"/>
    <w:rsid w:val="155618F4"/>
    <w:rsid w:val="155E113E"/>
    <w:rsid w:val="155E1D4C"/>
    <w:rsid w:val="156009C5"/>
    <w:rsid w:val="15602773"/>
    <w:rsid w:val="15666A49"/>
    <w:rsid w:val="156B1A85"/>
    <w:rsid w:val="156E30E2"/>
    <w:rsid w:val="15724254"/>
    <w:rsid w:val="157E7309"/>
    <w:rsid w:val="1582093B"/>
    <w:rsid w:val="15826B8D"/>
    <w:rsid w:val="15883A78"/>
    <w:rsid w:val="158C5316"/>
    <w:rsid w:val="158F3058"/>
    <w:rsid w:val="158F4E06"/>
    <w:rsid w:val="15916DD0"/>
    <w:rsid w:val="159468C1"/>
    <w:rsid w:val="15966195"/>
    <w:rsid w:val="1598015F"/>
    <w:rsid w:val="159A11DA"/>
    <w:rsid w:val="15A078BC"/>
    <w:rsid w:val="15A308B2"/>
    <w:rsid w:val="15A56745"/>
    <w:rsid w:val="15A703A2"/>
    <w:rsid w:val="15AA1C40"/>
    <w:rsid w:val="15AA7E92"/>
    <w:rsid w:val="15AE733A"/>
    <w:rsid w:val="15B036FB"/>
    <w:rsid w:val="15B66837"/>
    <w:rsid w:val="15BD5E17"/>
    <w:rsid w:val="15BF5201"/>
    <w:rsid w:val="15C240E3"/>
    <w:rsid w:val="15C42D02"/>
    <w:rsid w:val="15C70A44"/>
    <w:rsid w:val="15C9656A"/>
    <w:rsid w:val="15DD0268"/>
    <w:rsid w:val="15DD2016"/>
    <w:rsid w:val="15DE18EA"/>
    <w:rsid w:val="15E11B06"/>
    <w:rsid w:val="15E2587E"/>
    <w:rsid w:val="15E50ECA"/>
    <w:rsid w:val="15EE4223"/>
    <w:rsid w:val="15EF58A5"/>
    <w:rsid w:val="15F01D49"/>
    <w:rsid w:val="15F335E7"/>
    <w:rsid w:val="15F35395"/>
    <w:rsid w:val="15F64E85"/>
    <w:rsid w:val="15FA6724"/>
    <w:rsid w:val="15FB195D"/>
    <w:rsid w:val="160467E1"/>
    <w:rsid w:val="16070E41"/>
    <w:rsid w:val="16071FB4"/>
    <w:rsid w:val="16092E0B"/>
    <w:rsid w:val="160C46A9"/>
    <w:rsid w:val="16111CBF"/>
    <w:rsid w:val="16157A01"/>
    <w:rsid w:val="16176C77"/>
    <w:rsid w:val="16200609"/>
    <w:rsid w:val="16201F02"/>
    <w:rsid w:val="16273291"/>
    <w:rsid w:val="162B2D81"/>
    <w:rsid w:val="162C08A7"/>
    <w:rsid w:val="162E2871"/>
    <w:rsid w:val="162F0A5C"/>
    <w:rsid w:val="16315D6C"/>
    <w:rsid w:val="16370002"/>
    <w:rsid w:val="1638724C"/>
    <w:rsid w:val="163A2FC4"/>
    <w:rsid w:val="163F05DA"/>
    <w:rsid w:val="163F6E10"/>
    <w:rsid w:val="164200CB"/>
    <w:rsid w:val="164B6F7F"/>
    <w:rsid w:val="165017C7"/>
    <w:rsid w:val="16504596"/>
    <w:rsid w:val="16557DFE"/>
    <w:rsid w:val="165A5414"/>
    <w:rsid w:val="165B2F3A"/>
    <w:rsid w:val="165E3157"/>
    <w:rsid w:val="1663076D"/>
    <w:rsid w:val="166718DF"/>
    <w:rsid w:val="1667601C"/>
    <w:rsid w:val="1670737F"/>
    <w:rsid w:val="16730284"/>
    <w:rsid w:val="16753FFC"/>
    <w:rsid w:val="16775FC6"/>
    <w:rsid w:val="16781D3E"/>
    <w:rsid w:val="16796DE7"/>
    <w:rsid w:val="167A7865"/>
    <w:rsid w:val="168406E3"/>
    <w:rsid w:val="168626AD"/>
    <w:rsid w:val="16875606"/>
    <w:rsid w:val="168B1A72"/>
    <w:rsid w:val="168D57EA"/>
    <w:rsid w:val="168D7598"/>
    <w:rsid w:val="168E50BE"/>
    <w:rsid w:val="16921052"/>
    <w:rsid w:val="169326D4"/>
    <w:rsid w:val="16970AF8"/>
    <w:rsid w:val="1699418F"/>
    <w:rsid w:val="169C3C7F"/>
    <w:rsid w:val="169C4F0C"/>
    <w:rsid w:val="169D3553"/>
    <w:rsid w:val="169F551D"/>
    <w:rsid w:val="169F72CB"/>
    <w:rsid w:val="16A11295"/>
    <w:rsid w:val="16A62408"/>
    <w:rsid w:val="16AD7C3A"/>
    <w:rsid w:val="16B014D8"/>
    <w:rsid w:val="16B14893"/>
    <w:rsid w:val="16BE59A3"/>
    <w:rsid w:val="16BF171B"/>
    <w:rsid w:val="16C17241"/>
    <w:rsid w:val="16C46D32"/>
    <w:rsid w:val="16C62AAA"/>
    <w:rsid w:val="16C64858"/>
    <w:rsid w:val="16C86822"/>
    <w:rsid w:val="16CA07EC"/>
    <w:rsid w:val="16CC6237"/>
    <w:rsid w:val="16D231FD"/>
    <w:rsid w:val="16D72F09"/>
    <w:rsid w:val="16D927DD"/>
    <w:rsid w:val="16DC22CD"/>
    <w:rsid w:val="16E00741"/>
    <w:rsid w:val="16E41182"/>
    <w:rsid w:val="16E57078"/>
    <w:rsid w:val="16E573D4"/>
    <w:rsid w:val="16E64EFA"/>
    <w:rsid w:val="16E86EC4"/>
    <w:rsid w:val="16EB0762"/>
    <w:rsid w:val="16EB2EC2"/>
    <w:rsid w:val="16F615E1"/>
    <w:rsid w:val="16F93153"/>
    <w:rsid w:val="16F94C2D"/>
    <w:rsid w:val="16FA41E7"/>
    <w:rsid w:val="16FC296F"/>
    <w:rsid w:val="16FC471D"/>
    <w:rsid w:val="16FE31A5"/>
    <w:rsid w:val="1700420E"/>
    <w:rsid w:val="17005FBC"/>
    <w:rsid w:val="17035AAC"/>
    <w:rsid w:val="170A538D"/>
    <w:rsid w:val="170C23A9"/>
    <w:rsid w:val="170E21BF"/>
    <w:rsid w:val="170F61FF"/>
    <w:rsid w:val="17101F77"/>
    <w:rsid w:val="1711488F"/>
    <w:rsid w:val="17141A67"/>
    <w:rsid w:val="1715638D"/>
    <w:rsid w:val="171C4DC0"/>
    <w:rsid w:val="171E28E6"/>
    <w:rsid w:val="17231CAA"/>
    <w:rsid w:val="1726179A"/>
    <w:rsid w:val="17263548"/>
    <w:rsid w:val="172762F6"/>
    <w:rsid w:val="17287BAB"/>
    <w:rsid w:val="172A1253"/>
    <w:rsid w:val="172F68A1"/>
    <w:rsid w:val="17312619"/>
    <w:rsid w:val="1732013F"/>
    <w:rsid w:val="17326391"/>
    <w:rsid w:val="173E100D"/>
    <w:rsid w:val="1740460A"/>
    <w:rsid w:val="17454196"/>
    <w:rsid w:val="174810B6"/>
    <w:rsid w:val="17481711"/>
    <w:rsid w:val="17487963"/>
    <w:rsid w:val="174B2FAF"/>
    <w:rsid w:val="174B3D3F"/>
    <w:rsid w:val="174F484D"/>
    <w:rsid w:val="17500185"/>
    <w:rsid w:val="17516817"/>
    <w:rsid w:val="17544559"/>
    <w:rsid w:val="17546308"/>
    <w:rsid w:val="17591B70"/>
    <w:rsid w:val="175956CC"/>
    <w:rsid w:val="175C51BC"/>
    <w:rsid w:val="175C5D77"/>
    <w:rsid w:val="175D340E"/>
    <w:rsid w:val="175E2CE2"/>
    <w:rsid w:val="17602EFE"/>
    <w:rsid w:val="17604CAC"/>
    <w:rsid w:val="17671DD7"/>
    <w:rsid w:val="1767603B"/>
    <w:rsid w:val="176A5B2B"/>
    <w:rsid w:val="176B5566"/>
    <w:rsid w:val="176C743C"/>
    <w:rsid w:val="176D1177"/>
    <w:rsid w:val="176F6C9D"/>
    <w:rsid w:val="1770050C"/>
    <w:rsid w:val="17740758"/>
    <w:rsid w:val="17771FF6"/>
    <w:rsid w:val="17777E38"/>
    <w:rsid w:val="17797B1C"/>
    <w:rsid w:val="177B1AE6"/>
    <w:rsid w:val="177E3384"/>
    <w:rsid w:val="178070FD"/>
    <w:rsid w:val="1783099B"/>
    <w:rsid w:val="178766DD"/>
    <w:rsid w:val="178F40FD"/>
    <w:rsid w:val="1791130A"/>
    <w:rsid w:val="17942BA8"/>
    <w:rsid w:val="179606CE"/>
    <w:rsid w:val="17966920"/>
    <w:rsid w:val="179B3F36"/>
    <w:rsid w:val="179E57D5"/>
    <w:rsid w:val="17A133F8"/>
    <w:rsid w:val="17A76437"/>
    <w:rsid w:val="17A96653"/>
    <w:rsid w:val="17AE3C6A"/>
    <w:rsid w:val="17B15508"/>
    <w:rsid w:val="17B31280"/>
    <w:rsid w:val="17B84AE8"/>
    <w:rsid w:val="17B93AFC"/>
    <w:rsid w:val="17BA0860"/>
    <w:rsid w:val="17BE19D3"/>
    <w:rsid w:val="17C214C3"/>
    <w:rsid w:val="17C27715"/>
    <w:rsid w:val="17C46792"/>
    <w:rsid w:val="17C57205"/>
    <w:rsid w:val="17CA0378"/>
    <w:rsid w:val="17CE7E68"/>
    <w:rsid w:val="17CF38A5"/>
    <w:rsid w:val="17D343AA"/>
    <w:rsid w:val="17DA7214"/>
    <w:rsid w:val="17E01949"/>
    <w:rsid w:val="17E31439"/>
    <w:rsid w:val="17E43A9D"/>
    <w:rsid w:val="17E551B2"/>
    <w:rsid w:val="17E86A50"/>
    <w:rsid w:val="17E8797F"/>
    <w:rsid w:val="17EE4066"/>
    <w:rsid w:val="17EF7DDE"/>
    <w:rsid w:val="17F11DA8"/>
    <w:rsid w:val="17F453F5"/>
    <w:rsid w:val="17FB6783"/>
    <w:rsid w:val="17FD24FB"/>
    <w:rsid w:val="17FE1807"/>
    <w:rsid w:val="1800023D"/>
    <w:rsid w:val="18055854"/>
    <w:rsid w:val="1807337A"/>
    <w:rsid w:val="18090EA0"/>
    <w:rsid w:val="180C273E"/>
    <w:rsid w:val="181124EE"/>
    <w:rsid w:val="18131D1F"/>
    <w:rsid w:val="18137F71"/>
    <w:rsid w:val="181635BD"/>
    <w:rsid w:val="181810E3"/>
    <w:rsid w:val="181A12FF"/>
    <w:rsid w:val="181B0BD3"/>
    <w:rsid w:val="182932F0"/>
    <w:rsid w:val="182A43C3"/>
    <w:rsid w:val="182B52BA"/>
    <w:rsid w:val="182E6B59"/>
    <w:rsid w:val="18316649"/>
    <w:rsid w:val="18351C95"/>
    <w:rsid w:val="18357EE7"/>
    <w:rsid w:val="18363EE3"/>
    <w:rsid w:val="183C74C7"/>
    <w:rsid w:val="183D3240"/>
    <w:rsid w:val="183D6D9C"/>
    <w:rsid w:val="183F48C2"/>
    <w:rsid w:val="184620F4"/>
    <w:rsid w:val="18463EA2"/>
    <w:rsid w:val="184752EA"/>
    <w:rsid w:val="18477C1A"/>
    <w:rsid w:val="18495740"/>
    <w:rsid w:val="185429A1"/>
    <w:rsid w:val="185760AF"/>
    <w:rsid w:val="18585984"/>
    <w:rsid w:val="185F0F31"/>
    <w:rsid w:val="185F4F64"/>
    <w:rsid w:val="185F7C6A"/>
    <w:rsid w:val="186500A0"/>
    <w:rsid w:val="18697B91"/>
    <w:rsid w:val="187111EB"/>
    <w:rsid w:val="18730A0F"/>
    <w:rsid w:val="18747DF1"/>
    <w:rsid w:val="18754787"/>
    <w:rsid w:val="187C3D68"/>
    <w:rsid w:val="187F5606"/>
    <w:rsid w:val="18814EDA"/>
    <w:rsid w:val="18820C52"/>
    <w:rsid w:val="188350F6"/>
    <w:rsid w:val="188449CB"/>
    <w:rsid w:val="18904498"/>
    <w:rsid w:val="1890511D"/>
    <w:rsid w:val="18930B18"/>
    <w:rsid w:val="18982224"/>
    <w:rsid w:val="189A41EE"/>
    <w:rsid w:val="189A5F9C"/>
    <w:rsid w:val="18A3471E"/>
    <w:rsid w:val="18A40BC9"/>
    <w:rsid w:val="18A94431"/>
    <w:rsid w:val="18AB01A9"/>
    <w:rsid w:val="18AB63FB"/>
    <w:rsid w:val="18AD6BE6"/>
    <w:rsid w:val="18B3705E"/>
    <w:rsid w:val="18BA7627"/>
    <w:rsid w:val="18BD7EDC"/>
    <w:rsid w:val="18C03F47"/>
    <w:rsid w:val="18C63235"/>
    <w:rsid w:val="18C64FE3"/>
    <w:rsid w:val="18C748B7"/>
    <w:rsid w:val="18CE5A16"/>
    <w:rsid w:val="18D3325C"/>
    <w:rsid w:val="18D55226"/>
    <w:rsid w:val="18D646B1"/>
    <w:rsid w:val="18DA0A8E"/>
    <w:rsid w:val="18DB1C64"/>
    <w:rsid w:val="18E15F02"/>
    <w:rsid w:val="18E35B95"/>
    <w:rsid w:val="18E84F59"/>
    <w:rsid w:val="18EB2DBB"/>
    <w:rsid w:val="18EC3461"/>
    <w:rsid w:val="18ED6A14"/>
    <w:rsid w:val="18F02060"/>
    <w:rsid w:val="18F51424"/>
    <w:rsid w:val="18F57676"/>
    <w:rsid w:val="18F94A09"/>
    <w:rsid w:val="18FA2EDF"/>
    <w:rsid w:val="18FE52A6"/>
    <w:rsid w:val="18FF04F5"/>
    <w:rsid w:val="18FF4D4D"/>
    <w:rsid w:val="1902223E"/>
    <w:rsid w:val="19031D93"/>
    <w:rsid w:val="19037FE5"/>
    <w:rsid w:val="19053D5D"/>
    <w:rsid w:val="190A1374"/>
    <w:rsid w:val="190A6B40"/>
    <w:rsid w:val="190D2C12"/>
    <w:rsid w:val="191A0E8B"/>
    <w:rsid w:val="19216C1C"/>
    <w:rsid w:val="19232435"/>
    <w:rsid w:val="192473B1"/>
    <w:rsid w:val="192B4DF7"/>
    <w:rsid w:val="192D5062"/>
    <w:rsid w:val="192E125B"/>
    <w:rsid w:val="19324427"/>
    <w:rsid w:val="193463F1"/>
    <w:rsid w:val="19377C8F"/>
    <w:rsid w:val="193B777F"/>
    <w:rsid w:val="194505FE"/>
    <w:rsid w:val="19452F6C"/>
    <w:rsid w:val="19466124"/>
    <w:rsid w:val="19490A5F"/>
    <w:rsid w:val="194B373A"/>
    <w:rsid w:val="194D1260"/>
    <w:rsid w:val="194D300E"/>
    <w:rsid w:val="19510D51"/>
    <w:rsid w:val="19526248"/>
    <w:rsid w:val="19540841"/>
    <w:rsid w:val="195425EF"/>
    <w:rsid w:val="19566367"/>
    <w:rsid w:val="195720DF"/>
    <w:rsid w:val="195A6DE8"/>
    <w:rsid w:val="195B1BCF"/>
    <w:rsid w:val="19600F94"/>
    <w:rsid w:val="196140EA"/>
    <w:rsid w:val="19616ABA"/>
    <w:rsid w:val="196F567B"/>
    <w:rsid w:val="197467ED"/>
    <w:rsid w:val="1977008B"/>
    <w:rsid w:val="197B7B7C"/>
    <w:rsid w:val="197E58BE"/>
    <w:rsid w:val="197E766C"/>
    <w:rsid w:val="19831126"/>
    <w:rsid w:val="19867CE7"/>
    <w:rsid w:val="198A5EC7"/>
    <w:rsid w:val="198C1D89"/>
    <w:rsid w:val="198E4B82"/>
    <w:rsid w:val="19924EC5"/>
    <w:rsid w:val="199565B0"/>
    <w:rsid w:val="19962C07"/>
    <w:rsid w:val="199C60FD"/>
    <w:rsid w:val="199E1ABC"/>
    <w:rsid w:val="19A05834"/>
    <w:rsid w:val="19A30E80"/>
    <w:rsid w:val="19A35324"/>
    <w:rsid w:val="19A52E4A"/>
    <w:rsid w:val="19A60971"/>
    <w:rsid w:val="19A639E9"/>
    <w:rsid w:val="19A8293B"/>
    <w:rsid w:val="19A90B8D"/>
    <w:rsid w:val="19AC41D9"/>
    <w:rsid w:val="19AE61A3"/>
    <w:rsid w:val="19AF3CC9"/>
    <w:rsid w:val="19AF7825"/>
    <w:rsid w:val="19B27315"/>
    <w:rsid w:val="19B3645C"/>
    <w:rsid w:val="19B616C6"/>
    <w:rsid w:val="19B906A4"/>
    <w:rsid w:val="19B94B48"/>
    <w:rsid w:val="19B968F6"/>
    <w:rsid w:val="19BA6371"/>
    <w:rsid w:val="19BB0B45"/>
    <w:rsid w:val="19BB266E"/>
    <w:rsid w:val="19BC1F42"/>
    <w:rsid w:val="19BE215E"/>
    <w:rsid w:val="19C534ED"/>
    <w:rsid w:val="19C5529B"/>
    <w:rsid w:val="19C57049"/>
    <w:rsid w:val="19CA0B03"/>
    <w:rsid w:val="19CA28B1"/>
    <w:rsid w:val="19CE04CD"/>
    <w:rsid w:val="19CE05F3"/>
    <w:rsid w:val="19D11E91"/>
    <w:rsid w:val="19D41982"/>
    <w:rsid w:val="19DB061A"/>
    <w:rsid w:val="19DB4ABE"/>
    <w:rsid w:val="19DC0589"/>
    <w:rsid w:val="19E2505F"/>
    <w:rsid w:val="19E461E8"/>
    <w:rsid w:val="19E80F89"/>
    <w:rsid w:val="19EB57F7"/>
    <w:rsid w:val="19EE2A43"/>
    <w:rsid w:val="19EF40C6"/>
    <w:rsid w:val="19F52E15"/>
    <w:rsid w:val="19F65454"/>
    <w:rsid w:val="19F90D7B"/>
    <w:rsid w:val="19F93196"/>
    <w:rsid w:val="19F94F44"/>
    <w:rsid w:val="19FA13E8"/>
    <w:rsid w:val="1A037B71"/>
    <w:rsid w:val="1A07140F"/>
    <w:rsid w:val="1A073B05"/>
    <w:rsid w:val="1A0C111B"/>
    <w:rsid w:val="1A0E09F0"/>
    <w:rsid w:val="1A141D7E"/>
    <w:rsid w:val="1A143B2C"/>
    <w:rsid w:val="1A18186E"/>
    <w:rsid w:val="1A187B61"/>
    <w:rsid w:val="1A1B7E27"/>
    <w:rsid w:val="1A1F2BFD"/>
    <w:rsid w:val="1A2024D1"/>
    <w:rsid w:val="1A226249"/>
    <w:rsid w:val="1A246465"/>
    <w:rsid w:val="1A277D03"/>
    <w:rsid w:val="1A300E92"/>
    <w:rsid w:val="1A312930"/>
    <w:rsid w:val="1A345F7C"/>
    <w:rsid w:val="1A385A6D"/>
    <w:rsid w:val="1A3D5E9A"/>
    <w:rsid w:val="1A3F7B5B"/>
    <w:rsid w:val="1A4408B5"/>
    <w:rsid w:val="1A495ECC"/>
    <w:rsid w:val="1A4964D8"/>
    <w:rsid w:val="1A4F2DB6"/>
    <w:rsid w:val="1A516B2E"/>
    <w:rsid w:val="1A532F89"/>
    <w:rsid w:val="1A554870"/>
    <w:rsid w:val="1A564145"/>
    <w:rsid w:val="1A587EBD"/>
    <w:rsid w:val="1A5D3725"/>
    <w:rsid w:val="1A604FC3"/>
    <w:rsid w:val="1A642D06"/>
    <w:rsid w:val="1A646862"/>
    <w:rsid w:val="1A6E0031"/>
    <w:rsid w:val="1A76380C"/>
    <w:rsid w:val="1A7867B1"/>
    <w:rsid w:val="1A7D7923"/>
    <w:rsid w:val="1A7F18ED"/>
    <w:rsid w:val="1A7F369B"/>
    <w:rsid w:val="1A846F04"/>
    <w:rsid w:val="1A872550"/>
    <w:rsid w:val="1A8B2040"/>
    <w:rsid w:val="1A8B64E4"/>
    <w:rsid w:val="1A8C5DB8"/>
    <w:rsid w:val="1A977F74"/>
    <w:rsid w:val="1A9829AF"/>
    <w:rsid w:val="1A9B5FFB"/>
    <w:rsid w:val="1AA03612"/>
    <w:rsid w:val="1AA11864"/>
    <w:rsid w:val="1AA749A0"/>
    <w:rsid w:val="1AA90718"/>
    <w:rsid w:val="1AAC1FB7"/>
    <w:rsid w:val="1AB05F4B"/>
    <w:rsid w:val="1AB07CF9"/>
    <w:rsid w:val="1AB1581F"/>
    <w:rsid w:val="1AB377E9"/>
    <w:rsid w:val="1AB4206D"/>
    <w:rsid w:val="1AB570BD"/>
    <w:rsid w:val="1AB86BAD"/>
    <w:rsid w:val="1ABD5F72"/>
    <w:rsid w:val="1AC45552"/>
    <w:rsid w:val="1AC75042"/>
    <w:rsid w:val="1AC90DBB"/>
    <w:rsid w:val="1AC94917"/>
    <w:rsid w:val="1ACC4407"/>
    <w:rsid w:val="1ACF6B75"/>
    <w:rsid w:val="1AD25EC1"/>
    <w:rsid w:val="1AD27C6F"/>
    <w:rsid w:val="1AE654C9"/>
    <w:rsid w:val="1AE71241"/>
    <w:rsid w:val="1AE87493"/>
    <w:rsid w:val="1AE94FB9"/>
    <w:rsid w:val="1AEA2AB2"/>
    <w:rsid w:val="1AEE25CF"/>
    <w:rsid w:val="1AF10B7F"/>
    <w:rsid w:val="1AF6583C"/>
    <w:rsid w:val="1AFC2F3E"/>
    <w:rsid w:val="1AFF47DC"/>
    <w:rsid w:val="1B0167A6"/>
    <w:rsid w:val="1B027E29"/>
    <w:rsid w:val="1B065B6B"/>
    <w:rsid w:val="1B067919"/>
    <w:rsid w:val="1B0C1B40"/>
    <w:rsid w:val="1B0D58B6"/>
    <w:rsid w:val="1B0D6EF9"/>
    <w:rsid w:val="1B154000"/>
    <w:rsid w:val="1B174574"/>
    <w:rsid w:val="1B17546B"/>
    <w:rsid w:val="1B1C1F38"/>
    <w:rsid w:val="1B1E4ECB"/>
    <w:rsid w:val="1B245FF1"/>
    <w:rsid w:val="1B26620D"/>
    <w:rsid w:val="1B27517D"/>
    <w:rsid w:val="1B293607"/>
    <w:rsid w:val="1B304996"/>
    <w:rsid w:val="1B3501FE"/>
    <w:rsid w:val="1B3721C8"/>
    <w:rsid w:val="1B3A5814"/>
    <w:rsid w:val="1B3E5305"/>
    <w:rsid w:val="1B40570F"/>
    <w:rsid w:val="1B487F31"/>
    <w:rsid w:val="1B4D379A"/>
    <w:rsid w:val="1B4D72F6"/>
    <w:rsid w:val="1B4E306E"/>
    <w:rsid w:val="1B527002"/>
    <w:rsid w:val="1B5508A0"/>
    <w:rsid w:val="1B55264E"/>
    <w:rsid w:val="1B5543FC"/>
    <w:rsid w:val="1B5E1503"/>
    <w:rsid w:val="1B5E7755"/>
    <w:rsid w:val="1B6034CD"/>
    <w:rsid w:val="1B612DA1"/>
    <w:rsid w:val="1B6603B7"/>
    <w:rsid w:val="1B6B1E72"/>
    <w:rsid w:val="1B6E76F4"/>
    <w:rsid w:val="1B702CEB"/>
    <w:rsid w:val="1B724FAE"/>
    <w:rsid w:val="1B735E51"/>
    <w:rsid w:val="1B7927E1"/>
    <w:rsid w:val="1B7930C6"/>
    <w:rsid w:val="1B79458F"/>
    <w:rsid w:val="1B7B66B5"/>
    <w:rsid w:val="1B7C7BDB"/>
    <w:rsid w:val="1B8076CB"/>
    <w:rsid w:val="1B811695"/>
    <w:rsid w:val="1B886580"/>
    <w:rsid w:val="1B901D16"/>
    <w:rsid w:val="1B9238A2"/>
    <w:rsid w:val="1B972C67"/>
    <w:rsid w:val="1B987131"/>
    <w:rsid w:val="1BA1210E"/>
    <w:rsid w:val="1BA15893"/>
    <w:rsid w:val="1BA55384"/>
    <w:rsid w:val="1BA57132"/>
    <w:rsid w:val="1BAC5A7E"/>
    <w:rsid w:val="1BAD6444"/>
    <w:rsid w:val="1BB6133F"/>
    <w:rsid w:val="1BB92BDD"/>
    <w:rsid w:val="1BBB4BA7"/>
    <w:rsid w:val="1BBC26CD"/>
    <w:rsid w:val="1BC51582"/>
    <w:rsid w:val="1BC53330"/>
    <w:rsid w:val="1BCA4DEA"/>
    <w:rsid w:val="1BCC0B62"/>
    <w:rsid w:val="1BD21EF1"/>
    <w:rsid w:val="1BD2468D"/>
    <w:rsid w:val="1BD96DDB"/>
    <w:rsid w:val="1BDC39D9"/>
    <w:rsid w:val="1BDC68CC"/>
    <w:rsid w:val="1BDE43F2"/>
    <w:rsid w:val="1BE7774A"/>
    <w:rsid w:val="1BE91714"/>
    <w:rsid w:val="1BEA723A"/>
    <w:rsid w:val="1BF12377"/>
    <w:rsid w:val="1BF21E2B"/>
    <w:rsid w:val="1BF32926"/>
    <w:rsid w:val="1BF41E67"/>
    <w:rsid w:val="1BF43C15"/>
    <w:rsid w:val="1BF607AC"/>
    <w:rsid w:val="1BF9747E"/>
    <w:rsid w:val="1BFB4FA4"/>
    <w:rsid w:val="1BFB5949"/>
    <w:rsid w:val="1BFE6842"/>
    <w:rsid w:val="1C0302FC"/>
    <w:rsid w:val="1C073948"/>
    <w:rsid w:val="1C083011"/>
    <w:rsid w:val="1C0A168B"/>
    <w:rsid w:val="1C0A3439"/>
    <w:rsid w:val="1C0C0F5F"/>
    <w:rsid w:val="1C0C5403"/>
    <w:rsid w:val="1C0D4CD7"/>
    <w:rsid w:val="1C1069BB"/>
    <w:rsid w:val="1C183DA8"/>
    <w:rsid w:val="1C1B5646"/>
    <w:rsid w:val="1C1C4F1A"/>
    <w:rsid w:val="1C225F98"/>
    <w:rsid w:val="1C253579"/>
    <w:rsid w:val="1C272EF4"/>
    <w:rsid w:val="1C273FEB"/>
    <w:rsid w:val="1C2D7127"/>
    <w:rsid w:val="1C2E35CB"/>
    <w:rsid w:val="1C387FA6"/>
    <w:rsid w:val="1C3A6AF0"/>
    <w:rsid w:val="1C4032FE"/>
    <w:rsid w:val="1C406E5A"/>
    <w:rsid w:val="1C422BD3"/>
    <w:rsid w:val="1C44694B"/>
    <w:rsid w:val="1C4B17F6"/>
    <w:rsid w:val="1C4F3541"/>
    <w:rsid w:val="1C550B58"/>
    <w:rsid w:val="1C556DAA"/>
    <w:rsid w:val="1C5606E1"/>
    <w:rsid w:val="1C590F97"/>
    <w:rsid w:val="1C5E5533"/>
    <w:rsid w:val="1C610613"/>
    <w:rsid w:val="1C646FED"/>
    <w:rsid w:val="1C6C7C4F"/>
    <w:rsid w:val="1C6E6D91"/>
    <w:rsid w:val="1C705992"/>
    <w:rsid w:val="1C74135E"/>
    <w:rsid w:val="1C746B04"/>
    <w:rsid w:val="1C7A236C"/>
    <w:rsid w:val="1C7D00AF"/>
    <w:rsid w:val="1C844F99"/>
    <w:rsid w:val="1C856F63"/>
    <w:rsid w:val="1C874A89"/>
    <w:rsid w:val="1C883DA6"/>
    <w:rsid w:val="1C8B457A"/>
    <w:rsid w:val="1C994D2B"/>
    <w:rsid w:val="1C997135"/>
    <w:rsid w:val="1C9E770D"/>
    <w:rsid w:val="1CA23671"/>
    <w:rsid w:val="1CA473E9"/>
    <w:rsid w:val="1CAE425A"/>
    <w:rsid w:val="1CB03FE0"/>
    <w:rsid w:val="1CB05D8E"/>
    <w:rsid w:val="1CB25FAA"/>
    <w:rsid w:val="1CB57848"/>
    <w:rsid w:val="1CB6536F"/>
    <w:rsid w:val="1CC655B2"/>
    <w:rsid w:val="1CC874F0"/>
    <w:rsid w:val="1CCC6940"/>
    <w:rsid w:val="1CCE090A"/>
    <w:rsid w:val="1CD079CB"/>
    <w:rsid w:val="1CD51C99"/>
    <w:rsid w:val="1CD53A47"/>
    <w:rsid w:val="1CD557F5"/>
    <w:rsid w:val="1CD6156D"/>
    <w:rsid w:val="1CD852E5"/>
    <w:rsid w:val="1CDB6B83"/>
    <w:rsid w:val="1CDD7AA5"/>
    <w:rsid w:val="1CDF6673"/>
    <w:rsid w:val="1CE04199"/>
    <w:rsid w:val="1CE974F2"/>
    <w:rsid w:val="1CEB5018"/>
    <w:rsid w:val="1CEC0D90"/>
    <w:rsid w:val="1CF0262F"/>
    <w:rsid w:val="1CF30371"/>
    <w:rsid w:val="1CF739BD"/>
    <w:rsid w:val="1CF814E3"/>
    <w:rsid w:val="1CF96C89"/>
    <w:rsid w:val="1CFB5503"/>
    <w:rsid w:val="1CFC0FD3"/>
    <w:rsid w:val="1CFC5477"/>
    <w:rsid w:val="1D04432C"/>
    <w:rsid w:val="1D061E52"/>
    <w:rsid w:val="1D0B504C"/>
    <w:rsid w:val="1D0D1432"/>
    <w:rsid w:val="1D13631D"/>
    <w:rsid w:val="1D167BBB"/>
    <w:rsid w:val="1D1E53EE"/>
    <w:rsid w:val="1D1F4CC2"/>
    <w:rsid w:val="1D210A3A"/>
    <w:rsid w:val="1D266050"/>
    <w:rsid w:val="1D2E3157"/>
    <w:rsid w:val="1D2F75FB"/>
    <w:rsid w:val="1D320A97"/>
    <w:rsid w:val="1D320E99"/>
    <w:rsid w:val="1D350989"/>
    <w:rsid w:val="1D3541D9"/>
    <w:rsid w:val="1D3544E5"/>
    <w:rsid w:val="1D370008"/>
    <w:rsid w:val="1D3764AF"/>
    <w:rsid w:val="1D3A7D4E"/>
    <w:rsid w:val="1D3E6FE0"/>
    <w:rsid w:val="1D3E783E"/>
    <w:rsid w:val="1D412E8A"/>
    <w:rsid w:val="1D4176E7"/>
    <w:rsid w:val="1D4209B0"/>
    <w:rsid w:val="1D440BCC"/>
    <w:rsid w:val="1D456E66"/>
    <w:rsid w:val="1D4666F2"/>
    <w:rsid w:val="1D48246B"/>
    <w:rsid w:val="1D4B1F5B"/>
    <w:rsid w:val="1D4F2685"/>
    <w:rsid w:val="1D532BBD"/>
    <w:rsid w:val="1D547061"/>
    <w:rsid w:val="1D570A82"/>
    <w:rsid w:val="1D596426"/>
    <w:rsid w:val="1D61352C"/>
    <w:rsid w:val="1D632E00"/>
    <w:rsid w:val="1D6848BB"/>
    <w:rsid w:val="1D6A1093"/>
    <w:rsid w:val="1D71209B"/>
    <w:rsid w:val="1D792624"/>
    <w:rsid w:val="1D7A45EE"/>
    <w:rsid w:val="1D7D279D"/>
    <w:rsid w:val="1D813BCE"/>
    <w:rsid w:val="1D81597C"/>
    <w:rsid w:val="1D835251"/>
    <w:rsid w:val="1D8611E5"/>
    <w:rsid w:val="1D866BE4"/>
    <w:rsid w:val="1D8B67FB"/>
    <w:rsid w:val="1D8F0099"/>
    <w:rsid w:val="1D9236E6"/>
    <w:rsid w:val="1D927B8A"/>
    <w:rsid w:val="1D943902"/>
    <w:rsid w:val="1D94745E"/>
    <w:rsid w:val="1D994A74"/>
    <w:rsid w:val="1DA10F7B"/>
    <w:rsid w:val="1DA8115B"/>
    <w:rsid w:val="1DAD6772"/>
    <w:rsid w:val="1DAF24EA"/>
    <w:rsid w:val="1DB5000E"/>
    <w:rsid w:val="1DBA0969"/>
    <w:rsid w:val="1DBA13AB"/>
    <w:rsid w:val="1DBB0E8E"/>
    <w:rsid w:val="1DBC0763"/>
    <w:rsid w:val="1DC1221D"/>
    <w:rsid w:val="1DC615E1"/>
    <w:rsid w:val="1DC87107"/>
    <w:rsid w:val="1DCD0BC2"/>
    <w:rsid w:val="1DD45AAC"/>
    <w:rsid w:val="1DD61F18"/>
    <w:rsid w:val="1DD737EE"/>
    <w:rsid w:val="1DDC4E14"/>
    <w:rsid w:val="1DE101C9"/>
    <w:rsid w:val="1DE5415D"/>
    <w:rsid w:val="1DE71C83"/>
    <w:rsid w:val="1DE81558"/>
    <w:rsid w:val="1DEC54EC"/>
    <w:rsid w:val="1DED3012"/>
    <w:rsid w:val="1DF60118"/>
    <w:rsid w:val="1DF83E91"/>
    <w:rsid w:val="1DF95513"/>
    <w:rsid w:val="1DFA7E83"/>
    <w:rsid w:val="1DFC3255"/>
    <w:rsid w:val="1DFC3C04"/>
    <w:rsid w:val="1E012619"/>
    <w:rsid w:val="1E0345E3"/>
    <w:rsid w:val="1E081BFA"/>
    <w:rsid w:val="1E1020A9"/>
    <w:rsid w:val="1E124827"/>
    <w:rsid w:val="1E18008F"/>
    <w:rsid w:val="1E193E07"/>
    <w:rsid w:val="1E1B7B7F"/>
    <w:rsid w:val="1E206F43"/>
    <w:rsid w:val="1E28404A"/>
    <w:rsid w:val="1E285DF8"/>
    <w:rsid w:val="1E2D1660"/>
    <w:rsid w:val="1E2E2A61"/>
    <w:rsid w:val="1E2E4CC7"/>
    <w:rsid w:val="1E30020B"/>
    <w:rsid w:val="1E334EC9"/>
    <w:rsid w:val="1E3649B9"/>
    <w:rsid w:val="1E36688F"/>
    <w:rsid w:val="1E37603B"/>
    <w:rsid w:val="1E3E2D25"/>
    <w:rsid w:val="1E3E386E"/>
    <w:rsid w:val="1E42335E"/>
    <w:rsid w:val="1E4507E4"/>
    <w:rsid w:val="1E452AE5"/>
    <w:rsid w:val="1E470974"/>
    <w:rsid w:val="1E4946EC"/>
    <w:rsid w:val="1E4A2E19"/>
    <w:rsid w:val="1E4D585F"/>
    <w:rsid w:val="1E5170FD"/>
    <w:rsid w:val="1E5E7A6C"/>
    <w:rsid w:val="1E6070EC"/>
    <w:rsid w:val="1E6210B8"/>
    <w:rsid w:val="1E631EE6"/>
    <w:rsid w:val="1E650DFA"/>
    <w:rsid w:val="1E674B72"/>
    <w:rsid w:val="1E6A4663"/>
    <w:rsid w:val="1E6F3A27"/>
    <w:rsid w:val="1E7159F1"/>
    <w:rsid w:val="1E733517"/>
    <w:rsid w:val="1E7948A6"/>
    <w:rsid w:val="1E805C34"/>
    <w:rsid w:val="1E85149C"/>
    <w:rsid w:val="1E892D3B"/>
    <w:rsid w:val="1E894AE9"/>
    <w:rsid w:val="1E895F8B"/>
    <w:rsid w:val="1E952F81"/>
    <w:rsid w:val="1E982F7E"/>
    <w:rsid w:val="1E990AA4"/>
    <w:rsid w:val="1E9B2A6E"/>
    <w:rsid w:val="1E9B481C"/>
    <w:rsid w:val="1EA02D82"/>
    <w:rsid w:val="1EA23DFC"/>
    <w:rsid w:val="1EA25BAA"/>
    <w:rsid w:val="1EA336D1"/>
    <w:rsid w:val="1EA614A3"/>
    <w:rsid w:val="1EA710D5"/>
    <w:rsid w:val="1EAA0146"/>
    <w:rsid w:val="1EAC6A29"/>
    <w:rsid w:val="1EAD459E"/>
    <w:rsid w:val="1EAD6AC7"/>
    <w:rsid w:val="1EAE09F3"/>
    <w:rsid w:val="1EAE27A1"/>
    <w:rsid w:val="1EB75F7C"/>
    <w:rsid w:val="1EBA7398"/>
    <w:rsid w:val="1EBD0C36"/>
    <w:rsid w:val="1EC014EF"/>
    <w:rsid w:val="1EC10726"/>
    <w:rsid w:val="1EC27FFB"/>
    <w:rsid w:val="1EC664F8"/>
    <w:rsid w:val="1EC91389"/>
    <w:rsid w:val="1ECA6EAF"/>
    <w:rsid w:val="1ECB3353"/>
    <w:rsid w:val="1ECE699F"/>
    <w:rsid w:val="1ED32208"/>
    <w:rsid w:val="1ED67D6B"/>
    <w:rsid w:val="1EDA6951"/>
    <w:rsid w:val="1EDB2E6A"/>
    <w:rsid w:val="1EDF6DFF"/>
    <w:rsid w:val="1EE2069D"/>
    <w:rsid w:val="1EE461C3"/>
    <w:rsid w:val="1EE7180F"/>
    <w:rsid w:val="1EE75CB3"/>
    <w:rsid w:val="1EEB7551"/>
    <w:rsid w:val="1EF36406"/>
    <w:rsid w:val="1EFF1AF1"/>
    <w:rsid w:val="1F0423C1"/>
    <w:rsid w:val="1F095C2A"/>
    <w:rsid w:val="1F0A6344"/>
    <w:rsid w:val="1F2111C5"/>
    <w:rsid w:val="1F212F73"/>
    <w:rsid w:val="1F242A63"/>
    <w:rsid w:val="1F252181"/>
    <w:rsid w:val="1F264A2D"/>
    <w:rsid w:val="1F29007A"/>
    <w:rsid w:val="1F2B492C"/>
    <w:rsid w:val="1F2B5BA0"/>
    <w:rsid w:val="1F2E38E2"/>
    <w:rsid w:val="1F30765A"/>
    <w:rsid w:val="1F38650F"/>
    <w:rsid w:val="1F3C7DAD"/>
    <w:rsid w:val="1F3D3B25"/>
    <w:rsid w:val="1F417171"/>
    <w:rsid w:val="1F444EB4"/>
    <w:rsid w:val="1F446322"/>
    <w:rsid w:val="1F4B4494"/>
    <w:rsid w:val="1F533349"/>
    <w:rsid w:val="1F552C1D"/>
    <w:rsid w:val="1F574BE7"/>
    <w:rsid w:val="1F5D7D23"/>
    <w:rsid w:val="1F5E5F75"/>
    <w:rsid w:val="1F647304"/>
    <w:rsid w:val="1F672950"/>
    <w:rsid w:val="1F69491A"/>
    <w:rsid w:val="1F6B0692"/>
    <w:rsid w:val="1F6B41EE"/>
    <w:rsid w:val="1F6E1F30"/>
    <w:rsid w:val="1F721A21"/>
    <w:rsid w:val="1F7675BB"/>
    <w:rsid w:val="1F775289"/>
    <w:rsid w:val="1F780DC2"/>
    <w:rsid w:val="1F7C63FB"/>
    <w:rsid w:val="1F8359DC"/>
    <w:rsid w:val="1F890B18"/>
    <w:rsid w:val="1F8A4FBC"/>
    <w:rsid w:val="1F8E612F"/>
    <w:rsid w:val="1F996FAD"/>
    <w:rsid w:val="1F9E22A8"/>
    <w:rsid w:val="1FA0658E"/>
    <w:rsid w:val="1FA15E62"/>
    <w:rsid w:val="1FA31BDA"/>
    <w:rsid w:val="1FAB4F33"/>
    <w:rsid w:val="1FB2006F"/>
    <w:rsid w:val="1FB75686"/>
    <w:rsid w:val="1FB77434"/>
    <w:rsid w:val="1FB922B6"/>
    <w:rsid w:val="1FBA6F24"/>
    <w:rsid w:val="1FBC0EEE"/>
    <w:rsid w:val="1FBC2C9C"/>
    <w:rsid w:val="1FBD2431"/>
    <w:rsid w:val="1FCA360B"/>
    <w:rsid w:val="1FCA53B9"/>
    <w:rsid w:val="1FCD62CF"/>
    <w:rsid w:val="1FCF29CF"/>
    <w:rsid w:val="1FD2426D"/>
    <w:rsid w:val="1FD46237"/>
    <w:rsid w:val="1FD47FE6"/>
    <w:rsid w:val="1FD8008E"/>
    <w:rsid w:val="1FD9384E"/>
    <w:rsid w:val="1FDA1374"/>
    <w:rsid w:val="1FDB5818"/>
    <w:rsid w:val="1FDF698A"/>
    <w:rsid w:val="1FE04BDC"/>
    <w:rsid w:val="1FE12702"/>
    <w:rsid w:val="1FE43FA1"/>
    <w:rsid w:val="1FE50445"/>
    <w:rsid w:val="1FE6001A"/>
    <w:rsid w:val="1FEF6BCD"/>
    <w:rsid w:val="1FF468DA"/>
    <w:rsid w:val="1FF91559"/>
    <w:rsid w:val="1FFB37C4"/>
    <w:rsid w:val="1FFC753C"/>
    <w:rsid w:val="20014B53"/>
    <w:rsid w:val="200205DD"/>
    <w:rsid w:val="20054643"/>
    <w:rsid w:val="20084133"/>
    <w:rsid w:val="20087C8F"/>
    <w:rsid w:val="200E0DE0"/>
    <w:rsid w:val="200F54C2"/>
    <w:rsid w:val="201F6A56"/>
    <w:rsid w:val="202645B9"/>
    <w:rsid w:val="202A22FB"/>
    <w:rsid w:val="202B1BD0"/>
    <w:rsid w:val="202D5948"/>
    <w:rsid w:val="202F16C0"/>
    <w:rsid w:val="202F2315"/>
    <w:rsid w:val="203767C6"/>
    <w:rsid w:val="203A6D77"/>
    <w:rsid w:val="203E7B55"/>
    <w:rsid w:val="203F7DEA"/>
    <w:rsid w:val="20436F19"/>
    <w:rsid w:val="20447EC3"/>
    <w:rsid w:val="20452C91"/>
    <w:rsid w:val="20465798"/>
    <w:rsid w:val="20482782"/>
    <w:rsid w:val="204A043C"/>
    <w:rsid w:val="204A116C"/>
    <w:rsid w:val="204C04C4"/>
    <w:rsid w:val="204C2272"/>
    <w:rsid w:val="204D1B46"/>
    <w:rsid w:val="205073F3"/>
    <w:rsid w:val="20523600"/>
    <w:rsid w:val="20555606"/>
    <w:rsid w:val="2059498F"/>
    <w:rsid w:val="205B4263"/>
    <w:rsid w:val="205C6834"/>
    <w:rsid w:val="205E01F7"/>
    <w:rsid w:val="205E3D53"/>
    <w:rsid w:val="20605676"/>
    <w:rsid w:val="20635322"/>
    <w:rsid w:val="206770AC"/>
    <w:rsid w:val="206A094A"/>
    <w:rsid w:val="206A5C56"/>
    <w:rsid w:val="206D3F96"/>
    <w:rsid w:val="206F5F60"/>
    <w:rsid w:val="20711CD8"/>
    <w:rsid w:val="207672EF"/>
    <w:rsid w:val="207F61E1"/>
    <w:rsid w:val="2080016D"/>
    <w:rsid w:val="20827A42"/>
    <w:rsid w:val="208539D6"/>
    <w:rsid w:val="20857532"/>
    <w:rsid w:val="20875058"/>
    <w:rsid w:val="20887022"/>
    <w:rsid w:val="208A7C12"/>
    <w:rsid w:val="208C266E"/>
    <w:rsid w:val="208E4638"/>
    <w:rsid w:val="20932C15"/>
    <w:rsid w:val="209634ED"/>
    <w:rsid w:val="209F4849"/>
    <w:rsid w:val="20A025BE"/>
    <w:rsid w:val="20A420AE"/>
    <w:rsid w:val="20A43E5C"/>
    <w:rsid w:val="20A6088D"/>
    <w:rsid w:val="20A756FA"/>
    <w:rsid w:val="20AA6F98"/>
    <w:rsid w:val="20B10327"/>
    <w:rsid w:val="20B147CB"/>
    <w:rsid w:val="20B41BC5"/>
    <w:rsid w:val="20BD316F"/>
    <w:rsid w:val="20BD6CCC"/>
    <w:rsid w:val="20BE5BD1"/>
    <w:rsid w:val="20C20786"/>
    <w:rsid w:val="20C41AFE"/>
    <w:rsid w:val="20C917B4"/>
    <w:rsid w:val="20CE2C87"/>
    <w:rsid w:val="20CF4C51"/>
    <w:rsid w:val="20D12DDC"/>
    <w:rsid w:val="20D14525"/>
    <w:rsid w:val="20DA3C69"/>
    <w:rsid w:val="20DD115A"/>
    <w:rsid w:val="20DF30E6"/>
    <w:rsid w:val="20E22BD6"/>
    <w:rsid w:val="20E24984"/>
    <w:rsid w:val="20E26732"/>
    <w:rsid w:val="20E406FC"/>
    <w:rsid w:val="20E56222"/>
    <w:rsid w:val="20E95D13"/>
    <w:rsid w:val="20ED5596"/>
    <w:rsid w:val="20EE13AC"/>
    <w:rsid w:val="20EE3329"/>
    <w:rsid w:val="20EE50D7"/>
    <w:rsid w:val="20EF2BFD"/>
    <w:rsid w:val="20F12E19"/>
    <w:rsid w:val="20F167E1"/>
    <w:rsid w:val="20F70827"/>
    <w:rsid w:val="20FA1CCE"/>
    <w:rsid w:val="20FB5A46"/>
    <w:rsid w:val="20FD33CA"/>
    <w:rsid w:val="20FF72E4"/>
    <w:rsid w:val="21022930"/>
    <w:rsid w:val="21034750"/>
    <w:rsid w:val="21093CBF"/>
    <w:rsid w:val="210E7527"/>
    <w:rsid w:val="21105108"/>
    <w:rsid w:val="211508B6"/>
    <w:rsid w:val="2116462E"/>
    <w:rsid w:val="21166C46"/>
    <w:rsid w:val="211B1C44"/>
    <w:rsid w:val="211D24F8"/>
    <w:rsid w:val="211F1734"/>
    <w:rsid w:val="212B632B"/>
    <w:rsid w:val="212E224E"/>
    <w:rsid w:val="21311468"/>
    <w:rsid w:val="21352D06"/>
    <w:rsid w:val="214116AB"/>
    <w:rsid w:val="21423675"/>
    <w:rsid w:val="21472A39"/>
    <w:rsid w:val="215018EE"/>
    <w:rsid w:val="21505D92"/>
    <w:rsid w:val="21513D9B"/>
    <w:rsid w:val="2154560B"/>
    <w:rsid w:val="21564CC5"/>
    <w:rsid w:val="215C4736"/>
    <w:rsid w:val="215E6BC2"/>
    <w:rsid w:val="215F7D83"/>
    <w:rsid w:val="216036AA"/>
    <w:rsid w:val="21607F5D"/>
    <w:rsid w:val="21613AFB"/>
    <w:rsid w:val="21621621"/>
    <w:rsid w:val="21645328"/>
    <w:rsid w:val="21667363"/>
    <w:rsid w:val="216B09F7"/>
    <w:rsid w:val="217001E2"/>
    <w:rsid w:val="21777075"/>
    <w:rsid w:val="217C0935"/>
    <w:rsid w:val="217D46AD"/>
    <w:rsid w:val="21852C8B"/>
    <w:rsid w:val="2186530F"/>
    <w:rsid w:val="218D2B42"/>
    <w:rsid w:val="21935C7E"/>
    <w:rsid w:val="219A525F"/>
    <w:rsid w:val="219D65E7"/>
    <w:rsid w:val="219E1A02"/>
    <w:rsid w:val="219F4623"/>
    <w:rsid w:val="21A078FC"/>
    <w:rsid w:val="21A3266E"/>
    <w:rsid w:val="21A63C04"/>
    <w:rsid w:val="21A659B2"/>
    <w:rsid w:val="21AB121A"/>
    <w:rsid w:val="21B06830"/>
    <w:rsid w:val="21B26104"/>
    <w:rsid w:val="21B43FCC"/>
    <w:rsid w:val="21B7196D"/>
    <w:rsid w:val="21B856E5"/>
    <w:rsid w:val="21C05E3F"/>
    <w:rsid w:val="21C1459A"/>
    <w:rsid w:val="21C67E02"/>
    <w:rsid w:val="21CA5B44"/>
    <w:rsid w:val="21CF315A"/>
    <w:rsid w:val="21CF4F08"/>
    <w:rsid w:val="21D71101"/>
    <w:rsid w:val="21D7200F"/>
    <w:rsid w:val="21D818E3"/>
    <w:rsid w:val="21E30AD6"/>
    <w:rsid w:val="21E50F2A"/>
    <w:rsid w:val="21E93AF0"/>
    <w:rsid w:val="21EF3EC7"/>
    <w:rsid w:val="21F11323"/>
    <w:rsid w:val="21FC1A76"/>
    <w:rsid w:val="21FD70E5"/>
    <w:rsid w:val="22010E3A"/>
    <w:rsid w:val="2205092A"/>
    <w:rsid w:val="220B7F0B"/>
    <w:rsid w:val="22124DF5"/>
    <w:rsid w:val="22143415"/>
    <w:rsid w:val="22155EFF"/>
    <w:rsid w:val="22196184"/>
    <w:rsid w:val="221A1EFC"/>
    <w:rsid w:val="221C5C74"/>
    <w:rsid w:val="222039B6"/>
    <w:rsid w:val="22213CD2"/>
    <w:rsid w:val="2221772E"/>
    <w:rsid w:val="22235254"/>
    <w:rsid w:val="222608A0"/>
    <w:rsid w:val="22266AF2"/>
    <w:rsid w:val="22280ABD"/>
    <w:rsid w:val="222A213F"/>
    <w:rsid w:val="222B5EB7"/>
    <w:rsid w:val="223236E9"/>
    <w:rsid w:val="22327245"/>
    <w:rsid w:val="2234120F"/>
    <w:rsid w:val="22345C7D"/>
    <w:rsid w:val="22350AE4"/>
    <w:rsid w:val="22356D36"/>
    <w:rsid w:val="223C1E72"/>
    <w:rsid w:val="223D6DA5"/>
    <w:rsid w:val="22405E06"/>
    <w:rsid w:val="22427AC0"/>
    <w:rsid w:val="22460F43"/>
    <w:rsid w:val="22462CF1"/>
    <w:rsid w:val="22484CBB"/>
    <w:rsid w:val="224A1B49"/>
    <w:rsid w:val="22513B6F"/>
    <w:rsid w:val="225278E7"/>
    <w:rsid w:val="22600256"/>
    <w:rsid w:val="226006F6"/>
    <w:rsid w:val="22623FCE"/>
    <w:rsid w:val="22665141"/>
    <w:rsid w:val="226A2E83"/>
    <w:rsid w:val="226C62B8"/>
    <w:rsid w:val="22721D38"/>
    <w:rsid w:val="227855A0"/>
    <w:rsid w:val="22794E74"/>
    <w:rsid w:val="22804455"/>
    <w:rsid w:val="22857CBD"/>
    <w:rsid w:val="2287647D"/>
    <w:rsid w:val="2288155B"/>
    <w:rsid w:val="22895117"/>
    <w:rsid w:val="228B52E3"/>
    <w:rsid w:val="228C104B"/>
    <w:rsid w:val="22925F36"/>
    <w:rsid w:val="229879F0"/>
    <w:rsid w:val="22A1339E"/>
    <w:rsid w:val="22A7378F"/>
    <w:rsid w:val="22A75E85"/>
    <w:rsid w:val="22AA4195"/>
    <w:rsid w:val="22AE0FC2"/>
    <w:rsid w:val="22AF4D3A"/>
    <w:rsid w:val="22B3482A"/>
    <w:rsid w:val="22B42BC9"/>
    <w:rsid w:val="22C04851"/>
    <w:rsid w:val="22C32593"/>
    <w:rsid w:val="22C75BE0"/>
    <w:rsid w:val="22C97BAA"/>
    <w:rsid w:val="22CC31F6"/>
    <w:rsid w:val="22D12F02"/>
    <w:rsid w:val="22D546E3"/>
    <w:rsid w:val="22D7777E"/>
    <w:rsid w:val="22D87DED"/>
    <w:rsid w:val="22DD5403"/>
    <w:rsid w:val="22DE117B"/>
    <w:rsid w:val="22E10830"/>
    <w:rsid w:val="22E70030"/>
    <w:rsid w:val="22EF3388"/>
    <w:rsid w:val="22F15352"/>
    <w:rsid w:val="22F33FCF"/>
    <w:rsid w:val="22F866E1"/>
    <w:rsid w:val="230063DC"/>
    <w:rsid w:val="23024E6A"/>
    <w:rsid w:val="2307254B"/>
    <w:rsid w:val="230A1732"/>
    <w:rsid w:val="230F7587"/>
    <w:rsid w:val="231177A3"/>
    <w:rsid w:val="23131962"/>
    <w:rsid w:val="23144B9D"/>
    <w:rsid w:val="231B40DB"/>
    <w:rsid w:val="231B5F2B"/>
    <w:rsid w:val="231D7EF5"/>
    <w:rsid w:val="23207452"/>
    <w:rsid w:val="232142F5"/>
    <w:rsid w:val="23256DAA"/>
    <w:rsid w:val="232E3EB1"/>
    <w:rsid w:val="232E5C5F"/>
    <w:rsid w:val="2331574F"/>
    <w:rsid w:val="233314C7"/>
    <w:rsid w:val="23337719"/>
    <w:rsid w:val="23356FED"/>
    <w:rsid w:val="233A0AA7"/>
    <w:rsid w:val="233D40F4"/>
    <w:rsid w:val="23425BAE"/>
    <w:rsid w:val="23453EE9"/>
    <w:rsid w:val="23476D20"/>
    <w:rsid w:val="23490CEA"/>
    <w:rsid w:val="234B5E1C"/>
    <w:rsid w:val="234E399F"/>
    <w:rsid w:val="23515DF1"/>
    <w:rsid w:val="2355143D"/>
    <w:rsid w:val="23571659"/>
    <w:rsid w:val="235A4CA6"/>
    <w:rsid w:val="235F050E"/>
    <w:rsid w:val="23607DE2"/>
    <w:rsid w:val="2364528E"/>
    <w:rsid w:val="236819A8"/>
    <w:rsid w:val="236B6EB3"/>
    <w:rsid w:val="236C6787"/>
    <w:rsid w:val="236E0751"/>
    <w:rsid w:val="23702444"/>
    <w:rsid w:val="23712760"/>
    <w:rsid w:val="237176C2"/>
    <w:rsid w:val="23797C9C"/>
    <w:rsid w:val="238241FC"/>
    <w:rsid w:val="23847F75"/>
    <w:rsid w:val="238F4A93"/>
    <w:rsid w:val="2395665B"/>
    <w:rsid w:val="23992D88"/>
    <w:rsid w:val="239F090A"/>
    <w:rsid w:val="23A2667D"/>
    <w:rsid w:val="23AB3753"/>
    <w:rsid w:val="23AC3027"/>
    <w:rsid w:val="23AE4FF1"/>
    <w:rsid w:val="23B1063E"/>
    <w:rsid w:val="23B26890"/>
    <w:rsid w:val="23B461D0"/>
    <w:rsid w:val="23BA1BE8"/>
    <w:rsid w:val="23BD5235"/>
    <w:rsid w:val="23C10881"/>
    <w:rsid w:val="23C14D25"/>
    <w:rsid w:val="23C95987"/>
    <w:rsid w:val="23CD700D"/>
    <w:rsid w:val="23CE11F0"/>
    <w:rsid w:val="23DC1B5F"/>
    <w:rsid w:val="23DC56BB"/>
    <w:rsid w:val="23E26A49"/>
    <w:rsid w:val="23E86F32"/>
    <w:rsid w:val="23F34EA3"/>
    <w:rsid w:val="23F53C41"/>
    <w:rsid w:val="23F549CE"/>
    <w:rsid w:val="23F56B46"/>
    <w:rsid w:val="23F92711"/>
    <w:rsid w:val="23F944BF"/>
    <w:rsid w:val="23FA6623"/>
    <w:rsid w:val="2403533D"/>
    <w:rsid w:val="240370EB"/>
    <w:rsid w:val="24044C11"/>
    <w:rsid w:val="240864B0"/>
    <w:rsid w:val="240B2444"/>
    <w:rsid w:val="24125580"/>
    <w:rsid w:val="241C01AD"/>
    <w:rsid w:val="241E5CD3"/>
    <w:rsid w:val="242552B4"/>
    <w:rsid w:val="24280900"/>
    <w:rsid w:val="24297F60"/>
    <w:rsid w:val="242B03F0"/>
    <w:rsid w:val="243472A5"/>
    <w:rsid w:val="24363828"/>
    <w:rsid w:val="243A6885"/>
    <w:rsid w:val="243D7865"/>
    <w:rsid w:val="243E45C7"/>
    <w:rsid w:val="24443260"/>
    <w:rsid w:val="244D0366"/>
    <w:rsid w:val="244D65B8"/>
    <w:rsid w:val="24521E21"/>
    <w:rsid w:val="2452597D"/>
    <w:rsid w:val="2455546D"/>
    <w:rsid w:val="245636BF"/>
    <w:rsid w:val="2458110A"/>
    <w:rsid w:val="245C67FB"/>
    <w:rsid w:val="245E2EB0"/>
    <w:rsid w:val="246062EC"/>
    <w:rsid w:val="24651B54"/>
    <w:rsid w:val="24661428"/>
    <w:rsid w:val="246758CC"/>
    <w:rsid w:val="24693FF2"/>
    <w:rsid w:val="24743B45"/>
    <w:rsid w:val="24747FE9"/>
    <w:rsid w:val="24783AE8"/>
    <w:rsid w:val="248024EA"/>
    <w:rsid w:val="2483022C"/>
    <w:rsid w:val="24877D1C"/>
    <w:rsid w:val="24885842"/>
    <w:rsid w:val="248A3369"/>
    <w:rsid w:val="248C70E1"/>
    <w:rsid w:val="248F6BD1"/>
    <w:rsid w:val="249917FE"/>
    <w:rsid w:val="249E0BC2"/>
    <w:rsid w:val="24A26904"/>
    <w:rsid w:val="24A3267C"/>
    <w:rsid w:val="24A3442A"/>
    <w:rsid w:val="24A361D8"/>
    <w:rsid w:val="24A7216D"/>
    <w:rsid w:val="24A81A41"/>
    <w:rsid w:val="24A878F5"/>
    <w:rsid w:val="24AF2DCF"/>
    <w:rsid w:val="24AF7AC8"/>
    <w:rsid w:val="24B44889"/>
    <w:rsid w:val="24B73377"/>
    <w:rsid w:val="24BC729A"/>
    <w:rsid w:val="24BD373E"/>
    <w:rsid w:val="24BE74B6"/>
    <w:rsid w:val="24BF6C72"/>
    <w:rsid w:val="24C00B0C"/>
    <w:rsid w:val="24C06D8A"/>
    <w:rsid w:val="24C148B0"/>
    <w:rsid w:val="24C50845"/>
    <w:rsid w:val="24CA5E5B"/>
    <w:rsid w:val="24CA6F0B"/>
    <w:rsid w:val="24D34D10"/>
    <w:rsid w:val="24D64800"/>
    <w:rsid w:val="24D7158D"/>
    <w:rsid w:val="24DE153F"/>
    <w:rsid w:val="24E011DB"/>
    <w:rsid w:val="24E707BB"/>
    <w:rsid w:val="24E862E1"/>
    <w:rsid w:val="24EF381D"/>
    <w:rsid w:val="24F133E8"/>
    <w:rsid w:val="24F36825"/>
    <w:rsid w:val="24F627AC"/>
    <w:rsid w:val="24F66C50"/>
    <w:rsid w:val="24FB6014"/>
    <w:rsid w:val="24FE78B3"/>
    <w:rsid w:val="25034EC9"/>
    <w:rsid w:val="2504136D"/>
    <w:rsid w:val="25050C41"/>
    <w:rsid w:val="25056E93"/>
    <w:rsid w:val="25072C0B"/>
    <w:rsid w:val="250824DF"/>
    <w:rsid w:val="25096983"/>
    <w:rsid w:val="250B5C11"/>
    <w:rsid w:val="250C0222"/>
    <w:rsid w:val="250D7E56"/>
    <w:rsid w:val="250E5D48"/>
    <w:rsid w:val="251206CC"/>
    <w:rsid w:val="251470D6"/>
    <w:rsid w:val="25180974"/>
    <w:rsid w:val="25186BC6"/>
    <w:rsid w:val="251909A0"/>
    <w:rsid w:val="251A0B90"/>
    <w:rsid w:val="251A7FDB"/>
    <w:rsid w:val="251B0AA1"/>
    <w:rsid w:val="251E1D03"/>
    <w:rsid w:val="25237319"/>
    <w:rsid w:val="25257535"/>
    <w:rsid w:val="25270BB7"/>
    <w:rsid w:val="25276E09"/>
    <w:rsid w:val="25284930"/>
    <w:rsid w:val="25290DD3"/>
    <w:rsid w:val="252E0198"/>
    <w:rsid w:val="252E63EA"/>
    <w:rsid w:val="25317C88"/>
    <w:rsid w:val="25330E2E"/>
    <w:rsid w:val="25357778"/>
    <w:rsid w:val="253876C1"/>
    <w:rsid w:val="253B28B5"/>
    <w:rsid w:val="253B4663"/>
    <w:rsid w:val="25445D9E"/>
    <w:rsid w:val="25482BC9"/>
    <w:rsid w:val="25496D80"/>
    <w:rsid w:val="254B6F9C"/>
    <w:rsid w:val="254C2D14"/>
    <w:rsid w:val="254E0830"/>
    <w:rsid w:val="254E083A"/>
    <w:rsid w:val="25506360"/>
    <w:rsid w:val="25553977"/>
    <w:rsid w:val="2556786A"/>
    <w:rsid w:val="255816B9"/>
    <w:rsid w:val="25586BA8"/>
    <w:rsid w:val="25592FE8"/>
    <w:rsid w:val="255B6AB3"/>
    <w:rsid w:val="2561056D"/>
    <w:rsid w:val="25641E0C"/>
    <w:rsid w:val="25675458"/>
    <w:rsid w:val="25680EAF"/>
    <w:rsid w:val="256911D0"/>
    <w:rsid w:val="256C2A6E"/>
    <w:rsid w:val="256E67E6"/>
    <w:rsid w:val="257127F8"/>
    <w:rsid w:val="25753D18"/>
    <w:rsid w:val="25755DC7"/>
    <w:rsid w:val="257A162F"/>
    <w:rsid w:val="257D111F"/>
    <w:rsid w:val="257D2ECD"/>
    <w:rsid w:val="257F09F3"/>
    <w:rsid w:val="257F27A2"/>
    <w:rsid w:val="258129BE"/>
    <w:rsid w:val="2584600A"/>
    <w:rsid w:val="25897AC4"/>
    <w:rsid w:val="258A1146"/>
    <w:rsid w:val="258A1977"/>
    <w:rsid w:val="258C3110"/>
    <w:rsid w:val="259018C4"/>
    <w:rsid w:val="259721E1"/>
    <w:rsid w:val="25983863"/>
    <w:rsid w:val="259A0181"/>
    <w:rsid w:val="259A3A7F"/>
    <w:rsid w:val="259B3353"/>
    <w:rsid w:val="259C15A5"/>
    <w:rsid w:val="259F2E44"/>
    <w:rsid w:val="25A22934"/>
    <w:rsid w:val="25A2691A"/>
    <w:rsid w:val="25A93CC2"/>
    <w:rsid w:val="25B06DFF"/>
    <w:rsid w:val="25B328ED"/>
    <w:rsid w:val="25B763DF"/>
    <w:rsid w:val="25BA7C7E"/>
    <w:rsid w:val="25BD32CA"/>
    <w:rsid w:val="25BF7042"/>
    <w:rsid w:val="25C52299"/>
    <w:rsid w:val="25C64D60"/>
    <w:rsid w:val="25C91C6F"/>
    <w:rsid w:val="25C97EC1"/>
    <w:rsid w:val="25CD5C03"/>
    <w:rsid w:val="25D315FC"/>
    <w:rsid w:val="25D54F0F"/>
    <w:rsid w:val="25D7082F"/>
    <w:rsid w:val="25D86356"/>
    <w:rsid w:val="25DF76E4"/>
    <w:rsid w:val="25E50CCE"/>
    <w:rsid w:val="25E80F02"/>
    <w:rsid w:val="25F3318F"/>
    <w:rsid w:val="25F56F08"/>
    <w:rsid w:val="25F72C80"/>
    <w:rsid w:val="25F82554"/>
    <w:rsid w:val="25FB04D2"/>
    <w:rsid w:val="26006B88"/>
    <w:rsid w:val="26013AFE"/>
    <w:rsid w:val="26031625"/>
    <w:rsid w:val="260333D3"/>
    <w:rsid w:val="26074CC6"/>
    <w:rsid w:val="26084E8D"/>
    <w:rsid w:val="260C2082"/>
    <w:rsid w:val="260D48C0"/>
    <w:rsid w:val="26151358"/>
    <w:rsid w:val="26190E48"/>
    <w:rsid w:val="26195EDA"/>
    <w:rsid w:val="261A071C"/>
    <w:rsid w:val="261C26E6"/>
    <w:rsid w:val="261D1FBA"/>
    <w:rsid w:val="261F5D33"/>
    <w:rsid w:val="26275C7A"/>
    <w:rsid w:val="26296BB1"/>
    <w:rsid w:val="262B46D7"/>
    <w:rsid w:val="262D044F"/>
    <w:rsid w:val="262D48F3"/>
    <w:rsid w:val="262F241A"/>
    <w:rsid w:val="262F5BC1"/>
    <w:rsid w:val="26325A66"/>
    <w:rsid w:val="26345C82"/>
    <w:rsid w:val="2637307C"/>
    <w:rsid w:val="26393298"/>
    <w:rsid w:val="263D4A6F"/>
    <w:rsid w:val="2641044F"/>
    <w:rsid w:val="2641214D"/>
    <w:rsid w:val="264B2FCC"/>
    <w:rsid w:val="264B6B28"/>
    <w:rsid w:val="264D478D"/>
    <w:rsid w:val="264D6D44"/>
    <w:rsid w:val="264F486A"/>
    <w:rsid w:val="2650413E"/>
    <w:rsid w:val="26527EB6"/>
    <w:rsid w:val="265A2525"/>
    <w:rsid w:val="26630315"/>
    <w:rsid w:val="26633E71"/>
    <w:rsid w:val="26695CCA"/>
    <w:rsid w:val="266D2F42"/>
    <w:rsid w:val="26737A8D"/>
    <w:rsid w:val="2677791D"/>
    <w:rsid w:val="267C3185"/>
    <w:rsid w:val="267E6EFD"/>
    <w:rsid w:val="267F0A80"/>
    <w:rsid w:val="2685203A"/>
    <w:rsid w:val="26864004"/>
    <w:rsid w:val="268838D8"/>
    <w:rsid w:val="268B33C8"/>
    <w:rsid w:val="26962499"/>
    <w:rsid w:val="26993D37"/>
    <w:rsid w:val="269A19B7"/>
    <w:rsid w:val="269A360B"/>
    <w:rsid w:val="269B7AAF"/>
    <w:rsid w:val="26A23EF9"/>
    <w:rsid w:val="26A61FB0"/>
    <w:rsid w:val="26AD333E"/>
    <w:rsid w:val="26AF70B6"/>
    <w:rsid w:val="26B26BA7"/>
    <w:rsid w:val="26B40B71"/>
    <w:rsid w:val="26B4291F"/>
    <w:rsid w:val="26B97F35"/>
    <w:rsid w:val="26BB1747"/>
    <w:rsid w:val="26C874BA"/>
    <w:rsid w:val="26C90A2D"/>
    <w:rsid w:val="26CC5EBA"/>
    <w:rsid w:val="26CF57CC"/>
    <w:rsid w:val="26D1527F"/>
    <w:rsid w:val="26D7660D"/>
    <w:rsid w:val="26D905D7"/>
    <w:rsid w:val="26DB60FD"/>
    <w:rsid w:val="26DE21CD"/>
    <w:rsid w:val="26DF0F0C"/>
    <w:rsid w:val="26E34FB2"/>
    <w:rsid w:val="26E54A01"/>
    <w:rsid w:val="26E56F7C"/>
    <w:rsid w:val="26E74CBE"/>
    <w:rsid w:val="26EF0C02"/>
    <w:rsid w:val="26EF1BA9"/>
    <w:rsid w:val="26EF7DFB"/>
    <w:rsid w:val="26F15921"/>
    <w:rsid w:val="26F40F6D"/>
    <w:rsid w:val="26F721A9"/>
    <w:rsid w:val="26F7280B"/>
    <w:rsid w:val="26F913DC"/>
    <w:rsid w:val="26FB054E"/>
    <w:rsid w:val="26FD6EE4"/>
    <w:rsid w:val="26FE3B9A"/>
    <w:rsid w:val="270218DC"/>
    <w:rsid w:val="27022042"/>
    <w:rsid w:val="27060E47"/>
    <w:rsid w:val="27082C6B"/>
    <w:rsid w:val="270A253F"/>
    <w:rsid w:val="270C329A"/>
    <w:rsid w:val="270D202F"/>
    <w:rsid w:val="271138CD"/>
    <w:rsid w:val="27127645"/>
    <w:rsid w:val="2715510C"/>
    <w:rsid w:val="27206206"/>
    <w:rsid w:val="27227239"/>
    <w:rsid w:val="27271343"/>
    <w:rsid w:val="272849F1"/>
    <w:rsid w:val="27315D1D"/>
    <w:rsid w:val="27343A60"/>
    <w:rsid w:val="273B094A"/>
    <w:rsid w:val="273D0B66"/>
    <w:rsid w:val="27433CA3"/>
    <w:rsid w:val="27441EF5"/>
    <w:rsid w:val="274719E5"/>
    <w:rsid w:val="274E2D73"/>
    <w:rsid w:val="274F0899"/>
    <w:rsid w:val="2753038A"/>
    <w:rsid w:val="27565784"/>
    <w:rsid w:val="275814FC"/>
    <w:rsid w:val="27595274"/>
    <w:rsid w:val="275A73E3"/>
    <w:rsid w:val="275E5DA9"/>
    <w:rsid w:val="27636F98"/>
    <w:rsid w:val="27644345"/>
    <w:rsid w:val="27673E35"/>
    <w:rsid w:val="276854B7"/>
    <w:rsid w:val="276C29FF"/>
    <w:rsid w:val="277D2A21"/>
    <w:rsid w:val="27814EF7"/>
    <w:rsid w:val="27822A1D"/>
    <w:rsid w:val="27854172"/>
    <w:rsid w:val="278542BB"/>
    <w:rsid w:val="27873B8F"/>
    <w:rsid w:val="278A3680"/>
    <w:rsid w:val="278C73F8"/>
    <w:rsid w:val="278D6CD6"/>
    <w:rsid w:val="278E4F1E"/>
    <w:rsid w:val="278F0C96"/>
    <w:rsid w:val="27906EE8"/>
    <w:rsid w:val="2791479D"/>
    <w:rsid w:val="27932534"/>
    <w:rsid w:val="27952750"/>
    <w:rsid w:val="279544FE"/>
    <w:rsid w:val="27960276"/>
    <w:rsid w:val="27985D9D"/>
    <w:rsid w:val="279D1605"/>
    <w:rsid w:val="27A110F5"/>
    <w:rsid w:val="27AA5AD0"/>
    <w:rsid w:val="27AE55C0"/>
    <w:rsid w:val="27B13177"/>
    <w:rsid w:val="27B70259"/>
    <w:rsid w:val="27B764B0"/>
    <w:rsid w:val="27BC5F2F"/>
    <w:rsid w:val="27BD3A55"/>
    <w:rsid w:val="27C070A1"/>
    <w:rsid w:val="27C22E19"/>
    <w:rsid w:val="27C668BE"/>
    <w:rsid w:val="27CB7F20"/>
    <w:rsid w:val="27CE17BE"/>
    <w:rsid w:val="27D112AE"/>
    <w:rsid w:val="27D345D2"/>
    <w:rsid w:val="27D8263D"/>
    <w:rsid w:val="27DA4607"/>
    <w:rsid w:val="27DE5FD5"/>
    <w:rsid w:val="27E2526A"/>
    <w:rsid w:val="27E92A9C"/>
    <w:rsid w:val="27EB411E"/>
    <w:rsid w:val="27EE1E60"/>
    <w:rsid w:val="27F136FF"/>
    <w:rsid w:val="27F30B8E"/>
    <w:rsid w:val="27F356C9"/>
    <w:rsid w:val="27F630CE"/>
    <w:rsid w:val="27F84A8D"/>
    <w:rsid w:val="27FA0C6E"/>
    <w:rsid w:val="27FA25B3"/>
    <w:rsid w:val="27FC27CF"/>
    <w:rsid w:val="27FF5E1C"/>
    <w:rsid w:val="28043432"/>
    <w:rsid w:val="28074CD0"/>
    <w:rsid w:val="28094EEC"/>
    <w:rsid w:val="280B2A12"/>
    <w:rsid w:val="280B2AE2"/>
    <w:rsid w:val="280B656E"/>
    <w:rsid w:val="280D678A"/>
    <w:rsid w:val="280F14ED"/>
    <w:rsid w:val="28101DD7"/>
    <w:rsid w:val="28131C63"/>
    <w:rsid w:val="281523B6"/>
    <w:rsid w:val="28164F13"/>
    <w:rsid w:val="28173165"/>
    <w:rsid w:val="281B6DE1"/>
    <w:rsid w:val="281E2746"/>
    <w:rsid w:val="28213FE4"/>
    <w:rsid w:val="28236BA7"/>
    <w:rsid w:val="28237D5C"/>
    <w:rsid w:val="282626E7"/>
    <w:rsid w:val="282E45BA"/>
    <w:rsid w:val="282F4953"/>
    <w:rsid w:val="28305FD5"/>
    <w:rsid w:val="28321D4D"/>
    <w:rsid w:val="28341F69"/>
    <w:rsid w:val="28357A8F"/>
    <w:rsid w:val="28385963"/>
    <w:rsid w:val="283C2BCC"/>
    <w:rsid w:val="283C7070"/>
    <w:rsid w:val="283F446A"/>
    <w:rsid w:val="28425D08"/>
    <w:rsid w:val="284657F9"/>
    <w:rsid w:val="284D302B"/>
    <w:rsid w:val="2854551A"/>
    <w:rsid w:val="28553C8E"/>
    <w:rsid w:val="285919D0"/>
    <w:rsid w:val="285C501C"/>
    <w:rsid w:val="285F68BA"/>
    <w:rsid w:val="285F6EC1"/>
    <w:rsid w:val="28642123"/>
    <w:rsid w:val="28650375"/>
    <w:rsid w:val="286914E7"/>
    <w:rsid w:val="286A598B"/>
    <w:rsid w:val="286D438F"/>
    <w:rsid w:val="287265EE"/>
    <w:rsid w:val="28801D31"/>
    <w:rsid w:val="28855A7D"/>
    <w:rsid w:val="28893937"/>
    <w:rsid w:val="288F53F1"/>
    <w:rsid w:val="28920A3E"/>
    <w:rsid w:val="28921481"/>
    <w:rsid w:val="28926C90"/>
    <w:rsid w:val="2899001E"/>
    <w:rsid w:val="289A78F2"/>
    <w:rsid w:val="289B7097"/>
    <w:rsid w:val="289E73E3"/>
    <w:rsid w:val="289F315B"/>
    <w:rsid w:val="28A349F9"/>
    <w:rsid w:val="28A47EE5"/>
    <w:rsid w:val="28AA222B"/>
    <w:rsid w:val="28AB1AFF"/>
    <w:rsid w:val="28AD5878"/>
    <w:rsid w:val="28B210E0"/>
    <w:rsid w:val="28B27332"/>
    <w:rsid w:val="28B46C06"/>
    <w:rsid w:val="28B5472C"/>
    <w:rsid w:val="28B704A4"/>
    <w:rsid w:val="28B74948"/>
    <w:rsid w:val="28B830C8"/>
    <w:rsid w:val="28BE1833"/>
    <w:rsid w:val="28C055AB"/>
    <w:rsid w:val="28C130D1"/>
    <w:rsid w:val="28C36E49"/>
    <w:rsid w:val="28C52BC1"/>
    <w:rsid w:val="28C57065"/>
    <w:rsid w:val="28C8445F"/>
    <w:rsid w:val="28CF1C92"/>
    <w:rsid w:val="28D23530"/>
    <w:rsid w:val="28D252DE"/>
    <w:rsid w:val="28D728F5"/>
    <w:rsid w:val="28D76D98"/>
    <w:rsid w:val="28E31299"/>
    <w:rsid w:val="28E60D8A"/>
    <w:rsid w:val="28E76FDC"/>
    <w:rsid w:val="28EA087A"/>
    <w:rsid w:val="28EC2844"/>
    <w:rsid w:val="28F72F97"/>
    <w:rsid w:val="28F86998"/>
    <w:rsid w:val="28FE60D3"/>
    <w:rsid w:val="29086F52"/>
    <w:rsid w:val="290A0F1C"/>
    <w:rsid w:val="290A4A78"/>
    <w:rsid w:val="290C6A42"/>
    <w:rsid w:val="291122AA"/>
    <w:rsid w:val="29114058"/>
    <w:rsid w:val="29121B7F"/>
    <w:rsid w:val="29161237"/>
    <w:rsid w:val="2916166F"/>
    <w:rsid w:val="2918096D"/>
    <w:rsid w:val="29183639"/>
    <w:rsid w:val="291B4ED7"/>
    <w:rsid w:val="291D29FD"/>
    <w:rsid w:val="2920604A"/>
    <w:rsid w:val="29215BA4"/>
    <w:rsid w:val="292A511A"/>
    <w:rsid w:val="292E55D7"/>
    <w:rsid w:val="292F0982"/>
    <w:rsid w:val="292F2731"/>
    <w:rsid w:val="292F44DF"/>
    <w:rsid w:val="29341AF5"/>
    <w:rsid w:val="29345F99"/>
    <w:rsid w:val="293864DB"/>
    <w:rsid w:val="293935AF"/>
    <w:rsid w:val="293B62A8"/>
    <w:rsid w:val="293E5049"/>
    <w:rsid w:val="29411B73"/>
    <w:rsid w:val="29413A4D"/>
    <w:rsid w:val="29424212"/>
    <w:rsid w:val="294837F2"/>
    <w:rsid w:val="294A30C6"/>
    <w:rsid w:val="294A756A"/>
    <w:rsid w:val="29513542"/>
    <w:rsid w:val="295362DD"/>
    <w:rsid w:val="29564AFE"/>
    <w:rsid w:val="295959FF"/>
    <w:rsid w:val="295C2DFA"/>
    <w:rsid w:val="295C3C6A"/>
    <w:rsid w:val="295E4DC4"/>
    <w:rsid w:val="296028EA"/>
    <w:rsid w:val="296663EF"/>
    <w:rsid w:val="29673C78"/>
    <w:rsid w:val="296A19BB"/>
    <w:rsid w:val="296E3259"/>
    <w:rsid w:val="296F5223"/>
    <w:rsid w:val="297D524A"/>
    <w:rsid w:val="298011DE"/>
    <w:rsid w:val="29826D04"/>
    <w:rsid w:val="29842A7C"/>
    <w:rsid w:val="29883BEF"/>
    <w:rsid w:val="29890093"/>
    <w:rsid w:val="298962E5"/>
    <w:rsid w:val="298E38FB"/>
    <w:rsid w:val="29915E59"/>
    <w:rsid w:val="29932CBF"/>
    <w:rsid w:val="29934A6D"/>
    <w:rsid w:val="299407E6"/>
    <w:rsid w:val="29946A38"/>
    <w:rsid w:val="2996455E"/>
    <w:rsid w:val="29A053DC"/>
    <w:rsid w:val="29A21154"/>
    <w:rsid w:val="29A924E3"/>
    <w:rsid w:val="29AF561F"/>
    <w:rsid w:val="29B03871"/>
    <w:rsid w:val="29B175E9"/>
    <w:rsid w:val="29B24BC0"/>
    <w:rsid w:val="29B449E4"/>
    <w:rsid w:val="29B64C00"/>
    <w:rsid w:val="29B87B25"/>
    <w:rsid w:val="29B91531"/>
    <w:rsid w:val="29C27803"/>
    <w:rsid w:val="29C56BF1"/>
    <w:rsid w:val="29C71CC2"/>
    <w:rsid w:val="29C94933"/>
    <w:rsid w:val="29CF181E"/>
    <w:rsid w:val="29D532D8"/>
    <w:rsid w:val="29D60DFE"/>
    <w:rsid w:val="29DB01C2"/>
    <w:rsid w:val="29DB16DF"/>
    <w:rsid w:val="29DB79F7"/>
    <w:rsid w:val="29DD218D"/>
    <w:rsid w:val="29DF5F05"/>
    <w:rsid w:val="29E03A2B"/>
    <w:rsid w:val="29E259F5"/>
    <w:rsid w:val="29E96D83"/>
    <w:rsid w:val="29EB624B"/>
    <w:rsid w:val="29EE3795"/>
    <w:rsid w:val="29EE439A"/>
    <w:rsid w:val="29F23E8A"/>
    <w:rsid w:val="29FA689B"/>
    <w:rsid w:val="2A0C2A72"/>
    <w:rsid w:val="2A0C4820"/>
    <w:rsid w:val="2A0E0598"/>
    <w:rsid w:val="2A162C68"/>
    <w:rsid w:val="2A16744D"/>
    <w:rsid w:val="2A1A0CEB"/>
    <w:rsid w:val="2A1F27A5"/>
    <w:rsid w:val="2A202079"/>
    <w:rsid w:val="2A225DF1"/>
    <w:rsid w:val="2A2D464E"/>
    <w:rsid w:val="2A2E0C3A"/>
    <w:rsid w:val="2A31569E"/>
    <w:rsid w:val="2A383867"/>
    <w:rsid w:val="2A4144C9"/>
    <w:rsid w:val="2A43500D"/>
    <w:rsid w:val="2A472991"/>
    <w:rsid w:val="2A497822"/>
    <w:rsid w:val="2A4E2BBC"/>
    <w:rsid w:val="2A4E308A"/>
    <w:rsid w:val="2A517FAE"/>
    <w:rsid w:val="2A5306A1"/>
    <w:rsid w:val="2A553B14"/>
    <w:rsid w:val="2A565288"/>
    <w:rsid w:val="2A570191"/>
    <w:rsid w:val="2A572EBE"/>
    <w:rsid w:val="2A587A65"/>
    <w:rsid w:val="2A627FD1"/>
    <w:rsid w:val="2A6642B5"/>
    <w:rsid w:val="2A77438F"/>
    <w:rsid w:val="2A7C7BF7"/>
    <w:rsid w:val="2A7F6BCF"/>
    <w:rsid w:val="2A816FBC"/>
    <w:rsid w:val="2A830F86"/>
    <w:rsid w:val="2A832D34"/>
    <w:rsid w:val="2A88034A"/>
    <w:rsid w:val="2A8A01D6"/>
    <w:rsid w:val="2A8B3997"/>
    <w:rsid w:val="2A8D5961"/>
    <w:rsid w:val="2A8D770F"/>
    <w:rsid w:val="2A8E3487"/>
    <w:rsid w:val="2A900FAD"/>
    <w:rsid w:val="2A9036A3"/>
    <w:rsid w:val="2A9071FF"/>
    <w:rsid w:val="2A9724C1"/>
    <w:rsid w:val="2A9860B3"/>
    <w:rsid w:val="2A9A2631"/>
    <w:rsid w:val="2A9C0162"/>
    <w:rsid w:val="2A9F1C41"/>
    <w:rsid w:val="2AA1140C"/>
    <w:rsid w:val="2AAA3BF6"/>
    <w:rsid w:val="2AAA6513"/>
    <w:rsid w:val="2AAB228B"/>
    <w:rsid w:val="2AAD6003"/>
    <w:rsid w:val="2AB07A68"/>
    <w:rsid w:val="2AB22388"/>
    <w:rsid w:val="2AB23619"/>
    <w:rsid w:val="2AB7478C"/>
    <w:rsid w:val="2ABA5D17"/>
    <w:rsid w:val="2ABF25ED"/>
    <w:rsid w:val="2ABF7AE4"/>
    <w:rsid w:val="2AC11AAE"/>
    <w:rsid w:val="2AC31382"/>
    <w:rsid w:val="2AC4736E"/>
    <w:rsid w:val="2AC62C21"/>
    <w:rsid w:val="2AC73417"/>
    <w:rsid w:val="2AC869C9"/>
    <w:rsid w:val="2ACA2381"/>
    <w:rsid w:val="2ACA2711"/>
    <w:rsid w:val="2ACC31CD"/>
    <w:rsid w:val="2ACE1AD5"/>
    <w:rsid w:val="2ACF7D27"/>
    <w:rsid w:val="2AD52E64"/>
    <w:rsid w:val="2AD73080"/>
    <w:rsid w:val="2AD76BDC"/>
    <w:rsid w:val="2AD90BA6"/>
    <w:rsid w:val="2AD92315"/>
    <w:rsid w:val="2AD92954"/>
    <w:rsid w:val="2ADB2B70"/>
    <w:rsid w:val="2ADB4165"/>
    <w:rsid w:val="2AE632C3"/>
    <w:rsid w:val="2AEB5890"/>
    <w:rsid w:val="2AED4651"/>
    <w:rsid w:val="2AEF2177"/>
    <w:rsid w:val="2AEF232A"/>
    <w:rsid w:val="2AF53506"/>
    <w:rsid w:val="2AF94DA4"/>
    <w:rsid w:val="2AFA28CA"/>
    <w:rsid w:val="2B0100FD"/>
    <w:rsid w:val="2B013C59"/>
    <w:rsid w:val="2B021EE1"/>
    <w:rsid w:val="2B027310"/>
    <w:rsid w:val="2B0674C1"/>
    <w:rsid w:val="2B0C0F7B"/>
    <w:rsid w:val="2B0D0850"/>
    <w:rsid w:val="2B0E0484"/>
    <w:rsid w:val="2B0F281A"/>
    <w:rsid w:val="2B0F6376"/>
    <w:rsid w:val="2B167DDF"/>
    <w:rsid w:val="2B17347C"/>
    <w:rsid w:val="2B193698"/>
    <w:rsid w:val="2B1C6CE5"/>
    <w:rsid w:val="2B1E480B"/>
    <w:rsid w:val="2B2160A9"/>
    <w:rsid w:val="2B22427B"/>
    <w:rsid w:val="2B25203D"/>
    <w:rsid w:val="2B285689"/>
    <w:rsid w:val="2B287437"/>
    <w:rsid w:val="2B2A3917"/>
    <w:rsid w:val="2B2F07C6"/>
    <w:rsid w:val="2B312790"/>
    <w:rsid w:val="2B326508"/>
    <w:rsid w:val="2B326AF2"/>
    <w:rsid w:val="2B342280"/>
    <w:rsid w:val="2B347F25"/>
    <w:rsid w:val="2B367DA6"/>
    <w:rsid w:val="2B3758CC"/>
    <w:rsid w:val="2B3C2EE3"/>
    <w:rsid w:val="2B3D7387"/>
    <w:rsid w:val="2B3E4D9F"/>
    <w:rsid w:val="2B461EC1"/>
    <w:rsid w:val="2B4D6E9E"/>
    <w:rsid w:val="2B514BE0"/>
    <w:rsid w:val="2B520958"/>
    <w:rsid w:val="2B54647E"/>
    <w:rsid w:val="2B5B15BB"/>
    <w:rsid w:val="2B5B780D"/>
    <w:rsid w:val="2B5E554F"/>
    <w:rsid w:val="2B606BD1"/>
    <w:rsid w:val="2B65068C"/>
    <w:rsid w:val="2B655A62"/>
    <w:rsid w:val="2B6A5CA2"/>
    <w:rsid w:val="2B6A7A50"/>
    <w:rsid w:val="2B6B79BA"/>
    <w:rsid w:val="2B6D12EE"/>
    <w:rsid w:val="2B6E5792"/>
    <w:rsid w:val="2B717030"/>
    <w:rsid w:val="2B7330C5"/>
    <w:rsid w:val="2B7E174D"/>
    <w:rsid w:val="2B801021"/>
    <w:rsid w:val="2B8054C5"/>
    <w:rsid w:val="2B830B12"/>
    <w:rsid w:val="2B85488A"/>
    <w:rsid w:val="2B870602"/>
    <w:rsid w:val="2B8A1EA0"/>
    <w:rsid w:val="2B8A6344"/>
    <w:rsid w:val="2B8C3FEE"/>
    <w:rsid w:val="2B8C5C18"/>
    <w:rsid w:val="2B90792A"/>
    <w:rsid w:val="2B9351F9"/>
    <w:rsid w:val="2B940F71"/>
    <w:rsid w:val="2B966A97"/>
    <w:rsid w:val="2B9E1E90"/>
    <w:rsid w:val="2B9E594C"/>
    <w:rsid w:val="2B9E76FA"/>
    <w:rsid w:val="2BA271EA"/>
    <w:rsid w:val="2BA524BA"/>
    <w:rsid w:val="2BA74800"/>
    <w:rsid w:val="2BAC1E16"/>
    <w:rsid w:val="2BAE3DE1"/>
    <w:rsid w:val="2BB81905"/>
    <w:rsid w:val="2BB94533"/>
    <w:rsid w:val="2BBB474F"/>
    <w:rsid w:val="2BC730F4"/>
    <w:rsid w:val="2BCD4E2D"/>
    <w:rsid w:val="2BD1187D"/>
    <w:rsid w:val="2BDA4BD6"/>
    <w:rsid w:val="2BDF21EC"/>
    <w:rsid w:val="2BDF39ED"/>
    <w:rsid w:val="2BE121FF"/>
    <w:rsid w:val="2BE617CC"/>
    <w:rsid w:val="2BE772F2"/>
    <w:rsid w:val="2BE92273"/>
    <w:rsid w:val="2BE95450"/>
    <w:rsid w:val="2BEB6DE3"/>
    <w:rsid w:val="2BEE0681"/>
    <w:rsid w:val="2BF33EE9"/>
    <w:rsid w:val="2BF37A45"/>
    <w:rsid w:val="2BFA31F8"/>
    <w:rsid w:val="2BFA7026"/>
    <w:rsid w:val="2BFB2D9E"/>
    <w:rsid w:val="2BFD6B16"/>
    <w:rsid w:val="2C0003B4"/>
    <w:rsid w:val="2C02237E"/>
    <w:rsid w:val="2C0440A1"/>
    <w:rsid w:val="2C057779"/>
    <w:rsid w:val="2C071743"/>
    <w:rsid w:val="2C0A4D8F"/>
    <w:rsid w:val="2C0E0D23"/>
    <w:rsid w:val="2C124155"/>
    <w:rsid w:val="2C131E96"/>
    <w:rsid w:val="2C1856FE"/>
    <w:rsid w:val="2C2440A3"/>
    <w:rsid w:val="2C2548D0"/>
    <w:rsid w:val="2C2643AF"/>
    <w:rsid w:val="2C273BFF"/>
    <w:rsid w:val="2C2B5431"/>
    <w:rsid w:val="2C2E0A7D"/>
    <w:rsid w:val="2C2F1F00"/>
    <w:rsid w:val="2C332538"/>
    <w:rsid w:val="2C351E0C"/>
    <w:rsid w:val="2C363DD6"/>
    <w:rsid w:val="2C377F08"/>
    <w:rsid w:val="2C3F0EDD"/>
    <w:rsid w:val="2C3F712F"/>
    <w:rsid w:val="2C414C55"/>
    <w:rsid w:val="2C491D5B"/>
    <w:rsid w:val="2C4B162F"/>
    <w:rsid w:val="2C4C599A"/>
    <w:rsid w:val="2C4E1464"/>
    <w:rsid w:val="2C4E7372"/>
    <w:rsid w:val="2C504E98"/>
    <w:rsid w:val="2C520C10"/>
    <w:rsid w:val="2C536736"/>
    <w:rsid w:val="2C5867E5"/>
    <w:rsid w:val="2C5A5369"/>
    <w:rsid w:val="2C5A7AC4"/>
    <w:rsid w:val="2C5C1A8E"/>
    <w:rsid w:val="2C602783"/>
    <w:rsid w:val="2C6646BB"/>
    <w:rsid w:val="2C6721E1"/>
    <w:rsid w:val="2C6B1CD2"/>
    <w:rsid w:val="2C6C5774"/>
    <w:rsid w:val="2C701096"/>
    <w:rsid w:val="2C744E26"/>
    <w:rsid w:val="2C7D37B3"/>
    <w:rsid w:val="2C83526D"/>
    <w:rsid w:val="2C837261"/>
    <w:rsid w:val="2C8763E0"/>
    <w:rsid w:val="2C8D7EA6"/>
    <w:rsid w:val="2C8E776E"/>
    <w:rsid w:val="2C90798A"/>
    <w:rsid w:val="2C972AC7"/>
    <w:rsid w:val="2C9A4365"/>
    <w:rsid w:val="2C9D5C03"/>
    <w:rsid w:val="2C9E3E55"/>
    <w:rsid w:val="2C9E7773"/>
    <w:rsid w:val="2C9F3729"/>
    <w:rsid w:val="2CA07839"/>
    <w:rsid w:val="2CA86A82"/>
    <w:rsid w:val="2CB019CA"/>
    <w:rsid w:val="2CB03B88"/>
    <w:rsid w:val="2CB2345D"/>
    <w:rsid w:val="2CB25B52"/>
    <w:rsid w:val="2CB847EB"/>
    <w:rsid w:val="2CBC077F"/>
    <w:rsid w:val="2CBC252D"/>
    <w:rsid w:val="2CC118F2"/>
    <w:rsid w:val="2CC31B0E"/>
    <w:rsid w:val="2CC338BC"/>
    <w:rsid w:val="2CC55886"/>
    <w:rsid w:val="2CC76232"/>
    <w:rsid w:val="2CCD0296"/>
    <w:rsid w:val="2CD0422B"/>
    <w:rsid w:val="2CD47877"/>
    <w:rsid w:val="2CDA6E57"/>
    <w:rsid w:val="2CDC2BCF"/>
    <w:rsid w:val="2CDE24A4"/>
    <w:rsid w:val="2CDF446E"/>
    <w:rsid w:val="2CE33E03"/>
    <w:rsid w:val="2CE35D0C"/>
    <w:rsid w:val="2CE51A84"/>
    <w:rsid w:val="2CE55F6D"/>
    <w:rsid w:val="2CE61358"/>
    <w:rsid w:val="2CE850D0"/>
    <w:rsid w:val="2CE90E48"/>
    <w:rsid w:val="2CF271A5"/>
    <w:rsid w:val="2CF33A75"/>
    <w:rsid w:val="2CF81DBA"/>
    <w:rsid w:val="2CFB12A7"/>
    <w:rsid w:val="2CFE48F4"/>
    <w:rsid w:val="2CFE66A2"/>
    <w:rsid w:val="2D0217A7"/>
    <w:rsid w:val="2D03015C"/>
    <w:rsid w:val="2D0844A8"/>
    <w:rsid w:val="2D0A773C"/>
    <w:rsid w:val="2D0B0DBF"/>
    <w:rsid w:val="2D0C0ED6"/>
    <w:rsid w:val="2D0D2D89"/>
    <w:rsid w:val="2D0F08AF"/>
    <w:rsid w:val="2D0F6B01"/>
    <w:rsid w:val="2D113C66"/>
    <w:rsid w:val="2D142369"/>
    <w:rsid w:val="2D170DFB"/>
    <w:rsid w:val="2D1A7254"/>
    <w:rsid w:val="2D202ABC"/>
    <w:rsid w:val="2D241E80"/>
    <w:rsid w:val="2D2500D2"/>
    <w:rsid w:val="2D285E15"/>
    <w:rsid w:val="2D2B1461"/>
    <w:rsid w:val="2D2D51D9"/>
    <w:rsid w:val="2D2F0F51"/>
    <w:rsid w:val="2D2F71A3"/>
    <w:rsid w:val="2D3227EF"/>
    <w:rsid w:val="2D376058"/>
    <w:rsid w:val="2D392D05"/>
    <w:rsid w:val="2D393B7E"/>
    <w:rsid w:val="2D395076"/>
    <w:rsid w:val="2D426A09"/>
    <w:rsid w:val="2D482013"/>
    <w:rsid w:val="2D4A5D8B"/>
    <w:rsid w:val="2D53647D"/>
    <w:rsid w:val="2D574004"/>
    <w:rsid w:val="2D5B6187"/>
    <w:rsid w:val="2D5C161A"/>
    <w:rsid w:val="2D6230D5"/>
    <w:rsid w:val="2D6536F1"/>
    <w:rsid w:val="2D69305E"/>
    <w:rsid w:val="2D6A1F89"/>
    <w:rsid w:val="2D6B7AAF"/>
    <w:rsid w:val="2D776454"/>
    <w:rsid w:val="2D796670"/>
    <w:rsid w:val="2D8400D7"/>
    <w:rsid w:val="2D851D9A"/>
    <w:rsid w:val="2D8A43D9"/>
    <w:rsid w:val="2D8A6187"/>
    <w:rsid w:val="2D8D35D0"/>
    <w:rsid w:val="2D8D5C78"/>
    <w:rsid w:val="2D8D5F58"/>
    <w:rsid w:val="2D922480"/>
    <w:rsid w:val="2D947006"/>
    <w:rsid w:val="2D995BC6"/>
    <w:rsid w:val="2D9A4A11"/>
    <w:rsid w:val="2DB01AB8"/>
    <w:rsid w:val="2DB87198"/>
    <w:rsid w:val="2DCA2A28"/>
    <w:rsid w:val="2DCA6ECC"/>
    <w:rsid w:val="2DD02422"/>
    <w:rsid w:val="2DD1025A"/>
    <w:rsid w:val="2DDB4C35"/>
    <w:rsid w:val="2DDD6BFF"/>
    <w:rsid w:val="2DE0049D"/>
    <w:rsid w:val="2DE24215"/>
    <w:rsid w:val="2DED6716"/>
    <w:rsid w:val="2DEF248E"/>
    <w:rsid w:val="2DF9330D"/>
    <w:rsid w:val="2DF950BB"/>
    <w:rsid w:val="2DFB0E33"/>
    <w:rsid w:val="2DFD2DFD"/>
    <w:rsid w:val="2DFE26D1"/>
    <w:rsid w:val="2E020414"/>
    <w:rsid w:val="2E051CB2"/>
    <w:rsid w:val="2E0A551A"/>
    <w:rsid w:val="2E0B4B9A"/>
    <w:rsid w:val="2E0F2B31"/>
    <w:rsid w:val="2E110657"/>
    <w:rsid w:val="2E112405"/>
    <w:rsid w:val="2E1135C3"/>
    <w:rsid w:val="2E132621"/>
    <w:rsid w:val="2E150147"/>
    <w:rsid w:val="2E184E1D"/>
    <w:rsid w:val="2E1A575D"/>
    <w:rsid w:val="2E321F13"/>
    <w:rsid w:val="2E374561"/>
    <w:rsid w:val="2E385BE3"/>
    <w:rsid w:val="2E47051C"/>
    <w:rsid w:val="2E474078"/>
    <w:rsid w:val="2E513149"/>
    <w:rsid w:val="2E5C5D76"/>
    <w:rsid w:val="2E5F6B11"/>
    <w:rsid w:val="2E6518E6"/>
    <w:rsid w:val="2E6764C9"/>
    <w:rsid w:val="2E690493"/>
    <w:rsid w:val="2E693FEF"/>
    <w:rsid w:val="2E6C3ADF"/>
    <w:rsid w:val="2E6E3B96"/>
    <w:rsid w:val="2E7110F5"/>
    <w:rsid w:val="2E7330BF"/>
    <w:rsid w:val="2E755089"/>
    <w:rsid w:val="2E76495E"/>
    <w:rsid w:val="2E76670C"/>
    <w:rsid w:val="2E7A444E"/>
    <w:rsid w:val="2E7A6874"/>
    <w:rsid w:val="2E7C01C6"/>
    <w:rsid w:val="2E7F1A64"/>
    <w:rsid w:val="2E864BA1"/>
    <w:rsid w:val="2E8831F5"/>
    <w:rsid w:val="2E8B35DE"/>
    <w:rsid w:val="2E8C4181"/>
    <w:rsid w:val="2E8D23D3"/>
    <w:rsid w:val="2E903C71"/>
    <w:rsid w:val="2E954DE4"/>
    <w:rsid w:val="2E95604F"/>
    <w:rsid w:val="2E960B5C"/>
    <w:rsid w:val="2E9848D4"/>
    <w:rsid w:val="2E9D013C"/>
    <w:rsid w:val="2E9D1EEA"/>
    <w:rsid w:val="2E9D638E"/>
    <w:rsid w:val="2EA324E5"/>
    <w:rsid w:val="2EA35766"/>
    <w:rsid w:val="2EA96AE1"/>
    <w:rsid w:val="2EAD4823"/>
    <w:rsid w:val="2EB01C1E"/>
    <w:rsid w:val="2EB060C2"/>
    <w:rsid w:val="2EB07E70"/>
    <w:rsid w:val="2EB86D24"/>
    <w:rsid w:val="2EBA2A9C"/>
    <w:rsid w:val="2EBF00B3"/>
    <w:rsid w:val="2EBF6305"/>
    <w:rsid w:val="2EC102CF"/>
    <w:rsid w:val="2EC1207D"/>
    <w:rsid w:val="2EC16437"/>
    <w:rsid w:val="2EC529EA"/>
    <w:rsid w:val="2EC9779A"/>
    <w:rsid w:val="2ECD27D0"/>
    <w:rsid w:val="2ED3590C"/>
    <w:rsid w:val="2ED51684"/>
    <w:rsid w:val="2ED7364E"/>
    <w:rsid w:val="2ED76DE2"/>
    <w:rsid w:val="2ED92063"/>
    <w:rsid w:val="2EDD0FB3"/>
    <w:rsid w:val="2EDE0726"/>
    <w:rsid w:val="2EDE2C2F"/>
    <w:rsid w:val="2EDF69A7"/>
    <w:rsid w:val="2EE47B19"/>
    <w:rsid w:val="2EE63891"/>
    <w:rsid w:val="2EE93382"/>
    <w:rsid w:val="2EED4C20"/>
    <w:rsid w:val="2EF35FAE"/>
    <w:rsid w:val="2EF545EB"/>
    <w:rsid w:val="2EF7146D"/>
    <w:rsid w:val="2EFC4E63"/>
    <w:rsid w:val="2EFE0BDB"/>
    <w:rsid w:val="2F032695"/>
    <w:rsid w:val="2F041F69"/>
    <w:rsid w:val="2F067A90"/>
    <w:rsid w:val="2F0B32F8"/>
    <w:rsid w:val="2F0B779C"/>
    <w:rsid w:val="2F0E760F"/>
    <w:rsid w:val="2F1523C9"/>
    <w:rsid w:val="2F154177"/>
    <w:rsid w:val="2F155F25"/>
    <w:rsid w:val="2F1E59C3"/>
    <w:rsid w:val="2F254788"/>
    <w:rsid w:val="2F2B5748"/>
    <w:rsid w:val="2F2C10E9"/>
    <w:rsid w:val="2F2E6FE6"/>
    <w:rsid w:val="2F391C13"/>
    <w:rsid w:val="2F414F6C"/>
    <w:rsid w:val="2F4A2072"/>
    <w:rsid w:val="2F4B5DEA"/>
    <w:rsid w:val="2F4C0E8A"/>
    <w:rsid w:val="2F5729E1"/>
    <w:rsid w:val="2F57478F"/>
    <w:rsid w:val="2F5C7FF7"/>
    <w:rsid w:val="2F61560E"/>
    <w:rsid w:val="2F6373B5"/>
    <w:rsid w:val="2F642A08"/>
    <w:rsid w:val="2F6649D2"/>
    <w:rsid w:val="2F675649"/>
    <w:rsid w:val="2F6A2714"/>
    <w:rsid w:val="2F6F3887"/>
    <w:rsid w:val="2F6F7D2B"/>
    <w:rsid w:val="2F7075FF"/>
    <w:rsid w:val="2F762E67"/>
    <w:rsid w:val="2F792957"/>
    <w:rsid w:val="2F7964B4"/>
    <w:rsid w:val="2F7B10A8"/>
    <w:rsid w:val="2F7B222C"/>
    <w:rsid w:val="2F7B66D0"/>
    <w:rsid w:val="2F803CE6"/>
    <w:rsid w:val="2F8161F0"/>
    <w:rsid w:val="2F8337D6"/>
    <w:rsid w:val="2F8530AA"/>
    <w:rsid w:val="2F875074"/>
    <w:rsid w:val="2F903341"/>
    <w:rsid w:val="2F9037FD"/>
    <w:rsid w:val="2F9652B7"/>
    <w:rsid w:val="2F974B8C"/>
    <w:rsid w:val="2F990904"/>
    <w:rsid w:val="2F9A5FCC"/>
    <w:rsid w:val="2F9B0B20"/>
    <w:rsid w:val="2F9C6646"/>
    <w:rsid w:val="2FA03738"/>
    <w:rsid w:val="2FA11189"/>
    <w:rsid w:val="2FA31782"/>
    <w:rsid w:val="2FA63021"/>
    <w:rsid w:val="2FA80522"/>
    <w:rsid w:val="2FA8323D"/>
    <w:rsid w:val="2FA84FEB"/>
    <w:rsid w:val="2FAA48BF"/>
    <w:rsid w:val="2FAB748D"/>
    <w:rsid w:val="2FAD0853"/>
    <w:rsid w:val="2FAF1ED5"/>
    <w:rsid w:val="2FB3107F"/>
    <w:rsid w:val="2FBA7536"/>
    <w:rsid w:val="2FBC45F2"/>
    <w:rsid w:val="2FBE480E"/>
    <w:rsid w:val="2FBE7350"/>
    <w:rsid w:val="2FC11C09"/>
    <w:rsid w:val="2FC35981"/>
    <w:rsid w:val="2FC516F9"/>
    <w:rsid w:val="2FC811E9"/>
    <w:rsid w:val="2FD01CE8"/>
    <w:rsid w:val="2FD162F0"/>
    <w:rsid w:val="2FD45DE0"/>
    <w:rsid w:val="2FD8767E"/>
    <w:rsid w:val="2FDB0F1C"/>
    <w:rsid w:val="2FDB2CCA"/>
    <w:rsid w:val="2FE04785"/>
    <w:rsid w:val="2FE204FD"/>
    <w:rsid w:val="2FE7396B"/>
    <w:rsid w:val="2FE970DD"/>
    <w:rsid w:val="2FEE6EA1"/>
    <w:rsid w:val="2FF40230"/>
    <w:rsid w:val="2FF95846"/>
    <w:rsid w:val="2FFB511A"/>
    <w:rsid w:val="2FFC6134"/>
    <w:rsid w:val="30032221"/>
    <w:rsid w:val="300A1801"/>
    <w:rsid w:val="300A1BE5"/>
    <w:rsid w:val="300D7D4A"/>
    <w:rsid w:val="30161F54"/>
    <w:rsid w:val="301663F8"/>
    <w:rsid w:val="30197C97"/>
    <w:rsid w:val="301B3A0F"/>
    <w:rsid w:val="301B4D3D"/>
    <w:rsid w:val="301F34FF"/>
    <w:rsid w:val="3025663B"/>
    <w:rsid w:val="302C5C1C"/>
    <w:rsid w:val="302C79CA"/>
    <w:rsid w:val="303B5E5F"/>
    <w:rsid w:val="303E0AB7"/>
    <w:rsid w:val="30442F65"/>
    <w:rsid w:val="304A7E50"/>
    <w:rsid w:val="304C3BC8"/>
    <w:rsid w:val="304F5466"/>
    <w:rsid w:val="3050190A"/>
    <w:rsid w:val="30556F21"/>
    <w:rsid w:val="30562C99"/>
    <w:rsid w:val="305807BF"/>
    <w:rsid w:val="305B3E0B"/>
    <w:rsid w:val="305D5DD5"/>
    <w:rsid w:val="305D7B83"/>
    <w:rsid w:val="305E54D0"/>
    <w:rsid w:val="30654C8A"/>
    <w:rsid w:val="30681856"/>
    <w:rsid w:val="306B6744"/>
    <w:rsid w:val="306C7DC6"/>
    <w:rsid w:val="306F78B6"/>
    <w:rsid w:val="30711881"/>
    <w:rsid w:val="3075311F"/>
    <w:rsid w:val="30760C45"/>
    <w:rsid w:val="30766E97"/>
    <w:rsid w:val="307750E9"/>
    <w:rsid w:val="30783819"/>
    <w:rsid w:val="3078676B"/>
    <w:rsid w:val="307B625B"/>
    <w:rsid w:val="307F314F"/>
    <w:rsid w:val="30803872"/>
    <w:rsid w:val="308275EA"/>
    <w:rsid w:val="30836B34"/>
    <w:rsid w:val="308710A4"/>
    <w:rsid w:val="308A649E"/>
    <w:rsid w:val="309317F7"/>
    <w:rsid w:val="3095731D"/>
    <w:rsid w:val="309A2B85"/>
    <w:rsid w:val="309D08C8"/>
    <w:rsid w:val="309D0A69"/>
    <w:rsid w:val="309E34D9"/>
    <w:rsid w:val="30A05CC2"/>
    <w:rsid w:val="30A12166"/>
    <w:rsid w:val="30A25EDE"/>
    <w:rsid w:val="30A27C8C"/>
    <w:rsid w:val="30A42760"/>
    <w:rsid w:val="30A43A04"/>
    <w:rsid w:val="30A6152A"/>
    <w:rsid w:val="30A752A2"/>
    <w:rsid w:val="30A947A7"/>
    <w:rsid w:val="30B005FB"/>
    <w:rsid w:val="30B17ECF"/>
    <w:rsid w:val="30B55C11"/>
    <w:rsid w:val="30B67293"/>
    <w:rsid w:val="30B71989"/>
    <w:rsid w:val="30B73737"/>
    <w:rsid w:val="30B8300C"/>
    <w:rsid w:val="30BD4AC6"/>
    <w:rsid w:val="30C041DD"/>
    <w:rsid w:val="30C220DC"/>
    <w:rsid w:val="30C24CD7"/>
    <w:rsid w:val="30C419B0"/>
    <w:rsid w:val="30C47C02"/>
    <w:rsid w:val="30C6397A"/>
    <w:rsid w:val="30CD2F5B"/>
    <w:rsid w:val="30CE282F"/>
    <w:rsid w:val="30D616E4"/>
    <w:rsid w:val="30DA7426"/>
    <w:rsid w:val="30DD2A72"/>
    <w:rsid w:val="30DF4A3C"/>
    <w:rsid w:val="30DF67EA"/>
    <w:rsid w:val="30E164F9"/>
    <w:rsid w:val="30E3277E"/>
    <w:rsid w:val="30E6401D"/>
    <w:rsid w:val="30E67B79"/>
    <w:rsid w:val="30E97669"/>
    <w:rsid w:val="30EC0F07"/>
    <w:rsid w:val="30F2476F"/>
    <w:rsid w:val="30F32296"/>
    <w:rsid w:val="30F524B2"/>
    <w:rsid w:val="30F878AC"/>
    <w:rsid w:val="30FA3624"/>
    <w:rsid w:val="30FA3F52"/>
    <w:rsid w:val="31003190"/>
    <w:rsid w:val="310224D9"/>
    <w:rsid w:val="310476A5"/>
    <w:rsid w:val="310D15A9"/>
    <w:rsid w:val="310E5321"/>
    <w:rsid w:val="3112096E"/>
    <w:rsid w:val="31132938"/>
    <w:rsid w:val="31140B8A"/>
    <w:rsid w:val="31151DF1"/>
    <w:rsid w:val="31187BC4"/>
    <w:rsid w:val="311C17EC"/>
    <w:rsid w:val="311E5564"/>
    <w:rsid w:val="31216519"/>
    <w:rsid w:val="312811AB"/>
    <w:rsid w:val="312B7C81"/>
    <w:rsid w:val="312C3AE5"/>
    <w:rsid w:val="312D1C4B"/>
    <w:rsid w:val="31305298"/>
    <w:rsid w:val="31327262"/>
    <w:rsid w:val="313308E4"/>
    <w:rsid w:val="313B4368"/>
    <w:rsid w:val="313E1763"/>
    <w:rsid w:val="31435B14"/>
    <w:rsid w:val="31442AF1"/>
    <w:rsid w:val="31480833"/>
    <w:rsid w:val="314825E1"/>
    <w:rsid w:val="314D19A6"/>
    <w:rsid w:val="31501496"/>
    <w:rsid w:val="315138CA"/>
    <w:rsid w:val="31556AAC"/>
    <w:rsid w:val="31592A40"/>
    <w:rsid w:val="315C7E3B"/>
    <w:rsid w:val="315D3A23"/>
    <w:rsid w:val="315E1E05"/>
    <w:rsid w:val="315E491C"/>
    <w:rsid w:val="315F16D9"/>
    <w:rsid w:val="315F792B"/>
    <w:rsid w:val="316136A3"/>
    <w:rsid w:val="31615451"/>
    <w:rsid w:val="316B4522"/>
    <w:rsid w:val="316E2211"/>
    <w:rsid w:val="31723B02"/>
    <w:rsid w:val="317433D6"/>
    <w:rsid w:val="31750EFD"/>
    <w:rsid w:val="31757F09"/>
    <w:rsid w:val="317B24D7"/>
    <w:rsid w:val="317C04DD"/>
    <w:rsid w:val="317C672F"/>
    <w:rsid w:val="317E6003"/>
    <w:rsid w:val="317F3B29"/>
    <w:rsid w:val="318178A1"/>
    <w:rsid w:val="31817E6A"/>
    <w:rsid w:val="31853836"/>
    <w:rsid w:val="31865A40"/>
    <w:rsid w:val="318A49A8"/>
    <w:rsid w:val="318B24CE"/>
    <w:rsid w:val="318C4BC4"/>
    <w:rsid w:val="318D26EA"/>
    <w:rsid w:val="318E3D87"/>
    <w:rsid w:val="318F1FBE"/>
    <w:rsid w:val="31905D36"/>
    <w:rsid w:val="31921AAF"/>
    <w:rsid w:val="3195160F"/>
    <w:rsid w:val="319677F1"/>
    <w:rsid w:val="319B4E07"/>
    <w:rsid w:val="31A04886"/>
    <w:rsid w:val="31A87524"/>
    <w:rsid w:val="31AA6151"/>
    <w:rsid w:val="31B00187"/>
    <w:rsid w:val="31B41A25"/>
    <w:rsid w:val="31B47C77"/>
    <w:rsid w:val="31B5579D"/>
    <w:rsid w:val="31BE7198"/>
    <w:rsid w:val="31C205E6"/>
    <w:rsid w:val="31C37EBA"/>
    <w:rsid w:val="31C816DA"/>
    <w:rsid w:val="31D10829"/>
    <w:rsid w:val="31D125D7"/>
    <w:rsid w:val="31DA3AEF"/>
    <w:rsid w:val="31DB5204"/>
    <w:rsid w:val="31E00A6C"/>
    <w:rsid w:val="31E56082"/>
    <w:rsid w:val="31EA3699"/>
    <w:rsid w:val="31F12C79"/>
    <w:rsid w:val="31F2079F"/>
    <w:rsid w:val="31F664E1"/>
    <w:rsid w:val="31F77B64"/>
    <w:rsid w:val="31F97D80"/>
    <w:rsid w:val="31FB7A10"/>
    <w:rsid w:val="31FD7870"/>
    <w:rsid w:val="31FE7144"/>
    <w:rsid w:val="31FE7C49"/>
    <w:rsid w:val="320A7897"/>
    <w:rsid w:val="320C7AB3"/>
    <w:rsid w:val="320D7387"/>
    <w:rsid w:val="3212499D"/>
    <w:rsid w:val="32146851"/>
    <w:rsid w:val="32146967"/>
    <w:rsid w:val="321574BA"/>
    <w:rsid w:val="3216448E"/>
    <w:rsid w:val="32186662"/>
    <w:rsid w:val="321B1AA4"/>
    <w:rsid w:val="3220530C"/>
    <w:rsid w:val="322272D6"/>
    <w:rsid w:val="32230959"/>
    <w:rsid w:val="32250B75"/>
    <w:rsid w:val="322700A2"/>
    <w:rsid w:val="32285F6F"/>
    <w:rsid w:val="322C3CB1"/>
    <w:rsid w:val="322D17D7"/>
    <w:rsid w:val="32342B66"/>
    <w:rsid w:val="32346F6E"/>
    <w:rsid w:val="3236068C"/>
    <w:rsid w:val="323D1A1A"/>
    <w:rsid w:val="323D5EBE"/>
    <w:rsid w:val="3240775C"/>
    <w:rsid w:val="324463DD"/>
    <w:rsid w:val="3244724D"/>
    <w:rsid w:val="32454D73"/>
    <w:rsid w:val="32553A33"/>
    <w:rsid w:val="32572665"/>
    <w:rsid w:val="325D030E"/>
    <w:rsid w:val="325E65A4"/>
    <w:rsid w:val="325E7BE3"/>
    <w:rsid w:val="325F5E35"/>
    <w:rsid w:val="32607DFF"/>
    <w:rsid w:val="32627778"/>
    <w:rsid w:val="32662F17"/>
    <w:rsid w:val="32674CE9"/>
    <w:rsid w:val="326A2A2B"/>
    <w:rsid w:val="326E6078"/>
    <w:rsid w:val="3270063B"/>
    <w:rsid w:val="327062C3"/>
    <w:rsid w:val="327318E0"/>
    <w:rsid w:val="32755658"/>
    <w:rsid w:val="32780CA4"/>
    <w:rsid w:val="327B3EDA"/>
    <w:rsid w:val="3284589B"/>
    <w:rsid w:val="32870003"/>
    <w:rsid w:val="32892343"/>
    <w:rsid w:val="32894C60"/>
    <w:rsid w:val="328C0BF4"/>
    <w:rsid w:val="32935ADE"/>
    <w:rsid w:val="32957AA8"/>
    <w:rsid w:val="329655CE"/>
    <w:rsid w:val="329A6E6D"/>
    <w:rsid w:val="329D3D7F"/>
    <w:rsid w:val="32A001FB"/>
    <w:rsid w:val="32A41A99"/>
    <w:rsid w:val="32A970B0"/>
    <w:rsid w:val="32AF043E"/>
    <w:rsid w:val="32B11FA7"/>
    <w:rsid w:val="32BA750F"/>
    <w:rsid w:val="32C0264B"/>
    <w:rsid w:val="32C97752"/>
    <w:rsid w:val="32D00AE0"/>
    <w:rsid w:val="32D22AAA"/>
    <w:rsid w:val="32D25E7D"/>
    <w:rsid w:val="32D45E30"/>
    <w:rsid w:val="32D463B2"/>
    <w:rsid w:val="32DA54BB"/>
    <w:rsid w:val="32DD144F"/>
    <w:rsid w:val="32E12CEE"/>
    <w:rsid w:val="32E225C2"/>
    <w:rsid w:val="32EC51EE"/>
    <w:rsid w:val="32F01183"/>
    <w:rsid w:val="32F02F31"/>
    <w:rsid w:val="32F26CA9"/>
    <w:rsid w:val="32F5285C"/>
    <w:rsid w:val="32F56799"/>
    <w:rsid w:val="32F6606D"/>
    <w:rsid w:val="32FE389F"/>
    <w:rsid w:val="33042538"/>
    <w:rsid w:val="33062754"/>
    <w:rsid w:val="330B3798"/>
    <w:rsid w:val="331309CD"/>
    <w:rsid w:val="33150BE9"/>
    <w:rsid w:val="331704BD"/>
    <w:rsid w:val="33174961"/>
    <w:rsid w:val="33184235"/>
    <w:rsid w:val="331A61FF"/>
    <w:rsid w:val="331B2F73"/>
    <w:rsid w:val="33265EB1"/>
    <w:rsid w:val="33266952"/>
    <w:rsid w:val="33274478"/>
    <w:rsid w:val="332901F1"/>
    <w:rsid w:val="33296443"/>
    <w:rsid w:val="332B21BB"/>
    <w:rsid w:val="332C05E2"/>
    <w:rsid w:val="3330157F"/>
    <w:rsid w:val="33305A23"/>
    <w:rsid w:val="33364A50"/>
    <w:rsid w:val="333756F5"/>
    <w:rsid w:val="333E1EEE"/>
    <w:rsid w:val="333F3E87"/>
    <w:rsid w:val="334119DE"/>
    <w:rsid w:val="3341553A"/>
    <w:rsid w:val="3344502A"/>
    <w:rsid w:val="334943EF"/>
    <w:rsid w:val="334B0167"/>
    <w:rsid w:val="334B460B"/>
    <w:rsid w:val="334B63B9"/>
    <w:rsid w:val="3353526D"/>
    <w:rsid w:val="335D7E9A"/>
    <w:rsid w:val="335E60EC"/>
    <w:rsid w:val="3361798A"/>
    <w:rsid w:val="33641229"/>
    <w:rsid w:val="33661445"/>
    <w:rsid w:val="33704071"/>
    <w:rsid w:val="337A6C9E"/>
    <w:rsid w:val="33835108"/>
    <w:rsid w:val="33890C8F"/>
    <w:rsid w:val="338E62A6"/>
    <w:rsid w:val="33904E70"/>
    <w:rsid w:val="339733AC"/>
    <w:rsid w:val="339C09C3"/>
    <w:rsid w:val="33A31D51"/>
    <w:rsid w:val="33A45AC9"/>
    <w:rsid w:val="33A53D1B"/>
    <w:rsid w:val="33AA7583"/>
    <w:rsid w:val="33AB1A78"/>
    <w:rsid w:val="33AD7074"/>
    <w:rsid w:val="33B4169A"/>
    <w:rsid w:val="33BF0D95"/>
    <w:rsid w:val="33C341A1"/>
    <w:rsid w:val="33C63C91"/>
    <w:rsid w:val="33CF0D98"/>
    <w:rsid w:val="33D07732"/>
    <w:rsid w:val="33D62126"/>
    <w:rsid w:val="33D91C17"/>
    <w:rsid w:val="33DA2253"/>
    <w:rsid w:val="33DC34B5"/>
    <w:rsid w:val="33E56A2B"/>
    <w:rsid w:val="33EB36F8"/>
    <w:rsid w:val="33F00D0E"/>
    <w:rsid w:val="33F22CD8"/>
    <w:rsid w:val="33F425AD"/>
    <w:rsid w:val="33F97BC3"/>
    <w:rsid w:val="33FC5905"/>
    <w:rsid w:val="33FE167D"/>
    <w:rsid w:val="33FF675D"/>
    <w:rsid w:val="34012F1B"/>
    <w:rsid w:val="3402116D"/>
    <w:rsid w:val="34074178"/>
    <w:rsid w:val="34074D73"/>
    <w:rsid w:val="340824FC"/>
    <w:rsid w:val="3408281D"/>
    <w:rsid w:val="340842AA"/>
    <w:rsid w:val="340C5B48"/>
    <w:rsid w:val="340D366E"/>
    <w:rsid w:val="340F3735"/>
    <w:rsid w:val="340F388A"/>
    <w:rsid w:val="341964B7"/>
    <w:rsid w:val="341D5FA7"/>
    <w:rsid w:val="341E1D1F"/>
    <w:rsid w:val="342804A8"/>
    <w:rsid w:val="342866FA"/>
    <w:rsid w:val="342D3D10"/>
    <w:rsid w:val="34321327"/>
    <w:rsid w:val="3434029F"/>
    <w:rsid w:val="34350021"/>
    <w:rsid w:val="34391442"/>
    <w:rsid w:val="343B01DB"/>
    <w:rsid w:val="343B7960"/>
    <w:rsid w:val="343F1C5A"/>
    <w:rsid w:val="34403A44"/>
    <w:rsid w:val="344F012B"/>
    <w:rsid w:val="344F4A69"/>
    <w:rsid w:val="34545741"/>
    <w:rsid w:val="34565015"/>
    <w:rsid w:val="345B262C"/>
    <w:rsid w:val="346644D8"/>
    <w:rsid w:val="346C5D96"/>
    <w:rsid w:val="346C65E7"/>
    <w:rsid w:val="347100A1"/>
    <w:rsid w:val="34757B91"/>
    <w:rsid w:val="34782B79"/>
    <w:rsid w:val="347831DE"/>
    <w:rsid w:val="347A3B83"/>
    <w:rsid w:val="347E631A"/>
    <w:rsid w:val="34815D00"/>
    <w:rsid w:val="34831B82"/>
    <w:rsid w:val="348921E8"/>
    <w:rsid w:val="3489363D"/>
    <w:rsid w:val="348D1FF9"/>
    <w:rsid w:val="348E2A01"/>
    <w:rsid w:val="34906EBC"/>
    <w:rsid w:val="349510FE"/>
    <w:rsid w:val="34963664"/>
    <w:rsid w:val="349B511E"/>
    <w:rsid w:val="349B6ECC"/>
    <w:rsid w:val="349D2C44"/>
    <w:rsid w:val="34AA5361"/>
    <w:rsid w:val="34AE72C0"/>
    <w:rsid w:val="34AF1410"/>
    <w:rsid w:val="34AF1A76"/>
    <w:rsid w:val="34B00BC9"/>
    <w:rsid w:val="34B10BAF"/>
    <w:rsid w:val="34B32468"/>
    <w:rsid w:val="34B41D3C"/>
    <w:rsid w:val="34B47F8E"/>
    <w:rsid w:val="34B63D06"/>
    <w:rsid w:val="34BA37F6"/>
    <w:rsid w:val="34BE1384"/>
    <w:rsid w:val="34BE5ABB"/>
    <w:rsid w:val="34BF4CAA"/>
    <w:rsid w:val="34C06933"/>
    <w:rsid w:val="34C53F49"/>
    <w:rsid w:val="34C658FC"/>
    <w:rsid w:val="34C6696F"/>
    <w:rsid w:val="34C81410"/>
    <w:rsid w:val="34CE2DFE"/>
    <w:rsid w:val="34D67F04"/>
    <w:rsid w:val="34D84DA0"/>
    <w:rsid w:val="34DA79F4"/>
    <w:rsid w:val="34E268A9"/>
    <w:rsid w:val="34EC12FA"/>
    <w:rsid w:val="34EC3EA5"/>
    <w:rsid w:val="34EC7728"/>
    <w:rsid w:val="34ED3B35"/>
    <w:rsid w:val="34ED3C88"/>
    <w:rsid w:val="34F30AB6"/>
    <w:rsid w:val="34F32864"/>
    <w:rsid w:val="34F52A80"/>
    <w:rsid w:val="34F605A6"/>
    <w:rsid w:val="34F860CC"/>
    <w:rsid w:val="34FC6942"/>
    <w:rsid w:val="34FE1204"/>
    <w:rsid w:val="34FF745B"/>
    <w:rsid w:val="35026F4B"/>
    <w:rsid w:val="351006CF"/>
    <w:rsid w:val="351078BA"/>
    <w:rsid w:val="351153E0"/>
    <w:rsid w:val="35134CB4"/>
    <w:rsid w:val="35150A2C"/>
    <w:rsid w:val="351B6F23"/>
    <w:rsid w:val="351C625F"/>
    <w:rsid w:val="351E0F4D"/>
    <w:rsid w:val="351F18AB"/>
    <w:rsid w:val="351F7AFD"/>
    <w:rsid w:val="3522139B"/>
    <w:rsid w:val="35260E8C"/>
    <w:rsid w:val="35262C3A"/>
    <w:rsid w:val="352670DE"/>
    <w:rsid w:val="352B0250"/>
    <w:rsid w:val="352F5EF9"/>
    <w:rsid w:val="35305866"/>
    <w:rsid w:val="35366BF5"/>
    <w:rsid w:val="35374E47"/>
    <w:rsid w:val="353F5AA9"/>
    <w:rsid w:val="35487054"/>
    <w:rsid w:val="35496928"/>
    <w:rsid w:val="354D6418"/>
    <w:rsid w:val="354F3995"/>
    <w:rsid w:val="35521E85"/>
    <w:rsid w:val="35523A2F"/>
    <w:rsid w:val="355359F9"/>
    <w:rsid w:val="355552CD"/>
    <w:rsid w:val="35567A22"/>
    <w:rsid w:val="3558300F"/>
    <w:rsid w:val="355A0B35"/>
    <w:rsid w:val="355C2AFF"/>
    <w:rsid w:val="35624D04"/>
    <w:rsid w:val="35650039"/>
    <w:rsid w:val="356579BA"/>
    <w:rsid w:val="3566572C"/>
    <w:rsid w:val="356976B5"/>
    <w:rsid w:val="356B2D42"/>
    <w:rsid w:val="356D0868"/>
    <w:rsid w:val="356D139C"/>
    <w:rsid w:val="356E638F"/>
    <w:rsid w:val="357A2F85"/>
    <w:rsid w:val="357E0CC8"/>
    <w:rsid w:val="35814314"/>
    <w:rsid w:val="358160C2"/>
    <w:rsid w:val="35872AD1"/>
    <w:rsid w:val="358856A2"/>
    <w:rsid w:val="35887450"/>
    <w:rsid w:val="358B5193"/>
    <w:rsid w:val="358E55C9"/>
    <w:rsid w:val="358E6A31"/>
    <w:rsid w:val="3592207D"/>
    <w:rsid w:val="35935DF5"/>
    <w:rsid w:val="35944047"/>
    <w:rsid w:val="35951B6D"/>
    <w:rsid w:val="3598340C"/>
    <w:rsid w:val="359A3628"/>
    <w:rsid w:val="359A7184"/>
    <w:rsid w:val="35A10512"/>
    <w:rsid w:val="35A54D29"/>
    <w:rsid w:val="35A63D7A"/>
    <w:rsid w:val="35AB313F"/>
    <w:rsid w:val="35AF70D3"/>
    <w:rsid w:val="35B6520A"/>
    <w:rsid w:val="35B71C5A"/>
    <w:rsid w:val="35B91D00"/>
    <w:rsid w:val="35BC17F0"/>
    <w:rsid w:val="35BE7316"/>
    <w:rsid w:val="35C10BB4"/>
    <w:rsid w:val="35C16E06"/>
    <w:rsid w:val="35C506A4"/>
    <w:rsid w:val="35C661CB"/>
    <w:rsid w:val="35C96686"/>
    <w:rsid w:val="35C97A69"/>
    <w:rsid w:val="35CE6E2D"/>
    <w:rsid w:val="35DA1C76"/>
    <w:rsid w:val="35DC779C"/>
    <w:rsid w:val="35DE52C2"/>
    <w:rsid w:val="35DF78D2"/>
    <w:rsid w:val="35E106B5"/>
    <w:rsid w:val="35E86141"/>
    <w:rsid w:val="35EB36EB"/>
    <w:rsid w:val="35EB3E83"/>
    <w:rsid w:val="35ED19A9"/>
    <w:rsid w:val="35F1149A"/>
    <w:rsid w:val="35F25212"/>
    <w:rsid w:val="35F40F8A"/>
    <w:rsid w:val="35FB40C6"/>
    <w:rsid w:val="35FD7963"/>
    <w:rsid w:val="35FE5964"/>
    <w:rsid w:val="35FE6D46"/>
    <w:rsid w:val="360607D9"/>
    <w:rsid w:val="36064819"/>
    <w:rsid w:val="36070CBD"/>
    <w:rsid w:val="360A255B"/>
    <w:rsid w:val="36140CE4"/>
    <w:rsid w:val="36145188"/>
    <w:rsid w:val="36190C5C"/>
    <w:rsid w:val="3619454C"/>
    <w:rsid w:val="361A5E43"/>
    <w:rsid w:val="361C5DEB"/>
    <w:rsid w:val="361E1B63"/>
    <w:rsid w:val="36211653"/>
    <w:rsid w:val="36213401"/>
    <w:rsid w:val="36274EBB"/>
    <w:rsid w:val="362829E1"/>
    <w:rsid w:val="36286772"/>
    <w:rsid w:val="362A675A"/>
    <w:rsid w:val="362F1FC2"/>
    <w:rsid w:val="362F3D70"/>
    <w:rsid w:val="363C023B"/>
    <w:rsid w:val="363D616D"/>
    <w:rsid w:val="363E2205"/>
    <w:rsid w:val="3647730B"/>
    <w:rsid w:val="364D069A"/>
    <w:rsid w:val="36511F38"/>
    <w:rsid w:val="36541A28"/>
    <w:rsid w:val="36581519"/>
    <w:rsid w:val="36590DED"/>
    <w:rsid w:val="36681030"/>
    <w:rsid w:val="36687282"/>
    <w:rsid w:val="366C0B20"/>
    <w:rsid w:val="366F6862"/>
    <w:rsid w:val="367342D5"/>
    <w:rsid w:val="36740D47"/>
    <w:rsid w:val="36745C27"/>
    <w:rsid w:val="367A3AEA"/>
    <w:rsid w:val="3680580C"/>
    <w:rsid w:val="368D6CE8"/>
    <w:rsid w:val="369260AD"/>
    <w:rsid w:val="369342FF"/>
    <w:rsid w:val="36981915"/>
    <w:rsid w:val="36997E62"/>
    <w:rsid w:val="369B7657"/>
    <w:rsid w:val="369D517D"/>
    <w:rsid w:val="369E0EF6"/>
    <w:rsid w:val="36A20D4C"/>
    <w:rsid w:val="36A367C1"/>
    <w:rsid w:val="36A52284"/>
    <w:rsid w:val="36AC3612"/>
    <w:rsid w:val="36AD2EE7"/>
    <w:rsid w:val="36AF32A7"/>
    <w:rsid w:val="36B97ADD"/>
    <w:rsid w:val="36BD5820"/>
    <w:rsid w:val="36C02C1A"/>
    <w:rsid w:val="36C4095C"/>
    <w:rsid w:val="36C41E85"/>
    <w:rsid w:val="36C420A7"/>
    <w:rsid w:val="36C43AD6"/>
    <w:rsid w:val="36C47EB2"/>
    <w:rsid w:val="36C774C5"/>
    <w:rsid w:val="36CC15BF"/>
    <w:rsid w:val="36CF4243"/>
    <w:rsid w:val="36D3294D"/>
    <w:rsid w:val="36D40252"/>
    <w:rsid w:val="36D52B69"/>
    <w:rsid w:val="36D6068F"/>
    <w:rsid w:val="36DB5CA6"/>
    <w:rsid w:val="36DB7A54"/>
    <w:rsid w:val="36DE12F2"/>
    <w:rsid w:val="36DF7544"/>
    <w:rsid w:val="36E42DAC"/>
    <w:rsid w:val="36EE59D9"/>
    <w:rsid w:val="36F34D9D"/>
    <w:rsid w:val="36F5556E"/>
    <w:rsid w:val="36F823B4"/>
    <w:rsid w:val="36F9612C"/>
    <w:rsid w:val="36FD5C1C"/>
    <w:rsid w:val="3700570C"/>
    <w:rsid w:val="37022674"/>
    <w:rsid w:val="37024FE0"/>
    <w:rsid w:val="370264AE"/>
    <w:rsid w:val="37041678"/>
    <w:rsid w:val="370A0339"/>
    <w:rsid w:val="370E1BD7"/>
    <w:rsid w:val="371371EE"/>
    <w:rsid w:val="37166CDE"/>
    <w:rsid w:val="371D1E1A"/>
    <w:rsid w:val="371F3DE4"/>
    <w:rsid w:val="371F65FA"/>
    <w:rsid w:val="372413FB"/>
    <w:rsid w:val="372633C5"/>
    <w:rsid w:val="37272C99"/>
    <w:rsid w:val="372A4537"/>
    <w:rsid w:val="372B09DB"/>
    <w:rsid w:val="37307DA0"/>
    <w:rsid w:val="37313B18"/>
    <w:rsid w:val="373158C6"/>
    <w:rsid w:val="37335AE2"/>
    <w:rsid w:val="37353608"/>
    <w:rsid w:val="373553B6"/>
    <w:rsid w:val="373830F8"/>
    <w:rsid w:val="37407194"/>
    <w:rsid w:val="37427AD3"/>
    <w:rsid w:val="37476E97"/>
    <w:rsid w:val="374C0952"/>
    <w:rsid w:val="374E2D59"/>
    <w:rsid w:val="374E40B8"/>
    <w:rsid w:val="375515B4"/>
    <w:rsid w:val="37557806"/>
    <w:rsid w:val="375717D0"/>
    <w:rsid w:val="375C6DE7"/>
    <w:rsid w:val="375D2B5F"/>
    <w:rsid w:val="375F0685"/>
    <w:rsid w:val="375F2433"/>
    <w:rsid w:val="37607F59"/>
    <w:rsid w:val="376932B2"/>
    <w:rsid w:val="376C68FE"/>
    <w:rsid w:val="377F4883"/>
    <w:rsid w:val="37873738"/>
    <w:rsid w:val="37963E29"/>
    <w:rsid w:val="379677E9"/>
    <w:rsid w:val="379B110E"/>
    <w:rsid w:val="379C5435"/>
    <w:rsid w:val="37A159D8"/>
    <w:rsid w:val="37A367C3"/>
    <w:rsid w:val="37A8202C"/>
    <w:rsid w:val="37A83DDA"/>
    <w:rsid w:val="37AC319E"/>
    <w:rsid w:val="37B207B5"/>
    <w:rsid w:val="37B35C54"/>
    <w:rsid w:val="37B465D2"/>
    <w:rsid w:val="37B671A6"/>
    <w:rsid w:val="37B7226F"/>
    <w:rsid w:val="37B95FE7"/>
    <w:rsid w:val="37BC7885"/>
    <w:rsid w:val="37BE184F"/>
    <w:rsid w:val="37BE35FD"/>
    <w:rsid w:val="37BF7375"/>
    <w:rsid w:val="37C404E8"/>
    <w:rsid w:val="37C64260"/>
    <w:rsid w:val="37C736C3"/>
    <w:rsid w:val="37CB5D1A"/>
    <w:rsid w:val="37CD1A92"/>
    <w:rsid w:val="37D03331"/>
    <w:rsid w:val="37D22C05"/>
    <w:rsid w:val="37D3697D"/>
    <w:rsid w:val="37D50947"/>
    <w:rsid w:val="37D526F5"/>
    <w:rsid w:val="37D90437"/>
    <w:rsid w:val="37DA41AF"/>
    <w:rsid w:val="37E352AA"/>
    <w:rsid w:val="37E40B8A"/>
    <w:rsid w:val="37E868CC"/>
    <w:rsid w:val="37ED5C91"/>
    <w:rsid w:val="37EF7C5B"/>
    <w:rsid w:val="37F012DD"/>
    <w:rsid w:val="37F54B45"/>
    <w:rsid w:val="37F86DB7"/>
    <w:rsid w:val="37FA0714"/>
    <w:rsid w:val="37FB0D0F"/>
    <w:rsid w:val="37FC2378"/>
    <w:rsid w:val="37FC4126"/>
    <w:rsid w:val="37FF37CD"/>
    <w:rsid w:val="380354B4"/>
    <w:rsid w:val="38066D52"/>
    <w:rsid w:val="38082ACA"/>
    <w:rsid w:val="38084878"/>
    <w:rsid w:val="38097EDE"/>
    <w:rsid w:val="38123949"/>
    <w:rsid w:val="38190834"/>
    <w:rsid w:val="381E22EE"/>
    <w:rsid w:val="38213B8C"/>
    <w:rsid w:val="38260B47"/>
    <w:rsid w:val="382D0783"/>
    <w:rsid w:val="382D42DF"/>
    <w:rsid w:val="38305B7D"/>
    <w:rsid w:val="383218F5"/>
    <w:rsid w:val="3834566E"/>
    <w:rsid w:val="383733B0"/>
    <w:rsid w:val="383C2774"/>
    <w:rsid w:val="38402B7E"/>
    <w:rsid w:val="38431D54"/>
    <w:rsid w:val="384358B1"/>
    <w:rsid w:val="384653A1"/>
    <w:rsid w:val="384A30E3"/>
    <w:rsid w:val="384C6E5B"/>
    <w:rsid w:val="385054B4"/>
    <w:rsid w:val="3852626E"/>
    <w:rsid w:val="38543F62"/>
    <w:rsid w:val="3857135C"/>
    <w:rsid w:val="38593C76"/>
    <w:rsid w:val="385A07E5"/>
    <w:rsid w:val="385B52F0"/>
    <w:rsid w:val="385E093C"/>
    <w:rsid w:val="385E26EA"/>
    <w:rsid w:val="38602906"/>
    <w:rsid w:val="3862667F"/>
    <w:rsid w:val="38637D01"/>
    <w:rsid w:val="38675D29"/>
    <w:rsid w:val="386A108F"/>
    <w:rsid w:val="386A4F97"/>
    <w:rsid w:val="3871752A"/>
    <w:rsid w:val="3872263A"/>
    <w:rsid w:val="3876390A"/>
    <w:rsid w:val="38787C50"/>
    <w:rsid w:val="38797524"/>
    <w:rsid w:val="387A419F"/>
    <w:rsid w:val="387E5850"/>
    <w:rsid w:val="387F4B36"/>
    <w:rsid w:val="3883302E"/>
    <w:rsid w:val="38877E93"/>
    <w:rsid w:val="38887767"/>
    <w:rsid w:val="38974E77"/>
    <w:rsid w:val="38995E18"/>
    <w:rsid w:val="389B393F"/>
    <w:rsid w:val="389D198B"/>
    <w:rsid w:val="389E008F"/>
    <w:rsid w:val="389E51DD"/>
    <w:rsid w:val="389E6F8B"/>
    <w:rsid w:val="38A02D03"/>
    <w:rsid w:val="38A07E13"/>
    <w:rsid w:val="38A210C6"/>
    <w:rsid w:val="38A327F3"/>
    <w:rsid w:val="38A44724"/>
    <w:rsid w:val="38A722E3"/>
    <w:rsid w:val="38A94C99"/>
    <w:rsid w:val="38AA1DD4"/>
    <w:rsid w:val="38AA3B82"/>
    <w:rsid w:val="38AC16A8"/>
    <w:rsid w:val="38AE3672"/>
    <w:rsid w:val="38AF2F46"/>
    <w:rsid w:val="38B36EDA"/>
    <w:rsid w:val="38B4055C"/>
    <w:rsid w:val="38B642D4"/>
    <w:rsid w:val="38BE1A4C"/>
    <w:rsid w:val="38C22C79"/>
    <w:rsid w:val="38C33C4E"/>
    <w:rsid w:val="38C369F1"/>
    <w:rsid w:val="38C42E95"/>
    <w:rsid w:val="38C5276A"/>
    <w:rsid w:val="38C8225A"/>
    <w:rsid w:val="38CC58A6"/>
    <w:rsid w:val="38CC7F9C"/>
    <w:rsid w:val="38CD7870"/>
    <w:rsid w:val="38D30D48"/>
    <w:rsid w:val="38D31238"/>
    <w:rsid w:val="38D429AD"/>
    <w:rsid w:val="38D6246F"/>
    <w:rsid w:val="38D62BC9"/>
    <w:rsid w:val="38D7365B"/>
    <w:rsid w:val="38D8249D"/>
    <w:rsid w:val="38D86941"/>
    <w:rsid w:val="38DB01DF"/>
    <w:rsid w:val="38DB1F8D"/>
    <w:rsid w:val="38DE382B"/>
    <w:rsid w:val="38E30E42"/>
    <w:rsid w:val="38E42223"/>
    <w:rsid w:val="38E76B84"/>
    <w:rsid w:val="38E946AA"/>
    <w:rsid w:val="38EE7F12"/>
    <w:rsid w:val="38F00189"/>
    <w:rsid w:val="38F1355F"/>
    <w:rsid w:val="38F372D7"/>
    <w:rsid w:val="38F5276B"/>
    <w:rsid w:val="38F80D91"/>
    <w:rsid w:val="38FA68B7"/>
    <w:rsid w:val="38FB618B"/>
    <w:rsid w:val="390C2146"/>
    <w:rsid w:val="390D7134"/>
    <w:rsid w:val="39111E53"/>
    <w:rsid w:val="391131FE"/>
    <w:rsid w:val="39113C01"/>
    <w:rsid w:val="39190452"/>
    <w:rsid w:val="391B35CB"/>
    <w:rsid w:val="391E1E7A"/>
    <w:rsid w:val="39290FEC"/>
    <w:rsid w:val="392E6561"/>
    <w:rsid w:val="393F3129"/>
    <w:rsid w:val="39495149"/>
    <w:rsid w:val="394E275F"/>
    <w:rsid w:val="394F0285"/>
    <w:rsid w:val="395064D7"/>
    <w:rsid w:val="39616936"/>
    <w:rsid w:val="39635ADA"/>
    <w:rsid w:val="396C7089"/>
    <w:rsid w:val="396E7A6D"/>
    <w:rsid w:val="39736669"/>
    <w:rsid w:val="39754190"/>
    <w:rsid w:val="39783C80"/>
    <w:rsid w:val="397D4DF2"/>
    <w:rsid w:val="39812B34"/>
    <w:rsid w:val="39873EC3"/>
    <w:rsid w:val="39897C3B"/>
    <w:rsid w:val="398B750F"/>
    <w:rsid w:val="398E5251"/>
    <w:rsid w:val="399211D7"/>
    <w:rsid w:val="39932868"/>
    <w:rsid w:val="39974106"/>
    <w:rsid w:val="39A93E39"/>
    <w:rsid w:val="39AB7BB1"/>
    <w:rsid w:val="39AD4279"/>
    <w:rsid w:val="39BA7DF4"/>
    <w:rsid w:val="39C742BF"/>
    <w:rsid w:val="39C80763"/>
    <w:rsid w:val="39CD7B28"/>
    <w:rsid w:val="39CE564E"/>
    <w:rsid w:val="39D30D2A"/>
    <w:rsid w:val="39D57883"/>
    <w:rsid w:val="39D72754"/>
    <w:rsid w:val="39DA3296"/>
    <w:rsid w:val="39E94E1D"/>
    <w:rsid w:val="39EA1CCC"/>
    <w:rsid w:val="39F350B4"/>
    <w:rsid w:val="39F50E2C"/>
    <w:rsid w:val="39FA4695"/>
    <w:rsid w:val="39FC21BB"/>
    <w:rsid w:val="3A0177D1"/>
    <w:rsid w:val="3A04538C"/>
    <w:rsid w:val="3A045513"/>
    <w:rsid w:val="3A06303A"/>
    <w:rsid w:val="3A105C66"/>
    <w:rsid w:val="3A12378C"/>
    <w:rsid w:val="3A176FF5"/>
    <w:rsid w:val="3A1A0893"/>
    <w:rsid w:val="3A1F40FB"/>
    <w:rsid w:val="3A245508"/>
    <w:rsid w:val="3A264483"/>
    <w:rsid w:val="3A26548A"/>
    <w:rsid w:val="3A2D05C6"/>
    <w:rsid w:val="3A2F07E2"/>
    <w:rsid w:val="3A325BDD"/>
    <w:rsid w:val="3A373772"/>
    <w:rsid w:val="3A3951BD"/>
    <w:rsid w:val="3A396F6B"/>
    <w:rsid w:val="3A3C4CAD"/>
    <w:rsid w:val="3A3C70DA"/>
    <w:rsid w:val="3A3E27D3"/>
    <w:rsid w:val="3A414EA2"/>
    <w:rsid w:val="3A43603C"/>
    <w:rsid w:val="3A540249"/>
    <w:rsid w:val="3A573895"/>
    <w:rsid w:val="3A612966"/>
    <w:rsid w:val="3A6164C2"/>
    <w:rsid w:val="3A63223A"/>
    <w:rsid w:val="3A6E37BE"/>
    <w:rsid w:val="3A6F5083"/>
    <w:rsid w:val="3A7206CF"/>
    <w:rsid w:val="3A77322B"/>
    <w:rsid w:val="3A7A7584"/>
    <w:rsid w:val="3A7E0E22"/>
    <w:rsid w:val="3A816B64"/>
    <w:rsid w:val="3A83468A"/>
    <w:rsid w:val="3A8C5E79"/>
    <w:rsid w:val="3A8E5D10"/>
    <w:rsid w:val="3A922B1F"/>
    <w:rsid w:val="3A995C5C"/>
    <w:rsid w:val="3A9A2363"/>
    <w:rsid w:val="3A9C74FA"/>
    <w:rsid w:val="3AA54601"/>
    <w:rsid w:val="3AA84368"/>
    <w:rsid w:val="3AAC1E33"/>
    <w:rsid w:val="3AAD68F3"/>
    <w:rsid w:val="3AAD7959"/>
    <w:rsid w:val="3AAF722D"/>
    <w:rsid w:val="3AB26D1E"/>
    <w:rsid w:val="3AB40CE8"/>
    <w:rsid w:val="3AB807D8"/>
    <w:rsid w:val="3ABC194A"/>
    <w:rsid w:val="3ABD4CA7"/>
    <w:rsid w:val="3ABE56C2"/>
    <w:rsid w:val="3AC23405"/>
    <w:rsid w:val="3AC30F2B"/>
    <w:rsid w:val="3AC56A51"/>
    <w:rsid w:val="3ACA4067"/>
    <w:rsid w:val="3ACD1DA9"/>
    <w:rsid w:val="3ACF167E"/>
    <w:rsid w:val="3AD0485E"/>
    <w:rsid w:val="3AD257FB"/>
    <w:rsid w:val="3AD642BB"/>
    <w:rsid w:val="3AD76784"/>
    <w:rsid w:val="3AD82C28"/>
    <w:rsid w:val="3ADB6274"/>
    <w:rsid w:val="3AE11A4E"/>
    <w:rsid w:val="3AE96BE3"/>
    <w:rsid w:val="3AF02707"/>
    <w:rsid w:val="3AF143FE"/>
    <w:rsid w:val="3AF235BE"/>
    <w:rsid w:val="3AF61300"/>
    <w:rsid w:val="3AF70BD4"/>
    <w:rsid w:val="3AF92329"/>
    <w:rsid w:val="3AFD268F"/>
    <w:rsid w:val="3B051543"/>
    <w:rsid w:val="3B070E17"/>
    <w:rsid w:val="3B082DE1"/>
    <w:rsid w:val="3B0A6B5A"/>
    <w:rsid w:val="3B0C4680"/>
    <w:rsid w:val="3B0E1700"/>
    <w:rsid w:val="3B10495E"/>
    <w:rsid w:val="3B182771"/>
    <w:rsid w:val="3B1D688D"/>
    <w:rsid w:val="3B20012B"/>
    <w:rsid w:val="3B23543A"/>
    <w:rsid w:val="3B247C1B"/>
    <w:rsid w:val="3B251BE5"/>
    <w:rsid w:val="3B2753A7"/>
    <w:rsid w:val="3B292B69"/>
    <w:rsid w:val="3B2A4FB6"/>
    <w:rsid w:val="3B2A716E"/>
    <w:rsid w:val="3B2D45F6"/>
    <w:rsid w:val="3B2F036E"/>
    <w:rsid w:val="3B337E5E"/>
    <w:rsid w:val="3B392F9B"/>
    <w:rsid w:val="3B3D3DF1"/>
    <w:rsid w:val="3B3E6DAB"/>
    <w:rsid w:val="3B457B92"/>
    <w:rsid w:val="3B471B5C"/>
    <w:rsid w:val="3B4A0741"/>
    <w:rsid w:val="3B4C7172"/>
    <w:rsid w:val="3B506C62"/>
    <w:rsid w:val="3B514788"/>
    <w:rsid w:val="3B516536"/>
    <w:rsid w:val="3B55695D"/>
    <w:rsid w:val="3B691AD2"/>
    <w:rsid w:val="3B6A75F8"/>
    <w:rsid w:val="3B6B615A"/>
    <w:rsid w:val="3B7010B2"/>
    <w:rsid w:val="3B762441"/>
    <w:rsid w:val="3B793093"/>
    <w:rsid w:val="3B7A783B"/>
    <w:rsid w:val="3B7B1805"/>
    <w:rsid w:val="3B862684"/>
    <w:rsid w:val="3B8B032E"/>
    <w:rsid w:val="3B902ED6"/>
    <w:rsid w:val="3B903503"/>
    <w:rsid w:val="3B912DD7"/>
    <w:rsid w:val="3B9308FD"/>
    <w:rsid w:val="3B932D9C"/>
    <w:rsid w:val="3B9603ED"/>
    <w:rsid w:val="3B9A1C8B"/>
    <w:rsid w:val="3B9B5A04"/>
    <w:rsid w:val="3B9E00AB"/>
    <w:rsid w:val="3BA1126C"/>
    <w:rsid w:val="3BA448B8"/>
    <w:rsid w:val="3BAB4D00"/>
    <w:rsid w:val="3BAE3989"/>
    <w:rsid w:val="3BAE5737"/>
    <w:rsid w:val="3BB15227"/>
    <w:rsid w:val="3BBA0580"/>
    <w:rsid w:val="3BBD3BCC"/>
    <w:rsid w:val="3BBD6D16"/>
    <w:rsid w:val="3BC136BC"/>
    <w:rsid w:val="3BC82C9D"/>
    <w:rsid w:val="3BC903EA"/>
    <w:rsid w:val="3BC92571"/>
    <w:rsid w:val="3BCB0097"/>
    <w:rsid w:val="3BD26834"/>
    <w:rsid w:val="3BD333EF"/>
    <w:rsid w:val="3BD74C8E"/>
    <w:rsid w:val="3BD83F86"/>
    <w:rsid w:val="3BE178BA"/>
    <w:rsid w:val="3BE473AB"/>
    <w:rsid w:val="3BF70E8C"/>
    <w:rsid w:val="3BFA097C"/>
    <w:rsid w:val="3BFB3B3D"/>
    <w:rsid w:val="3BFF5F92"/>
    <w:rsid w:val="3C030AB7"/>
    <w:rsid w:val="3C065573"/>
    <w:rsid w:val="3C0B2B89"/>
    <w:rsid w:val="3C0D6901"/>
    <w:rsid w:val="3C0E61D6"/>
    <w:rsid w:val="3C145EE2"/>
    <w:rsid w:val="3C19288C"/>
    <w:rsid w:val="3C1A2DCC"/>
    <w:rsid w:val="3C1C4D96"/>
    <w:rsid w:val="3C1C7C06"/>
    <w:rsid w:val="3C1F6635"/>
    <w:rsid w:val="3C2105FF"/>
    <w:rsid w:val="3C2123AD"/>
    <w:rsid w:val="3C21415B"/>
    <w:rsid w:val="3C243C4B"/>
    <w:rsid w:val="3C255101"/>
    <w:rsid w:val="3C2E6878"/>
    <w:rsid w:val="3C37572C"/>
    <w:rsid w:val="3C3C71E7"/>
    <w:rsid w:val="3C3D6ABB"/>
    <w:rsid w:val="3C3E2F5F"/>
    <w:rsid w:val="3C3E4D0D"/>
    <w:rsid w:val="3C4165AB"/>
    <w:rsid w:val="3C4340D1"/>
    <w:rsid w:val="3C447E49"/>
    <w:rsid w:val="3C452D6E"/>
    <w:rsid w:val="3C463BC1"/>
    <w:rsid w:val="3C485B8B"/>
    <w:rsid w:val="3C4936B2"/>
    <w:rsid w:val="3C5255AE"/>
    <w:rsid w:val="3C5462DE"/>
    <w:rsid w:val="3C577B7C"/>
    <w:rsid w:val="3C5830E2"/>
    <w:rsid w:val="3C5938F5"/>
    <w:rsid w:val="3C5C670A"/>
    <w:rsid w:val="3C664263"/>
    <w:rsid w:val="3C681D8A"/>
    <w:rsid w:val="3C723457"/>
    <w:rsid w:val="3C746980"/>
    <w:rsid w:val="3C7660DA"/>
    <w:rsid w:val="3C7F0E81"/>
    <w:rsid w:val="3C850B8E"/>
    <w:rsid w:val="3C862210"/>
    <w:rsid w:val="3C8841DA"/>
    <w:rsid w:val="3C8B4FD4"/>
    <w:rsid w:val="3C8D7A42"/>
    <w:rsid w:val="3C8F0D40"/>
    <w:rsid w:val="3C8F1376"/>
    <w:rsid w:val="3C90308E"/>
    <w:rsid w:val="3C920BB5"/>
    <w:rsid w:val="3C940DD1"/>
    <w:rsid w:val="3C94492D"/>
    <w:rsid w:val="3C97441D"/>
    <w:rsid w:val="3C9963E7"/>
    <w:rsid w:val="3C9A5CBB"/>
    <w:rsid w:val="3C9B215F"/>
    <w:rsid w:val="3CA134EE"/>
    <w:rsid w:val="3CA408E8"/>
    <w:rsid w:val="3CAA05F4"/>
    <w:rsid w:val="3CAA2E00"/>
    <w:rsid w:val="3CAB1C76"/>
    <w:rsid w:val="3CB7061B"/>
    <w:rsid w:val="3CB7686D"/>
    <w:rsid w:val="3CB84BBF"/>
    <w:rsid w:val="3CBA43FC"/>
    <w:rsid w:val="3CBC3E83"/>
    <w:rsid w:val="3CBE5E4E"/>
    <w:rsid w:val="3CC02EEE"/>
    <w:rsid w:val="3CC03974"/>
    <w:rsid w:val="3CC82828"/>
    <w:rsid w:val="3CCE5FE8"/>
    <w:rsid w:val="3CD63197"/>
    <w:rsid w:val="3CD82F64"/>
    <w:rsid w:val="3CDC209E"/>
    <w:rsid w:val="3CDC62D4"/>
    <w:rsid w:val="3CDE3DFA"/>
    <w:rsid w:val="3CE138EA"/>
    <w:rsid w:val="3CE37662"/>
    <w:rsid w:val="3CE77152"/>
    <w:rsid w:val="3CE8111C"/>
    <w:rsid w:val="3CE84C78"/>
    <w:rsid w:val="3CEA09F1"/>
    <w:rsid w:val="3CEC4769"/>
    <w:rsid w:val="3CF4361D"/>
    <w:rsid w:val="3CF719D1"/>
    <w:rsid w:val="3CFB0E50"/>
    <w:rsid w:val="3D006466"/>
    <w:rsid w:val="3D015D3A"/>
    <w:rsid w:val="3D033860"/>
    <w:rsid w:val="3D0A1093"/>
    <w:rsid w:val="3D0C0967"/>
    <w:rsid w:val="3D0E0B83"/>
    <w:rsid w:val="3D0F48FB"/>
    <w:rsid w:val="3D0F66A9"/>
    <w:rsid w:val="3D127F47"/>
    <w:rsid w:val="3D204412"/>
    <w:rsid w:val="3D251A29"/>
    <w:rsid w:val="3D264775"/>
    <w:rsid w:val="3D2739F3"/>
    <w:rsid w:val="3D2C2DB7"/>
    <w:rsid w:val="3D2C725B"/>
    <w:rsid w:val="3D3879AE"/>
    <w:rsid w:val="3D393726"/>
    <w:rsid w:val="3D3D4FD0"/>
    <w:rsid w:val="3D3F0AB4"/>
    <w:rsid w:val="3D402D06"/>
    <w:rsid w:val="3D424389"/>
    <w:rsid w:val="3D42493C"/>
    <w:rsid w:val="3D43139D"/>
    <w:rsid w:val="3D44108F"/>
    <w:rsid w:val="3D4445A5"/>
    <w:rsid w:val="3D540560"/>
    <w:rsid w:val="3D5440BC"/>
    <w:rsid w:val="3D573AAE"/>
    <w:rsid w:val="3D5A3DC8"/>
    <w:rsid w:val="3D5B544A"/>
    <w:rsid w:val="3D5D11C3"/>
    <w:rsid w:val="3D600CB3"/>
    <w:rsid w:val="3D627AE3"/>
    <w:rsid w:val="3D6562C9"/>
    <w:rsid w:val="3D672041"/>
    <w:rsid w:val="3D6902EB"/>
    <w:rsid w:val="3D69400B"/>
    <w:rsid w:val="3D6A7D83"/>
    <w:rsid w:val="3D70539A"/>
    <w:rsid w:val="3D791D75"/>
    <w:rsid w:val="3D7C3BC4"/>
    <w:rsid w:val="3D7F1816"/>
    <w:rsid w:val="3D874491"/>
    <w:rsid w:val="3D881438"/>
    <w:rsid w:val="3D891FB8"/>
    <w:rsid w:val="3D8A3F82"/>
    <w:rsid w:val="3D8B09AC"/>
    <w:rsid w:val="3D956BAE"/>
    <w:rsid w:val="3D96052C"/>
    <w:rsid w:val="3D962926"/>
    <w:rsid w:val="3D9646D4"/>
    <w:rsid w:val="3D9A2417"/>
    <w:rsid w:val="3D9C247F"/>
    <w:rsid w:val="3DA05553"/>
    <w:rsid w:val="3DA32BB9"/>
    <w:rsid w:val="3DA45043"/>
    <w:rsid w:val="3DA46DF1"/>
    <w:rsid w:val="3DA70690"/>
    <w:rsid w:val="3DAA0180"/>
    <w:rsid w:val="3DAA47D2"/>
    <w:rsid w:val="3DAC3EF8"/>
    <w:rsid w:val="3DB1150E"/>
    <w:rsid w:val="3DB66B25"/>
    <w:rsid w:val="3DBA42C7"/>
    <w:rsid w:val="3DBB413B"/>
    <w:rsid w:val="3DBD4357"/>
    <w:rsid w:val="3DBF00CF"/>
    <w:rsid w:val="3DC315F8"/>
    <w:rsid w:val="3DC6320C"/>
    <w:rsid w:val="3DC84980"/>
    <w:rsid w:val="3DC85006"/>
    <w:rsid w:val="3DC9207F"/>
    <w:rsid w:val="3DCA4AF6"/>
    <w:rsid w:val="3DCE0312"/>
    <w:rsid w:val="3DCF3F1B"/>
    <w:rsid w:val="3DD0408A"/>
    <w:rsid w:val="3DD1570D"/>
    <w:rsid w:val="3DDA6CB7"/>
    <w:rsid w:val="3DDC47DD"/>
    <w:rsid w:val="3DDC6AF7"/>
    <w:rsid w:val="3DDD2303"/>
    <w:rsid w:val="3DE511B8"/>
    <w:rsid w:val="3DE93620"/>
    <w:rsid w:val="3DEB0EC4"/>
    <w:rsid w:val="3DEB2C72"/>
    <w:rsid w:val="3DEE2762"/>
    <w:rsid w:val="3DF17B5D"/>
    <w:rsid w:val="3DF24001"/>
    <w:rsid w:val="3DF31B27"/>
    <w:rsid w:val="3DF37D79"/>
    <w:rsid w:val="3DF71617"/>
    <w:rsid w:val="3DF8713D"/>
    <w:rsid w:val="3DFD4754"/>
    <w:rsid w:val="3E047890"/>
    <w:rsid w:val="3E0B13FA"/>
    <w:rsid w:val="3E0C4997"/>
    <w:rsid w:val="3E0D0E3B"/>
    <w:rsid w:val="3E0D6740"/>
    <w:rsid w:val="3E104487"/>
    <w:rsid w:val="3E111FAD"/>
    <w:rsid w:val="3E144ED2"/>
    <w:rsid w:val="3E1A70B4"/>
    <w:rsid w:val="3E1C107E"/>
    <w:rsid w:val="3E1E76C5"/>
    <w:rsid w:val="3E210442"/>
    <w:rsid w:val="3E257932"/>
    <w:rsid w:val="3E2A3F0B"/>
    <w:rsid w:val="3E2B70F8"/>
    <w:rsid w:val="3E2D5039"/>
    <w:rsid w:val="3E37026C"/>
    <w:rsid w:val="3E410AE4"/>
    <w:rsid w:val="3E481E73"/>
    <w:rsid w:val="3E495BEB"/>
    <w:rsid w:val="3E4B54BF"/>
    <w:rsid w:val="3E52684D"/>
    <w:rsid w:val="3E5325C6"/>
    <w:rsid w:val="3E5500EC"/>
    <w:rsid w:val="3E5A7DF8"/>
    <w:rsid w:val="3E5F1E94"/>
    <w:rsid w:val="3E630A5B"/>
    <w:rsid w:val="3E6709FD"/>
    <w:rsid w:val="3E677DEB"/>
    <w:rsid w:val="3E6E11AD"/>
    <w:rsid w:val="3E6F6F6D"/>
    <w:rsid w:val="3E7C38CA"/>
    <w:rsid w:val="3E7C4BCD"/>
    <w:rsid w:val="3E7E7642"/>
    <w:rsid w:val="3E8D3D29"/>
    <w:rsid w:val="3E8E35FE"/>
    <w:rsid w:val="3E9230EE"/>
    <w:rsid w:val="3E946E66"/>
    <w:rsid w:val="3E95498C"/>
    <w:rsid w:val="3E990920"/>
    <w:rsid w:val="3E9928EB"/>
    <w:rsid w:val="3E9A6446"/>
    <w:rsid w:val="3E9B4698"/>
    <w:rsid w:val="3E9E1A93"/>
    <w:rsid w:val="3EA42E21"/>
    <w:rsid w:val="3EA61C0D"/>
    <w:rsid w:val="3EA90437"/>
    <w:rsid w:val="3EAA6689"/>
    <w:rsid w:val="3EAD1CD6"/>
    <w:rsid w:val="3EBB6AA5"/>
    <w:rsid w:val="3EC0145C"/>
    <w:rsid w:val="3EC040FF"/>
    <w:rsid w:val="3ECA6D2C"/>
    <w:rsid w:val="3ECD2378"/>
    <w:rsid w:val="3ECF60F0"/>
    <w:rsid w:val="3ED01A9E"/>
    <w:rsid w:val="3ED41958"/>
    <w:rsid w:val="3ED43627"/>
    <w:rsid w:val="3ED656D0"/>
    <w:rsid w:val="3ED96F6F"/>
    <w:rsid w:val="3EDA6843"/>
    <w:rsid w:val="3EDB4A95"/>
    <w:rsid w:val="3EDE4585"/>
    <w:rsid w:val="3EE14075"/>
    <w:rsid w:val="3EE33949"/>
    <w:rsid w:val="3EE55913"/>
    <w:rsid w:val="3EE651E8"/>
    <w:rsid w:val="3EE80744"/>
    <w:rsid w:val="3EEB27FE"/>
    <w:rsid w:val="3EF1250A"/>
    <w:rsid w:val="3EF70B3D"/>
    <w:rsid w:val="3EF75647"/>
    <w:rsid w:val="3EF913BF"/>
    <w:rsid w:val="3EF9248F"/>
    <w:rsid w:val="3EFC1D8A"/>
    <w:rsid w:val="3EFE0737"/>
    <w:rsid w:val="3EFE69D5"/>
    <w:rsid w:val="3F022944"/>
    <w:rsid w:val="3F0D6C18"/>
    <w:rsid w:val="3F125943"/>
    <w:rsid w:val="3F165ACD"/>
    <w:rsid w:val="3F1735F3"/>
    <w:rsid w:val="3F1B2335"/>
    <w:rsid w:val="3F1E56A2"/>
    <w:rsid w:val="3F277CDA"/>
    <w:rsid w:val="3F281CA4"/>
    <w:rsid w:val="3F285800"/>
    <w:rsid w:val="3F2D1834"/>
    <w:rsid w:val="3F3C2C01"/>
    <w:rsid w:val="3F3E5024"/>
    <w:rsid w:val="3F4119CD"/>
    <w:rsid w:val="3F4563B2"/>
    <w:rsid w:val="3F47212A"/>
    <w:rsid w:val="3F4A7E6C"/>
    <w:rsid w:val="3F4C7741"/>
    <w:rsid w:val="3F4F2A01"/>
    <w:rsid w:val="3F56236D"/>
    <w:rsid w:val="3F5900B0"/>
    <w:rsid w:val="3F5B5BD6"/>
    <w:rsid w:val="3F5D7BA0"/>
    <w:rsid w:val="3F643571"/>
    <w:rsid w:val="3F6471DB"/>
    <w:rsid w:val="3F67457A"/>
    <w:rsid w:val="3F6C393F"/>
    <w:rsid w:val="3F6E0157"/>
    <w:rsid w:val="3F6E5909"/>
    <w:rsid w:val="3F6F342F"/>
    <w:rsid w:val="3F6F78D3"/>
    <w:rsid w:val="3F7171A7"/>
    <w:rsid w:val="3F724CCD"/>
    <w:rsid w:val="3F732FFB"/>
    <w:rsid w:val="3F744EE9"/>
    <w:rsid w:val="3F763756"/>
    <w:rsid w:val="3F781FB5"/>
    <w:rsid w:val="3F7D78FA"/>
    <w:rsid w:val="3F7F7B16"/>
    <w:rsid w:val="3F80563C"/>
    <w:rsid w:val="3F8073EA"/>
    <w:rsid w:val="3F814B57"/>
    <w:rsid w:val="3F817D6A"/>
    <w:rsid w:val="3F8213B4"/>
    <w:rsid w:val="3F88629F"/>
    <w:rsid w:val="3F8A2017"/>
    <w:rsid w:val="3F9115F7"/>
    <w:rsid w:val="3F9609BC"/>
    <w:rsid w:val="3F982986"/>
    <w:rsid w:val="3F9B4224"/>
    <w:rsid w:val="3F9D61EE"/>
    <w:rsid w:val="3F9E5AC2"/>
    <w:rsid w:val="3FA0183A"/>
    <w:rsid w:val="3FAF4912"/>
    <w:rsid w:val="3FB05F21"/>
    <w:rsid w:val="3FB928FC"/>
    <w:rsid w:val="3FB941E1"/>
    <w:rsid w:val="3FBB0422"/>
    <w:rsid w:val="3FBC2A73"/>
    <w:rsid w:val="3FBE0741"/>
    <w:rsid w:val="3FC01EDD"/>
    <w:rsid w:val="3FC15626"/>
    <w:rsid w:val="3FC419CD"/>
    <w:rsid w:val="3FC714BD"/>
    <w:rsid w:val="3FCA4B09"/>
    <w:rsid w:val="3FCC6AD3"/>
    <w:rsid w:val="3FCD7A47"/>
    <w:rsid w:val="3FCE0156"/>
    <w:rsid w:val="3FD140EA"/>
    <w:rsid w:val="3FD339BE"/>
    <w:rsid w:val="3FD50795"/>
    <w:rsid w:val="3FDA2F9E"/>
    <w:rsid w:val="3FDA4D4C"/>
    <w:rsid w:val="3FDB2873"/>
    <w:rsid w:val="3FDF05B5"/>
    <w:rsid w:val="3FE0432D"/>
    <w:rsid w:val="3FE91433"/>
    <w:rsid w:val="3FEB6F5A"/>
    <w:rsid w:val="3FEC4A80"/>
    <w:rsid w:val="3FEE25A6"/>
    <w:rsid w:val="3FEE6A4A"/>
    <w:rsid w:val="3FEF631E"/>
    <w:rsid w:val="3FF12096"/>
    <w:rsid w:val="3FF132E6"/>
    <w:rsid w:val="3FF322B2"/>
    <w:rsid w:val="3FF76E4E"/>
    <w:rsid w:val="3FF83425"/>
    <w:rsid w:val="3FFB2F15"/>
    <w:rsid w:val="4000052B"/>
    <w:rsid w:val="40016322"/>
    <w:rsid w:val="40031EA5"/>
    <w:rsid w:val="400718BA"/>
    <w:rsid w:val="4013025E"/>
    <w:rsid w:val="40155D85"/>
    <w:rsid w:val="402204A1"/>
    <w:rsid w:val="402266F3"/>
    <w:rsid w:val="402661E4"/>
    <w:rsid w:val="40275AB8"/>
    <w:rsid w:val="402C1320"/>
    <w:rsid w:val="40322DDA"/>
    <w:rsid w:val="40331C98"/>
    <w:rsid w:val="403B0FEC"/>
    <w:rsid w:val="403E177F"/>
    <w:rsid w:val="40416B7A"/>
    <w:rsid w:val="40426DB9"/>
    <w:rsid w:val="4045789F"/>
    <w:rsid w:val="40460634"/>
    <w:rsid w:val="40491ED2"/>
    <w:rsid w:val="404C3770"/>
    <w:rsid w:val="40503261"/>
    <w:rsid w:val="40512B35"/>
    <w:rsid w:val="40520D87"/>
    <w:rsid w:val="40526D9F"/>
    <w:rsid w:val="40550877"/>
    <w:rsid w:val="40552625"/>
    <w:rsid w:val="40572841"/>
    <w:rsid w:val="405C39B3"/>
    <w:rsid w:val="405C7E57"/>
    <w:rsid w:val="406001CD"/>
    <w:rsid w:val="40611F9D"/>
    <w:rsid w:val="4061721C"/>
    <w:rsid w:val="40632F94"/>
    <w:rsid w:val="40646D0C"/>
    <w:rsid w:val="406A72FF"/>
    <w:rsid w:val="4077259B"/>
    <w:rsid w:val="40780522"/>
    <w:rsid w:val="407878BA"/>
    <w:rsid w:val="407A652F"/>
    <w:rsid w:val="407C22A8"/>
    <w:rsid w:val="4084115C"/>
    <w:rsid w:val="40864ED4"/>
    <w:rsid w:val="408963F5"/>
    <w:rsid w:val="408B4299"/>
    <w:rsid w:val="408D0011"/>
    <w:rsid w:val="408E4E41"/>
    <w:rsid w:val="40905D53"/>
    <w:rsid w:val="40933569"/>
    <w:rsid w:val="40970E8F"/>
    <w:rsid w:val="409969B6"/>
    <w:rsid w:val="409F1AF2"/>
    <w:rsid w:val="40A13ABC"/>
    <w:rsid w:val="40A37834"/>
    <w:rsid w:val="40A8309D"/>
    <w:rsid w:val="40A86BF9"/>
    <w:rsid w:val="40B03CFF"/>
    <w:rsid w:val="40B32646"/>
    <w:rsid w:val="40B437EF"/>
    <w:rsid w:val="40B557B9"/>
    <w:rsid w:val="40B7508E"/>
    <w:rsid w:val="40B82BB4"/>
    <w:rsid w:val="40BA692C"/>
    <w:rsid w:val="40BC4452"/>
    <w:rsid w:val="40BC6B1F"/>
    <w:rsid w:val="40BC6B48"/>
    <w:rsid w:val="40BF2194"/>
    <w:rsid w:val="40BF3F42"/>
    <w:rsid w:val="40C33A32"/>
    <w:rsid w:val="40C477AB"/>
    <w:rsid w:val="40CB0B39"/>
    <w:rsid w:val="40CB1477"/>
    <w:rsid w:val="40CD787E"/>
    <w:rsid w:val="40CE4185"/>
    <w:rsid w:val="40D04F17"/>
    <w:rsid w:val="40D2705F"/>
    <w:rsid w:val="40D53766"/>
    <w:rsid w:val="40D66DCB"/>
    <w:rsid w:val="40DE6ABE"/>
    <w:rsid w:val="40E165AE"/>
    <w:rsid w:val="40E22012"/>
    <w:rsid w:val="40E37C31"/>
    <w:rsid w:val="40F005A0"/>
    <w:rsid w:val="40F231FC"/>
    <w:rsid w:val="40FA1CAC"/>
    <w:rsid w:val="40FB767A"/>
    <w:rsid w:val="40FC6F44"/>
    <w:rsid w:val="40FE2CBD"/>
    <w:rsid w:val="41041EEE"/>
    <w:rsid w:val="410A1661"/>
    <w:rsid w:val="410B7187"/>
    <w:rsid w:val="411029F0"/>
    <w:rsid w:val="4110479E"/>
    <w:rsid w:val="41120516"/>
    <w:rsid w:val="411249BA"/>
    <w:rsid w:val="4114428E"/>
    <w:rsid w:val="41166258"/>
    <w:rsid w:val="41173D7E"/>
    <w:rsid w:val="411918A4"/>
    <w:rsid w:val="411B403F"/>
    <w:rsid w:val="41250249"/>
    <w:rsid w:val="41270E47"/>
    <w:rsid w:val="41281AE7"/>
    <w:rsid w:val="412B5099"/>
    <w:rsid w:val="412C5A7C"/>
    <w:rsid w:val="412E3161"/>
    <w:rsid w:val="41320BB8"/>
    <w:rsid w:val="41336AA3"/>
    <w:rsid w:val="41362456"/>
    <w:rsid w:val="41377F7D"/>
    <w:rsid w:val="4139221D"/>
    <w:rsid w:val="413A3ED2"/>
    <w:rsid w:val="413B7A6D"/>
    <w:rsid w:val="413C5593"/>
    <w:rsid w:val="41456B3D"/>
    <w:rsid w:val="414601C0"/>
    <w:rsid w:val="41483F38"/>
    <w:rsid w:val="414A5F02"/>
    <w:rsid w:val="414C2F42"/>
    <w:rsid w:val="414F3518"/>
    <w:rsid w:val="414F475D"/>
    <w:rsid w:val="4153125A"/>
    <w:rsid w:val="415316D4"/>
    <w:rsid w:val="41562AF9"/>
    <w:rsid w:val="415648A7"/>
    <w:rsid w:val="41571710"/>
    <w:rsid w:val="415E7BFF"/>
    <w:rsid w:val="41605725"/>
    <w:rsid w:val="416074D3"/>
    <w:rsid w:val="41633AEB"/>
    <w:rsid w:val="41636FC4"/>
    <w:rsid w:val="41670862"/>
    <w:rsid w:val="416845DA"/>
    <w:rsid w:val="41686388"/>
    <w:rsid w:val="416A2100"/>
    <w:rsid w:val="4173422C"/>
    <w:rsid w:val="41760AA5"/>
    <w:rsid w:val="417B430D"/>
    <w:rsid w:val="417D0085"/>
    <w:rsid w:val="417E204F"/>
    <w:rsid w:val="41847666"/>
    <w:rsid w:val="418C651A"/>
    <w:rsid w:val="41900D6A"/>
    <w:rsid w:val="41911D83"/>
    <w:rsid w:val="419B675D"/>
    <w:rsid w:val="419D4283"/>
    <w:rsid w:val="41A34C97"/>
    <w:rsid w:val="41A82C28"/>
    <w:rsid w:val="41AA074E"/>
    <w:rsid w:val="41AA69A0"/>
    <w:rsid w:val="41AD22DE"/>
    <w:rsid w:val="41B25FAF"/>
    <w:rsid w:val="41B33AA7"/>
    <w:rsid w:val="41BB295C"/>
    <w:rsid w:val="41C234A3"/>
    <w:rsid w:val="41C37A62"/>
    <w:rsid w:val="41C45CB4"/>
    <w:rsid w:val="41C53136"/>
    <w:rsid w:val="41C537DA"/>
    <w:rsid w:val="41C932CA"/>
    <w:rsid w:val="41C952EA"/>
    <w:rsid w:val="41CA7043"/>
    <w:rsid w:val="41CF4659"/>
    <w:rsid w:val="41D13F2D"/>
    <w:rsid w:val="41DE62BE"/>
    <w:rsid w:val="41DE664A"/>
    <w:rsid w:val="41E719A3"/>
    <w:rsid w:val="41EE4ADF"/>
    <w:rsid w:val="41F30347"/>
    <w:rsid w:val="41F320F5"/>
    <w:rsid w:val="41F83BB0"/>
    <w:rsid w:val="41F8770C"/>
    <w:rsid w:val="41FD11C6"/>
    <w:rsid w:val="41FD4D22"/>
    <w:rsid w:val="41FF4F3E"/>
    <w:rsid w:val="42022339"/>
    <w:rsid w:val="42033B56"/>
    <w:rsid w:val="4203573C"/>
    <w:rsid w:val="420A743F"/>
    <w:rsid w:val="420C1409"/>
    <w:rsid w:val="42114C71"/>
    <w:rsid w:val="421358B6"/>
    <w:rsid w:val="421634A6"/>
    <w:rsid w:val="421A1C49"/>
    <w:rsid w:val="421A1D78"/>
    <w:rsid w:val="421B7832"/>
    <w:rsid w:val="421D510F"/>
    <w:rsid w:val="421E0D71"/>
    <w:rsid w:val="421F113C"/>
    <w:rsid w:val="421F7A2F"/>
    <w:rsid w:val="42254A34"/>
    <w:rsid w:val="42293D69"/>
    <w:rsid w:val="42295B17"/>
    <w:rsid w:val="422A188F"/>
    <w:rsid w:val="422C3774"/>
    <w:rsid w:val="423544BC"/>
    <w:rsid w:val="42383FAC"/>
    <w:rsid w:val="423F533B"/>
    <w:rsid w:val="42411939"/>
    <w:rsid w:val="42415557"/>
    <w:rsid w:val="4242307D"/>
    <w:rsid w:val="42472E97"/>
    <w:rsid w:val="424824FE"/>
    <w:rsid w:val="424961B9"/>
    <w:rsid w:val="424D3EFC"/>
    <w:rsid w:val="425012F6"/>
    <w:rsid w:val="42521512"/>
    <w:rsid w:val="42537038"/>
    <w:rsid w:val="42576C62"/>
    <w:rsid w:val="42621029"/>
    <w:rsid w:val="42641245"/>
    <w:rsid w:val="4269060A"/>
    <w:rsid w:val="4269685C"/>
    <w:rsid w:val="426D5A4D"/>
    <w:rsid w:val="426D634C"/>
    <w:rsid w:val="427174BE"/>
    <w:rsid w:val="42733236"/>
    <w:rsid w:val="42764AD5"/>
    <w:rsid w:val="427A6373"/>
    <w:rsid w:val="427C033D"/>
    <w:rsid w:val="42817701"/>
    <w:rsid w:val="4284574D"/>
    <w:rsid w:val="42884F34"/>
    <w:rsid w:val="42892A5A"/>
    <w:rsid w:val="428B67D2"/>
    <w:rsid w:val="428E62C2"/>
    <w:rsid w:val="429462ED"/>
    <w:rsid w:val="42980EEF"/>
    <w:rsid w:val="42984A4B"/>
    <w:rsid w:val="429B755D"/>
    <w:rsid w:val="429C09DF"/>
    <w:rsid w:val="42A67168"/>
    <w:rsid w:val="42A81132"/>
    <w:rsid w:val="42A86388"/>
    <w:rsid w:val="42AC04F6"/>
    <w:rsid w:val="42AE426E"/>
    <w:rsid w:val="42B032DA"/>
    <w:rsid w:val="42B07FE6"/>
    <w:rsid w:val="42BC4BDD"/>
    <w:rsid w:val="42BC698B"/>
    <w:rsid w:val="42BC7DDF"/>
    <w:rsid w:val="42C10446"/>
    <w:rsid w:val="42C27D1A"/>
    <w:rsid w:val="42C65A5C"/>
    <w:rsid w:val="42C770D3"/>
    <w:rsid w:val="42C85330"/>
    <w:rsid w:val="42C972FA"/>
    <w:rsid w:val="42CB4E20"/>
    <w:rsid w:val="42CB6E04"/>
    <w:rsid w:val="42D03721"/>
    <w:rsid w:val="42D068DB"/>
    <w:rsid w:val="42D9753D"/>
    <w:rsid w:val="42DB5C7E"/>
    <w:rsid w:val="42DE0FF8"/>
    <w:rsid w:val="42E12896"/>
    <w:rsid w:val="42E44134"/>
    <w:rsid w:val="42EA799C"/>
    <w:rsid w:val="42EE327C"/>
    <w:rsid w:val="42F02AD9"/>
    <w:rsid w:val="42F425C9"/>
    <w:rsid w:val="42F75C15"/>
    <w:rsid w:val="42F8373B"/>
    <w:rsid w:val="42FE6FA4"/>
    <w:rsid w:val="43076C51"/>
    <w:rsid w:val="43106CD7"/>
    <w:rsid w:val="43122A4F"/>
    <w:rsid w:val="43160791"/>
    <w:rsid w:val="43193DDE"/>
    <w:rsid w:val="431C1B20"/>
    <w:rsid w:val="431C742A"/>
    <w:rsid w:val="431E7646"/>
    <w:rsid w:val="432033BE"/>
    <w:rsid w:val="432307B8"/>
    <w:rsid w:val="432602A9"/>
    <w:rsid w:val="43261AA6"/>
    <w:rsid w:val="432804C5"/>
    <w:rsid w:val="432B58BF"/>
    <w:rsid w:val="432D7889"/>
    <w:rsid w:val="432F3601"/>
    <w:rsid w:val="433168CD"/>
    <w:rsid w:val="433429C6"/>
    <w:rsid w:val="433504EC"/>
    <w:rsid w:val="43365940"/>
    <w:rsid w:val="43397FDC"/>
    <w:rsid w:val="433C7ACC"/>
    <w:rsid w:val="433E55F2"/>
    <w:rsid w:val="433F136A"/>
    <w:rsid w:val="434075BC"/>
    <w:rsid w:val="43421586"/>
    <w:rsid w:val="43456981"/>
    <w:rsid w:val="434A3F97"/>
    <w:rsid w:val="434D3A87"/>
    <w:rsid w:val="435117C9"/>
    <w:rsid w:val="43523F8B"/>
    <w:rsid w:val="4353208A"/>
    <w:rsid w:val="43544FFA"/>
    <w:rsid w:val="43560B8E"/>
    <w:rsid w:val="435B2648"/>
    <w:rsid w:val="435C016E"/>
    <w:rsid w:val="43664B49"/>
    <w:rsid w:val="436A63E7"/>
    <w:rsid w:val="436D237B"/>
    <w:rsid w:val="436F39FE"/>
    <w:rsid w:val="43707776"/>
    <w:rsid w:val="43713C1A"/>
    <w:rsid w:val="43715488"/>
    <w:rsid w:val="43761230"/>
    <w:rsid w:val="43790D20"/>
    <w:rsid w:val="437E2698"/>
    <w:rsid w:val="437F0D69"/>
    <w:rsid w:val="438751EB"/>
    <w:rsid w:val="438A0837"/>
    <w:rsid w:val="438A6A89"/>
    <w:rsid w:val="438F3163"/>
    <w:rsid w:val="4392593E"/>
    <w:rsid w:val="43930EDD"/>
    <w:rsid w:val="43963680"/>
    <w:rsid w:val="439711A6"/>
    <w:rsid w:val="439B2A45"/>
    <w:rsid w:val="439E0787"/>
    <w:rsid w:val="43A22025"/>
    <w:rsid w:val="43A55671"/>
    <w:rsid w:val="43A648A2"/>
    <w:rsid w:val="43A86F10"/>
    <w:rsid w:val="43AD2778"/>
    <w:rsid w:val="43AD43B9"/>
    <w:rsid w:val="43AE09CA"/>
    <w:rsid w:val="43B14016"/>
    <w:rsid w:val="43B92ECB"/>
    <w:rsid w:val="43BB6C43"/>
    <w:rsid w:val="43BF2BD7"/>
    <w:rsid w:val="43C26223"/>
    <w:rsid w:val="43C33D49"/>
    <w:rsid w:val="43C57AC2"/>
    <w:rsid w:val="43C71A8C"/>
    <w:rsid w:val="43C81360"/>
    <w:rsid w:val="43CC3903"/>
    <w:rsid w:val="43D16466"/>
    <w:rsid w:val="43D23F8D"/>
    <w:rsid w:val="43DD305D"/>
    <w:rsid w:val="43DE2931"/>
    <w:rsid w:val="43E45E4E"/>
    <w:rsid w:val="43E50164"/>
    <w:rsid w:val="43E50BF3"/>
    <w:rsid w:val="43E75C8A"/>
    <w:rsid w:val="43E77A38"/>
    <w:rsid w:val="43E95AE5"/>
    <w:rsid w:val="43EC504E"/>
    <w:rsid w:val="43EF4B3E"/>
    <w:rsid w:val="43F263DD"/>
    <w:rsid w:val="43F959BD"/>
    <w:rsid w:val="43FA3C0F"/>
    <w:rsid w:val="43FB7987"/>
    <w:rsid w:val="43FD725B"/>
    <w:rsid w:val="44000AFA"/>
    <w:rsid w:val="44056110"/>
    <w:rsid w:val="440A3726"/>
    <w:rsid w:val="44140268"/>
    <w:rsid w:val="44156D87"/>
    <w:rsid w:val="44166243"/>
    <w:rsid w:val="4416656F"/>
    <w:rsid w:val="441A6FE5"/>
    <w:rsid w:val="441A7E0D"/>
    <w:rsid w:val="44201AAB"/>
    <w:rsid w:val="442742D8"/>
    <w:rsid w:val="442A16A1"/>
    <w:rsid w:val="44330ECF"/>
    <w:rsid w:val="44345DAC"/>
    <w:rsid w:val="44352D1B"/>
    <w:rsid w:val="4438372F"/>
    <w:rsid w:val="443B46C4"/>
    <w:rsid w:val="443C4228"/>
    <w:rsid w:val="444430DC"/>
    <w:rsid w:val="444F07DA"/>
    <w:rsid w:val="4450382F"/>
    <w:rsid w:val="44507CD3"/>
    <w:rsid w:val="44524A6B"/>
    <w:rsid w:val="445350CD"/>
    <w:rsid w:val="44586B88"/>
    <w:rsid w:val="445A645C"/>
    <w:rsid w:val="44623562"/>
    <w:rsid w:val="44625310"/>
    <w:rsid w:val="446E1B58"/>
    <w:rsid w:val="446F7A2D"/>
    <w:rsid w:val="447008D6"/>
    <w:rsid w:val="4475773A"/>
    <w:rsid w:val="447C30F6"/>
    <w:rsid w:val="448160DE"/>
    <w:rsid w:val="4488746D"/>
    <w:rsid w:val="448A1DB8"/>
    <w:rsid w:val="448A72D9"/>
    <w:rsid w:val="448C05DF"/>
    <w:rsid w:val="44903312"/>
    <w:rsid w:val="44916FE6"/>
    <w:rsid w:val="4493196E"/>
    <w:rsid w:val="44971FF9"/>
    <w:rsid w:val="449776B0"/>
    <w:rsid w:val="449F335B"/>
    <w:rsid w:val="44A27E03"/>
    <w:rsid w:val="44A65B45"/>
    <w:rsid w:val="44A66B56"/>
    <w:rsid w:val="44B02520"/>
    <w:rsid w:val="44B042CE"/>
    <w:rsid w:val="44B244EA"/>
    <w:rsid w:val="44B30262"/>
    <w:rsid w:val="44B813D4"/>
    <w:rsid w:val="44BB2959"/>
    <w:rsid w:val="44C61D43"/>
    <w:rsid w:val="44C71617"/>
    <w:rsid w:val="44C93D71"/>
    <w:rsid w:val="44CE29A6"/>
    <w:rsid w:val="44D2693A"/>
    <w:rsid w:val="44D426B2"/>
    <w:rsid w:val="44D73F50"/>
    <w:rsid w:val="44DA759D"/>
    <w:rsid w:val="44E16B7D"/>
    <w:rsid w:val="44E501E1"/>
    <w:rsid w:val="44EE3048"/>
    <w:rsid w:val="44EE4DF6"/>
    <w:rsid w:val="44EF1B82"/>
    <w:rsid w:val="44F114C2"/>
    <w:rsid w:val="44F248E6"/>
    <w:rsid w:val="44F92119"/>
    <w:rsid w:val="44FC7513"/>
    <w:rsid w:val="44FF5255"/>
    <w:rsid w:val="45010FCD"/>
    <w:rsid w:val="4502359D"/>
    <w:rsid w:val="450338D7"/>
    <w:rsid w:val="4506059B"/>
    <w:rsid w:val="450D7972"/>
    <w:rsid w:val="45102FBE"/>
    <w:rsid w:val="45126D36"/>
    <w:rsid w:val="45137ED3"/>
    <w:rsid w:val="4514163A"/>
    <w:rsid w:val="4517259F"/>
    <w:rsid w:val="451835F2"/>
    <w:rsid w:val="4521341D"/>
    <w:rsid w:val="45240818"/>
    <w:rsid w:val="45246F22"/>
    <w:rsid w:val="452D1DC2"/>
    <w:rsid w:val="453018B3"/>
    <w:rsid w:val="45352A25"/>
    <w:rsid w:val="45362049"/>
    <w:rsid w:val="45372C41"/>
    <w:rsid w:val="45397B15"/>
    <w:rsid w:val="453B44DF"/>
    <w:rsid w:val="45425719"/>
    <w:rsid w:val="45435142"/>
    <w:rsid w:val="45486BFC"/>
    <w:rsid w:val="454964D0"/>
    <w:rsid w:val="454A2974"/>
    <w:rsid w:val="454C31E3"/>
    <w:rsid w:val="45521829"/>
    <w:rsid w:val="455455A1"/>
    <w:rsid w:val="455C6204"/>
    <w:rsid w:val="45605CF4"/>
    <w:rsid w:val="4561381A"/>
    <w:rsid w:val="45617A2D"/>
    <w:rsid w:val="45637592"/>
    <w:rsid w:val="456B28EB"/>
    <w:rsid w:val="45703A5D"/>
    <w:rsid w:val="45713DE8"/>
    <w:rsid w:val="45723C79"/>
    <w:rsid w:val="457752E9"/>
    <w:rsid w:val="45797C51"/>
    <w:rsid w:val="45806396"/>
    <w:rsid w:val="4582210E"/>
    <w:rsid w:val="458319E2"/>
    <w:rsid w:val="45841395"/>
    <w:rsid w:val="45863281"/>
    <w:rsid w:val="45864B7E"/>
    <w:rsid w:val="45886FF9"/>
    <w:rsid w:val="45921C25"/>
    <w:rsid w:val="4592661E"/>
    <w:rsid w:val="459B31D0"/>
    <w:rsid w:val="459C2AA4"/>
    <w:rsid w:val="45A04342"/>
    <w:rsid w:val="45A1630C"/>
    <w:rsid w:val="45A168B6"/>
    <w:rsid w:val="45A73923"/>
    <w:rsid w:val="45A831F7"/>
    <w:rsid w:val="45A858ED"/>
    <w:rsid w:val="45AA3413"/>
    <w:rsid w:val="45AB2CE7"/>
    <w:rsid w:val="45AB5674"/>
    <w:rsid w:val="45AC0F39"/>
    <w:rsid w:val="45AF4585"/>
    <w:rsid w:val="45B002FD"/>
    <w:rsid w:val="45B24076"/>
    <w:rsid w:val="45B93656"/>
    <w:rsid w:val="45BA0292"/>
    <w:rsid w:val="45BD3146"/>
    <w:rsid w:val="45C00E7A"/>
    <w:rsid w:val="45C4405C"/>
    <w:rsid w:val="45C67B21"/>
    <w:rsid w:val="45C73FC5"/>
    <w:rsid w:val="45C85647"/>
    <w:rsid w:val="45CC15DB"/>
    <w:rsid w:val="45CC5137"/>
    <w:rsid w:val="45CF69D6"/>
    <w:rsid w:val="45D10865"/>
    <w:rsid w:val="45D3296A"/>
    <w:rsid w:val="45D67D64"/>
    <w:rsid w:val="45D71D2E"/>
    <w:rsid w:val="45D73ADC"/>
    <w:rsid w:val="45DB35CC"/>
    <w:rsid w:val="45DD5596"/>
    <w:rsid w:val="45E05087"/>
    <w:rsid w:val="45E06E35"/>
    <w:rsid w:val="45E1084D"/>
    <w:rsid w:val="45E16709"/>
    <w:rsid w:val="45E226B4"/>
    <w:rsid w:val="45E23D3B"/>
    <w:rsid w:val="45E76415"/>
    <w:rsid w:val="45EE4E64"/>
    <w:rsid w:val="45F14B9E"/>
    <w:rsid w:val="45F4643C"/>
    <w:rsid w:val="45F60406"/>
    <w:rsid w:val="45F621B4"/>
    <w:rsid w:val="45F94EA0"/>
    <w:rsid w:val="46026DAB"/>
    <w:rsid w:val="46067AB5"/>
    <w:rsid w:val="460743C1"/>
    <w:rsid w:val="460A2104"/>
    <w:rsid w:val="460A3EB2"/>
    <w:rsid w:val="460C5E7C"/>
    <w:rsid w:val="46144D30"/>
    <w:rsid w:val="461B2714"/>
    <w:rsid w:val="461B535F"/>
    <w:rsid w:val="461D5993"/>
    <w:rsid w:val="461F5BAF"/>
    <w:rsid w:val="462036D5"/>
    <w:rsid w:val="46242B43"/>
    <w:rsid w:val="462431C5"/>
    <w:rsid w:val="4629258A"/>
    <w:rsid w:val="462C5BD6"/>
    <w:rsid w:val="462D194E"/>
    <w:rsid w:val="4630503A"/>
    <w:rsid w:val="46386C71"/>
    <w:rsid w:val="46396545"/>
    <w:rsid w:val="463C360A"/>
    <w:rsid w:val="463D0F83"/>
    <w:rsid w:val="463D4287"/>
    <w:rsid w:val="4641069E"/>
    <w:rsid w:val="46456C98"/>
    <w:rsid w:val="46472A10"/>
    <w:rsid w:val="464912D8"/>
    <w:rsid w:val="464A36B4"/>
    <w:rsid w:val="464A3A58"/>
    <w:rsid w:val="464B2E28"/>
    <w:rsid w:val="464E1FF0"/>
    <w:rsid w:val="464E3D9E"/>
    <w:rsid w:val="465670F7"/>
    <w:rsid w:val="46592743"/>
    <w:rsid w:val="465B64BB"/>
    <w:rsid w:val="465C0A70"/>
    <w:rsid w:val="46607F75"/>
    <w:rsid w:val="46696E2A"/>
    <w:rsid w:val="466E4440"/>
    <w:rsid w:val="466E61EE"/>
    <w:rsid w:val="46704FD2"/>
    <w:rsid w:val="46717A8D"/>
    <w:rsid w:val="46731A57"/>
    <w:rsid w:val="467339F9"/>
    <w:rsid w:val="467557CF"/>
    <w:rsid w:val="4678706D"/>
    <w:rsid w:val="467B6B5D"/>
    <w:rsid w:val="467C4DAF"/>
    <w:rsid w:val="46801ACF"/>
    <w:rsid w:val="468C0D6B"/>
    <w:rsid w:val="468C62DB"/>
    <w:rsid w:val="468F6507"/>
    <w:rsid w:val="4690085B"/>
    <w:rsid w:val="469043B7"/>
    <w:rsid w:val="46911EDD"/>
    <w:rsid w:val="46933EA7"/>
    <w:rsid w:val="4695472F"/>
    <w:rsid w:val="46957C1F"/>
    <w:rsid w:val="46966CED"/>
    <w:rsid w:val="46971BE9"/>
    <w:rsid w:val="46A00372"/>
    <w:rsid w:val="46A312F1"/>
    <w:rsid w:val="46A460B4"/>
    <w:rsid w:val="46A51C35"/>
    <w:rsid w:val="46A75F6F"/>
    <w:rsid w:val="46AB5C21"/>
    <w:rsid w:val="46AC31BB"/>
    <w:rsid w:val="46AC4F69"/>
    <w:rsid w:val="46B94C58"/>
    <w:rsid w:val="46C40504"/>
    <w:rsid w:val="46C422B2"/>
    <w:rsid w:val="46CD560B"/>
    <w:rsid w:val="46D078B4"/>
    <w:rsid w:val="46D85D5E"/>
    <w:rsid w:val="46D87B0C"/>
    <w:rsid w:val="46DA3884"/>
    <w:rsid w:val="46DA7D28"/>
    <w:rsid w:val="46DD15C6"/>
    <w:rsid w:val="46E26BDC"/>
    <w:rsid w:val="46E472F2"/>
    <w:rsid w:val="46E62229"/>
    <w:rsid w:val="46E91D19"/>
    <w:rsid w:val="46EB3CE3"/>
    <w:rsid w:val="46EC34CC"/>
    <w:rsid w:val="46ED1809"/>
    <w:rsid w:val="46F32B98"/>
    <w:rsid w:val="46F41301"/>
    <w:rsid w:val="46F54B62"/>
    <w:rsid w:val="46F661E4"/>
    <w:rsid w:val="46FA2178"/>
    <w:rsid w:val="46FC1F6D"/>
    <w:rsid w:val="46FC6C97"/>
    <w:rsid w:val="47005CAC"/>
    <w:rsid w:val="470073ED"/>
    <w:rsid w:val="4703102D"/>
    <w:rsid w:val="47040901"/>
    <w:rsid w:val="47060B1D"/>
    <w:rsid w:val="47064679"/>
    <w:rsid w:val="4707219F"/>
    <w:rsid w:val="470B1C8F"/>
    <w:rsid w:val="47152B0E"/>
    <w:rsid w:val="471825FE"/>
    <w:rsid w:val="471C3E9C"/>
    <w:rsid w:val="471C5C4A"/>
    <w:rsid w:val="471E7C15"/>
    <w:rsid w:val="471F398D"/>
    <w:rsid w:val="47213261"/>
    <w:rsid w:val="47242D51"/>
    <w:rsid w:val="472471F5"/>
    <w:rsid w:val="47273D2D"/>
    <w:rsid w:val="472B40E0"/>
    <w:rsid w:val="47332F94"/>
    <w:rsid w:val="47347438"/>
    <w:rsid w:val="473A4323"/>
    <w:rsid w:val="473B1E18"/>
    <w:rsid w:val="473D2DF8"/>
    <w:rsid w:val="473D3E13"/>
    <w:rsid w:val="4740402F"/>
    <w:rsid w:val="474353F0"/>
    <w:rsid w:val="4743767B"/>
    <w:rsid w:val="47462CC7"/>
    <w:rsid w:val="474653BD"/>
    <w:rsid w:val="474927B8"/>
    <w:rsid w:val="474A6941"/>
    <w:rsid w:val="474A6C5C"/>
    <w:rsid w:val="47507FEA"/>
    <w:rsid w:val="47523D62"/>
    <w:rsid w:val="47551D86"/>
    <w:rsid w:val="47571378"/>
    <w:rsid w:val="47574ED5"/>
    <w:rsid w:val="475A2C17"/>
    <w:rsid w:val="476A10AC"/>
    <w:rsid w:val="477261B2"/>
    <w:rsid w:val="47743CD8"/>
    <w:rsid w:val="47747B1C"/>
    <w:rsid w:val="47784DE8"/>
    <w:rsid w:val="477912EF"/>
    <w:rsid w:val="47841A42"/>
    <w:rsid w:val="47867568"/>
    <w:rsid w:val="47881532"/>
    <w:rsid w:val="478C4B70"/>
    <w:rsid w:val="47905519"/>
    <w:rsid w:val="4791488A"/>
    <w:rsid w:val="47990732"/>
    <w:rsid w:val="479E48B1"/>
    <w:rsid w:val="47A32B59"/>
    <w:rsid w:val="47A619B8"/>
    <w:rsid w:val="47A81BD4"/>
    <w:rsid w:val="47AB6FCE"/>
    <w:rsid w:val="47AD0F98"/>
    <w:rsid w:val="47AF6ABF"/>
    <w:rsid w:val="47B57E4D"/>
    <w:rsid w:val="47B85E42"/>
    <w:rsid w:val="47BB0A1B"/>
    <w:rsid w:val="47C00CCC"/>
    <w:rsid w:val="47C02A7A"/>
    <w:rsid w:val="47C36A0E"/>
    <w:rsid w:val="47CE1DE5"/>
    <w:rsid w:val="47D12ED9"/>
    <w:rsid w:val="47D14C87"/>
    <w:rsid w:val="47D26C51"/>
    <w:rsid w:val="47D37A62"/>
    <w:rsid w:val="47D44777"/>
    <w:rsid w:val="47D46525"/>
    <w:rsid w:val="47D66741"/>
    <w:rsid w:val="47DE1152"/>
    <w:rsid w:val="47E30E5E"/>
    <w:rsid w:val="47E32C0C"/>
    <w:rsid w:val="47E36126"/>
    <w:rsid w:val="47E94783"/>
    <w:rsid w:val="47EF335F"/>
    <w:rsid w:val="47F1046B"/>
    <w:rsid w:val="47F210A1"/>
    <w:rsid w:val="47F44E19"/>
    <w:rsid w:val="47F6293F"/>
    <w:rsid w:val="47F646ED"/>
    <w:rsid w:val="47F66832"/>
    <w:rsid w:val="47FE17F4"/>
    <w:rsid w:val="47FE7A46"/>
    <w:rsid w:val="48027FD5"/>
    <w:rsid w:val="4803505C"/>
    <w:rsid w:val="48054931"/>
    <w:rsid w:val="480F755D"/>
    <w:rsid w:val="4812105C"/>
    <w:rsid w:val="48161DCD"/>
    <w:rsid w:val="48180B08"/>
    <w:rsid w:val="481B4154"/>
    <w:rsid w:val="481B6936"/>
    <w:rsid w:val="481D7ECC"/>
    <w:rsid w:val="482079BC"/>
    <w:rsid w:val="48213F9C"/>
    <w:rsid w:val="48286871"/>
    <w:rsid w:val="482F7BFF"/>
    <w:rsid w:val="483D056E"/>
    <w:rsid w:val="4841419B"/>
    <w:rsid w:val="484216E1"/>
    <w:rsid w:val="484C6A03"/>
    <w:rsid w:val="484D14FE"/>
    <w:rsid w:val="484E277B"/>
    <w:rsid w:val="484E6A2F"/>
    <w:rsid w:val="485458B8"/>
    <w:rsid w:val="48643D4D"/>
    <w:rsid w:val="486755EB"/>
    <w:rsid w:val="486F26F2"/>
    <w:rsid w:val="4876582E"/>
    <w:rsid w:val="487B4BF3"/>
    <w:rsid w:val="48861F15"/>
    <w:rsid w:val="488717E9"/>
    <w:rsid w:val="488A68CF"/>
    <w:rsid w:val="488F68F0"/>
    <w:rsid w:val="489108BA"/>
    <w:rsid w:val="4893018E"/>
    <w:rsid w:val="48931F3C"/>
    <w:rsid w:val="48966315"/>
    <w:rsid w:val="489A151D"/>
    <w:rsid w:val="489B7043"/>
    <w:rsid w:val="489F6B33"/>
    <w:rsid w:val="48A405ED"/>
    <w:rsid w:val="48AA54D8"/>
    <w:rsid w:val="48AC1250"/>
    <w:rsid w:val="48AC2FFE"/>
    <w:rsid w:val="48AE321A"/>
    <w:rsid w:val="48AE4FC8"/>
    <w:rsid w:val="48AE6D76"/>
    <w:rsid w:val="48B16866"/>
    <w:rsid w:val="48B84099"/>
    <w:rsid w:val="48BB02CE"/>
    <w:rsid w:val="48BC5937"/>
    <w:rsid w:val="48BF2D31"/>
    <w:rsid w:val="48C000DF"/>
    <w:rsid w:val="48C04CFB"/>
    <w:rsid w:val="48C06AA9"/>
    <w:rsid w:val="48C14CB2"/>
    <w:rsid w:val="48C41A98"/>
    <w:rsid w:val="48C540C0"/>
    <w:rsid w:val="48C77E38"/>
    <w:rsid w:val="48CA7928"/>
    <w:rsid w:val="48CC18F2"/>
    <w:rsid w:val="48CC7F68"/>
    <w:rsid w:val="48D03190"/>
    <w:rsid w:val="48D04F3E"/>
    <w:rsid w:val="48D12A65"/>
    <w:rsid w:val="48D32C81"/>
    <w:rsid w:val="48D507A7"/>
    <w:rsid w:val="48DA5DBD"/>
    <w:rsid w:val="48DA7B6B"/>
    <w:rsid w:val="48DB1B35"/>
    <w:rsid w:val="48DF1625"/>
    <w:rsid w:val="48DF5182"/>
    <w:rsid w:val="48E1539E"/>
    <w:rsid w:val="48E520AB"/>
    <w:rsid w:val="48E7672C"/>
    <w:rsid w:val="48EE6600"/>
    <w:rsid w:val="48F03833"/>
    <w:rsid w:val="4901159C"/>
    <w:rsid w:val="4904108C"/>
    <w:rsid w:val="49044BE8"/>
    <w:rsid w:val="490746D8"/>
    <w:rsid w:val="490B5255"/>
    <w:rsid w:val="490B5F77"/>
    <w:rsid w:val="490C4C58"/>
    <w:rsid w:val="490E1F0B"/>
    <w:rsid w:val="490E3CB9"/>
    <w:rsid w:val="491350FB"/>
    <w:rsid w:val="491A440C"/>
    <w:rsid w:val="49247038"/>
    <w:rsid w:val="49282FCC"/>
    <w:rsid w:val="492928A1"/>
    <w:rsid w:val="49294530"/>
    <w:rsid w:val="492E7EB7"/>
    <w:rsid w:val="49357497"/>
    <w:rsid w:val="493A2D00"/>
    <w:rsid w:val="493F20C4"/>
    <w:rsid w:val="49437E06"/>
    <w:rsid w:val="4944592C"/>
    <w:rsid w:val="49470F79"/>
    <w:rsid w:val="49496A9F"/>
    <w:rsid w:val="494A2A5D"/>
    <w:rsid w:val="49594CEC"/>
    <w:rsid w:val="495A5150"/>
    <w:rsid w:val="495B0965"/>
    <w:rsid w:val="495C2C76"/>
    <w:rsid w:val="495D254A"/>
    <w:rsid w:val="49647D7D"/>
    <w:rsid w:val="496B2EB9"/>
    <w:rsid w:val="49706721"/>
    <w:rsid w:val="4972426D"/>
    <w:rsid w:val="49753D38"/>
    <w:rsid w:val="497756A4"/>
    <w:rsid w:val="49777AB0"/>
    <w:rsid w:val="4978051C"/>
    <w:rsid w:val="497C0086"/>
    <w:rsid w:val="497D499A"/>
    <w:rsid w:val="498521CD"/>
    <w:rsid w:val="49852D39"/>
    <w:rsid w:val="498B5309"/>
    <w:rsid w:val="498B70B7"/>
    <w:rsid w:val="498D2E30"/>
    <w:rsid w:val="498F4DFA"/>
    <w:rsid w:val="499222AC"/>
    <w:rsid w:val="49926698"/>
    <w:rsid w:val="49940662"/>
    <w:rsid w:val="49995C78"/>
    <w:rsid w:val="499C6261"/>
    <w:rsid w:val="499C726F"/>
    <w:rsid w:val="499D4260"/>
    <w:rsid w:val="49A059E5"/>
    <w:rsid w:val="49A05D40"/>
    <w:rsid w:val="49A308A5"/>
    <w:rsid w:val="49A5461D"/>
    <w:rsid w:val="49A73042"/>
    <w:rsid w:val="49AD1724"/>
    <w:rsid w:val="49AD34D2"/>
    <w:rsid w:val="49AF43A5"/>
    <w:rsid w:val="49B451D1"/>
    <w:rsid w:val="49B54134"/>
    <w:rsid w:val="49B77EAC"/>
    <w:rsid w:val="49C01457"/>
    <w:rsid w:val="49C16F7D"/>
    <w:rsid w:val="49C36851"/>
    <w:rsid w:val="49C64EE4"/>
    <w:rsid w:val="49C94F4C"/>
    <w:rsid w:val="49CB1BAA"/>
    <w:rsid w:val="49CF3448"/>
    <w:rsid w:val="49D62A28"/>
    <w:rsid w:val="49D84A41"/>
    <w:rsid w:val="49D942C7"/>
    <w:rsid w:val="49DA0AA2"/>
    <w:rsid w:val="49DA3B9B"/>
    <w:rsid w:val="49DB0BE4"/>
    <w:rsid w:val="49DE18DD"/>
    <w:rsid w:val="49DE6C06"/>
    <w:rsid w:val="49E8450A"/>
    <w:rsid w:val="49EB5DA8"/>
    <w:rsid w:val="49ED7C34"/>
    <w:rsid w:val="49F25388"/>
    <w:rsid w:val="49F70BF1"/>
    <w:rsid w:val="49F72FAB"/>
    <w:rsid w:val="49FB248F"/>
    <w:rsid w:val="49FE1F7F"/>
    <w:rsid w:val="4A0362EE"/>
    <w:rsid w:val="4A037596"/>
    <w:rsid w:val="4A051356"/>
    <w:rsid w:val="4A0B1FA6"/>
    <w:rsid w:val="4A1474F2"/>
    <w:rsid w:val="4A162E25"/>
    <w:rsid w:val="4A166475"/>
    <w:rsid w:val="4A183041"/>
    <w:rsid w:val="4A190B67"/>
    <w:rsid w:val="4A225C6E"/>
    <w:rsid w:val="4A25750C"/>
    <w:rsid w:val="4A286FFC"/>
    <w:rsid w:val="4A2A68D0"/>
    <w:rsid w:val="4A2F038B"/>
    <w:rsid w:val="4A361719"/>
    <w:rsid w:val="4A370FED"/>
    <w:rsid w:val="4A38723F"/>
    <w:rsid w:val="4A396B13"/>
    <w:rsid w:val="4A3B0ADD"/>
    <w:rsid w:val="4A3E05CE"/>
    <w:rsid w:val="4A3E412A"/>
    <w:rsid w:val="4A407EA2"/>
    <w:rsid w:val="4A446121"/>
    <w:rsid w:val="4A45195C"/>
    <w:rsid w:val="4A4C6847"/>
    <w:rsid w:val="4A4F6337"/>
    <w:rsid w:val="4A524C36"/>
    <w:rsid w:val="4A525E27"/>
    <w:rsid w:val="4A5549D2"/>
    <w:rsid w:val="4A565917"/>
    <w:rsid w:val="4A5676C5"/>
    <w:rsid w:val="4A5710FE"/>
    <w:rsid w:val="4A5F4669"/>
    <w:rsid w:val="4A600544"/>
    <w:rsid w:val="4A622179"/>
    <w:rsid w:val="4A6475A1"/>
    <w:rsid w:val="4A653DAC"/>
    <w:rsid w:val="4A673681"/>
    <w:rsid w:val="4A6A13C3"/>
    <w:rsid w:val="4A6C6EE9"/>
    <w:rsid w:val="4A6D4A0F"/>
    <w:rsid w:val="4A743FEF"/>
    <w:rsid w:val="4A77763C"/>
    <w:rsid w:val="4A78588E"/>
    <w:rsid w:val="4A7B35D0"/>
    <w:rsid w:val="4A7B712C"/>
    <w:rsid w:val="4A844EF3"/>
    <w:rsid w:val="4A881849"/>
    <w:rsid w:val="4A8835F7"/>
    <w:rsid w:val="4A8B7D12"/>
    <w:rsid w:val="4A8D4B15"/>
    <w:rsid w:val="4A8E50B1"/>
    <w:rsid w:val="4A934476"/>
    <w:rsid w:val="4A985F30"/>
    <w:rsid w:val="4A9B77CE"/>
    <w:rsid w:val="4A9D70A2"/>
    <w:rsid w:val="4A9E2E1A"/>
    <w:rsid w:val="4AA530CC"/>
    <w:rsid w:val="4AA743C5"/>
    <w:rsid w:val="4AA77F21"/>
    <w:rsid w:val="4AA91EEB"/>
    <w:rsid w:val="4AB66F0D"/>
    <w:rsid w:val="4AB97C54"/>
    <w:rsid w:val="4ABD14F2"/>
    <w:rsid w:val="4ABD5996"/>
    <w:rsid w:val="4ABE526B"/>
    <w:rsid w:val="4ABE6B29"/>
    <w:rsid w:val="4ABF170F"/>
    <w:rsid w:val="4AC24D5B"/>
    <w:rsid w:val="4AC26B09"/>
    <w:rsid w:val="4ACA1E61"/>
    <w:rsid w:val="4ACB1112"/>
    <w:rsid w:val="4AD4683C"/>
    <w:rsid w:val="4AD54A8E"/>
    <w:rsid w:val="4AD625B4"/>
    <w:rsid w:val="4AD74508"/>
    <w:rsid w:val="4ADB406F"/>
    <w:rsid w:val="4ADC712C"/>
    <w:rsid w:val="4ADF3B5F"/>
    <w:rsid w:val="4AE051E1"/>
    <w:rsid w:val="4AE92BB7"/>
    <w:rsid w:val="4AEA6060"/>
    <w:rsid w:val="4AEC627C"/>
    <w:rsid w:val="4AEE5B50"/>
    <w:rsid w:val="4AF018C8"/>
    <w:rsid w:val="4AF55130"/>
    <w:rsid w:val="4AF60EA8"/>
    <w:rsid w:val="4AF63D85"/>
    <w:rsid w:val="4B013AD5"/>
    <w:rsid w:val="4B02784D"/>
    <w:rsid w:val="4B052E99"/>
    <w:rsid w:val="4B054C48"/>
    <w:rsid w:val="4B06335F"/>
    <w:rsid w:val="4B06733D"/>
    <w:rsid w:val="4B0E7FA0"/>
    <w:rsid w:val="4B1062C6"/>
    <w:rsid w:val="4B117A90"/>
    <w:rsid w:val="4B150642"/>
    <w:rsid w:val="4B1650A7"/>
    <w:rsid w:val="4B182BCD"/>
    <w:rsid w:val="4B1A06F3"/>
    <w:rsid w:val="4B1D01E3"/>
    <w:rsid w:val="4B1D6435"/>
    <w:rsid w:val="4B215F25"/>
    <w:rsid w:val="4B217CD3"/>
    <w:rsid w:val="4B2477C4"/>
    <w:rsid w:val="4B257098"/>
    <w:rsid w:val="4B2E419E"/>
    <w:rsid w:val="4B320132"/>
    <w:rsid w:val="4B3D2633"/>
    <w:rsid w:val="4B4115F6"/>
    <w:rsid w:val="4B46598C"/>
    <w:rsid w:val="4B475260"/>
    <w:rsid w:val="4B49547C"/>
    <w:rsid w:val="4B4B2FA2"/>
    <w:rsid w:val="4B4B6AFE"/>
    <w:rsid w:val="4B555BCF"/>
    <w:rsid w:val="4B571947"/>
    <w:rsid w:val="4B58746D"/>
    <w:rsid w:val="4B5E0F27"/>
    <w:rsid w:val="4B616322"/>
    <w:rsid w:val="4B62209A"/>
    <w:rsid w:val="4B6650BF"/>
    <w:rsid w:val="4B685902"/>
    <w:rsid w:val="4B726781"/>
    <w:rsid w:val="4B7324F9"/>
    <w:rsid w:val="4B7342A7"/>
    <w:rsid w:val="4B771FE9"/>
    <w:rsid w:val="4B775B45"/>
    <w:rsid w:val="4B7C13AE"/>
    <w:rsid w:val="4B7C7600"/>
    <w:rsid w:val="4B7D0C82"/>
    <w:rsid w:val="4B807D59"/>
    <w:rsid w:val="4B8169C4"/>
    <w:rsid w:val="4B897627"/>
    <w:rsid w:val="4B8D7117"/>
    <w:rsid w:val="4B8E2E8F"/>
    <w:rsid w:val="4B904E59"/>
    <w:rsid w:val="4B920BD1"/>
    <w:rsid w:val="4B92472D"/>
    <w:rsid w:val="4B9366F7"/>
    <w:rsid w:val="4B9504F3"/>
    <w:rsid w:val="4B95246F"/>
    <w:rsid w:val="4BA206E8"/>
    <w:rsid w:val="4BA56968"/>
    <w:rsid w:val="4BA72EF2"/>
    <w:rsid w:val="4BB23021"/>
    <w:rsid w:val="4BB24DCF"/>
    <w:rsid w:val="4BB26B7D"/>
    <w:rsid w:val="4BB87F0C"/>
    <w:rsid w:val="4BB9615E"/>
    <w:rsid w:val="4BBA1ED6"/>
    <w:rsid w:val="4BBB4121"/>
    <w:rsid w:val="4BBF74EC"/>
    <w:rsid w:val="4BC44B03"/>
    <w:rsid w:val="4BC468B1"/>
    <w:rsid w:val="4BC6087B"/>
    <w:rsid w:val="4BC863A1"/>
    <w:rsid w:val="4BC930A1"/>
    <w:rsid w:val="4BCD7E5B"/>
    <w:rsid w:val="4BD20FCE"/>
    <w:rsid w:val="4BD37849"/>
    <w:rsid w:val="4BD44D46"/>
    <w:rsid w:val="4BD5286C"/>
    <w:rsid w:val="4BD56D10"/>
    <w:rsid w:val="4BD96ED8"/>
    <w:rsid w:val="4BDA4326"/>
    <w:rsid w:val="4BDB06E3"/>
    <w:rsid w:val="4BDB28C9"/>
    <w:rsid w:val="4BDF193C"/>
    <w:rsid w:val="4BE13907"/>
    <w:rsid w:val="4BE8259F"/>
    <w:rsid w:val="4BE96317"/>
    <w:rsid w:val="4BF54CBC"/>
    <w:rsid w:val="4BFA0524"/>
    <w:rsid w:val="4BFC24EE"/>
    <w:rsid w:val="4C03562B"/>
    <w:rsid w:val="4C0647B3"/>
    <w:rsid w:val="4C082C41"/>
    <w:rsid w:val="4C0A69B9"/>
    <w:rsid w:val="4C0F5D7E"/>
    <w:rsid w:val="4C1120BF"/>
    <w:rsid w:val="4C123AC0"/>
    <w:rsid w:val="4C194E4E"/>
    <w:rsid w:val="4C196BFC"/>
    <w:rsid w:val="4C1C2AE1"/>
    <w:rsid w:val="4C1C493F"/>
    <w:rsid w:val="4C1E4213"/>
    <w:rsid w:val="4C20442F"/>
    <w:rsid w:val="4C2C143E"/>
    <w:rsid w:val="4C2D26A8"/>
    <w:rsid w:val="4C325F10"/>
    <w:rsid w:val="4C3703CD"/>
    <w:rsid w:val="4C3B4DC5"/>
    <w:rsid w:val="4C3E203F"/>
    <w:rsid w:val="4C40062D"/>
    <w:rsid w:val="4C4243A5"/>
    <w:rsid w:val="4C43011D"/>
    <w:rsid w:val="4C4460A7"/>
    <w:rsid w:val="4C453E95"/>
    <w:rsid w:val="4C4579F1"/>
    <w:rsid w:val="4C4623ED"/>
    <w:rsid w:val="4C465518"/>
    <w:rsid w:val="4C4A14AC"/>
    <w:rsid w:val="4C4A2448"/>
    <w:rsid w:val="4C4A469A"/>
    <w:rsid w:val="4C5424D5"/>
    <w:rsid w:val="4C545E87"/>
    <w:rsid w:val="4C577725"/>
    <w:rsid w:val="4C5916EF"/>
    <w:rsid w:val="4C607A12"/>
    <w:rsid w:val="4C612351"/>
    <w:rsid w:val="4C6B24D1"/>
    <w:rsid w:val="4C6C1422"/>
    <w:rsid w:val="4C6D0A0A"/>
    <w:rsid w:val="4C6D519A"/>
    <w:rsid w:val="4C7E4CB1"/>
    <w:rsid w:val="4C800A2A"/>
    <w:rsid w:val="4C820C46"/>
    <w:rsid w:val="4C8229F4"/>
    <w:rsid w:val="4C8A7AFA"/>
    <w:rsid w:val="4C8C5620"/>
    <w:rsid w:val="4C8C73CE"/>
    <w:rsid w:val="4C8D3147"/>
    <w:rsid w:val="4C8F3363"/>
    <w:rsid w:val="4C934C01"/>
    <w:rsid w:val="4C9444D5"/>
    <w:rsid w:val="4C975D73"/>
    <w:rsid w:val="4C997D3D"/>
    <w:rsid w:val="4C9A7A0B"/>
    <w:rsid w:val="4C9B5863"/>
    <w:rsid w:val="4C9D15DC"/>
    <w:rsid w:val="4CA7245A"/>
    <w:rsid w:val="4CA74208"/>
    <w:rsid w:val="4CA87F80"/>
    <w:rsid w:val="4CAC5CC3"/>
    <w:rsid w:val="4CB37051"/>
    <w:rsid w:val="4CB86415"/>
    <w:rsid w:val="4CB9218D"/>
    <w:rsid w:val="4CB93F3C"/>
    <w:rsid w:val="4CBE6A7F"/>
    <w:rsid w:val="4CBF59F6"/>
    <w:rsid w:val="4CC07ADA"/>
    <w:rsid w:val="4CC76658"/>
    <w:rsid w:val="4CCA6149"/>
    <w:rsid w:val="4CD15729"/>
    <w:rsid w:val="4CE0596C"/>
    <w:rsid w:val="4CE4720A"/>
    <w:rsid w:val="4CE74F4D"/>
    <w:rsid w:val="4CEA67EB"/>
    <w:rsid w:val="4CF431C6"/>
    <w:rsid w:val="4CF5766A"/>
    <w:rsid w:val="4CF6285E"/>
    <w:rsid w:val="4CF84A64"/>
    <w:rsid w:val="4CFA1D1B"/>
    <w:rsid w:val="4D01288C"/>
    <w:rsid w:val="4D0258E3"/>
    <w:rsid w:val="4D0D6539"/>
    <w:rsid w:val="4D115B26"/>
    <w:rsid w:val="4D1473C4"/>
    <w:rsid w:val="4D155616"/>
    <w:rsid w:val="4D16313C"/>
    <w:rsid w:val="4D1675E0"/>
    <w:rsid w:val="4D185106"/>
    <w:rsid w:val="4D186EB4"/>
    <w:rsid w:val="4D1A0E7E"/>
    <w:rsid w:val="4D1C3C25"/>
    <w:rsid w:val="4D1F0243"/>
    <w:rsid w:val="4D2B7746"/>
    <w:rsid w:val="4D331F40"/>
    <w:rsid w:val="4D355CB8"/>
    <w:rsid w:val="4D3A507C"/>
    <w:rsid w:val="4D423F31"/>
    <w:rsid w:val="4D467EC5"/>
    <w:rsid w:val="4D4717AD"/>
    <w:rsid w:val="4D4C3002"/>
    <w:rsid w:val="4D4E0B28"/>
    <w:rsid w:val="4D510618"/>
    <w:rsid w:val="4D52686A"/>
    <w:rsid w:val="4D5F4AE3"/>
    <w:rsid w:val="4D604380"/>
    <w:rsid w:val="4D677E3B"/>
    <w:rsid w:val="4D68697E"/>
    <w:rsid w:val="4D73058E"/>
    <w:rsid w:val="4D77007F"/>
    <w:rsid w:val="4D7918C2"/>
    <w:rsid w:val="4D7A36CB"/>
    <w:rsid w:val="4D7A7B6F"/>
    <w:rsid w:val="4D7B7443"/>
    <w:rsid w:val="4D810EFD"/>
    <w:rsid w:val="4D8409ED"/>
    <w:rsid w:val="4D897DB2"/>
    <w:rsid w:val="4D8B3B2A"/>
    <w:rsid w:val="4D8F6B17"/>
    <w:rsid w:val="4D956757"/>
    <w:rsid w:val="4D994499"/>
    <w:rsid w:val="4D9C1893"/>
    <w:rsid w:val="4D9D560B"/>
    <w:rsid w:val="4DA13CAC"/>
    <w:rsid w:val="4DA8648A"/>
    <w:rsid w:val="4DAA371F"/>
    <w:rsid w:val="4DAD1CF2"/>
    <w:rsid w:val="4DAE15C6"/>
    <w:rsid w:val="4DB0533F"/>
    <w:rsid w:val="4DB11D90"/>
    <w:rsid w:val="4DB74893"/>
    <w:rsid w:val="4DBD7A5B"/>
    <w:rsid w:val="4DC1754C"/>
    <w:rsid w:val="4DC64B62"/>
    <w:rsid w:val="4DC70076"/>
    <w:rsid w:val="4DC82688"/>
    <w:rsid w:val="4DCB2178"/>
    <w:rsid w:val="4DCD7C9F"/>
    <w:rsid w:val="4DCE1C69"/>
    <w:rsid w:val="4DD04934"/>
    <w:rsid w:val="4DD0778F"/>
    <w:rsid w:val="4DD23507"/>
    <w:rsid w:val="4DD3727F"/>
    <w:rsid w:val="4DD467EC"/>
    <w:rsid w:val="4DD728CB"/>
    <w:rsid w:val="4DDA23BB"/>
    <w:rsid w:val="4DDE1EAC"/>
    <w:rsid w:val="4DDF5C24"/>
    <w:rsid w:val="4DE1374A"/>
    <w:rsid w:val="4DEB281B"/>
    <w:rsid w:val="4DEB45C9"/>
    <w:rsid w:val="4DED52D5"/>
    <w:rsid w:val="4DEE5E67"/>
    <w:rsid w:val="4DF53699"/>
    <w:rsid w:val="4DF55447"/>
    <w:rsid w:val="4DF94F37"/>
    <w:rsid w:val="4DFA0CB0"/>
    <w:rsid w:val="4DFC67D6"/>
    <w:rsid w:val="4DFF60CF"/>
    <w:rsid w:val="4E047438"/>
    <w:rsid w:val="4E061402"/>
    <w:rsid w:val="4E0631B0"/>
    <w:rsid w:val="4E067654"/>
    <w:rsid w:val="4E086F29"/>
    <w:rsid w:val="4E0A0EF3"/>
    <w:rsid w:val="4E1517BE"/>
    <w:rsid w:val="4E1A4EAE"/>
    <w:rsid w:val="4E1F4272"/>
    <w:rsid w:val="4E235B10"/>
    <w:rsid w:val="4E2A50F1"/>
    <w:rsid w:val="4E2B2C17"/>
    <w:rsid w:val="4E2E44B5"/>
    <w:rsid w:val="4E347D1E"/>
    <w:rsid w:val="4E3A10AC"/>
    <w:rsid w:val="4E3B2540"/>
    <w:rsid w:val="4E3C4E24"/>
    <w:rsid w:val="4E3F66C2"/>
    <w:rsid w:val="4E404914"/>
    <w:rsid w:val="4E41243B"/>
    <w:rsid w:val="4E4168DE"/>
    <w:rsid w:val="4E4334AF"/>
    <w:rsid w:val="4E45017D"/>
    <w:rsid w:val="4E4F6905"/>
    <w:rsid w:val="4E50267E"/>
    <w:rsid w:val="4E573A0C"/>
    <w:rsid w:val="4E5B6249"/>
    <w:rsid w:val="4E5C7274"/>
    <w:rsid w:val="4E606D65"/>
    <w:rsid w:val="4E636855"/>
    <w:rsid w:val="4E6A1991"/>
    <w:rsid w:val="4E6C3227"/>
    <w:rsid w:val="4E6F2261"/>
    <w:rsid w:val="4E710F72"/>
    <w:rsid w:val="4E7520E4"/>
    <w:rsid w:val="4E7611CD"/>
    <w:rsid w:val="4E772300"/>
    <w:rsid w:val="4E782A9E"/>
    <w:rsid w:val="4E787FC6"/>
    <w:rsid w:val="4E7B2B97"/>
    <w:rsid w:val="4E7B59EC"/>
    <w:rsid w:val="4E8011B5"/>
    <w:rsid w:val="4E86609F"/>
    <w:rsid w:val="4E8862BB"/>
    <w:rsid w:val="4E8A3DE2"/>
    <w:rsid w:val="4E8B1908"/>
    <w:rsid w:val="4E8C5DAC"/>
    <w:rsid w:val="4E8C7B5A"/>
    <w:rsid w:val="4E8D5680"/>
    <w:rsid w:val="4E941852"/>
    <w:rsid w:val="4E9609D8"/>
    <w:rsid w:val="4E964534"/>
    <w:rsid w:val="4E992277"/>
    <w:rsid w:val="4E9C58C3"/>
    <w:rsid w:val="4EA16093"/>
    <w:rsid w:val="4EA2737D"/>
    <w:rsid w:val="4EA50C1B"/>
    <w:rsid w:val="4EA529C9"/>
    <w:rsid w:val="4EA74993"/>
    <w:rsid w:val="4EB26E94"/>
    <w:rsid w:val="4EB470B0"/>
    <w:rsid w:val="4EBB3F9B"/>
    <w:rsid w:val="4EBE7F2F"/>
    <w:rsid w:val="4EC05A55"/>
    <w:rsid w:val="4EC5306C"/>
    <w:rsid w:val="4EC927B3"/>
    <w:rsid w:val="4EC92B5C"/>
    <w:rsid w:val="4ECD3CCE"/>
    <w:rsid w:val="4ECE0172"/>
    <w:rsid w:val="4ECE1C4D"/>
    <w:rsid w:val="4ECF17A1"/>
    <w:rsid w:val="4ED41501"/>
    <w:rsid w:val="4ED67027"/>
    <w:rsid w:val="4ED67210"/>
    <w:rsid w:val="4EDE7C89"/>
    <w:rsid w:val="4EE22C77"/>
    <w:rsid w:val="4EE2777A"/>
    <w:rsid w:val="4EE852BE"/>
    <w:rsid w:val="4EE94FAC"/>
    <w:rsid w:val="4EF120B3"/>
    <w:rsid w:val="4EF1392B"/>
    <w:rsid w:val="4EF456FF"/>
    <w:rsid w:val="4EF950C0"/>
    <w:rsid w:val="4EFA4932"/>
    <w:rsid w:val="4EFB6A8D"/>
    <w:rsid w:val="4EFC5E7F"/>
    <w:rsid w:val="4EFD45B3"/>
    <w:rsid w:val="4EFD55F3"/>
    <w:rsid w:val="4EFE032C"/>
    <w:rsid w:val="4F0040A4"/>
    <w:rsid w:val="4F0516BA"/>
    <w:rsid w:val="4F073CFD"/>
    <w:rsid w:val="4F0A6CD0"/>
    <w:rsid w:val="4F0D4D7F"/>
    <w:rsid w:val="4F133DD7"/>
    <w:rsid w:val="4F161B19"/>
    <w:rsid w:val="4F165675"/>
    <w:rsid w:val="4F18319B"/>
    <w:rsid w:val="4F1B0EDE"/>
    <w:rsid w:val="4F1B712F"/>
    <w:rsid w:val="4F1E5158"/>
    <w:rsid w:val="4F2064F4"/>
    <w:rsid w:val="4F2A2ECF"/>
    <w:rsid w:val="4F2C6C47"/>
    <w:rsid w:val="4F2E6E63"/>
    <w:rsid w:val="4F3B1580"/>
    <w:rsid w:val="4F3B50DC"/>
    <w:rsid w:val="4F3F2E1E"/>
    <w:rsid w:val="4F42290E"/>
    <w:rsid w:val="4F440434"/>
    <w:rsid w:val="4F457D08"/>
    <w:rsid w:val="4F471CD3"/>
    <w:rsid w:val="4F473A81"/>
    <w:rsid w:val="4F4915A7"/>
    <w:rsid w:val="4F5148FF"/>
    <w:rsid w:val="4F531035"/>
    <w:rsid w:val="4F5D14F6"/>
    <w:rsid w:val="4F5F526E"/>
    <w:rsid w:val="4F637D7D"/>
    <w:rsid w:val="4F672375"/>
    <w:rsid w:val="4F691C49"/>
    <w:rsid w:val="4F6A6723"/>
    <w:rsid w:val="4F6E54B1"/>
    <w:rsid w:val="4F730D1A"/>
    <w:rsid w:val="4F73779A"/>
    <w:rsid w:val="4F7458FA"/>
    <w:rsid w:val="4F756840"/>
    <w:rsid w:val="4F7B372A"/>
    <w:rsid w:val="4F8847C5"/>
    <w:rsid w:val="4F8B7E11"/>
    <w:rsid w:val="4F9071D6"/>
    <w:rsid w:val="4F9111A0"/>
    <w:rsid w:val="4F98252E"/>
    <w:rsid w:val="4F9842DC"/>
    <w:rsid w:val="4F9B5B7A"/>
    <w:rsid w:val="4F9D5D96"/>
    <w:rsid w:val="4FA113E3"/>
    <w:rsid w:val="4FA36D76"/>
    <w:rsid w:val="4FA520C6"/>
    <w:rsid w:val="4FA709C3"/>
    <w:rsid w:val="4FA964E9"/>
    <w:rsid w:val="4FAB18F7"/>
    <w:rsid w:val="4FAC7D88"/>
    <w:rsid w:val="4FAE1D52"/>
    <w:rsid w:val="4FB05ACA"/>
    <w:rsid w:val="4FB629B4"/>
    <w:rsid w:val="4FB8497E"/>
    <w:rsid w:val="4FB97DFA"/>
    <w:rsid w:val="4FBC3CB9"/>
    <w:rsid w:val="4FBF7ABB"/>
    <w:rsid w:val="4FC43323"/>
    <w:rsid w:val="4FC652ED"/>
    <w:rsid w:val="4FC9093A"/>
    <w:rsid w:val="4FD35314"/>
    <w:rsid w:val="4FD5108C"/>
    <w:rsid w:val="4FD80B7D"/>
    <w:rsid w:val="4FD95020"/>
    <w:rsid w:val="4FE15C83"/>
    <w:rsid w:val="4FE237A9"/>
    <w:rsid w:val="4FE5334A"/>
    <w:rsid w:val="4FEB4D54"/>
    <w:rsid w:val="4FEC2D98"/>
    <w:rsid w:val="4FF03384"/>
    <w:rsid w:val="4FF754A7"/>
    <w:rsid w:val="4FFF435B"/>
    <w:rsid w:val="50025BF9"/>
    <w:rsid w:val="50041972"/>
    <w:rsid w:val="500B00E9"/>
    <w:rsid w:val="500B71A4"/>
    <w:rsid w:val="501A1195"/>
    <w:rsid w:val="501A565F"/>
    <w:rsid w:val="501B46D5"/>
    <w:rsid w:val="501F0559"/>
    <w:rsid w:val="502A762A"/>
    <w:rsid w:val="502D2C76"/>
    <w:rsid w:val="5032028D"/>
    <w:rsid w:val="50324731"/>
    <w:rsid w:val="503867CE"/>
    <w:rsid w:val="50395ABF"/>
    <w:rsid w:val="503A5393"/>
    <w:rsid w:val="503F29AA"/>
    <w:rsid w:val="503F66A1"/>
    <w:rsid w:val="50447FC0"/>
    <w:rsid w:val="504A1A7A"/>
    <w:rsid w:val="505226DD"/>
    <w:rsid w:val="50526B81"/>
    <w:rsid w:val="505446A7"/>
    <w:rsid w:val="50546455"/>
    <w:rsid w:val="505521CD"/>
    <w:rsid w:val="50575F45"/>
    <w:rsid w:val="50577CF3"/>
    <w:rsid w:val="505A5A36"/>
    <w:rsid w:val="505C2484"/>
    <w:rsid w:val="505C355C"/>
    <w:rsid w:val="505E1082"/>
    <w:rsid w:val="506348EA"/>
    <w:rsid w:val="506654C3"/>
    <w:rsid w:val="50680152"/>
    <w:rsid w:val="50696BE9"/>
    <w:rsid w:val="506A3ECB"/>
    <w:rsid w:val="506B379F"/>
    <w:rsid w:val="506D5769"/>
    <w:rsid w:val="50707007"/>
    <w:rsid w:val="50770396"/>
    <w:rsid w:val="507B60D8"/>
    <w:rsid w:val="507E7856"/>
    <w:rsid w:val="507E7976"/>
    <w:rsid w:val="508023F2"/>
    <w:rsid w:val="50850D04"/>
    <w:rsid w:val="508C2093"/>
    <w:rsid w:val="508D1967"/>
    <w:rsid w:val="508F3931"/>
    <w:rsid w:val="50902684"/>
    <w:rsid w:val="50912456"/>
    <w:rsid w:val="50926F7D"/>
    <w:rsid w:val="5095081C"/>
    <w:rsid w:val="50970A38"/>
    <w:rsid w:val="5099655E"/>
    <w:rsid w:val="509B0AEA"/>
    <w:rsid w:val="50A218B6"/>
    <w:rsid w:val="50A56CB1"/>
    <w:rsid w:val="50A6410D"/>
    <w:rsid w:val="50A82C45"/>
    <w:rsid w:val="50AF5D81"/>
    <w:rsid w:val="50B25872"/>
    <w:rsid w:val="50B25FB2"/>
    <w:rsid w:val="50BB2978"/>
    <w:rsid w:val="50BB4726"/>
    <w:rsid w:val="50BB64D4"/>
    <w:rsid w:val="50BD049E"/>
    <w:rsid w:val="50BD3C7B"/>
    <w:rsid w:val="50C34E38"/>
    <w:rsid w:val="50C35389"/>
    <w:rsid w:val="50C57353"/>
    <w:rsid w:val="50C64E79"/>
    <w:rsid w:val="50CD6207"/>
    <w:rsid w:val="50CE26AB"/>
    <w:rsid w:val="50D15CF8"/>
    <w:rsid w:val="50D3612E"/>
    <w:rsid w:val="50D546CF"/>
    <w:rsid w:val="50D77086"/>
    <w:rsid w:val="50DD28EE"/>
    <w:rsid w:val="50DE0415"/>
    <w:rsid w:val="50DE21C3"/>
    <w:rsid w:val="50DF56DA"/>
    <w:rsid w:val="50E0418D"/>
    <w:rsid w:val="50E21CB3"/>
    <w:rsid w:val="50E3191F"/>
    <w:rsid w:val="50E410DA"/>
    <w:rsid w:val="50EC0D83"/>
    <w:rsid w:val="50ED0658"/>
    <w:rsid w:val="50F33EC0"/>
    <w:rsid w:val="50F463B9"/>
    <w:rsid w:val="50F86586"/>
    <w:rsid w:val="50FA685A"/>
    <w:rsid w:val="50FB4F0E"/>
    <w:rsid w:val="50FC089B"/>
    <w:rsid w:val="51031C29"/>
    <w:rsid w:val="510500B3"/>
    <w:rsid w:val="51071719"/>
    <w:rsid w:val="510A2FB8"/>
    <w:rsid w:val="510B49FC"/>
    <w:rsid w:val="510B6A40"/>
    <w:rsid w:val="510F05CE"/>
    <w:rsid w:val="51121E6C"/>
    <w:rsid w:val="511A58F1"/>
    <w:rsid w:val="511A6D4F"/>
    <w:rsid w:val="511D2CEB"/>
    <w:rsid w:val="51200A2D"/>
    <w:rsid w:val="51226553"/>
    <w:rsid w:val="512322CB"/>
    <w:rsid w:val="512B7333"/>
    <w:rsid w:val="512C2F2E"/>
    <w:rsid w:val="512E091C"/>
    <w:rsid w:val="512E4EF8"/>
    <w:rsid w:val="512F6EC2"/>
    <w:rsid w:val="51303F7A"/>
    <w:rsid w:val="5133250E"/>
    <w:rsid w:val="51360251"/>
    <w:rsid w:val="51383FC9"/>
    <w:rsid w:val="513F5357"/>
    <w:rsid w:val="51422751"/>
    <w:rsid w:val="51426BF5"/>
    <w:rsid w:val="51477430"/>
    <w:rsid w:val="51477D68"/>
    <w:rsid w:val="514C537E"/>
    <w:rsid w:val="5153495F"/>
    <w:rsid w:val="51542485"/>
    <w:rsid w:val="51586419"/>
    <w:rsid w:val="515D2B4E"/>
    <w:rsid w:val="516369D5"/>
    <w:rsid w:val="51694182"/>
    <w:rsid w:val="516A1CA8"/>
    <w:rsid w:val="516A1F01"/>
    <w:rsid w:val="517448D5"/>
    <w:rsid w:val="51752B27"/>
    <w:rsid w:val="5176064D"/>
    <w:rsid w:val="517843C5"/>
    <w:rsid w:val="518014CC"/>
    <w:rsid w:val="51844B18"/>
    <w:rsid w:val="51857EC5"/>
    <w:rsid w:val="51890380"/>
    <w:rsid w:val="518E1E3B"/>
    <w:rsid w:val="518E5997"/>
    <w:rsid w:val="51956D25"/>
    <w:rsid w:val="519B00B4"/>
    <w:rsid w:val="519D5BDA"/>
    <w:rsid w:val="519E0C3C"/>
    <w:rsid w:val="51A76A58"/>
    <w:rsid w:val="51AB6549"/>
    <w:rsid w:val="51B1646C"/>
    <w:rsid w:val="51BD627C"/>
    <w:rsid w:val="51BF3DA2"/>
    <w:rsid w:val="51C13FBE"/>
    <w:rsid w:val="51C30881"/>
    <w:rsid w:val="51C70EA9"/>
    <w:rsid w:val="51C770FB"/>
    <w:rsid w:val="51CA5022"/>
    <w:rsid w:val="51D3784E"/>
    <w:rsid w:val="51D47608"/>
    <w:rsid w:val="51D57A6A"/>
    <w:rsid w:val="51D6733E"/>
    <w:rsid w:val="51D81308"/>
    <w:rsid w:val="51DC7471"/>
    <w:rsid w:val="51DD247A"/>
    <w:rsid w:val="51E03201"/>
    <w:rsid w:val="51E12BF5"/>
    <w:rsid w:val="51E45838"/>
    <w:rsid w:val="51E7154B"/>
    <w:rsid w:val="51E732F9"/>
    <w:rsid w:val="51E97071"/>
    <w:rsid w:val="51EB103B"/>
    <w:rsid w:val="51EC34F8"/>
    <w:rsid w:val="51ED6B61"/>
    <w:rsid w:val="51F0320D"/>
    <w:rsid w:val="51F06651"/>
    <w:rsid w:val="51F15F26"/>
    <w:rsid w:val="51F55A16"/>
    <w:rsid w:val="51F7178E"/>
    <w:rsid w:val="51FA127E"/>
    <w:rsid w:val="51FA3EE5"/>
    <w:rsid w:val="520774F7"/>
    <w:rsid w:val="52093015"/>
    <w:rsid w:val="5209326F"/>
    <w:rsid w:val="520B6FE7"/>
    <w:rsid w:val="521117A7"/>
    <w:rsid w:val="52120376"/>
    <w:rsid w:val="5212481A"/>
    <w:rsid w:val="52140BA8"/>
    <w:rsid w:val="521648E7"/>
    <w:rsid w:val="521A36CE"/>
    <w:rsid w:val="521A547C"/>
    <w:rsid w:val="521C11F4"/>
    <w:rsid w:val="521F2A93"/>
    <w:rsid w:val="522307D5"/>
    <w:rsid w:val="52232583"/>
    <w:rsid w:val="52272456"/>
    <w:rsid w:val="522D51B0"/>
    <w:rsid w:val="52346A17"/>
    <w:rsid w:val="52383B54"/>
    <w:rsid w:val="523C3645"/>
    <w:rsid w:val="523C53F3"/>
    <w:rsid w:val="523F4EE3"/>
    <w:rsid w:val="52412A09"/>
    <w:rsid w:val="52426781"/>
    <w:rsid w:val="52432980"/>
    <w:rsid w:val="52450697"/>
    <w:rsid w:val="525070F0"/>
    <w:rsid w:val="52554706"/>
    <w:rsid w:val="525564B4"/>
    <w:rsid w:val="5256161C"/>
    <w:rsid w:val="52592449"/>
    <w:rsid w:val="525A3ACB"/>
    <w:rsid w:val="525B064E"/>
    <w:rsid w:val="525B7138"/>
    <w:rsid w:val="525E7A5F"/>
    <w:rsid w:val="525F5585"/>
    <w:rsid w:val="526130AB"/>
    <w:rsid w:val="52636E23"/>
    <w:rsid w:val="526861E8"/>
    <w:rsid w:val="52693681"/>
    <w:rsid w:val="526B217C"/>
    <w:rsid w:val="526F3A1A"/>
    <w:rsid w:val="526F57C8"/>
    <w:rsid w:val="527103FC"/>
    <w:rsid w:val="52756035"/>
    <w:rsid w:val="52756B57"/>
    <w:rsid w:val="527821A3"/>
    <w:rsid w:val="527C1C93"/>
    <w:rsid w:val="528154FB"/>
    <w:rsid w:val="52862B12"/>
    <w:rsid w:val="528943B0"/>
    <w:rsid w:val="528A2602"/>
    <w:rsid w:val="528B1ED6"/>
    <w:rsid w:val="52903990"/>
    <w:rsid w:val="52946FDD"/>
    <w:rsid w:val="52992DB0"/>
    <w:rsid w:val="529A792F"/>
    <w:rsid w:val="529E42FF"/>
    <w:rsid w:val="52A1794C"/>
    <w:rsid w:val="52A336C4"/>
    <w:rsid w:val="52A4759B"/>
    <w:rsid w:val="52A511EA"/>
    <w:rsid w:val="52A631B4"/>
    <w:rsid w:val="52AB4326"/>
    <w:rsid w:val="52B0193D"/>
    <w:rsid w:val="52B35629"/>
    <w:rsid w:val="52B44B6E"/>
    <w:rsid w:val="52B551A5"/>
    <w:rsid w:val="52B753C1"/>
    <w:rsid w:val="52BA27BB"/>
    <w:rsid w:val="52BB4769"/>
    <w:rsid w:val="52BE405A"/>
    <w:rsid w:val="52C5363A"/>
    <w:rsid w:val="52C97DE2"/>
    <w:rsid w:val="52CA6EA2"/>
    <w:rsid w:val="52CD24EF"/>
    <w:rsid w:val="52D0481B"/>
    <w:rsid w:val="52D06318"/>
    <w:rsid w:val="52D32AFD"/>
    <w:rsid w:val="52D63A99"/>
    <w:rsid w:val="52DB10B0"/>
    <w:rsid w:val="52DD2EAB"/>
    <w:rsid w:val="52E141EC"/>
    <w:rsid w:val="52E15F9A"/>
    <w:rsid w:val="52E609DD"/>
    <w:rsid w:val="52E71802"/>
    <w:rsid w:val="52EA3093"/>
    <w:rsid w:val="52EA30A1"/>
    <w:rsid w:val="52EB0BC7"/>
    <w:rsid w:val="52EC506B"/>
    <w:rsid w:val="52ED2B91"/>
    <w:rsid w:val="52FE08FA"/>
    <w:rsid w:val="53034162"/>
    <w:rsid w:val="5305587F"/>
    <w:rsid w:val="5305612D"/>
    <w:rsid w:val="53065A01"/>
    <w:rsid w:val="53066D0F"/>
    <w:rsid w:val="53096661"/>
    <w:rsid w:val="530A729F"/>
    <w:rsid w:val="530D6D8F"/>
    <w:rsid w:val="531719BC"/>
    <w:rsid w:val="531972A9"/>
    <w:rsid w:val="531D3476"/>
    <w:rsid w:val="53202F66"/>
    <w:rsid w:val="532145E9"/>
    <w:rsid w:val="53224DA7"/>
    <w:rsid w:val="53226CDE"/>
    <w:rsid w:val="532D789E"/>
    <w:rsid w:val="533407C0"/>
    <w:rsid w:val="53373E0C"/>
    <w:rsid w:val="533802B0"/>
    <w:rsid w:val="533B38FC"/>
    <w:rsid w:val="533F163E"/>
    <w:rsid w:val="53407B22"/>
    <w:rsid w:val="5345477B"/>
    <w:rsid w:val="53475632"/>
    <w:rsid w:val="53481136"/>
    <w:rsid w:val="5349426B"/>
    <w:rsid w:val="534C78B7"/>
    <w:rsid w:val="534D3630"/>
    <w:rsid w:val="534F55FA"/>
    <w:rsid w:val="53536E98"/>
    <w:rsid w:val="53575BF6"/>
    <w:rsid w:val="53581187"/>
    <w:rsid w:val="535844AE"/>
    <w:rsid w:val="535A6478"/>
    <w:rsid w:val="535D3873"/>
    <w:rsid w:val="536410A5"/>
    <w:rsid w:val="53642E53"/>
    <w:rsid w:val="5364772A"/>
    <w:rsid w:val="53656BCB"/>
    <w:rsid w:val="53670B95"/>
    <w:rsid w:val="5367649F"/>
    <w:rsid w:val="536C61AC"/>
    <w:rsid w:val="537137C2"/>
    <w:rsid w:val="5373047A"/>
    <w:rsid w:val="53784748"/>
    <w:rsid w:val="537904C0"/>
    <w:rsid w:val="537B4521"/>
    <w:rsid w:val="537B518E"/>
    <w:rsid w:val="538452A3"/>
    <w:rsid w:val="5386726D"/>
    <w:rsid w:val="53890B0C"/>
    <w:rsid w:val="538A1445"/>
    <w:rsid w:val="538C0077"/>
    <w:rsid w:val="538C05FC"/>
    <w:rsid w:val="538C4158"/>
    <w:rsid w:val="53916747"/>
    <w:rsid w:val="53937294"/>
    <w:rsid w:val="539574B0"/>
    <w:rsid w:val="53964FD7"/>
    <w:rsid w:val="539A0B30"/>
    <w:rsid w:val="539A6875"/>
    <w:rsid w:val="539F3171"/>
    <w:rsid w:val="539F60F0"/>
    <w:rsid w:val="53A21E89"/>
    <w:rsid w:val="53A45945"/>
    <w:rsid w:val="53A56FC8"/>
    <w:rsid w:val="53A616BE"/>
    <w:rsid w:val="53AC0356"/>
    <w:rsid w:val="53BB4B14"/>
    <w:rsid w:val="53BB67EB"/>
    <w:rsid w:val="53C953AC"/>
    <w:rsid w:val="53CC6C4A"/>
    <w:rsid w:val="53CE651E"/>
    <w:rsid w:val="53D53D51"/>
    <w:rsid w:val="53D578AD"/>
    <w:rsid w:val="53D61877"/>
    <w:rsid w:val="53D63625"/>
    <w:rsid w:val="53D855EF"/>
    <w:rsid w:val="53DA3115"/>
    <w:rsid w:val="53DD2C05"/>
    <w:rsid w:val="53E421E6"/>
    <w:rsid w:val="53E54C21"/>
    <w:rsid w:val="53E61ABA"/>
    <w:rsid w:val="53E67D0C"/>
    <w:rsid w:val="53E73A84"/>
    <w:rsid w:val="53EA0E7E"/>
    <w:rsid w:val="53F046E7"/>
    <w:rsid w:val="53F51CFD"/>
    <w:rsid w:val="53F65BA6"/>
    <w:rsid w:val="53F73CC7"/>
    <w:rsid w:val="53FD01B2"/>
    <w:rsid w:val="53FD6E04"/>
    <w:rsid w:val="53FF492A"/>
    <w:rsid w:val="54017C89"/>
    <w:rsid w:val="54041F40"/>
    <w:rsid w:val="54065CB8"/>
    <w:rsid w:val="5412080D"/>
    <w:rsid w:val="54134879"/>
    <w:rsid w:val="54176117"/>
    <w:rsid w:val="54181E8F"/>
    <w:rsid w:val="541C189E"/>
    <w:rsid w:val="54232D0E"/>
    <w:rsid w:val="542B1BC3"/>
    <w:rsid w:val="542E3461"/>
    <w:rsid w:val="54302D35"/>
    <w:rsid w:val="54316AAD"/>
    <w:rsid w:val="54332825"/>
    <w:rsid w:val="5438608E"/>
    <w:rsid w:val="54387E3C"/>
    <w:rsid w:val="54390279"/>
    <w:rsid w:val="543A3BB4"/>
    <w:rsid w:val="543F2BCC"/>
    <w:rsid w:val="54422A6C"/>
    <w:rsid w:val="54436F0C"/>
    <w:rsid w:val="54442C85"/>
    <w:rsid w:val="54462559"/>
    <w:rsid w:val="544762D1"/>
    <w:rsid w:val="54482FB8"/>
    <w:rsid w:val="5449029B"/>
    <w:rsid w:val="54492049"/>
    <w:rsid w:val="54493DF7"/>
    <w:rsid w:val="54520EFE"/>
    <w:rsid w:val="54531D4B"/>
    <w:rsid w:val="54534C76"/>
    <w:rsid w:val="5454111A"/>
    <w:rsid w:val="54556C40"/>
    <w:rsid w:val="54596730"/>
    <w:rsid w:val="545C2CA3"/>
    <w:rsid w:val="546000A4"/>
    <w:rsid w:val="5466258B"/>
    <w:rsid w:val="546B0211"/>
    <w:rsid w:val="546E7D01"/>
    <w:rsid w:val="546F5F53"/>
    <w:rsid w:val="54766D8B"/>
    <w:rsid w:val="547F5A6B"/>
    <w:rsid w:val="54827657"/>
    <w:rsid w:val="548337AD"/>
    <w:rsid w:val="548412D3"/>
    <w:rsid w:val="54880DC3"/>
    <w:rsid w:val="54882B71"/>
    <w:rsid w:val="548968E9"/>
    <w:rsid w:val="548B440F"/>
    <w:rsid w:val="548E7BE3"/>
    <w:rsid w:val="548F2152"/>
    <w:rsid w:val="54947768"/>
    <w:rsid w:val="549A28A4"/>
    <w:rsid w:val="549B52D9"/>
    <w:rsid w:val="549C486F"/>
    <w:rsid w:val="54A31759"/>
    <w:rsid w:val="54A379AB"/>
    <w:rsid w:val="54AA0D3A"/>
    <w:rsid w:val="54AB37FC"/>
    <w:rsid w:val="54B41BB8"/>
    <w:rsid w:val="54B43966"/>
    <w:rsid w:val="54B5148C"/>
    <w:rsid w:val="54B558D2"/>
    <w:rsid w:val="54B716A8"/>
    <w:rsid w:val="54B71F07"/>
    <w:rsid w:val="54BE6A9F"/>
    <w:rsid w:val="54C120D0"/>
    <w:rsid w:val="54C33BA9"/>
    <w:rsid w:val="54C47921"/>
    <w:rsid w:val="54C618EB"/>
    <w:rsid w:val="54CB0CB0"/>
    <w:rsid w:val="54CB6F02"/>
    <w:rsid w:val="54D04518"/>
    <w:rsid w:val="54D062C6"/>
    <w:rsid w:val="54D44008"/>
    <w:rsid w:val="54D47B64"/>
    <w:rsid w:val="54D67D81"/>
    <w:rsid w:val="54DA7145"/>
    <w:rsid w:val="54DB5397"/>
    <w:rsid w:val="54DC110F"/>
    <w:rsid w:val="54DD6E33"/>
    <w:rsid w:val="54E12281"/>
    <w:rsid w:val="54E16725"/>
    <w:rsid w:val="54E56216"/>
    <w:rsid w:val="54E62062"/>
    <w:rsid w:val="54E63D3C"/>
    <w:rsid w:val="54EA55DA"/>
    <w:rsid w:val="54EB3100"/>
    <w:rsid w:val="54EC75A4"/>
    <w:rsid w:val="54EF2BF0"/>
    <w:rsid w:val="54F14BBA"/>
    <w:rsid w:val="54F226E1"/>
    <w:rsid w:val="54F2623D"/>
    <w:rsid w:val="54F77CF7"/>
    <w:rsid w:val="54FB77E7"/>
    <w:rsid w:val="54FE72D7"/>
    <w:rsid w:val="55022203"/>
    <w:rsid w:val="550348EE"/>
    <w:rsid w:val="550B2E0C"/>
    <w:rsid w:val="550B72FE"/>
    <w:rsid w:val="55110DB9"/>
    <w:rsid w:val="55142657"/>
    <w:rsid w:val="551663CF"/>
    <w:rsid w:val="551E4D8A"/>
    <w:rsid w:val="551E5284"/>
    <w:rsid w:val="552235EE"/>
    <w:rsid w:val="552705DC"/>
    <w:rsid w:val="55286102"/>
    <w:rsid w:val="552A3C28"/>
    <w:rsid w:val="552C177F"/>
    <w:rsid w:val="552D196B"/>
    <w:rsid w:val="552D54C7"/>
    <w:rsid w:val="55306D65"/>
    <w:rsid w:val="55313209"/>
    <w:rsid w:val="55344AA7"/>
    <w:rsid w:val="553B5E36"/>
    <w:rsid w:val="553D0F38"/>
    <w:rsid w:val="55432F3C"/>
    <w:rsid w:val="55442ED5"/>
    <w:rsid w:val="55466588"/>
    <w:rsid w:val="55482300"/>
    <w:rsid w:val="554967A4"/>
    <w:rsid w:val="554A6079"/>
    <w:rsid w:val="554C347C"/>
    <w:rsid w:val="554D7917"/>
    <w:rsid w:val="554E1E48"/>
    <w:rsid w:val="554E4DCA"/>
    <w:rsid w:val="555313D1"/>
    <w:rsid w:val="555571D9"/>
    <w:rsid w:val="555667CB"/>
    <w:rsid w:val="555B5931"/>
    <w:rsid w:val="556709D9"/>
    <w:rsid w:val="55675113"/>
    <w:rsid w:val="556C5FEF"/>
    <w:rsid w:val="556D45C3"/>
    <w:rsid w:val="556F1F83"/>
    <w:rsid w:val="55760C1C"/>
    <w:rsid w:val="55782BE6"/>
    <w:rsid w:val="5579695E"/>
    <w:rsid w:val="557A2BAA"/>
    <w:rsid w:val="557B4484"/>
    <w:rsid w:val="557C4123"/>
    <w:rsid w:val="557D01FC"/>
    <w:rsid w:val="557E5D22"/>
    <w:rsid w:val="558161E2"/>
    <w:rsid w:val="55853555"/>
    <w:rsid w:val="5588094F"/>
    <w:rsid w:val="558E2409"/>
    <w:rsid w:val="559317CE"/>
    <w:rsid w:val="559519EA"/>
    <w:rsid w:val="55983288"/>
    <w:rsid w:val="55992337"/>
    <w:rsid w:val="559A217A"/>
    <w:rsid w:val="559D14B2"/>
    <w:rsid w:val="55A82D9F"/>
    <w:rsid w:val="55AD1EB5"/>
    <w:rsid w:val="55B31E70"/>
    <w:rsid w:val="55B61960"/>
    <w:rsid w:val="55BF6A67"/>
    <w:rsid w:val="55C73B6D"/>
    <w:rsid w:val="55D002DE"/>
    <w:rsid w:val="55D10548"/>
    <w:rsid w:val="55D85397"/>
    <w:rsid w:val="55D911AB"/>
    <w:rsid w:val="55DF0EB7"/>
    <w:rsid w:val="55E42029"/>
    <w:rsid w:val="55E71B19"/>
    <w:rsid w:val="55E95892"/>
    <w:rsid w:val="55EB160A"/>
    <w:rsid w:val="55EB785C"/>
    <w:rsid w:val="55EC1538"/>
    <w:rsid w:val="55EE10FA"/>
    <w:rsid w:val="55EE731F"/>
    <w:rsid w:val="55EF09CE"/>
    <w:rsid w:val="55F06DE5"/>
    <w:rsid w:val="55F14746"/>
    <w:rsid w:val="55F17E13"/>
    <w:rsid w:val="55F34962"/>
    <w:rsid w:val="55F52488"/>
    <w:rsid w:val="55F81F79"/>
    <w:rsid w:val="55FD30EB"/>
    <w:rsid w:val="55FD758F"/>
    <w:rsid w:val="56020701"/>
    <w:rsid w:val="56024C66"/>
    <w:rsid w:val="560426CB"/>
    <w:rsid w:val="560B1CAC"/>
    <w:rsid w:val="560B5B2E"/>
    <w:rsid w:val="560E52F8"/>
    <w:rsid w:val="56111C46"/>
    <w:rsid w:val="561140F7"/>
    <w:rsid w:val="561A5A4B"/>
    <w:rsid w:val="561F1F50"/>
    <w:rsid w:val="561F5757"/>
    <w:rsid w:val="56262AA1"/>
    <w:rsid w:val="56293EE0"/>
    <w:rsid w:val="562C577E"/>
    <w:rsid w:val="562E2336"/>
    <w:rsid w:val="56301712"/>
    <w:rsid w:val="56310FE7"/>
    <w:rsid w:val="563167DC"/>
    <w:rsid w:val="56382375"/>
    <w:rsid w:val="563C1E65"/>
    <w:rsid w:val="563D798B"/>
    <w:rsid w:val="563F3703"/>
    <w:rsid w:val="5640122A"/>
    <w:rsid w:val="56424FA2"/>
    <w:rsid w:val="56446F6C"/>
    <w:rsid w:val="56462CE4"/>
    <w:rsid w:val="564730C1"/>
    <w:rsid w:val="564927D4"/>
    <w:rsid w:val="564B4B24"/>
    <w:rsid w:val="564D4072"/>
    <w:rsid w:val="564E3947"/>
    <w:rsid w:val="56552F27"/>
    <w:rsid w:val="56570A4D"/>
    <w:rsid w:val="56571DD2"/>
    <w:rsid w:val="56572F80"/>
    <w:rsid w:val="56576C9F"/>
    <w:rsid w:val="56582A17"/>
    <w:rsid w:val="565A678F"/>
    <w:rsid w:val="565A6C07"/>
    <w:rsid w:val="565F1615"/>
    <w:rsid w:val="56604D7E"/>
    <w:rsid w:val="56666B5B"/>
    <w:rsid w:val="566969D2"/>
    <w:rsid w:val="56701B0F"/>
    <w:rsid w:val="567710EF"/>
    <w:rsid w:val="56772E9D"/>
    <w:rsid w:val="56794E67"/>
    <w:rsid w:val="567A725D"/>
    <w:rsid w:val="567B1855"/>
    <w:rsid w:val="567B2E63"/>
    <w:rsid w:val="567F1D52"/>
    <w:rsid w:val="56837A94"/>
    <w:rsid w:val="56861205"/>
    <w:rsid w:val="568630E0"/>
    <w:rsid w:val="56871B43"/>
    <w:rsid w:val="56890E23"/>
    <w:rsid w:val="568B4B9B"/>
    <w:rsid w:val="568D26C1"/>
    <w:rsid w:val="56927CD7"/>
    <w:rsid w:val="56933A4F"/>
    <w:rsid w:val="569A22A0"/>
    <w:rsid w:val="569A3030"/>
    <w:rsid w:val="569D17FB"/>
    <w:rsid w:val="56A1260C"/>
    <w:rsid w:val="56A31EE4"/>
    <w:rsid w:val="56A33C92"/>
    <w:rsid w:val="56A812A9"/>
    <w:rsid w:val="56A8141C"/>
    <w:rsid w:val="56AC5C52"/>
    <w:rsid w:val="56AF3C76"/>
    <w:rsid w:val="56B24AC3"/>
    <w:rsid w:val="56B57E6A"/>
    <w:rsid w:val="56BA722E"/>
    <w:rsid w:val="56BC1334"/>
    <w:rsid w:val="56BE0ACC"/>
    <w:rsid w:val="56C87B9D"/>
    <w:rsid w:val="56CA68D8"/>
    <w:rsid w:val="56CB143B"/>
    <w:rsid w:val="56CD51B3"/>
    <w:rsid w:val="56CE6835"/>
    <w:rsid w:val="56D227CA"/>
    <w:rsid w:val="56D30863"/>
    <w:rsid w:val="56D92BA9"/>
    <w:rsid w:val="56D976B4"/>
    <w:rsid w:val="56DC71A4"/>
    <w:rsid w:val="56DE2F1C"/>
    <w:rsid w:val="56DE4CCA"/>
    <w:rsid w:val="56E36785"/>
    <w:rsid w:val="56F02C50"/>
    <w:rsid w:val="56F20776"/>
    <w:rsid w:val="56F23E5F"/>
    <w:rsid w:val="56FF2E93"/>
    <w:rsid w:val="57034731"/>
    <w:rsid w:val="57081D47"/>
    <w:rsid w:val="57120E18"/>
    <w:rsid w:val="571C3A45"/>
    <w:rsid w:val="571F55FA"/>
    <w:rsid w:val="572648C3"/>
    <w:rsid w:val="57272B15"/>
    <w:rsid w:val="572B3560"/>
    <w:rsid w:val="57315742"/>
    <w:rsid w:val="573214BA"/>
    <w:rsid w:val="57363FAA"/>
    <w:rsid w:val="57376AD1"/>
    <w:rsid w:val="57382639"/>
    <w:rsid w:val="573C5E95"/>
    <w:rsid w:val="573D3F58"/>
    <w:rsid w:val="574216FD"/>
    <w:rsid w:val="57425ED3"/>
    <w:rsid w:val="57472060"/>
    <w:rsid w:val="574B7E86"/>
    <w:rsid w:val="574C257C"/>
    <w:rsid w:val="574D1E50"/>
    <w:rsid w:val="575256B8"/>
    <w:rsid w:val="57572CCF"/>
    <w:rsid w:val="57572F1D"/>
    <w:rsid w:val="575B631B"/>
    <w:rsid w:val="576176AA"/>
    <w:rsid w:val="57671164"/>
    <w:rsid w:val="576A2A02"/>
    <w:rsid w:val="576F0018"/>
    <w:rsid w:val="576F1DC6"/>
    <w:rsid w:val="57715B3F"/>
    <w:rsid w:val="577613A7"/>
    <w:rsid w:val="577D2735"/>
    <w:rsid w:val="578216F5"/>
    <w:rsid w:val="57821E3F"/>
    <w:rsid w:val="57825F9E"/>
    <w:rsid w:val="57830B6F"/>
    <w:rsid w:val="57834D6A"/>
    <w:rsid w:val="57844057"/>
    <w:rsid w:val="57853398"/>
    <w:rsid w:val="57875362"/>
    <w:rsid w:val="57877110"/>
    <w:rsid w:val="578A6C00"/>
    <w:rsid w:val="578F2469"/>
    <w:rsid w:val="578F4217"/>
    <w:rsid w:val="5794182D"/>
    <w:rsid w:val="5797131D"/>
    <w:rsid w:val="57972BD5"/>
    <w:rsid w:val="57991C29"/>
    <w:rsid w:val="579E08FE"/>
    <w:rsid w:val="57A001D2"/>
    <w:rsid w:val="57A05B02"/>
    <w:rsid w:val="57A203EE"/>
    <w:rsid w:val="57A557E8"/>
    <w:rsid w:val="57A62B27"/>
    <w:rsid w:val="57AA2DFF"/>
    <w:rsid w:val="57AC4DC9"/>
    <w:rsid w:val="57AE6D93"/>
    <w:rsid w:val="57B40121"/>
    <w:rsid w:val="57C2639A"/>
    <w:rsid w:val="57C77E54"/>
    <w:rsid w:val="57CA524F"/>
    <w:rsid w:val="57CA6461"/>
    <w:rsid w:val="57CC4D78"/>
    <w:rsid w:val="57CD4D3F"/>
    <w:rsid w:val="57CE11E3"/>
    <w:rsid w:val="57CF6D04"/>
    <w:rsid w:val="57D63BF4"/>
    <w:rsid w:val="57D936E4"/>
    <w:rsid w:val="57DD1426"/>
    <w:rsid w:val="57E207EA"/>
    <w:rsid w:val="57E5652D"/>
    <w:rsid w:val="57E64503"/>
    <w:rsid w:val="57E74100"/>
    <w:rsid w:val="57E75E01"/>
    <w:rsid w:val="57EC78BB"/>
    <w:rsid w:val="57EF1159"/>
    <w:rsid w:val="57EF6A5A"/>
    <w:rsid w:val="57F16C7F"/>
    <w:rsid w:val="57F239CD"/>
    <w:rsid w:val="57F549C2"/>
    <w:rsid w:val="57F62FE1"/>
    <w:rsid w:val="58005114"/>
    <w:rsid w:val="58070251"/>
    <w:rsid w:val="580764A3"/>
    <w:rsid w:val="580C3AB9"/>
    <w:rsid w:val="580C5867"/>
    <w:rsid w:val="581035A9"/>
    <w:rsid w:val="581110D0"/>
    <w:rsid w:val="58134E48"/>
    <w:rsid w:val="58150BC0"/>
    <w:rsid w:val="58172929"/>
    <w:rsid w:val="581A12AA"/>
    <w:rsid w:val="581F1A3E"/>
    <w:rsid w:val="582157B7"/>
    <w:rsid w:val="582232DD"/>
    <w:rsid w:val="582500D5"/>
    <w:rsid w:val="58256929"/>
    <w:rsid w:val="582E57DE"/>
    <w:rsid w:val="583D0117"/>
    <w:rsid w:val="58492617"/>
    <w:rsid w:val="584B5935"/>
    <w:rsid w:val="584C0BBF"/>
    <w:rsid w:val="584D65AC"/>
    <w:rsid w:val="585316E8"/>
    <w:rsid w:val="5853793A"/>
    <w:rsid w:val="58550FBC"/>
    <w:rsid w:val="585B7D62"/>
    <w:rsid w:val="585F1E3B"/>
    <w:rsid w:val="586631C9"/>
    <w:rsid w:val="58675193"/>
    <w:rsid w:val="586B07E0"/>
    <w:rsid w:val="58704048"/>
    <w:rsid w:val="58782A1F"/>
    <w:rsid w:val="587A0B5B"/>
    <w:rsid w:val="587F6039"/>
    <w:rsid w:val="58801DB1"/>
    <w:rsid w:val="58823D7B"/>
    <w:rsid w:val="5886561A"/>
    <w:rsid w:val="58871392"/>
    <w:rsid w:val="58873140"/>
    <w:rsid w:val="5887575A"/>
    <w:rsid w:val="588A581C"/>
    <w:rsid w:val="588B0E82"/>
    <w:rsid w:val="58900246"/>
    <w:rsid w:val="58937D37"/>
    <w:rsid w:val="589870FB"/>
    <w:rsid w:val="589A2E73"/>
    <w:rsid w:val="589C6BEB"/>
    <w:rsid w:val="589D0BB5"/>
    <w:rsid w:val="58A106A5"/>
    <w:rsid w:val="58AA6037"/>
    <w:rsid w:val="58AB6E2E"/>
    <w:rsid w:val="58B008E9"/>
    <w:rsid w:val="58B06B3A"/>
    <w:rsid w:val="58B42443"/>
    <w:rsid w:val="58BA52C3"/>
    <w:rsid w:val="58C12AF6"/>
    <w:rsid w:val="58C148A4"/>
    <w:rsid w:val="58C3061C"/>
    <w:rsid w:val="58C45F54"/>
    <w:rsid w:val="58C46142"/>
    <w:rsid w:val="58C61EBA"/>
    <w:rsid w:val="58C919AA"/>
    <w:rsid w:val="58C93758"/>
    <w:rsid w:val="58CE0D6F"/>
    <w:rsid w:val="58CE2AC0"/>
    <w:rsid w:val="58D04AE7"/>
    <w:rsid w:val="58D72319"/>
    <w:rsid w:val="58D77C23"/>
    <w:rsid w:val="58DB24F3"/>
    <w:rsid w:val="58DC0748"/>
    <w:rsid w:val="58DD0FB2"/>
    <w:rsid w:val="58DF6CF4"/>
    <w:rsid w:val="58E10AA2"/>
    <w:rsid w:val="58E467E4"/>
    <w:rsid w:val="58E721D7"/>
    <w:rsid w:val="58E82C2F"/>
    <w:rsid w:val="58E97957"/>
    <w:rsid w:val="58EA204C"/>
    <w:rsid w:val="58EB2E7D"/>
    <w:rsid w:val="58EB7B73"/>
    <w:rsid w:val="58ED38EB"/>
    <w:rsid w:val="58F05189"/>
    <w:rsid w:val="58F20F01"/>
    <w:rsid w:val="58F5279F"/>
    <w:rsid w:val="58F72073"/>
    <w:rsid w:val="58F9403E"/>
    <w:rsid w:val="58FA7278"/>
    <w:rsid w:val="58FE06C6"/>
    <w:rsid w:val="5904132B"/>
    <w:rsid w:val="59060509"/>
    <w:rsid w:val="59073951"/>
    <w:rsid w:val="590824D3"/>
    <w:rsid w:val="5909268A"/>
    <w:rsid w:val="590F13E3"/>
    <w:rsid w:val="59140D7B"/>
    <w:rsid w:val="59157827"/>
    <w:rsid w:val="591A3FB4"/>
    <w:rsid w:val="591C41D0"/>
    <w:rsid w:val="59254E33"/>
    <w:rsid w:val="592941F7"/>
    <w:rsid w:val="592C34DC"/>
    <w:rsid w:val="59376914"/>
    <w:rsid w:val="593C03CE"/>
    <w:rsid w:val="593E5EF4"/>
    <w:rsid w:val="593E7CA2"/>
    <w:rsid w:val="59407EBE"/>
    <w:rsid w:val="59411F8B"/>
    <w:rsid w:val="5943175D"/>
    <w:rsid w:val="59433B27"/>
    <w:rsid w:val="594400A5"/>
    <w:rsid w:val="5945546E"/>
    <w:rsid w:val="59460EC7"/>
    <w:rsid w:val="59462FFB"/>
    <w:rsid w:val="59464DA9"/>
    <w:rsid w:val="594A6647"/>
    <w:rsid w:val="594C6863"/>
    <w:rsid w:val="594F0101"/>
    <w:rsid w:val="59505C28"/>
    <w:rsid w:val="59545718"/>
    <w:rsid w:val="595B0854"/>
    <w:rsid w:val="59607984"/>
    <w:rsid w:val="59633BAD"/>
    <w:rsid w:val="59650A9B"/>
    <w:rsid w:val="5968239F"/>
    <w:rsid w:val="596C60C2"/>
    <w:rsid w:val="5976568E"/>
    <w:rsid w:val="597731B4"/>
    <w:rsid w:val="598633F7"/>
    <w:rsid w:val="598A25FA"/>
    <w:rsid w:val="598A791A"/>
    <w:rsid w:val="598D29D8"/>
    <w:rsid w:val="598E4B0C"/>
    <w:rsid w:val="598F49A2"/>
    <w:rsid w:val="59926240"/>
    <w:rsid w:val="59973856"/>
    <w:rsid w:val="599B4709"/>
    <w:rsid w:val="599B6EA3"/>
    <w:rsid w:val="59A0095D"/>
    <w:rsid w:val="59A044B9"/>
    <w:rsid w:val="59A10231"/>
    <w:rsid w:val="59AC5554"/>
    <w:rsid w:val="59AD307A"/>
    <w:rsid w:val="59B166C6"/>
    <w:rsid w:val="59B461B6"/>
    <w:rsid w:val="59B63CDD"/>
    <w:rsid w:val="59B77A55"/>
    <w:rsid w:val="59BB12F3"/>
    <w:rsid w:val="59BB5797"/>
    <w:rsid w:val="59BB7545"/>
    <w:rsid w:val="59BD150F"/>
    <w:rsid w:val="59C25456"/>
    <w:rsid w:val="59C7413C"/>
    <w:rsid w:val="59C81C62"/>
    <w:rsid w:val="59C90F05"/>
    <w:rsid w:val="59CA59DA"/>
    <w:rsid w:val="59CA7788"/>
    <w:rsid w:val="59D2663D"/>
    <w:rsid w:val="59D749E0"/>
    <w:rsid w:val="59DB7BE7"/>
    <w:rsid w:val="59DE3233"/>
    <w:rsid w:val="59E52814"/>
    <w:rsid w:val="59E56370"/>
    <w:rsid w:val="59E85E60"/>
    <w:rsid w:val="59EF5441"/>
    <w:rsid w:val="59F82547"/>
    <w:rsid w:val="59FB3DE5"/>
    <w:rsid w:val="59FF44AD"/>
    <w:rsid w:val="5A0354BA"/>
    <w:rsid w:val="5A05126A"/>
    <w:rsid w:val="5A0709DC"/>
    <w:rsid w:val="5A094754"/>
    <w:rsid w:val="5A113609"/>
    <w:rsid w:val="5A13112F"/>
    <w:rsid w:val="5A144EA7"/>
    <w:rsid w:val="5A1D0200"/>
    <w:rsid w:val="5A1F5D26"/>
    <w:rsid w:val="5A2055FA"/>
    <w:rsid w:val="5A24333C"/>
    <w:rsid w:val="5A253D84"/>
    <w:rsid w:val="5A2E7D17"/>
    <w:rsid w:val="5A364E1D"/>
    <w:rsid w:val="5A373203"/>
    <w:rsid w:val="5A3B2434"/>
    <w:rsid w:val="5A3D61AC"/>
    <w:rsid w:val="5A43294D"/>
    <w:rsid w:val="5A4455DB"/>
    <w:rsid w:val="5A44578C"/>
    <w:rsid w:val="5A47702B"/>
    <w:rsid w:val="5A490FF5"/>
    <w:rsid w:val="5A4968FF"/>
    <w:rsid w:val="5A4A2677"/>
    <w:rsid w:val="5A4C2893"/>
    <w:rsid w:val="5A4E2167"/>
    <w:rsid w:val="5A4F4F40"/>
    <w:rsid w:val="5A504131"/>
    <w:rsid w:val="5A5067F1"/>
    <w:rsid w:val="5A517EA9"/>
    <w:rsid w:val="5A53777D"/>
    <w:rsid w:val="5A5534F6"/>
    <w:rsid w:val="5A56101C"/>
    <w:rsid w:val="5A623E64"/>
    <w:rsid w:val="5A643739"/>
    <w:rsid w:val="5A6C083F"/>
    <w:rsid w:val="5A6C4CE3"/>
    <w:rsid w:val="5A6E45B7"/>
    <w:rsid w:val="5A70032F"/>
    <w:rsid w:val="5A737E20"/>
    <w:rsid w:val="5A751DEA"/>
    <w:rsid w:val="5A76346C"/>
    <w:rsid w:val="5A7A7400"/>
    <w:rsid w:val="5A7C4F26"/>
    <w:rsid w:val="5A7D2A4C"/>
    <w:rsid w:val="5A7F0572"/>
    <w:rsid w:val="5A820063"/>
    <w:rsid w:val="5A821E11"/>
    <w:rsid w:val="5A871B1D"/>
    <w:rsid w:val="5A8C0EE1"/>
    <w:rsid w:val="5A8E2EAB"/>
    <w:rsid w:val="5A9009D2"/>
    <w:rsid w:val="5A92474A"/>
    <w:rsid w:val="5A925F77"/>
    <w:rsid w:val="5A9410D3"/>
    <w:rsid w:val="5A951B44"/>
    <w:rsid w:val="5A955FE8"/>
    <w:rsid w:val="5A966CD1"/>
    <w:rsid w:val="5A9A1850"/>
    <w:rsid w:val="5A9D4E9D"/>
    <w:rsid w:val="5A9D6C4B"/>
    <w:rsid w:val="5AA20705"/>
    <w:rsid w:val="5AA71877"/>
    <w:rsid w:val="5AA955EF"/>
    <w:rsid w:val="5AAE70AA"/>
    <w:rsid w:val="5AAF5D14"/>
    <w:rsid w:val="5AB23A35"/>
    <w:rsid w:val="5AB3646E"/>
    <w:rsid w:val="5AB50438"/>
    <w:rsid w:val="5AB67F8E"/>
    <w:rsid w:val="5AB83A84"/>
    <w:rsid w:val="5ABB219A"/>
    <w:rsid w:val="5AC266B1"/>
    <w:rsid w:val="5AC643F3"/>
    <w:rsid w:val="5AC76314"/>
    <w:rsid w:val="5AC93EE4"/>
    <w:rsid w:val="5AC95C92"/>
    <w:rsid w:val="5AC97A40"/>
    <w:rsid w:val="5ACB0186"/>
    <w:rsid w:val="5ACC5271"/>
    <w:rsid w:val="5ACC7530"/>
    <w:rsid w:val="5ACE5056"/>
    <w:rsid w:val="5AD20FEA"/>
    <w:rsid w:val="5AD92379"/>
    <w:rsid w:val="5ADA7E9F"/>
    <w:rsid w:val="5ADC59C5"/>
    <w:rsid w:val="5AEB5C08"/>
    <w:rsid w:val="5AF413B3"/>
    <w:rsid w:val="5AF56A87"/>
    <w:rsid w:val="5AFA5E4B"/>
    <w:rsid w:val="5AFC1BC3"/>
    <w:rsid w:val="5AFE3B8D"/>
    <w:rsid w:val="5B0373F5"/>
    <w:rsid w:val="5B0D5B7E"/>
    <w:rsid w:val="5B0E7B48"/>
    <w:rsid w:val="5B102138"/>
    <w:rsid w:val="5B10566E"/>
    <w:rsid w:val="5B150ED7"/>
    <w:rsid w:val="5B152C85"/>
    <w:rsid w:val="5B1A029B"/>
    <w:rsid w:val="5B242EC8"/>
    <w:rsid w:val="5B323837"/>
    <w:rsid w:val="5B3475AF"/>
    <w:rsid w:val="5B3D01EA"/>
    <w:rsid w:val="5B484E08"/>
    <w:rsid w:val="5B4B48F9"/>
    <w:rsid w:val="5B4F263B"/>
    <w:rsid w:val="5B4F7AA0"/>
    <w:rsid w:val="5B523ED9"/>
    <w:rsid w:val="5B527A35"/>
    <w:rsid w:val="5B5F2152"/>
    <w:rsid w:val="5B653C0C"/>
    <w:rsid w:val="5B6A2FD1"/>
    <w:rsid w:val="5B6B4F9B"/>
    <w:rsid w:val="5B7420A1"/>
    <w:rsid w:val="5B7854C7"/>
    <w:rsid w:val="5B7C2D04"/>
    <w:rsid w:val="5B7D3AD4"/>
    <w:rsid w:val="5B7D7A78"/>
    <w:rsid w:val="5B800A46"/>
    <w:rsid w:val="5B81031A"/>
    <w:rsid w:val="5B85605C"/>
    <w:rsid w:val="5B8C4D8C"/>
    <w:rsid w:val="5B951F7E"/>
    <w:rsid w:val="5BA67D81"/>
    <w:rsid w:val="5BAD55B3"/>
    <w:rsid w:val="5BB73D3C"/>
    <w:rsid w:val="5BBA55DA"/>
    <w:rsid w:val="5BBD57F6"/>
    <w:rsid w:val="5BBE156E"/>
    <w:rsid w:val="5BC361AC"/>
    <w:rsid w:val="5BC546AB"/>
    <w:rsid w:val="5BC56459"/>
    <w:rsid w:val="5BD32811"/>
    <w:rsid w:val="5BD448EE"/>
    <w:rsid w:val="5BD4669C"/>
    <w:rsid w:val="5BD82630"/>
    <w:rsid w:val="5BE014E5"/>
    <w:rsid w:val="5BEA4111"/>
    <w:rsid w:val="5BEC7E8A"/>
    <w:rsid w:val="5BED3C02"/>
    <w:rsid w:val="5BF07808"/>
    <w:rsid w:val="5BF1122A"/>
    <w:rsid w:val="5BF46D3E"/>
    <w:rsid w:val="5BF925A6"/>
    <w:rsid w:val="5BFB65EE"/>
    <w:rsid w:val="5BFC0F76"/>
    <w:rsid w:val="5BFE0C9C"/>
    <w:rsid w:val="5BFE196B"/>
    <w:rsid w:val="5C007491"/>
    <w:rsid w:val="5C033815"/>
    <w:rsid w:val="5C052CF9"/>
    <w:rsid w:val="5C0827EA"/>
    <w:rsid w:val="5C084598"/>
    <w:rsid w:val="5C0A42B8"/>
    <w:rsid w:val="5C0C052C"/>
    <w:rsid w:val="5C0E6052"/>
    <w:rsid w:val="5C0F3B78"/>
    <w:rsid w:val="5C133668"/>
    <w:rsid w:val="5C16232A"/>
    <w:rsid w:val="5C164F06"/>
    <w:rsid w:val="5C166CB5"/>
    <w:rsid w:val="5C1C19F8"/>
    <w:rsid w:val="5C1D44E7"/>
    <w:rsid w:val="5C1E200D"/>
    <w:rsid w:val="5C1F16D7"/>
    <w:rsid w:val="5C205D85"/>
    <w:rsid w:val="5C2238AB"/>
    <w:rsid w:val="5C237623"/>
    <w:rsid w:val="5C25514A"/>
    <w:rsid w:val="5C2A1A4D"/>
    <w:rsid w:val="5C2A6C04"/>
    <w:rsid w:val="5C2C64D8"/>
    <w:rsid w:val="5C3564CD"/>
    <w:rsid w:val="5C3914B8"/>
    <w:rsid w:val="5C3D06E5"/>
    <w:rsid w:val="5C3F445D"/>
    <w:rsid w:val="5C422212"/>
    <w:rsid w:val="5C433822"/>
    <w:rsid w:val="5C45759A"/>
    <w:rsid w:val="5C4952DC"/>
    <w:rsid w:val="5C531CB7"/>
    <w:rsid w:val="5C553C81"/>
    <w:rsid w:val="5C5D0D87"/>
    <w:rsid w:val="5C5D2B35"/>
    <w:rsid w:val="5C6D68F5"/>
    <w:rsid w:val="5C734107"/>
    <w:rsid w:val="5C745D60"/>
    <w:rsid w:val="5C7E5B4E"/>
    <w:rsid w:val="5C855BE8"/>
    <w:rsid w:val="5C85755D"/>
    <w:rsid w:val="5C871960"/>
    <w:rsid w:val="5C880946"/>
    <w:rsid w:val="5C8A31FF"/>
    <w:rsid w:val="5C904CB9"/>
    <w:rsid w:val="5C9D2F32"/>
    <w:rsid w:val="5C9F4EFC"/>
    <w:rsid w:val="5C9F6CAA"/>
    <w:rsid w:val="5CA249EC"/>
    <w:rsid w:val="5CAE15E3"/>
    <w:rsid w:val="5CB52971"/>
    <w:rsid w:val="5CB564CD"/>
    <w:rsid w:val="5CB84210"/>
    <w:rsid w:val="5CBA3AE4"/>
    <w:rsid w:val="5CBC3D00"/>
    <w:rsid w:val="5CBF734C"/>
    <w:rsid w:val="5CC37599"/>
    <w:rsid w:val="5CC42BB4"/>
    <w:rsid w:val="5CC47458"/>
    <w:rsid w:val="5CC52489"/>
    <w:rsid w:val="5CC6692D"/>
    <w:rsid w:val="5CD46C0D"/>
    <w:rsid w:val="5CD54DC2"/>
    <w:rsid w:val="5CD55962"/>
    <w:rsid w:val="5CDA4186"/>
    <w:rsid w:val="5CDA5F34"/>
    <w:rsid w:val="5CDD5A24"/>
    <w:rsid w:val="5CDD77D2"/>
    <w:rsid w:val="5CDF179C"/>
    <w:rsid w:val="5CDF74D3"/>
    <w:rsid w:val="5CE172C2"/>
    <w:rsid w:val="5CE2128D"/>
    <w:rsid w:val="5CEB2676"/>
    <w:rsid w:val="5CEB6393"/>
    <w:rsid w:val="5CEE5E83"/>
    <w:rsid w:val="5CEE7C31"/>
    <w:rsid w:val="5CF27722"/>
    <w:rsid w:val="5CF35248"/>
    <w:rsid w:val="5CF52D6E"/>
    <w:rsid w:val="5CF8460C"/>
    <w:rsid w:val="5D017965"/>
    <w:rsid w:val="5D096819"/>
    <w:rsid w:val="5D0C00B7"/>
    <w:rsid w:val="5D0E0ECC"/>
    <w:rsid w:val="5D101956"/>
    <w:rsid w:val="5D121B72"/>
    <w:rsid w:val="5D1256CE"/>
    <w:rsid w:val="5D131446"/>
    <w:rsid w:val="5D137698"/>
    <w:rsid w:val="5D14180F"/>
    <w:rsid w:val="5D1C479E"/>
    <w:rsid w:val="5D1D22C5"/>
    <w:rsid w:val="5D1E0517"/>
    <w:rsid w:val="5D1F603D"/>
    <w:rsid w:val="5D215911"/>
    <w:rsid w:val="5D2378DB"/>
    <w:rsid w:val="5D276C9F"/>
    <w:rsid w:val="5D284EF1"/>
    <w:rsid w:val="5D2E44D2"/>
    <w:rsid w:val="5D303DA6"/>
    <w:rsid w:val="5D325D70"/>
    <w:rsid w:val="5D414205"/>
    <w:rsid w:val="5D431D2B"/>
    <w:rsid w:val="5D447851"/>
    <w:rsid w:val="5D4930BA"/>
    <w:rsid w:val="5D522C2D"/>
    <w:rsid w:val="5D535CE6"/>
    <w:rsid w:val="5D55380D"/>
    <w:rsid w:val="5D5E19EB"/>
    <w:rsid w:val="5D6677C8"/>
    <w:rsid w:val="5D6972B8"/>
    <w:rsid w:val="5D6E48CE"/>
    <w:rsid w:val="5D6F2B20"/>
    <w:rsid w:val="5D7647EC"/>
    <w:rsid w:val="5D7874FB"/>
    <w:rsid w:val="5D79574D"/>
    <w:rsid w:val="5D7E7207"/>
    <w:rsid w:val="5D822994"/>
    <w:rsid w:val="5D83037A"/>
    <w:rsid w:val="5D8365CC"/>
    <w:rsid w:val="5D845EA0"/>
    <w:rsid w:val="5D883BE2"/>
    <w:rsid w:val="5D8B40D2"/>
    <w:rsid w:val="5D902A97"/>
    <w:rsid w:val="5D902BE3"/>
    <w:rsid w:val="5D964551"/>
    <w:rsid w:val="5D9C71B3"/>
    <w:rsid w:val="5D9E51B4"/>
    <w:rsid w:val="5DA54437"/>
    <w:rsid w:val="5DA64068"/>
    <w:rsid w:val="5DAC4ACD"/>
    <w:rsid w:val="5DB1138B"/>
    <w:rsid w:val="5DB42C29"/>
    <w:rsid w:val="5DB52598"/>
    <w:rsid w:val="5DBA1FF8"/>
    <w:rsid w:val="5DBC1ADE"/>
    <w:rsid w:val="5DBF4993"/>
    <w:rsid w:val="5DBF512A"/>
    <w:rsid w:val="5DC269C5"/>
    <w:rsid w:val="5DC33928"/>
    <w:rsid w:val="5DC619C9"/>
    <w:rsid w:val="5DC6470A"/>
    <w:rsid w:val="5DC7295C"/>
    <w:rsid w:val="5DCA41FA"/>
    <w:rsid w:val="5DD140D6"/>
    <w:rsid w:val="5DD21518"/>
    <w:rsid w:val="5DD24E5D"/>
    <w:rsid w:val="5DD459F3"/>
    <w:rsid w:val="5DD60DF1"/>
    <w:rsid w:val="5DD706C5"/>
    <w:rsid w:val="5DD72473"/>
    <w:rsid w:val="5DD92690"/>
    <w:rsid w:val="5DD9443E"/>
    <w:rsid w:val="5DDB6408"/>
    <w:rsid w:val="5DDC5CDC"/>
    <w:rsid w:val="5DE132F2"/>
    <w:rsid w:val="5DEF3C61"/>
    <w:rsid w:val="5DF179D9"/>
    <w:rsid w:val="5DF24B50"/>
    <w:rsid w:val="5DF254FF"/>
    <w:rsid w:val="5DF272AD"/>
    <w:rsid w:val="5DF43025"/>
    <w:rsid w:val="5DF70D68"/>
    <w:rsid w:val="5DF82171"/>
    <w:rsid w:val="5DF86BCD"/>
    <w:rsid w:val="5DFB43B4"/>
    <w:rsid w:val="5DFE21BA"/>
    <w:rsid w:val="5E090206"/>
    <w:rsid w:val="5E10717F"/>
    <w:rsid w:val="5E145476"/>
    <w:rsid w:val="5E174527"/>
    <w:rsid w:val="5E192A8C"/>
    <w:rsid w:val="5E196F30"/>
    <w:rsid w:val="5E1B2CA8"/>
    <w:rsid w:val="5E1C257C"/>
    <w:rsid w:val="5E1D07CE"/>
    <w:rsid w:val="5E1D124D"/>
    <w:rsid w:val="5E1D3725"/>
    <w:rsid w:val="5E1E0F9C"/>
    <w:rsid w:val="5E1E62F4"/>
    <w:rsid w:val="5E211941"/>
    <w:rsid w:val="5E215970"/>
    <w:rsid w:val="5E231B5D"/>
    <w:rsid w:val="5E27164D"/>
    <w:rsid w:val="5E294ECF"/>
    <w:rsid w:val="5E2A2EEB"/>
    <w:rsid w:val="5E2F22B0"/>
    <w:rsid w:val="5E371164"/>
    <w:rsid w:val="5E37668B"/>
    <w:rsid w:val="5E3972E5"/>
    <w:rsid w:val="5E3E6996"/>
    <w:rsid w:val="5E413D91"/>
    <w:rsid w:val="5E420235"/>
    <w:rsid w:val="5E451AD3"/>
    <w:rsid w:val="5E47584B"/>
    <w:rsid w:val="5E4C10B3"/>
    <w:rsid w:val="5E4C2E61"/>
    <w:rsid w:val="5E4E6F28"/>
    <w:rsid w:val="5E510478"/>
    <w:rsid w:val="5E525F9E"/>
    <w:rsid w:val="5E53131C"/>
    <w:rsid w:val="5E547F68"/>
    <w:rsid w:val="5E57277F"/>
    <w:rsid w:val="5E5B30A5"/>
    <w:rsid w:val="5E604B5F"/>
    <w:rsid w:val="5E624433"/>
    <w:rsid w:val="5E6B2074"/>
    <w:rsid w:val="5E7128C8"/>
    <w:rsid w:val="5E767EDE"/>
    <w:rsid w:val="5E785A05"/>
    <w:rsid w:val="5E79177D"/>
    <w:rsid w:val="5E79352B"/>
    <w:rsid w:val="5E797274"/>
    <w:rsid w:val="5E7A5C21"/>
    <w:rsid w:val="5E7B1844"/>
    <w:rsid w:val="5E802B0B"/>
    <w:rsid w:val="5E824AD5"/>
    <w:rsid w:val="5E83582A"/>
    <w:rsid w:val="5E8425FB"/>
    <w:rsid w:val="5E8A597E"/>
    <w:rsid w:val="5E8C5954"/>
    <w:rsid w:val="5E934598"/>
    <w:rsid w:val="5E954808"/>
    <w:rsid w:val="5E96232F"/>
    <w:rsid w:val="5E9B16F3"/>
    <w:rsid w:val="5E9C51FA"/>
    <w:rsid w:val="5EA04F5B"/>
    <w:rsid w:val="5EA70098"/>
    <w:rsid w:val="5EA92062"/>
    <w:rsid w:val="5EAB6A71"/>
    <w:rsid w:val="5EAD2CA1"/>
    <w:rsid w:val="5EB05373"/>
    <w:rsid w:val="5EB34C8F"/>
    <w:rsid w:val="5EB82366"/>
    <w:rsid w:val="5EBB3B43"/>
    <w:rsid w:val="5EC04793"/>
    <w:rsid w:val="5EC155FD"/>
    <w:rsid w:val="5EC42D73"/>
    <w:rsid w:val="5EC549C2"/>
    <w:rsid w:val="5EC6163E"/>
    <w:rsid w:val="5EC74623"/>
    <w:rsid w:val="5EC92704"/>
    <w:rsid w:val="5ECD6940"/>
    <w:rsid w:val="5ECE7D1A"/>
    <w:rsid w:val="5ED54C52"/>
    <w:rsid w:val="5ED74E21"/>
    <w:rsid w:val="5ED82947"/>
    <w:rsid w:val="5EDB41E5"/>
    <w:rsid w:val="5EE65064"/>
    <w:rsid w:val="5EE906B0"/>
    <w:rsid w:val="5EEB67F5"/>
    <w:rsid w:val="5EED6B4B"/>
    <w:rsid w:val="5EF157B7"/>
    <w:rsid w:val="5EF43CED"/>
    <w:rsid w:val="5EF552A7"/>
    <w:rsid w:val="5EFA466C"/>
    <w:rsid w:val="5F002C5F"/>
    <w:rsid w:val="5F0E0117"/>
    <w:rsid w:val="5F0E45BB"/>
    <w:rsid w:val="5F105C3D"/>
    <w:rsid w:val="5F13572D"/>
    <w:rsid w:val="5F166FCB"/>
    <w:rsid w:val="5F1A0E03"/>
    <w:rsid w:val="5F1C2834"/>
    <w:rsid w:val="5F1F0576"/>
    <w:rsid w:val="5F1F0DB8"/>
    <w:rsid w:val="5F2416E8"/>
    <w:rsid w:val="5F294F51"/>
    <w:rsid w:val="5F357D99"/>
    <w:rsid w:val="5F3D09FC"/>
    <w:rsid w:val="5F452AD3"/>
    <w:rsid w:val="5F463F63"/>
    <w:rsid w:val="5F487836"/>
    <w:rsid w:val="5F4B3119"/>
    <w:rsid w:val="5F4D50E3"/>
    <w:rsid w:val="5F4F0E5B"/>
    <w:rsid w:val="5F5226F9"/>
    <w:rsid w:val="5F58344B"/>
    <w:rsid w:val="5F5A335C"/>
    <w:rsid w:val="5F64242D"/>
    <w:rsid w:val="5F673996"/>
    <w:rsid w:val="5F685A79"/>
    <w:rsid w:val="5F6B5569"/>
    <w:rsid w:val="5F6D7533"/>
    <w:rsid w:val="5F70492E"/>
    <w:rsid w:val="5F816B3B"/>
    <w:rsid w:val="5F824661"/>
    <w:rsid w:val="5F893C41"/>
    <w:rsid w:val="5F92436A"/>
    <w:rsid w:val="5F97635E"/>
    <w:rsid w:val="5F9A19AB"/>
    <w:rsid w:val="5F9A7BFD"/>
    <w:rsid w:val="5F9C5723"/>
    <w:rsid w:val="5FA665A1"/>
    <w:rsid w:val="5FA97E40"/>
    <w:rsid w:val="5FAB3BB8"/>
    <w:rsid w:val="5FB00820"/>
    <w:rsid w:val="5FB07420"/>
    <w:rsid w:val="5FB40CBE"/>
    <w:rsid w:val="5FB92779"/>
    <w:rsid w:val="5FBA5F91"/>
    <w:rsid w:val="5FBE7D8F"/>
    <w:rsid w:val="5FC4308D"/>
    <w:rsid w:val="5FC8476A"/>
    <w:rsid w:val="5FCF78A6"/>
    <w:rsid w:val="5FD27396"/>
    <w:rsid w:val="5FD41360"/>
    <w:rsid w:val="5FD96D6D"/>
    <w:rsid w:val="5FDF25F8"/>
    <w:rsid w:val="5FE97ECE"/>
    <w:rsid w:val="5FEB0458"/>
    <w:rsid w:val="5FEB115C"/>
    <w:rsid w:val="5FEB66AA"/>
    <w:rsid w:val="5FEF1CF6"/>
    <w:rsid w:val="5FF05A6E"/>
    <w:rsid w:val="5FF217E7"/>
    <w:rsid w:val="5FF52853"/>
    <w:rsid w:val="5FF90DC7"/>
    <w:rsid w:val="5FF92B75"/>
    <w:rsid w:val="60020E62"/>
    <w:rsid w:val="60065292"/>
    <w:rsid w:val="600B4656"/>
    <w:rsid w:val="600D6620"/>
    <w:rsid w:val="600F05EB"/>
    <w:rsid w:val="600F4147"/>
    <w:rsid w:val="60121E89"/>
    <w:rsid w:val="601856F1"/>
    <w:rsid w:val="601C4AB5"/>
    <w:rsid w:val="6022031E"/>
    <w:rsid w:val="60285208"/>
    <w:rsid w:val="602A5424"/>
    <w:rsid w:val="602B1E5E"/>
    <w:rsid w:val="602B6AA7"/>
    <w:rsid w:val="602F2A3B"/>
    <w:rsid w:val="602F6597"/>
    <w:rsid w:val="60367925"/>
    <w:rsid w:val="603911C4"/>
    <w:rsid w:val="60395667"/>
    <w:rsid w:val="603E4A2C"/>
    <w:rsid w:val="60432042"/>
    <w:rsid w:val="60433DF0"/>
    <w:rsid w:val="60455DBA"/>
    <w:rsid w:val="60457B68"/>
    <w:rsid w:val="604A1623"/>
    <w:rsid w:val="604C539B"/>
    <w:rsid w:val="60536011"/>
    <w:rsid w:val="60566219"/>
    <w:rsid w:val="605B7944"/>
    <w:rsid w:val="605C1BEF"/>
    <w:rsid w:val="605C4EB2"/>
    <w:rsid w:val="605D3104"/>
    <w:rsid w:val="606049A2"/>
    <w:rsid w:val="60673F83"/>
    <w:rsid w:val="606C7B8D"/>
    <w:rsid w:val="606F72DB"/>
    <w:rsid w:val="60712CDB"/>
    <w:rsid w:val="60714E01"/>
    <w:rsid w:val="60765F74"/>
    <w:rsid w:val="60793CB6"/>
    <w:rsid w:val="607B7A2E"/>
    <w:rsid w:val="607D5554"/>
    <w:rsid w:val="60803296"/>
    <w:rsid w:val="60820DBC"/>
    <w:rsid w:val="6082700E"/>
    <w:rsid w:val="60885CA7"/>
    <w:rsid w:val="60887821"/>
    <w:rsid w:val="6089214B"/>
    <w:rsid w:val="608A7C71"/>
    <w:rsid w:val="608B7F4C"/>
    <w:rsid w:val="608D150F"/>
    <w:rsid w:val="608E59B3"/>
    <w:rsid w:val="60911000"/>
    <w:rsid w:val="609440A6"/>
    <w:rsid w:val="6097460A"/>
    <w:rsid w:val="6098238E"/>
    <w:rsid w:val="609D1752"/>
    <w:rsid w:val="60A071E8"/>
    <w:rsid w:val="60AA7134"/>
    <w:rsid w:val="60AF1486"/>
    <w:rsid w:val="60AF592A"/>
    <w:rsid w:val="60B41BD6"/>
    <w:rsid w:val="60B536E7"/>
    <w:rsid w:val="60B53C44"/>
    <w:rsid w:val="60BE2771"/>
    <w:rsid w:val="60BF4CAF"/>
    <w:rsid w:val="60C05441"/>
    <w:rsid w:val="60C170FF"/>
    <w:rsid w:val="60C21C85"/>
    <w:rsid w:val="60C346C6"/>
    <w:rsid w:val="60C34F31"/>
    <w:rsid w:val="60C73328"/>
    <w:rsid w:val="60CA4511"/>
    <w:rsid w:val="60CC3634"/>
    <w:rsid w:val="60D40EEC"/>
    <w:rsid w:val="60D4713E"/>
    <w:rsid w:val="60DD2497"/>
    <w:rsid w:val="60E03D35"/>
    <w:rsid w:val="60E2185B"/>
    <w:rsid w:val="60E47381"/>
    <w:rsid w:val="60E5617E"/>
    <w:rsid w:val="60E750C3"/>
    <w:rsid w:val="60E92BEA"/>
    <w:rsid w:val="60EA6962"/>
    <w:rsid w:val="60F375C4"/>
    <w:rsid w:val="60F65306"/>
    <w:rsid w:val="60F670B5"/>
    <w:rsid w:val="60F872D1"/>
    <w:rsid w:val="60FA6BA5"/>
    <w:rsid w:val="6105554A"/>
    <w:rsid w:val="610619ED"/>
    <w:rsid w:val="61080A5E"/>
    <w:rsid w:val="610B7637"/>
    <w:rsid w:val="610E2650"/>
    <w:rsid w:val="6114072B"/>
    <w:rsid w:val="61141727"/>
    <w:rsid w:val="611B34F2"/>
    <w:rsid w:val="611C2FBF"/>
    <w:rsid w:val="611D0AE5"/>
    <w:rsid w:val="61202383"/>
    <w:rsid w:val="61273712"/>
    <w:rsid w:val="612B1454"/>
    <w:rsid w:val="612C6F7A"/>
    <w:rsid w:val="612E4AA0"/>
    <w:rsid w:val="6131633F"/>
    <w:rsid w:val="61365257"/>
    <w:rsid w:val="6138591F"/>
    <w:rsid w:val="613F0A5C"/>
    <w:rsid w:val="614400FC"/>
    <w:rsid w:val="614B11AE"/>
    <w:rsid w:val="614C3178"/>
    <w:rsid w:val="614D13CA"/>
    <w:rsid w:val="614D490B"/>
    <w:rsid w:val="6151078F"/>
    <w:rsid w:val="615A4729"/>
    <w:rsid w:val="615A7643"/>
    <w:rsid w:val="61642270"/>
    <w:rsid w:val="61665FE8"/>
    <w:rsid w:val="61696D09"/>
    <w:rsid w:val="616B7AA3"/>
    <w:rsid w:val="617701F5"/>
    <w:rsid w:val="61772D97"/>
    <w:rsid w:val="61785D1C"/>
    <w:rsid w:val="617C3A5E"/>
    <w:rsid w:val="617D1584"/>
    <w:rsid w:val="617D3332"/>
    <w:rsid w:val="617E77D6"/>
    <w:rsid w:val="61811074"/>
    <w:rsid w:val="61834DEC"/>
    <w:rsid w:val="61844C5B"/>
    <w:rsid w:val="618741B1"/>
    <w:rsid w:val="618B5A4F"/>
    <w:rsid w:val="619012B7"/>
    <w:rsid w:val="619443DB"/>
    <w:rsid w:val="619C4100"/>
    <w:rsid w:val="61A11716"/>
    <w:rsid w:val="61A134C4"/>
    <w:rsid w:val="61A41674"/>
    <w:rsid w:val="61A46B11"/>
    <w:rsid w:val="61A53D59"/>
    <w:rsid w:val="61A62889"/>
    <w:rsid w:val="61A86601"/>
    <w:rsid w:val="61A94127"/>
    <w:rsid w:val="61AB7E9F"/>
    <w:rsid w:val="61AD3C60"/>
    <w:rsid w:val="61B01959"/>
    <w:rsid w:val="61B2122D"/>
    <w:rsid w:val="61B72CE8"/>
    <w:rsid w:val="61BD2427"/>
    <w:rsid w:val="61BE4DEC"/>
    <w:rsid w:val="61C13B66"/>
    <w:rsid w:val="61C30C5E"/>
    <w:rsid w:val="61C3168D"/>
    <w:rsid w:val="61C46511"/>
    <w:rsid w:val="61C64CD9"/>
    <w:rsid w:val="61C75364"/>
    <w:rsid w:val="61C947C9"/>
    <w:rsid w:val="61CA25E5"/>
    <w:rsid w:val="61CB0541"/>
    <w:rsid w:val="61D03DA9"/>
    <w:rsid w:val="61D41829"/>
    <w:rsid w:val="61D513C0"/>
    <w:rsid w:val="61D76EE6"/>
    <w:rsid w:val="61DA0784"/>
    <w:rsid w:val="61DC7192"/>
    <w:rsid w:val="61DF5D9B"/>
    <w:rsid w:val="61E16D6F"/>
    <w:rsid w:val="61E64A77"/>
    <w:rsid w:val="61E82EA1"/>
    <w:rsid w:val="61E86918"/>
    <w:rsid w:val="61ED04B8"/>
    <w:rsid w:val="61EF2482"/>
    <w:rsid w:val="61F069B5"/>
    <w:rsid w:val="61F339C5"/>
    <w:rsid w:val="61F71336"/>
    <w:rsid w:val="61F730E4"/>
    <w:rsid w:val="61F7383C"/>
    <w:rsid w:val="61FB0E26"/>
    <w:rsid w:val="61FE4473"/>
    <w:rsid w:val="61FF01EB"/>
    <w:rsid w:val="62031A89"/>
    <w:rsid w:val="62092E18"/>
    <w:rsid w:val="620A1069"/>
    <w:rsid w:val="620D46B6"/>
    <w:rsid w:val="620D6DAC"/>
    <w:rsid w:val="620F042E"/>
    <w:rsid w:val="621252F9"/>
    <w:rsid w:val="62135B16"/>
    <w:rsid w:val="62143C96"/>
    <w:rsid w:val="62165C60"/>
    <w:rsid w:val="621A6DD3"/>
    <w:rsid w:val="621B07EB"/>
    <w:rsid w:val="621B30FC"/>
    <w:rsid w:val="621C2B4B"/>
    <w:rsid w:val="621E2D67"/>
    <w:rsid w:val="62265778"/>
    <w:rsid w:val="622F10AC"/>
    <w:rsid w:val="622F276E"/>
    <w:rsid w:val="62306DE3"/>
    <w:rsid w:val="62312A9A"/>
    <w:rsid w:val="6231659D"/>
    <w:rsid w:val="62386E07"/>
    <w:rsid w:val="62397BA1"/>
    <w:rsid w:val="623C05D3"/>
    <w:rsid w:val="623C31ED"/>
    <w:rsid w:val="623C6124"/>
    <w:rsid w:val="623E6F65"/>
    <w:rsid w:val="6247406C"/>
    <w:rsid w:val="624D0F56"/>
    <w:rsid w:val="624F1172"/>
    <w:rsid w:val="62500A46"/>
    <w:rsid w:val="62516C98"/>
    <w:rsid w:val="6252656D"/>
    <w:rsid w:val="62546789"/>
    <w:rsid w:val="625B18C5"/>
    <w:rsid w:val="625B7658"/>
    <w:rsid w:val="625B7B17"/>
    <w:rsid w:val="625E1FC6"/>
    <w:rsid w:val="6260512D"/>
    <w:rsid w:val="62634C1E"/>
    <w:rsid w:val="626B2804"/>
    <w:rsid w:val="626C5880"/>
    <w:rsid w:val="626F711E"/>
    <w:rsid w:val="627110E9"/>
    <w:rsid w:val="627604AD"/>
    <w:rsid w:val="62791D4B"/>
    <w:rsid w:val="62797F9D"/>
    <w:rsid w:val="628250A4"/>
    <w:rsid w:val="62830E1C"/>
    <w:rsid w:val="62832BCA"/>
    <w:rsid w:val="6283706E"/>
    <w:rsid w:val="628A2C2A"/>
    <w:rsid w:val="628C7CD0"/>
    <w:rsid w:val="62976675"/>
    <w:rsid w:val="629921A4"/>
    <w:rsid w:val="62A212A2"/>
    <w:rsid w:val="62AC3ECF"/>
    <w:rsid w:val="62B114E5"/>
    <w:rsid w:val="62B2525D"/>
    <w:rsid w:val="62B7224A"/>
    <w:rsid w:val="62BD60DC"/>
    <w:rsid w:val="62BF011F"/>
    <w:rsid w:val="62C03E1E"/>
    <w:rsid w:val="62C5385C"/>
    <w:rsid w:val="62C54F90"/>
    <w:rsid w:val="62C76F5B"/>
    <w:rsid w:val="62C84579"/>
    <w:rsid w:val="62CF7BBD"/>
    <w:rsid w:val="62D022B3"/>
    <w:rsid w:val="62D81168"/>
    <w:rsid w:val="62D96711"/>
    <w:rsid w:val="62DD2C49"/>
    <w:rsid w:val="62E0001C"/>
    <w:rsid w:val="62E278F0"/>
    <w:rsid w:val="62E321F7"/>
    <w:rsid w:val="62E73159"/>
    <w:rsid w:val="62E80C7F"/>
    <w:rsid w:val="62EC076F"/>
    <w:rsid w:val="62EF200D"/>
    <w:rsid w:val="62F3164F"/>
    <w:rsid w:val="62F31AFE"/>
    <w:rsid w:val="62F35FA1"/>
    <w:rsid w:val="62F64A26"/>
    <w:rsid w:val="62F835B8"/>
    <w:rsid w:val="62FB30AD"/>
    <w:rsid w:val="62FB7408"/>
    <w:rsid w:val="62FC3469"/>
    <w:rsid w:val="62FE04A2"/>
    <w:rsid w:val="6300421A"/>
    <w:rsid w:val="630048F7"/>
    <w:rsid w:val="63057A83"/>
    <w:rsid w:val="63073F31"/>
    <w:rsid w:val="630B32EB"/>
    <w:rsid w:val="630C2BBF"/>
    <w:rsid w:val="630E6937"/>
    <w:rsid w:val="63164F1A"/>
    <w:rsid w:val="631657EC"/>
    <w:rsid w:val="63194495"/>
    <w:rsid w:val="631F6D97"/>
    <w:rsid w:val="63215DB8"/>
    <w:rsid w:val="63221E3B"/>
    <w:rsid w:val="632238BC"/>
    <w:rsid w:val="63253C81"/>
    <w:rsid w:val="632757F0"/>
    <w:rsid w:val="632D2297"/>
    <w:rsid w:val="63336BC0"/>
    <w:rsid w:val="63350368"/>
    <w:rsid w:val="63367C3C"/>
    <w:rsid w:val="633839B4"/>
    <w:rsid w:val="633B16F7"/>
    <w:rsid w:val="633D7B1C"/>
    <w:rsid w:val="633F11E7"/>
    <w:rsid w:val="633F4D43"/>
    <w:rsid w:val="63414F5F"/>
    <w:rsid w:val="63473BF7"/>
    <w:rsid w:val="634A36E8"/>
    <w:rsid w:val="634C56B2"/>
    <w:rsid w:val="634E31D8"/>
    <w:rsid w:val="634F4894"/>
    <w:rsid w:val="63506F50"/>
    <w:rsid w:val="63640C4D"/>
    <w:rsid w:val="636429FB"/>
    <w:rsid w:val="63660521"/>
    <w:rsid w:val="636649C5"/>
    <w:rsid w:val="63666773"/>
    <w:rsid w:val="63690012"/>
    <w:rsid w:val="636B0205"/>
    <w:rsid w:val="636B5B38"/>
    <w:rsid w:val="63780255"/>
    <w:rsid w:val="637846F9"/>
    <w:rsid w:val="637C7D45"/>
    <w:rsid w:val="637F15E3"/>
    <w:rsid w:val="637F7835"/>
    <w:rsid w:val="63822E81"/>
    <w:rsid w:val="63860BC4"/>
    <w:rsid w:val="63872EA1"/>
    <w:rsid w:val="6388493C"/>
    <w:rsid w:val="638A0392"/>
    <w:rsid w:val="638C5AAE"/>
    <w:rsid w:val="638F68E6"/>
    <w:rsid w:val="639826A5"/>
    <w:rsid w:val="639A466F"/>
    <w:rsid w:val="639B0BF9"/>
    <w:rsid w:val="63A252D2"/>
    <w:rsid w:val="63A25AE3"/>
    <w:rsid w:val="63A454EE"/>
    <w:rsid w:val="63AB23D8"/>
    <w:rsid w:val="63AF32C8"/>
    <w:rsid w:val="63B079EF"/>
    <w:rsid w:val="63B374DF"/>
    <w:rsid w:val="63B55005"/>
    <w:rsid w:val="63B70D7D"/>
    <w:rsid w:val="63B77B8E"/>
    <w:rsid w:val="63BD2367"/>
    <w:rsid w:val="63C139AA"/>
    <w:rsid w:val="63C4735B"/>
    <w:rsid w:val="63C811DC"/>
    <w:rsid w:val="63CE60C7"/>
    <w:rsid w:val="63CF256B"/>
    <w:rsid w:val="63D25BB7"/>
    <w:rsid w:val="63D615E9"/>
    <w:rsid w:val="63D7141F"/>
    <w:rsid w:val="63D74F7B"/>
    <w:rsid w:val="63D95197"/>
    <w:rsid w:val="63DA4A6C"/>
    <w:rsid w:val="63DC4C88"/>
    <w:rsid w:val="63DD5001"/>
    <w:rsid w:val="63DF4E7A"/>
    <w:rsid w:val="63E1404C"/>
    <w:rsid w:val="63E16E1A"/>
    <w:rsid w:val="63E21494"/>
    <w:rsid w:val="63E458EA"/>
    <w:rsid w:val="63EA6497"/>
    <w:rsid w:val="63ED0C43"/>
    <w:rsid w:val="63ED479F"/>
    <w:rsid w:val="63F0428F"/>
    <w:rsid w:val="63F55D49"/>
    <w:rsid w:val="63FA6EBC"/>
    <w:rsid w:val="63FC70D8"/>
    <w:rsid w:val="63FE69AC"/>
    <w:rsid w:val="63FF2724"/>
    <w:rsid w:val="64025D70"/>
    <w:rsid w:val="64030466"/>
    <w:rsid w:val="64055F8C"/>
    <w:rsid w:val="64085A7D"/>
    <w:rsid w:val="64102515"/>
    <w:rsid w:val="64151F48"/>
    <w:rsid w:val="641B57B0"/>
    <w:rsid w:val="64287ECD"/>
    <w:rsid w:val="6429050D"/>
    <w:rsid w:val="642A59F3"/>
    <w:rsid w:val="642E1481"/>
    <w:rsid w:val="64333201"/>
    <w:rsid w:val="643543DF"/>
    <w:rsid w:val="64381A24"/>
    <w:rsid w:val="64395C36"/>
    <w:rsid w:val="643A375C"/>
    <w:rsid w:val="643C74D4"/>
    <w:rsid w:val="643F33B0"/>
    <w:rsid w:val="64406FC4"/>
    <w:rsid w:val="64414AEB"/>
    <w:rsid w:val="64446389"/>
    <w:rsid w:val="6445282D"/>
    <w:rsid w:val="64460353"/>
    <w:rsid w:val="644D2D7C"/>
    <w:rsid w:val="644D348F"/>
    <w:rsid w:val="644E060D"/>
    <w:rsid w:val="644F5459"/>
    <w:rsid w:val="64504D2E"/>
    <w:rsid w:val="645079A9"/>
    <w:rsid w:val="64521E38"/>
    <w:rsid w:val="6454481E"/>
    <w:rsid w:val="645E38EF"/>
    <w:rsid w:val="645E569D"/>
    <w:rsid w:val="6461518D"/>
    <w:rsid w:val="64630F05"/>
    <w:rsid w:val="646627A3"/>
    <w:rsid w:val="64664DDB"/>
    <w:rsid w:val="646709F5"/>
    <w:rsid w:val="646802C9"/>
    <w:rsid w:val="646808EA"/>
    <w:rsid w:val="646A2293"/>
    <w:rsid w:val="646B3905"/>
    <w:rsid w:val="646F1658"/>
    <w:rsid w:val="646F3406"/>
    <w:rsid w:val="64794284"/>
    <w:rsid w:val="647B7FFD"/>
    <w:rsid w:val="647E189B"/>
    <w:rsid w:val="6481138B"/>
    <w:rsid w:val="64835103"/>
    <w:rsid w:val="64842C1A"/>
    <w:rsid w:val="64863F08"/>
    <w:rsid w:val="64874BF3"/>
    <w:rsid w:val="648D485F"/>
    <w:rsid w:val="648E77F2"/>
    <w:rsid w:val="649410BE"/>
    <w:rsid w:val="649966D5"/>
    <w:rsid w:val="64997931"/>
    <w:rsid w:val="649B069F"/>
    <w:rsid w:val="649C7F73"/>
    <w:rsid w:val="64A01811"/>
    <w:rsid w:val="64A03E97"/>
    <w:rsid w:val="64A07A63"/>
    <w:rsid w:val="64A56FB3"/>
    <w:rsid w:val="64A70DF2"/>
    <w:rsid w:val="64A84B6A"/>
    <w:rsid w:val="64AA2690"/>
    <w:rsid w:val="64AC27F4"/>
    <w:rsid w:val="64AC28AC"/>
    <w:rsid w:val="64B2684F"/>
    <w:rsid w:val="64B330A9"/>
    <w:rsid w:val="64B41760"/>
    <w:rsid w:val="64B654D9"/>
    <w:rsid w:val="64B82FFF"/>
    <w:rsid w:val="64BD0615"/>
    <w:rsid w:val="64BE130D"/>
    <w:rsid w:val="64BE383F"/>
    <w:rsid w:val="64BE7D39"/>
    <w:rsid w:val="64BF0070"/>
    <w:rsid w:val="64C319A4"/>
    <w:rsid w:val="64C937AD"/>
    <w:rsid w:val="64C9520C"/>
    <w:rsid w:val="64CC6AAA"/>
    <w:rsid w:val="64CD45D0"/>
    <w:rsid w:val="64D21BE7"/>
    <w:rsid w:val="64D4595F"/>
    <w:rsid w:val="64D7639E"/>
    <w:rsid w:val="64DB0A9B"/>
    <w:rsid w:val="64DB6CED"/>
    <w:rsid w:val="64DB7F8F"/>
    <w:rsid w:val="64DE058B"/>
    <w:rsid w:val="64DE2339"/>
    <w:rsid w:val="64E060B2"/>
    <w:rsid w:val="64E71F99"/>
    <w:rsid w:val="64E8140A"/>
    <w:rsid w:val="64EA33D4"/>
    <w:rsid w:val="64EB52A1"/>
    <w:rsid w:val="64F14763"/>
    <w:rsid w:val="64F25DE5"/>
    <w:rsid w:val="64F81930"/>
    <w:rsid w:val="64F97173"/>
    <w:rsid w:val="65006754"/>
    <w:rsid w:val="6502427A"/>
    <w:rsid w:val="650812D1"/>
    <w:rsid w:val="65082410"/>
    <w:rsid w:val="650A4AEB"/>
    <w:rsid w:val="650C334B"/>
    <w:rsid w:val="651144BD"/>
    <w:rsid w:val="65143FAD"/>
    <w:rsid w:val="65150451"/>
    <w:rsid w:val="651915C4"/>
    <w:rsid w:val="651E4E2C"/>
    <w:rsid w:val="65240694"/>
    <w:rsid w:val="65247369"/>
    <w:rsid w:val="65270184"/>
    <w:rsid w:val="65273CE0"/>
    <w:rsid w:val="652C12F7"/>
    <w:rsid w:val="652E2FEC"/>
    <w:rsid w:val="65312DB1"/>
    <w:rsid w:val="653B59DE"/>
    <w:rsid w:val="653E3DC7"/>
    <w:rsid w:val="65426D6C"/>
    <w:rsid w:val="65442AE4"/>
    <w:rsid w:val="654725D5"/>
    <w:rsid w:val="65474383"/>
    <w:rsid w:val="65476131"/>
    <w:rsid w:val="65493C57"/>
    <w:rsid w:val="6549634D"/>
    <w:rsid w:val="654B3E73"/>
    <w:rsid w:val="654C1999"/>
    <w:rsid w:val="654C7BEB"/>
    <w:rsid w:val="654E0E95"/>
    <w:rsid w:val="65515201"/>
    <w:rsid w:val="65532D27"/>
    <w:rsid w:val="65534AD5"/>
    <w:rsid w:val="655468AC"/>
    <w:rsid w:val="65566374"/>
    <w:rsid w:val="655A1605"/>
    <w:rsid w:val="65622F6B"/>
    <w:rsid w:val="65637AA1"/>
    <w:rsid w:val="65640A91"/>
    <w:rsid w:val="6569254B"/>
    <w:rsid w:val="65711400"/>
    <w:rsid w:val="65736F26"/>
    <w:rsid w:val="65757142"/>
    <w:rsid w:val="657607C4"/>
    <w:rsid w:val="6578278E"/>
    <w:rsid w:val="657A02B4"/>
    <w:rsid w:val="657B402C"/>
    <w:rsid w:val="657D5FF6"/>
    <w:rsid w:val="657D7DA4"/>
    <w:rsid w:val="657F3B1C"/>
    <w:rsid w:val="657F61C9"/>
    <w:rsid w:val="6589499B"/>
    <w:rsid w:val="658C6239"/>
    <w:rsid w:val="658E3D60"/>
    <w:rsid w:val="659064B3"/>
    <w:rsid w:val="659550EE"/>
    <w:rsid w:val="6597225C"/>
    <w:rsid w:val="6598698C"/>
    <w:rsid w:val="659C46CE"/>
    <w:rsid w:val="659C692B"/>
    <w:rsid w:val="65A17F37"/>
    <w:rsid w:val="65A215B9"/>
    <w:rsid w:val="65A753BA"/>
    <w:rsid w:val="65A90B99"/>
    <w:rsid w:val="65AB5A3E"/>
    <w:rsid w:val="65AB66C0"/>
    <w:rsid w:val="65AD68DC"/>
    <w:rsid w:val="65B253BE"/>
    <w:rsid w:val="65B25CA0"/>
    <w:rsid w:val="65B65064"/>
    <w:rsid w:val="65B732B6"/>
    <w:rsid w:val="65BD63F3"/>
    <w:rsid w:val="65C07C91"/>
    <w:rsid w:val="65C14135"/>
    <w:rsid w:val="65C23A09"/>
    <w:rsid w:val="65C25B5A"/>
    <w:rsid w:val="65C362F9"/>
    <w:rsid w:val="65C47781"/>
    <w:rsid w:val="65C6174B"/>
    <w:rsid w:val="65C67249"/>
    <w:rsid w:val="65CA4FC0"/>
    <w:rsid w:val="65CB6D62"/>
    <w:rsid w:val="65CC4888"/>
    <w:rsid w:val="65CE23AE"/>
    <w:rsid w:val="65CE37BB"/>
    <w:rsid w:val="65D025CA"/>
    <w:rsid w:val="65D04378"/>
    <w:rsid w:val="65D07B0C"/>
    <w:rsid w:val="65D26342"/>
    <w:rsid w:val="65D35C16"/>
    <w:rsid w:val="65D57BE0"/>
    <w:rsid w:val="65DC2D1D"/>
    <w:rsid w:val="65DD16A8"/>
    <w:rsid w:val="65DF299A"/>
    <w:rsid w:val="65E46075"/>
    <w:rsid w:val="65E47E23"/>
    <w:rsid w:val="65E73470"/>
    <w:rsid w:val="65E87914"/>
    <w:rsid w:val="65EC0A86"/>
    <w:rsid w:val="65EE0CA2"/>
    <w:rsid w:val="65F00576"/>
    <w:rsid w:val="65F21726"/>
    <w:rsid w:val="65F52031"/>
    <w:rsid w:val="65F8567D"/>
    <w:rsid w:val="65F86A28"/>
    <w:rsid w:val="660113F3"/>
    <w:rsid w:val="660202AA"/>
    <w:rsid w:val="6604670C"/>
    <w:rsid w:val="66065FEC"/>
    <w:rsid w:val="660758C0"/>
    <w:rsid w:val="66080F1E"/>
    <w:rsid w:val="66081D64"/>
    <w:rsid w:val="660B53B0"/>
    <w:rsid w:val="661029C7"/>
    <w:rsid w:val="661204ED"/>
    <w:rsid w:val="66124991"/>
    <w:rsid w:val="661275CF"/>
    <w:rsid w:val="661324B7"/>
    <w:rsid w:val="661D2A44"/>
    <w:rsid w:val="661E50E3"/>
    <w:rsid w:val="66240220"/>
    <w:rsid w:val="662841B4"/>
    <w:rsid w:val="66293A88"/>
    <w:rsid w:val="662A7F2C"/>
    <w:rsid w:val="662D3578"/>
    <w:rsid w:val="66337F02"/>
    <w:rsid w:val="66342B59"/>
    <w:rsid w:val="6639016F"/>
    <w:rsid w:val="66410DD2"/>
    <w:rsid w:val="66415276"/>
    <w:rsid w:val="66442670"/>
    <w:rsid w:val="66495ED8"/>
    <w:rsid w:val="66521231"/>
    <w:rsid w:val="6652252B"/>
    <w:rsid w:val="66552ACF"/>
    <w:rsid w:val="6655487D"/>
    <w:rsid w:val="66597EF9"/>
    <w:rsid w:val="666E595E"/>
    <w:rsid w:val="66724225"/>
    <w:rsid w:val="667A425E"/>
    <w:rsid w:val="667C005C"/>
    <w:rsid w:val="667C62AE"/>
    <w:rsid w:val="667E2026"/>
    <w:rsid w:val="66811B16"/>
    <w:rsid w:val="66815672"/>
    <w:rsid w:val="668533B4"/>
    <w:rsid w:val="668D4017"/>
    <w:rsid w:val="668F7750"/>
    <w:rsid w:val="669435F8"/>
    <w:rsid w:val="669473E5"/>
    <w:rsid w:val="6695111E"/>
    <w:rsid w:val="66976747"/>
    <w:rsid w:val="66990C0E"/>
    <w:rsid w:val="669C4431"/>
    <w:rsid w:val="669E173D"/>
    <w:rsid w:val="66A870A3"/>
    <w:rsid w:val="66AE52A4"/>
    <w:rsid w:val="66AE5CE5"/>
    <w:rsid w:val="66AF21DF"/>
    <w:rsid w:val="66B23A7E"/>
    <w:rsid w:val="66B37250"/>
    <w:rsid w:val="66B43C9A"/>
    <w:rsid w:val="66B45A48"/>
    <w:rsid w:val="66B617C0"/>
    <w:rsid w:val="66B71094"/>
    <w:rsid w:val="66B75538"/>
    <w:rsid w:val="66B912B0"/>
    <w:rsid w:val="66BB0B84"/>
    <w:rsid w:val="66BB3E2B"/>
    <w:rsid w:val="66BB5028"/>
    <w:rsid w:val="66BC48FC"/>
    <w:rsid w:val="66BE7A81"/>
    <w:rsid w:val="66CA0DC7"/>
    <w:rsid w:val="66D15EF7"/>
    <w:rsid w:val="66D659BE"/>
    <w:rsid w:val="66D71736"/>
    <w:rsid w:val="66D93700"/>
    <w:rsid w:val="66DB1B7A"/>
    <w:rsid w:val="66DB2FD4"/>
    <w:rsid w:val="66E0683D"/>
    <w:rsid w:val="66E300DB"/>
    <w:rsid w:val="66E64E7C"/>
    <w:rsid w:val="66E77BCB"/>
    <w:rsid w:val="66EC3434"/>
    <w:rsid w:val="66ED0F5A"/>
    <w:rsid w:val="66F2031E"/>
    <w:rsid w:val="66F70374"/>
    <w:rsid w:val="66F916AD"/>
    <w:rsid w:val="670818F0"/>
    <w:rsid w:val="67083FAB"/>
    <w:rsid w:val="670A38BA"/>
    <w:rsid w:val="670E4A09"/>
    <w:rsid w:val="67112E9A"/>
    <w:rsid w:val="67136C12"/>
    <w:rsid w:val="67177D85"/>
    <w:rsid w:val="671A5B7D"/>
    <w:rsid w:val="671D35ED"/>
    <w:rsid w:val="67226E55"/>
    <w:rsid w:val="6723497B"/>
    <w:rsid w:val="672506F4"/>
    <w:rsid w:val="67281F92"/>
    <w:rsid w:val="672A5848"/>
    <w:rsid w:val="672C55DE"/>
    <w:rsid w:val="672C5C40"/>
    <w:rsid w:val="672E75A8"/>
    <w:rsid w:val="67334BBF"/>
    <w:rsid w:val="67340937"/>
    <w:rsid w:val="67346B89"/>
    <w:rsid w:val="67372FC6"/>
    <w:rsid w:val="673B1CC5"/>
    <w:rsid w:val="673B33CB"/>
    <w:rsid w:val="673B7F17"/>
    <w:rsid w:val="673E5311"/>
    <w:rsid w:val="674003AF"/>
    <w:rsid w:val="67401089"/>
    <w:rsid w:val="6740552D"/>
    <w:rsid w:val="67424E02"/>
    <w:rsid w:val="67524CAD"/>
    <w:rsid w:val="67544B35"/>
    <w:rsid w:val="6759214B"/>
    <w:rsid w:val="675B2D5F"/>
    <w:rsid w:val="675B4115"/>
    <w:rsid w:val="6760797E"/>
    <w:rsid w:val="67643994"/>
    <w:rsid w:val="6764746E"/>
    <w:rsid w:val="676A4358"/>
    <w:rsid w:val="676B07FC"/>
    <w:rsid w:val="6771486D"/>
    <w:rsid w:val="67740E48"/>
    <w:rsid w:val="67760F4F"/>
    <w:rsid w:val="677671A1"/>
    <w:rsid w:val="67780823"/>
    <w:rsid w:val="677D5E3A"/>
    <w:rsid w:val="677E1BB2"/>
    <w:rsid w:val="677F7E04"/>
    <w:rsid w:val="678371C8"/>
    <w:rsid w:val="67852F40"/>
    <w:rsid w:val="678A004E"/>
    <w:rsid w:val="678A0557"/>
    <w:rsid w:val="678F3DBF"/>
    <w:rsid w:val="679118E5"/>
    <w:rsid w:val="6791267E"/>
    <w:rsid w:val="67957627"/>
    <w:rsid w:val="67966EFB"/>
    <w:rsid w:val="67982C74"/>
    <w:rsid w:val="679B2764"/>
    <w:rsid w:val="679C6C08"/>
    <w:rsid w:val="679D028A"/>
    <w:rsid w:val="679D472E"/>
    <w:rsid w:val="679E4E5F"/>
    <w:rsid w:val="67A23AF2"/>
    <w:rsid w:val="67A374E7"/>
    <w:rsid w:val="67A535E2"/>
    <w:rsid w:val="67A8372D"/>
    <w:rsid w:val="67AB0BF9"/>
    <w:rsid w:val="67AB5A2C"/>
    <w:rsid w:val="67AC4971"/>
    <w:rsid w:val="67AC7B0A"/>
    <w:rsid w:val="67AF7FBD"/>
    <w:rsid w:val="67B0603E"/>
    <w:rsid w:val="67B57CC9"/>
    <w:rsid w:val="67B81568"/>
    <w:rsid w:val="67BC1058"/>
    <w:rsid w:val="67C16680"/>
    <w:rsid w:val="67C223E6"/>
    <w:rsid w:val="67C65A33"/>
    <w:rsid w:val="67C96E71"/>
    <w:rsid w:val="67CB3049"/>
    <w:rsid w:val="67CC0B6F"/>
    <w:rsid w:val="67CD5013"/>
    <w:rsid w:val="67CD6582"/>
    <w:rsid w:val="67DD2D7C"/>
    <w:rsid w:val="67E73BFB"/>
    <w:rsid w:val="67EC1211"/>
    <w:rsid w:val="67F259FD"/>
    <w:rsid w:val="67F26828"/>
    <w:rsid w:val="67F325A0"/>
    <w:rsid w:val="67F44D9B"/>
    <w:rsid w:val="67F65BEC"/>
    <w:rsid w:val="67F73E3E"/>
    <w:rsid w:val="67F81964"/>
    <w:rsid w:val="67FA2386"/>
    <w:rsid w:val="67FE0233"/>
    <w:rsid w:val="67FE2A02"/>
    <w:rsid w:val="68000823"/>
    <w:rsid w:val="68016A6B"/>
    <w:rsid w:val="68022370"/>
    <w:rsid w:val="68064081"/>
    <w:rsid w:val="68091DC3"/>
    <w:rsid w:val="680B78E9"/>
    <w:rsid w:val="680F30E4"/>
    <w:rsid w:val="68120C78"/>
    <w:rsid w:val="6817628E"/>
    <w:rsid w:val="681D13CB"/>
    <w:rsid w:val="6828049B"/>
    <w:rsid w:val="68286942"/>
    <w:rsid w:val="682D6C2A"/>
    <w:rsid w:val="682E5386"/>
    <w:rsid w:val="682F61EE"/>
    <w:rsid w:val="68336E40"/>
    <w:rsid w:val="68375D1F"/>
    <w:rsid w:val="683B79AA"/>
    <w:rsid w:val="683F7593"/>
    <w:rsid w:val="68442DFB"/>
    <w:rsid w:val="684706A4"/>
    <w:rsid w:val="68476448"/>
    <w:rsid w:val="684921C0"/>
    <w:rsid w:val="684B23DC"/>
    <w:rsid w:val="684D1CB0"/>
    <w:rsid w:val="684E5A28"/>
    <w:rsid w:val="68556DB7"/>
    <w:rsid w:val="68562FF8"/>
    <w:rsid w:val="68570D81"/>
    <w:rsid w:val="68594AF9"/>
    <w:rsid w:val="685E3EBD"/>
    <w:rsid w:val="68644BCB"/>
    <w:rsid w:val="6865349E"/>
    <w:rsid w:val="68662D72"/>
    <w:rsid w:val="68680898"/>
    <w:rsid w:val="686B0388"/>
    <w:rsid w:val="686E1C26"/>
    <w:rsid w:val="6873723D"/>
    <w:rsid w:val="687436E1"/>
    <w:rsid w:val="6878082B"/>
    <w:rsid w:val="68792AA5"/>
    <w:rsid w:val="687A681D"/>
    <w:rsid w:val="687C2595"/>
    <w:rsid w:val="688431F8"/>
    <w:rsid w:val="68846E47"/>
    <w:rsid w:val="68906041"/>
    <w:rsid w:val="68953657"/>
    <w:rsid w:val="689618A9"/>
    <w:rsid w:val="6897562C"/>
    <w:rsid w:val="689A2A1B"/>
    <w:rsid w:val="689B6EBF"/>
    <w:rsid w:val="689F0032"/>
    <w:rsid w:val="68A85138"/>
    <w:rsid w:val="68AA0EB0"/>
    <w:rsid w:val="68AC37F1"/>
    <w:rsid w:val="68AF64C7"/>
    <w:rsid w:val="68B24209"/>
    <w:rsid w:val="68B43ADD"/>
    <w:rsid w:val="68B57855"/>
    <w:rsid w:val="68BE495C"/>
    <w:rsid w:val="68BF2482"/>
    <w:rsid w:val="68C006D4"/>
    <w:rsid w:val="68C161FA"/>
    <w:rsid w:val="68CA77A4"/>
    <w:rsid w:val="68CB0FAF"/>
    <w:rsid w:val="68CB5586"/>
    <w:rsid w:val="68D51CA5"/>
    <w:rsid w:val="68D66149"/>
    <w:rsid w:val="68D66492"/>
    <w:rsid w:val="68D93544"/>
    <w:rsid w:val="68DC1286"/>
    <w:rsid w:val="68DD74D8"/>
    <w:rsid w:val="68E048D2"/>
    <w:rsid w:val="68E36170"/>
    <w:rsid w:val="68E5013A"/>
    <w:rsid w:val="68E66D01"/>
    <w:rsid w:val="68E77D19"/>
    <w:rsid w:val="68EA5751"/>
    <w:rsid w:val="68EC771B"/>
    <w:rsid w:val="68ED0399"/>
    <w:rsid w:val="68F10571"/>
    <w:rsid w:val="68F44821"/>
    <w:rsid w:val="68F465CF"/>
    <w:rsid w:val="68F54CB1"/>
    <w:rsid w:val="68F91E38"/>
    <w:rsid w:val="68FE11FC"/>
    <w:rsid w:val="690345F1"/>
    <w:rsid w:val="69054339"/>
    <w:rsid w:val="69083E29"/>
    <w:rsid w:val="690C3919"/>
    <w:rsid w:val="690D143F"/>
    <w:rsid w:val="69126A56"/>
    <w:rsid w:val="69196036"/>
    <w:rsid w:val="69197DE4"/>
    <w:rsid w:val="691E364C"/>
    <w:rsid w:val="691E5F87"/>
    <w:rsid w:val="69201173"/>
    <w:rsid w:val="69216C99"/>
    <w:rsid w:val="6922138F"/>
    <w:rsid w:val="69230C63"/>
    <w:rsid w:val="692549DB"/>
    <w:rsid w:val="69270753"/>
    <w:rsid w:val="69286279"/>
    <w:rsid w:val="692A1FF1"/>
    <w:rsid w:val="692B0CE1"/>
    <w:rsid w:val="692B4C87"/>
    <w:rsid w:val="692C6117"/>
    <w:rsid w:val="692D10C7"/>
    <w:rsid w:val="693469CC"/>
    <w:rsid w:val="69390486"/>
    <w:rsid w:val="693B303B"/>
    <w:rsid w:val="693B41FE"/>
    <w:rsid w:val="693C1BAD"/>
    <w:rsid w:val="6942558D"/>
    <w:rsid w:val="69431305"/>
    <w:rsid w:val="69450BD9"/>
    <w:rsid w:val="69492530"/>
    <w:rsid w:val="694C3FC0"/>
    <w:rsid w:val="694D7A8E"/>
    <w:rsid w:val="694F3806"/>
    <w:rsid w:val="69500D04"/>
    <w:rsid w:val="6953779A"/>
    <w:rsid w:val="695A0B28"/>
    <w:rsid w:val="69643755"/>
    <w:rsid w:val="69670B4F"/>
    <w:rsid w:val="696848C8"/>
    <w:rsid w:val="69717C20"/>
    <w:rsid w:val="697414BE"/>
    <w:rsid w:val="69747710"/>
    <w:rsid w:val="6976424E"/>
    <w:rsid w:val="69777056"/>
    <w:rsid w:val="697B284D"/>
    <w:rsid w:val="697E2F09"/>
    <w:rsid w:val="69807E63"/>
    <w:rsid w:val="69817E23"/>
    <w:rsid w:val="69845BA5"/>
    <w:rsid w:val="6986257B"/>
    <w:rsid w:val="698701B1"/>
    <w:rsid w:val="69894F6A"/>
    <w:rsid w:val="698A6F34"/>
    <w:rsid w:val="698E432E"/>
    <w:rsid w:val="699171FC"/>
    <w:rsid w:val="6994390F"/>
    <w:rsid w:val="699456BD"/>
    <w:rsid w:val="69992CD3"/>
    <w:rsid w:val="699D0A15"/>
    <w:rsid w:val="699F29DF"/>
    <w:rsid w:val="69A43B52"/>
    <w:rsid w:val="69A5132F"/>
    <w:rsid w:val="69A578CA"/>
    <w:rsid w:val="69AC6EAA"/>
    <w:rsid w:val="69B813AB"/>
    <w:rsid w:val="69B8584F"/>
    <w:rsid w:val="69BA15C7"/>
    <w:rsid w:val="69C04704"/>
    <w:rsid w:val="69C064B2"/>
    <w:rsid w:val="69D01D88"/>
    <w:rsid w:val="69D106BF"/>
    <w:rsid w:val="69D1246D"/>
    <w:rsid w:val="69D6003B"/>
    <w:rsid w:val="69DF102E"/>
    <w:rsid w:val="69E44896"/>
    <w:rsid w:val="69E46644"/>
    <w:rsid w:val="69E623BC"/>
    <w:rsid w:val="69E95A08"/>
    <w:rsid w:val="69EC54F9"/>
    <w:rsid w:val="69F04FE9"/>
    <w:rsid w:val="69F50851"/>
    <w:rsid w:val="69F543AD"/>
    <w:rsid w:val="69F85C4B"/>
    <w:rsid w:val="69F8671F"/>
    <w:rsid w:val="6A0740E0"/>
    <w:rsid w:val="6A0C54B9"/>
    <w:rsid w:val="6A1231B1"/>
    <w:rsid w:val="6A1560B0"/>
    <w:rsid w:val="6A1567FD"/>
    <w:rsid w:val="6A160FCF"/>
    <w:rsid w:val="6A18009C"/>
    <w:rsid w:val="6A184540"/>
    <w:rsid w:val="6A1D1B56"/>
    <w:rsid w:val="6A1D56B2"/>
    <w:rsid w:val="6A220F1A"/>
    <w:rsid w:val="6A2353BE"/>
    <w:rsid w:val="6A246A40"/>
    <w:rsid w:val="6A296146"/>
    <w:rsid w:val="6A2B4273"/>
    <w:rsid w:val="6A2B7DCF"/>
    <w:rsid w:val="6A2E78BF"/>
    <w:rsid w:val="6A3273AF"/>
    <w:rsid w:val="6A3B0DE2"/>
    <w:rsid w:val="6A3F0348"/>
    <w:rsid w:val="6A4175F2"/>
    <w:rsid w:val="6A470981"/>
    <w:rsid w:val="6A484E25"/>
    <w:rsid w:val="6A493FCB"/>
    <w:rsid w:val="6A4D243B"/>
    <w:rsid w:val="6A4E7F61"/>
    <w:rsid w:val="6A5124E1"/>
    <w:rsid w:val="6A537326"/>
    <w:rsid w:val="6A5C267E"/>
    <w:rsid w:val="6A5D1F52"/>
    <w:rsid w:val="6A5F3F1C"/>
    <w:rsid w:val="6A5F5CCB"/>
    <w:rsid w:val="6A6135E4"/>
    <w:rsid w:val="6A627569"/>
    <w:rsid w:val="6A664983"/>
    <w:rsid w:val="6A6652AB"/>
    <w:rsid w:val="6A667059"/>
    <w:rsid w:val="6A681023"/>
    <w:rsid w:val="6A6B5CA5"/>
    <w:rsid w:val="6A6E57CD"/>
    <w:rsid w:val="6A6E721F"/>
    <w:rsid w:val="6A701C86"/>
    <w:rsid w:val="6A7259FE"/>
    <w:rsid w:val="6A7732FA"/>
    <w:rsid w:val="6A7A0D56"/>
    <w:rsid w:val="6A7A2B04"/>
    <w:rsid w:val="6A7C062B"/>
    <w:rsid w:val="6A8219B9"/>
    <w:rsid w:val="6A841BD5"/>
    <w:rsid w:val="6A8614A9"/>
    <w:rsid w:val="6A8D6CDC"/>
    <w:rsid w:val="6A8F72B9"/>
    <w:rsid w:val="6A9260A0"/>
    <w:rsid w:val="6A955B90"/>
    <w:rsid w:val="6A9C0CCD"/>
    <w:rsid w:val="6A9E67F3"/>
    <w:rsid w:val="6AA10091"/>
    <w:rsid w:val="6AA14535"/>
    <w:rsid w:val="6AA27434"/>
    <w:rsid w:val="6AA45DD3"/>
    <w:rsid w:val="6AA510EE"/>
    <w:rsid w:val="6AA61B4B"/>
    <w:rsid w:val="6AA81420"/>
    <w:rsid w:val="6AAB7F50"/>
    <w:rsid w:val="6AAD4C88"/>
    <w:rsid w:val="6AB2229E"/>
    <w:rsid w:val="6AB51D8E"/>
    <w:rsid w:val="6AB65FDB"/>
    <w:rsid w:val="6ABF6769"/>
    <w:rsid w:val="6AC331AE"/>
    <w:rsid w:val="6AC56475"/>
    <w:rsid w:val="6AC87D14"/>
    <w:rsid w:val="6ACD70D8"/>
    <w:rsid w:val="6AD20B92"/>
    <w:rsid w:val="6AD466B8"/>
    <w:rsid w:val="6AD541DF"/>
    <w:rsid w:val="6AD77F57"/>
    <w:rsid w:val="6ADC37BF"/>
    <w:rsid w:val="6ADF6E0B"/>
    <w:rsid w:val="6AE14931"/>
    <w:rsid w:val="6AE215AE"/>
    <w:rsid w:val="6AE421FD"/>
    <w:rsid w:val="6AE461D0"/>
    <w:rsid w:val="6AE508C6"/>
    <w:rsid w:val="6AE61F48"/>
    <w:rsid w:val="6AEA7C8A"/>
    <w:rsid w:val="6AED32D6"/>
    <w:rsid w:val="6AEE7EE0"/>
    <w:rsid w:val="6AEF52A0"/>
    <w:rsid w:val="6AF20FCD"/>
    <w:rsid w:val="6AF26B3F"/>
    <w:rsid w:val="6AF9611F"/>
    <w:rsid w:val="6AFB6BAE"/>
    <w:rsid w:val="6AFE1987"/>
    <w:rsid w:val="6B032AFA"/>
    <w:rsid w:val="6B056872"/>
    <w:rsid w:val="6B0A20DA"/>
    <w:rsid w:val="6B110467"/>
    <w:rsid w:val="6B144D07"/>
    <w:rsid w:val="6B15282D"/>
    <w:rsid w:val="6B1A4D60"/>
    <w:rsid w:val="6B1B463A"/>
    <w:rsid w:val="6B1B7E43"/>
    <w:rsid w:val="6B2036AC"/>
    <w:rsid w:val="6B234F4A"/>
    <w:rsid w:val="6B2A62D8"/>
    <w:rsid w:val="6B2B6D43"/>
    <w:rsid w:val="6B2F38EF"/>
    <w:rsid w:val="6B2F7D93"/>
    <w:rsid w:val="6B340F05"/>
    <w:rsid w:val="6B361121"/>
    <w:rsid w:val="6B3B2294"/>
    <w:rsid w:val="6B3C600C"/>
    <w:rsid w:val="6B403D4E"/>
    <w:rsid w:val="6B4F21E3"/>
    <w:rsid w:val="6B4F5D3F"/>
    <w:rsid w:val="6B56531F"/>
    <w:rsid w:val="6B574BF4"/>
    <w:rsid w:val="6B5B46E4"/>
    <w:rsid w:val="6B5D66AE"/>
    <w:rsid w:val="6B60351F"/>
    <w:rsid w:val="6B616392"/>
    <w:rsid w:val="6B685053"/>
    <w:rsid w:val="6B686E01"/>
    <w:rsid w:val="6B6932A5"/>
    <w:rsid w:val="6B6A4927"/>
    <w:rsid w:val="6B724AC6"/>
    <w:rsid w:val="6B730FCE"/>
    <w:rsid w:val="6B7439F8"/>
    <w:rsid w:val="6B767770"/>
    <w:rsid w:val="6B777044"/>
    <w:rsid w:val="6B785296"/>
    <w:rsid w:val="6B80414A"/>
    <w:rsid w:val="6B824366"/>
    <w:rsid w:val="6B841ED2"/>
    <w:rsid w:val="6B881251"/>
    <w:rsid w:val="6B882FFF"/>
    <w:rsid w:val="6B8C6F93"/>
    <w:rsid w:val="6B9419A4"/>
    <w:rsid w:val="6B95409A"/>
    <w:rsid w:val="6B981494"/>
    <w:rsid w:val="6B99520C"/>
    <w:rsid w:val="6BA047ED"/>
    <w:rsid w:val="6BA3608B"/>
    <w:rsid w:val="6BA51E03"/>
    <w:rsid w:val="6BA918F3"/>
    <w:rsid w:val="6BB169FA"/>
    <w:rsid w:val="6BB362CE"/>
    <w:rsid w:val="6BB43DF4"/>
    <w:rsid w:val="6BB46349"/>
    <w:rsid w:val="6BB65DBE"/>
    <w:rsid w:val="6BBD0EFB"/>
    <w:rsid w:val="6BC04E8F"/>
    <w:rsid w:val="6BC93D43"/>
    <w:rsid w:val="6BCB23F3"/>
    <w:rsid w:val="6BD34BC2"/>
    <w:rsid w:val="6BD61FBC"/>
    <w:rsid w:val="6BD83F86"/>
    <w:rsid w:val="6BD91AAD"/>
    <w:rsid w:val="6BDA5F51"/>
    <w:rsid w:val="6BDA7CFF"/>
    <w:rsid w:val="6BE35B73"/>
    <w:rsid w:val="6BE4727A"/>
    <w:rsid w:val="6BE741CA"/>
    <w:rsid w:val="6BEE5558"/>
    <w:rsid w:val="6BF1329A"/>
    <w:rsid w:val="6BF147EC"/>
    <w:rsid w:val="6BF568E6"/>
    <w:rsid w:val="6BF6605B"/>
    <w:rsid w:val="6BF84629"/>
    <w:rsid w:val="6BF95CAB"/>
    <w:rsid w:val="6BFA214F"/>
    <w:rsid w:val="6BFB7C75"/>
    <w:rsid w:val="6BFF59B7"/>
    <w:rsid w:val="6C0528A2"/>
    <w:rsid w:val="6C0A7EB8"/>
    <w:rsid w:val="6C0B610A"/>
    <w:rsid w:val="6C0C3C30"/>
    <w:rsid w:val="6C111246"/>
    <w:rsid w:val="6C117498"/>
    <w:rsid w:val="6C156F89"/>
    <w:rsid w:val="6C16685D"/>
    <w:rsid w:val="6C172D01"/>
    <w:rsid w:val="6C1B3E73"/>
    <w:rsid w:val="6C205100"/>
    <w:rsid w:val="6C2076DB"/>
    <w:rsid w:val="6C21592D"/>
    <w:rsid w:val="6C223454"/>
    <w:rsid w:val="6C270A6A"/>
    <w:rsid w:val="6C272818"/>
    <w:rsid w:val="6C2C2D30"/>
    <w:rsid w:val="6C2E3BA6"/>
    <w:rsid w:val="6C303DC2"/>
    <w:rsid w:val="6C310293"/>
    <w:rsid w:val="6C3118E9"/>
    <w:rsid w:val="6C313697"/>
    <w:rsid w:val="6C3311BD"/>
    <w:rsid w:val="6C335661"/>
    <w:rsid w:val="6C3710E8"/>
    <w:rsid w:val="6C384A25"/>
    <w:rsid w:val="6C39267A"/>
    <w:rsid w:val="6C4038DA"/>
    <w:rsid w:val="6C465394"/>
    <w:rsid w:val="6C467142"/>
    <w:rsid w:val="6C472EBA"/>
    <w:rsid w:val="6C4920FB"/>
    <w:rsid w:val="6C4B4758"/>
    <w:rsid w:val="6C4D6722"/>
    <w:rsid w:val="6C4D78EB"/>
    <w:rsid w:val="6C4E4249"/>
    <w:rsid w:val="6C501D6F"/>
    <w:rsid w:val="6C523D39"/>
    <w:rsid w:val="6C53185F"/>
    <w:rsid w:val="6C583E4C"/>
    <w:rsid w:val="6C5A711D"/>
    <w:rsid w:val="6C5D623A"/>
    <w:rsid w:val="6C5D7FE5"/>
    <w:rsid w:val="6C5F1FB2"/>
    <w:rsid w:val="6C613F7C"/>
    <w:rsid w:val="6C6501E7"/>
    <w:rsid w:val="6C6E0447"/>
    <w:rsid w:val="6C7C0DB6"/>
    <w:rsid w:val="6C841A18"/>
    <w:rsid w:val="6C895281"/>
    <w:rsid w:val="6C904861"/>
    <w:rsid w:val="6C922387"/>
    <w:rsid w:val="6C937EAD"/>
    <w:rsid w:val="6C983716"/>
    <w:rsid w:val="6C9A123C"/>
    <w:rsid w:val="6C9E6F7E"/>
    <w:rsid w:val="6CA34594"/>
    <w:rsid w:val="6CA4030D"/>
    <w:rsid w:val="6CA420BB"/>
    <w:rsid w:val="6CA87DFD"/>
    <w:rsid w:val="6CAB169B"/>
    <w:rsid w:val="6CAE2671"/>
    <w:rsid w:val="6CAE6A95"/>
    <w:rsid w:val="6CB95B66"/>
    <w:rsid w:val="6CBC11B2"/>
    <w:rsid w:val="6CC36805"/>
    <w:rsid w:val="6CC85DA9"/>
    <w:rsid w:val="6CC90D79"/>
    <w:rsid w:val="6CC938CF"/>
    <w:rsid w:val="6CCB7647"/>
    <w:rsid w:val="6CCD19E4"/>
    <w:rsid w:val="6CCD7863"/>
    <w:rsid w:val="6CCF71A6"/>
    <w:rsid w:val="6CD104BD"/>
    <w:rsid w:val="6CD209D6"/>
    <w:rsid w:val="6CD3474E"/>
    <w:rsid w:val="6CD423B1"/>
    <w:rsid w:val="6CD504C6"/>
    <w:rsid w:val="6CD75FEC"/>
    <w:rsid w:val="6CD96208"/>
    <w:rsid w:val="6CDA3D2E"/>
    <w:rsid w:val="6CDE381E"/>
    <w:rsid w:val="6CDF30F3"/>
    <w:rsid w:val="6CDF6C9B"/>
    <w:rsid w:val="6CE22E3F"/>
    <w:rsid w:val="6CE30E35"/>
    <w:rsid w:val="6CE4695B"/>
    <w:rsid w:val="6CE8644B"/>
    <w:rsid w:val="6CEA78C7"/>
    <w:rsid w:val="6CEB5F3B"/>
    <w:rsid w:val="6CED3A62"/>
    <w:rsid w:val="6CED5810"/>
    <w:rsid w:val="6CF22D7E"/>
    <w:rsid w:val="6CF748E0"/>
    <w:rsid w:val="6CF941B4"/>
    <w:rsid w:val="6CFB1EF1"/>
    <w:rsid w:val="6CFF5543"/>
    <w:rsid w:val="6D042B59"/>
    <w:rsid w:val="6D08089B"/>
    <w:rsid w:val="6D090170"/>
    <w:rsid w:val="6D0B1684"/>
    <w:rsid w:val="6D0F1C2A"/>
    <w:rsid w:val="6D0F39D8"/>
    <w:rsid w:val="6D125276"/>
    <w:rsid w:val="6D140FEE"/>
    <w:rsid w:val="6D156B14"/>
    <w:rsid w:val="6D1E1E6D"/>
    <w:rsid w:val="6D203E37"/>
    <w:rsid w:val="6D2154B9"/>
    <w:rsid w:val="6D284A9A"/>
    <w:rsid w:val="6D2B458A"/>
    <w:rsid w:val="6D2D3E5E"/>
    <w:rsid w:val="6D392803"/>
    <w:rsid w:val="6D463172"/>
    <w:rsid w:val="6D476E8B"/>
    <w:rsid w:val="6D480C98"/>
    <w:rsid w:val="6D4A0EB4"/>
    <w:rsid w:val="6D4F64CA"/>
    <w:rsid w:val="6D54588F"/>
    <w:rsid w:val="6D5910F7"/>
    <w:rsid w:val="6D592EA5"/>
    <w:rsid w:val="6D5B6C1D"/>
    <w:rsid w:val="6D5E495F"/>
    <w:rsid w:val="6D605FE2"/>
    <w:rsid w:val="6D65184A"/>
    <w:rsid w:val="6D673814"/>
    <w:rsid w:val="6D6C728C"/>
    <w:rsid w:val="6D6D4BA2"/>
    <w:rsid w:val="6D7101EF"/>
    <w:rsid w:val="6D713DD1"/>
    <w:rsid w:val="6D725D15"/>
    <w:rsid w:val="6D763A57"/>
    <w:rsid w:val="6D77157D"/>
    <w:rsid w:val="6D77332B"/>
    <w:rsid w:val="6D7777CF"/>
    <w:rsid w:val="6D785A21"/>
    <w:rsid w:val="6D7952F5"/>
    <w:rsid w:val="6D7970A3"/>
    <w:rsid w:val="6D7C6B93"/>
    <w:rsid w:val="6D7E0B5E"/>
    <w:rsid w:val="6D86010A"/>
    <w:rsid w:val="6D8617C0"/>
    <w:rsid w:val="6D940381"/>
    <w:rsid w:val="6D9739CD"/>
    <w:rsid w:val="6D986B81"/>
    <w:rsid w:val="6D9956BA"/>
    <w:rsid w:val="6D9B34BE"/>
    <w:rsid w:val="6DA305C4"/>
    <w:rsid w:val="6DA32E70"/>
    <w:rsid w:val="6DA560EA"/>
    <w:rsid w:val="6DA71E62"/>
    <w:rsid w:val="6DA85BDA"/>
    <w:rsid w:val="6DB037F2"/>
    <w:rsid w:val="6DB23EDA"/>
    <w:rsid w:val="6DB93944"/>
    <w:rsid w:val="6DB957D2"/>
    <w:rsid w:val="6DBB590E"/>
    <w:rsid w:val="6DC41DD2"/>
    <w:rsid w:val="6DC5678C"/>
    <w:rsid w:val="6DCA78FF"/>
    <w:rsid w:val="6DCC7B1B"/>
    <w:rsid w:val="6DD10C8D"/>
    <w:rsid w:val="6DD469CF"/>
    <w:rsid w:val="6DD93FE6"/>
    <w:rsid w:val="6DDD5884"/>
    <w:rsid w:val="6DDD7632"/>
    <w:rsid w:val="6DDE15FC"/>
    <w:rsid w:val="6DE035C6"/>
    <w:rsid w:val="6DE2733E"/>
    <w:rsid w:val="6DEC3D19"/>
    <w:rsid w:val="6DEC5AC7"/>
    <w:rsid w:val="6DF350A8"/>
    <w:rsid w:val="6DF64B98"/>
    <w:rsid w:val="6DF66946"/>
    <w:rsid w:val="6DF80910"/>
    <w:rsid w:val="6DF901E4"/>
    <w:rsid w:val="6DFA5A2C"/>
    <w:rsid w:val="6DFA6436"/>
    <w:rsid w:val="6DFB21AE"/>
    <w:rsid w:val="6DFC351E"/>
    <w:rsid w:val="6E021E51"/>
    <w:rsid w:val="6E02353D"/>
    <w:rsid w:val="6E054DDB"/>
    <w:rsid w:val="6E055C01"/>
    <w:rsid w:val="6E072901"/>
    <w:rsid w:val="6E0A419F"/>
    <w:rsid w:val="6E0C43BB"/>
    <w:rsid w:val="6E0F17B6"/>
    <w:rsid w:val="6E105C5A"/>
    <w:rsid w:val="6E13574A"/>
    <w:rsid w:val="6E136BC6"/>
    <w:rsid w:val="6E146DCC"/>
    <w:rsid w:val="6E2C680B"/>
    <w:rsid w:val="6E2E7E8E"/>
    <w:rsid w:val="6E2F3C06"/>
    <w:rsid w:val="6E3000AA"/>
    <w:rsid w:val="6E30237F"/>
    <w:rsid w:val="6E335424"/>
    <w:rsid w:val="6E364F94"/>
    <w:rsid w:val="6E3D4575"/>
    <w:rsid w:val="6E407BC1"/>
    <w:rsid w:val="6E4476B1"/>
    <w:rsid w:val="6E4B3BB8"/>
    <w:rsid w:val="6E4B6C92"/>
    <w:rsid w:val="6E5042A8"/>
    <w:rsid w:val="6E5673E4"/>
    <w:rsid w:val="6E573888"/>
    <w:rsid w:val="6E5D69C5"/>
    <w:rsid w:val="6E623FDB"/>
    <w:rsid w:val="6E625129"/>
    <w:rsid w:val="6E6722D6"/>
    <w:rsid w:val="6E673517"/>
    <w:rsid w:val="6E6A15C3"/>
    <w:rsid w:val="6E6B2E90"/>
    <w:rsid w:val="6E6E472E"/>
    <w:rsid w:val="6E712470"/>
    <w:rsid w:val="6E751F61"/>
    <w:rsid w:val="6E761835"/>
    <w:rsid w:val="6E775CD9"/>
    <w:rsid w:val="6E7A30D3"/>
    <w:rsid w:val="6E810905"/>
    <w:rsid w:val="6E891568"/>
    <w:rsid w:val="6E8E3022"/>
    <w:rsid w:val="6E8E745D"/>
    <w:rsid w:val="6E922B12"/>
    <w:rsid w:val="6E9C74ED"/>
    <w:rsid w:val="6EA04D17"/>
    <w:rsid w:val="6EA16987"/>
    <w:rsid w:val="6EA838C1"/>
    <w:rsid w:val="6EAD16FA"/>
    <w:rsid w:val="6EB46F69"/>
    <w:rsid w:val="6EB74327"/>
    <w:rsid w:val="6EBE3907"/>
    <w:rsid w:val="6ECC76A7"/>
    <w:rsid w:val="6ECD58F9"/>
    <w:rsid w:val="6ED20DF0"/>
    <w:rsid w:val="6ED226F2"/>
    <w:rsid w:val="6ED70525"/>
    <w:rsid w:val="6ED76777"/>
    <w:rsid w:val="6ED8510E"/>
    <w:rsid w:val="6EE025C2"/>
    <w:rsid w:val="6EE3336E"/>
    <w:rsid w:val="6EE40E94"/>
    <w:rsid w:val="6EF015E7"/>
    <w:rsid w:val="6EFE3D04"/>
    <w:rsid w:val="6F0532E4"/>
    <w:rsid w:val="6F060E0B"/>
    <w:rsid w:val="6F0A08FB"/>
    <w:rsid w:val="6F1572A0"/>
    <w:rsid w:val="6F1A48B6"/>
    <w:rsid w:val="6F1C418A"/>
    <w:rsid w:val="6F1E7F02"/>
    <w:rsid w:val="6F2F65B3"/>
    <w:rsid w:val="6F323B40"/>
    <w:rsid w:val="6F345978"/>
    <w:rsid w:val="6F35524C"/>
    <w:rsid w:val="6F370FC4"/>
    <w:rsid w:val="6F377216"/>
    <w:rsid w:val="6F3C5A37"/>
    <w:rsid w:val="6F3C65DA"/>
    <w:rsid w:val="6F4656AB"/>
    <w:rsid w:val="6F484143"/>
    <w:rsid w:val="6F4A519B"/>
    <w:rsid w:val="6F4A6F49"/>
    <w:rsid w:val="6F4D02D8"/>
    <w:rsid w:val="6F4D07E7"/>
    <w:rsid w:val="6F4D4C8B"/>
    <w:rsid w:val="6F563B40"/>
    <w:rsid w:val="6F574271"/>
    <w:rsid w:val="6F5C6C7D"/>
    <w:rsid w:val="6F5D4785"/>
    <w:rsid w:val="6F5E47A3"/>
    <w:rsid w:val="6F6049BF"/>
    <w:rsid w:val="6F646EB9"/>
    <w:rsid w:val="6F653D83"/>
    <w:rsid w:val="6F683873"/>
    <w:rsid w:val="6F6A75EB"/>
    <w:rsid w:val="6F6D0E8A"/>
    <w:rsid w:val="6F750F26"/>
    <w:rsid w:val="6F795A80"/>
    <w:rsid w:val="6F7B72E9"/>
    <w:rsid w:val="6F7E6BF3"/>
    <w:rsid w:val="6F830934"/>
    <w:rsid w:val="6F8445D4"/>
    <w:rsid w:val="6F865AA7"/>
    <w:rsid w:val="6F871B78"/>
    <w:rsid w:val="6F877A93"/>
    <w:rsid w:val="6F8A1A3C"/>
    <w:rsid w:val="6F8B1310"/>
    <w:rsid w:val="6F8D5C1A"/>
    <w:rsid w:val="6F8E342E"/>
    <w:rsid w:val="6F8F0E00"/>
    <w:rsid w:val="6F963F3C"/>
    <w:rsid w:val="6F997ED1"/>
    <w:rsid w:val="6F9F7B1B"/>
    <w:rsid w:val="6FA0237A"/>
    <w:rsid w:val="6FA26D85"/>
    <w:rsid w:val="6FA523D2"/>
    <w:rsid w:val="6FA7439C"/>
    <w:rsid w:val="6FA77CDB"/>
    <w:rsid w:val="6FA8133A"/>
    <w:rsid w:val="6FA83C70"/>
    <w:rsid w:val="6FAE4177"/>
    <w:rsid w:val="6FAF4FFE"/>
    <w:rsid w:val="6FB4515B"/>
    <w:rsid w:val="6FC0545D"/>
    <w:rsid w:val="6FC1459E"/>
    <w:rsid w:val="6FC565D0"/>
    <w:rsid w:val="6FC767EC"/>
    <w:rsid w:val="6FC85C67"/>
    <w:rsid w:val="6FC860C0"/>
    <w:rsid w:val="6FCA008A"/>
    <w:rsid w:val="6FCC091D"/>
    <w:rsid w:val="6FD131C7"/>
    <w:rsid w:val="6FD1766A"/>
    <w:rsid w:val="6FD27139"/>
    <w:rsid w:val="6FD35191"/>
    <w:rsid w:val="6FD44A65"/>
    <w:rsid w:val="6FD809F9"/>
    <w:rsid w:val="6FD902CD"/>
    <w:rsid w:val="6FE0165C"/>
    <w:rsid w:val="6FE023E8"/>
    <w:rsid w:val="6FE0340A"/>
    <w:rsid w:val="6FE32EFA"/>
    <w:rsid w:val="6FEF189F"/>
    <w:rsid w:val="6FF161BB"/>
    <w:rsid w:val="6FF458BA"/>
    <w:rsid w:val="6FF9271D"/>
    <w:rsid w:val="6FF97771"/>
    <w:rsid w:val="70057314"/>
    <w:rsid w:val="70081277"/>
    <w:rsid w:val="70082960"/>
    <w:rsid w:val="700A45B4"/>
    <w:rsid w:val="700C06A3"/>
    <w:rsid w:val="700C3252"/>
    <w:rsid w:val="70130F5B"/>
    <w:rsid w:val="70134CBF"/>
    <w:rsid w:val="70154AEA"/>
    <w:rsid w:val="70185A1A"/>
    <w:rsid w:val="701F03D6"/>
    <w:rsid w:val="70242AA9"/>
    <w:rsid w:val="702459EC"/>
    <w:rsid w:val="70253512"/>
    <w:rsid w:val="70294385"/>
    <w:rsid w:val="702C2AF3"/>
    <w:rsid w:val="702C48A1"/>
    <w:rsid w:val="702C664F"/>
    <w:rsid w:val="702C750D"/>
    <w:rsid w:val="702F7EED"/>
    <w:rsid w:val="703025E3"/>
    <w:rsid w:val="70310109"/>
    <w:rsid w:val="703674CE"/>
    <w:rsid w:val="703A6FBE"/>
    <w:rsid w:val="704020FA"/>
    <w:rsid w:val="70422316"/>
    <w:rsid w:val="70452F15"/>
    <w:rsid w:val="70476D69"/>
    <w:rsid w:val="70480FAF"/>
    <w:rsid w:val="704A4D27"/>
    <w:rsid w:val="704C6CF1"/>
    <w:rsid w:val="704F058F"/>
    <w:rsid w:val="70514307"/>
    <w:rsid w:val="7053007F"/>
    <w:rsid w:val="705832C7"/>
    <w:rsid w:val="70585696"/>
    <w:rsid w:val="70587444"/>
    <w:rsid w:val="705B5186"/>
    <w:rsid w:val="70657DB3"/>
    <w:rsid w:val="706A7177"/>
    <w:rsid w:val="706C1141"/>
    <w:rsid w:val="706E310B"/>
    <w:rsid w:val="7073427E"/>
    <w:rsid w:val="70745379"/>
    <w:rsid w:val="707A560C"/>
    <w:rsid w:val="707B1384"/>
    <w:rsid w:val="707D334E"/>
    <w:rsid w:val="707D427D"/>
    <w:rsid w:val="707D6EAA"/>
    <w:rsid w:val="70812E3F"/>
    <w:rsid w:val="708A15C7"/>
    <w:rsid w:val="708E0546"/>
    <w:rsid w:val="708E10B8"/>
    <w:rsid w:val="70910BA8"/>
    <w:rsid w:val="70952446"/>
    <w:rsid w:val="70981F36"/>
    <w:rsid w:val="709A5CAE"/>
    <w:rsid w:val="709D579F"/>
    <w:rsid w:val="709F32C5"/>
    <w:rsid w:val="70A628A5"/>
    <w:rsid w:val="70A66401"/>
    <w:rsid w:val="70A95AA7"/>
    <w:rsid w:val="70AB1C6A"/>
    <w:rsid w:val="70AF6013"/>
    <w:rsid w:val="70B0102E"/>
    <w:rsid w:val="70B054D2"/>
    <w:rsid w:val="70B12FF8"/>
    <w:rsid w:val="70B2124A"/>
    <w:rsid w:val="70B700AB"/>
    <w:rsid w:val="70BA00FF"/>
    <w:rsid w:val="70BF52C8"/>
    <w:rsid w:val="70BF74C3"/>
    <w:rsid w:val="70C143B0"/>
    <w:rsid w:val="70C20D61"/>
    <w:rsid w:val="70C307F4"/>
    <w:rsid w:val="70C40F7D"/>
    <w:rsid w:val="70C920F0"/>
    <w:rsid w:val="70CD2B48"/>
    <w:rsid w:val="70CE7706"/>
    <w:rsid w:val="70D36142"/>
    <w:rsid w:val="70D54F38"/>
    <w:rsid w:val="70D80585"/>
    <w:rsid w:val="70D864B3"/>
    <w:rsid w:val="70D94A29"/>
    <w:rsid w:val="70DC62C7"/>
    <w:rsid w:val="70E76A1A"/>
    <w:rsid w:val="70E90B8E"/>
    <w:rsid w:val="70EC5DDE"/>
    <w:rsid w:val="70EE5FFA"/>
    <w:rsid w:val="70F03B20"/>
    <w:rsid w:val="70F74EAF"/>
    <w:rsid w:val="7101188A"/>
    <w:rsid w:val="71025602"/>
    <w:rsid w:val="71072C18"/>
    <w:rsid w:val="710B44B6"/>
    <w:rsid w:val="71126EE7"/>
    <w:rsid w:val="71155335"/>
    <w:rsid w:val="71186BD3"/>
    <w:rsid w:val="711C4915"/>
    <w:rsid w:val="711D243B"/>
    <w:rsid w:val="712437CA"/>
    <w:rsid w:val="71297032"/>
    <w:rsid w:val="712B2DAA"/>
    <w:rsid w:val="712B4B58"/>
    <w:rsid w:val="712D08D1"/>
    <w:rsid w:val="71333A0D"/>
    <w:rsid w:val="713954C7"/>
    <w:rsid w:val="71397275"/>
    <w:rsid w:val="713C53B2"/>
    <w:rsid w:val="71493231"/>
    <w:rsid w:val="714A1482"/>
    <w:rsid w:val="7150636D"/>
    <w:rsid w:val="715454EA"/>
    <w:rsid w:val="71597917"/>
    <w:rsid w:val="715C2F64"/>
    <w:rsid w:val="715C67EB"/>
    <w:rsid w:val="715C7408"/>
    <w:rsid w:val="715E6CDC"/>
    <w:rsid w:val="715F49B2"/>
    <w:rsid w:val="7163055D"/>
    <w:rsid w:val="716360A0"/>
    <w:rsid w:val="71654E27"/>
    <w:rsid w:val="71685DAD"/>
    <w:rsid w:val="716A38D3"/>
    <w:rsid w:val="716D09C4"/>
    <w:rsid w:val="717007BD"/>
    <w:rsid w:val="71704C61"/>
    <w:rsid w:val="717300E1"/>
    <w:rsid w:val="71793B16"/>
    <w:rsid w:val="71810CC4"/>
    <w:rsid w:val="718129CA"/>
    <w:rsid w:val="718304F0"/>
    <w:rsid w:val="71862E8D"/>
    <w:rsid w:val="718801FD"/>
    <w:rsid w:val="71883D59"/>
    <w:rsid w:val="718B55F7"/>
    <w:rsid w:val="719170B1"/>
    <w:rsid w:val="719E73CE"/>
    <w:rsid w:val="71A010A2"/>
    <w:rsid w:val="71A11A70"/>
    <w:rsid w:val="71A62431"/>
    <w:rsid w:val="71AB5C99"/>
    <w:rsid w:val="71AB7A47"/>
    <w:rsid w:val="71AC3EEB"/>
    <w:rsid w:val="71B132B0"/>
    <w:rsid w:val="71B42DA0"/>
    <w:rsid w:val="71BA7C8A"/>
    <w:rsid w:val="71BB1166"/>
    <w:rsid w:val="71BC7EA6"/>
    <w:rsid w:val="71C32FE3"/>
    <w:rsid w:val="71C54FAD"/>
    <w:rsid w:val="71C56D5B"/>
    <w:rsid w:val="71D60F68"/>
    <w:rsid w:val="71D90A58"/>
    <w:rsid w:val="71DB032D"/>
    <w:rsid w:val="71DC40A5"/>
    <w:rsid w:val="71DC5E53"/>
    <w:rsid w:val="71E13469"/>
    <w:rsid w:val="71E4624E"/>
    <w:rsid w:val="71EA0570"/>
    <w:rsid w:val="71F118FE"/>
    <w:rsid w:val="71F6500C"/>
    <w:rsid w:val="72094B9E"/>
    <w:rsid w:val="72097D64"/>
    <w:rsid w:val="720A29C0"/>
    <w:rsid w:val="721101F2"/>
    <w:rsid w:val="72227D09"/>
    <w:rsid w:val="72247F25"/>
    <w:rsid w:val="72281098"/>
    <w:rsid w:val="722D66AE"/>
    <w:rsid w:val="72347A3D"/>
    <w:rsid w:val="72395053"/>
    <w:rsid w:val="723B7834"/>
    <w:rsid w:val="723F4D5F"/>
    <w:rsid w:val="723F6B0D"/>
    <w:rsid w:val="72402885"/>
    <w:rsid w:val="724265FE"/>
    <w:rsid w:val="72470C12"/>
    <w:rsid w:val="724A3704"/>
    <w:rsid w:val="724C2FD8"/>
    <w:rsid w:val="724C5DE0"/>
    <w:rsid w:val="725105EF"/>
    <w:rsid w:val="725B146D"/>
    <w:rsid w:val="725F0F5E"/>
    <w:rsid w:val="72606A84"/>
    <w:rsid w:val="726227FC"/>
    <w:rsid w:val="7265409A"/>
    <w:rsid w:val="72693B8A"/>
    <w:rsid w:val="726C5429"/>
    <w:rsid w:val="72783DCD"/>
    <w:rsid w:val="727D13E4"/>
    <w:rsid w:val="72943779"/>
    <w:rsid w:val="7295497F"/>
    <w:rsid w:val="729B7ABC"/>
    <w:rsid w:val="729C3F60"/>
    <w:rsid w:val="72A11576"/>
    <w:rsid w:val="72A2477A"/>
    <w:rsid w:val="72A44BC2"/>
    <w:rsid w:val="72A46970"/>
    <w:rsid w:val="72AB1549"/>
    <w:rsid w:val="72AB41A3"/>
    <w:rsid w:val="72AC3A77"/>
    <w:rsid w:val="72AD61B0"/>
    <w:rsid w:val="72B15531"/>
    <w:rsid w:val="72B50F8D"/>
    <w:rsid w:val="72B8241C"/>
    <w:rsid w:val="72BA43E6"/>
    <w:rsid w:val="72BB70AC"/>
    <w:rsid w:val="72BD3ED6"/>
    <w:rsid w:val="72BF37AA"/>
    <w:rsid w:val="72C47013"/>
    <w:rsid w:val="72C94629"/>
    <w:rsid w:val="72CA5DE6"/>
    <w:rsid w:val="72CC236B"/>
    <w:rsid w:val="72CC32D7"/>
    <w:rsid w:val="72CD3977"/>
    <w:rsid w:val="72CE7E91"/>
    <w:rsid w:val="72CF07C8"/>
    <w:rsid w:val="72D40328"/>
    <w:rsid w:val="72D4750A"/>
    <w:rsid w:val="72D80D10"/>
    <w:rsid w:val="72D82ABE"/>
    <w:rsid w:val="72D92014"/>
    <w:rsid w:val="72DC0230"/>
    <w:rsid w:val="72DD00D4"/>
    <w:rsid w:val="72DD6326"/>
    <w:rsid w:val="72E510AE"/>
    <w:rsid w:val="72EB0A43"/>
    <w:rsid w:val="72EC434F"/>
    <w:rsid w:val="72F0605A"/>
    <w:rsid w:val="72F316A6"/>
    <w:rsid w:val="72F84F0E"/>
    <w:rsid w:val="72FA0103"/>
    <w:rsid w:val="73025D8D"/>
    <w:rsid w:val="730438B3"/>
    <w:rsid w:val="73090EC9"/>
    <w:rsid w:val="730B69EF"/>
    <w:rsid w:val="730E028E"/>
    <w:rsid w:val="7315161C"/>
    <w:rsid w:val="73185FA3"/>
    <w:rsid w:val="731D053E"/>
    <w:rsid w:val="731D6723"/>
    <w:rsid w:val="73214465"/>
    <w:rsid w:val="73233E20"/>
    <w:rsid w:val="73247AB1"/>
    <w:rsid w:val="73276033"/>
    <w:rsid w:val="732857F3"/>
    <w:rsid w:val="732950C8"/>
    <w:rsid w:val="732D105C"/>
    <w:rsid w:val="732E26DE"/>
    <w:rsid w:val="733028FA"/>
    <w:rsid w:val="73353A6C"/>
    <w:rsid w:val="7336272A"/>
    <w:rsid w:val="733C4DFB"/>
    <w:rsid w:val="733D0B73"/>
    <w:rsid w:val="73410663"/>
    <w:rsid w:val="73463ECB"/>
    <w:rsid w:val="734642F2"/>
    <w:rsid w:val="734D525A"/>
    <w:rsid w:val="734E4B2E"/>
    <w:rsid w:val="73530396"/>
    <w:rsid w:val="7355410F"/>
    <w:rsid w:val="735C36EF"/>
    <w:rsid w:val="7363682B"/>
    <w:rsid w:val="73685BF0"/>
    <w:rsid w:val="73697BBA"/>
    <w:rsid w:val="736A5E0C"/>
    <w:rsid w:val="736D3206"/>
    <w:rsid w:val="73741484"/>
    <w:rsid w:val="737547B1"/>
    <w:rsid w:val="73774085"/>
    <w:rsid w:val="737A3B75"/>
    <w:rsid w:val="737B00F4"/>
    <w:rsid w:val="737C78ED"/>
    <w:rsid w:val="737E24ED"/>
    <w:rsid w:val="737E3665"/>
    <w:rsid w:val="73814F04"/>
    <w:rsid w:val="73816CB2"/>
    <w:rsid w:val="738467A2"/>
    <w:rsid w:val="7386251A"/>
    <w:rsid w:val="73880040"/>
    <w:rsid w:val="738D1AFA"/>
    <w:rsid w:val="738E0060"/>
    <w:rsid w:val="73944C37"/>
    <w:rsid w:val="73972979"/>
    <w:rsid w:val="739B4217"/>
    <w:rsid w:val="73A43FDE"/>
    <w:rsid w:val="73A56E44"/>
    <w:rsid w:val="73A6496A"/>
    <w:rsid w:val="73A86E9D"/>
    <w:rsid w:val="73AB2667"/>
    <w:rsid w:val="73B2330F"/>
    <w:rsid w:val="73B324D2"/>
    <w:rsid w:val="73BB0416"/>
    <w:rsid w:val="73BC6E43"/>
    <w:rsid w:val="73C24044"/>
    <w:rsid w:val="73C3376E"/>
    <w:rsid w:val="73C53042"/>
    <w:rsid w:val="73C66DBA"/>
    <w:rsid w:val="73D31A31"/>
    <w:rsid w:val="73D6524F"/>
    <w:rsid w:val="73D72D76"/>
    <w:rsid w:val="73E159A2"/>
    <w:rsid w:val="73E334C8"/>
    <w:rsid w:val="73E536E4"/>
    <w:rsid w:val="73E62FB9"/>
    <w:rsid w:val="73E76DC6"/>
    <w:rsid w:val="73E84F83"/>
    <w:rsid w:val="73E9464B"/>
    <w:rsid w:val="73EB05CF"/>
    <w:rsid w:val="73ED2599"/>
    <w:rsid w:val="73F12089"/>
    <w:rsid w:val="73F25E01"/>
    <w:rsid w:val="73F73418"/>
    <w:rsid w:val="73F91DCB"/>
    <w:rsid w:val="73FE6554"/>
    <w:rsid w:val="7400051E"/>
    <w:rsid w:val="740022CC"/>
    <w:rsid w:val="7400407A"/>
    <w:rsid w:val="740404D7"/>
    <w:rsid w:val="740C644E"/>
    <w:rsid w:val="740E5704"/>
    <w:rsid w:val="740F250F"/>
    <w:rsid w:val="740F42BD"/>
    <w:rsid w:val="74147B26"/>
    <w:rsid w:val="7416564C"/>
    <w:rsid w:val="741716CE"/>
    <w:rsid w:val="741B7106"/>
    <w:rsid w:val="741C28D9"/>
    <w:rsid w:val="74203020"/>
    <w:rsid w:val="74213FF1"/>
    <w:rsid w:val="7423420D"/>
    <w:rsid w:val="74251D33"/>
    <w:rsid w:val="74273CFD"/>
    <w:rsid w:val="742C4E6F"/>
    <w:rsid w:val="742D0653"/>
    <w:rsid w:val="74341F76"/>
    <w:rsid w:val="7434641A"/>
    <w:rsid w:val="743C0E2B"/>
    <w:rsid w:val="743E4BA3"/>
    <w:rsid w:val="7440091B"/>
    <w:rsid w:val="7443665D"/>
    <w:rsid w:val="7447614D"/>
    <w:rsid w:val="74493C73"/>
    <w:rsid w:val="745148D6"/>
    <w:rsid w:val="74595AED"/>
    <w:rsid w:val="745B39A7"/>
    <w:rsid w:val="745F5B50"/>
    <w:rsid w:val="74600FBD"/>
    <w:rsid w:val="746278E0"/>
    <w:rsid w:val="7463285B"/>
    <w:rsid w:val="74634609"/>
    <w:rsid w:val="746A1E3C"/>
    <w:rsid w:val="74714F78"/>
    <w:rsid w:val="74716D26"/>
    <w:rsid w:val="747405C4"/>
    <w:rsid w:val="7476258E"/>
    <w:rsid w:val="747829C4"/>
    <w:rsid w:val="747B1953"/>
    <w:rsid w:val="74837BE5"/>
    <w:rsid w:val="74856C75"/>
    <w:rsid w:val="748922C2"/>
    <w:rsid w:val="748D1686"/>
    <w:rsid w:val="749173C8"/>
    <w:rsid w:val="74956EB9"/>
    <w:rsid w:val="74962C31"/>
    <w:rsid w:val="7498670A"/>
    <w:rsid w:val="7499002B"/>
    <w:rsid w:val="74A4534E"/>
    <w:rsid w:val="74A54C22"/>
    <w:rsid w:val="74A72748"/>
    <w:rsid w:val="74AA048A"/>
    <w:rsid w:val="74AF784E"/>
    <w:rsid w:val="74B17A6A"/>
    <w:rsid w:val="74B65081"/>
    <w:rsid w:val="74BB5AAD"/>
    <w:rsid w:val="74BD01BD"/>
    <w:rsid w:val="74BF3F35"/>
    <w:rsid w:val="74C27582"/>
    <w:rsid w:val="74C50E20"/>
    <w:rsid w:val="74C8164B"/>
    <w:rsid w:val="74C90910"/>
    <w:rsid w:val="74CE4179"/>
    <w:rsid w:val="74D55507"/>
    <w:rsid w:val="74DD43BC"/>
    <w:rsid w:val="74DF6386"/>
    <w:rsid w:val="74E22636"/>
    <w:rsid w:val="74E27C24"/>
    <w:rsid w:val="74EC45FF"/>
    <w:rsid w:val="74EE3F86"/>
    <w:rsid w:val="74F02341"/>
    <w:rsid w:val="74F31E31"/>
    <w:rsid w:val="74F55BA9"/>
    <w:rsid w:val="74F636CF"/>
    <w:rsid w:val="74FD6DFA"/>
    <w:rsid w:val="74FF2584"/>
    <w:rsid w:val="750162FC"/>
    <w:rsid w:val="750B717B"/>
    <w:rsid w:val="750C6A4F"/>
    <w:rsid w:val="751002ED"/>
    <w:rsid w:val="751029E3"/>
    <w:rsid w:val="7510653F"/>
    <w:rsid w:val="75117886"/>
    <w:rsid w:val="7513602F"/>
    <w:rsid w:val="75175B20"/>
    <w:rsid w:val="751A116C"/>
    <w:rsid w:val="751B2383"/>
    <w:rsid w:val="751F6782"/>
    <w:rsid w:val="75226272"/>
    <w:rsid w:val="752336E6"/>
    <w:rsid w:val="752865C0"/>
    <w:rsid w:val="75323B0D"/>
    <w:rsid w:val="75327ED9"/>
    <w:rsid w:val="75377F70"/>
    <w:rsid w:val="75387844"/>
    <w:rsid w:val="753A180E"/>
    <w:rsid w:val="753D12FE"/>
    <w:rsid w:val="753D4E5A"/>
    <w:rsid w:val="754461E9"/>
    <w:rsid w:val="754601B3"/>
    <w:rsid w:val="75461F61"/>
    <w:rsid w:val="754B3A1B"/>
    <w:rsid w:val="75502DDF"/>
    <w:rsid w:val="7557416E"/>
    <w:rsid w:val="75587EE6"/>
    <w:rsid w:val="75614FED"/>
    <w:rsid w:val="75622B13"/>
    <w:rsid w:val="75644ADD"/>
    <w:rsid w:val="7564688B"/>
    <w:rsid w:val="756B19C7"/>
    <w:rsid w:val="756D1BE3"/>
    <w:rsid w:val="75703482"/>
    <w:rsid w:val="757758AD"/>
    <w:rsid w:val="75786F3E"/>
    <w:rsid w:val="75792336"/>
    <w:rsid w:val="757C043C"/>
    <w:rsid w:val="75812F99"/>
    <w:rsid w:val="75846F2D"/>
    <w:rsid w:val="75862CA5"/>
    <w:rsid w:val="7589009F"/>
    <w:rsid w:val="758962F1"/>
    <w:rsid w:val="758E41A2"/>
    <w:rsid w:val="75954C96"/>
    <w:rsid w:val="75967A4E"/>
    <w:rsid w:val="759E7FEF"/>
    <w:rsid w:val="75A546BA"/>
    <w:rsid w:val="75AB44BA"/>
    <w:rsid w:val="75B23A9A"/>
    <w:rsid w:val="75B3517B"/>
    <w:rsid w:val="75B415C0"/>
    <w:rsid w:val="75B570E6"/>
    <w:rsid w:val="75BA6C76"/>
    <w:rsid w:val="75C12DB9"/>
    <w:rsid w:val="75C630A2"/>
    <w:rsid w:val="75C64E50"/>
    <w:rsid w:val="75C80BC8"/>
    <w:rsid w:val="75CA2B92"/>
    <w:rsid w:val="75CD2DB2"/>
    <w:rsid w:val="75D05028"/>
    <w:rsid w:val="75D21A46"/>
    <w:rsid w:val="75D21B75"/>
    <w:rsid w:val="75D27C98"/>
    <w:rsid w:val="75D457BF"/>
    <w:rsid w:val="75D4756D"/>
    <w:rsid w:val="75D94B83"/>
    <w:rsid w:val="75E11C8A"/>
    <w:rsid w:val="75E40BB4"/>
    <w:rsid w:val="75E8126A"/>
    <w:rsid w:val="75EA6D90"/>
    <w:rsid w:val="75EB0D5A"/>
    <w:rsid w:val="75EF25F8"/>
    <w:rsid w:val="75EF43A6"/>
    <w:rsid w:val="75F220E9"/>
    <w:rsid w:val="75F419BD"/>
    <w:rsid w:val="75F45E61"/>
    <w:rsid w:val="75F776FF"/>
    <w:rsid w:val="75F93477"/>
    <w:rsid w:val="75F9467E"/>
    <w:rsid w:val="75F95225"/>
    <w:rsid w:val="75FC6AC3"/>
    <w:rsid w:val="75FE283B"/>
    <w:rsid w:val="75FF790D"/>
    <w:rsid w:val="760616F0"/>
    <w:rsid w:val="760A11E0"/>
    <w:rsid w:val="760F4A49"/>
    <w:rsid w:val="76116A13"/>
    <w:rsid w:val="76134845"/>
    <w:rsid w:val="76143E0D"/>
    <w:rsid w:val="762322A2"/>
    <w:rsid w:val="762379C3"/>
    <w:rsid w:val="76250430"/>
    <w:rsid w:val="762A3631"/>
    <w:rsid w:val="762A53DF"/>
    <w:rsid w:val="762A7AD4"/>
    <w:rsid w:val="762F1370"/>
    <w:rsid w:val="762F6E99"/>
    <w:rsid w:val="762F6ED4"/>
    <w:rsid w:val="763079A3"/>
    <w:rsid w:val="763149BF"/>
    <w:rsid w:val="76377AFB"/>
    <w:rsid w:val="763922F4"/>
    <w:rsid w:val="763B4950"/>
    <w:rsid w:val="763B75EC"/>
    <w:rsid w:val="76402E54"/>
    <w:rsid w:val="76404C02"/>
    <w:rsid w:val="764861AD"/>
    <w:rsid w:val="76487F5B"/>
    <w:rsid w:val="76511525"/>
    <w:rsid w:val="76516E0F"/>
    <w:rsid w:val="76571F4C"/>
    <w:rsid w:val="76595CC4"/>
    <w:rsid w:val="765C03DD"/>
    <w:rsid w:val="765C7562"/>
    <w:rsid w:val="765D52E4"/>
    <w:rsid w:val="766052A4"/>
    <w:rsid w:val="766D3B19"/>
    <w:rsid w:val="766F7295"/>
    <w:rsid w:val="7671125F"/>
    <w:rsid w:val="7671300D"/>
    <w:rsid w:val="76755608"/>
    <w:rsid w:val="7677439C"/>
    <w:rsid w:val="76790114"/>
    <w:rsid w:val="768216BE"/>
    <w:rsid w:val="7682521B"/>
    <w:rsid w:val="768C6099"/>
    <w:rsid w:val="76941B1A"/>
    <w:rsid w:val="76962A74"/>
    <w:rsid w:val="76966F18"/>
    <w:rsid w:val="76982C90"/>
    <w:rsid w:val="769A6A08"/>
    <w:rsid w:val="769C7C7E"/>
    <w:rsid w:val="76A2766B"/>
    <w:rsid w:val="76A41635"/>
    <w:rsid w:val="76A51D5C"/>
    <w:rsid w:val="76A55B76"/>
    <w:rsid w:val="76A96C4B"/>
    <w:rsid w:val="76AA651F"/>
    <w:rsid w:val="76AE24B4"/>
    <w:rsid w:val="76AF73D6"/>
    <w:rsid w:val="76B352E5"/>
    <w:rsid w:val="76B4160A"/>
    <w:rsid w:val="76B45A88"/>
    <w:rsid w:val="76B850E0"/>
    <w:rsid w:val="76BD6253"/>
    <w:rsid w:val="76C021E7"/>
    <w:rsid w:val="76C07AF1"/>
    <w:rsid w:val="76C43A85"/>
    <w:rsid w:val="76C45833"/>
    <w:rsid w:val="76C770D1"/>
    <w:rsid w:val="76D01D7F"/>
    <w:rsid w:val="76D35A76"/>
    <w:rsid w:val="76DA32A9"/>
    <w:rsid w:val="76DB7EA0"/>
    <w:rsid w:val="76DF266D"/>
    <w:rsid w:val="76E131F8"/>
    <w:rsid w:val="76E23F0B"/>
    <w:rsid w:val="76E25CB9"/>
    <w:rsid w:val="76E45ED5"/>
    <w:rsid w:val="76E539FB"/>
    <w:rsid w:val="76E934EC"/>
    <w:rsid w:val="76F105F2"/>
    <w:rsid w:val="76F1414E"/>
    <w:rsid w:val="76F51E90"/>
    <w:rsid w:val="76F611C4"/>
    <w:rsid w:val="76F65C09"/>
    <w:rsid w:val="76F8399D"/>
    <w:rsid w:val="76F93003"/>
    <w:rsid w:val="76FD0D45"/>
    <w:rsid w:val="76FE0619"/>
    <w:rsid w:val="77022A79"/>
    <w:rsid w:val="77027960"/>
    <w:rsid w:val="770519A8"/>
    <w:rsid w:val="77061EAE"/>
    <w:rsid w:val="77071BC4"/>
    <w:rsid w:val="770E0AD4"/>
    <w:rsid w:val="77112D0D"/>
    <w:rsid w:val="77121D4A"/>
    <w:rsid w:val="771542E1"/>
    <w:rsid w:val="7715608F"/>
    <w:rsid w:val="771F0CBB"/>
    <w:rsid w:val="772207AC"/>
    <w:rsid w:val="772267CF"/>
    <w:rsid w:val="7726029C"/>
    <w:rsid w:val="77275DC2"/>
    <w:rsid w:val="77291B3A"/>
    <w:rsid w:val="772C162A"/>
    <w:rsid w:val="7730111A"/>
    <w:rsid w:val="7731279D"/>
    <w:rsid w:val="77316C41"/>
    <w:rsid w:val="773329B9"/>
    <w:rsid w:val="77334767"/>
    <w:rsid w:val="773504DF"/>
    <w:rsid w:val="773D7394"/>
    <w:rsid w:val="77405B54"/>
    <w:rsid w:val="77407DAF"/>
    <w:rsid w:val="77411120"/>
    <w:rsid w:val="77440722"/>
    <w:rsid w:val="774422E4"/>
    <w:rsid w:val="774502E9"/>
    <w:rsid w:val="77456278"/>
    <w:rsid w:val="7746449A"/>
    <w:rsid w:val="77464D68"/>
    <w:rsid w:val="77476464"/>
    <w:rsid w:val="774B075C"/>
    <w:rsid w:val="77514BED"/>
    <w:rsid w:val="775546DD"/>
    <w:rsid w:val="7763329E"/>
    <w:rsid w:val="77666DBF"/>
    <w:rsid w:val="776808B4"/>
    <w:rsid w:val="77756B2D"/>
    <w:rsid w:val="777A2396"/>
    <w:rsid w:val="77811976"/>
    <w:rsid w:val="7782124A"/>
    <w:rsid w:val="77844FC2"/>
    <w:rsid w:val="77864F50"/>
    <w:rsid w:val="77884AB3"/>
    <w:rsid w:val="77893679"/>
    <w:rsid w:val="77894387"/>
    <w:rsid w:val="77896DD2"/>
    <w:rsid w:val="778B45A3"/>
    <w:rsid w:val="778C3E77"/>
    <w:rsid w:val="778D031B"/>
    <w:rsid w:val="77905715"/>
    <w:rsid w:val="7791148D"/>
    <w:rsid w:val="77926E25"/>
    <w:rsid w:val="7793133E"/>
    <w:rsid w:val="77974CF6"/>
    <w:rsid w:val="779A47E6"/>
    <w:rsid w:val="77A25449"/>
    <w:rsid w:val="77A2616D"/>
    <w:rsid w:val="77A94A29"/>
    <w:rsid w:val="77AD276B"/>
    <w:rsid w:val="77AD62C7"/>
    <w:rsid w:val="77AF64E3"/>
    <w:rsid w:val="77B114C5"/>
    <w:rsid w:val="77B27D81"/>
    <w:rsid w:val="77B5517C"/>
    <w:rsid w:val="77B8776B"/>
    <w:rsid w:val="77C33D3D"/>
    <w:rsid w:val="77CA50CB"/>
    <w:rsid w:val="77CD0717"/>
    <w:rsid w:val="77D5581E"/>
    <w:rsid w:val="77D575CC"/>
    <w:rsid w:val="77D73344"/>
    <w:rsid w:val="77DBFCAF"/>
    <w:rsid w:val="77E12415"/>
    <w:rsid w:val="77E141C3"/>
    <w:rsid w:val="77E258C0"/>
    <w:rsid w:val="77E85551"/>
    <w:rsid w:val="77E93077"/>
    <w:rsid w:val="77EB6DF0"/>
    <w:rsid w:val="77F31118"/>
    <w:rsid w:val="77FA5285"/>
    <w:rsid w:val="77FC0C7C"/>
    <w:rsid w:val="77FF3BE1"/>
    <w:rsid w:val="78014865"/>
    <w:rsid w:val="780600CD"/>
    <w:rsid w:val="781400F4"/>
    <w:rsid w:val="78153E6C"/>
    <w:rsid w:val="781C51FB"/>
    <w:rsid w:val="781F6A99"/>
    <w:rsid w:val="78212811"/>
    <w:rsid w:val="782567A5"/>
    <w:rsid w:val="78286688"/>
    <w:rsid w:val="782A3DBC"/>
    <w:rsid w:val="782A7918"/>
    <w:rsid w:val="782A7F03"/>
    <w:rsid w:val="782C7B34"/>
    <w:rsid w:val="782D7408"/>
    <w:rsid w:val="783267CC"/>
    <w:rsid w:val="783562BD"/>
    <w:rsid w:val="783E1615"/>
    <w:rsid w:val="783F0EE9"/>
    <w:rsid w:val="783F628E"/>
    <w:rsid w:val="78436C2C"/>
    <w:rsid w:val="78486CF0"/>
    <w:rsid w:val="78511348"/>
    <w:rsid w:val="78564BB1"/>
    <w:rsid w:val="78571E88"/>
    <w:rsid w:val="78591FAB"/>
    <w:rsid w:val="785B5D23"/>
    <w:rsid w:val="78615304"/>
    <w:rsid w:val="7866291A"/>
    <w:rsid w:val="786646C8"/>
    <w:rsid w:val="78670B6C"/>
    <w:rsid w:val="78694227"/>
    <w:rsid w:val="786A41B8"/>
    <w:rsid w:val="78757261"/>
    <w:rsid w:val="787A616E"/>
    <w:rsid w:val="787D038F"/>
    <w:rsid w:val="787D6230"/>
    <w:rsid w:val="78864E9F"/>
    <w:rsid w:val="788D434B"/>
    <w:rsid w:val="788F3C1F"/>
    <w:rsid w:val="78902240"/>
    <w:rsid w:val="789B0816"/>
    <w:rsid w:val="789E0306"/>
    <w:rsid w:val="78A07484"/>
    <w:rsid w:val="78A07BDA"/>
    <w:rsid w:val="78A70F68"/>
    <w:rsid w:val="78A91184"/>
    <w:rsid w:val="78AA6CAB"/>
    <w:rsid w:val="78AC2A23"/>
    <w:rsid w:val="78AD22F7"/>
    <w:rsid w:val="78B10039"/>
    <w:rsid w:val="78B35B5F"/>
    <w:rsid w:val="78B43685"/>
    <w:rsid w:val="78B74F24"/>
    <w:rsid w:val="78BA3601"/>
    <w:rsid w:val="78C0202A"/>
    <w:rsid w:val="78C23FF4"/>
    <w:rsid w:val="78C31B1A"/>
    <w:rsid w:val="78C57641"/>
    <w:rsid w:val="78C7160B"/>
    <w:rsid w:val="78C8614D"/>
    <w:rsid w:val="78CC09CF"/>
    <w:rsid w:val="78CF226D"/>
    <w:rsid w:val="78CF4963"/>
    <w:rsid w:val="78D12489"/>
    <w:rsid w:val="78D14237"/>
    <w:rsid w:val="78D358E9"/>
    <w:rsid w:val="78D635FC"/>
    <w:rsid w:val="78E6342F"/>
    <w:rsid w:val="78EA354B"/>
    <w:rsid w:val="78F33792"/>
    <w:rsid w:val="78F341AE"/>
    <w:rsid w:val="78F61EF0"/>
    <w:rsid w:val="78F74CE4"/>
    <w:rsid w:val="78F817C4"/>
    <w:rsid w:val="78FA19E0"/>
    <w:rsid w:val="7904460D"/>
    <w:rsid w:val="79077C59"/>
    <w:rsid w:val="79085C69"/>
    <w:rsid w:val="7915488B"/>
    <w:rsid w:val="79167E9C"/>
    <w:rsid w:val="791A5BDE"/>
    <w:rsid w:val="791E7379"/>
    <w:rsid w:val="792151BF"/>
    <w:rsid w:val="7928602E"/>
    <w:rsid w:val="79294FA2"/>
    <w:rsid w:val="792B7DEB"/>
    <w:rsid w:val="79312F28"/>
    <w:rsid w:val="79336CA0"/>
    <w:rsid w:val="7936053E"/>
    <w:rsid w:val="793622EC"/>
    <w:rsid w:val="793842B6"/>
    <w:rsid w:val="79393B8B"/>
    <w:rsid w:val="794013BD"/>
    <w:rsid w:val="7940316B"/>
    <w:rsid w:val="79444A09"/>
    <w:rsid w:val="794B223C"/>
    <w:rsid w:val="794B3FEA"/>
    <w:rsid w:val="794C38BE"/>
    <w:rsid w:val="794E79D3"/>
    <w:rsid w:val="79501600"/>
    <w:rsid w:val="795310F0"/>
    <w:rsid w:val="79532E9E"/>
    <w:rsid w:val="79537342"/>
    <w:rsid w:val="79554E68"/>
    <w:rsid w:val="79555698"/>
    <w:rsid w:val="7956473D"/>
    <w:rsid w:val="795B49F4"/>
    <w:rsid w:val="795B5726"/>
    <w:rsid w:val="79616DC4"/>
    <w:rsid w:val="79621333"/>
    <w:rsid w:val="796432FD"/>
    <w:rsid w:val="79654980"/>
    <w:rsid w:val="796C0DB6"/>
    <w:rsid w:val="796C21B2"/>
    <w:rsid w:val="796E5F2A"/>
    <w:rsid w:val="79711576"/>
    <w:rsid w:val="7973709D"/>
    <w:rsid w:val="79752E15"/>
    <w:rsid w:val="79780B57"/>
    <w:rsid w:val="797C23F5"/>
    <w:rsid w:val="797D43BF"/>
    <w:rsid w:val="798B2638"/>
    <w:rsid w:val="798C015E"/>
    <w:rsid w:val="798E3ED6"/>
    <w:rsid w:val="799055DF"/>
    <w:rsid w:val="79921C19"/>
    <w:rsid w:val="79927E6B"/>
    <w:rsid w:val="799C2A97"/>
    <w:rsid w:val="799E3A92"/>
    <w:rsid w:val="79A27982"/>
    <w:rsid w:val="79A454A8"/>
    <w:rsid w:val="79AE4579"/>
    <w:rsid w:val="79B0209F"/>
    <w:rsid w:val="79B21A11"/>
    <w:rsid w:val="79B2542D"/>
    <w:rsid w:val="79B31B8F"/>
    <w:rsid w:val="79B3393D"/>
    <w:rsid w:val="79B778D1"/>
    <w:rsid w:val="79B847EB"/>
    <w:rsid w:val="79BA2F1D"/>
    <w:rsid w:val="79C63670"/>
    <w:rsid w:val="79CC49FF"/>
    <w:rsid w:val="79CE0777"/>
    <w:rsid w:val="79D42231"/>
    <w:rsid w:val="79D57D57"/>
    <w:rsid w:val="79D97847"/>
    <w:rsid w:val="79DA536E"/>
    <w:rsid w:val="79E166FC"/>
    <w:rsid w:val="79E24222"/>
    <w:rsid w:val="79E449CE"/>
    <w:rsid w:val="79E820BE"/>
    <w:rsid w:val="79E85CDC"/>
    <w:rsid w:val="79E86ADE"/>
    <w:rsid w:val="79E92FE1"/>
    <w:rsid w:val="79EB757B"/>
    <w:rsid w:val="79ED6E4F"/>
    <w:rsid w:val="79F3642F"/>
    <w:rsid w:val="79F44681"/>
    <w:rsid w:val="79F521A7"/>
    <w:rsid w:val="79F857F4"/>
    <w:rsid w:val="7A04063C"/>
    <w:rsid w:val="7A083C89"/>
    <w:rsid w:val="7A13262E"/>
    <w:rsid w:val="7A15284A"/>
    <w:rsid w:val="7A186697"/>
    <w:rsid w:val="7A1A1C0E"/>
    <w:rsid w:val="7A28432B"/>
    <w:rsid w:val="7A2860D9"/>
    <w:rsid w:val="7A287E87"/>
    <w:rsid w:val="7A2B3E1B"/>
    <w:rsid w:val="7A2D36EF"/>
    <w:rsid w:val="7A350CD5"/>
    <w:rsid w:val="7A37631C"/>
    <w:rsid w:val="7A387111"/>
    <w:rsid w:val="7A3902E6"/>
    <w:rsid w:val="7A41363F"/>
    <w:rsid w:val="7A4153ED"/>
    <w:rsid w:val="7A462A03"/>
    <w:rsid w:val="7A523156"/>
    <w:rsid w:val="7A543372"/>
    <w:rsid w:val="7A556362"/>
    <w:rsid w:val="7A57076C"/>
    <w:rsid w:val="7A61783D"/>
    <w:rsid w:val="7A656DD3"/>
    <w:rsid w:val="7A6A04A0"/>
    <w:rsid w:val="7A6A66F1"/>
    <w:rsid w:val="7A6F1F5A"/>
    <w:rsid w:val="7A70182E"/>
    <w:rsid w:val="7A707A80"/>
    <w:rsid w:val="7A772BBC"/>
    <w:rsid w:val="7A7C01D3"/>
    <w:rsid w:val="7A7F1A71"/>
    <w:rsid w:val="7A804167"/>
    <w:rsid w:val="7A862644"/>
    <w:rsid w:val="7A923E9A"/>
    <w:rsid w:val="7A9279F6"/>
    <w:rsid w:val="7A995229"/>
    <w:rsid w:val="7A996FD7"/>
    <w:rsid w:val="7A9B68AB"/>
    <w:rsid w:val="7A9D4E2F"/>
    <w:rsid w:val="7AA02113"/>
    <w:rsid w:val="7AA634A2"/>
    <w:rsid w:val="7AA8721A"/>
    <w:rsid w:val="7AAB2866"/>
    <w:rsid w:val="7AAF67FA"/>
    <w:rsid w:val="7AB12572"/>
    <w:rsid w:val="7AB45BBF"/>
    <w:rsid w:val="7AB4796D"/>
    <w:rsid w:val="7AB86E66"/>
    <w:rsid w:val="7ABD0F17"/>
    <w:rsid w:val="7AC30385"/>
    <w:rsid w:val="7AC35E02"/>
    <w:rsid w:val="7AC92660"/>
    <w:rsid w:val="7ACA3634"/>
    <w:rsid w:val="7ACF49CF"/>
    <w:rsid w:val="7AD13C2F"/>
    <w:rsid w:val="7AD16771"/>
    <w:rsid w:val="7AD41DBD"/>
    <w:rsid w:val="7AD63356"/>
    <w:rsid w:val="7ADE0E8D"/>
    <w:rsid w:val="7AE30252"/>
    <w:rsid w:val="7AE46AFF"/>
    <w:rsid w:val="7AE7136A"/>
    <w:rsid w:val="7AEA15E0"/>
    <w:rsid w:val="7AEC35AA"/>
    <w:rsid w:val="7AEF4E49"/>
    <w:rsid w:val="7AEF6BF7"/>
    <w:rsid w:val="7AF05B67"/>
    <w:rsid w:val="7AF97FB2"/>
    <w:rsid w:val="7AFB37ED"/>
    <w:rsid w:val="7AFD1314"/>
    <w:rsid w:val="7AFE32DE"/>
    <w:rsid w:val="7B007056"/>
    <w:rsid w:val="7B024B7C"/>
    <w:rsid w:val="7B034450"/>
    <w:rsid w:val="7B0408F4"/>
    <w:rsid w:val="7B0501C8"/>
    <w:rsid w:val="7B073F40"/>
    <w:rsid w:val="7B09415C"/>
    <w:rsid w:val="7B0A57DF"/>
    <w:rsid w:val="7B0C59FB"/>
    <w:rsid w:val="7B0F7578"/>
    <w:rsid w:val="7B113011"/>
    <w:rsid w:val="7B1228E5"/>
    <w:rsid w:val="7B187EFC"/>
    <w:rsid w:val="7B1B5C3E"/>
    <w:rsid w:val="7B1D5512"/>
    <w:rsid w:val="7B220D7A"/>
    <w:rsid w:val="7B22521E"/>
    <w:rsid w:val="7B23194C"/>
    <w:rsid w:val="7B234AF2"/>
    <w:rsid w:val="7B2A7C2F"/>
    <w:rsid w:val="7B2C1BF9"/>
    <w:rsid w:val="7B2C39A7"/>
    <w:rsid w:val="7B2C3ACE"/>
    <w:rsid w:val="7B2F16E9"/>
    <w:rsid w:val="7B310FBD"/>
    <w:rsid w:val="7B312E12"/>
    <w:rsid w:val="7B315461"/>
    <w:rsid w:val="7B331A90"/>
    <w:rsid w:val="7B334ED0"/>
    <w:rsid w:val="7B3665D4"/>
    <w:rsid w:val="7B407452"/>
    <w:rsid w:val="7B4128F5"/>
    <w:rsid w:val="7B424F78"/>
    <w:rsid w:val="7B451DEC"/>
    <w:rsid w:val="7B465735"/>
    <w:rsid w:val="7B474C85"/>
    <w:rsid w:val="7B4C5DF7"/>
    <w:rsid w:val="7B5178B1"/>
    <w:rsid w:val="7B5573A2"/>
    <w:rsid w:val="7B566C76"/>
    <w:rsid w:val="7B58415C"/>
    <w:rsid w:val="7B5D1DB2"/>
    <w:rsid w:val="7B5D5C38"/>
    <w:rsid w:val="7B6249F8"/>
    <w:rsid w:val="7B641393"/>
    <w:rsid w:val="7B656EB9"/>
    <w:rsid w:val="7B681A01"/>
    <w:rsid w:val="7B690757"/>
    <w:rsid w:val="7B6F1AE6"/>
    <w:rsid w:val="7B705F89"/>
    <w:rsid w:val="7B711D02"/>
    <w:rsid w:val="7B7406C4"/>
    <w:rsid w:val="7B7535A0"/>
    <w:rsid w:val="7B75534E"/>
    <w:rsid w:val="7B7A0BB6"/>
    <w:rsid w:val="7B827A6B"/>
    <w:rsid w:val="7B86410F"/>
    <w:rsid w:val="7B8E6410"/>
    <w:rsid w:val="7B902188"/>
    <w:rsid w:val="7B931C78"/>
    <w:rsid w:val="7BA14395"/>
    <w:rsid w:val="7BA2010D"/>
    <w:rsid w:val="7BA774D1"/>
    <w:rsid w:val="7BAB0D70"/>
    <w:rsid w:val="7BAD0F8C"/>
    <w:rsid w:val="7BAD6F9E"/>
    <w:rsid w:val="7BAE0860"/>
    <w:rsid w:val="7BB0282A"/>
    <w:rsid w:val="7BB40EE6"/>
    <w:rsid w:val="7BB75966"/>
    <w:rsid w:val="7BB96C82"/>
    <w:rsid w:val="7BBC2F7D"/>
    <w:rsid w:val="7BBD0AA3"/>
    <w:rsid w:val="7BBF481B"/>
    <w:rsid w:val="7BC260B9"/>
    <w:rsid w:val="7BC63DFB"/>
    <w:rsid w:val="7BC77B74"/>
    <w:rsid w:val="7BCA0DB9"/>
    <w:rsid w:val="7BCB31C0"/>
    <w:rsid w:val="7BCD518A"/>
    <w:rsid w:val="7BCE6D01"/>
    <w:rsid w:val="7BD3539E"/>
    <w:rsid w:val="7BD66846"/>
    <w:rsid w:val="7BDA3403"/>
    <w:rsid w:val="7BE1157D"/>
    <w:rsid w:val="7BE1474D"/>
    <w:rsid w:val="7BE20509"/>
    <w:rsid w:val="7BE40725"/>
    <w:rsid w:val="7BE73D72"/>
    <w:rsid w:val="7BE97AEA"/>
    <w:rsid w:val="7BED32DA"/>
    <w:rsid w:val="7BF2699E"/>
    <w:rsid w:val="7BF32717"/>
    <w:rsid w:val="7BF344C5"/>
    <w:rsid w:val="7BF6745C"/>
    <w:rsid w:val="7BF85F7F"/>
    <w:rsid w:val="7BFF730D"/>
    <w:rsid w:val="7C05253D"/>
    <w:rsid w:val="7C093CE8"/>
    <w:rsid w:val="7C0D1A2A"/>
    <w:rsid w:val="7C10151B"/>
    <w:rsid w:val="7C134B67"/>
    <w:rsid w:val="7C142DB9"/>
    <w:rsid w:val="7C15268D"/>
    <w:rsid w:val="7C181D26"/>
    <w:rsid w:val="7C1C177D"/>
    <w:rsid w:val="7C2154D6"/>
    <w:rsid w:val="7C22322D"/>
    <w:rsid w:val="7C23124E"/>
    <w:rsid w:val="7C2C6A2D"/>
    <w:rsid w:val="7C2F7FF0"/>
    <w:rsid w:val="7C321491"/>
    <w:rsid w:val="7C34115F"/>
    <w:rsid w:val="7C342B51"/>
    <w:rsid w:val="7C345209"/>
    <w:rsid w:val="7C35628C"/>
    <w:rsid w:val="7C3945CD"/>
    <w:rsid w:val="7C3B3EC8"/>
    <w:rsid w:val="7C3E1BE4"/>
    <w:rsid w:val="7C3F770A"/>
    <w:rsid w:val="7C423E53"/>
    <w:rsid w:val="7C466CEA"/>
    <w:rsid w:val="7C47478B"/>
    <w:rsid w:val="7C484810"/>
    <w:rsid w:val="7C52743D"/>
    <w:rsid w:val="7C570EF7"/>
    <w:rsid w:val="7C572CA5"/>
    <w:rsid w:val="7C574A54"/>
    <w:rsid w:val="7C5A4544"/>
    <w:rsid w:val="7C6000DE"/>
    <w:rsid w:val="7C611D31"/>
    <w:rsid w:val="7C6158D2"/>
    <w:rsid w:val="7C63164A"/>
    <w:rsid w:val="7C694787"/>
    <w:rsid w:val="7C6A0C2B"/>
    <w:rsid w:val="7C6E01E7"/>
    <w:rsid w:val="7C773348"/>
    <w:rsid w:val="7C7E46D6"/>
    <w:rsid w:val="7C8021FC"/>
    <w:rsid w:val="7C817D22"/>
    <w:rsid w:val="7C835849"/>
    <w:rsid w:val="7C8617DD"/>
    <w:rsid w:val="7C8A4E29"/>
    <w:rsid w:val="7C8E41ED"/>
    <w:rsid w:val="7C923CDE"/>
    <w:rsid w:val="7C9712F4"/>
    <w:rsid w:val="7C9B5288"/>
    <w:rsid w:val="7C9C4B5C"/>
    <w:rsid w:val="7CA700F4"/>
    <w:rsid w:val="7CAB2C74"/>
    <w:rsid w:val="7CAB2FF1"/>
    <w:rsid w:val="7CB023B6"/>
    <w:rsid w:val="7CB24380"/>
    <w:rsid w:val="7CB2612E"/>
    <w:rsid w:val="7CB42860"/>
    <w:rsid w:val="7CB4468B"/>
    <w:rsid w:val="7CB529B0"/>
    <w:rsid w:val="7CB579CC"/>
    <w:rsid w:val="7CBB1A51"/>
    <w:rsid w:val="7CBC0D5A"/>
    <w:rsid w:val="7CC0084B"/>
    <w:rsid w:val="7CCA3477"/>
    <w:rsid w:val="7CD12A58"/>
    <w:rsid w:val="7CD2057E"/>
    <w:rsid w:val="7CD21EA3"/>
    <w:rsid w:val="7CD24A22"/>
    <w:rsid w:val="7CD50824"/>
    <w:rsid w:val="7CD6006E"/>
    <w:rsid w:val="7CD662C0"/>
    <w:rsid w:val="7CD804CD"/>
    <w:rsid w:val="7CDC13FD"/>
    <w:rsid w:val="7CDC31AB"/>
    <w:rsid w:val="7CDD1126"/>
    <w:rsid w:val="7CE16A13"/>
    <w:rsid w:val="7CE67773"/>
    <w:rsid w:val="7CEC7892"/>
    <w:rsid w:val="7CF76237"/>
    <w:rsid w:val="7CF77FE5"/>
    <w:rsid w:val="7D012C11"/>
    <w:rsid w:val="7D021F92"/>
    <w:rsid w:val="7D034BDB"/>
    <w:rsid w:val="7D050953"/>
    <w:rsid w:val="7D0821F2"/>
    <w:rsid w:val="7D0C7F34"/>
    <w:rsid w:val="7D0D5098"/>
    <w:rsid w:val="7D0D7808"/>
    <w:rsid w:val="7D1110A6"/>
    <w:rsid w:val="7D124E1E"/>
    <w:rsid w:val="7D133397"/>
    <w:rsid w:val="7D180687"/>
    <w:rsid w:val="7D1F7C67"/>
    <w:rsid w:val="7D212F91"/>
    <w:rsid w:val="7D221505"/>
    <w:rsid w:val="7D2232B3"/>
    <w:rsid w:val="7D2302BB"/>
    <w:rsid w:val="7D285395"/>
    <w:rsid w:val="7D2D6B0F"/>
    <w:rsid w:val="7D3251DF"/>
    <w:rsid w:val="7D360B0D"/>
    <w:rsid w:val="7D3702E5"/>
    <w:rsid w:val="7D37215D"/>
    <w:rsid w:val="7D380D29"/>
    <w:rsid w:val="7D3923AB"/>
    <w:rsid w:val="7D3B6123"/>
    <w:rsid w:val="7D3D00ED"/>
    <w:rsid w:val="7D3E3E65"/>
    <w:rsid w:val="7D40373A"/>
    <w:rsid w:val="7D4274B2"/>
    <w:rsid w:val="7D4C0330"/>
    <w:rsid w:val="7D513B99"/>
    <w:rsid w:val="7D5947FB"/>
    <w:rsid w:val="7D5C0643"/>
    <w:rsid w:val="7D603DDC"/>
    <w:rsid w:val="7D637428"/>
    <w:rsid w:val="7D6438CC"/>
    <w:rsid w:val="7D676F18"/>
    <w:rsid w:val="7D692C90"/>
    <w:rsid w:val="7D6F3CF1"/>
    <w:rsid w:val="7D711B45"/>
    <w:rsid w:val="7D761851"/>
    <w:rsid w:val="7D7B0C16"/>
    <w:rsid w:val="7D7B29C4"/>
    <w:rsid w:val="7D7F0706"/>
    <w:rsid w:val="7D7F2108"/>
    <w:rsid w:val="7D8F646F"/>
    <w:rsid w:val="7D90733C"/>
    <w:rsid w:val="7D93317A"/>
    <w:rsid w:val="7D933D6B"/>
    <w:rsid w:val="7D935F5F"/>
    <w:rsid w:val="7D937D0D"/>
    <w:rsid w:val="7D951CD7"/>
    <w:rsid w:val="7D9677FD"/>
    <w:rsid w:val="7D9E12E4"/>
    <w:rsid w:val="7DA755C3"/>
    <w:rsid w:val="7DAC7021"/>
    <w:rsid w:val="7DAE0FEB"/>
    <w:rsid w:val="7DB06B11"/>
    <w:rsid w:val="7DB5217D"/>
    <w:rsid w:val="7DBA7990"/>
    <w:rsid w:val="7DBF4FA6"/>
    <w:rsid w:val="7DC10D1E"/>
    <w:rsid w:val="7DC4436B"/>
    <w:rsid w:val="7DC46119"/>
    <w:rsid w:val="7DC600E3"/>
    <w:rsid w:val="7DC720AD"/>
    <w:rsid w:val="7DC728FC"/>
    <w:rsid w:val="7DC75C09"/>
    <w:rsid w:val="7DCA721C"/>
    <w:rsid w:val="7DCE51E9"/>
    <w:rsid w:val="7DD345AE"/>
    <w:rsid w:val="7DD50326"/>
    <w:rsid w:val="7DD65E4C"/>
    <w:rsid w:val="7DD87E16"/>
    <w:rsid w:val="7DDD3946"/>
    <w:rsid w:val="7DDD542C"/>
    <w:rsid w:val="7DDD71DA"/>
    <w:rsid w:val="7DE04732"/>
    <w:rsid w:val="7DE1767B"/>
    <w:rsid w:val="7DE62533"/>
    <w:rsid w:val="7DE642E1"/>
    <w:rsid w:val="7DE844FD"/>
    <w:rsid w:val="7DEC566F"/>
    <w:rsid w:val="7DEE3196"/>
    <w:rsid w:val="7DF033B2"/>
    <w:rsid w:val="7DF05160"/>
    <w:rsid w:val="7DF06F0E"/>
    <w:rsid w:val="7DF10ED8"/>
    <w:rsid w:val="7DF12C86"/>
    <w:rsid w:val="7DF173AE"/>
    <w:rsid w:val="7DF519A6"/>
    <w:rsid w:val="7DF84014"/>
    <w:rsid w:val="7DFD787D"/>
    <w:rsid w:val="7E024A8C"/>
    <w:rsid w:val="7E097FCF"/>
    <w:rsid w:val="7E0D3F64"/>
    <w:rsid w:val="7E1150D6"/>
    <w:rsid w:val="7E1370A0"/>
    <w:rsid w:val="7E1532BF"/>
    <w:rsid w:val="7E1A3F8B"/>
    <w:rsid w:val="7E1F3C97"/>
    <w:rsid w:val="7E1F77F3"/>
    <w:rsid w:val="7E21356B"/>
    <w:rsid w:val="7E246996"/>
    <w:rsid w:val="7E292420"/>
    <w:rsid w:val="7E301A00"/>
    <w:rsid w:val="7E355268"/>
    <w:rsid w:val="7E372D8F"/>
    <w:rsid w:val="7E3A462D"/>
    <w:rsid w:val="7E3C2153"/>
    <w:rsid w:val="7E3E236F"/>
    <w:rsid w:val="7E484F9C"/>
    <w:rsid w:val="7E4E00D8"/>
    <w:rsid w:val="7E505BFE"/>
    <w:rsid w:val="7E551467"/>
    <w:rsid w:val="7E553215"/>
    <w:rsid w:val="7E5A6A7D"/>
    <w:rsid w:val="7E6D055E"/>
    <w:rsid w:val="7E6E2E4D"/>
    <w:rsid w:val="7E7044F2"/>
    <w:rsid w:val="7E7062A0"/>
    <w:rsid w:val="7E725B75"/>
    <w:rsid w:val="7E786F03"/>
    <w:rsid w:val="7E7A235B"/>
    <w:rsid w:val="7E7A604F"/>
    <w:rsid w:val="7E7E09BD"/>
    <w:rsid w:val="7E812519"/>
    <w:rsid w:val="7E857F9E"/>
    <w:rsid w:val="7E8A55B4"/>
    <w:rsid w:val="7E8C2284"/>
    <w:rsid w:val="7E8D0C00"/>
    <w:rsid w:val="7E906943"/>
    <w:rsid w:val="7E957AB5"/>
    <w:rsid w:val="7E97382D"/>
    <w:rsid w:val="7E9A50CB"/>
    <w:rsid w:val="7E9D7B39"/>
    <w:rsid w:val="7EA601F4"/>
    <w:rsid w:val="7EA67F14"/>
    <w:rsid w:val="7EAB03F1"/>
    <w:rsid w:val="7EAD4DFF"/>
    <w:rsid w:val="7EB20667"/>
    <w:rsid w:val="7EB75C7D"/>
    <w:rsid w:val="7EBA4C74"/>
    <w:rsid w:val="7EBB576E"/>
    <w:rsid w:val="7EBE6F11"/>
    <w:rsid w:val="7EBE700C"/>
    <w:rsid w:val="7EC14D4E"/>
    <w:rsid w:val="7EC40A46"/>
    <w:rsid w:val="7EC85D6B"/>
    <w:rsid w:val="7ECB3264"/>
    <w:rsid w:val="7ECD724F"/>
    <w:rsid w:val="7ED14F91"/>
    <w:rsid w:val="7ED42BA3"/>
    <w:rsid w:val="7ED4682F"/>
    <w:rsid w:val="7ED607F9"/>
    <w:rsid w:val="7ED700CE"/>
    <w:rsid w:val="7EDE76AE"/>
    <w:rsid w:val="7EDF4CAE"/>
    <w:rsid w:val="7EE30DF1"/>
    <w:rsid w:val="7EE4674F"/>
    <w:rsid w:val="7EE527EB"/>
    <w:rsid w:val="7EEB5927"/>
    <w:rsid w:val="7EEF3669"/>
    <w:rsid w:val="7EEF71C5"/>
    <w:rsid w:val="7EF02F3D"/>
    <w:rsid w:val="7EF0556B"/>
    <w:rsid w:val="7EF24F07"/>
    <w:rsid w:val="7EF667A6"/>
    <w:rsid w:val="7EF742CC"/>
    <w:rsid w:val="7EFA4178"/>
    <w:rsid w:val="7EFB6855"/>
    <w:rsid w:val="7EFC18E2"/>
    <w:rsid w:val="7EFE565A"/>
    <w:rsid w:val="7F0569E9"/>
    <w:rsid w:val="7F062761"/>
    <w:rsid w:val="7F0864D9"/>
    <w:rsid w:val="7F0E70BA"/>
    <w:rsid w:val="7F0F3D01"/>
    <w:rsid w:val="7F1135E0"/>
    <w:rsid w:val="7F127358"/>
    <w:rsid w:val="7F141322"/>
    <w:rsid w:val="7F144737"/>
    <w:rsid w:val="7F160BF6"/>
    <w:rsid w:val="7F1629A4"/>
    <w:rsid w:val="7F17671C"/>
    <w:rsid w:val="7F1B26B0"/>
    <w:rsid w:val="7F1C3D0F"/>
    <w:rsid w:val="7F211349"/>
    <w:rsid w:val="7F2350C1"/>
    <w:rsid w:val="7F2A46A1"/>
    <w:rsid w:val="7F2A644F"/>
    <w:rsid w:val="7F2A6A9E"/>
    <w:rsid w:val="7F2D7CEE"/>
    <w:rsid w:val="7F2E23E3"/>
    <w:rsid w:val="7F2F7F0A"/>
    <w:rsid w:val="7F304FB8"/>
    <w:rsid w:val="7F335F35"/>
    <w:rsid w:val="7F340A37"/>
    <w:rsid w:val="7F392B36"/>
    <w:rsid w:val="7F3F45A5"/>
    <w:rsid w:val="7F435763"/>
    <w:rsid w:val="7F480FCB"/>
    <w:rsid w:val="7F4C286A"/>
    <w:rsid w:val="7F54171E"/>
    <w:rsid w:val="7F590AE3"/>
    <w:rsid w:val="7F5931D8"/>
    <w:rsid w:val="7F5B0CFF"/>
    <w:rsid w:val="7F5C05D3"/>
    <w:rsid w:val="7F614BA1"/>
    <w:rsid w:val="7F657AB0"/>
    <w:rsid w:val="7F6E0A32"/>
    <w:rsid w:val="7F6F47AA"/>
    <w:rsid w:val="7F710522"/>
    <w:rsid w:val="7F73429A"/>
    <w:rsid w:val="7F74591C"/>
    <w:rsid w:val="7F780C1C"/>
    <w:rsid w:val="7F7973D7"/>
    <w:rsid w:val="7F800765"/>
    <w:rsid w:val="7F833D8D"/>
    <w:rsid w:val="7F853FCE"/>
    <w:rsid w:val="7F8813C8"/>
    <w:rsid w:val="7F88415D"/>
    <w:rsid w:val="7F89711B"/>
    <w:rsid w:val="7F8C710A"/>
    <w:rsid w:val="7F8E4C30"/>
    <w:rsid w:val="7F8F09A8"/>
    <w:rsid w:val="7F8F2756"/>
    <w:rsid w:val="7F923FF5"/>
    <w:rsid w:val="7F932247"/>
    <w:rsid w:val="7F967F89"/>
    <w:rsid w:val="7F985AAF"/>
    <w:rsid w:val="7F9F6E3D"/>
    <w:rsid w:val="7FA31DB4"/>
    <w:rsid w:val="7FA458B2"/>
    <w:rsid w:val="7FA51F7A"/>
    <w:rsid w:val="7FA73F44"/>
    <w:rsid w:val="7FA93818"/>
    <w:rsid w:val="7FAE0E2E"/>
    <w:rsid w:val="7FBB354B"/>
    <w:rsid w:val="7FBD72C3"/>
    <w:rsid w:val="7FBE0C7D"/>
    <w:rsid w:val="7FBE4DEA"/>
    <w:rsid w:val="7FC00B62"/>
    <w:rsid w:val="7FC9210C"/>
    <w:rsid w:val="7FCC2A8D"/>
    <w:rsid w:val="7FCC39AA"/>
    <w:rsid w:val="7FD05443"/>
    <w:rsid w:val="7FD5285F"/>
    <w:rsid w:val="7FD73FD4"/>
    <w:rsid w:val="7FDA7E75"/>
    <w:rsid w:val="7FDC1E3F"/>
    <w:rsid w:val="7FDD34C2"/>
    <w:rsid w:val="7FE02C3C"/>
    <w:rsid w:val="7FE42AA2"/>
    <w:rsid w:val="7FE5681A"/>
    <w:rsid w:val="7FE64C05"/>
    <w:rsid w:val="7FE9630A"/>
    <w:rsid w:val="7FF4144D"/>
    <w:rsid w:val="7FF627D5"/>
    <w:rsid w:val="7FF802FC"/>
    <w:rsid w:val="7FFF5B2E"/>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7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2"/>
    <w:link w:val="8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sz w:val="24"/>
    </w:rPr>
  </w:style>
  <w:style w:type="paragraph" w:styleId="8">
    <w:name w:val="toc 7"/>
    <w:basedOn w:val="1"/>
    <w:next w:val="1"/>
    <w:qFormat/>
    <w:uiPriority w:val="39"/>
    <w:pPr>
      <w:ind w:left="2520" w:leftChars="1200"/>
    </w:pPr>
  </w:style>
  <w:style w:type="paragraph" w:styleId="9">
    <w:name w:val="Document Map"/>
    <w:basedOn w:val="1"/>
    <w:link w:val="74"/>
    <w:qFormat/>
    <w:uiPriority w:val="0"/>
    <w:rPr>
      <w:rFonts w:ascii="宋体"/>
      <w:sz w:val="18"/>
      <w:szCs w:val="18"/>
    </w:rPr>
  </w:style>
  <w:style w:type="paragraph" w:styleId="10">
    <w:name w:val="annotation text"/>
    <w:basedOn w:val="1"/>
    <w:link w:val="80"/>
    <w:qFormat/>
    <w:uiPriority w:val="99"/>
    <w:pPr>
      <w:jc w:val="left"/>
    </w:pPr>
  </w:style>
  <w:style w:type="paragraph" w:styleId="11">
    <w:name w:val="Body Text"/>
    <w:basedOn w:val="1"/>
    <w:next w:val="1"/>
    <w:link w:val="79"/>
    <w:qFormat/>
    <w:uiPriority w:val="0"/>
    <w:pPr>
      <w:tabs>
        <w:tab w:val="left" w:pos="567"/>
      </w:tabs>
      <w:spacing w:before="120" w:line="22" w:lineRule="atLeast"/>
    </w:pPr>
    <w:rPr>
      <w:rFonts w:ascii="宋体" w:hAnsi="宋体"/>
      <w:sz w:val="24"/>
    </w:rPr>
  </w:style>
  <w:style w:type="paragraph" w:styleId="12">
    <w:name w:val="Body Text Indent"/>
    <w:basedOn w:val="1"/>
    <w:next w:val="7"/>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8"/>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5"/>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71"/>
    <w:qFormat/>
    <w:uiPriority w:val="0"/>
    <w:rPr>
      <w:sz w:val="18"/>
      <w:szCs w:val="18"/>
    </w:rPr>
  </w:style>
  <w:style w:type="paragraph" w:styleId="21">
    <w:name w:val="footer"/>
    <w:basedOn w:val="1"/>
    <w:link w:val="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next w:val="1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unhideWhenUsed/>
    <w:qFormat/>
    <w:uiPriority w:val="99"/>
    <w:pPr>
      <w:spacing w:before="75" w:after="75"/>
      <w:jc w:val="left"/>
    </w:pPr>
    <w:rPr>
      <w:kern w:val="0"/>
      <w:sz w:val="24"/>
    </w:rPr>
  </w:style>
  <w:style w:type="paragraph" w:styleId="31">
    <w:name w:val="index 1"/>
    <w:basedOn w:val="1"/>
    <w:next w:val="1"/>
    <w:semiHidden/>
    <w:qFormat/>
    <w:uiPriority w:val="0"/>
    <w:rPr>
      <w:szCs w:val="20"/>
    </w:rPr>
  </w:style>
  <w:style w:type="paragraph" w:styleId="32">
    <w:name w:val="annotation subject"/>
    <w:basedOn w:val="10"/>
    <w:next w:val="10"/>
    <w:link w:val="81"/>
    <w:qFormat/>
    <w:uiPriority w:val="0"/>
    <w:rPr>
      <w:b/>
      <w:bCs/>
    </w:rPr>
  </w:style>
  <w:style w:type="paragraph" w:styleId="33">
    <w:name w:val="Body Text First Indent"/>
    <w:basedOn w:val="11"/>
    <w:qFormat/>
    <w:uiPriority w:val="0"/>
    <w:pPr>
      <w:ind w:firstLine="420" w:firstLineChars="100"/>
    </w:pPr>
  </w:style>
  <w:style w:type="paragraph" w:styleId="34">
    <w:name w:val="Body Text First Indent 2"/>
    <w:basedOn w:val="12"/>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basedOn w:val="37"/>
    <w:qFormat/>
    <w:uiPriority w:val="0"/>
    <w:rPr>
      <w:color w:val="333333"/>
      <w:u w:val="none"/>
    </w:rPr>
  </w:style>
  <w:style w:type="character" w:styleId="41">
    <w:name w:val="Hyperlink"/>
    <w:basedOn w:val="37"/>
    <w:qFormat/>
    <w:uiPriority w:val="99"/>
    <w:rPr>
      <w:color w:val="333333"/>
      <w:u w:val="none"/>
    </w:rPr>
  </w:style>
  <w:style w:type="character" w:styleId="42">
    <w:name w:val="annotation reference"/>
    <w:qFormat/>
    <w:uiPriority w:val="99"/>
    <w:rPr>
      <w:sz w:val="21"/>
      <w:szCs w:val="21"/>
    </w:rPr>
  </w:style>
  <w:style w:type="paragraph" w:customStyle="1" w:styleId="43">
    <w:name w:val="样式 首行缩进:  2 字符"/>
    <w:basedOn w:val="1"/>
    <w:qFormat/>
    <w:uiPriority w:val="99"/>
    <w:pPr>
      <w:ind w:firstLine="560"/>
    </w:pPr>
    <w:rPr>
      <w:szCs w:val="21"/>
    </w:rPr>
  </w:style>
  <w:style w:type="paragraph" w:customStyle="1" w:styleId="44">
    <w:name w:val="正文1"/>
    <w:qFormat/>
    <w:uiPriority w:val="0"/>
    <w:pPr>
      <w:jc w:val="both"/>
    </w:pPr>
    <w:rPr>
      <w:rFonts w:ascii="Calibri" w:hAnsi="Calibri" w:eastAsia="宋体" w:cs="宋体"/>
      <w:kern w:val="2"/>
      <w:sz w:val="21"/>
      <w:szCs w:val="21"/>
      <w:lang w:val="en-US" w:eastAsia="zh-CN" w:bidi="ar-SA"/>
    </w:rPr>
  </w:style>
  <w:style w:type="paragraph" w:customStyle="1" w:styleId="45">
    <w:name w:val="表格文字"/>
    <w:basedOn w:val="1"/>
    <w:qFormat/>
    <w:uiPriority w:val="0"/>
    <w:pPr>
      <w:spacing w:before="25" w:after="25"/>
      <w:jc w:val="left"/>
    </w:pPr>
    <w:rPr>
      <w:bCs/>
      <w:spacing w:val="10"/>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列出段落1"/>
    <w:basedOn w:val="1"/>
    <w:qFormat/>
    <w:uiPriority w:val="34"/>
    <w:pPr>
      <w:widowControl/>
      <w:ind w:firstLine="420" w:firstLineChars="200"/>
      <w:jc w:val="left"/>
    </w:pPr>
    <w:rPr>
      <w:kern w:val="0"/>
      <w:sz w:val="24"/>
    </w:rPr>
  </w:style>
  <w:style w:type="paragraph" w:customStyle="1" w:styleId="48">
    <w:name w:val="列出段落11"/>
    <w:basedOn w:val="1"/>
    <w:next w:val="47"/>
    <w:qFormat/>
    <w:uiPriority w:val="34"/>
    <w:pPr>
      <w:widowControl/>
      <w:ind w:firstLine="420" w:firstLineChars="200"/>
      <w:jc w:val="left"/>
    </w:pPr>
    <w:rPr>
      <w:rFonts w:ascii="宋体" w:hAnsi="宋体" w:cs="宋体"/>
      <w:kern w:val="0"/>
      <w:sz w:val="24"/>
    </w:rPr>
  </w:style>
  <w:style w:type="paragraph" w:customStyle="1" w:styleId="49">
    <w:name w:val="List Paragraph1"/>
    <w:basedOn w:val="1"/>
    <w:qFormat/>
    <w:uiPriority w:val="34"/>
    <w:pPr>
      <w:ind w:firstLine="420" w:firstLineChars="200"/>
    </w:pPr>
  </w:style>
  <w:style w:type="paragraph" w:customStyle="1" w:styleId="50">
    <w:name w:val="Table Paragraph"/>
    <w:basedOn w:val="1"/>
    <w:qFormat/>
    <w:uiPriority w:val="1"/>
    <w:pPr>
      <w:widowControl/>
      <w:jc w:val="left"/>
    </w:pPr>
    <w:rPr>
      <w:rFonts w:ascii="宋体" w:hAnsi="宋体" w:cs="宋体"/>
      <w:kern w:val="0"/>
      <w:szCs w:val="20"/>
      <w:lang w:val="zh-CN" w:bidi="zh-CN"/>
    </w:rPr>
  </w:style>
  <w:style w:type="paragraph" w:customStyle="1" w:styleId="51">
    <w:name w:val="p0"/>
    <w:basedOn w:val="1"/>
    <w:qFormat/>
    <w:uiPriority w:val="0"/>
    <w:pPr>
      <w:widowControl/>
    </w:pPr>
    <w:rPr>
      <w:kern w:val="0"/>
      <w:szCs w:val="21"/>
    </w:rPr>
  </w:style>
  <w:style w:type="paragraph" w:customStyle="1" w:styleId="52">
    <w:name w:val="图例"/>
    <w:basedOn w:val="1"/>
    <w:qFormat/>
    <w:uiPriority w:val="0"/>
    <w:pPr>
      <w:spacing w:before="120" w:after="120" w:line="360" w:lineRule="auto"/>
      <w:jc w:val="center"/>
    </w:pPr>
    <w:rPr>
      <w:rFonts w:eastAsia="仿宋_GB2312"/>
      <w:b/>
      <w:sz w:val="24"/>
    </w:rPr>
  </w:style>
  <w:style w:type="paragraph" w:customStyle="1" w:styleId="5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正文段"/>
    <w:basedOn w:val="1"/>
    <w:qFormat/>
    <w:uiPriority w:val="0"/>
    <w:pPr>
      <w:widowControl/>
      <w:snapToGrid w:val="0"/>
      <w:spacing w:afterLines="50"/>
      <w:ind w:firstLine="200" w:firstLineChars="200"/>
    </w:pPr>
    <w:rPr>
      <w:kern w:val="0"/>
      <w:sz w:val="24"/>
    </w:rPr>
  </w:style>
  <w:style w:type="paragraph" w:customStyle="1" w:styleId="55">
    <w:name w:val="首行缩进"/>
    <w:basedOn w:val="1"/>
    <w:qFormat/>
    <w:uiPriority w:val="0"/>
    <w:pPr>
      <w:ind w:firstLine="480" w:firstLineChars="200"/>
    </w:pPr>
    <w:rPr>
      <w:lang w:val="zh-CN"/>
    </w:rPr>
  </w:style>
  <w:style w:type="paragraph" w:customStyle="1" w:styleId="56">
    <w:name w:val="纯文本1"/>
    <w:basedOn w:val="1"/>
    <w:link w:val="72"/>
    <w:qFormat/>
    <w:uiPriority w:val="0"/>
    <w:rPr>
      <w:rFonts w:ascii="宋体" w:hAnsi="Courier New"/>
      <w:kern w:val="0"/>
      <w:sz w:val="20"/>
      <w:szCs w:val="20"/>
    </w:rPr>
  </w:style>
  <w:style w:type="paragraph" w:customStyle="1" w:styleId="57">
    <w:name w:val="Char"/>
    <w:basedOn w:val="1"/>
    <w:qFormat/>
    <w:uiPriority w:val="0"/>
    <w:pPr>
      <w:tabs>
        <w:tab w:val="left" w:pos="360"/>
      </w:tabs>
    </w:pPr>
    <w:rPr>
      <w:sz w:val="24"/>
    </w:rPr>
  </w:style>
  <w:style w:type="paragraph" w:customStyle="1" w:styleId="58">
    <w:name w:val="正文缩进1"/>
    <w:basedOn w:val="1"/>
    <w:link w:val="61"/>
    <w:qFormat/>
    <w:uiPriority w:val="0"/>
    <w:pPr>
      <w:autoSpaceDE w:val="0"/>
      <w:autoSpaceDN w:val="0"/>
      <w:adjustRightInd w:val="0"/>
      <w:ind w:firstLine="420"/>
      <w:jc w:val="left"/>
    </w:pPr>
    <w:rPr>
      <w:rFonts w:ascii="宋体"/>
      <w:kern w:val="0"/>
      <w:sz w:val="24"/>
      <w:szCs w:val="20"/>
    </w:rPr>
  </w:style>
  <w:style w:type="paragraph" w:customStyle="1" w:styleId="5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60">
    <w:name w:val="font91"/>
    <w:basedOn w:val="37"/>
    <w:qFormat/>
    <w:uiPriority w:val="0"/>
    <w:rPr>
      <w:rFonts w:hint="eastAsia" w:ascii="宋体" w:hAnsi="宋体" w:eastAsia="宋体" w:cs="宋体"/>
      <w:color w:val="000000"/>
      <w:sz w:val="20"/>
      <w:szCs w:val="20"/>
      <w:u w:val="none"/>
      <w:vertAlign w:val="subscript"/>
    </w:rPr>
  </w:style>
  <w:style w:type="character" w:customStyle="1" w:styleId="61">
    <w:name w:val="正文缩进 Char1"/>
    <w:link w:val="58"/>
    <w:qFormat/>
    <w:uiPriority w:val="0"/>
    <w:rPr>
      <w:rFonts w:ascii="宋体"/>
      <w:sz w:val="24"/>
    </w:rPr>
  </w:style>
  <w:style w:type="character" w:customStyle="1" w:styleId="62">
    <w:name w:val="批注主题 Char1"/>
    <w:semiHidden/>
    <w:qFormat/>
    <w:uiPriority w:val="99"/>
    <w:rPr>
      <w:b/>
      <w:bCs/>
      <w:kern w:val="2"/>
      <w:sz w:val="21"/>
      <w:szCs w:val="24"/>
    </w:rPr>
  </w:style>
  <w:style w:type="character" w:customStyle="1" w:styleId="63">
    <w:name w:val="font31"/>
    <w:basedOn w:val="37"/>
    <w:qFormat/>
    <w:uiPriority w:val="0"/>
    <w:rPr>
      <w:rFonts w:hint="eastAsia" w:ascii="宋体" w:hAnsi="宋体" w:eastAsia="宋体" w:cs="宋体"/>
      <w:color w:val="404040"/>
      <w:sz w:val="20"/>
      <w:szCs w:val="20"/>
      <w:u w:val="none"/>
    </w:rPr>
  </w:style>
  <w:style w:type="character" w:customStyle="1" w:styleId="64">
    <w:name w:val="font61"/>
    <w:basedOn w:val="37"/>
    <w:qFormat/>
    <w:uiPriority w:val="0"/>
    <w:rPr>
      <w:rFonts w:hint="eastAsia" w:ascii="宋体" w:hAnsi="宋体" w:eastAsia="宋体" w:cs="宋体"/>
      <w:color w:val="333333"/>
      <w:sz w:val="20"/>
      <w:szCs w:val="20"/>
      <w:u w:val="none"/>
    </w:rPr>
  </w:style>
  <w:style w:type="character" w:customStyle="1" w:styleId="65">
    <w:name w:val="页眉 Char"/>
    <w:link w:val="22"/>
    <w:qFormat/>
    <w:uiPriority w:val="99"/>
    <w:rPr>
      <w:kern w:val="2"/>
      <w:sz w:val="18"/>
      <w:szCs w:val="18"/>
    </w:rPr>
  </w:style>
  <w:style w:type="character" w:customStyle="1" w:styleId="66">
    <w:name w:val="批注文字 Char1"/>
    <w:semiHidden/>
    <w:qFormat/>
    <w:uiPriority w:val="99"/>
    <w:rPr>
      <w:kern w:val="2"/>
      <w:sz w:val="21"/>
      <w:szCs w:val="24"/>
    </w:rPr>
  </w:style>
  <w:style w:type="character" w:customStyle="1" w:styleId="67">
    <w:name w:val="font41"/>
    <w:basedOn w:val="37"/>
    <w:qFormat/>
    <w:uiPriority w:val="0"/>
    <w:rPr>
      <w:rFonts w:hint="eastAsia" w:ascii="宋体" w:hAnsi="宋体" w:eastAsia="宋体" w:cs="宋体"/>
      <w:color w:val="000000"/>
      <w:sz w:val="20"/>
      <w:szCs w:val="20"/>
      <w:u w:val="none"/>
    </w:rPr>
  </w:style>
  <w:style w:type="character" w:customStyle="1" w:styleId="68">
    <w:name w:val="页脚 Char"/>
    <w:link w:val="21"/>
    <w:qFormat/>
    <w:uiPriority w:val="99"/>
    <w:rPr>
      <w:rFonts w:ascii="宋体"/>
      <w:sz w:val="18"/>
    </w:rPr>
  </w:style>
  <w:style w:type="character" w:customStyle="1" w:styleId="69">
    <w:name w:val="font101"/>
    <w:basedOn w:val="37"/>
    <w:qFormat/>
    <w:uiPriority w:val="0"/>
    <w:rPr>
      <w:rFonts w:hint="eastAsia" w:ascii="宋体" w:hAnsi="宋体" w:eastAsia="宋体" w:cs="宋体"/>
      <w:color w:val="000000"/>
      <w:sz w:val="20"/>
      <w:szCs w:val="20"/>
      <w:u w:val="none"/>
    </w:rPr>
  </w:style>
  <w:style w:type="character" w:customStyle="1" w:styleId="70">
    <w:name w:val="标题 2 Char"/>
    <w:link w:val="5"/>
    <w:qFormat/>
    <w:uiPriority w:val="0"/>
    <w:rPr>
      <w:rFonts w:ascii="Arial" w:hAnsi="Arial" w:eastAsia="黑体"/>
      <w:b/>
      <w:sz w:val="30"/>
    </w:rPr>
  </w:style>
  <w:style w:type="character" w:customStyle="1" w:styleId="71">
    <w:name w:val="批注框文本 Char"/>
    <w:link w:val="20"/>
    <w:qFormat/>
    <w:uiPriority w:val="0"/>
    <w:rPr>
      <w:kern w:val="2"/>
      <w:sz w:val="18"/>
      <w:szCs w:val="18"/>
    </w:rPr>
  </w:style>
  <w:style w:type="character" w:customStyle="1" w:styleId="72">
    <w:name w:val="纯文本 Char1"/>
    <w:link w:val="56"/>
    <w:qFormat/>
    <w:uiPriority w:val="0"/>
    <w:rPr>
      <w:rFonts w:ascii="宋体" w:hAnsi="Courier New"/>
    </w:rPr>
  </w:style>
  <w:style w:type="character" w:customStyle="1" w:styleId="73">
    <w:name w:val="font81"/>
    <w:basedOn w:val="37"/>
    <w:qFormat/>
    <w:uiPriority w:val="0"/>
    <w:rPr>
      <w:rFonts w:hint="eastAsia" w:ascii="宋体" w:hAnsi="宋体" w:eastAsia="宋体" w:cs="宋体"/>
      <w:color w:val="404040"/>
      <w:sz w:val="20"/>
      <w:szCs w:val="20"/>
      <w:u w:val="none"/>
    </w:rPr>
  </w:style>
  <w:style w:type="character" w:customStyle="1" w:styleId="74">
    <w:name w:val="文档结构图 Char"/>
    <w:basedOn w:val="37"/>
    <w:link w:val="9"/>
    <w:qFormat/>
    <w:uiPriority w:val="0"/>
    <w:rPr>
      <w:rFonts w:ascii="宋体"/>
      <w:kern w:val="2"/>
      <w:sz w:val="18"/>
      <w:szCs w:val="18"/>
    </w:rPr>
  </w:style>
  <w:style w:type="character" w:customStyle="1" w:styleId="75">
    <w:name w:val="日期 Char"/>
    <w:link w:val="18"/>
    <w:qFormat/>
    <w:uiPriority w:val="0"/>
    <w:rPr>
      <w:rFonts w:ascii="仿宋_GB2312" w:hAnsi="宋体" w:eastAsia="仿宋_GB2312"/>
      <w:color w:val="000000"/>
      <w:kern w:val="2"/>
      <w:sz w:val="24"/>
      <w:szCs w:val="24"/>
    </w:rPr>
  </w:style>
  <w:style w:type="character" w:customStyle="1" w:styleId="76">
    <w:name w:val="页眉 Char1"/>
    <w:semiHidden/>
    <w:qFormat/>
    <w:uiPriority w:val="99"/>
    <w:rPr>
      <w:kern w:val="2"/>
      <w:sz w:val="18"/>
      <w:szCs w:val="18"/>
    </w:rPr>
  </w:style>
  <w:style w:type="character" w:customStyle="1" w:styleId="77">
    <w:name w:val="批注框文本 Char1"/>
    <w:semiHidden/>
    <w:qFormat/>
    <w:uiPriority w:val="99"/>
    <w:rPr>
      <w:kern w:val="2"/>
      <w:sz w:val="18"/>
      <w:szCs w:val="18"/>
    </w:rPr>
  </w:style>
  <w:style w:type="character" w:customStyle="1" w:styleId="78">
    <w:name w:val="纯文本 Char"/>
    <w:link w:val="16"/>
    <w:qFormat/>
    <w:uiPriority w:val="0"/>
    <w:rPr>
      <w:rFonts w:ascii="宋体" w:hAnsi="Courier New"/>
      <w:kern w:val="2"/>
      <w:sz w:val="21"/>
    </w:rPr>
  </w:style>
  <w:style w:type="character" w:customStyle="1" w:styleId="79">
    <w:name w:val="正文文本 Char"/>
    <w:link w:val="11"/>
    <w:qFormat/>
    <w:uiPriority w:val="0"/>
    <w:rPr>
      <w:rFonts w:ascii="宋体" w:hAnsi="宋体"/>
      <w:kern w:val="2"/>
      <w:sz w:val="24"/>
      <w:szCs w:val="24"/>
    </w:rPr>
  </w:style>
  <w:style w:type="character" w:customStyle="1" w:styleId="80">
    <w:name w:val="批注文字 Char"/>
    <w:link w:val="10"/>
    <w:qFormat/>
    <w:uiPriority w:val="99"/>
    <w:rPr>
      <w:kern w:val="2"/>
      <w:sz w:val="21"/>
      <w:szCs w:val="24"/>
    </w:rPr>
  </w:style>
  <w:style w:type="character" w:customStyle="1" w:styleId="81">
    <w:name w:val="批注主题 Char"/>
    <w:link w:val="32"/>
    <w:qFormat/>
    <w:uiPriority w:val="0"/>
    <w:rPr>
      <w:b/>
      <w:bCs/>
      <w:kern w:val="2"/>
      <w:sz w:val="21"/>
      <w:szCs w:val="24"/>
    </w:rPr>
  </w:style>
  <w:style w:type="character" w:customStyle="1" w:styleId="82">
    <w:name w:val="标题 3 Char"/>
    <w:link w:val="6"/>
    <w:qFormat/>
    <w:uiPriority w:val="0"/>
    <w:rPr>
      <w:rFonts w:ascii="宋体"/>
      <w:b/>
      <w:sz w:val="24"/>
      <w:u w:val="single"/>
    </w:rPr>
  </w:style>
  <w:style w:type="character" w:customStyle="1" w:styleId="83">
    <w:name w:val="标题 1 Char"/>
    <w:link w:val="4"/>
    <w:qFormat/>
    <w:uiPriority w:val="0"/>
    <w:rPr>
      <w:rFonts w:ascii="宋体"/>
      <w:b/>
      <w:kern w:val="44"/>
      <w:sz w:val="32"/>
    </w:rPr>
  </w:style>
  <w:style w:type="paragraph" w:styleId="84">
    <w:name w:val="List Paragraph"/>
    <w:basedOn w:val="1"/>
    <w:qFormat/>
    <w:uiPriority w:val="34"/>
    <w:pPr>
      <w:ind w:firstLine="420" w:firstLineChars="200"/>
    </w:pPr>
    <w:rPr>
      <w:rFonts w:ascii="Calibri" w:hAnsi="Calibri"/>
      <w:szCs w:val="22"/>
    </w:rPr>
  </w:style>
  <w:style w:type="paragraph" w:customStyle="1" w:styleId="85">
    <w:name w:val="样式 正文（首行缩进两字） + 首行缩进:  2 字符2"/>
    <w:basedOn w:val="2"/>
    <w:qFormat/>
    <w:uiPriority w:val="0"/>
    <w:pPr>
      <w:spacing w:line="360" w:lineRule="auto"/>
      <w:ind w:firstLine="0"/>
      <w:textAlignment w:val="baseline"/>
    </w:pPr>
    <w:rPr>
      <w:rFonts w:hAnsi="宋体" w:eastAsia="楷体_GB2312" w:cs="宋体"/>
      <w:bCs/>
      <w:kern w:val="2"/>
      <w:sz w:val="21"/>
      <w:szCs w:val="21"/>
    </w:rPr>
  </w:style>
  <w:style w:type="paragraph" w:customStyle="1" w:styleId="86">
    <w:name w:val="PlainText"/>
    <w:basedOn w:val="1"/>
    <w:qFormat/>
    <w:uiPriority w:val="0"/>
    <w:pPr>
      <w:textAlignment w:val="baseline"/>
    </w:pPr>
    <w:rPr>
      <w:rFonts w:ascii="宋体" w:hAnsi="Courier New"/>
      <w:szCs w:val="20"/>
    </w:rPr>
  </w:style>
  <w:style w:type="character" w:customStyle="1" w:styleId="87">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88">
    <w:name w:val="fontstyle01"/>
    <w:qFormat/>
    <w:uiPriority w:val="0"/>
    <w:rPr>
      <w:rFonts w:hint="eastAsia" w:ascii="宋体" w:hAnsi="宋体" w:eastAsia="宋体"/>
      <w:color w:val="000000"/>
      <w:sz w:val="22"/>
      <w:szCs w:val="22"/>
    </w:rPr>
  </w:style>
  <w:style w:type="paragraph" w:customStyle="1" w:styleId="89">
    <w:name w:val="正文_3"/>
    <w:basedOn w:val="90"/>
    <w:qFormat/>
    <w:uiPriority w:val="0"/>
    <w:rPr>
      <w:rFonts w:ascii="Calibri" w:hAnsi="Calibri"/>
      <w:szCs w:val="22"/>
    </w:rPr>
  </w:style>
  <w:style w:type="paragraph" w:customStyle="1" w:styleId="90">
    <w:name w:val="正文_0"/>
    <w:next w:val="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s"/>
    <w:basedOn w:val="37"/>
    <w:qFormat/>
    <w:uiPriority w:val="0"/>
  </w:style>
  <w:style w:type="paragraph" w:customStyle="1" w:styleId="9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93">
    <w:name w:val="p"/>
    <w:basedOn w:val="1"/>
    <w:qFormat/>
    <w:uiPriority w:val="0"/>
    <w:pPr>
      <w:spacing w:line="525" w:lineRule="atLeast"/>
      <w:ind w:firstLine="375"/>
    </w:pPr>
  </w:style>
  <w:style w:type="table" w:customStyle="1" w:styleId="94">
    <w:name w:val="Table Normal"/>
    <w:unhideWhenUsed/>
    <w:qFormat/>
    <w:uiPriority w:val="0"/>
    <w:tblPr>
      <w:tblCellMar>
        <w:top w:w="0" w:type="dxa"/>
        <w:left w:w="0" w:type="dxa"/>
        <w:bottom w:w="0" w:type="dxa"/>
        <w:right w:w="0" w:type="dxa"/>
      </w:tblCellMar>
    </w:tblPr>
  </w:style>
  <w:style w:type="paragraph" w:customStyle="1" w:styleId="95">
    <w:name w:val="WPS Plain"/>
    <w:basedOn w:val="1"/>
    <w:qFormat/>
    <w:uiPriority w:val="0"/>
    <w:pPr>
      <w:widowControl/>
      <w:adjustRightInd/>
      <w:spacing w:line="240" w:lineRule="auto"/>
      <w:jc w:val="left"/>
      <w:textAlignment w:val="auto"/>
    </w:pPr>
    <w:rPr>
      <w:rFonts w:ascii="Times New Roman" w:hAnsi="Times New Roman" w:eastAsia="宋体" w:cs="Times New Roman"/>
      <w:sz w:val="24"/>
      <w:szCs w:val="24"/>
    </w:rPr>
  </w:style>
  <w:style w:type="paragraph" w:customStyle="1" w:styleId="96">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A404C-10E1-44E6-BAFB-7A8CAECE1F10}">
  <ds:schemaRefs/>
</ds:datastoreItem>
</file>

<file path=docProps/app.xml><?xml version="1.0" encoding="utf-8"?>
<Properties xmlns="http://schemas.openxmlformats.org/officeDocument/2006/extended-properties" xmlns:vt="http://schemas.openxmlformats.org/officeDocument/2006/docPropsVTypes">
  <Template>Normal</Template>
  <Pages>64</Pages>
  <Words>34577</Words>
  <Characters>37216</Characters>
  <Lines>326</Lines>
  <Paragraphs>91</Paragraphs>
  <TotalTime>1</TotalTime>
  <ScaleCrop>false</ScaleCrop>
  <LinksUpToDate>false</LinksUpToDate>
  <CharactersWithSpaces>42349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Administrator</cp:lastModifiedBy>
  <cp:lastPrinted>2023-02-20T03:41:00Z</cp:lastPrinted>
  <dcterms:modified xsi:type="dcterms:W3CDTF">2023-11-22T03:20:02Z</dcterms:modified>
  <dc:title>02年杜范本稿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2F36F13C4B8C4E92A1343862E798D3E0_13</vt:lpwstr>
  </property>
</Properties>
</file>