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48"/>
          <w:szCs w:val="48"/>
          <w:highlight w:val="none"/>
        </w:rPr>
      </w:pPr>
    </w:p>
    <w:p>
      <w:pPr>
        <w:jc w:val="center"/>
        <w:outlineLvl w:val="0"/>
        <w:rPr>
          <w:rFonts w:hint="eastAsia" w:ascii="宋体" w:hAnsi="宋体" w:cs="宋体"/>
          <w:b/>
          <w:color w:val="auto"/>
          <w:sz w:val="48"/>
          <w:szCs w:val="48"/>
          <w:highlight w:val="none"/>
        </w:rPr>
      </w:pPr>
    </w:p>
    <w:p>
      <w:pPr>
        <w:jc w:val="center"/>
        <w:outlineLvl w:val="0"/>
        <w:rPr>
          <w:rFonts w:hint="eastAsia" w:ascii="宋体" w:hAnsi="宋体" w:eastAsia="宋体" w:cs="宋体"/>
          <w:b/>
          <w:color w:val="auto"/>
          <w:sz w:val="52"/>
          <w:szCs w:val="52"/>
          <w:highlight w:val="none"/>
          <w:lang w:eastAsia="zh-CN"/>
        </w:rPr>
      </w:pPr>
      <w:r>
        <w:rPr>
          <w:rFonts w:hint="eastAsia" w:ascii="宋体" w:hAnsi="宋体" w:cs="宋体"/>
          <w:b/>
          <w:color w:val="auto"/>
          <w:sz w:val="40"/>
          <w:szCs w:val="40"/>
          <w:highlight w:val="none"/>
          <w:lang w:eastAsia="zh-CN"/>
        </w:rPr>
        <w:t>自治区人社厅信息安全测试及源代码安全审计服务项目</w:t>
      </w:r>
    </w:p>
    <w:p>
      <w:pPr>
        <w:jc w:val="center"/>
        <w:outlineLvl w:val="0"/>
        <w:rPr>
          <w:rFonts w:hint="eastAsia" w:ascii="宋体" w:hAnsi="宋体" w:cs="宋体"/>
          <w:b/>
          <w:color w:val="auto"/>
          <w:sz w:val="72"/>
          <w:szCs w:val="72"/>
          <w:highlight w:val="none"/>
        </w:rPr>
      </w:pPr>
    </w:p>
    <w:p>
      <w:pPr>
        <w:jc w:val="center"/>
        <w:outlineLvl w:val="0"/>
        <w:rPr>
          <w:rFonts w:hint="eastAsia" w:ascii="宋体" w:hAnsi="宋体" w:cs="宋体"/>
          <w:b/>
          <w:color w:val="auto"/>
          <w:sz w:val="72"/>
          <w:szCs w:val="72"/>
          <w:highlight w:val="none"/>
        </w:rPr>
      </w:pPr>
    </w:p>
    <w:p>
      <w:pPr>
        <w:jc w:val="center"/>
        <w:rPr>
          <w:rFonts w:hint="eastAsia" w:ascii="宋体" w:hAnsi="宋体" w:cs="宋体"/>
          <w:b/>
          <w:color w:val="auto"/>
          <w:sz w:val="56"/>
          <w:szCs w:val="56"/>
          <w:highlight w:val="none"/>
        </w:rPr>
      </w:pPr>
      <w:r>
        <w:rPr>
          <w:rFonts w:hint="eastAsia" w:ascii="宋体" w:hAnsi="宋体" w:cs="宋体"/>
          <w:b/>
          <w:color w:val="auto"/>
          <w:sz w:val="56"/>
          <w:szCs w:val="56"/>
          <w:highlight w:val="none"/>
        </w:rPr>
        <w:t>竞争性磋商文件</w:t>
      </w:r>
    </w:p>
    <w:p>
      <w:pPr>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rPr>
        <w:t>项目编号:</w:t>
      </w:r>
      <w:r>
        <w:rPr>
          <w:rFonts w:hint="eastAsia" w:ascii="宋体" w:hAnsi="宋体" w:cs="宋体"/>
          <w:b/>
          <w:color w:val="auto"/>
          <w:sz w:val="40"/>
          <w:szCs w:val="40"/>
          <w:highlight w:val="none"/>
          <w:lang w:eastAsia="zh-CN"/>
        </w:rPr>
        <w:t>XSY-2023-Z-113</w:t>
      </w:r>
    </w:p>
    <w:p>
      <w:pPr>
        <w:pStyle w:val="144"/>
        <w:spacing w:line="440" w:lineRule="exact"/>
        <w:jc w:val="center"/>
        <w:rPr>
          <w:rFonts w:hint="eastAsia" w:ascii="宋体" w:hAnsi="宋体" w:cs="宋体"/>
          <w:b/>
          <w:color w:val="auto"/>
          <w:spacing w:val="14"/>
          <w:kern w:val="2"/>
          <w:sz w:val="32"/>
          <w:szCs w:val="32"/>
          <w:highlight w:val="none"/>
        </w:rPr>
      </w:pPr>
      <w:r>
        <w:rPr>
          <w:rFonts w:hint="eastAsia" w:ascii="宋体" w:hAnsi="宋体" w:cs="宋体"/>
          <w:b/>
          <w:color w:val="auto"/>
          <w:spacing w:val="14"/>
          <w:kern w:val="2"/>
          <w:sz w:val="32"/>
          <w:szCs w:val="32"/>
          <w:highlight w:val="none"/>
        </w:rPr>
        <w:t xml:space="preserve">  </w:t>
      </w: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center"/>
        <w:rPr>
          <w:rFonts w:hint="eastAsia" w:ascii="宋体" w:hAnsi="宋体" w:cs="宋体"/>
          <w:b/>
          <w:color w:val="auto"/>
          <w:spacing w:val="14"/>
          <w:kern w:val="2"/>
          <w:sz w:val="32"/>
          <w:szCs w:val="32"/>
          <w:highlight w:val="none"/>
        </w:rPr>
      </w:pPr>
    </w:p>
    <w:p>
      <w:pPr>
        <w:pStyle w:val="144"/>
        <w:spacing w:line="440" w:lineRule="exact"/>
        <w:jc w:val="both"/>
        <w:rPr>
          <w:rFonts w:hint="eastAsia" w:ascii="宋体" w:hAnsi="宋体" w:cs="宋体"/>
          <w:b/>
          <w:color w:val="auto"/>
          <w:spacing w:val="14"/>
          <w:kern w:val="2"/>
          <w:sz w:val="32"/>
          <w:szCs w:val="32"/>
          <w:highlight w:val="none"/>
        </w:rPr>
      </w:pPr>
    </w:p>
    <w:p>
      <w:pPr>
        <w:ind w:firstLine="1606" w:firstLineChars="5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 ：</w:t>
      </w:r>
      <w:r>
        <w:rPr>
          <w:rFonts w:hint="eastAsia" w:ascii="宋体" w:hAnsi="宋体" w:cs="宋体"/>
          <w:b/>
          <w:color w:val="auto"/>
          <w:sz w:val="32"/>
          <w:szCs w:val="32"/>
          <w:highlight w:val="none"/>
          <w:lang w:eastAsia="zh-CN"/>
        </w:rPr>
        <w:t>新疆维吾尔自治区人力资源社会保障厅</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采购代理机构：新疆星圣源工程项目管理有限公司</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二〇二三年</w:t>
      </w:r>
      <w:r>
        <w:rPr>
          <w:rFonts w:hint="eastAsia" w:ascii="宋体" w:hAnsi="宋体" w:cs="宋体"/>
          <w:b/>
          <w:color w:val="auto"/>
          <w:sz w:val="32"/>
          <w:szCs w:val="32"/>
          <w:highlight w:val="none"/>
          <w:lang w:val="en-US" w:eastAsia="zh-CN"/>
        </w:rPr>
        <w:t>十一</w:t>
      </w:r>
      <w:r>
        <w:rPr>
          <w:rFonts w:hint="eastAsia" w:ascii="宋体" w:hAnsi="宋体" w:cs="宋体"/>
          <w:b/>
          <w:color w:val="auto"/>
          <w:sz w:val="32"/>
          <w:szCs w:val="32"/>
          <w:highlight w:val="none"/>
        </w:rPr>
        <w:t>月</w:t>
      </w:r>
    </w:p>
    <w:p>
      <w:pPr>
        <w:pStyle w:val="20"/>
        <w:rPr>
          <w:rFonts w:hint="eastAsia" w:ascii="宋体" w:hAnsi="宋体" w:eastAsia="宋体" w:cs="宋体"/>
          <w:color w:val="auto"/>
          <w:highlight w:val="none"/>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75" w:charSpace="0"/>
        </w:sectPr>
      </w:pPr>
    </w:p>
    <w:p>
      <w:pPr>
        <w:rPr>
          <w:rFonts w:hint="eastAsia" w:ascii="宋体" w:hAnsi="宋体" w:cs="宋体"/>
          <w:color w:val="auto"/>
          <w:highlight w:val="none"/>
        </w:rPr>
      </w:pPr>
    </w:p>
    <w:p>
      <w:pPr>
        <w:pStyle w:val="20"/>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20"/>
        <w:rPr>
          <w:rFonts w:hint="eastAsia" w:ascii="宋体" w:hAnsi="宋体" w:eastAsia="宋体" w:cs="宋体"/>
          <w:color w:val="auto"/>
          <w:highlight w:val="none"/>
        </w:rPr>
      </w:pPr>
      <w:r>
        <w:rPr>
          <w:rFonts w:hint="eastAsia" w:ascii="宋体" w:hAnsi="宋体" w:eastAsia="宋体" w:cs="宋体"/>
          <w:color w:val="auto"/>
          <w:highlight w:val="none"/>
        </w:rPr>
        <w:t>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t>1</w:t>
      </w:r>
    </w:p>
    <w:p>
      <w:pPr>
        <w:pStyle w:val="20"/>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"_Toc14193" </w:instrText>
      </w:r>
      <w:r>
        <w:rPr>
          <w:color w:val="auto"/>
          <w:highlight w:val="none"/>
        </w:rPr>
        <w:fldChar w:fldCharType="separate"/>
      </w:r>
      <w:r>
        <w:rPr>
          <w:rFonts w:hint="eastAsia" w:ascii="宋体" w:hAnsi="宋体" w:eastAsia="宋体" w:cs="宋体"/>
          <w:color w:val="auto"/>
          <w:highlight w:val="none"/>
        </w:rPr>
        <w:t>第一部分 供应商须知</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pPr>
        <w:pStyle w:val="20"/>
        <w:tabs>
          <w:tab w:val="right" w:leader="dot" w:pos="9638"/>
          <w:tab w:val="clear" w:pos="9628"/>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"_Toc2061" </w:instrText>
      </w:r>
      <w:r>
        <w:rPr>
          <w:color w:val="auto"/>
          <w:highlight w:val="none"/>
        </w:rPr>
        <w:fldChar w:fldCharType="separate"/>
      </w:r>
      <w:r>
        <w:rPr>
          <w:rFonts w:hint="eastAsia" w:ascii="宋体" w:hAnsi="宋体" w:eastAsia="宋体" w:cs="宋体"/>
          <w:color w:val="auto"/>
          <w:highlight w:val="none"/>
        </w:rPr>
        <w:t>第二部分 磋商说明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rPr>
        <w:t>11</w:t>
      </w:r>
    </w:p>
    <w:p>
      <w:pPr>
        <w:pStyle w:val="20"/>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"_Toc28254" </w:instrText>
      </w:r>
      <w:r>
        <w:rPr>
          <w:color w:val="auto"/>
          <w:highlight w:val="none"/>
        </w:rPr>
        <w:fldChar w:fldCharType="separate"/>
      </w:r>
      <w:r>
        <w:rPr>
          <w:rFonts w:hint="eastAsia" w:ascii="宋体" w:hAnsi="宋体" w:eastAsia="宋体" w:cs="宋体"/>
          <w:color w:val="auto"/>
          <w:highlight w:val="none"/>
        </w:rPr>
        <w:t>第三部分 磋商响应说明</w:t>
      </w:r>
      <w:r>
        <w:rPr>
          <w:rFonts w:hint="eastAsia" w:ascii="宋体" w:hAnsi="宋体" w:eastAsia="宋体" w:cs="宋体"/>
          <w:color w:val="auto"/>
          <w:highlight w:val="none"/>
        </w:rPr>
        <w:tab/>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rPr>
        <w:t>4</w:t>
      </w:r>
    </w:p>
    <w:p>
      <w:pPr>
        <w:pStyle w:val="20"/>
        <w:tabs>
          <w:tab w:val="right" w:leader="dot" w:pos="9638"/>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4"/>
          <w:highlight w:val="none"/>
        </w:rPr>
        <w:t xml:space="preserve">  </w:t>
      </w:r>
      <w:r>
        <w:rPr>
          <w:color w:val="auto"/>
          <w:highlight w:val="none"/>
        </w:rPr>
        <w:fldChar w:fldCharType="begin"/>
      </w:r>
      <w:r>
        <w:rPr>
          <w:color w:val="auto"/>
          <w:highlight w:val="none"/>
        </w:rPr>
        <w:instrText xml:space="preserve"> HYPERLINK \l "_Toc21165" </w:instrText>
      </w:r>
      <w:r>
        <w:rPr>
          <w:color w:val="auto"/>
          <w:highlight w:val="none"/>
        </w:rPr>
        <w:fldChar w:fldCharType="separate"/>
      </w:r>
      <w:r>
        <w:rPr>
          <w:rFonts w:hint="eastAsia" w:ascii="宋体" w:hAnsi="宋体" w:eastAsia="宋体" w:cs="宋体"/>
          <w:b w:val="0"/>
          <w:bCs w:val="0"/>
          <w:color w:val="auto"/>
          <w:sz w:val="28"/>
          <w:szCs w:val="28"/>
          <w:highlight w:val="none"/>
        </w:rPr>
        <w:t>第一章  磋商供应商资格要求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4</w:t>
      </w:r>
    </w:p>
    <w:p>
      <w:pPr>
        <w:pStyle w:val="20"/>
        <w:tabs>
          <w:tab w:val="right" w:leader="dot" w:pos="9638"/>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4"/>
          <w:highlight w:val="none"/>
        </w:rPr>
        <w:t xml:space="preserve">  </w:t>
      </w:r>
      <w:r>
        <w:rPr>
          <w:color w:val="auto"/>
          <w:highlight w:val="none"/>
        </w:rPr>
        <w:fldChar w:fldCharType="begin"/>
      </w:r>
      <w:r>
        <w:rPr>
          <w:color w:val="auto"/>
          <w:highlight w:val="none"/>
        </w:rPr>
        <w:instrText xml:space="preserve"> HYPERLINK \l "_Toc16615" </w:instrText>
      </w:r>
      <w:r>
        <w:rPr>
          <w:color w:val="auto"/>
          <w:highlight w:val="none"/>
        </w:rPr>
        <w:fldChar w:fldCharType="separate"/>
      </w:r>
      <w:r>
        <w:rPr>
          <w:rFonts w:hint="eastAsia" w:ascii="宋体" w:hAnsi="宋体" w:eastAsia="宋体" w:cs="宋体"/>
          <w:b w:val="0"/>
          <w:bCs w:val="0"/>
          <w:color w:val="auto"/>
          <w:sz w:val="28"/>
          <w:szCs w:val="28"/>
          <w:highlight w:val="none"/>
        </w:rPr>
        <w:t>第二章  响应性文件的编写</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4</w:t>
      </w:r>
    </w:p>
    <w:p>
      <w:pPr>
        <w:pStyle w:val="20"/>
        <w:tabs>
          <w:tab w:val="right" w:leader="dot" w:pos="9638"/>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4"/>
          <w:highlight w:val="none"/>
        </w:rPr>
        <w:t xml:space="preserve">  </w:t>
      </w:r>
      <w:r>
        <w:rPr>
          <w:color w:val="auto"/>
          <w:highlight w:val="none"/>
        </w:rPr>
        <w:fldChar w:fldCharType="begin"/>
      </w:r>
      <w:r>
        <w:rPr>
          <w:color w:val="auto"/>
          <w:highlight w:val="none"/>
        </w:rPr>
        <w:instrText xml:space="preserve"> HYPERLINK \l "_Toc16889" </w:instrText>
      </w:r>
      <w:r>
        <w:rPr>
          <w:color w:val="auto"/>
          <w:highlight w:val="none"/>
        </w:rPr>
        <w:fldChar w:fldCharType="separate"/>
      </w:r>
      <w:r>
        <w:rPr>
          <w:rFonts w:hint="eastAsia" w:ascii="宋体" w:hAnsi="宋体" w:eastAsia="宋体" w:cs="宋体"/>
          <w:b w:val="0"/>
          <w:bCs w:val="0"/>
          <w:color w:val="auto"/>
          <w:sz w:val="28"/>
          <w:szCs w:val="28"/>
          <w:highlight w:val="none"/>
        </w:rPr>
        <w:t>第三章  响应性文件的递交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6</w:t>
      </w:r>
    </w:p>
    <w:p>
      <w:pPr>
        <w:pStyle w:val="20"/>
        <w:tabs>
          <w:tab w:val="right" w:leader="dot" w:pos="9638"/>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4"/>
          <w:highlight w:val="none"/>
        </w:rPr>
        <w:t xml:space="preserve">  </w:t>
      </w:r>
      <w:r>
        <w:rPr>
          <w:color w:val="auto"/>
          <w:highlight w:val="none"/>
        </w:rPr>
        <w:fldChar w:fldCharType="begin"/>
      </w:r>
      <w:r>
        <w:rPr>
          <w:color w:val="auto"/>
          <w:highlight w:val="none"/>
        </w:rPr>
        <w:instrText xml:space="preserve"> HYPERLINK \l "_Toc17397" </w:instrText>
      </w:r>
      <w:r>
        <w:rPr>
          <w:color w:val="auto"/>
          <w:highlight w:val="none"/>
        </w:rPr>
        <w:fldChar w:fldCharType="separate"/>
      </w:r>
      <w:r>
        <w:rPr>
          <w:rFonts w:hint="eastAsia" w:ascii="宋体" w:hAnsi="宋体" w:eastAsia="宋体" w:cs="宋体"/>
          <w:b w:val="0"/>
          <w:bCs w:val="0"/>
          <w:color w:val="auto"/>
          <w:sz w:val="28"/>
          <w:szCs w:val="28"/>
          <w:highlight w:val="none"/>
        </w:rPr>
        <w:t>第四章  响应文件开启、磋商</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7</w:t>
      </w:r>
    </w:p>
    <w:p>
      <w:pPr>
        <w:pStyle w:val="20"/>
        <w:tabs>
          <w:tab w:val="right" w:leader="dot" w:pos="9638"/>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4"/>
          <w:highlight w:val="none"/>
        </w:rPr>
        <w:t xml:space="preserve">  </w:t>
      </w:r>
      <w:r>
        <w:rPr>
          <w:color w:val="auto"/>
          <w:highlight w:val="none"/>
        </w:rPr>
        <w:fldChar w:fldCharType="begin"/>
      </w:r>
      <w:r>
        <w:rPr>
          <w:color w:val="auto"/>
          <w:highlight w:val="none"/>
        </w:rPr>
        <w:instrText xml:space="preserve"> HYPERLINK \l "_Toc13595" </w:instrText>
      </w:r>
      <w:r>
        <w:rPr>
          <w:color w:val="auto"/>
          <w:highlight w:val="none"/>
        </w:rPr>
        <w:fldChar w:fldCharType="separate"/>
      </w:r>
      <w:r>
        <w:rPr>
          <w:rFonts w:hint="eastAsia" w:ascii="宋体" w:hAnsi="宋体" w:eastAsia="宋体" w:cs="宋体"/>
          <w:b w:val="0"/>
          <w:bCs w:val="0"/>
          <w:color w:val="auto"/>
          <w:sz w:val="28"/>
          <w:szCs w:val="28"/>
          <w:highlight w:val="none"/>
        </w:rPr>
        <w:t>第五章  定标</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2</w:t>
      </w:r>
    </w:p>
    <w:p>
      <w:pPr>
        <w:pStyle w:val="20"/>
        <w:tabs>
          <w:tab w:val="right" w:leader="dot" w:pos="9638"/>
          <w:tab w:val="clear"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4"/>
          <w:highlight w:val="none"/>
        </w:rPr>
        <w:t xml:space="preserve"> </w:t>
      </w:r>
      <w:r>
        <w:rPr>
          <w:rFonts w:hint="eastAsia" w:ascii="宋体" w:hAnsi="宋体" w:eastAsia="宋体" w:cs="宋体"/>
          <w:b w:val="0"/>
          <w:bCs w:val="0"/>
          <w:color w:val="auto"/>
          <w:sz w:val="28"/>
          <w:szCs w:val="24"/>
          <w:highlight w:val="none"/>
        </w:rPr>
        <w:t xml:space="preserve"> </w:t>
      </w:r>
      <w:r>
        <w:rPr>
          <w:color w:val="auto"/>
          <w:highlight w:val="none"/>
        </w:rPr>
        <w:fldChar w:fldCharType="begin"/>
      </w:r>
      <w:r>
        <w:rPr>
          <w:color w:val="auto"/>
          <w:highlight w:val="none"/>
        </w:rPr>
        <w:instrText xml:space="preserve"> HYPERLINK \l "_Toc10315" </w:instrText>
      </w:r>
      <w:r>
        <w:rPr>
          <w:color w:val="auto"/>
          <w:highlight w:val="none"/>
        </w:rPr>
        <w:fldChar w:fldCharType="separate"/>
      </w:r>
      <w:r>
        <w:rPr>
          <w:rFonts w:hint="eastAsia" w:ascii="宋体" w:hAnsi="宋体" w:eastAsia="宋体" w:cs="宋体"/>
          <w:b w:val="0"/>
          <w:bCs w:val="0"/>
          <w:color w:val="auto"/>
          <w:sz w:val="28"/>
          <w:szCs w:val="28"/>
          <w:highlight w:val="none"/>
        </w:rPr>
        <w:t>第六章  授予合同</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4"/>
          <w:highlight w:val="none"/>
        </w:rPr>
        <w:t>3</w:t>
      </w:r>
    </w:p>
    <w:p>
      <w:pPr>
        <w:pStyle w:val="20"/>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"_Toc14087" </w:instrText>
      </w:r>
      <w:r>
        <w:rPr>
          <w:color w:val="auto"/>
          <w:highlight w:val="none"/>
        </w:rPr>
        <w:fldChar w:fldCharType="separate"/>
      </w:r>
      <w:r>
        <w:rPr>
          <w:rFonts w:hint="eastAsia" w:ascii="宋体" w:hAnsi="宋体" w:eastAsia="宋体" w:cs="宋体"/>
          <w:color w:val="auto"/>
          <w:szCs w:val="36"/>
          <w:highlight w:val="none"/>
        </w:rPr>
        <w:t xml:space="preserve">第四部分  </w:t>
      </w:r>
      <w:r>
        <w:rPr>
          <w:rFonts w:hint="eastAsia" w:ascii="宋体" w:hAnsi="宋体" w:eastAsia="宋体" w:cs="宋体"/>
          <w:color w:val="auto"/>
          <w:szCs w:val="36"/>
          <w:highlight w:val="none"/>
          <w:lang w:val="en-US" w:eastAsia="zh-CN"/>
        </w:rPr>
        <w:t>项目需</w:t>
      </w:r>
      <w:r>
        <w:rPr>
          <w:rFonts w:hint="eastAsia" w:ascii="宋体" w:hAnsi="宋体" w:eastAsia="宋体" w:cs="宋体"/>
          <w:color w:val="auto"/>
          <w:szCs w:val="36"/>
          <w:highlight w:val="none"/>
        </w:rPr>
        <w:t>求</w:t>
      </w:r>
      <w:r>
        <w:rPr>
          <w:rFonts w:hint="eastAsia" w:ascii="宋体" w:hAnsi="宋体" w:eastAsia="宋体" w:cs="宋体"/>
          <w:color w:val="auto"/>
          <w:highlight w:val="none"/>
        </w:rPr>
        <w:tab/>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rPr>
        <w:t>7</w:t>
      </w:r>
    </w:p>
    <w:p>
      <w:pPr>
        <w:pStyle w:val="20"/>
        <w:tabs>
          <w:tab w:val="right" w:leader="dot" w:pos="9638"/>
          <w:tab w:val="clear" w:pos="962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"_Toc23902" </w:instrText>
      </w:r>
      <w:r>
        <w:rPr>
          <w:color w:val="auto"/>
          <w:highlight w:val="none"/>
        </w:rPr>
        <w:fldChar w:fldCharType="separate"/>
      </w:r>
      <w:r>
        <w:rPr>
          <w:rFonts w:hint="eastAsia" w:ascii="宋体" w:hAnsi="宋体" w:eastAsia="宋体" w:cs="宋体"/>
          <w:color w:val="auto"/>
          <w:highlight w:val="none"/>
        </w:rPr>
        <w:t>第五部分  合同部分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lang w:val="en-US" w:eastAsia="zh-CN"/>
        </w:rPr>
        <w:t>35</w:t>
      </w:r>
    </w:p>
    <w:p>
      <w:pPr>
        <w:pStyle w:val="20"/>
        <w:tabs>
          <w:tab w:val="right" w:leader="dot" w:pos="9638"/>
          <w:tab w:val="clear" w:pos="962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"_Toc1481" </w:instrText>
      </w:r>
      <w:r>
        <w:rPr>
          <w:color w:val="auto"/>
          <w:highlight w:val="none"/>
        </w:rPr>
        <w:fldChar w:fldCharType="separate"/>
      </w:r>
      <w:r>
        <w:rPr>
          <w:rFonts w:hint="eastAsia" w:ascii="宋体" w:hAnsi="宋体" w:eastAsia="宋体" w:cs="宋体"/>
          <w:color w:val="auto"/>
          <w:highlight w:val="none"/>
        </w:rPr>
        <w:t>第六部分  附件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lang w:val="en-US" w:eastAsia="zh-CN"/>
        </w:rPr>
        <w:t>44</w:t>
      </w:r>
    </w:p>
    <w:p>
      <w:pPr>
        <w:pStyle w:val="20"/>
        <w:tabs>
          <w:tab w:val="right" w:leader="dot" w:pos="9638"/>
          <w:tab w:val="clear" w:pos="962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"_Toc22210" </w:instrText>
      </w:r>
      <w:r>
        <w:rPr>
          <w:color w:val="auto"/>
          <w:highlight w:val="none"/>
        </w:rPr>
        <w:fldChar w:fldCharType="separate"/>
      </w:r>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szCs w:val="28"/>
          <w:highlight w:val="none"/>
          <w:lang w:val="en-US" w:eastAsia="zh-CN"/>
        </w:rPr>
        <w:t>65</w:t>
      </w:r>
    </w:p>
    <w:p>
      <w:pPr>
        <w:pStyle w:val="2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
        <w:spacing w:before="0" w:after="0" w:line="440" w:lineRule="atLeast"/>
        <w:rPr>
          <w:rFonts w:hint="eastAsia" w:ascii="仿宋" w:hAnsi="仿宋" w:eastAsia="仿宋" w:cs="仿宋"/>
          <w:color w:val="auto"/>
          <w:sz w:val="36"/>
          <w:szCs w:val="36"/>
          <w:highlight w:val="none"/>
        </w:rPr>
        <w:sectPr>
          <w:footerReference r:id="rId6" w:type="default"/>
          <w:pgSz w:w="11920" w:h="16840"/>
          <w:pgMar w:top="1360" w:right="1200" w:bottom="960" w:left="1200" w:header="850" w:footer="992" w:gutter="0"/>
          <w:cols w:space="720" w:num="1"/>
        </w:sectPr>
      </w:pPr>
    </w:p>
    <w:p>
      <w:pPr>
        <w:pStyle w:val="4"/>
        <w:spacing w:before="0" w:after="0" w:line="440" w:lineRule="atLeas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eastAsia="zh-CN"/>
        </w:rPr>
        <w:t>自治区人社厅信息安全测试及源代码安全审计服务项目</w:t>
      </w:r>
      <w:r>
        <w:rPr>
          <w:rFonts w:hint="eastAsia" w:ascii="仿宋" w:hAnsi="仿宋" w:eastAsia="仿宋" w:cs="仿宋"/>
          <w:color w:val="auto"/>
          <w:sz w:val="36"/>
          <w:szCs w:val="36"/>
          <w:highlight w:val="none"/>
        </w:rPr>
        <w:t>的</w:t>
      </w:r>
    </w:p>
    <w:p>
      <w:pPr>
        <w:pStyle w:val="4"/>
        <w:spacing w:before="0" w:after="0" w:line="440" w:lineRule="atLeas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竞争性磋商公告</w:t>
      </w:r>
    </w:p>
    <w:p>
      <w:pPr>
        <w:rPr>
          <w:rFonts w:hint="eastAsia"/>
          <w:color w:val="auto"/>
          <w:highlight w:val="none"/>
        </w:rPr>
      </w:pPr>
    </w:p>
    <w:p>
      <w:pPr>
        <w:pStyle w:val="4"/>
        <w:spacing w:before="0" w:after="0" w:line="440" w:lineRule="atLeast"/>
        <w:rPr>
          <w:rStyle w:val="62"/>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27"/>
        <w:spacing w:before="75" w:after="75"/>
        <w:ind w:firstLine="560" w:firstLineChars="200"/>
        <w:rPr>
          <w:rStyle w:val="35"/>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自治区人社厅信息安全测试及源代码安全审计服务项目</w:t>
      </w:r>
      <w:r>
        <w:rPr>
          <w:rFonts w:hint="eastAsia" w:ascii="仿宋" w:hAnsi="仿宋" w:eastAsia="仿宋" w:cs="仿宋"/>
          <w:color w:val="auto"/>
          <w:sz w:val="28"/>
          <w:szCs w:val="28"/>
          <w:highlight w:val="none"/>
        </w:rPr>
        <w:t>招标项目的潜在投标人应在政采云平台</w:t>
      </w:r>
      <w:r>
        <w:rPr>
          <w:rFonts w:hint="eastAsia" w:ascii="仿宋" w:hAnsi="仿宋" w:eastAsia="仿宋" w:cs="仿宋"/>
          <w:color w:val="auto"/>
          <w:highlight w:val="none"/>
        </w:rPr>
        <w:t>https://www.zcygov.cn/</w:t>
      </w:r>
      <w:r>
        <w:rPr>
          <w:rFonts w:hint="eastAsia" w:ascii="仿宋" w:hAnsi="仿宋" w:eastAsia="仿宋" w:cs="仿宋"/>
          <w:color w:val="auto"/>
          <w:sz w:val="28"/>
          <w:szCs w:val="28"/>
          <w:highlight w:val="none"/>
        </w:rPr>
        <w:t>在线申请获取采购文件（进入“项目采购”应用，在获取采购文件菜单中选择项目，申请免费获取采购文件），并于2023年</w:t>
      </w:r>
      <w:r>
        <w:rPr>
          <w:rFonts w:hint="eastAsia" w:ascii="仿宋" w:hAnsi="仿宋" w:eastAsia="仿宋" w:cs="仿宋"/>
          <w:color w:val="auto"/>
          <w:sz w:val="28"/>
          <w:szCs w:val="28"/>
          <w:highlight w:val="cyan"/>
          <w:u w:val="single"/>
        </w:rPr>
        <w:t xml:space="preserve"> </w:t>
      </w:r>
      <w:r>
        <w:rPr>
          <w:rFonts w:hint="eastAsia" w:ascii="仿宋" w:hAnsi="仿宋" w:eastAsia="仿宋" w:cs="仿宋"/>
          <w:color w:val="auto"/>
          <w:sz w:val="28"/>
          <w:szCs w:val="28"/>
          <w:highlight w:val="cyan"/>
          <w:u w:val="single"/>
          <w:lang w:val="en-US" w:eastAsia="zh-CN"/>
        </w:rPr>
        <w:t xml:space="preserve">12 </w:t>
      </w:r>
      <w:r>
        <w:rPr>
          <w:rFonts w:hint="eastAsia" w:ascii="仿宋" w:hAnsi="仿宋" w:eastAsia="仿宋" w:cs="仿宋"/>
          <w:color w:val="auto"/>
          <w:sz w:val="28"/>
          <w:szCs w:val="28"/>
          <w:highlight w:val="cyan"/>
        </w:rPr>
        <w:t>月</w:t>
      </w:r>
      <w:r>
        <w:rPr>
          <w:rFonts w:hint="eastAsia" w:ascii="仿宋" w:hAnsi="仿宋" w:eastAsia="仿宋" w:cs="仿宋"/>
          <w:color w:val="auto"/>
          <w:sz w:val="28"/>
          <w:szCs w:val="28"/>
          <w:highlight w:val="cyan"/>
          <w:u w:val="single"/>
          <w:lang w:val="en-US" w:eastAsia="zh-CN"/>
        </w:rPr>
        <w:t xml:space="preserve"> 5 </w:t>
      </w:r>
      <w:r>
        <w:rPr>
          <w:rFonts w:hint="eastAsia" w:ascii="仿宋" w:hAnsi="仿宋" w:eastAsia="仿宋" w:cs="仿宋"/>
          <w:color w:val="auto"/>
          <w:sz w:val="28"/>
          <w:szCs w:val="28"/>
          <w:highlight w:val="cyan"/>
        </w:rPr>
        <w:t>日</w:t>
      </w:r>
      <w:r>
        <w:rPr>
          <w:rFonts w:hint="eastAsia" w:ascii="仿宋" w:hAnsi="仿宋" w:eastAsia="仿宋" w:cs="仿宋"/>
          <w:color w:val="auto"/>
          <w:sz w:val="28"/>
          <w:szCs w:val="28"/>
          <w:highlight w:val="cyan"/>
          <w:u w:val="single"/>
        </w:rPr>
        <w:t xml:space="preserve"> </w:t>
      </w:r>
      <w:r>
        <w:rPr>
          <w:rFonts w:hint="eastAsia" w:ascii="仿宋" w:hAnsi="仿宋" w:eastAsia="仿宋" w:cs="仿宋"/>
          <w:color w:val="auto"/>
          <w:sz w:val="28"/>
          <w:szCs w:val="28"/>
          <w:highlight w:val="cyan"/>
          <w:u w:val="single"/>
          <w:lang w:val="en-US" w:eastAsia="zh-CN"/>
        </w:rPr>
        <w:t>16</w:t>
      </w:r>
      <w:r>
        <w:rPr>
          <w:rFonts w:hint="eastAsia" w:ascii="仿宋" w:hAnsi="仿宋" w:eastAsia="仿宋" w:cs="仿宋"/>
          <w:color w:val="auto"/>
          <w:sz w:val="28"/>
          <w:szCs w:val="28"/>
          <w:highlight w:val="cyan"/>
          <w:u w:val="single"/>
        </w:rPr>
        <w:t>:</w:t>
      </w:r>
      <w:r>
        <w:rPr>
          <w:rFonts w:hint="eastAsia" w:ascii="仿宋" w:hAnsi="仿宋" w:eastAsia="仿宋" w:cs="仿宋"/>
          <w:color w:val="auto"/>
          <w:sz w:val="28"/>
          <w:szCs w:val="28"/>
          <w:highlight w:val="cyan"/>
          <w:u w:val="single"/>
          <w:lang w:val="en-US" w:eastAsia="zh-CN"/>
        </w:rPr>
        <w:t>00</w:t>
      </w:r>
      <w:r>
        <w:rPr>
          <w:rFonts w:hint="eastAsia" w:ascii="仿宋" w:hAnsi="仿宋" w:eastAsia="仿宋" w:cs="仿宋"/>
          <w:color w:val="auto"/>
          <w:sz w:val="28"/>
          <w:szCs w:val="28"/>
          <w:highlight w:val="cyan"/>
          <w:u w:val="single"/>
        </w:rPr>
        <w:t xml:space="preserve">  </w:t>
      </w:r>
      <w:r>
        <w:rPr>
          <w:rFonts w:hint="eastAsia" w:ascii="仿宋" w:hAnsi="仿宋" w:eastAsia="仿宋" w:cs="仿宋"/>
          <w:color w:val="auto"/>
          <w:sz w:val="28"/>
          <w:szCs w:val="28"/>
          <w:highlight w:val="none"/>
        </w:rPr>
        <w:t>（北京时间）前在</w:t>
      </w:r>
      <w:r>
        <w:rPr>
          <w:rFonts w:hint="eastAsia" w:ascii="仿宋" w:hAnsi="仿宋" w:eastAsia="仿宋" w:cs="仿宋"/>
          <w:color w:val="auto"/>
          <w:sz w:val="27"/>
          <w:szCs w:val="27"/>
          <w:highlight w:val="none"/>
        </w:rPr>
        <w:t>政采云平台https://www.zcygov.cn/递交响应文件。</w:t>
      </w:r>
    </w:p>
    <w:p>
      <w:pPr>
        <w:pStyle w:val="27"/>
        <w:spacing w:before="50" w:beforeAutospacing="0" w:after="50" w:afterAutospacing="0"/>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一、项目基本情况</w:t>
      </w:r>
    </w:p>
    <w:p>
      <w:pPr>
        <w:pStyle w:val="27"/>
        <w:spacing w:before="50" w:beforeAutospacing="0" w:after="50" w:afterAutospacing="0" w:line="200" w:lineRule="atLeas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 </w:t>
      </w:r>
      <w:r>
        <w:rPr>
          <w:rFonts w:hint="eastAsia" w:ascii="仿宋" w:hAnsi="仿宋" w:eastAsia="仿宋" w:cs="仿宋"/>
          <w:color w:val="auto"/>
          <w:sz w:val="28"/>
          <w:szCs w:val="28"/>
          <w:highlight w:val="none"/>
          <w:lang w:eastAsia="zh-CN"/>
        </w:rPr>
        <w:t>XSY-2023-Z-113</w:t>
      </w:r>
    </w:p>
    <w:p>
      <w:pPr>
        <w:pStyle w:val="27"/>
        <w:spacing w:before="50" w:beforeAutospacing="0" w:after="50" w:afterAutospacing="0" w:line="200" w:lineRule="atLeast"/>
        <w:ind w:left="1400" w:hanging="1400" w:hangingChars="5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自治区人社厅信息安全测试及源代码安全审计服务项目</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 </w:t>
      </w:r>
    </w:p>
    <w:p>
      <w:pPr>
        <w:pStyle w:val="27"/>
        <w:spacing w:before="50" w:beforeAutospacing="0" w:after="50" w:afterAutospacing="0" w:line="200" w:lineRule="atLeast"/>
        <w:rPr>
          <w:rStyle w:val="62"/>
          <w:rFonts w:hint="default" w:ascii="仿宋" w:hAnsi="仿宋" w:eastAsia="仿宋" w:cs="仿宋"/>
          <w:color w:val="auto"/>
          <w:sz w:val="24"/>
          <w:szCs w:val="24"/>
          <w:highlight w:val="none"/>
          <w:lang w:val="en-US"/>
        </w:rPr>
      </w:pPr>
      <w:r>
        <w:rPr>
          <w:rFonts w:hint="eastAsia" w:ascii="仿宋" w:hAnsi="仿宋" w:eastAsia="仿宋" w:cs="仿宋"/>
          <w:color w:val="auto"/>
          <w:sz w:val="28"/>
          <w:szCs w:val="28"/>
          <w:highlight w:val="none"/>
        </w:rPr>
        <w:t>预算金额（元）：</w:t>
      </w:r>
      <w:r>
        <w:rPr>
          <w:rStyle w:val="62"/>
          <w:rFonts w:hint="eastAsia" w:ascii="仿宋" w:hAnsi="仿宋" w:eastAsia="仿宋" w:cs="仿宋"/>
          <w:color w:val="auto"/>
          <w:sz w:val="28"/>
          <w:szCs w:val="28"/>
          <w:highlight w:val="none"/>
        </w:rPr>
        <w:t> </w:t>
      </w:r>
      <w:r>
        <w:rPr>
          <w:rStyle w:val="62"/>
          <w:rFonts w:hint="eastAsia" w:ascii="仿宋" w:hAnsi="仿宋" w:eastAsia="仿宋" w:cs="仿宋"/>
          <w:color w:val="auto"/>
          <w:sz w:val="28"/>
          <w:szCs w:val="28"/>
          <w:highlight w:val="none"/>
          <w:lang w:val="en-US" w:eastAsia="zh-CN"/>
        </w:rPr>
        <w:t>1730000</w:t>
      </w:r>
      <w:r>
        <w:rPr>
          <w:rStyle w:val="62"/>
          <w:rFonts w:hint="eastAsia" w:ascii="仿宋" w:hAnsi="仿宋" w:eastAsia="仿宋" w:cs="仿宋"/>
          <w:color w:val="auto"/>
          <w:sz w:val="24"/>
          <w:szCs w:val="24"/>
          <w:highlight w:val="none"/>
          <w:lang w:val="en-US" w:eastAsia="zh-CN"/>
        </w:rPr>
        <w:t>预算包含回归测试费用（总次数不超过5次）及税费。</w:t>
      </w:r>
    </w:p>
    <w:p>
      <w:pPr>
        <w:pStyle w:val="27"/>
        <w:spacing w:before="50" w:beforeAutospacing="0" w:after="50" w:afterAutospacing="0" w:line="200" w:lineRule="atLeast"/>
        <w:rPr>
          <w:rFonts w:hint="default" w:ascii="仿宋" w:hAnsi="仿宋" w:eastAsia="仿宋" w:cs="仿宋"/>
          <w:color w:val="auto"/>
          <w:sz w:val="28"/>
          <w:szCs w:val="28"/>
          <w:highlight w:val="none"/>
          <w:lang w:val="en-US"/>
        </w:rPr>
      </w:pPr>
      <w:r>
        <w:rPr>
          <w:rStyle w:val="62"/>
          <w:rFonts w:hint="eastAsia" w:ascii="仿宋" w:hAnsi="仿宋" w:eastAsia="仿宋" w:cs="仿宋"/>
          <w:color w:val="auto"/>
          <w:sz w:val="28"/>
          <w:szCs w:val="28"/>
          <w:highlight w:val="none"/>
        </w:rPr>
        <w:t>最高限价（元）：</w:t>
      </w:r>
      <w:r>
        <w:rPr>
          <w:rFonts w:hint="eastAsia" w:ascii="仿宋" w:hAnsi="仿宋" w:eastAsia="仿宋" w:cs="仿宋"/>
          <w:color w:val="auto"/>
          <w:sz w:val="28"/>
          <w:szCs w:val="28"/>
          <w:highlight w:val="none"/>
        </w:rPr>
        <w:t> </w:t>
      </w:r>
      <w:r>
        <w:rPr>
          <w:rStyle w:val="62"/>
          <w:rFonts w:hint="eastAsia" w:ascii="仿宋" w:hAnsi="仿宋" w:eastAsia="仿宋" w:cs="仿宋"/>
          <w:color w:val="auto"/>
          <w:sz w:val="28"/>
          <w:szCs w:val="28"/>
          <w:highlight w:val="none"/>
          <w:lang w:val="en-US" w:eastAsia="zh-CN"/>
        </w:rPr>
        <w:t>1730000</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 </w:t>
      </w:r>
      <w:r>
        <w:rPr>
          <w:rFonts w:hint="eastAsia" w:ascii="仿宋" w:hAnsi="仿宋" w:eastAsia="仿宋" w:cs="仿宋"/>
          <w:color w:val="auto"/>
          <w:sz w:val="28"/>
          <w:szCs w:val="28"/>
          <w:highlight w:val="none"/>
          <w:lang w:eastAsia="zh-CN"/>
        </w:rPr>
        <w:t>信息安全测试及源代码安全审计服务</w:t>
      </w:r>
      <w:r>
        <w:rPr>
          <w:rFonts w:hint="eastAsia" w:ascii="仿宋" w:hAnsi="仿宋" w:eastAsia="仿宋" w:cs="仿宋"/>
          <w:color w:val="auto"/>
          <w:sz w:val="28"/>
          <w:szCs w:val="28"/>
          <w:highlight w:val="none"/>
        </w:rPr>
        <w:t>。</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简要规格描述：</w:t>
      </w:r>
      <w:r>
        <w:rPr>
          <w:rFonts w:hint="eastAsia" w:ascii="仿宋" w:hAnsi="仿宋" w:eastAsia="仿宋" w:cs="仿宋"/>
          <w:color w:val="auto"/>
          <w:sz w:val="28"/>
          <w:szCs w:val="28"/>
          <w:highlight w:val="none"/>
          <w:lang w:eastAsia="zh-CN"/>
        </w:rPr>
        <w:t>信息安全测试及源代码安全审计服务</w:t>
      </w:r>
      <w:r>
        <w:rPr>
          <w:rFonts w:hint="eastAsia" w:ascii="仿宋" w:hAnsi="仿宋" w:eastAsia="仿宋" w:cs="仿宋"/>
          <w:color w:val="auto"/>
          <w:sz w:val="28"/>
          <w:szCs w:val="28"/>
          <w:highlight w:val="none"/>
        </w:rPr>
        <w:t>，详见</w:t>
      </w:r>
      <w:r>
        <w:rPr>
          <w:rFonts w:hint="eastAsia" w:ascii="仿宋" w:hAnsi="仿宋" w:eastAsia="仿宋" w:cs="仿宋"/>
          <w:color w:val="auto"/>
          <w:sz w:val="28"/>
          <w:szCs w:val="28"/>
          <w:highlight w:val="none"/>
          <w:lang w:val="en-US" w:eastAsia="zh-CN"/>
        </w:rPr>
        <w:t>项目需求</w:t>
      </w:r>
      <w:r>
        <w:rPr>
          <w:rFonts w:hint="eastAsia" w:ascii="仿宋" w:hAnsi="仿宋" w:eastAsia="仿宋" w:cs="仿宋"/>
          <w:color w:val="auto"/>
          <w:sz w:val="28"/>
          <w:szCs w:val="28"/>
          <w:highlight w:val="none"/>
        </w:rPr>
        <w:t>。</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合同履约期限(服务期限)： 合同签订后6个月内，完成全部第三方测试服务内容。</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Style w:val="62"/>
          <w:rFonts w:hint="eastAsia" w:ascii="仿宋" w:hAnsi="仿宋" w:eastAsia="仿宋" w:cs="仿宋"/>
          <w:color w:val="auto"/>
          <w:sz w:val="28"/>
          <w:szCs w:val="28"/>
          <w:highlight w:val="none"/>
        </w:rPr>
        <w:t>否</w:t>
      </w:r>
      <w:r>
        <w:rPr>
          <w:rFonts w:hint="eastAsia" w:ascii="仿宋" w:hAnsi="仿宋" w:eastAsia="仿宋" w:cs="仿宋"/>
          <w:color w:val="auto"/>
          <w:sz w:val="28"/>
          <w:szCs w:val="28"/>
          <w:highlight w:val="none"/>
        </w:rPr>
        <w:t>）接受联合体投标。  </w:t>
      </w: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二、申请人的资格要求：</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2.落实政府采购政策需满足的资格要求：本项目专门面向</w:t>
      </w: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3.本项目的特定资格要求：无。</w:t>
      </w: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三、获取采购文件</w:t>
      </w:r>
    </w:p>
    <w:p>
      <w:pPr>
        <w:pStyle w:val="27"/>
        <w:spacing w:before="50" w:beforeAutospacing="0" w:after="50" w:afterAutospacing="0" w:line="20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Style w:val="62"/>
          <w:rFonts w:hint="eastAsia" w:ascii="仿宋" w:hAnsi="仿宋" w:eastAsia="仿宋" w:cs="仿宋"/>
          <w:color w:val="auto"/>
          <w:sz w:val="28"/>
          <w:szCs w:val="28"/>
          <w:highlight w:val="cyan"/>
        </w:rPr>
        <w:t>2023年</w:t>
      </w:r>
      <w:r>
        <w:rPr>
          <w:rStyle w:val="62"/>
          <w:rFonts w:hint="eastAsia" w:ascii="仿宋" w:hAnsi="仿宋" w:eastAsia="仿宋" w:cs="仿宋"/>
          <w:color w:val="auto"/>
          <w:sz w:val="28"/>
          <w:szCs w:val="28"/>
          <w:highlight w:val="cyan"/>
          <w:lang w:val="en-US" w:eastAsia="zh-CN"/>
        </w:rPr>
        <w:t>11</w:t>
      </w:r>
      <w:r>
        <w:rPr>
          <w:rStyle w:val="62"/>
          <w:rFonts w:hint="eastAsia" w:ascii="仿宋" w:hAnsi="仿宋" w:eastAsia="仿宋" w:cs="仿宋"/>
          <w:color w:val="auto"/>
          <w:sz w:val="28"/>
          <w:szCs w:val="28"/>
          <w:highlight w:val="cyan"/>
        </w:rPr>
        <w:t>月</w:t>
      </w:r>
      <w:r>
        <w:rPr>
          <w:rStyle w:val="62"/>
          <w:rFonts w:hint="eastAsia" w:ascii="仿宋" w:hAnsi="仿宋" w:eastAsia="仿宋" w:cs="仿宋"/>
          <w:color w:val="auto"/>
          <w:sz w:val="28"/>
          <w:szCs w:val="28"/>
          <w:highlight w:val="cyan"/>
          <w:lang w:val="en-US" w:eastAsia="zh-CN"/>
        </w:rPr>
        <w:t>22</w:t>
      </w:r>
      <w:r>
        <w:rPr>
          <w:rStyle w:val="62"/>
          <w:rFonts w:hint="eastAsia" w:ascii="仿宋" w:hAnsi="仿宋" w:eastAsia="仿宋" w:cs="仿宋"/>
          <w:color w:val="auto"/>
          <w:sz w:val="28"/>
          <w:szCs w:val="28"/>
          <w:highlight w:val="cyan"/>
        </w:rPr>
        <w:t>日</w:t>
      </w:r>
      <w:r>
        <w:rPr>
          <w:rFonts w:hint="eastAsia" w:ascii="仿宋" w:hAnsi="仿宋" w:eastAsia="仿宋" w:cs="仿宋"/>
          <w:color w:val="auto"/>
          <w:sz w:val="28"/>
          <w:szCs w:val="28"/>
          <w:highlight w:val="cyan"/>
        </w:rPr>
        <w:t>至</w:t>
      </w:r>
      <w:r>
        <w:rPr>
          <w:rStyle w:val="62"/>
          <w:rFonts w:hint="eastAsia" w:ascii="仿宋" w:hAnsi="仿宋" w:eastAsia="仿宋" w:cs="仿宋"/>
          <w:color w:val="auto"/>
          <w:sz w:val="28"/>
          <w:szCs w:val="28"/>
          <w:highlight w:val="cyan"/>
        </w:rPr>
        <w:t>2023年</w:t>
      </w:r>
      <w:r>
        <w:rPr>
          <w:rStyle w:val="62"/>
          <w:rFonts w:hint="eastAsia" w:ascii="仿宋" w:hAnsi="仿宋" w:eastAsia="仿宋" w:cs="仿宋"/>
          <w:color w:val="auto"/>
          <w:sz w:val="28"/>
          <w:szCs w:val="28"/>
          <w:highlight w:val="cyan"/>
          <w:lang w:val="en-US" w:eastAsia="zh-CN"/>
        </w:rPr>
        <w:t>11</w:t>
      </w:r>
      <w:r>
        <w:rPr>
          <w:rStyle w:val="62"/>
          <w:rFonts w:hint="eastAsia" w:ascii="仿宋" w:hAnsi="仿宋" w:eastAsia="仿宋" w:cs="仿宋"/>
          <w:color w:val="auto"/>
          <w:sz w:val="28"/>
          <w:szCs w:val="28"/>
          <w:highlight w:val="cyan"/>
        </w:rPr>
        <w:t>月</w:t>
      </w:r>
      <w:r>
        <w:rPr>
          <w:rStyle w:val="62"/>
          <w:rFonts w:hint="eastAsia" w:ascii="仿宋" w:hAnsi="仿宋" w:eastAsia="仿宋" w:cs="仿宋"/>
          <w:color w:val="auto"/>
          <w:sz w:val="28"/>
          <w:szCs w:val="28"/>
          <w:highlight w:val="cyan"/>
          <w:lang w:val="en-US" w:eastAsia="zh-CN"/>
        </w:rPr>
        <w:t>29</w:t>
      </w:r>
      <w:r>
        <w:rPr>
          <w:rStyle w:val="62"/>
          <w:rFonts w:hint="eastAsia" w:ascii="仿宋" w:hAnsi="仿宋" w:eastAsia="仿宋" w:cs="仿宋"/>
          <w:color w:val="auto"/>
          <w:sz w:val="28"/>
          <w:szCs w:val="28"/>
          <w:highlight w:val="cyan"/>
        </w:rPr>
        <w:t>日</w:t>
      </w:r>
      <w:r>
        <w:rPr>
          <w:rFonts w:hint="eastAsia" w:ascii="仿宋" w:hAnsi="仿宋" w:eastAsia="仿宋" w:cs="仿宋"/>
          <w:color w:val="auto"/>
          <w:sz w:val="28"/>
          <w:szCs w:val="28"/>
          <w:highlight w:val="none"/>
        </w:rPr>
        <w:t>，每天上午</w:t>
      </w:r>
      <w:r>
        <w:rPr>
          <w:rStyle w:val="62"/>
          <w:rFonts w:hint="eastAsia" w:ascii="仿宋" w:hAnsi="仿宋" w:eastAsia="仿宋" w:cs="仿宋"/>
          <w:color w:val="auto"/>
          <w:sz w:val="28"/>
          <w:szCs w:val="28"/>
          <w:highlight w:val="none"/>
        </w:rPr>
        <w:t>10:00至14:00</w:t>
      </w:r>
      <w:r>
        <w:rPr>
          <w:rFonts w:hint="eastAsia" w:ascii="仿宋" w:hAnsi="仿宋" w:eastAsia="仿宋" w:cs="仿宋"/>
          <w:color w:val="auto"/>
          <w:sz w:val="28"/>
          <w:szCs w:val="28"/>
          <w:highlight w:val="none"/>
        </w:rPr>
        <w:t>，下午</w:t>
      </w:r>
      <w:r>
        <w:rPr>
          <w:rStyle w:val="62"/>
          <w:rFonts w:hint="eastAsia" w:ascii="仿宋" w:hAnsi="仿宋" w:eastAsia="仿宋" w:cs="仿宋"/>
          <w:color w:val="auto"/>
          <w:sz w:val="28"/>
          <w:szCs w:val="28"/>
          <w:highlight w:val="none"/>
        </w:rPr>
        <w:t>15:</w:t>
      </w:r>
      <w:r>
        <w:rPr>
          <w:rStyle w:val="62"/>
          <w:rFonts w:hint="eastAsia" w:ascii="仿宋" w:hAnsi="仿宋" w:eastAsia="仿宋" w:cs="仿宋"/>
          <w:color w:val="auto"/>
          <w:sz w:val="28"/>
          <w:szCs w:val="28"/>
          <w:highlight w:val="none"/>
          <w:lang w:val="en-US" w:eastAsia="zh-CN"/>
        </w:rPr>
        <w:t>00</w:t>
      </w:r>
      <w:r>
        <w:rPr>
          <w:rStyle w:val="62"/>
          <w:rFonts w:hint="eastAsia" w:ascii="仿宋" w:hAnsi="仿宋" w:eastAsia="仿宋" w:cs="仿宋"/>
          <w:color w:val="auto"/>
          <w:sz w:val="28"/>
          <w:szCs w:val="28"/>
          <w:highlight w:val="none"/>
        </w:rPr>
        <w:t>至19:</w:t>
      </w:r>
      <w:r>
        <w:rPr>
          <w:rStyle w:val="62"/>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（北京时间，法定节假日除外）</w:t>
      </w:r>
    </w:p>
    <w:p>
      <w:pPr>
        <w:pStyle w:val="27"/>
        <w:spacing w:before="50" w:beforeAutospacing="0" w:after="50" w:afterAutospacing="0" w:line="20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7"/>
          <w:szCs w:val="27"/>
          <w:highlight w:val="none"/>
        </w:rPr>
        <w:t>新疆政府采购云平台（https://www.zcygov.cn/）</w:t>
      </w:r>
    </w:p>
    <w:p>
      <w:pPr>
        <w:overflowPunct w:val="0"/>
        <w:spacing w:line="440" w:lineRule="exact"/>
        <w:ind w:firstLine="560" w:firstLineChars="200"/>
        <w:rPr>
          <w:rStyle w:val="62"/>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方式：</w:t>
      </w:r>
      <w:r>
        <w:rPr>
          <w:rStyle w:val="62"/>
          <w:rFonts w:hint="eastAsia" w:ascii="仿宋" w:hAnsi="仿宋" w:eastAsia="仿宋" w:cs="仿宋"/>
          <w:color w:val="auto"/>
          <w:kern w:val="0"/>
          <w:sz w:val="28"/>
          <w:szCs w:val="28"/>
          <w:highlight w:val="none"/>
        </w:rPr>
        <w:t>供应商登录政采云平台https://www.zcygov.cn/在线申请获取招标文件（进入“项目采购”应用，在获取采购文件菜单中选择项目，申请免费获取招标文件。）</w:t>
      </w:r>
    </w:p>
    <w:p>
      <w:pPr>
        <w:pStyle w:val="22"/>
        <w:rPr>
          <w:rFonts w:hint="eastAsia"/>
          <w:color w:val="auto"/>
          <w:highlight w:val="none"/>
        </w:rPr>
      </w:pP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四、响应文件提交</w:t>
      </w:r>
      <w:r>
        <w:rPr>
          <w:rFonts w:hint="eastAsia" w:ascii="仿宋" w:hAnsi="仿宋" w:eastAsia="仿宋" w:cs="仿宋"/>
          <w:color w:val="auto"/>
          <w:sz w:val="28"/>
          <w:szCs w:val="28"/>
          <w:highlight w:val="none"/>
        </w:rPr>
        <w:t> </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截止时间：</w:t>
      </w:r>
      <w:r>
        <w:rPr>
          <w:rStyle w:val="62"/>
          <w:rFonts w:hint="eastAsia" w:ascii="仿宋" w:hAnsi="仿宋" w:eastAsia="仿宋" w:cs="仿宋"/>
          <w:color w:val="auto"/>
          <w:sz w:val="28"/>
          <w:szCs w:val="28"/>
          <w:highlight w:val="cyan"/>
        </w:rPr>
        <w:t>2023年</w:t>
      </w:r>
      <w:r>
        <w:rPr>
          <w:rStyle w:val="62"/>
          <w:rFonts w:hint="eastAsia" w:ascii="仿宋" w:hAnsi="仿宋" w:eastAsia="仿宋" w:cs="仿宋"/>
          <w:color w:val="auto"/>
          <w:sz w:val="28"/>
          <w:szCs w:val="28"/>
          <w:highlight w:val="cyan"/>
          <w:lang w:val="en-US" w:eastAsia="zh-CN"/>
        </w:rPr>
        <w:t>12</w:t>
      </w:r>
      <w:r>
        <w:rPr>
          <w:rStyle w:val="62"/>
          <w:rFonts w:hint="eastAsia" w:ascii="仿宋" w:hAnsi="仿宋" w:eastAsia="仿宋" w:cs="仿宋"/>
          <w:color w:val="auto"/>
          <w:sz w:val="28"/>
          <w:szCs w:val="28"/>
          <w:highlight w:val="cyan"/>
        </w:rPr>
        <w:t>月</w:t>
      </w:r>
      <w:r>
        <w:rPr>
          <w:rStyle w:val="62"/>
          <w:rFonts w:hint="eastAsia" w:ascii="仿宋" w:hAnsi="仿宋" w:eastAsia="仿宋" w:cs="仿宋"/>
          <w:color w:val="auto"/>
          <w:sz w:val="28"/>
          <w:szCs w:val="28"/>
          <w:highlight w:val="cyan"/>
          <w:lang w:val="en-US" w:eastAsia="zh-CN"/>
        </w:rPr>
        <w:t>5</w:t>
      </w:r>
      <w:r>
        <w:rPr>
          <w:rStyle w:val="62"/>
          <w:rFonts w:hint="eastAsia" w:ascii="仿宋" w:hAnsi="仿宋" w:eastAsia="仿宋" w:cs="仿宋"/>
          <w:color w:val="auto"/>
          <w:sz w:val="28"/>
          <w:szCs w:val="28"/>
          <w:highlight w:val="cyan"/>
        </w:rPr>
        <w:t>日</w:t>
      </w:r>
      <w:r>
        <w:rPr>
          <w:rStyle w:val="62"/>
          <w:rFonts w:hint="eastAsia" w:ascii="仿宋" w:hAnsi="仿宋" w:eastAsia="仿宋" w:cs="仿宋"/>
          <w:color w:val="auto"/>
          <w:sz w:val="28"/>
          <w:szCs w:val="28"/>
          <w:highlight w:val="cyan"/>
          <w:lang w:val="en-US" w:eastAsia="zh-CN"/>
        </w:rPr>
        <w:t>16</w:t>
      </w:r>
      <w:r>
        <w:rPr>
          <w:rStyle w:val="62"/>
          <w:rFonts w:hint="eastAsia" w:ascii="仿宋" w:hAnsi="仿宋" w:eastAsia="仿宋" w:cs="仿宋"/>
          <w:color w:val="auto"/>
          <w:sz w:val="28"/>
          <w:szCs w:val="28"/>
          <w:highlight w:val="cyan"/>
        </w:rPr>
        <w:t>:</w:t>
      </w:r>
      <w:r>
        <w:rPr>
          <w:rStyle w:val="62"/>
          <w:rFonts w:hint="eastAsia" w:ascii="仿宋" w:hAnsi="仿宋" w:eastAsia="仿宋" w:cs="仿宋"/>
          <w:color w:val="auto"/>
          <w:sz w:val="28"/>
          <w:szCs w:val="28"/>
          <w:highlight w:val="cyan"/>
          <w:lang w:val="en-US" w:eastAsia="zh-CN"/>
        </w:rPr>
        <w:t>00</w:t>
      </w:r>
      <w:r>
        <w:rPr>
          <w:rStyle w:val="62"/>
          <w:rFonts w:hint="eastAsia" w:ascii="仿宋" w:hAnsi="仿宋" w:eastAsia="仿宋" w:cs="仿宋"/>
          <w:color w:val="auto"/>
          <w:sz w:val="28"/>
          <w:szCs w:val="28"/>
          <w:highlight w:val="none"/>
        </w:rPr>
        <w:t>（北京时间）</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w:t>
      </w:r>
      <w:r>
        <w:rPr>
          <w:rFonts w:hint="eastAsia" w:ascii="仿宋" w:hAnsi="仿宋" w:eastAsia="仿宋" w:cs="仿宋"/>
          <w:color w:val="auto"/>
          <w:sz w:val="27"/>
          <w:szCs w:val="27"/>
          <w:highlight w:val="none"/>
        </w:rPr>
        <w:t>新疆政府采购云平台（https://www.zcygov.cn/）</w:t>
      </w: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五、响应文件开启</w:t>
      </w:r>
      <w:r>
        <w:rPr>
          <w:rFonts w:hint="eastAsia" w:ascii="仿宋" w:hAnsi="仿宋" w:eastAsia="仿宋" w:cs="仿宋"/>
          <w:color w:val="auto"/>
          <w:sz w:val="28"/>
          <w:szCs w:val="28"/>
          <w:highlight w:val="none"/>
        </w:rPr>
        <w:t> </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开启时间：</w:t>
      </w:r>
      <w:r>
        <w:rPr>
          <w:rStyle w:val="62"/>
          <w:rFonts w:hint="eastAsia" w:ascii="仿宋" w:hAnsi="仿宋" w:eastAsia="仿宋" w:cs="仿宋"/>
          <w:color w:val="auto"/>
          <w:sz w:val="28"/>
          <w:szCs w:val="28"/>
          <w:highlight w:val="cyan"/>
        </w:rPr>
        <w:t>2023年</w:t>
      </w:r>
      <w:r>
        <w:rPr>
          <w:rStyle w:val="62"/>
          <w:rFonts w:hint="eastAsia" w:ascii="仿宋" w:hAnsi="仿宋" w:eastAsia="仿宋" w:cs="仿宋"/>
          <w:color w:val="auto"/>
          <w:sz w:val="28"/>
          <w:szCs w:val="28"/>
          <w:highlight w:val="cyan"/>
          <w:lang w:val="en-US" w:eastAsia="zh-CN"/>
        </w:rPr>
        <w:t>12</w:t>
      </w:r>
      <w:r>
        <w:rPr>
          <w:rStyle w:val="62"/>
          <w:rFonts w:hint="eastAsia" w:ascii="仿宋" w:hAnsi="仿宋" w:eastAsia="仿宋" w:cs="仿宋"/>
          <w:color w:val="auto"/>
          <w:sz w:val="28"/>
          <w:szCs w:val="28"/>
          <w:highlight w:val="cyan"/>
        </w:rPr>
        <w:t>月</w:t>
      </w:r>
      <w:r>
        <w:rPr>
          <w:rStyle w:val="62"/>
          <w:rFonts w:hint="eastAsia" w:ascii="仿宋" w:hAnsi="仿宋" w:eastAsia="仿宋" w:cs="仿宋"/>
          <w:color w:val="auto"/>
          <w:sz w:val="28"/>
          <w:szCs w:val="28"/>
          <w:highlight w:val="cyan"/>
          <w:lang w:val="en-US" w:eastAsia="zh-CN"/>
        </w:rPr>
        <w:t>5</w:t>
      </w:r>
      <w:r>
        <w:rPr>
          <w:rStyle w:val="62"/>
          <w:rFonts w:hint="eastAsia" w:ascii="仿宋" w:hAnsi="仿宋" w:eastAsia="仿宋" w:cs="仿宋"/>
          <w:color w:val="auto"/>
          <w:sz w:val="28"/>
          <w:szCs w:val="28"/>
          <w:highlight w:val="cyan"/>
        </w:rPr>
        <w:t>日</w:t>
      </w:r>
      <w:r>
        <w:rPr>
          <w:rStyle w:val="62"/>
          <w:rFonts w:hint="eastAsia" w:ascii="仿宋" w:hAnsi="仿宋" w:eastAsia="仿宋" w:cs="仿宋"/>
          <w:color w:val="auto"/>
          <w:sz w:val="28"/>
          <w:szCs w:val="28"/>
          <w:highlight w:val="cyan"/>
          <w:lang w:val="en-US" w:eastAsia="zh-CN"/>
        </w:rPr>
        <w:t>16</w:t>
      </w:r>
      <w:r>
        <w:rPr>
          <w:rStyle w:val="62"/>
          <w:rFonts w:hint="eastAsia" w:ascii="仿宋" w:hAnsi="仿宋" w:eastAsia="仿宋" w:cs="仿宋"/>
          <w:color w:val="auto"/>
          <w:sz w:val="28"/>
          <w:szCs w:val="28"/>
          <w:highlight w:val="cyan"/>
        </w:rPr>
        <w:t>:</w:t>
      </w:r>
      <w:r>
        <w:rPr>
          <w:rStyle w:val="62"/>
          <w:rFonts w:hint="eastAsia" w:ascii="仿宋" w:hAnsi="仿宋" w:eastAsia="仿宋" w:cs="仿宋"/>
          <w:color w:val="auto"/>
          <w:sz w:val="28"/>
          <w:szCs w:val="28"/>
          <w:highlight w:val="cyan"/>
          <w:lang w:val="en-US" w:eastAsia="zh-CN"/>
        </w:rPr>
        <w:t>00</w:t>
      </w:r>
      <w:r>
        <w:rPr>
          <w:rStyle w:val="62"/>
          <w:rFonts w:hint="eastAsia" w:ascii="仿宋" w:hAnsi="仿宋" w:eastAsia="仿宋" w:cs="仿宋"/>
          <w:color w:val="auto"/>
          <w:sz w:val="28"/>
          <w:szCs w:val="28"/>
          <w:highlight w:val="none"/>
        </w:rPr>
        <w:t>（北京时间）</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w:t>
      </w:r>
      <w:r>
        <w:rPr>
          <w:rFonts w:hint="eastAsia" w:ascii="仿宋" w:hAnsi="仿宋" w:eastAsia="仿宋" w:cs="仿宋"/>
          <w:color w:val="auto"/>
          <w:sz w:val="27"/>
          <w:szCs w:val="27"/>
          <w:highlight w:val="none"/>
        </w:rPr>
        <w:t>新疆政府采购云平台（https://www.zcygov.cn/）</w:t>
      </w: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六、公告期限</w:t>
      </w:r>
    </w:p>
    <w:p>
      <w:pPr>
        <w:pStyle w:val="27"/>
        <w:spacing w:before="50" w:beforeAutospacing="0" w:after="50"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自本公告发布之日起5个工作日。</w:t>
      </w:r>
    </w:p>
    <w:p>
      <w:pPr>
        <w:pStyle w:val="27"/>
        <w:spacing w:before="170" w:beforeAutospacing="0" w:after="170" w:afterAutospacing="0" w:line="30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七、其他补充事宜</w:t>
      </w:r>
      <w:r>
        <w:rPr>
          <w:rFonts w:hint="eastAsia" w:ascii="仿宋" w:hAnsi="仿宋" w:eastAsia="仿宋" w:cs="仿宋"/>
          <w:color w:val="auto"/>
          <w:sz w:val="28"/>
          <w:szCs w:val="28"/>
          <w:highlight w:val="none"/>
        </w:rPr>
        <w:t> </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1、本项目采用全流程不见面电子开评标，供应商需要使用CA加密设备，供应商可通过新疆数字证书认证中心官网（https://www.xjca.com.cn/）或下载“新疆政务通”APP自行进行申领。</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2、本项目实行网上投标，采用加密电子投标响应文件(供应商须使用CA加密设备通过政采云电子投标客户端制作投标响应文件)。若供应商参与投标，自行承担投标一切费用。</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3、各投标人在开标前应确保成为新疆政府采购网正式注册入库供应商，并完成CA数字证书申领。因未注册入库、未办理CA数字证书等原因造成无法投标或投标失败等后果由供应商自行承担。</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27"/>
        <w:spacing w:before="50" w:beforeAutospacing="0" w:after="50" w:afterAutospacing="0" w:line="2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Style w:val="27"/>
        <w:spacing w:before="170" w:beforeAutospacing="0" w:after="170" w:afterAutospacing="0" w:line="320" w:lineRule="atLeast"/>
        <w:jc w:val="both"/>
        <w:rPr>
          <w:rFonts w:hint="eastAsia" w:ascii="仿宋" w:hAnsi="仿宋" w:eastAsia="仿宋" w:cs="仿宋"/>
          <w:color w:val="auto"/>
          <w:sz w:val="28"/>
          <w:szCs w:val="28"/>
          <w:highlight w:val="none"/>
        </w:rPr>
      </w:pPr>
      <w:r>
        <w:rPr>
          <w:rStyle w:val="35"/>
          <w:rFonts w:hint="eastAsia" w:ascii="仿宋" w:hAnsi="仿宋" w:eastAsia="仿宋" w:cs="仿宋"/>
          <w:color w:val="auto"/>
          <w:sz w:val="28"/>
          <w:szCs w:val="28"/>
          <w:highlight w:val="none"/>
        </w:rPr>
        <w:t>八、凡对本次招标提出询问，请按以下方式联系</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color w:val="auto"/>
          <w:highlight w:val="none"/>
        </w:rPr>
        <w:fldChar w:fldCharType="begin"/>
      </w:r>
      <w:r>
        <w:rPr>
          <w:color w:val="auto"/>
          <w:highlight w:val="none"/>
        </w:rPr>
        <w:instrText xml:space="preserve"> HYPERLINK "https://middle.zcygov.cn/web-user/" \l "/plan/list/_blank" \t "https://pay.zcygov.cn/purchaseplan_front/" </w:instrText>
      </w:r>
      <w:r>
        <w:rPr>
          <w:color w:val="auto"/>
          <w:highlight w:val="none"/>
        </w:rPr>
        <w:fldChar w:fldCharType="separate"/>
      </w:r>
      <w:r>
        <w:rPr>
          <w:rFonts w:hint="eastAsia" w:ascii="仿宋" w:hAnsi="仿宋" w:eastAsia="仿宋" w:cs="仿宋"/>
          <w:color w:val="auto"/>
          <w:sz w:val="28"/>
          <w:szCs w:val="28"/>
          <w:highlight w:val="none"/>
          <w:lang w:eastAsia="zh-CN"/>
        </w:rPr>
        <w:t>新疆维吾尔自治区人力资源社会保障厅</w:t>
      </w:r>
      <w:r>
        <w:rPr>
          <w:rFonts w:hint="eastAsia" w:ascii="仿宋" w:hAnsi="仿宋" w:eastAsia="仿宋" w:cs="仿宋"/>
          <w:color w:val="auto"/>
          <w:sz w:val="28"/>
          <w:szCs w:val="28"/>
          <w:highlight w:val="none"/>
        </w:rPr>
        <w:fldChar w:fldCharType="end"/>
      </w:r>
    </w:p>
    <w:p>
      <w:pPr>
        <w:pStyle w:val="27"/>
        <w:spacing w:before="50" w:beforeAutospacing="0" w:after="50" w:afterAutospacing="0"/>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乌鲁木齐市北京南路 445 号</w:t>
      </w:r>
    </w:p>
    <w:p>
      <w:pPr>
        <w:pStyle w:val="27"/>
        <w:spacing w:before="50" w:beforeAutospacing="0" w:after="50" w:afterAutospacing="0"/>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0991-3689668</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称：新疆星圣源工程项目管理有限公司</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址：新疆乌鲁木齐市沙依巴克区奇台路658号德汇新天地E2-1703-2室</w:t>
      </w:r>
    </w:p>
    <w:p>
      <w:pPr>
        <w:pStyle w:val="27"/>
        <w:spacing w:before="50" w:beforeAutospacing="0" w:after="50" w:afterAutospacing="0"/>
        <w:ind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联系方式：0991-5803779</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pPr>
        <w:pStyle w:val="27"/>
        <w:spacing w:before="50" w:beforeAutospacing="0" w:after="50" w:afterAutospacing="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项目联系人：杨工</w:t>
      </w:r>
    </w:p>
    <w:p>
      <w:pPr>
        <w:pStyle w:val="27"/>
        <w:spacing w:before="50" w:beforeAutospacing="0" w:after="50" w:afterAutospacing="0"/>
        <w:ind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话：0991-5803779</w:t>
      </w:r>
    </w:p>
    <w:p>
      <w:pPr>
        <w:pStyle w:val="20"/>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0" w:name="_Toc14193"/>
      <w:r>
        <w:rPr>
          <w:rFonts w:hint="eastAsia" w:ascii="宋体" w:hAnsi="宋体" w:eastAsia="宋体" w:cs="宋体"/>
          <w:color w:val="auto"/>
          <w:sz w:val="28"/>
          <w:szCs w:val="28"/>
          <w:highlight w:val="none"/>
        </w:rPr>
        <w:t>第一部分   供应商须知</w:t>
      </w:r>
      <w:bookmarkEnd w:id="0"/>
    </w:p>
    <w:tbl>
      <w:tblPr>
        <w:tblStyle w:val="32"/>
        <w:tblW w:w="103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2"/>
        <w:gridCol w:w="2406"/>
        <w:gridCol w:w="69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62"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6939"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磋商文件编号</w:t>
            </w:r>
          </w:p>
        </w:tc>
        <w:tc>
          <w:tcPr>
            <w:tcW w:w="6939" w:type="dxa"/>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XSY-2023-Z-113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2</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939" w:type="dxa"/>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自治区人社厅信息安全测试及源代码安全审计服务项目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3</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1.采购人信息</w:t>
            </w:r>
          </w:p>
          <w:p>
            <w:pPr>
              <w:spacing w:line="44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单位名称：</w:t>
            </w:r>
            <w:r>
              <w:rPr>
                <w:rFonts w:hint="eastAsia" w:ascii="宋体" w:hAnsi="宋体" w:cs="宋体"/>
                <w:color w:val="auto"/>
                <w:kern w:val="0"/>
                <w:sz w:val="24"/>
                <w:highlight w:val="none"/>
                <w:lang w:eastAsia="zh-CN"/>
              </w:rPr>
              <w:t>新疆维吾尔自治区人力资源社会保障厅</w:t>
            </w:r>
          </w:p>
          <w:p>
            <w:pPr>
              <w:spacing w:line="44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单位地址：</w:t>
            </w:r>
            <w:r>
              <w:rPr>
                <w:rFonts w:hint="eastAsia" w:ascii="宋体" w:hAnsi="宋体" w:cs="宋体"/>
                <w:color w:val="auto"/>
                <w:kern w:val="0"/>
                <w:sz w:val="24"/>
                <w:highlight w:val="none"/>
                <w:lang w:eastAsia="zh-CN"/>
              </w:rPr>
              <w:t>乌鲁木齐市北京南路 445 号</w:t>
            </w:r>
          </w:p>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lang w:eastAsia="zh-CN"/>
              </w:rPr>
              <w:t>0991-3689668</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采购代理机构信息</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名 称：新疆星圣源工程项目管理有限公司</w:t>
            </w:r>
          </w:p>
          <w:p>
            <w:pPr>
              <w:overflowPunct w:val="0"/>
              <w:spacing w:line="440" w:lineRule="exact"/>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地 址：新疆乌鲁木齐市沙依巴克区奇台路658号德汇新天地E2-1703-02室</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联系方式：0991-5803779</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3.项目联系方式</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项目联系人：杨工</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电 话：0991-5803779</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QQ邮箱：1617593161@qq.com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4</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1730000</w:t>
            </w:r>
            <w:r>
              <w:rPr>
                <w:rFonts w:hint="eastAsia" w:ascii="宋体" w:hAnsi="宋体" w:cs="宋体"/>
                <w:color w:val="auto"/>
                <w:sz w:val="24"/>
                <w:highlight w:val="none"/>
              </w:rPr>
              <w:t>元</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预算包含回归测试费用（总次数不超过5次）及税费。</w:t>
            </w:r>
            <w:r>
              <w:rPr>
                <w:rFonts w:hint="eastAsia" w:ascii="宋体" w:hAnsi="宋体" w:cs="宋体"/>
                <w:color w:val="auto"/>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5</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采购内容</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信息安全测试及源代码安全审计服务</w:t>
            </w: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962" w:type="dxa"/>
            <w:vAlign w:val="center"/>
          </w:tcPr>
          <w:p>
            <w:pPr>
              <w:jc w:val="center"/>
              <w:rPr>
                <w:rFonts w:hint="eastAsia" w:ascii="宋体" w:hAnsi="宋体" w:cs="宋体"/>
                <w:color w:val="auto"/>
                <w:highlight w:val="none"/>
              </w:rPr>
            </w:pPr>
            <w:r>
              <w:rPr>
                <w:rFonts w:hint="eastAsia" w:ascii="宋体" w:hAnsi="宋体" w:cs="宋体"/>
                <w:color w:val="auto"/>
                <w:highlight w:val="none"/>
              </w:rPr>
              <w:t>6</w:t>
            </w:r>
          </w:p>
        </w:tc>
        <w:tc>
          <w:tcPr>
            <w:tcW w:w="2406" w:type="dxa"/>
            <w:vAlign w:val="center"/>
          </w:tcPr>
          <w:p>
            <w:pPr>
              <w:overflowPunct w:val="0"/>
              <w:spacing w:line="440" w:lineRule="exact"/>
              <w:jc w:val="center"/>
              <w:rPr>
                <w:rFonts w:hint="eastAsia" w:ascii="宋体" w:hAnsi="宋体" w:cs="宋体"/>
                <w:color w:val="auto"/>
                <w:sz w:val="24"/>
                <w:highlight w:val="yellow"/>
              </w:rPr>
            </w:pPr>
            <w:r>
              <w:rPr>
                <w:rFonts w:hint="eastAsia" w:ascii="宋体" w:hAnsi="宋体" w:cs="宋体"/>
                <w:color w:val="auto"/>
                <w:sz w:val="24"/>
                <w:highlight w:val="none"/>
              </w:rPr>
              <w:t>服务期限</w:t>
            </w:r>
          </w:p>
        </w:tc>
        <w:tc>
          <w:tcPr>
            <w:tcW w:w="6939" w:type="dxa"/>
            <w:vAlign w:val="center"/>
          </w:tcPr>
          <w:p>
            <w:pPr>
              <w:overflowPunct w:val="0"/>
              <w:spacing w:line="440" w:lineRule="exact"/>
              <w:rPr>
                <w:rFonts w:hint="eastAsia" w:ascii="宋体" w:hAnsi="宋体" w:cs="宋体"/>
                <w:color w:val="auto"/>
                <w:sz w:val="24"/>
                <w:highlight w:val="yellow"/>
              </w:rPr>
            </w:pPr>
            <w:r>
              <w:rPr>
                <w:rFonts w:hint="eastAsia" w:ascii="宋体" w:hAnsi="宋体" w:cs="宋体"/>
                <w:color w:val="auto"/>
                <w:sz w:val="24"/>
                <w:highlight w:val="none"/>
              </w:rPr>
              <w:t>合同签订后6个月内，完成全部第三方测试服务内容。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7</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磋商供应商资格要求</w:t>
            </w:r>
          </w:p>
        </w:tc>
        <w:tc>
          <w:tcPr>
            <w:tcW w:w="6939" w:type="dxa"/>
            <w:vAlign w:val="center"/>
          </w:tcPr>
          <w:p>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1.满足《中华人民共和国政府采购法》第二十二条规定；</w:t>
            </w:r>
          </w:p>
          <w:p>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2.落实政府采购政策需满足的资格要求：本项目专门面向</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w:t>
            </w:r>
          </w:p>
          <w:p>
            <w:pPr>
              <w:spacing w:line="440" w:lineRule="exact"/>
              <w:rPr>
                <w:rFonts w:hint="eastAsia"/>
                <w:color w:val="auto"/>
                <w:highlight w:val="none"/>
              </w:rPr>
            </w:pPr>
            <w:r>
              <w:rPr>
                <w:rFonts w:hint="eastAsia" w:ascii="宋体" w:hAnsi="宋体" w:cs="宋体"/>
                <w:color w:val="auto"/>
                <w:kern w:val="0"/>
                <w:sz w:val="24"/>
                <w:highlight w:val="none"/>
              </w:rPr>
              <w:t>3.本项目的特定资格要求：无。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62"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highlight w:val="none"/>
              </w:rPr>
              <w:t>8</w:t>
            </w:r>
          </w:p>
        </w:tc>
        <w:tc>
          <w:tcPr>
            <w:tcW w:w="2406" w:type="dxa"/>
            <w:tcBorders>
              <w:bottom w:val="single" w:color="auto" w:sz="4" w:space="0"/>
              <w:right w:val="single" w:color="auto" w:sz="4" w:space="0"/>
            </w:tcBorders>
            <w:vAlign w:val="center"/>
          </w:tcPr>
          <w:p>
            <w:pPr>
              <w:pStyle w:val="134"/>
              <w:ind w:left="38"/>
              <w:jc w:val="center"/>
              <w:rPr>
                <w:rFonts w:hint="eastAsia"/>
                <w:color w:val="auto"/>
                <w:kern w:val="2"/>
                <w:highlight w:val="none"/>
              </w:rPr>
            </w:pPr>
            <w:r>
              <w:rPr>
                <w:rFonts w:hint="eastAsia"/>
                <w:color w:val="auto"/>
                <w:kern w:val="2"/>
                <w:highlight w:val="none"/>
              </w:rPr>
              <w:t>信用情况</w:t>
            </w:r>
          </w:p>
        </w:tc>
        <w:tc>
          <w:tcPr>
            <w:tcW w:w="6939" w:type="dxa"/>
            <w:tcBorders>
              <w:left w:val="single" w:color="auto" w:sz="4" w:space="0"/>
              <w:bottom w:val="single" w:color="auto" w:sz="4" w:space="0"/>
            </w:tcBorders>
            <w:vAlign w:val="center"/>
          </w:tcPr>
          <w:p>
            <w:pPr>
              <w:widowControl/>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信用记录审查：</w:t>
            </w:r>
          </w:p>
          <w:p>
            <w:pPr>
              <w:widowControl/>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宋体"/>
                <w:color w:val="auto"/>
                <w:kern w:val="0"/>
                <w:sz w:val="24"/>
                <w:highlight w:val="none"/>
              </w:rPr>
              <w:t>“中国执行信息公开网”（http://zxgk.court.gov.cn/）、</w:t>
            </w:r>
            <w:r>
              <w:rPr>
                <w:rFonts w:hint="eastAsia" w:ascii="宋体" w:hAnsi="宋体" w:cs="宋体"/>
                <w:color w:val="auto"/>
                <w:sz w:val="24"/>
                <w:highlight w:val="none"/>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widowControl/>
              <w:spacing w:line="440" w:lineRule="exact"/>
              <w:jc w:val="left"/>
              <w:rPr>
                <w:rFonts w:hint="eastAsia" w:ascii="宋体" w:hAnsi="宋体" w:cs="宋体"/>
                <w:b/>
                <w:color w:val="auto"/>
                <w:sz w:val="24"/>
                <w:highlight w:val="none"/>
              </w:rPr>
            </w:pPr>
            <w:r>
              <w:rPr>
                <w:rFonts w:hint="eastAsia" w:ascii="宋体" w:hAnsi="宋体" w:cs="宋体"/>
                <w:b/>
                <w:color w:val="auto"/>
                <w:sz w:val="24"/>
                <w:highlight w:val="none"/>
              </w:rPr>
              <w:t>本项目不接受失信企业参与磋商。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962" w:type="dxa"/>
            <w:tcBorders>
              <w:top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highlight w:val="none"/>
              </w:rPr>
              <w:t>9</w:t>
            </w:r>
          </w:p>
        </w:tc>
        <w:tc>
          <w:tcPr>
            <w:tcW w:w="2406" w:type="dxa"/>
            <w:tcBorders>
              <w:top w:val="single" w:color="auto" w:sz="4" w:space="0"/>
            </w:tcBorders>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是否接受联合体参与磋商</w:t>
            </w:r>
          </w:p>
        </w:tc>
        <w:tc>
          <w:tcPr>
            <w:tcW w:w="6939" w:type="dxa"/>
            <w:tcBorders>
              <w:top w:val="single" w:color="auto" w:sz="4" w:space="0"/>
            </w:tcBorders>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10</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磋商文件发放日期</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cyan"/>
              </w:rPr>
              <w:t>2023年</w:t>
            </w:r>
            <w:r>
              <w:rPr>
                <w:rFonts w:hint="eastAsia" w:ascii="宋体" w:hAnsi="宋体" w:cs="宋体"/>
                <w:color w:val="auto"/>
                <w:sz w:val="24"/>
                <w:highlight w:val="cyan"/>
                <w:lang w:val="en-US" w:eastAsia="zh-CN"/>
              </w:rPr>
              <w:t>11</w:t>
            </w:r>
            <w:r>
              <w:rPr>
                <w:rFonts w:hint="eastAsia" w:ascii="宋体" w:hAnsi="宋体" w:cs="宋体"/>
                <w:color w:val="auto"/>
                <w:sz w:val="24"/>
                <w:highlight w:val="cyan"/>
              </w:rPr>
              <w:t>月</w:t>
            </w:r>
            <w:r>
              <w:rPr>
                <w:rFonts w:hint="eastAsia" w:ascii="宋体" w:hAnsi="宋体" w:cs="宋体"/>
                <w:color w:val="auto"/>
                <w:sz w:val="24"/>
                <w:highlight w:val="cyan"/>
                <w:lang w:val="en-US" w:eastAsia="zh-CN"/>
              </w:rPr>
              <w:t>22</w:t>
            </w:r>
            <w:r>
              <w:rPr>
                <w:rFonts w:hint="eastAsia" w:ascii="宋体" w:hAnsi="宋体" w:cs="宋体"/>
                <w:color w:val="auto"/>
                <w:sz w:val="24"/>
                <w:highlight w:val="cyan"/>
              </w:rPr>
              <w:t>日至2023年</w:t>
            </w:r>
            <w:r>
              <w:rPr>
                <w:rFonts w:hint="eastAsia" w:ascii="宋体" w:hAnsi="宋体" w:cs="宋体"/>
                <w:color w:val="auto"/>
                <w:sz w:val="24"/>
                <w:highlight w:val="cyan"/>
                <w:lang w:val="en-US" w:eastAsia="zh-CN"/>
              </w:rPr>
              <w:t>11</w:t>
            </w:r>
            <w:r>
              <w:rPr>
                <w:rFonts w:hint="eastAsia" w:ascii="宋体" w:hAnsi="宋体" w:cs="宋体"/>
                <w:color w:val="auto"/>
                <w:sz w:val="24"/>
                <w:highlight w:val="cyan"/>
              </w:rPr>
              <w:t>月</w:t>
            </w:r>
            <w:r>
              <w:rPr>
                <w:rFonts w:hint="eastAsia" w:ascii="宋体" w:hAnsi="宋体" w:cs="宋体"/>
                <w:color w:val="auto"/>
                <w:sz w:val="24"/>
                <w:highlight w:val="cyan"/>
                <w:lang w:val="en-US" w:eastAsia="zh-CN"/>
              </w:rPr>
              <w:t>29</w:t>
            </w:r>
            <w:r>
              <w:rPr>
                <w:rFonts w:hint="eastAsia" w:ascii="宋体" w:hAnsi="宋体" w:cs="宋体"/>
                <w:color w:val="auto"/>
                <w:sz w:val="24"/>
                <w:highlight w:val="cyan"/>
              </w:rPr>
              <w:t>日</w:t>
            </w:r>
            <w:r>
              <w:rPr>
                <w:rFonts w:hint="eastAsia" w:ascii="宋体" w:hAnsi="宋体" w:cs="宋体"/>
                <w:color w:val="auto"/>
                <w:sz w:val="24"/>
                <w:highlight w:val="none"/>
              </w:rPr>
              <w:t>，每天上午10:00 至 14:00，下午15:</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至19:</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（北京时间，法定节假日除外）</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方式：线上获取。</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线上：供应商登录政采云平台https://www.zcygov.cn/在线申请获取招标文件（进入“项目采购”应用，在获取采购文件菜单中选择项目，申请免费获取招标文件。）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11</w:t>
            </w:r>
          </w:p>
        </w:tc>
        <w:tc>
          <w:tcPr>
            <w:tcW w:w="2406"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磋商时间及响应性文件递交截止时间</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cyan"/>
              </w:rPr>
              <w:t>2023年</w:t>
            </w:r>
            <w:r>
              <w:rPr>
                <w:rFonts w:hint="eastAsia" w:ascii="宋体" w:hAnsi="宋体" w:cs="宋体"/>
                <w:color w:val="auto"/>
                <w:sz w:val="24"/>
                <w:highlight w:val="cyan"/>
                <w:lang w:val="en-US" w:eastAsia="zh-CN"/>
              </w:rPr>
              <w:t>12</w:t>
            </w:r>
            <w:r>
              <w:rPr>
                <w:rFonts w:hint="eastAsia" w:ascii="宋体" w:hAnsi="宋体" w:cs="宋体"/>
                <w:color w:val="auto"/>
                <w:sz w:val="24"/>
                <w:highlight w:val="cyan"/>
              </w:rPr>
              <w:t>月</w:t>
            </w:r>
            <w:r>
              <w:rPr>
                <w:rFonts w:hint="eastAsia" w:ascii="宋体" w:hAnsi="宋体" w:cs="宋体"/>
                <w:color w:val="auto"/>
                <w:sz w:val="24"/>
                <w:highlight w:val="cyan"/>
                <w:lang w:val="en-US" w:eastAsia="zh-CN"/>
              </w:rPr>
              <w:t>5</w:t>
            </w:r>
            <w:r>
              <w:rPr>
                <w:rFonts w:hint="eastAsia" w:ascii="宋体" w:hAnsi="宋体" w:cs="宋体"/>
                <w:color w:val="auto"/>
                <w:sz w:val="24"/>
                <w:highlight w:val="cyan"/>
              </w:rPr>
              <w:t>日</w:t>
            </w:r>
            <w:r>
              <w:rPr>
                <w:rFonts w:hint="eastAsia" w:ascii="宋体" w:hAnsi="宋体" w:cs="宋体"/>
                <w:color w:val="auto"/>
                <w:sz w:val="24"/>
                <w:highlight w:val="cyan"/>
                <w:lang w:val="en-US" w:eastAsia="zh-CN"/>
              </w:rPr>
              <w:t>16</w:t>
            </w:r>
            <w:r>
              <w:rPr>
                <w:rFonts w:hint="eastAsia" w:ascii="宋体" w:hAnsi="宋体" w:cs="宋体"/>
                <w:color w:val="auto"/>
                <w:sz w:val="24"/>
                <w:highlight w:val="cyan"/>
              </w:rPr>
              <w:t>：</w:t>
            </w:r>
            <w:r>
              <w:rPr>
                <w:rFonts w:hint="eastAsia" w:ascii="宋体" w:hAnsi="宋体" w:cs="宋体"/>
                <w:color w:val="auto"/>
                <w:sz w:val="24"/>
                <w:highlight w:val="cyan"/>
                <w:lang w:val="en-US" w:eastAsia="zh-CN"/>
              </w:rPr>
              <w:t>00</w:t>
            </w:r>
            <w:r>
              <w:rPr>
                <w:rFonts w:hint="eastAsia" w:ascii="宋体" w:hAnsi="宋体" w:cs="宋体"/>
                <w:color w:val="auto"/>
                <w:sz w:val="24"/>
                <w:highlight w:val="none"/>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12</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响应性文件递交地点及磋商地点</w:t>
            </w:r>
          </w:p>
        </w:tc>
        <w:tc>
          <w:tcPr>
            <w:tcW w:w="6939" w:type="dxa"/>
            <w:vAlign w:val="center"/>
          </w:tcPr>
          <w:p>
            <w:pPr>
              <w:overflowPunct w:val="0"/>
              <w:spacing w:line="440" w:lineRule="exact"/>
              <w:rPr>
                <w:rFonts w:ascii="宋体" w:hAnsi="宋体" w:cs="宋体"/>
                <w:color w:val="auto"/>
                <w:sz w:val="24"/>
                <w:highlight w:val="none"/>
              </w:rPr>
            </w:pPr>
            <w:r>
              <w:rPr>
                <w:rFonts w:ascii="宋体" w:hAnsi="宋体" w:cs="宋体"/>
                <w:color w:val="auto"/>
                <w:sz w:val="24"/>
                <w:highlight w:val="none"/>
              </w:rPr>
              <w:t>政采云平台（https://www.zcygov.cn/），本项目采用不见面开标，加密的电子投标文件在投标截止时间前通过CA在政采云平台上传。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62" w:type="dxa"/>
            <w:tcBorders>
              <w:top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highlight w:val="none"/>
              </w:rPr>
              <w:t>13</w:t>
            </w:r>
          </w:p>
        </w:tc>
        <w:tc>
          <w:tcPr>
            <w:tcW w:w="2406" w:type="dxa"/>
            <w:tcBorders>
              <w:top w:val="single" w:color="auto" w:sz="4" w:space="0"/>
            </w:tcBorders>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响应性有效期</w:t>
            </w:r>
          </w:p>
        </w:tc>
        <w:tc>
          <w:tcPr>
            <w:tcW w:w="6939" w:type="dxa"/>
            <w:tcBorders>
              <w:top w:val="single" w:color="auto" w:sz="4" w:space="0"/>
            </w:tcBorders>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62"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highlight w:val="none"/>
              </w:rPr>
              <w:t>14</w:t>
            </w:r>
          </w:p>
        </w:tc>
        <w:tc>
          <w:tcPr>
            <w:tcW w:w="2406" w:type="dxa"/>
            <w:tcBorders>
              <w:bottom w:val="single" w:color="auto" w:sz="4" w:space="0"/>
            </w:tcBorders>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6939" w:type="dxa"/>
            <w:tcBorders>
              <w:bottom w:val="single" w:color="auto" w:sz="4" w:space="0"/>
            </w:tcBorders>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15</w:t>
            </w:r>
          </w:p>
        </w:tc>
        <w:tc>
          <w:tcPr>
            <w:tcW w:w="2406" w:type="dxa"/>
            <w:vAlign w:val="center"/>
          </w:tcPr>
          <w:p>
            <w:pPr>
              <w:overflowPunct w:val="0"/>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所属行业</w:t>
            </w:r>
          </w:p>
        </w:tc>
        <w:tc>
          <w:tcPr>
            <w:tcW w:w="6939" w:type="dxa"/>
            <w:vAlign w:val="center"/>
          </w:tcPr>
          <w:p>
            <w:pPr>
              <w:overflowPunct w:val="0"/>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软件和信息技术服务业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highlight w:val="none"/>
              </w:rPr>
              <w:t>16</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响应性文件组成、份数及磋商响应报价表</w:t>
            </w:r>
          </w:p>
        </w:tc>
        <w:tc>
          <w:tcPr>
            <w:tcW w:w="6939" w:type="dxa"/>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1．本项目采用不见面开标、供应商需要递交电子响应文件，加密的电子响应文件，在投标截止时间前通过政采云平台上传到指定位置。无需递交纸质文件。</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磋商当日，供应商无需到达开标现场，仅需在任意地点通过政采云平台完成响应文件递交截止时间前签到、开标过程中远程解密、提疑澄清、开标、结果公布等交互环节。供应商必须使用能正确解密响应文件的“CA锁”在规定的时间内完成远程解密，因供应商原因未能解密、解密失败或解密超时，视为供应商撤销其响应文件，系统内响应文件将被退回；</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解密时长：30分钟。</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二次报价（最终报价）时长：30分钟。（二次报价必须填报，未填报二次报价将造成废标，供应商自行承担未填报二次报价所导致的一切后果。）</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3. 参与“不见面”开标的采购人或其委托采购代理机构、供应商等各交易主体，应当按照规定使用CA数字证书及电子签章。各方主体在系统中所有操作均具有法律效力，并承担法律责任。</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4.供应商（供应商）由于数字证书遗失、损坏、更换、续期等情况导致响应文件无法解密，由供应商（供应商）自行承担责任。</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5.各供应商（供应商）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6.开标、评标过程中，供应商（供应商）参与远程音视频交互（以下简称“交互”）的法定代表人或授权委托人应始终为同一人，中途不得更换，并保持签到的通讯畅通。供应商端口操作人员均被视为供应商法定代表人或授权委托人，供应商自行承担随意更换人员所导致的一切后果。</w:t>
            </w:r>
          </w:p>
          <w:p>
            <w:pPr>
              <w:overflowPunct w:val="0"/>
              <w:spacing w:line="440" w:lineRule="exact"/>
              <w:rPr>
                <w:rFonts w:ascii="宋体" w:hAnsi="宋体" w:cs="宋体"/>
                <w:color w:val="auto"/>
                <w:sz w:val="24"/>
                <w:highlight w:val="none"/>
              </w:rPr>
            </w:pPr>
            <w:r>
              <w:rPr>
                <w:rFonts w:hint="eastAsia" w:ascii="宋体" w:hAnsi="宋体" w:cs="宋体"/>
                <w:b/>
                <w:bCs/>
                <w:color w:val="auto"/>
                <w:sz w:val="24"/>
                <w:highlight w:val="none"/>
              </w:rPr>
              <w:t>注：成交供应商在领取成交通知书时须递交纸质响应文件叁份（正本壹份，副本贰份）胶装及盖章，副本可以是正本签字盖章后的复印件。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响应性文件的签署规定（中标供应商）</w:t>
            </w:r>
          </w:p>
        </w:tc>
        <w:tc>
          <w:tcPr>
            <w:tcW w:w="693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 响应性文件应用不褪色的材料打印或书写，并按采购文件要求在签字盖章处加盖公章和由法定代表人或其授权代表签字。</w:t>
            </w:r>
          </w:p>
          <w:p>
            <w:pPr>
              <w:spacing w:line="440" w:lineRule="exact"/>
              <w:rPr>
                <w:rFonts w:hint="eastAsia" w:ascii="宋体" w:hAnsi="宋体" w:cs="宋体"/>
                <w:bCs/>
                <w:color w:val="auto"/>
                <w:sz w:val="24"/>
                <w:highlight w:val="none"/>
              </w:rPr>
            </w:pPr>
            <w:r>
              <w:rPr>
                <w:rFonts w:hint="eastAsia" w:ascii="宋体" w:hAnsi="宋体" w:cs="宋体"/>
                <w:color w:val="auto"/>
                <w:sz w:val="24"/>
                <w:highlight w:val="none"/>
              </w:rPr>
              <w:t>2.响应性文件中的任何行间插字、涂改和增删，应加盖公章或由投标人的法定代表人或其授权的代理人签字确认。</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 xml:space="preserve"> 副本可为正本加盖公章后的复印件。</w:t>
            </w:r>
            <w:r>
              <w:rPr>
                <w:rFonts w:hint="eastAsia" w:ascii="宋体" w:hAnsi="宋体" w:cs="宋体"/>
                <w:color w:val="auto"/>
                <w:sz w:val="24"/>
                <w:highlight w:val="none"/>
              </w:rPr>
              <w:t xml:space="preserve">响应性文件的正本与副本应当完全一致。当正本和副本、电子版之间出现差异时，以正本为准。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2406"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响应文件格式</w:t>
            </w:r>
          </w:p>
        </w:tc>
        <w:tc>
          <w:tcPr>
            <w:tcW w:w="693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1.供应商应按磋商文件提供的范本格式认真填写响应文件、磋商响应报价表。</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2.供应商应严格按磋商文件的格式要求及附件向采购代理机构提交响应文件，否则视为不响应磋商文件要求，如磋商文件没有提供格式的，供应商可自行设置。</w:t>
            </w:r>
          </w:p>
          <w:p>
            <w:pPr>
              <w:widowControl/>
              <w:spacing w:line="460" w:lineRule="atLeast"/>
              <w:jc w:val="left"/>
              <w:rPr>
                <w:rFonts w:hint="eastAsia" w:ascii="宋体" w:hAnsi="宋体" w:cs="宋体"/>
                <w:color w:val="auto"/>
                <w:sz w:val="24"/>
                <w:highlight w:val="none"/>
              </w:rPr>
            </w:pPr>
            <w:r>
              <w:rPr>
                <w:rFonts w:hint="eastAsia" w:ascii="宋体" w:hAnsi="宋体" w:cs="宋体"/>
                <w:color w:val="auto"/>
                <w:sz w:val="24"/>
                <w:highlight w:val="none"/>
              </w:rPr>
              <w:t>3.供应商应将响应文件按规定的顺序编排、并应编制目录、逐页标注连续页码。</w:t>
            </w:r>
          </w:p>
          <w:p>
            <w:pPr>
              <w:widowControl/>
              <w:spacing w:line="460" w:lineRule="atLeast"/>
              <w:jc w:val="left"/>
              <w:rPr>
                <w:rFonts w:hint="eastAsia" w:ascii="宋体" w:hAnsi="宋体" w:cs="宋体"/>
                <w:b/>
                <w:color w:val="auto"/>
                <w:sz w:val="24"/>
                <w:highlight w:val="none"/>
              </w:rPr>
            </w:pPr>
            <w:r>
              <w:rPr>
                <w:rFonts w:hint="eastAsia" w:ascii="宋体" w:hAnsi="宋体" w:cs="宋体"/>
                <w:color w:val="auto"/>
                <w:sz w:val="24"/>
                <w:highlight w:val="none"/>
              </w:rPr>
              <w:t>4.电报、电话、传真、电子邮件等形式的磋商响应概不接受。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62" w:type="dxa"/>
            <w:tcBorders>
              <w:top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19</w:t>
            </w:r>
          </w:p>
        </w:tc>
        <w:tc>
          <w:tcPr>
            <w:tcW w:w="2406" w:type="dxa"/>
            <w:tcBorders>
              <w:top w:val="single" w:color="auto" w:sz="4" w:space="0"/>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付款方式及币种</w:t>
            </w:r>
          </w:p>
        </w:tc>
        <w:tc>
          <w:tcPr>
            <w:tcW w:w="6939" w:type="dxa"/>
            <w:tcBorders>
              <w:top w:val="single" w:color="auto" w:sz="4" w:space="0"/>
            </w:tcBorders>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1、付款币种：本次采购所述的项目资金均以人民币支付。</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2、付款方式：最终付款方式以和甲方单位签订合同为主。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2406" w:type="dxa"/>
            <w:tcBorders>
              <w:top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相关账号</w:t>
            </w:r>
          </w:p>
        </w:tc>
        <w:tc>
          <w:tcPr>
            <w:tcW w:w="6939" w:type="dxa"/>
            <w:vAlign w:val="center"/>
          </w:tcPr>
          <w:p>
            <w:pPr>
              <w:spacing w:line="440" w:lineRule="exact"/>
              <w:rPr>
                <w:rFonts w:ascii="宋体" w:hAnsi="宋体" w:cs="宋体"/>
                <w:b/>
                <w:bCs/>
                <w:color w:val="auto"/>
                <w:sz w:val="24"/>
                <w:highlight w:val="none"/>
              </w:rPr>
            </w:pPr>
            <w:r>
              <w:rPr>
                <w:rFonts w:ascii="宋体" w:hAnsi="宋体" w:cs="宋体"/>
                <w:b/>
                <w:bCs/>
                <w:color w:val="auto"/>
                <w:sz w:val="24"/>
                <w:highlight w:val="none"/>
              </w:rPr>
              <w:t>1、投标保证金数额：</w:t>
            </w:r>
            <w:r>
              <w:rPr>
                <w:rFonts w:hint="eastAsia" w:ascii="宋体" w:hAnsi="宋体" w:cs="宋体"/>
                <w:b/>
                <w:bCs/>
                <w:color w:val="auto"/>
                <w:sz w:val="24"/>
                <w:highlight w:val="cyan"/>
                <w:lang w:val="en-US" w:eastAsia="zh-CN"/>
              </w:rPr>
              <w:t>34600</w:t>
            </w:r>
            <w:r>
              <w:rPr>
                <w:rFonts w:ascii="宋体" w:hAnsi="宋体" w:cs="宋体"/>
                <w:b/>
                <w:bCs/>
                <w:color w:val="auto"/>
                <w:sz w:val="24"/>
                <w:highlight w:val="cyan"/>
              </w:rPr>
              <w:t>元(人民币</w:t>
            </w:r>
            <w:r>
              <w:rPr>
                <w:rFonts w:hint="eastAsia" w:ascii="宋体" w:hAnsi="宋体" w:cs="宋体"/>
                <w:b/>
                <w:bCs/>
                <w:color w:val="auto"/>
                <w:sz w:val="24"/>
                <w:highlight w:val="cyan"/>
                <w:lang w:val="en-US" w:eastAsia="zh-CN"/>
              </w:rPr>
              <w:t>叁万肆仟陆佰</w:t>
            </w:r>
            <w:r>
              <w:rPr>
                <w:rFonts w:ascii="宋体" w:hAnsi="宋体" w:cs="宋体"/>
                <w:b/>
                <w:bCs/>
                <w:color w:val="auto"/>
                <w:sz w:val="24"/>
                <w:highlight w:val="cyan"/>
              </w:rPr>
              <w:t>元整)；</w:t>
            </w:r>
          </w:p>
          <w:p>
            <w:pPr>
              <w:spacing w:line="440" w:lineRule="exact"/>
              <w:rPr>
                <w:rFonts w:ascii="宋体" w:hAnsi="宋体" w:cs="宋体"/>
                <w:color w:val="auto"/>
                <w:sz w:val="24"/>
                <w:highlight w:val="none"/>
              </w:rPr>
            </w:pPr>
            <w:r>
              <w:rPr>
                <w:rFonts w:ascii="宋体" w:hAnsi="宋体" w:cs="宋体"/>
                <w:color w:val="auto"/>
                <w:sz w:val="24"/>
                <w:highlight w:val="none"/>
              </w:rPr>
              <w:t>2、保证金缴纳方式：供应商根据自身实际自行选择银行电汇（从其基本账户通过网银转账或银行电</w:t>
            </w:r>
            <w:bookmarkStart w:id="335" w:name="_GoBack"/>
            <w:bookmarkEnd w:id="335"/>
            <w:r>
              <w:rPr>
                <w:rFonts w:ascii="宋体" w:hAnsi="宋体" w:cs="宋体"/>
                <w:color w:val="auto"/>
                <w:sz w:val="24"/>
                <w:highlight w:val="none"/>
              </w:rPr>
              <w:t>汇形式转出）、银行保函或保险保单；</w:t>
            </w:r>
          </w:p>
          <w:p>
            <w:pPr>
              <w:spacing w:line="440" w:lineRule="exact"/>
              <w:rPr>
                <w:rFonts w:ascii="宋体" w:hAnsi="宋体" w:cs="宋体"/>
                <w:color w:val="auto"/>
                <w:sz w:val="24"/>
                <w:highlight w:val="none"/>
              </w:rPr>
            </w:pPr>
            <w:r>
              <w:rPr>
                <w:rFonts w:ascii="宋体" w:hAnsi="宋体" w:cs="宋体"/>
                <w:color w:val="auto"/>
                <w:sz w:val="24"/>
                <w:highlight w:val="none"/>
              </w:rPr>
              <w:t>3、递交时间：在投标截止时间前递交（以到账时间为准）；</w:t>
            </w:r>
          </w:p>
          <w:p>
            <w:pPr>
              <w:spacing w:line="440" w:lineRule="exact"/>
              <w:rPr>
                <w:rFonts w:ascii="宋体" w:hAnsi="宋体" w:cs="宋体"/>
                <w:color w:val="auto"/>
                <w:sz w:val="24"/>
                <w:highlight w:val="none"/>
              </w:rPr>
            </w:pPr>
            <w:r>
              <w:rPr>
                <w:rFonts w:ascii="宋体" w:hAnsi="宋体" w:cs="宋体"/>
                <w:color w:val="auto"/>
                <w:sz w:val="24"/>
                <w:highlight w:val="none"/>
              </w:rPr>
              <w:t>4、保证金凭证：投标单位提供打款凭证截图加盖公章；银行保函或保险保单由政采云平台机构出具的有效证件，其他不予认可。</w:t>
            </w:r>
          </w:p>
          <w:p>
            <w:pPr>
              <w:spacing w:line="440" w:lineRule="exact"/>
              <w:rPr>
                <w:rFonts w:ascii="宋体" w:hAnsi="宋体" w:cs="宋体"/>
                <w:color w:val="auto"/>
                <w:sz w:val="24"/>
                <w:highlight w:val="none"/>
              </w:rPr>
            </w:pPr>
            <w:r>
              <w:rPr>
                <w:rFonts w:ascii="宋体" w:hAnsi="宋体" w:cs="宋体"/>
                <w:color w:val="auto"/>
                <w:sz w:val="24"/>
                <w:highlight w:val="none"/>
              </w:rPr>
              <w:t>5、账户信息：</w:t>
            </w:r>
          </w:p>
          <w:p>
            <w:pPr>
              <w:spacing w:line="440" w:lineRule="exact"/>
              <w:rPr>
                <w:rFonts w:ascii="宋体" w:hAnsi="宋体" w:cs="宋体"/>
                <w:color w:val="auto"/>
                <w:sz w:val="24"/>
                <w:highlight w:val="none"/>
              </w:rPr>
            </w:pPr>
            <w:r>
              <w:rPr>
                <w:rFonts w:ascii="宋体" w:hAnsi="宋体" w:cs="宋体"/>
                <w:color w:val="auto"/>
                <w:sz w:val="24"/>
                <w:highlight w:val="none"/>
              </w:rPr>
              <w:t>账户名：</w:t>
            </w:r>
            <w:r>
              <w:rPr>
                <w:rFonts w:hint="eastAsia" w:ascii="宋体" w:hAnsi="宋体" w:cs="宋体"/>
                <w:color w:val="auto"/>
                <w:sz w:val="24"/>
                <w:highlight w:val="none"/>
              </w:rPr>
              <w:t>新疆星圣源工程项目管理有限公司</w:t>
            </w:r>
          </w:p>
          <w:p>
            <w:pPr>
              <w:spacing w:line="440" w:lineRule="exact"/>
              <w:rPr>
                <w:rFonts w:ascii="宋体" w:hAnsi="宋体" w:cs="宋体"/>
                <w:color w:val="auto"/>
                <w:sz w:val="24"/>
                <w:highlight w:val="none"/>
              </w:rPr>
            </w:pPr>
            <w:r>
              <w:rPr>
                <w:rFonts w:ascii="宋体" w:hAnsi="宋体" w:cs="宋体"/>
                <w:color w:val="auto"/>
                <w:sz w:val="24"/>
                <w:highlight w:val="none"/>
              </w:rPr>
              <w:t>开户行：乌鲁木齐银行黄河支行</w:t>
            </w:r>
          </w:p>
          <w:p>
            <w:pPr>
              <w:spacing w:line="440" w:lineRule="exact"/>
              <w:rPr>
                <w:rFonts w:ascii="宋体" w:hAnsi="宋体" w:cs="宋体"/>
                <w:color w:val="auto"/>
                <w:sz w:val="24"/>
                <w:highlight w:val="none"/>
              </w:rPr>
            </w:pPr>
            <w:r>
              <w:rPr>
                <w:rFonts w:ascii="宋体" w:hAnsi="宋体" w:cs="宋体"/>
                <w:color w:val="auto"/>
                <w:sz w:val="24"/>
                <w:highlight w:val="none"/>
              </w:rPr>
              <w:t>帐  号：0000020080110031013587</w:t>
            </w:r>
          </w:p>
          <w:p>
            <w:pPr>
              <w:spacing w:line="440" w:lineRule="exact"/>
              <w:rPr>
                <w:rFonts w:ascii="宋体" w:hAnsi="宋体" w:cs="宋体"/>
                <w:color w:val="auto"/>
                <w:sz w:val="24"/>
                <w:highlight w:val="none"/>
              </w:rPr>
            </w:pPr>
            <w:r>
              <w:rPr>
                <w:rFonts w:ascii="宋体" w:hAnsi="宋体" w:cs="宋体"/>
                <w:color w:val="auto"/>
                <w:sz w:val="24"/>
                <w:highlight w:val="none"/>
              </w:rPr>
              <w:t>行  号：313881000490</w:t>
            </w:r>
          </w:p>
          <w:p>
            <w:pPr>
              <w:spacing w:line="440" w:lineRule="exact"/>
              <w:rPr>
                <w:rFonts w:ascii="宋体" w:hAnsi="宋体" w:cs="宋体"/>
                <w:color w:val="auto"/>
                <w:sz w:val="24"/>
                <w:highlight w:val="none"/>
              </w:rPr>
            </w:pPr>
            <w:r>
              <w:rPr>
                <w:rFonts w:ascii="宋体" w:hAnsi="宋体" w:cs="宋体"/>
                <w:color w:val="auto"/>
                <w:sz w:val="24"/>
                <w:highlight w:val="none"/>
              </w:rPr>
              <w:t>6、投标保证金咨询电话：0991-5803779</w:t>
            </w:r>
          </w:p>
          <w:p>
            <w:pPr>
              <w:spacing w:line="440" w:lineRule="exact"/>
              <w:rPr>
                <w:rFonts w:ascii="宋体" w:hAnsi="宋体" w:cs="宋体"/>
                <w:color w:val="auto"/>
                <w:sz w:val="24"/>
                <w:highlight w:val="none"/>
              </w:rPr>
            </w:pPr>
            <w:r>
              <w:rPr>
                <w:rFonts w:ascii="宋体" w:hAnsi="宋体" w:cs="宋体"/>
                <w:b/>
                <w:bCs/>
                <w:color w:val="auto"/>
                <w:sz w:val="24"/>
                <w:highlight w:val="none"/>
              </w:rPr>
              <w:t>注：若选择银行电汇，则汇款单上必需备注项目编号+联系方式。投标保证金于投标截止日之前确认到账，若投标人未按照上述规定缴纳保证金,投标文件将被拒绝评审。例：</w:t>
            </w:r>
            <w:r>
              <w:rPr>
                <w:rFonts w:hint="eastAsia" w:ascii="宋体" w:hAnsi="宋体" w:cs="宋体"/>
                <w:b/>
                <w:bCs/>
                <w:color w:val="auto"/>
                <w:sz w:val="24"/>
                <w:highlight w:val="none"/>
                <w:lang w:eastAsia="zh-CN"/>
              </w:rPr>
              <w:t>XSY-2023-Z-113</w:t>
            </w:r>
            <w:r>
              <w:rPr>
                <w:rFonts w:ascii="宋体" w:hAnsi="宋体" w:cs="宋体"/>
                <w:b/>
                <w:bCs/>
                <w:color w:val="auto"/>
                <w:sz w:val="24"/>
                <w:highlight w:val="none"/>
              </w:rPr>
              <w:t>项目保证金</w:t>
            </w:r>
            <w:r>
              <w:rPr>
                <w:rFonts w:hint="eastAsia" w:ascii="宋体" w:hAnsi="宋体" w:cs="宋体"/>
                <w:b/>
                <w:bCs/>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2406" w:type="dxa"/>
            <w:tcBorders>
              <w:top w:val="single" w:color="auto" w:sz="4" w:space="0"/>
            </w:tcBorders>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磋商费用</w:t>
            </w:r>
          </w:p>
        </w:tc>
        <w:tc>
          <w:tcPr>
            <w:tcW w:w="6939" w:type="dxa"/>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不论磋商的结果如何，供应商均应自行承担所有与参加本项目采购活动有关的全部费用。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overflowPunct w:val="0"/>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2406" w:type="dxa"/>
            <w:vAlign w:val="center"/>
          </w:tcPr>
          <w:p>
            <w:pPr>
              <w:overflowPunct w:val="0"/>
              <w:spacing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采购代理服务费</w:t>
            </w:r>
          </w:p>
        </w:tc>
        <w:tc>
          <w:tcPr>
            <w:tcW w:w="6939" w:type="dxa"/>
            <w:vAlign w:val="center"/>
          </w:tcPr>
          <w:p>
            <w:pPr>
              <w:adjustRightInd w:val="0"/>
              <w:snapToGrid w:val="0"/>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1、代理报酬的计算方法：</w:t>
            </w:r>
            <w:r>
              <w:rPr>
                <w:rFonts w:hint="eastAsia" w:ascii="宋体" w:hAnsi="宋体" w:cs="宋体"/>
                <w:color w:val="auto"/>
                <w:sz w:val="24"/>
                <w:highlight w:val="none"/>
                <w:u w:val="single"/>
                <w:lang w:val="en-US" w:eastAsia="zh-CN"/>
              </w:rPr>
              <w:t>参照</w:t>
            </w:r>
            <w:r>
              <w:rPr>
                <w:rFonts w:hint="eastAsia" w:ascii="宋体" w:hAnsi="宋体" w:cs="宋体"/>
                <w:color w:val="auto"/>
                <w:sz w:val="24"/>
                <w:highlight w:val="none"/>
                <w:u w:val="single"/>
              </w:rPr>
              <w:t>国家计委关于《招标代理服务收费管理暂行办法》（计价格[2002]1980号）和国家发改价格【2011】534号文件规定的服务费取费收取</w:t>
            </w:r>
            <w:r>
              <w:rPr>
                <w:rFonts w:hint="eastAsia" w:ascii="宋体" w:hAnsi="宋体" w:cs="宋体"/>
                <w:color w:val="auto"/>
                <w:sz w:val="24"/>
                <w:highlight w:val="none"/>
              </w:rPr>
              <w:t>。</w:t>
            </w:r>
          </w:p>
          <w:p>
            <w:pPr>
              <w:adjustRightInd w:val="0"/>
              <w:snapToGrid w:val="0"/>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2、代理报酬支付方式：</w:t>
            </w:r>
            <w:r>
              <w:rPr>
                <w:rFonts w:hint="eastAsia" w:ascii="宋体" w:hAnsi="宋体" w:cs="宋体"/>
                <w:color w:val="auto"/>
                <w:sz w:val="24"/>
                <w:highlight w:val="none"/>
                <w:u w:val="single"/>
              </w:rPr>
              <w:t>由成交供应商支付。</w:t>
            </w:r>
          </w:p>
          <w:p>
            <w:pPr>
              <w:adjustRightInd w:val="0"/>
              <w:snapToGrid w:val="0"/>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3、代理报酬的支付时间：</w:t>
            </w:r>
            <w:r>
              <w:rPr>
                <w:rFonts w:hint="eastAsia" w:ascii="宋体" w:hAnsi="宋体" w:cs="宋体"/>
                <w:color w:val="auto"/>
                <w:sz w:val="24"/>
                <w:highlight w:val="none"/>
                <w:u w:val="single"/>
              </w:rPr>
              <w:t>由成交供应商领取成交通知书前支付。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2406" w:type="dxa"/>
            <w:tcBorders>
              <w:top w:val="single" w:color="auto" w:sz="4" w:space="0"/>
            </w:tcBorders>
            <w:vAlign w:val="center"/>
          </w:tcPr>
          <w:p>
            <w:pPr>
              <w:pStyle w:val="134"/>
              <w:spacing w:line="440" w:lineRule="exact"/>
              <w:jc w:val="center"/>
              <w:rPr>
                <w:rFonts w:hint="eastAsia"/>
                <w:color w:val="auto"/>
                <w:kern w:val="2"/>
                <w:highlight w:val="none"/>
              </w:rPr>
            </w:pPr>
            <w:r>
              <w:rPr>
                <w:rFonts w:hint="eastAsia"/>
                <w:color w:val="auto"/>
                <w:kern w:val="2"/>
                <w:highlight w:val="none"/>
              </w:rPr>
              <w:t>低于成本价不正当</w:t>
            </w:r>
          </w:p>
          <w:p>
            <w:pPr>
              <w:pStyle w:val="134"/>
              <w:spacing w:line="440" w:lineRule="exact"/>
              <w:jc w:val="center"/>
              <w:rPr>
                <w:rFonts w:hint="eastAsia"/>
                <w:color w:val="auto"/>
                <w:kern w:val="2"/>
                <w:highlight w:val="none"/>
              </w:rPr>
            </w:pPr>
            <w:r>
              <w:rPr>
                <w:rFonts w:hint="eastAsia"/>
                <w:color w:val="auto"/>
                <w:kern w:val="2"/>
                <w:highlight w:val="none"/>
              </w:rPr>
              <w:t>竞争预防措施</w:t>
            </w:r>
          </w:p>
        </w:tc>
        <w:tc>
          <w:tcPr>
            <w:tcW w:w="6939" w:type="dxa"/>
            <w:vAlign w:val="center"/>
          </w:tcPr>
          <w:p>
            <w:pPr>
              <w:pStyle w:val="134"/>
              <w:spacing w:line="440" w:lineRule="exact"/>
              <w:ind w:firstLine="480" w:firstLineChars="200"/>
              <w:jc w:val="both"/>
              <w:rPr>
                <w:rFonts w:hint="eastAsia"/>
                <w:color w:val="auto"/>
                <w:kern w:val="2"/>
                <w:highlight w:val="none"/>
              </w:rPr>
            </w:pPr>
            <w:r>
              <w:rPr>
                <w:rFonts w:hint="eastAsia"/>
                <w:color w:val="auto"/>
                <w:kern w:val="2"/>
                <w:highlight w:val="none"/>
              </w:rPr>
              <w:t>在评标过程中，</w:t>
            </w:r>
            <w:r>
              <w:rPr>
                <w:rFonts w:hint="eastAsia"/>
                <w:color w:val="auto"/>
                <w:highlight w:val="none"/>
              </w:rPr>
              <w:t>磋商小组认为供应商的报价明显低于其他通过符合性审查供应商的报价，</w:t>
            </w:r>
            <w:r>
              <w:rPr>
                <w:rFonts w:hint="eastAsia"/>
                <w:color w:val="auto"/>
                <w:kern w:val="2"/>
                <w:highlight w:val="none"/>
              </w:rPr>
              <w:t>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34"/>
              <w:spacing w:line="440" w:lineRule="exact"/>
              <w:ind w:firstLine="480" w:firstLineChars="200"/>
              <w:jc w:val="both"/>
              <w:rPr>
                <w:rFonts w:hint="eastAsia"/>
                <w:color w:val="auto"/>
                <w:kern w:val="2"/>
                <w:highlight w:val="none"/>
              </w:rPr>
            </w:pPr>
            <w:r>
              <w:rPr>
                <w:rFonts w:hint="eastAsia"/>
                <w:color w:val="auto"/>
                <w:kern w:val="2"/>
                <w:highlight w:val="none"/>
              </w:rPr>
              <w:t>供应商书面说明应当签字确认或者加盖公章，否则无效。书面说明的签字确认，供应商为法定代表人的，由其法定代表人或者代理人签字确认；供应商为其他组织的，由其主要负责人或者代理人签字确认；供应商为自然人的，由其本人或者代理人签字确认。</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性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24</w:t>
            </w:r>
          </w:p>
        </w:tc>
        <w:tc>
          <w:tcPr>
            <w:tcW w:w="2406" w:type="dxa"/>
            <w:tcBorders>
              <w:top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政府采购政策支持</w:t>
            </w:r>
          </w:p>
        </w:tc>
        <w:tc>
          <w:tcPr>
            <w:tcW w:w="6939" w:type="dxa"/>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本项目专门面向</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25</w:t>
            </w:r>
          </w:p>
        </w:tc>
        <w:tc>
          <w:tcPr>
            <w:tcW w:w="2406" w:type="dxa"/>
            <w:tcBorders>
              <w:top w:val="single" w:color="auto" w:sz="4" w:space="0"/>
            </w:tcBorders>
            <w:vAlign w:val="center"/>
          </w:tcPr>
          <w:p>
            <w:pPr>
              <w:pStyle w:val="134"/>
              <w:spacing w:line="440" w:lineRule="exact"/>
              <w:jc w:val="center"/>
              <w:rPr>
                <w:rFonts w:hint="eastAsia"/>
                <w:color w:val="auto"/>
                <w:kern w:val="2"/>
                <w:highlight w:val="none"/>
              </w:rPr>
            </w:pPr>
            <w:r>
              <w:rPr>
                <w:rFonts w:hint="eastAsia"/>
                <w:color w:val="auto"/>
                <w:kern w:val="2"/>
                <w:highlight w:val="none"/>
              </w:rPr>
              <w:t>质疑须知</w:t>
            </w:r>
          </w:p>
        </w:tc>
        <w:tc>
          <w:tcPr>
            <w:tcW w:w="6939" w:type="dxa"/>
            <w:vAlign w:val="center"/>
          </w:tcPr>
          <w:p>
            <w:pPr>
              <w:pStyle w:val="134"/>
              <w:spacing w:line="440" w:lineRule="exact"/>
              <w:ind w:left="2172" w:hanging="2172" w:hangingChars="905"/>
              <w:rPr>
                <w:rFonts w:hint="eastAsia"/>
                <w:color w:val="auto"/>
                <w:kern w:val="2"/>
                <w:highlight w:val="none"/>
              </w:rPr>
            </w:pPr>
            <w:r>
              <w:rPr>
                <w:rFonts w:hint="eastAsia"/>
                <w:color w:val="auto"/>
                <w:kern w:val="2"/>
                <w:highlight w:val="none"/>
              </w:rPr>
              <w:t>接收质疑函的方式：现场递交纸质版质疑文件至接受单位</w:t>
            </w:r>
          </w:p>
          <w:p>
            <w:pPr>
              <w:pStyle w:val="134"/>
              <w:spacing w:line="440" w:lineRule="exact"/>
              <w:jc w:val="both"/>
              <w:rPr>
                <w:rFonts w:hint="eastAsia"/>
                <w:color w:val="auto"/>
                <w:kern w:val="2"/>
                <w:highlight w:val="none"/>
              </w:rPr>
            </w:pPr>
            <w:r>
              <w:rPr>
                <w:rFonts w:hint="eastAsia"/>
                <w:color w:val="auto"/>
                <w:kern w:val="2"/>
                <w:highlight w:val="none"/>
              </w:rPr>
              <w:t>接受质疑的单位：新疆星圣源工程项目管理有限公司</w:t>
            </w:r>
          </w:p>
          <w:p>
            <w:pPr>
              <w:pStyle w:val="134"/>
              <w:spacing w:line="440" w:lineRule="exact"/>
              <w:jc w:val="both"/>
              <w:rPr>
                <w:color w:val="auto"/>
                <w:kern w:val="2"/>
                <w:highlight w:val="none"/>
              </w:rPr>
            </w:pPr>
            <w:r>
              <w:rPr>
                <w:rFonts w:hint="eastAsia"/>
                <w:color w:val="auto"/>
                <w:kern w:val="2"/>
                <w:highlight w:val="none"/>
              </w:rPr>
              <w:t>联系电话：</w:t>
            </w:r>
            <w:r>
              <w:rPr>
                <w:rFonts w:hint="eastAsia"/>
                <w:color w:val="auto"/>
                <w:highlight w:val="none"/>
              </w:rPr>
              <w:t>0991-5803779</w:t>
            </w:r>
          </w:p>
          <w:p>
            <w:pPr>
              <w:pStyle w:val="134"/>
              <w:spacing w:line="440" w:lineRule="exact"/>
              <w:ind w:left="960" w:hanging="960" w:hangingChars="400"/>
              <w:jc w:val="both"/>
              <w:rPr>
                <w:rFonts w:hint="eastAsia"/>
                <w:color w:val="auto"/>
                <w:kern w:val="2"/>
                <w:highlight w:val="none"/>
              </w:rPr>
            </w:pPr>
            <w:r>
              <w:rPr>
                <w:rFonts w:hint="eastAsia"/>
                <w:color w:val="auto"/>
                <w:kern w:val="2"/>
                <w:highlight w:val="none"/>
              </w:rPr>
              <w:t>地址：新疆乌鲁木齐市沙依巴克区奇台路658号德汇新天地E2-1703-02室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26</w:t>
            </w:r>
          </w:p>
        </w:tc>
        <w:tc>
          <w:tcPr>
            <w:tcW w:w="2406" w:type="dxa"/>
            <w:tcBorders>
              <w:top w:val="single" w:color="auto" w:sz="4" w:space="0"/>
            </w:tcBorders>
            <w:vAlign w:val="center"/>
          </w:tcPr>
          <w:p>
            <w:pPr>
              <w:spacing w:line="360" w:lineRule="auto"/>
              <w:jc w:val="center"/>
              <w:rPr>
                <w:rFonts w:hint="eastAsia"/>
                <w:color w:val="auto"/>
                <w:highlight w:val="none"/>
              </w:rPr>
            </w:pPr>
            <w:r>
              <w:rPr>
                <w:rFonts w:hint="eastAsia" w:ascii="宋体" w:hAnsi="宋体" w:cs="宋体"/>
                <w:color w:val="auto"/>
                <w:sz w:val="24"/>
                <w:highlight w:val="none"/>
              </w:rPr>
              <w:t>履约保证金</w:t>
            </w:r>
          </w:p>
        </w:tc>
        <w:tc>
          <w:tcPr>
            <w:tcW w:w="6939" w:type="dxa"/>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1、履约保证金金额：</w:t>
            </w:r>
            <w:r>
              <w:rPr>
                <w:rFonts w:hint="eastAsia" w:ascii="宋体" w:hAnsi="宋体" w:cs="宋体"/>
                <w:color w:val="auto"/>
                <w:sz w:val="24"/>
                <w:highlight w:val="none"/>
                <w:lang w:val="en-US" w:eastAsia="zh-CN"/>
              </w:rPr>
              <w:t>本项目不适用；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2、履约保证金递交：成交供应商收到成交通知书后签订合同前向采购人缴纳；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3、履约保证金形式：以“银行保函”或“保险保单”等招标人认可的非现金形式递交；</w:t>
            </w:r>
          </w:p>
          <w:p>
            <w:pPr>
              <w:spacing w:line="360" w:lineRule="auto"/>
              <w:rPr>
                <w:rFonts w:hint="eastAsia"/>
                <w:color w:val="auto"/>
                <w:highlight w:val="none"/>
              </w:rPr>
            </w:pPr>
            <w:r>
              <w:rPr>
                <w:rFonts w:hint="eastAsia" w:ascii="宋体" w:hAnsi="宋体" w:cs="宋体"/>
                <w:color w:val="auto"/>
                <w:sz w:val="24"/>
                <w:highlight w:val="none"/>
              </w:rPr>
              <w:t>说明：投标人未按磋商文件规定缴纳履约保证金或履约保函的，视为自动放弃此次成交项目，磋商保证金将不予退还。项目合同履行完毕、供应商提出书面申请后，30个工作日履约保证金无息退还。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jc w:val="center"/>
              <w:rPr>
                <w:rFonts w:ascii="宋体" w:hAnsi="宋体" w:cs="宋体"/>
                <w:color w:val="auto"/>
                <w:highlight w:val="none"/>
              </w:rPr>
            </w:pPr>
            <w:r>
              <w:rPr>
                <w:rFonts w:hint="eastAsia" w:ascii="宋体" w:hAnsi="宋体" w:cs="宋体"/>
                <w:color w:val="auto"/>
                <w:sz w:val="24"/>
                <w:highlight w:val="none"/>
              </w:rPr>
              <w:t>27</w:t>
            </w:r>
          </w:p>
        </w:tc>
        <w:tc>
          <w:tcPr>
            <w:tcW w:w="2406" w:type="dxa"/>
            <w:tcBorders>
              <w:top w:val="single" w:color="auto" w:sz="4" w:space="0"/>
            </w:tcBorders>
            <w:vAlign w:val="center"/>
          </w:tcPr>
          <w:p>
            <w:pPr>
              <w:pStyle w:val="134"/>
              <w:spacing w:line="440" w:lineRule="exact"/>
              <w:jc w:val="center"/>
              <w:rPr>
                <w:rFonts w:hint="eastAsia"/>
                <w:color w:val="auto"/>
                <w:kern w:val="2"/>
                <w:highlight w:val="none"/>
              </w:rPr>
            </w:pPr>
            <w:r>
              <w:rPr>
                <w:rFonts w:hint="eastAsia"/>
                <w:color w:val="auto"/>
                <w:kern w:val="2"/>
                <w:highlight w:val="none"/>
              </w:rPr>
              <w:t>公告发布媒体</w:t>
            </w:r>
          </w:p>
        </w:tc>
        <w:tc>
          <w:tcPr>
            <w:tcW w:w="6939" w:type="dxa"/>
            <w:vAlign w:val="center"/>
          </w:tcPr>
          <w:p>
            <w:pPr>
              <w:widowControl/>
              <w:jc w:val="left"/>
              <w:rPr>
                <w:rFonts w:hint="eastAsia" w:ascii="宋体" w:hAnsi="宋体" w:cs="宋体"/>
                <w:color w:val="auto"/>
                <w:highlight w:val="none"/>
              </w:rPr>
            </w:pPr>
            <w:r>
              <w:rPr>
                <w:rFonts w:hint="eastAsia" w:ascii="宋体" w:hAnsi="宋体" w:cs="宋体"/>
                <w:color w:val="auto"/>
                <w:kern w:val="0"/>
                <w:sz w:val="24"/>
                <w:highlight w:val="none"/>
              </w:rPr>
              <w:t>新疆政府采购网</w:t>
            </w:r>
            <w:r>
              <w:rPr>
                <w:rFonts w:hint="eastAsia" w:ascii="宋体" w:hAnsi="宋体" w:cs="宋体"/>
                <w:color w:val="auto"/>
                <w:kern w:val="0"/>
                <w:sz w:val="22"/>
                <w:szCs w:val="22"/>
                <w:highlight w:val="none"/>
              </w:rPr>
              <w:t>（</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38"/>
                <w:rFonts w:hint="eastAsia" w:ascii="宋体" w:hAnsi="宋体" w:cs="宋体"/>
                <w:color w:val="auto"/>
                <w:kern w:val="0"/>
                <w:sz w:val="22"/>
                <w:szCs w:val="22"/>
                <w:highlight w:val="none"/>
              </w:rPr>
              <w:t>http://www.ccgp-xinjiang.gov.cn/home.html</w:t>
            </w:r>
            <w:r>
              <w:rPr>
                <w:rStyle w:val="38"/>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vAlign w:val="center"/>
          </w:tcPr>
          <w:p>
            <w:pPr>
              <w:overflowPunct w:val="0"/>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c>
          <w:tcPr>
            <w:tcW w:w="9345" w:type="dxa"/>
            <w:gridSpan w:val="2"/>
            <w:vAlign w:val="center"/>
          </w:tcPr>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磋商文件中部分加“*”、加粗、加下划线、废标、无效标、磋商响应被拒绝字样的条款，为采购的实质性要求和条件，着重提醒各供应商注意，并认真查看磋商文件中的每一个条款及要求，因误读磋商文件而造成的后果，采购人及代理机构概不负责。</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响应文件中有弄虚作假的内容，其响应文件作废。（如假证书、假业绩、隐瞒不良行为记录、夸大荣誉、使用非本单位在职员工的相关证件及不符合磋商文件规定的条款等）；在签订合同之前，如发现供应商的响应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07" w:type="dxa"/>
            <w:gridSpan w:val="3"/>
            <w:vAlign w:val="center"/>
          </w:tcPr>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pStyle w:val="22"/>
        <w:spacing w:line="240" w:lineRule="auto"/>
        <w:rPr>
          <w:rFonts w:hint="eastAsia" w:ascii="微软雅黑" w:hAnsi="微软雅黑" w:eastAsia="微软雅黑" w:cs="微软雅黑"/>
          <w:b/>
          <w:bCs/>
          <w:color w:val="auto"/>
          <w:sz w:val="24"/>
          <w:szCs w:val="24"/>
          <w:highlight w:val="none"/>
        </w:rPr>
        <w:sectPr>
          <w:footerReference r:id="rId7" w:type="default"/>
          <w:pgSz w:w="11920" w:h="16840"/>
          <w:pgMar w:top="1360" w:right="1200" w:bottom="960" w:left="1200" w:header="850" w:footer="992" w:gutter="0"/>
          <w:pgNumType w:start="1"/>
          <w:cols w:space="720" w:num="1"/>
        </w:sectPr>
      </w:pPr>
    </w:p>
    <w:p>
      <w:pPr>
        <w:pStyle w:val="22"/>
        <w:spacing w:line="24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政采云电子保函须知：</w:t>
      </w:r>
    </w:p>
    <w:p>
      <w:pPr>
        <w:pStyle w:val="22"/>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（1）使用政采云电子保函形式缴纳投标保证金，在线完成保函的申请、审核、开票、出函等环节，投标企业注意区分项目类型，并确认投标有效期；</w:t>
      </w:r>
    </w:p>
    <w:p>
      <w:pPr>
        <w:pStyle w:val="22"/>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如采用政采云电子保函形式，可按照以下形式进行在线申请或通过新疆政府采购网首页进入电子保函申请页面，电子保函申请链接（https://jinrong.zcygov.cn/luban/finance/letter/xinjiang?pageModelFlag=650000&amp;utm=luban.luban-PC-42055.1066-pc-wsg-floatwindow-front.1.32e91b10225b11ee916adfff385e624a），如遇问题可拨打客服电话：0991-2661159；</w:t>
      </w:r>
    </w:p>
    <w:p>
      <w:pPr>
        <w:pStyle w:val="22"/>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（3）办理电子保函必须在投标截止时间（开标时间）前完成。投标人需自行评估异地、跨行、公休日等因素造成的保函办理延迟风险，并承担相应责任；</w:t>
      </w:r>
    </w:p>
    <w:p>
      <w:pPr>
        <w:pStyle w:val="22"/>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（4）开标前，投保人必须下载加密保单作为保证金缴纳凭证放入投标文件中；</w:t>
      </w:r>
    </w:p>
    <w:p>
      <w:pPr>
        <w:pStyle w:val="22"/>
        <w:spacing w:line="360" w:lineRule="auto"/>
        <w:rPr>
          <w:rFonts w:hint="eastAsia" w:ascii="宋体"/>
          <w:b/>
          <w:color w:val="auto"/>
          <w:sz w:val="32"/>
          <w:szCs w:val="32"/>
          <w:highlight w:val="none"/>
        </w:rPr>
      </w:pPr>
      <w:r>
        <w:rPr>
          <w:rFonts w:hint="eastAsia" w:ascii="宋体" w:hAnsi="宋体" w:eastAsia="宋体" w:cs="宋体"/>
          <w:color w:val="auto"/>
          <w:kern w:val="2"/>
          <w:sz w:val="24"/>
          <w:szCs w:val="24"/>
          <w:highlight w:val="none"/>
        </w:rPr>
        <w:t>（5）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pStyle w:val="2"/>
        <w:rPr>
          <w:rFonts w:hint="eastAsia" w:ascii="宋体"/>
          <w:b/>
          <w:color w:val="auto"/>
          <w:sz w:val="32"/>
          <w:szCs w:val="32"/>
          <w:highlight w:val="none"/>
        </w:rPr>
      </w:pPr>
    </w:p>
    <w:p>
      <w:pPr>
        <w:ind w:left="178" w:leftChars="85"/>
        <w:rPr>
          <w:rFonts w:hint="eastAsia" w:ascii="宋体" w:hAnsi="宋体" w:cs="宋体"/>
          <w:color w:val="auto"/>
          <w:sz w:val="24"/>
          <w:highlight w:val="none"/>
        </w:rPr>
        <w:sectPr>
          <w:pgSz w:w="11920" w:h="16840"/>
          <w:pgMar w:top="1360" w:right="1200" w:bottom="960" w:left="1200" w:header="850" w:footer="992" w:gutter="0"/>
          <w:cols w:space="720" w:num="1"/>
        </w:sectPr>
      </w:pPr>
    </w:p>
    <w:p>
      <w:pPr>
        <w:pStyle w:val="28"/>
        <w:numPr>
          <w:ilvl w:val="0"/>
          <w:numId w:val="3"/>
        </w:numPr>
        <w:rPr>
          <w:rFonts w:hint="eastAsia" w:ascii="宋体" w:hAnsi="宋体" w:cs="宋体"/>
          <w:color w:val="auto"/>
          <w:sz w:val="24"/>
          <w:szCs w:val="24"/>
          <w:highlight w:val="none"/>
        </w:rPr>
      </w:pPr>
      <w:bookmarkStart w:id="1" w:name="_Toc502852409"/>
      <w:r>
        <w:rPr>
          <w:rFonts w:hint="eastAsia" w:ascii="宋体" w:hAnsi="宋体" w:cs="宋体"/>
          <w:color w:val="auto"/>
          <w:sz w:val="24"/>
          <w:szCs w:val="24"/>
          <w:highlight w:val="none"/>
        </w:rPr>
        <w:t xml:space="preserve">  </w:t>
      </w:r>
      <w:bookmarkStart w:id="2" w:name="_Toc2061"/>
      <w:r>
        <w:rPr>
          <w:rFonts w:hint="eastAsia" w:ascii="宋体" w:hAnsi="宋体" w:cs="宋体"/>
          <w:color w:val="auto"/>
          <w:sz w:val="24"/>
          <w:szCs w:val="24"/>
          <w:highlight w:val="none"/>
        </w:rPr>
        <w:t>磋商说明</w:t>
      </w:r>
      <w:bookmarkEnd w:id="1"/>
      <w:bookmarkEnd w:id="2"/>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1.适用范围</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本竞争性磋商文件仅适用于本次采购中所叙的服务。</w:t>
      </w:r>
    </w:p>
    <w:p>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2.磋商供应商资格</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具有承担本项目的能力以及符合下述条件的供应商均为合格的供应商：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2.1.1.满足《中华人民共和国政府采购法》第二十二条规定；</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2.1.2.落实政府采购政策需满足的资格要求：见投标须知前附表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2.1.3.本项目的特定资格要求：见投标须知前附表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供应商存在下列情形之一的，拒绝其参加本次磋商（已参加磋商的按磋商响应无效处理）：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（1）为采购人不具有独立法人资格的附属机构（单位）；</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（2）为本标段前期准备提供设计或咨询、检测等服务的；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（3）为本标段提供采购代理服务的；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（4）单位负责人为同一人或者存在直接控股、管理关系的不同供应商，参加同一合同项下的政府采购活动的；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（5）被责令停业的；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（6）被暂停或取消磋商响应资格的；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（7）财产被接管或冻结的；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（8）在最近三年内有骗取成交或严重违约或重大质量问题的，受到行政处罚的。</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有下列情形之一的，视为供应商串通投标，其磋商响应无效：</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（2）不同供应商委托同一单位或者个人办理磋商事宜。</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（3）不同供应商的响应文件载明的项目管理成员或者联系人员为同一人。</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（4）不同供应商的响应文件异常一致或者磋商响应报价呈规律性差异。</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pPr>
        <w:spacing w:line="440" w:lineRule="exact"/>
        <w:ind w:firstLine="540" w:firstLineChars="225"/>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（6）不同供应商的磋商保证金从同一单位或者个人的账户转出。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2.4供应商在本次采购活动中，必须遵守《中华人民共和国政府采购法》的规定。</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3.定义</w:t>
      </w:r>
    </w:p>
    <w:p>
      <w:pPr>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rPr>
        <w:t>下列术语和缩写的定义为：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“采购人”系指</w:t>
      </w:r>
      <w:r>
        <w:rPr>
          <w:rFonts w:hint="eastAsia" w:ascii="宋体" w:hAnsi="宋体" w:cs="宋体"/>
          <w:color w:val="auto"/>
          <w:sz w:val="24"/>
          <w:highlight w:val="none"/>
          <w:lang w:eastAsia="zh-CN"/>
        </w:rPr>
        <w:t>新疆维吾尔自治区人力资源社会保障厅</w:t>
      </w:r>
      <w:r>
        <w:rPr>
          <w:rFonts w:hint="eastAsia" w:ascii="宋体" w:hAnsi="宋体" w:cs="宋体"/>
          <w:color w:val="auto"/>
          <w:sz w:val="24"/>
          <w:highlight w:val="none"/>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  “采购代理机构”系指新疆星圣源工程项目管理有限公司。</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“招标方”系指采购人和采购代理机构的统称。</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“供应商”系指向采购人提供货物、工程或者服务的法人、其他组织或者自然人。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  “供应商代表”是指供应商法定代表人，或法定代表人指定的某一代表自己参与和处理与采购项目有关事宜的自然人。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  “成交供应商”系指经评标委员会评定后符合定标标准由评标委员会推荐并由采购人确定的供应商。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  “货物”、“产品”指本磋商文件中第四部分《</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需求》及《政府采购品目分类目录》(财库[2013]189号)所述所有货物及相关服务。</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3.10 “服务”系指磋商文件中规定供应商须承担的质保、技术协助、培训及其他类似的责任。</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“响应”系指供应商根据采购代理机构发布的磋商文件，编制响应文件并按规定递交响应文件的行为。</w:t>
      </w:r>
    </w:p>
    <w:p>
      <w:pPr>
        <w:spacing w:line="44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3.12 “标段（包）”系指一个完整独立的采购项目。</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4.磋商费用</w:t>
      </w:r>
    </w:p>
    <w:p>
      <w:pPr>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rPr>
        <w:t>4.1　无论磋商结果如何，与参与采购活动有关的所有费用将由供应商自行承担。</w:t>
      </w:r>
    </w:p>
    <w:p>
      <w:pPr>
        <w:tabs>
          <w:tab w:val="left" w:pos="118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响应供应商被视为熟悉本采购项目的各种情况以及与履行合同有关的一切情况。</w:t>
      </w:r>
    </w:p>
    <w:p>
      <w:pPr>
        <w:tabs>
          <w:tab w:val="left" w:pos="1185"/>
        </w:tabs>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5.竞争性磋商文件的构成</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竞争性磋商文件由下述部分组成：</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竞争性磋商邀请</w:t>
      </w:r>
    </w:p>
    <w:p>
      <w:pPr>
        <w:spacing w:line="4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第一部分 供应商须知</w:t>
      </w:r>
    </w:p>
    <w:p>
      <w:pPr>
        <w:spacing w:line="4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第二部分 磋商说明</w:t>
      </w:r>
    </w:p>
    <w:p>
      <w:pPr>
        <w:spacing w:line="4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第三部分 磋商响应说明</w:t>
      </w:r>
    </w:p>
    <w:p>
      <w:pPr>
        <w:spacing w:line="4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第四部分 附件（范本格式）</w:t>
      </w:r>
    </w:p>
    <w:p>
      <w:pPr>
        <w:spacing w:line="440" w:lineRule="exact"/>
        <w:jc w:val="left"/>
        <w:rPr>
          <w:rFonts w:hint="eastAsia" w:ascii="宋体" w:hAnsi="宋体" w:cs="宋体"/>
          <w:b/>
          <w:color w:val="auto"/>
          <w:sz w:val="24"/>
          <w:highlight w:val="none"/>
        </w:rPr>
      </w:pPr>
      <w:r>
        <w:rPr>
          <w:rFonts w:hint="eastAsia" w:ascii="宋体" w:hAnsi="宋体" w:cs="宋体"/>
          <w:b/>
          <w:color w:val="auto"/>
          <w:sz w:val="24"/>
          <w:highlight w:val="none"/>
        </w:rPr>
        <w:t>6.竞争性磋商文件的修改或补充</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　澄清或者修改的内容可能影响响应文件编制的，在响应文件提交截止五日前的任何时间，招标方可主动或依据供应商要求澄清的问题而修改或补充竞争性磋商文件，并以书面形式或网上公告通知所有供应商，供应商在收到该通知后应立即以电报或传真的形式予以确认。</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6.2　为使供应商在准备磋商响应文件时有适当的时间考虑响应文件的修改，招标方有权决定推迟响应文件提交截止日期和响应文件开启日期，并将此变更通知所有的供应商。</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6.3　竞争性磋商文件的修改和补充文件将构成竞争性磋商文件的一部分，并且对供应商具有优先约束力。</w:t>
      </w:r>
    </w:p>
    <w:p>
      <w:pPr>
        <w:spacing w:line="440" w:lineRule="exact"/>
        <w:jc w:val="left"/>
        <w:rPr>
          <w:rFonts w:hint="eastAsia" w:ascii="宋体" w:hAnsi="宋体" w:cs="宋体"/>
          <w:b/>
          <w:color w:val="auto"/>
          <w:sz w:val="24"/>
          <w:highlight w:val="none"/>
        </w:rPr>
      </w:pPr>
      <w:r>
        <w:rPr>
          <w:rFonts w:hint="eastAsia" w:ascii="宋体" w:hAnsi="宋体" w:cs="宋体"/>
          <w:b/>
          <w:color w:val="auto"/>
          <w:sz w:val="24"/>
          <w:highlight w:val="none"/>
        </w:rPr>
        <w:t>7.质疑须知</w:t>
      </w:r>
    </w:p>
    <w:p>
      <w:pPr>
        <w:spacing w:line="440" w:lineRule="exact"/>
        <w:ind w:firstLine="480" w:firstLineChars="200"/>
        <w:jc w:val="left"/>
        <w:rPr>
          <w:rFonts w:hint="eastAsia" w:ascii="宋体" w:hAnsi="宋体" w:cs="宋体"/>
          <w:b/>
          <w:color w:val="auto"/>
          <w:sz w:val="24"/>
          <w:highlight w:val="none"/>
        </w:rPr>
      </w:pPr>
      <w:r>
        <w:rPr>
          <w:rFonts w:hint="eastAsia" w:ascii="宋体" w:hAnsi="宋体" w:cs="宋体"/>
          <w:color w:val="auto"/>
          <w:kern w:val="0"/>
          <w:sz w:val="24"/>
          <w:highlight w:val="none"/>
        </w:rPr>
        <w:t>供应商如需提出质疑的，应在法定质疑期内一次性提出针对同一采购程序环节的质疑。</w:t>
      </w:r>
    </w:p>
    <w:p>
      <w:pPr>
        <w:pStyle w:val="28"/>
        <w:rPr>
          <w:rFonts w:hint="eastAsia" w:ascii="宋体" w:hAnsi="宋体" w:cs="宋体"/>
          <w:color w:val="auto"/>
          <w:sz w:val="24"/>
          <w:szCs w:val="24"/>
          <w:highlight w:val="none"/>
        </w:rPr>
      </w:pPr>
      <w:bookmarkStart w:id="3" w:name="_Toc502852410"/>
      <w:bookmarkStart w:id="4" w:name="_Toc28254"/>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jc w:val="both"/>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r>
        <w:rPr>
          <w:rFonts w:hint="eastAsia" w:ascii="宋体" w:hAnsi="宋体" w:cs="宋体"/>
          <w:color w:val="auto"/>
          <w:sz w:val="24"/>
          <w:szCs w:val="24"/>
          <w:highlight w:val="none"/>
        </w:rPr>
        <w:t>第三部分   磋商响应说明</w:t>
      </w:r>
      <w:bookmarkEnd w:id="3"/>
      <w:bookmarkEnd w:id="4"/>
    </w:p>
    <w:p>
      <w:pPr>
        <w:pStyle w:val="4"/>
        <w:rPr>
          <w:rFonts w:hint="eastAsia" w:cs="宋体"/>
          <w:color w:val="auto"/>
          <w:sz w:val="24"/>
          <w:szCs w:val="24"/>
          <w:highlight w:val="none"/>
        </w:rPr>
      </w:pPr>
      <w:bookmarkStart w:id="5" w:name="_Toc21165"/>
      <w:bookmarkStart w:id="6" w:name="_Toc502852411"/>
      <w:r>
        <w:rPr>
          <w:rFonts w:hint="eastAsia" w:cs="宋体"/>
          <w:color w:val="auto"/>
          <w:sz w:val="24"/>
          <w:szCs w:val="24"/>
          <w:highlight w:val="none"/>
        </w:rPr>
        <w:t>第一章  磋商供应商资格要求</w:t>
      </w:r>
      <w:bookmarkEnd w:id="5"/>
      <w:bookmarkEnd w:id="6"/>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1、开标会的资质要求、响应文件开启时间及地点</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1.1本项目响应文件开启的时间、地点已在供应商须知前附表列清。</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1.2招标方将邀请所有供应商派代表参加开标会，供应商</w:t>
      </w:r>
      <w:r>
        <w:rPr>
          <w:rFonts w:hint="eastAsia" w:ascii="宋体" w:hAnsi="宋体" w:cs="宋体"/>
          <w:bCs/>
          <w:color w:val="auto"/>
          <w:sz w:val="24"/>
          <w:highlight w:val="none"/>
        </w:rPr>
        <w:t>响应文件</w:t>
      </w:r>
      <w:r>
        <w:rPr>
          <w:rFonts w:hint="eastAsia" w:ascii="宋体" w:hAnsi="宋体" w:cs="宋体"/>
          <w:color w:val="auto"/>
          <w:sz w:val="24"/>
          <w:highlight w:val="none"/>
        </w:rPr>
        <w:t>中必须提交能够证明其具有履行本采购项目合同能力的资格证明文件，作为响应文件的一部分；</w:t>
      </w:r>
    </w:p>
    <w:p>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1.3所有资格证明文件</w:t>
      </w:r>
      <w:r>
        <w:rPr>
          <w:rFonts w:hint="eastAsia" w:ascii="宋体" w:hAnsi="宋体" w:cs="宋体"/>
          <w:b/>
          <w:bCs/>
          <w:color w:val="auto"/>
          <w:sz w:val="24"/>
          <w:highlight w:val="none"/>
          <w:em w:val="dot"/>
        </w:rPr>
        <w:t>须加盖公章。</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1.4所有资格证明文件必须满足磋商文件的要求，否则将做无效标处理。</w:t>
      </w:r>
    </w:p>
    <w:p>
      <w:pPr>
        <w:pStyle w:val="4"/>
        <w:rPr>
          <w:rFonts w:hint="eastAsia" w:cs="宋体"/>
          <w:color w:val="auto"/>
          <w:sz w:val="24"/>
          <w:szCs w:val="24"/>
          <w:highlight w:val="none"/>
        </w:rPr>
      </w:pPr>
      <w:bookmarkStart w:id="7" w:name="_Toc16615"/>
      <w:bookmarkStart w:id="8" w:name="_Toc502852412"/>
      <w:r>
        <w:rPr>
          <w:rFonts w:hint="eastAsia" w:cs="宋体"/>
          <w:color w:val="auto"/>
          <w:sz w:val="24"/>
          <w:szCs w:val="24"/>
          <w:highlight w:val="none"/>
        </w:rPr>
        <w:t>第二章  响应性文件的编写</w:t>
      </w:r>
      <w:bookmarkEnd w:id="7"/>
      <w:bookmarkEnd w:id="8"/>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2、要求</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供应商应详细阅读竞争性磋商文件中的条款、规范、表述、条件和格式等所有内容，按竞争性磋商文件的要求份数提供响应性文件，并保证所提供全部材料的真实性，以使其对竞争性磋商文件做出实质性响应。否则，其磋商响应可能被拒绝。</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3、响应性文件语言和度量单位</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竞争性磋商文件及供应商和招标方就采购活动交换的文件和往来信件，须以中文书写。</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 除在竞争性磋商文件的技术规格中另有规定外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计量单位应使用中华人民共和国法定计量单位。</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4、响应性文件的组成</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4.1供应商编写的响应性文件应包括下列内容：</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（1）磋商响应性报价表；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（2）供应商资格证明文件；</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（3）所投服务的相关技术证明资料；</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（4）磋商文件</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需求、合同特殊条款中要求提交的文件、资料等。</w:t>
      </w:r>
    </w:p>
    <w:p>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4.2供应商的服务承诺应按不低于磋商文件中要求的服务标准做出响应。</w:t>
      </w:r>
    </w:p>
    <w:p>
      <w:pPr>
        <w:spacing w:line="440" w:lineRule="exact"/>
        <w:ind w:firstLine="602" w:firstLineChars="250"/>
        <w:rPr>
          <w:rFonts w:hint="eastAsia" w:ascii="宋体" w:hAnsi="宋体" w:cs="宋体"/>
          <w:b/>
          <w:color w:val="auto"/>
          <w:sz w:val="24"/>
          <w:highlight w:val="none"/>
          <w:u w:val="single"/>
        </w:rPr>
      </w:pPr>
      <w:r>
        <w:rPr>
          <w:rFonts w:hint="eastAsia" w:ascii="宋体" w:hAnsi="宋体" w:cs="宋体"/>
          <w:b/>
          <w:color w:val="auto"/>
          <w:sz w:val="24"/>
          <w:highlight w:val="none"/>
          <w:u w:val="single"/>
        </w:rPr>
        <w:t>4.3响应文件中所提供资料需加盖公章。</w:t>
      </w:r>
    </w:p>
    <w:p>
      <w:pPr>
        <w:spacing w:line="440" w:lineRule="exact"/>
        <w:ind w:firstLine="600" w:firstLineChars="250"/>
        <w:rPr>
          <w:rFonts w:hint="eastAsia" w:ascii="宋体" w:hAnsi="宋体" w:cs="宋体"/>
          <w:b/>
          <w:color w:val="auto"/>
          <w:sz w:val="24"/>
          <w:highlight w:val="none"/>
          <w:u w:val="single"/>
        </w:rPr>
      </w:pPr>
      <w:r>
        <w:rPr>
          <w:rFonts w:hint="eastAsia" w:ascii="宋体" w:hAnsi="宋体" w:cs="宋体"/>
          <w:color w:val="auto"/>
          <w:sz w:val="24"/>
          <w:highlight w:val="none"/>
        </w:rPr>
        <w:t>4.4领取了磋商文件的供应商应认真阅读磋商文件的所有内容，按照磋商文件的要求编制响应文件，响应文件中所提供资料需加盖公章。</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4.5磋商响应报价表</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提交磋商响应报价表供应商必须按本磋商文件所附的格式填写，签字并加盖公章，磋商响应报价表中小写和大写不符，以大写为准。磋商响应报价表中的大小写均须按法定格式正确填写。磋商响应报价没有同时填报大写和小写的，其磋商响应将被拒绝。</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5、响应文件格式</w:t>
      </w:r>
    </w:p>
    <w:p>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见第一部份供应商须知。</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6、磋商响应报价</w:t>
      </w:r>
    </w:p>
    <w:p>
      <w:pPr>
        <w:tabs>
          <w:tab w:val="left" w:pos="5595"/>
        </w:tabs>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6.1磋商响应报价（投标报价）超采购预算金额（最高限价）的，其报价无效，不进入评审阶段。</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6.2供应商应在明细报价表上标明综合单价和总价。</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（1）磋商响应报价表内容与响应文件中相应内容不一致的，以磋商响应报价表为准；</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同时出现两种以上不一致的，按照前款规定的顺序修正。修正后的报价经供应商确认后产生约束力，供应商不确认的，其磋商响应无效。</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6.3响应文件只允许有一个报价，有选择的报价将不予接受。</w:t>
      </w:r>
    </w:p>
    <w:p>
      <w:pPr>
        <w:tabs>
          <w:tab w:val="left" w:pos="5595"/>
        </w:tabs>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7、磋商响应报价的货币单位</w:t>
      </w:r>
      <w:r>
        <w:rPr>
          <w:rFonts w:hint="eastAsia" w:ascii="宋体" w:hAnsi="宋体" w:cs="宋体"/>
          <w:b/>
          <w:color w:val="auto"/>
          <w:sz w:val="24"/>
          <w:highlight w:val="none"/>
        </w:rPr>
        <w:tab/>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7.1响应性文件和来往函件应用中文书写，计量单位应使用国际单位,磋商响应报价的货币单位为人民币。</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8、磋商响应有效期</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8.1磋商文件从响应文件开启之日起，磋商响应有效期为</w:t>
      </w:r>
      <w:r>
        <w:rPr>
          <w:rFonts w:hint="eastAsia" w:ascii="宋体" w:hAnsi="宋体" w:cs="宋体"/>
          <w:color w:val="auto"/>
          <w:sz w:val="24"/>
          <w:highlight w:val="none"/>
          <w:u w:val="single"/>
        </w:rPr>
        <w:t>90</w:t>
      </w:r>
      <w:r>
        <w:rPr>
          <w:rFonts w:hint="eastAsia" w:ascii="宋体" w:hAnsi="宋体" w:cs="宋体"/>
          <w:color w:val="auto"/>
          <w:sz w:val="24"/>
          <w:highlight w:val="none"/>
        </w:rPr>
        <w:t>天（如不满足将导致废标）。</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8.2在特殊情况下，招标方可与供应商协商延长磋商文件的有效期。</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9、响应性文件的签署规定</w:t>
      </w:r>
    </w:p>
    <w:p>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见第一部份供应商须知。</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10、磋商保证金</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w:t>
      </w:r>
      <w:r>
        <w:rPr>
          <w:rFonts w:ascii="宋体" w:hAnsi="宋体"/>
          <w:color w:val="auto"/>
          <w:sz w:val="24"/>
          <w:highlight w:val="none"/>
        </w:rPr>
        <w:t xml:space="preserve">.1 </w:t>
      </w:r>
      <w:r>
        <w:rPr>
          <w:rFonts w:hint="eastAsia" w:ascii="宋体" w:hAnsi="宋体"/>
          <w:color w:val="auto"/>
          <w:sz w:val="24"/>
          <w:highlight w:val="none"/>
        </w:rPr>
        <w:t>招标方因投标人的违规行为而受到损害时将不予退还投标人的投标保证金，将其作为所受损害的补偿。</w:t>
      </w:r>
    </w:p>
    <w:p>
      <w:pPr>
        <w:pStyle w:val="13"/>
        <w:spacing w:line="440" w:lineRule="exact"/>
        <w:ind w:firstLine="480" w:firstLine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0</w:t>
      </w:r>
      <w:r>
        <w:rPr>
          <w:rFonts w:hAnsi="宋体"/>
          <w:color w:val="auto"/>
          <w:sz w:val="24"/>
          <w:szCs w:val="24"/>
          <w:highlight w:val="none"/>
        </w:rPr>
        <w:t>.2</w:t>
      </w:r>
      <w:r>
        <w:rPr>
          <w:rFonts w:hint="eastAsia" w:hAnsi="宋体"/>
          <w:color w:val="auto"/>
          <w:sz w:val="24"/>
          <w:szCs w:val="24"/>
          <w:highlight w:val="none"/>
        </w:rPr>
        <w:t xml:space="preserve"> 投标保证金应当以支票、汇票、本票等非现金形式提交，必须从投标人基本账户转出，其有效期应不低于投标有效期。投标人未按照采购文件要求提交投标保证金的，投标无效。</w:t>
      </w:r>
    </w:p>
    <w:p>
      <w:pPr>
        <w:pStyle w:val="13"/>
        <w:spacing w:line="440" w:lineRule="exact"/>
        <w:ind w:firstLine="480" w:firstLine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0</w:t>
      </w:r>
      <w:r>
        <w:rPr>
          <w:rFonts w:hAnsi="宋体"/>
          <w:color w:val="auto"/>
          <w:sz w:val="24"/>
          <w:szCs w:val="24"/>
          <w:highlight w:val="none"/>
        </w:rPr>
        <w:t xml:space="preserve">.3 </w:t>
      </w:r>
      <w:r>
        <w:rPr>
          <w:rFonts w:hint="eastAsia" w:hAnsi="宋体"/>
          <w:color w:val="auto"/>
          <w:sz w:val="24"/>
          <w:szCs w:val="24"/>
          <w:highlight w:val="none"/>
        </w:rPr>
        <w:t>投标人应提交投标保证金，并于投标保证金缴纳截止时间前到达新疆星圣源工程项目管理有限公司指定账户（人民币）。如是本地转账支票需于投标保证金缴纳截止时间三个工作日前向新疆星圣源工程项目管理有限公司送达，如投标保证金为汇款形式的，（汇款时汇款单填写内容须备注项目编号及包号）。</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w:t>
      </w:r>
      <w:r>
        <w:rPr>
          <w:rFonts w:ascii="宋体" w:hAnsi="宋体"/>
          <w:color w:val="auto"/>
          <w:sz w:val="24"/>
          <w:highlight w:val="none"/>
        </w:rPr>
        <w:t>.4</w:t>
      </w:r>
      <w:r>
        <w:rPr>
          <w:rFonts w:hint="eastAsia" w:ascii="宋体" w:hAnsi="宋体"/>
          <w:color w:val="auto"/>
          <w:sz w:val="24"/>
          <w:highlight w:val="none"/>
        </w:rPr>
        <w:t>未中标的投标人的投标保证金，将在中标通知书发出后</w:t>
      </w:r>
      <w:r>
        <w:rPr>
          <w:rFonts w:ascii="宋体" w:hAnsi="宋体"/>
          <w:color w:val="auto"/>
          <w:sz w:val="24"/>
          <w:highlight w:val="none"/>
        </w:rPr>
        <w:t>5</w:t>
      </w:r>
      <w:r>
        <w:rPr>
          <w:rFonts w:hint="eastAsia" w:ascii="宋体" w:hAnsi="宋体"/>
          <w:color w:val="auto"/>
          <w:sz w:val="24"/>
          <w:highlight w:val="none"/>
        </w:rPr>
        <w:t>个工作日内无息退还。</w:t>
      </w:r>
    </w:p>
    <w:p>
      <w:pPr>
        <w:spacing w:line="460" w:lineRule="atLeas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w:t>
      </w:r>
      <w:r>
        <w:rPr>
          <w:rFonts w:ascii="宋体" w:hAnsi="宋体"/>
          <w:color w:val="auto"/>
          <w:sz w:val="24"/>
          <w:highlight w:val="none"/>
        </w:rPr>
        <w:t>.5</w:t>
      </w:r>
      <w:r>
        <w:rPr>
          <w:rFonts w:hint="eastAsia" w:ascii="宋体" w:hAnsi="宋体"/>
          <w:color w:val="auto"/>
          <w:sz w:val="24"/>
          <w:highlight w:val="none"/>
        </w:rPr>
        <w:t>中标人的投标保证金，将在领取中标通知书，缴纳履约保证金并签订合同后</w:t>
      </w:r>
      <w:r>
        <w:rPr>
          <w:rFonts w:ascii="宋体" w:hAnsi="宋体"/>
          <w:color w:val="auto"/>
          <w:sz w:val="24"/>
          <w:highlight w:val="none"/>
        </w:rPr>
        <w:t>5</w:t>
      </w:r>
      <w:r>
        <w:rPr>
          <w:rFonts w:hint="eastAsia" w:ascii="宋体" w:hAnsi="宋体"/>
          <w:color w:val="auto"/>
          <w:sz w:val="24"/>
          <w:highlight w:val="none"/>
        </w:rPr>
        <w:t>个工作日内无息退还，</w:t>
      </w:r>
      <w:r>
        <w:rPr>
          <w:rFonts w:ascii="宋体" w:hAnsi="宋体" w:cs="宋体"/>
          <w:color w:val="auto"/>
          <w:sz w:val="24"/>
          <w:highlight w:val="none"/>
        </w:rPr>
        <w:t>中标企业退还保证金前，需将采购合同彩色扫描件电子版发送至本项目负责人邮箱（详见前附表），</w:t>
      </w:r>
      <w:r>
        <w:rPr>
          <w:rFonts w:hint="eastAsia" w:cs="宋体"/>
          <w:color w:val="auto"/>
          <w:sz w:val="24"/>
          <w:highlight w:val="none"/>
        </w:rPr>
        <w:t>并</w:t>
      </w:r>
      <w:r>
        <w:rPr>
          <w:rFonts w:ascii="宋体" w:hAnsi="宋体" w:cs="宋体"/>
          <w:color w:val="auto"/>
          <w:sz w:val="24"/>
          <w:highlight w:val="none"/>
        </w:rPr>
        <w:t>提供采购合同彩色扫描件纸质版。</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10.6下列任何情况发生时，投标保证金将不予退还，转为违约金：</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(1)投标人在投标截止期后，投标有效期内撤回投标；</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(2)投标人在规定期限内未按规定向采购人缴纳履约保证金；</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(3)中标人未按投标人须知规定缴纳招标代理费；</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(4)以他人名义投标或者以其他方式弄虚作假，骗取中标；</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(5)打架斗殴，扰乱标场秩序；</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(6)中标人拒绝在规定期限内与采购人签订合同。</w:t>
      </w:r>
    </w:p>
    <w:p>
      <w:pPr>
        <w:spacing w:line="440" w:lineRule="exact"/>
        <w:ind w:firstLine="840" w:firstLineChars="350"/>
        <w:rPr>
          <w:rFonts w:ascii="宋体" w:hAnsi="宋体"/>
          <w:color w:val="auto"/>
          <w:sz w:val="24"/>
          <w:highlight w:val="none"/>
        </w:rPr>
      </w:pPr>
      <w:r>
        <w:rPr>
          <w:rFonts w:hint="eastAsia" w:ascii="宋体" w:hAnsi="宋体"/>
          <w:color w:val="auto"/>
          <w:sz w:val="24"/>
          <w:highlight w:val="none"/>
        </w:rPr>
        <w:t>上述不予退还投标保证金的情况并给招标代理机构造成损失的，还要承担赔偿责任。</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10.7下列任何情况发生时，磋商保证金将不予退还，转为违约金：</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(1)供应商在响应文件提交截止后，磋商响应有效期内撤回投标（磋商响应）；</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(2)供应商在规定期限内未按规定向采购人缴纳履约保证金；</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(3)成交供应商未按供应商须知规定缴纳采购代理服务费；</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(4)以他人名义响应磋商或者以其他方式弄虚作假，骗取成交；</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(5)打架斗殴，扰乱标场秩序；</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(6)本磋商文件中或《政府采购货物和服务招标投标管理办法》规定的其他不予退还磋商保证金的情形。</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上述不予退还磋商保证金的情况并给采购代理机构造成损失的，还要承担赔偿责任。</w:t>
      </w:r>
    </w:p>
    <w:p>
      <w:pPr>
        <w:pStyle w:val="4"/>
        <w:rPr>
          <w:rFonts w:hint="eastAsia" w:cs="宋体"/>
          <w:color w:val="auto"/>
          <w:sz w:val="24"/>
          <w:szCs w:val="24"/>
          <w:highlight w:val="none"/>
        </w:rPr>
      </w:pPr>
      <w:bookmarkStart w:id="9" w:name="_Toc502852413"/>
      <w:bookmarkStart w:id="10" w:name="_Toc16889"/>
      <w:r>
        <w:rPr>
          <w:rFonts w:hint="eastAsia" w:cs="宋体"/>
          <w:color w:val="auto"/>
          <w:sz w:val="24"/>
          <w:szCs w:val="24"/>
          <w:highlight w:val="none"/>
        </w:rPr>
        <w:t>第三章  响应性文件的递交</w:t>
      </w:r>
      <w:bookmarkEnd w:id="9"/>
      <w:bookmarkEnd w:id="10"/>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11. 响应性文件的标记</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11.1任何不完整或不满足磋商文件要求的响应性文件将被拒绝。</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11.2由于不可抗拒原因或无法控制的事件而导致的丢失或损坏响应文件包装体内的响应性文件时，招标方将不负责任</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12、响应文件提交截止时间</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12.1响应性文件的递交不得迟于竞争性磋商文件前须表规定的截止时间。响应性文件以加密形式递交至新疆星圣源工程项目管理有限公司指定磋商地点。</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12.2所有响应性文件都必须在招标方规定的响应文件提交截止时间之前上传至竞争性磋商文件指定的地点，在此之后上传的响应性文件，为磋商响应无效，响应性文件将一律被拒绝。</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12.3出现因竞争性磋商文件的修改而推迟响应文件提交截止时间的情况时，供应商则须按招标方的书面修改通知重新规定的响应文件提交截止时间递交。</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13、响应性文件的修改和撤销</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13.1供应商在递交响应性文件后，可在规定的响应文件提交截止时间之前，对其响应性文件以书面通知的形式进行修改或撤消。该通知须有供应商代理人的签字，并得到招标方的确认。</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供应商对响应性文件修改的书面材料或撤消通知应按竞争性磋商文件要求进行密封、标注和递交，并注明“修改响应性文件”或“撤消响应文件”字样，修改或撤销的内容须按竞争性磋商文件的要求签署、盖章，并作为响应性文件的组成部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13.3对响应性文件修改的书面材料应于响应文件提交截止日前送达招标方，响应文件提交截止时间以后不得修改响应性文件。</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13.4供应商不得在响应文件开启后至磋商响应有效期期满前撤销响应性文件。否则招标方将没收其磋商保证金。</w:t>
      </w:r>
    </w:p>
    <w:p>
      <w:pPr>
        <w:pStyle w:val="4"/>
        <w:rPr>
          <w:rFonts w:hint="eastAsia" w:cs="宋体"/>
          <w:color w:val="auto"/>
          <w:sz w:val="24"/>
          <w:szCs w:val="24"/>
          <w:highlight w:val="none"/>
        </w:rPr>
      </w:pPr>
      <w:bookmarkStart w:id="11" w:name="_Toc502852414"/>
      <w:bookmarkStart w:id="12" w:name="_Toc17397"/>
      <w:r>
        <w:rPr>
          <w:rFonts w:hint="eastAsia" w:cs="宋体"/>
          <w:color w:val="auto"/>
          <w:sz w:val="24"/>
          <w:szCs w:val="24"/>
          <w:highlight w:val="none"/>
        </w:rPr>
        <w:t>第四章  响应文件开启、磋商</w:t>
      </w:r>
      <w:bookmarkEnd w:id="11"/>
      <w:bookmarkEnd w:id="12"/>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14、响应文件开启</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14.1本次磋商按竞争性磋商文件中规定的时间和地点进行磋商，允许供应商的法定代表人或其授权人参加响应文件开启会。</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14.2响应文件开启的顺序，按照递交响应性文件的正顺序进行。</w:t>
      </w:r>
    </w:p>
    <w:p>
      <w:pPr>
        <w:tabs>
          <w:tab w:val="left" w:pos="1155"/>
        </w:tabs>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14.3响应文件开启结束后，采购人或者采购代理机构应当依法对供应商的资格进行审查。</w:t>
      </w:r>
      <w:r>
        <w:rPr>
          <w:rFonts w:hint="eastAsia" w:ascii="宋体" w:hAnsi="宋体" w:cs="宋体"/>
          <w:bCs/>
          <w:color w:val="auto"/>
          <w:sz w:val="24"/>
          <w:highlight w:val="none"/>
        </w:rPr>
        <w:t>合格供应商不足3家的，不得评标。</w:t>
      </w:r>
    </w:p>
    <w:p>
      <w:pPr>
        <w:spacing w:line="440" w:lineRule="exact"/>
        <w:ind w:firstLine="474" w:firstLineChars="200"/>
        <w:jc w:val="center"/>
        <w:rPr>
          <w:rFonts w:hint="eastAsia" w:ascii="宋体" w:hAnsi="宋体" w:cs="宋体"/>
          <w:b/>
          <w:bCs/>
          <w:color w:val="auto"/>
          <w:spacing w:val="-2"/>
          <w:sz w:val="24"/>
          <w:highlight w:val="none"/>
        </w:rPr>
      </w:pPr>
      <w:r>
        <w:rPr>
          <w:rFonts w:hint="eastAsia" w:ascii="宋体" w:hAnsi="宋体" w:cs="宋体"/>
          <w:b/>
          <w:bCs/>
          <w:color w:val="auto"/>
          <w:spacing w:val="-2"/>
          <w:sz w:val="24"/>
          <w:highlight w:val="none"/>
        </w:rPr>
        <w:t>资格审查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06"/>
        <w:gridCol w:w="6289"/>
        <w:gridCol w:w="416"/>
        <w:gridCol w:w="416"/>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gridSpan w:val="2"/>
            <w:vMerge w:val="restart"/>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b/>
                <w:color w:val="auto"/>
                <w:spacing w:val="-2"/>
                <w:sz w:val="24"/>
                <w:highlight w:val="none"/>
              </w:rPr>
              <w:t>审查内容</w:t>
            </w:r>
          </w:p>
        </w:tc>
        <w:tc>
          <w:tcPr>
            <w:tcW w:w="6289" w:type="dxa"/>
            <w:vMerge w:val="restart"/>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b/>
                <w:color w:val="auto"/>
                <w:spacing w:val="-2"/>
                <w:sz w:val="24"/>
                <w:highlight w:val="none"/>
              </w:rPr>
              <w:t>审查标准</w:t>
            </w:r>
          </w:p>
        </w:tc>
        <w:tc>
          <w:tcPr>
            <w:tcW w:w="1396" w:type="dxa"/>
            <w:gridSpan w:val="3"/>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color w:val="auto"/>
                <w:spacing w:val="-2"/>
                <w:sz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gridSpan w:val="2"/>
            <w:vMerge w:val="continue"/>
            <w:vAlign w:val="center"/>
          </w:tcPr>
          <w:p>
            <w:pPr>
              <w:spacing w:line="440" w:lineRule="exact"/>
              <w:jc w:val="center"/>
              <w:rPr>
                <w:rFonts w:hint="eastAsia" w:ascii="宋体" w:hAnsi="宋体" w:cs="宋体"/>
                <w:b/>
                <w:color w:val="auto"/>
                <w:spacing w:val="-2"/>
                <w:sz w:val="24"/>
                <w:highlight w:val="none"/>
              </w:rPr>
            </w:pPr>
          </w:p>
        </w:tc>
        <w:tc>
          <w:tcPr>
            <w:tcW w:w="6289" w:type="dxa"/>
            <w:vMerge w:val="continue"/>
            <w:vAlign w:val="center"/>
          </w:tcPr>
          <w:p>
            <w:pPr>
              <w:spacing w:line="440" w:lineRule="exact"/>
              <w:jc w:val="center"/>
              <w:rPr>
                <w:rFonts w:hint="eastAsia" w:ascii="宋体" w:hAnsi="宋体" w:cs="宋体"/>
                <w:b/>
                <w:color w:val="auto"/>
                <w:spacing w:val="-2"/>
                <w:sz w:val="24"/>
                <w:highlight w:val="none"/>
              </w:rPr>
            </w:pPr>
          </w:p>
        </w:tc>
        <w:tc>
          <w:tcPr>
            <w:tcW w:w="416" w:type="dxa"/>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b/>
                <w:color w:val="auto"/>
                <w:spacing w:val="-2"/>
                <w:sz w:val="24"/>
                <w:highlight w:val="none"/>
              </w:rPr>
              <w:t>1</w:t>
            </w:r>
          </w:p>
        </w:tc>
        <w:tc>
          <w:tcPr>
            <w:tcW w:w="416" w:type="dxa"/>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b/>
                <w:color w:val="auto"/>
                <w:spacing w:val="-2"/>
                <w:sz w:val="24"/>
                <w:highlight w:val="none"/>
              </w:rPr>
              <w:t>2</w:t>
            </w:r>
          </w:p>
        </w:tc>
        <w:tc>
          <w:tcPr>
            <w:tcW w:w="564" w:type="dxa"/>
            <w:vAlign w:val="center"/>
          </w:tcPr>
          <w:p>
            <w:pPr>
              <w:spacing w:line="440" w:lineRule="exact"/>
              <w:jc w:val="center"/>
              <w:rPr>
                <w:rFonts w:hint="eastAsia" w:ascii="宋体" w:hAnsi="宋体" w:cs="宋体"/>
                <w:b/>
                <w:color w:val="auto"/>
                <w:spacing w:val="-2"/>
                <w:sz w:val="24"/>
                <w:highlight w:val="none"/>
              </w:rPr>
            </w:pPr>
            <w:r>
              <w:rPr>
                <w:rFonts w:hint="eastAsia" w:ascii="宋体" w:hAnsi="宋体" w:cs="宋体"/>
                <w:b/>
                <w:color w:val="auto"/>
                <w:spacing w:val="-2"/>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具有独立承担民事责任的能力</w:t>
            </w:r>
          </w:p>
        </w:tc>
        <w:tc>
          <w:tcPr>
            <w:tcW w:w="6289"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法人或者其他组织的营业执照等证明文件；自然人需提供身份证明；</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信用查询结果</w:t>
            </w:r>
          </w:p>
        </w:tc>
        <w:tc>
          <w:tcPr>
            <w:tcW w:w="6289" w:type="dxa"/>
            <w:vAlign w:val="center"/>
          </w:tcPr>
          <w:p>
            <w:pPr>
              <w:pStyle w:val="13"/>
              <w:spacing w:line="440" w:lineRule="exact"/>
              <w:rPr>
                <w:rFonts w:hint="eastAsia" w:hAnsi="宋体" w:cs="宋体"/>
                <w:color w:val="auto"/>
                <w:sz w:val="24"/>
                <w:szCs w:val="24"/>
                <w:highlight w:val="none"/>
              </w:rPr>
            </w:pPr>
            <w:r>
              <w:rPr>
                <w:rFonts w:hint="eastAsia" w:hAnsi="宋体" w:cs="宋体"/>
                <w:color w:val="auto"/>
                <w:sz w:val="24"/>
                <w:szCs w:val="24"/>
                <w:highlight w:val="none"/>
              </w:rPr>
              <w:t>1、“信用中国”（www.creditchina.gov.cn）未被列入重大税收违法案件当事人名单；</w:t>
            </w:r>
          </w:p>
          <w:p>
            <w:pPr>
              <w:pStyle w:val="13"/>
              <w:spacing w:line="440" w:lineRule="exact"/>
              <w:rPr>
                <w:rFonts w:hint="eastAsia" w:hAnsi="宋体" w:cs="宋体"/>
                <w:color w:val="auto"/>
                <w:sz w:val="24"/>
                <w:szCs w:val="24"/>
                <w:highlight w:val="none"/>
              </w:rPr>
            </w:pPr>
            <w:r>
              <w:rPr>
                <w:rFonts w:hint="eastAsia" w:hAnsi="宋体" w:cs="宋体"/>
                <w:color w:val="auto"/>
                <w:sz w:val="24"/>
                <w:szCs w:val="24"/>
                <w:highlight w:val="none"/>
              </w:rPr>
              <w:t>2、“中国执行信息公开网”（http://zxgk.court.gov.cn/）未被列入失信被执行人；</w:t>
            </w:r>
          </w:p>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3、“中国政府采购网”（www.ccgp.gov.cn）网站上未被列入政府采购严重违法失信行为记录名单；</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健全的财务会计制度</w:t>
            </w:r>
          </w:p>
        </w:tc>
        <w:tc>
          <w:tcPr>
            <w:tcW w:w="6289"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提供上一年度经审计财务</w:t>
            </w:r>
            <w:r>
              <w:rPr>
                <w:rFonts w:hint="eastAsia" w:ascii="宋体" w:hAnsi="宋体" w:cs="宋体"/>
                <w:color w:val="auto"/>
                <w:sz w:val="24"/>
                <w:highlight w:val="none"/>
                <w:lang w:val="en-US" w:eastAsia="zh-CN"/>
              </w:rPr>
              <w:t>审计</w:t>
            </w:r>
            <w:r>
              <w:rPr>
                <w:rFonts w:hint="eastAsia" w:ascii="宋体" w:hAnsi="宋体" w:cs="宋体"/>
                <w:color w:val="auto"/>
                <w:sz w:val="24"/>
                <w:highlight w:val="none"/>
              </w:rPr>
              <w:t>报告或财务报表。（供应商是法人的应提供经审计的上一年度的财务报告，成立不足一年的提供3个月的财务报表</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其基本开户银行出具的资信证明；另：部分其他组织或自然人，没有经审计的财务报告，应当提供开标近1个月的银行出具的资信证明。）</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缴纳税收</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提供的近半年内任一月依法缴纳税收证明，当月新成立公司不需提供</w:t>
            </w:r>
            <w:r>
              <w:rPr>
                <w:rFonts w:hint="eastAsia" w:ascii="宋体" w:hAnsi="宋体" w:cs="宋体"/>
                <w:color w:val="auto"/>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缴纳社会保障资金</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提供社会保险登记证或社保机构出具的社保缴纳证明（近半年内任意一月</w:t>
            </w:r>
            <w:r>
              <w:rPr>
                <w:rFonts w:hint="eastAsia" w:ascii="宋体" w:hAnsi="宋体" w:cs="宋体"/>
                <w:color w:val="auto"/>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提供无重大违法记录声明书</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提供无重大违法记录声明书</w:t>
            </w:r>
            <w:r>
              <w:rPr>
                <w:rFonts w:hint="eastAsia" w:ascii="宋体" w:hAnsi="宋体" w:cs="宋体"/>
                <w:color w:val="auto"/>
                <w:spacing w:val="-2"/>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履行合同所必需的设备和能力</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提供具有履行合同所必需的设备和专业技术能力相关证明材料或声明</w:t>
            </w:r>
            <w:r>
              <w:rPr>
                <w:rFonts w:hint="eastAsia" w:ascii="宋体" w:hAnsi="宋体" w:cs="宋体"/>
                <w:color w:val="auto"/>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不参与围标串标承诺书</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提供不参与围标串标承诺书</w:t>
            </w:r>
            <w:r>
              <w:rPr>
                <w:rFonts w:hint="eastAsia" w:ascii="宋体" w:hAnsi="宋体" w:cs="宋体"/>
                <w:color w:val="auto"/>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506" w:type="dxa"/>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供应商代表身份证明</w:t>
            </w:r>
          </w:p>
        </w:tc>
        <w:tc>
          <w:tcPr>
            <w:tcW w:w="6289" w:type="dxa"/>
            <w:vAlign w:val="center"/>
          </w:tcPr>
          <w:p>
            <w:pPr>
              <w:spacing w:after="100" w:afterAutospacing="1"/>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提供法定代表人授权委托书或法定代表人资格证明书</w:t>
            </w:r>
            <w:r>
              <w:rPr>
                <w:rFonts w:hint="eastAsia" w:ascii="宋体" w:hAnsi="宋体" w:cs="宋体"/>
                <w:color w:val="auto"/>
                <w:sz w:val="24"/>
                <w:highlight w:val="none"/>
                <w:lang w:eastAsia="zh-CN"/>
              </w:rPr>
              <w:t>；</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506" w:type="dxa"/>
            <w:vAlign w:val="center"/>
          </w:tcPr>
          <w:p>
            <w:pPr>
              <w:spacing w:after="100" w:afterAutospacing="1"/>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采购政策</w:t>
            </w:r>
          </w:p>
        </w:tc>
        <w:tc>
          <w:tcPr>
            <w:tcW w:w="6289" w:type="dxa"/>
            <w:vAlign w:val="center"/>
          </w:tcPr>
          <w:p>
            <w:pPr>
              <w:spacing w:after="100" w:afterAutospacing="1"/>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本项目专门面向中小企业，提供中小企业声明函；</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1" w:type="dxa"/>
            <w:gridSpan w:val="3"/>
            <w:vAlign w:val="center"/>
          </w:tcPr>
          <w:p>
            <w:pPr>
              <w:spacing w:after="100" w:afterAutospacing="1"/>
              <w:rPr>
                <w:rFonts w:hint="eastAsia" w:ascii="宋体" w:hAnsi="宋体" w:cs="宋体"/>
                <w:color w:val="auto"/>
                <w:sz w:val="24"/>
                <w:highlight w:val="none"/>
              </w:rPr>
            </w:pPr>
            <w:r>
              <w:rPr>
                <w:rFonts w:hint="eastAsia" w:ascii="宋体" w:hAnsi="宋体" w:cs="宋体"/>
                <w:color w:val="auto"/>
                <w:sz w:val="24"/>
                <w:highlight w:val="none"/>
              </w:rPr>
              <w:t>结论：是否通过资格审查</w:t>
            </w:r>
          </w:p>
        </w:tc>
        <w:tc>
          <w:tcPr>
            <w:tcW w:w="416" w:type="dxa"/>
            <w:vAlign w:val="center"/>
          </w:tcPr>
          <w:p>
            <w:pPr>
              <w:spacing w:line="440" w:lineRule="exact"/>
              <w:jc w:val="center"/>
              <w:rPr>
                <w:rFonts w:hint="eastAsia" w:ascii="宋体" w:hAnsi="宋体" w:cs="宋体"/>
                <w:color w:val="auto"/>
                <w:sz w:val="24"/>
                <w:highlight w:val="none"/>
              </w:rPr>
            </w:pPr>
          </w:p>
        </w:tc>
        <w:tc>
          <w:tcPr>
            <w:tcW w:w="416" w:type="dxa"/>
          </w:tcPr>
          <w:p>
            <w:pPr>
              <w:spacing w:line="440" w:lineRule="exact"/>
              <w:jc w:val="center"/>
              <w:rPr>
                <w:rFonts w:hint="eastAsia" w:ascii="宋体" w:hAnsi="宋体" w:cs="宋体"/>
                <w:color w:val="auto"/>
                <w:sz w:val="24"/>
                <w:highlight w:val="none"/>
              </w:rPr>
            </w:pPr>
          </w:p>
        </w:tc>
        <w:tc>
          <w:tcPr>
            <w:tcW w:w="564" w:type="dxa"/>
          </w:tcPr>
          <w:p>
            <w:pPr>
              <w:spacing w:line="440" w:lineRule="exact"/>
              <w:jc w:val="center"/>
              <w:rPr>
                <w:rFonts w:hint="eastAsia" w:ascii="宋体" w:hAnsi="宋体" w:cs="宋体"/>
                <w:color w:val="auto"/>
                <w:sz w:val="24"/>
                <w:highlight w:val="none"/>
              </w:rPr>
            </w:pPr>
          </w:p>
        </w:tc>
      </w:tr>
    </w:tbl>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15、磋商依据</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15.1磋商的依据为招标方的竞争性磋商文件和供应商的响应性文件。</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16、磋商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16.1磋商小组</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（2）磋商小组人选于响应文件开启前确定。磋商小组成员名单在成交结果确定前保密。</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（4）按前款规定，磋商小组的成员，由招标方从专家库中采取随机抽取的方式确定。</w:t>
      </w:r>
    </w:p>
    <w:p>
      <w:pPr>
        <w:spacing w:line="440" w:lineRule="exact"/>
        <w:ind w:firstLine="354" w:firstLineChars="150"/>
        <w:rPr>
          <w:rFonts w:hint="eastAsia" w:ascii="宋体" w:hAnsi="宋体" w:cs="宋体"/>
          <w:color w:val="auto"/>
          <w:spacing w:val="-2"/>
          <w:sz w:val="24"/>
          <w:highlight w:val="none"/>
        </w:rPr>
      </w:pPr>
      <w:r>
        <w:rPr>
          <w:rFonts w:hint="eastAsia" w:ascii="宋体" w:hAnsi="宋体" w:cs="宋体"/>
          <w:color w:val="auto"/>
          <w:spacing w:val="-2"/>
          <w:sz w:val="24"/>
          <w:highlight w:val="none"/>
        </w:rPr>
        <w:t>（5）磋商小组成员遵循法定的回避规定。</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16.2磋商小组应符合下列条件：</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（1）</w:t>
      </w:r>
      <w:r>
        <w:rPr>
          <w:rFonts w:hint="eastAsia" w:ascii="宋体" w:hAnsi="宋体" w:cs="宋体"/>
          <w:color w:val="auto"/>
          <w:spacing w:val="-2"/>
          <w:sz w:val="24"/>
          <w:highlight w:val="none"/>
        </w:rPr>
        <w:t>熟悉有关政府采购和招标投标的法律法规；</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（2）</w:t>
      </w:r>
      <w:r>
        <w:rPr>
          <w:rFonts w:hint="eastAsia" w:ascii="宋体" w:hAnsi="宋体" w:cs="宋体"/>
          <w:color w:val="auto"/>
          <w:spacing w:val="-2"/>
          <w:sz w:val="24"/>
          <w:highlight w:val="none"/>
        </w:rPr>
        <w:t>在相关专业领域工作满八年并具有高级职称或者同等专业水平；</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（3）</w:t>
      </w:r>
      <w:r>
        <w:rPr>
          <w:rFonts w:hint="eastAsia" w:ascii="宋体" w:hAnsi="宋体" w:cs="宋体"/>
          <w:color w:val="auto"/>
          <w:spacing w:val="-2"/>
          <w:sz w:val="24"/>
          <w:highlight w:val="none"/>
        </w:rPr>
        <w:t>具有与采购项目相关的实践经验；</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（4）</w:t>
      </w:r>
      <w:r>
        <w:rPr>
          <w:rFonts w:hint="eastAsia" w:ascii="宋体" w:hAnsi="宋体" w:cs="宋体"/>
          <w:color w:val="auto"/>
          <w:spacing w:val="-2"/>
          <w:sz w:val="24"/>
          <w:highlight w:val="none"/>
        </w:rPr>
        <w:t>能够认真、公正、诚实、廉洁的履行职责。</w:t>
      </w:r>
    </w:p>
    <w:p>
      <w:pPr>
        <w:spacing w:line="440" w:lineRule="exact"/>
        <w:ind w:left="474" w:leftChars="224" w:hanging="4" w:hangingChars="2"/>
        <w:rPr>
          <w:rFonts w:hint="eastAsia" w:ascii="宋体" w:hAnsi="宋体" w:cs="宋体"/>
          <w:color w:val="auto"/>
          <w:spacing w:val="-2"/>
          <w:sz w:val="24"/>
          <w:highlight w:val="none"/>
        </w:rPr>
      </w:pPr>
      <w:r>
        <w:rPr>
          <w:rFonts w:hint="eastAsia" w:ascii="宋体" w:hAnsi="宋体" w:cs="宋体"/>
          <w:color w:val="auto"/>
          <w:spacing w:val="-2"/>
          <w:sz w:val="24"/>
          <w:highlight w:val="none"/>
        </w:rPr>
        <w:t>16.3 有下列情形之一的，不得担任磋商小组成员：</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pacing w:val="-2"/>
          <w:sz w:val="24"/>
          <w:highlight w:val="none"/>
        </w:rPr>
        <w:t>与供应商或者供应商主要负责人有近亲关系的；</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（2）</w:t>
      </w:r>
      <w:r>
        <w:rPr>
          <w:rFonts w:hint="eastAsia" w:ascii="宋体" w:hAnsi="宋体" w:cs="宋体"/>
          <w:color w:val="auto"/>
          <w:spacing w:val="-2"/>
          <w:sz w:val="24"/>
          <w:highlight w:val="none"/>
        </w:rPr>
        <w:t>与项目主管部门或者行政监督部门的人员有近亲关系的；</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（3）</w:t>
      </w:r>
      <w:r>
        <w:rPr>
          <w:rFonts w:hint="eastAsia" w:ascii="宋体" w:hAnsi="宋体" w:cs="宋体"/>
          <w:color w:val="auto"/>
          <w:spacing w:val="-2"/>
          <w:sz w:val="24"/>
          <w:highlight w:val="none"/>
        </w:rPr>
        <w:t>与供应商有经济利益关系，可能影响对磋商公正评审的；</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（4）</w:t>
      </w:r>
      <w:r>
        <w:rPr>
          <w:rFonts w:hint="eastAsia" w:ascii="宋体" w:hAnsi="宋体" w:cs="宋体"/>
          <w:color w:val="auto"/>
          <w:spacing w:val="-2"/>
          <w:sz w:val="24"/>
          <w:highlight w:val="none"/>
        </w:rPr>
        <w:t>曾因在招标、评标以及其他与招标投标采购有关活动中从事违法行为而受过行政处罚或刑事处罚的。</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磋商小组成员有前款规定情形之一的，应当主动提出回避。</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bCs/>
          <w:color w:val="auto"/>
          <w:sz w:val="24"/>
          <w:highlight w:val="none"/>
        </w:rPr>
        <w:t>16.4</w:t>
      </w:r>
      <w:r>
        <w:rPr>
          <w:rFonts w:hint="eastAsia" w:ascii="宋体" w:hAnsi="宋体" w:cs="宋体"/>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（1）</w:t>
      </w:r>
      <w:r>
        <w:rPr>
          <w:rFonts w:hint="eastAsia" w:ascii="宋体" w:hAnsi="宋体" w:cs="宋体"/>
          <w:color w:val="auto"/>
          <w:spacing w:val="-2"/>
          <w:sz w:val="24"/>
          <w:highlight w:val="none"/>
        </w:rPr>
        <w:t>采购目的；</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（2）</w:t>
      </w:r>
      <w:r>
        <w:rPr>
          <w:rFonts w:hint="eastAsia" w:ascii="宋体" w:hAnsi="宋体" w:cs="宋体"/>
          <w:color w:val="auto"/>
          <w:spacing w:val="-2"/>
          <w:sz w:val="24"/>
          <w:highlight w:val="none"/>
        </w:rPr>
        <w:t>采购项目的范围、性质；</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（3）</w:t>
      </w:r>
      <w:r>
        <w:rPr>
          <w:rFonts w:hint="eastAsia" w:ascii="宋体" w:hAnsi="宋体" w:cs="宋体"/>
          <w:color w:val="auto"/>
          <w:spacing w:val="-2"/>
          <w:sz w:val="24"/>
          <w:highlight w:val="none"/>
        </w:rPr>
        <w:t>竞争性磋商文件中规定的主要技术要求、标准和商务条款；</w:t>
      </w:r>
    </w:p>
    <w:p>
      <w:pPr>
        <w:spacing w:line="440" w:lineRule="exact"/>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（4）</w:t>
      </w:r>
      <w:r>
        <w:rPr>
          <w:rFonts w:hint="eastAsia" w:ascii="宋体" w:hAnsi="宋体" w:cs="宋体"/>
          <w:color w:val="auto"/>
          <w:spacing w:val="-2"/>
          <w:sz w:val="24"/>
          <w:highlight w:val="none"/>
        </w:rPr>
        <w:t>竞争性磋商文件规定的评分标准、评标方法和在磋商过程中应考虑的相关因素。</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16.5 招标方应当向磋商小组提供磋商所需的重要信息和数据。</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16.6 磋商小组应当根据竞争性磋商文件规定的评分标准和方法，对响应性文件进行系统地评审和比较。磋商文件中没有规定的标准和方法不得作为磋商的依据。</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16.7磋商小组成员应当客观、公正地履行职责，遵守职业道德，并对所提出的评审意见承担个人责任。磋商小组成员不得与任何供应商或者与采购结果有利害关系的人员进行私下接触，不得收受供应商、中介人或其他有利害关系人的财物或好处。</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16.8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16.9与磋商活动有关的工作人员，是指磋商小组成员以外的、因参与磋商监督工作或者事务性工作而知悉有关评标情况的所有人员。</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17、磋商的报价方式</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采用报价的方式：</w:t>
      </w:r>
    </w:p>
    <w:p>
      <w:pPr>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（1）供应商提交的响应性文件中的报价，该报价只允许有一个报价，任何有选择性的报价将不予接受。</w:t>
      </w:r>
    </w:p>
    <w:p>
      <w:pPr>
        <w:spacing w:line="44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磋商小组所有成员与供应商分别进行单独磋商。在磋商中，磋商的任何一方不得透露与磋商有关的其他服务商的技术资料、价格和其他信息。磋商文件有实质性变动的，磋商小组应以书面形式通知所有参加磋商的供应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通过符合性审查的供应商进行第二次报价（根据情况进行多轮报价），该报价为磋商的最终报价。供应商认为没有进行第二次报价的必要时，也可以不进行第二次报价。</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第二次报价采取线上提交。供应商在进行二次报价时，报价应用小写和大写同时书写，大小写不相符时，以大写为准，同时二次报价上还应写明供应商名称签字后上传确认，所有供应商的二次报价收集齐全后，二次报价不进行公开唱标。</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18、磋商和评审过程的保密性</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18.1所有与本次采购活动有关的人员，均不得向服务商及与磋商项目无关的其他人员，透露与磋商有关的资料等。</w:t>
      </w:r>
    </w:p>
    <w:p>
      <w:pPr>
        <w:tabs>
          <w:tab w:val="left" w:pos="720"/>
        </w:tabs>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rPr>
        <w:t>18.2在磋商过程中，服务商试图在响应性文件审查、澄清、比较等方面向采购人员施加影响的任何行为都可能导致其响应性文件被拒绝。</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19、磋商程序、报价确认和澄清及成交原则</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19.1磋商小组可以以书面方式要求供应商对响应文件中含义不明确、对同类问题表述不一致或者有明显文字和计算错误的内容作必要的澄清、说明或补正。澄清、说明或补正应以书面方式进行,且不得超出响应文件的范围或者改变响应文件的实质性内容。</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19.2在评标过程中，磋商小组发现供应商的报价明显低于其他供应商报价，使得其报价可能低于其个别成本的，应当要求该供应商做出书面说明并提供相关证明材料。供应商不能合理说明或者不能提供相关证明材料的，磋商小组认定该供应商以低于成本报价竞标，其磋商响应应作废标处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19.3招标方不接受不符合国家有关部门相关规定的磋商响应报价或优惠方案。</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19.4在评标过程中，磋商小组发现供应商以他人名义投标（响应磋商）、串通投标（响应磋商）、以行贿手段谋取成交或者以其他弄虚作假方式投标（响应磋商）的，该供应商的应作磋商响应无效处理。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19.5供应商的资格条件不符合国家有关规定和磋商文件要求的，或者拒不按照要求对响应文件进行澄清、说明或补正的，磋商小组可以否决其磋商响应。</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19.6磋商小组应当审查每一响应文件是否对磋商文件提出的所有实质性要求和条件做出满足。未能在实质上满足的响应，应作磋商响应无效处理。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19.7供应商不得误导、干扰招标方的评标活动，否则将废除其磋商响应。</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19.8磋商小组应当根据磋商文件，审查并逐项列出响应文件的全部磋商响应偏差。磋商响应偏差分为重大偏差和细微偏差。</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19.9初步评审</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由磋商小组成员对参加竞争性磋商企业的响应性文件进行响应程度初步审查，审查内容见下表：</w:t>
      </w:r>
    </w:p>
    <w:p>
      <w:pPr>
        <w:spacing w:line="440" w:lineRule="exact"/>
        <w:jc w:val="center"/>
        <w:rPr>
          <w:rFonts w:hint="eastAsia" w:ascii="宋体" w:hAnsi="宋体" w:cs="宋体"/>
          <w:b/>
          <w:bCs/>
          <w:color w:val="auto"/>
          <w:spacing w:val="-2"/>
          <w:sz w:val="24"/>
          <w:highlight w:val="none"/>
        </w:rPr>
      </w:pPr>
      <w:r>
        <w:rPr>
          <w:rFonts w:hint="eastAsia" w:ascii="宋体" w:hAnsi="宋体" w:cs="宋体"/>
          <w:b/>
          <w:bCs/>
          <w:color w:val="auto"/>
          <w:spacing w:val="-2"/>
          <w:sz w:val="24"/>
          <w:highlight w:val="none"/>
        </w:rPr>
        <w:t>符合性审查</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676"/>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19" w:type="dxa"/>
            <w:gridSpan w:val="2"/>
            <w:vMerge w:val="restart"/>
            <w:tcBorders>
              <w:right w:val="single" w:color="auto" w:sz="4" w:space="0"/>
            </w:tcBorders>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2535" w:type="dxa"/>
            <w:gridSpan w:val="4"/>
            <w:tcBorders>
              <w:left w:val="single" w:color="auto" w:sz="4" w:space="0"/>
              <w:bottom w:val="single" w:color="auto" w:sz="4" w:space="0"/>
            </w:tcBorders>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19" w:type="dxa"/>
            <w:gridSpan w:val="2"/>
            <w:vMerge w:val="continue"/>
            <w:tcBorders>
              <w:right w:val="single" w:color="auto" w:sz="4" w:space="0"/>
            </w:tcBorders>
          </w:tcPr>
          <w:p>
            <w:pPr>
              <w:rPr>
                <w:rFonts w:hint="eastAsia" w:ascii="宋体" w:hAnsi="宋体" w:cs="宋体"/>
                <w:b/>
                <w:color w:val="auto"/>
                <w:szCs w:val="21"/>
                <w:highlight w:val="none"/>
              </w:rPr>
            </w:pPr>
          </w:p>
        </w:tc>
        <w:tc>
          <w:tcPr>
            <w:tcW w:w="646" w:type="dxa"/>
            <w:tcBorders>
              <w:top w:val="single" w:color="auto" w:sz="4" w:space="0"/>
              <w:left w:val="single" w:color="auto" w:sz="4" w:space="0"/>
              <w:right w:val="single" w:color="auto" w:sz="4" w:space="0"/>
            </w:tcBorders>
          </w:tcPr>
          <w:p>
            <w:pP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46" w:type="dxa"/>
            <w:tcBorders>
              <w:top w:val="single" w:color="auto" w:sz="4" w:space="0"/>
              <w:left w:val="single" w:color="auto" w:sz="4" w:space="0"/>
            </w:tcBorders>
          </w:tcPr>
          <w:p>
            <w:pP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46" w:type="dxa"/>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597" w:type="dxa"/>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676" w:type="dxa"/>
            <w:tcBorders>
              <w:right w:val="single" w:color="auto" w:sz="4" w:space="0"/>
            </w:tcBorders>
            <w:vAlign w:val="center"/>
          </w:tcPr>
          <w:p>
            <w:pPr>
              <w:spacing w:line="440" w:lineRule="exact"/>
              <w:rPr>
                <w:rFonts w:hint="eastAsia" w:ascii="宋体" w:hAnsi="宋体" w:cs="宋体"/>
                <w:color w:val="auto"/>
                <w:spacing w:val="-2"/>
                <w:sz w:val="24"/>
                <w:highlight w:val="none"/>
              </w:rPr>
            </w:pPr>
            <w:r>
              <w:rPr>
                <w:rFonts w:hint="eastAsia" w:ascii="宋体" w:hAnsi="宋体" w:cs="宋体"/>
                <w:color w:val="auto"/>
                <w:spacing w:val="-2"/>
                <w:sz w:val="24"/>
                <w:highlight w:val="none"/>
              </w:rPr>
              <w:t>响应承诺书是否有单位盖章及法定代表人或法定代表人授权的代理人签字或盖章的；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676" w:type="dxa"/>
            <w:tcBorders>
              <w:right w:val="single" w:color="auto" w:sz="4" w:space="0"/>
            </w:tcBorders>
            <w:vAlign w:val="center"/>
          </w:tcPr>
          <w:p>
            <w:pPr>
              <w:spacing w:line="440" w:lineRule="exact"/>
              <w:rPr>
                <w:rFonts w:hint="eastAsia" w:ascii="宋体" w:hAnsi="宋体" w:cs="宋体"/>
                <w:color w:val="auto"/>
                <w:spacing w:val="-2"/>
                <w:sz w:val="24"/>
                <w:highlight w:val="none"/>
              </w:rPr>
            </w:pPr>
            <w:r>
              <w:rPr>
                <w:rFonts w:hint="eastAsia" w:ascii="宋体" w:hAnsi="宋体" w:cs="宋体"/>
                <w:color w:val="auto"/>
                <w:spacing w:val="-2"/>
                <w:sz w:val="24"/>
                <w:highlight w:val="none"/>
              </w:rPr>
              <w:t>投标有效期是否满足磋商文件要求的；</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676" w:type="dxa"/>
            <w:tcBorders>
              <w:right w:val="single" w:color="auto" w:sz="4" w:space="0"/>
            </w:tcBorders>
            <w:vAlign w:val="center"/>
          </w:tcPr>
          <w:p>
            <w:pPr>
              <w:rPr>
                <w:rFonts w:hint="eastAsia" w:ascii="宋体" w:hAnsi="宋体" w:cs="宋体"/>
                <w:color w:val="auto"/>
                <w:spacing w:val="-2"/>
                <w:sz w:val="24"/>
                <w:highlight w:val="none"/>
              </w:rPr>
            </w:pPr>
            <w:r>
              <w:rPr>
                <w:rFonts w:hint="eastAsia" w:ascii="宋体" w:hAnsi="宋体" w:cs="宋体"/>
                <w:color w:val="auto"/>
                <w:sz w:val="24"/>
                <w:highlight w:val="none"/>
              </w:rPr>
              <w:t>是否按规定提交投标文件的；</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676" w:type="dxa"/>
            <w:tcBorders>
              <w:right w:val="single" w:color="auto" w:sz="4" w:space="0"/>
            </w:tcBorders>
            <w:vAlign w:val="center"/>
          </w:tcPr>
          <w:p>
            <w:pPr>
              <w:textAlignment w:val="center"/>
              <w:rPr>
                <w:rFonts w:hint="eastAsia" w:ascii="宋体" w:hAnsi="宋体" w:cs="宋体"/>
                <w:color w:val="auto"/>
                <w:spacing w:val="-2"/>
                <w:sz w:val="24"/>
                <w:highlight w:val="none"/>
              </w:rPr>
            </w:pPr>
            <w:r>
              <w:rPr>
                <w:rFonts w:hint="eastAsia" w:ascii="宋体" w:hAnsi="宋体" w:cs="宋体"/>
                <w:color w:val="auto"/>
                <w:sz w:val="24"/>
                <w:highlight w:val="none"/>
              </w:rPr>
              <w:t>投标文件是否按照要求签署、盖章；</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676" w:type="dxa"/>
            <w:tcBorders>
              <w:right w:val="single" w:color="auto" w:sz="4" w:space="0"/>
            </w:tcBorders>
            <w:vAlign w:val="center"/>
          </w:tcPr>
          <w:p>
            <w:pPr>
              <w:rPr>
                <w:rFonts w:hint="eastAsia" w:ascii="宋体" w:hAnsi="宋体" w:cs="宋体"/>
                <w:color w:val="auto"/>
                <w:spacing w:val="-2"/>
                <w:sz w:val="24"/>
                <w:highlight w:val="none"/>
              </w:rPr>
            </w:pPr>
            <w:r>
              <w:rPr>
                <w:rFonts w:hint="eastAsia" w:ascii="宋体" w:hAnsi="宋体" w:cs="宋体"/>
                <w:color w:val="auto"/>
                <w:sz w:val="24"/>
                <w:highlight w:val="none"/>
              </w:rPr>
              <w:t>投标报价是否在采购预算或最高限价以内；</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676" w:type="dxa"/>
            <w:tcBorders>
              <w:right w:val="single" w:color="auto" w:sz="4" w:space="0"/>
            </w:tcBorders>
            <w:vAlign w:val="center"/>
          </w:tcPr>
          <w:p>
            <w:pPr>
              <w:rPr>
                <w:rFonts w:hint="eastAsia" w:ascii="宋体" w:hAnsi="宋体" w:cs="宋体"/>
                <w:color w:val="auto"/>
                <w:spacing w:val="-2"/>
                <w:sz w:val="24"/>
                <w:highlight w:val="none"/>
              </w:rPr>
            </w:pPr>
            <w:r>
              <w:rPr>
                <w:rFonts w:hint="eastAsia" w:ascii="宋体" w:hAnsi="宋体" w:cs="宋体"/>
                <w:color w:val="auto"/>
                <w:sz w:val="24"/>
                <w:highlight w:val="none"/>
              </w:rPr>
              <w:t>投标人所报服务期限是否超过招标文件规定期限的；</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676" w:type="dxa"/>
            <w:tcBorders>
              <w:right w:val="single" w:color="auto"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是否按照投标须知要求金额递交了磋商保证金，并提供了磋商保证金缴纳凭证（转账记录或银行回执）。</w:t>
            </w:r>
          </w:p>
        </w:tc>
        <w:tc>
          <w:tcPr>
            <w:tcW w:w="646" w:type="dxa"/>
            <w:tcBorders>
              <w:left w:val="single" w:color="auto" w:sz="4" w:space="0"/>
              <w:right w:val="single" w:color="auto" w:sz="4" w:space="0"/>
            </w:tcBorders>
            <w:vAlign w:val="center"/>
          </w:tcPr>
          <w:p>
            <w:pPr>
              <w:rPr>
                <w:rFonts w:hint="eastAsia" w:ascii="宋体" w:hAnsi="宋体" w:cs="宋体"/>
                <w:color w:val="auto"/>
                <w:szCs w:val="21"/>
                <w:highlight w:val="none"/>
              </w:rPr>
            </w:pPr>
          </w:p>
        </w:tc>
        <w:tc>
          <w:tcPr>
            <w:tcW w:w="646" w:type="dxa"/>
            <w:tcBorders>
              <w:left w:val="single" w:color="auto" w:sz="4" w:space="0"/>
            </w:tcBorders>
            <w:vAlign w:val="center"/>
          </w:tcPr>
          <w:p>
            <w:pPr>
              <w:rPr>
                <w:rFonts w:hint="eastAsia" w:ascii="宋体" w:hAnsi="宋体" w:cs="宋体"/>
                <w:color w:val="auto"/>
                <w:szCs w:val="21"/>
                <w:highlight w:val="none"/>
              </w:rPr>
            </w:pPr>
          </w:p>
        </w:tc>
        <w:tc>
          <w:tcPr>
            <w:tcW w:w="646" w:type="dxa"/>
            <w:tcBorders>
              <w:right w:val="single" w:color="auto" w:sz="4" w:space="0"/>
            </w:tcBorders>
          </w:tcPr>
          <w:p>
            <w:pPr>
              <w:rPr>
                <w:rFonts w:hint="eastAsia" w:ascii="宋体" w:hAnsi="宋体" w:cs="宋体"/>
                <w:color w:val="auto"/>
                <w:szCs w:val="21"/>
                <w:highlight w:val="none"/>
              </w:rPr>
            </w:pPr>
          </w:p>
        </w:tc>
        <w:tc>
          <w:tcPr>
            <w:tcW w:w="597" w:type="dxa"/>
            <w:tcBorders>
              <w:left w:val="single" w:color="auto" w:sz="4" w:space="0"/>
            </w:tcBorders>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tcPr>
          <w:p>
            <w:pPr>
              <w:rPr>
                <w:rFonts w:hint="eastAsia" w:ascii="宋体" w:hAnsi="宋体" w:cs="宋体"/>
                <w:color w:val="auto"/>
                <w:sz w:val="24"/>
                <w:highlight w:val="none"/>
              </w:rPr>
            </w:pPr>
            <w:r>
              <w:rPr>
                <w:rFonts w:hint="eastAsia" w:ascii="宋体" w:hAnsi="宋体" w:cs="宋体"/>
                <w:color w:val="auto"/>
                <w:sz w:val="24"/>
                <w:highlight w:val="none"/>
              </w:rPr>
              <w:t>结论：是否通过评审</w:t>
            </w:r>
          </w:p>
        </w:tc>
        <w:tc>
          <w:tcPr>
            <w:tcW w:w="646" w:type="dxa"/>
            <w:tcBorders>
              <w:left w:val="single" w:color="auto" w:sz="4" w:space="0"/>
              <w:right w:val="single" w:color="auto" w:sz="4" w:space="0"/>
            </w:tcBorders>
          </w:tcPr>
          <w:p>
            <w:pPr>
              <w:rPr>
                <w:rFonts w:hint="eastAsia" w:ascii="宋体" w:hAnsi="宋体" w:cs="宋体"/>
                <w:color w:val="auto"/>
                <w:szCs w:val="21"/>
                <w:highlight w:val="none"/>
              </w:rPr>
            </w:pPr>
          </w:p>
        </w:tc>
        <w:tc>
          <w:tcPr>
            <w:tcW w:w="646" w:type="dxa"/>
            <w:tcBorders>
              <w:left w:val="single" w:color="auto" w:sz="4" w:space="0"/>
            </w:tcBorders>
          </w:tcPr>
          <w:p>
            <w:pPr>
              <w:rPr>
                <w:rFonts w:hint="eastAsia" w:ascii="宋体" w:hAnsi="宋体" w:cs="宋体"/>
                <w:color w:val="auto"/>
                <w:szCs w:val="21"/>
                <w:highlight w:val="none"/>
              </w:rPr>
            </w:pPr>
          </w:p>
        </w:tc>
        <w:tc>
          <w:tcPr>
            <w:tcW w:w="646" w:type="dxa"/>
          </w:tcPr>
          <w:p>
            <w:pPr>
              <w:rPr>
                <w:rFonts w:hint="eastAsia" w:ascii="宋体" w:hAnsi="宋体" w:cs="宋体"/>
                <w:color w:val="auto"/>
                <w:szCs w:val="21"/>
                <w:highlight w:val="none"/>
              </w:rPr>
            </w:pPr>
          </w:p>
        </w:tc>
        <w:tc>
          <w:tcPr>
            <w:tcW w:w="597" w:type="dxa"/>
          </w:tcPr>
          <w:p>
            <w:pPr>
              <w:rPr>
                <w:rFonts w:hint="eastAsia" w:ascii="宋体" w:hAnsi="宋体" w:cs="宋体"/>
                <w:color w:val="auto"/>
                <w:szCs w:val="21"/>
                <w:highlight w:val="none"/>
              </w:rPr>
            </w:pPr>
          </w:p>
        </w:tc>
      </w:tr>
    </w:tbl>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响应性文件响应程度初步审查通过的供应商，进入下一步详细评审阶段，未通过响应性文件响应程度初步审查的供应商，其响应文件作为无效响应文件，不进入后期评审阶段。</w:t>
      </w:r>
    </w:p>
    <w:p>
      <w:pPr>
        <w:tabs>
          <w:tab w:val="left" w:pos="0"/>
        </w:tabs>
        <w:adjustRightInd w:val="0"/>
        <w:snapToGri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19.10评标委员会将根据政府采购政策支持中小企业政策对最后报价进行价格折扣，折</w:t>
      </w:r>
    </w:p>
    <w:p>
      <w:pPr>
        <w:tabs>
          <w:tab w:val="left" w:pos="0"/>
        </w:tabs>
        <w:adjustRightInd w:val="0"/>
        <w:snapToGrid w:val="0"/>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扣的价格将作为评审价格。</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19.11详细评审</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19.11.1经初步评审合格的响应文件，评标委员会应当根据磋商文件文件确定的评标标准和方法，对其技术和商务部分作进一步的评审和比较。</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19.11.2在评审过程中，为了有助于对响应文件进行审查、评估和比较，供应商有责任按照招标方通知的时间、地点指派专人进行答疑和澄清。评标委员会可能要求供应商就响应文件中的内容进行答辩，招标方将以书面形式通知供应商，供应商应按要求进行答辩。</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19.11.3采用</w:t>
      </w:r>
      <w:r>
        <w:rPr>
          <w:rFonts w:hint="eastAsia" w:ascii="宋体" w:hAnsi="宋体" w:cs="宋体"/>
          <w:color w:val="auto"/>
          <w:spacing w:val="-2"/>
          <w:sz w:val="24"/>
          <w:highlight w:val="none"/>
          <w:u w:val="single"/>
        </w:rPr>
        <w:t>　综合评分法　</w:t>
      </w:r>
      <w:r>
        <w:rPr>
          <w:rFonts w:hint="eastAsia" w:ascii="宋体" w:hAnsi="宋体" w:cs="宋体"/>
          <w:color w:val="auto"/>
          <w:spacing w:val="-2"/>
          <w:sz w:val="24"/>
          <w:highlight w:val="none"/>
        </w:rPr>
        <w:t>衡量响应文件是否最大限度地满足磋商文件文件中规定的各项综合评分标准。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19.11.4根据综合评分法完成评标后，评标委员会应当拟定一份书面评标报告提交招标方。评标报告应当载明供应商的响应项目、所作的任何修正、对商务偏差的调整、对技术偏差的调整、对各评审因素的评估以及对每一标段分包的最终评审结果。</w:t>
      </w:r>
    </w:p>
    <w:p>
      <w:pPr>
        <w:spacing w:line="440" w:lineRule="exact"/>
        <w:ind w:firstLine="472" w:firstLineChars="200"/>
        <w:rPr>
          <w:rFonts w:hint="eastAsia" w:ascii="宋体" w:hAnsi="宋体" w:cs="宋体"/>
          <w:color w:val="auto"/>
          <w:sz w:val="24"/>
          <w:highlight w:val="none"/>
        </w:rPr>
      </w:pPr>
      <w:r>
        <w:rPr>
          <w:rFonts w:hint="eastAsia" w:ascii="宋体" w:hAnsi="宋体" w:cs="宋体"/>
          <w:color w:val="auto"/>
          <w:spacing w:val="-2"/>
          <w:sz w:val="24"/>
          <w:highlight w:val="none"/>
        </w:rPr>
        <w:t>19.11.5采用综合评分法衡量响应文件在是否最大限度地满足磋商文件文件实质性要求前提下，按照磋商文件文件中规定的各项因素进行综合评审后，依据得分高低，依次确定为成交候选人。</w:t>
      </w:r>
    </w:p>
    <w:p>
      <w:pPr>
        <w:pStyle w:val="4"/>
        <w:rPr>
          <w:rFonts w:hint="eastAsia" w:cs="宋体"/>
          <w:color w:val="auto"/>
          <w:sz w:val="24"/>
          <w:szCs w:val="24"/>
          <w:highlight w:val="none"/>
        </w:rPr>
      </w:pPr>
      <w:bookmarkStart w:id="13" w:name="_Toc502852415"/>
      <w:bookmarkStart w:id="14" w:name="_Toc13595"/>
      <w:r>
        <w:rPr>
          <w:rFonts w:hint="eastAsia" w:cs="宋体"/>
          <w:color w:val="auto"/>
          <w:sz w:val="24"/>
          <w:szCs w:val="24"/>
          <w:highlight w:val="none"/>
        </w:rPr>
        <w:t>第五章  定　标</w:t>
      </w:r>
      <w:bookmarkEnd w:id="13"/>
      <w:bookmarkEnd w:id="14"/>
    </w:p>
    <w:p>
      <w:pPr>
        <w:spacing w:line="440" w:lineRule="exact"/>
        <w:rPr>
          <w:rFonts w:hint="eastAsia" w:ascii="宋体" w:hAnsi="宋体" w:cs="宋体"/>
          <w:b/>
          <w:color w:val="auto"/>
          <w:spacing w:val="-2"/>
          <w:sz w:val="24"/>
          <w:highlight w:val="none"/>
        </w:rPr>
      </w:pPr>
      <w:r>
        <w:rPr>
          <w:rFonts w:hint="eastAsia" w:ascii="宋体" w:hAnsi="宋体" w:cs="宋体"/>
          <w:b/>
          <w:color w:val="auto"/>
          <w:spacing w:val="-2"/>
          <w:sz w:val="24"/>
          <w:highlight w:val="none"/>
        </w:rPr>
        <w:t>20、定标标准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20.1合同将授予被确定为实质性响应磋商文件要求，经评定认为具备履行合同能力、报价合理、技术和商务条件都符合磋商文件要求的、得分最高的供应商。</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20.2</w:t>
      </w:r>
      <w:r>
        <w:rPr>
          <w:rFonts w:hint="eastAsia" w:ascii="宋体" w:hAnsi="宋体" w:cs="宋体"/>
          <w:color w:val="auto"/>
          <w:spacing w:val="-2"/>
          <w:kern w:val="0"/>
          <w:sz w:val="24"/>
          <w:highlight w:val="none"/>
        </w:rPr>
        <w:t>磋商响应最低报价，不作为是否成交的依据</w:t>
      </w:r>
      <w:r>
        <w:rPr>
          <w:rFonts w:hint="eastAsia" w:ascii="宋体" w:hAnsi="宋体" w:cs="宋体"/>
          <w:color w:val="auto"/>
          <w:spacing w:val="-2"/>
          <w:sz w:val="24"/>
          <w:highlight w:val="none"/>
        </w:rPr>
        <w:t>。</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20.3如果确定该成交供应商没有条件圆满履行合同，招标方将按照成交候选人排名把合同授予下一个成交候选人。</w:t>
      </w:r>
      <w:r>
        <w:rPr>
          <w:rFonts w:hint="eastAsia" w:ascii="宋体" w:hAnsi="宋体" w:cs="宋体"/>
          <w:color w:val="auto"/>
          <w:sz w:val="24"/>
          <w:highlight w:val="none"/>
        </w:rPr>
        <w:t>若该标段成交候选人均未能履行，招标方可将按照成交候选人排名将合同授予另一标段的候选人。</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21、接受和拒绝任何或所有投标（磋商响应）的权力</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21.1为维护国家利益，磋商小组在授予合同之前仍有选择或拒绝任何投标（磋商响应）的权力。</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22、成交通知书</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22.1采购人确认成交结果后，新疆星圣源工程项目管理有限公司将以书面形式发出《成交通知书》。《成交通知书》一经发出即发生法律效力。</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22.2《成交通知书》将作为签订合同的依据。</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22.3 成交供应商在领取《成交通知书》时，必须按磋商文件规定向采购代理机构缴纳采购代理服务费。</w:t>
      </w: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23、合同的履约</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23.1 如果成交供应商没有按照上述规定签订合同，招标人有理由取消该供应商的所有成交资格。</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23.2 成交供应商必须有能力履约合同义务，不得向他人转让成交项目，也不得将成交项目分包给他人。如果成交在履行合同时发生违约行为，招标人有权终止采购合同</w:t>
      </w:r>
      <w:bookmarkStart w:id="15" w:name="_Toc502852417"/>
      <w:r>
        <w:rPr>
          <w:rFonts w:hint="eastAsia" w:ascii="宋体" w:hAnsi="宋体" w:cs="宋体"/>
          <w:color w:val="auto"/>
          <w:spacing w:val="-2"/>
          <w:sz w:val="24"/>
          <w:highlight w:val="none"/>
        </w:rPr>
        <w:t>。</w:t>
      </w:r>
    </w:p>
    <w:p>
      <w:pPr>
        <w:pStyle w:val="4"/>
        <w:rPr>
          <w:rFonts w:hint="eastAsia" w:cs="宋体"/>
          <w:color w:val="auto"/>
          <w:sz w:val="24"/>
          <w:szCs w:val="24"/>
          <w:highlight w:val="none"/>
        </w:rPr>
      </w:pPr>
      <w:r>
        <w:rPr>
          <w:rFonts w:hint="eastAsia" w:cs="宋体"/>
          <w:color w:val="auto"/>
          <w:sz w:val="24"/>
          <w:szCs w:val="24"/>
          <w:highlight w:val="none"/>
        </w:rPr>
        <w:t>第六章  授予合同</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24.1 成交供应商收到招标方的《成交通知书》后三十日内，按照磋商文件和成交供应商响应文件中的约定与采购人签订书面合同，所签订的合同不得对磋商文件和成交供应商的响应文件作实质性修改。</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24.2 招标方在授予合同时，有权对磋商文件中规定的货物和服务的数量在10%的幅度内予以增加或减少。</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24.3 如成交供应商拒签合同，则按违约处理。招标方将不予退还其履约保证金。</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24.4 磋商文件、成交供应商的响应文件及其澄清文件等，均为签订经济合同的依据。</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24.5 不允许成交供应商将中标（成交）项目分包或转交他人承担。</w:t>
      </w:r>
    </w:p>
    <w:p>
      <w:pPr>
        <w:spacing w:line="440" w:lineRule="exact"/>
        <w:jc w:val="center"/>
        <w:rPr>
          <w:rFonts w:hint="eastAsia" w:ascii="宋体" w:hAnsi="宋体" w:cs="宋体"/>
          <w:color w:val="auto"/>
          <w:spacing w:val="-2"/>
          <w:sz w:val="24"/>
          <w:highlight w:val="none"/>
        </w:rPr>
        <w:sectPr>
          <w:headerReference r:id="rId8" w:type="default"/>
          <w:footerReference r:id="rId9" w:type="default"/>
          <w:pgSz w:w="11906" w:h="16838"/>
          <w:pgMar w:top="1134" w:right="1134" w:bottom="1134" w:left="1134" w:header="851" w:footer="992" w:gutter="0"/>
          <w:cols w:space="720" w:num="1"/>
          <w:docGrid w:type="lines" w:linePitch="375" w:charSpace="0"/>
        </w:sectPr>
      </w:pPr>
    </w:p>
    <w:p>
      <w:pPr>
        <w:pStyle w:val="5"/>
        <w:spacing w:before="0" w:line="3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附件1：履约保证金保函（格式）</w:t>
      </w:r>
    </w:p>
    <w:p>
      <w:pPr>
        <w:pStyle w:val="13"/>
        <w:spacing w:line="360" w:lineRule="exact"/>
        <w:ind w:left="1080" w:leftChars="257" w:hanging="540"/>
        <w:rPr>
          <w:rFonts w:hint="eastAsia" w:hAnsi="宋体" w:cs="宋体"/>
          <w:b/>
          <w:color w:val="auto"/>
          <w:sz w:val="24"/>
          <w:highlight w:val="none"/>
        </w:rPr>
      </w:pPr>
      <w:r>
        <w:rPr>
          <w:rFonts w:hint="eastAsia" w:hAnsi="宋体" w:cs="宋体"/>
          <w:b/>
          <w:color w:val="auto"/>
          <w:sz w:val="24"/>
          <w:highlight w:val="none"/>
        </w:rPr>
        <w:t xml:space="preserve">                         （中标后开具）</w:t>
      </w:r>
    </w:p>
    <w:p>
      <w:pPr>
        <w:pStyle w:val="13"/>
        <w:spacing w:line="360" w:lineRule="exact"/>
        <w:ind w:left="1080" w:leftChars="257" w:hanging="540"/>
        <w:rPr>
          <w:rFonts w:hint="eastAsia" w:hAnsi="宋体" w:cs="宋体"/>
          <w:b/>
          <w:color w:val="auto"/>
          <w:sz w:val="24"/>
          <w:highlight w:val="none"/>
        </w:rPr>
      </w:pPr>
    </w:p>
    <w:p>
      <w:pPr>
        <w:pStyle w:val="13"/>
        <w:spacing w:line="360" w:lineRule="exact"/>
        <w:rPr>
          <w:rFonts w:hint="eastAsia" w:hAnsi="宋体" w:cs="宋体"/>
          <w:color w:val="auto"/>
          <w:sz w:val="24"/>
          <w:highlight w:val="none"/>
        </w:rPr>
      </w:pPr>
      <w:r>
        <w:rPr>
          <w:rFonts w:hint="eastAsia" w:hAnsi="宋体" w:cs="宋体"/>
          <w:color w:val="auto"/>
          <w:sz w:val="24"/>
          <w:highlight w:val="none"/>
        </w:rPr>
        <w:t>致: (</w:t>
      </w:r>
      <w:r>
        <w:rPr>
          <w:rFonts w:hint="eastAsia" w:hAnsi="宋体" w:cs="宋体"/>
          <w:i/>
          <w:color w:val="auto"/>
          <w:sz w:val="24"/>
          <w:highlight w:val="none"/>
          <w:u w:val="single"/>
        </w:rPr>
        <w:t>买方名称</w:t>
      </w:r>
      <w:r>
        <w:rPr>
          <w:rFonts w:hint="eastAsia" w:hAnsi="宋体" w:cs="宋体"/>
          <w:color w:val="auto"/>
          <w:sz w:val="24"/>
          <w:highlight w:val="none"/>
        </w:rPr>
        <w:t>)</w:t>
      </w:r>
    </w:p>
    <w:p>
      <w:pPr>
        <w:pStyle w:val="13"/>
        <w:spacing w:line="360" w:lineRule="exact"/>
        <w:ind w:left="1080" w:leftChars="257" w:hanging="540"/>
        <w:jc w:val="center"/>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pPr>
        <w:pStyle w:val="13"/>
        <w:spacing w:line="360" w:lineRule="exact"/>
        <w:ind w:left="1080" w:leftChars="257" w:hanging="540"/>
        <w:jc w:val="center"/>
        <w:rPr>
          <w:rFonts w:hint="eastAsia" w:hAnsi="宋体" w:cs="宋体"/>
          <w:color w:val="auto"/>
          <w:sz w:val="24"/>
          <w:highlight w:val="none"/>
        </w:rPr>
      </w:pPr>
    </w:p>
    <w:p>
      <w:pPr>
        <w:pStyle w:val="13"/>
        <w:spacing w:line="360" w:lineRule="exact"/>
        <w:ind w:firstLine="600" w:firstLineChars="250"/>
        <w:rPr>
          <w:rFonts w:hint="eastAsia" w:hAnsi="宋体" w:cs="宋体"/>
          <w:color w:val="auto"/>
          <w:sz w:val="24"/>
          <w:highlight w:val="none"/>
        </w:rPr>
      </w:pPr>
      <w:r>
        <w:rPr>
          <w:rFonts w:hint="eastAsia" w:hAnsi="宋体" w:cs="宋体"/>
          <w:color w:val="auto"/>
          <w:sz w:val="24"/>
          <w:highlight w:val="none"/>
        </w:rPr>
        <w:t>本保函作为贵方与(</w:t>
      </w:r>
      <w:r>
        <w:rPr>
          <w:rFonts w:hint="eastAsia" w:hAnsi="宋体" w:cs="宋体"/>
          <w:i/>
          <w:color w:val="auto"/>
          <w:sz w:val="24"/>
          <w:highlight w:val="none"/>
          <w:u w:val="single"/>
        </w:rPr>
        <w:t>卖方名称</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i/>
          <w:color w:val="auto"/>
          <w:sz w:val="24"/>
          <w:highlight w:val="none"/>
          <w:u w:val="single"/>
        </w:rPr>
        <w:t>服务名称</w:t>
      </w:r>
      <w:r>
        <w:rPr>
          <w:rFonts w:hint="eastAsia" w:hAnsi="宋体" w:cs="宋体"/>
          <w:color w:val="auto"/>
          <w:sz w:val="24"/>
          <w:highlight w:val="none"/>
        </w:rPr>
        <w:t>)(以下简称服务)签订的(</w:t>
      </w:r>
      <w:r>
        <w:rPr>
          <w:rFonts w:hint="eastAsia" w:hAnsi="宋体" w:cs="宋体"/>
          <w:i/>
          <w:color w:val="auto"/>
          <w:sz w:val="24"/>
          <w:highlight w:val="none"/>
          <w:u w:val="single"/>
        </w:rPr>
        <w:t>合同号</w:t>
      </w:r>
      <w:r>
        <w:rPr>
          <w:rFonts w:hint="eastAsia" w:hAnsi="宋体" w:cs="宋体"/>
          <w:color w:val="auto"/>
          <w:sz w:val="24"/>
          <w:highlight w:val="none"/>
        </w:rPr>
        <w:t>)号合同的履约保函。</w:t>
      </w:r>
    </w:p>
    <w:p>
      <w:pPr>
        <w:pStyle w:val="13"/>
        <w:spacing w:line="360" w:lineRule="exact"/>
        <w:ind w:firstLine="540" w:firstLineChars="225"/>
        <w:rPr>
          <w:rFonts w:hint="eastAsia" w:hAnsi="宋体" w:cs="宋体"/>
          <w:color w:val="auto"/>
          <w:sz w:val="24"/>
          <w:highlight w:val="none"/>
        </w:rPr>
      </w:pPr>
      <w:r>
        <w:rPr>
          <w:rFonts w:hint="eastAsia" w:hAnsi="宋体" w:cs="宋体"/>
          <w:color w:val="auto"/>
          <w:sz w:val="24"/>
          <w:highlight w:val="none"/>
        </w:rPr>
        <w:t>(</w:t>
      </w:r>
      <w:r>
        <w:rPr>
          <w:rFonts w:hint="eastAsia" w:hAnsi="宋体" w:cs="宋体"/>
          <w:i/>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i/>
          <w:color w:val="auto"/>
          <w:sz w:val="24"/>
          <w:highlight w:val="none"/>
          <w:u w:val="single"/>
        </w:rPr>
        <w:t>货币名称</w:t>
      </w:r>
      <w:r>
        <w:rPr>
          <w:rFonts w:hint="eastAsia" w:hAnsi="宋体" w:cs="宋体"/>
          <w:color w:val="auto"/>
          <w:sz w:val="24"/>
          <w:highlight w:val="none"/>
        </w:rPr>
        <w:t>)支付总额不超过(</w:t>
      </w:r>
      <w:r>
        <w:rPr>
          <w:rFonts w:hint="eastAsia" w:hAnsi="宋体" w:cs="宋体"/>
          <w:i/>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pPr>
        <w:pStyle w:val="13"/>
        <w:spacing w:line="360" w:lineRule="exact"/>
        <w:ind w:left="540" w:leftChars="257"/>
        <w:rPr>
          <w:rFonts w:hint="eastAsia"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spacing w:line="360" w:lineRule="exact"/>
        <w:ind w:left="540"/>
        <w:rPr>
          <w:rFonts w:hint="eastAsia"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3"/>
        <w:spacing w:line="360" w:lineRule="exact"/>
        <w:ind w:left="540"/>
        <w:rPr>
          <w:rFonts w:hint="eastAsia"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360" w:lineRule="exact"/>
        <w:ind w:left="1080" w:leftChars="257" w:hanging="540"/>
        <w:rPr>
          <w:rFonts w:hint="eastAsia" w:hAnsi="宋体" w:cs="宋体"/>
          <w:color w:val="auto"/>
          <w:sz w:val="24"/>
          <w:highlight w:val="none"/>
        </w:rPr>
      </w:pPr>
      <w:r>
        <w:rPr>
          <w:rFonts w:hint="eastAsia" w:hAnsi="宋体" w:cs="宋体"/>
          <w:color w:val="auto"/>
          <w:sz w:val="24"/>
          <w:highlight w:val="none"/>
        </w:rPr>
        <w:t>4.本保函在本合同规定的保证期期满前完全有效。</w:t>
      </w:r>
    </w:p>
    <w:p>
      <w:pPr>
        <w:pStyle w:val="13"/>
        <w:spacing w:line="360" w:lineRule="exact"/>
        <w:ind w:left="1080" w:leftChars="257" w:hanging="540"/>
        <w:rPr>
          <w:rFonts w:hint="eastAsia" w:hAnsi="宋体" w:cs="宋体"/>
          <w:color w:val="auto"/>
          <w:sz w:val="24"/>
          <w:highlight w:val="none"/>
        </w:rPr>
      </w:pPr>
    </w:p>
    <w:p>
      <w:pPr>
        <w:pStyle w:val="13"/>
        <w:spacing w:line="360" w:lineRule="exact"/>
        <w:ind w:left="1080" w:leftChars="257" w:hanging="540"/>
        <w:rPr>
          <w:rFonts w:hint="eastAsia" w:hAnsi="宋体" w:cs="宋体"/>
          <w:color w:val="auto"/>
          <w:sz w:val="24"/>
          <w:highlight w:val="none"/>
        </w:rPr>
      </w:pPr>
      <w:r>
        <w:rPr>
          <w:rFonts w:hint="eastAsia" w:hAnsi="宋体" w:cs="宋体"/>
          <w:color w:val="auto"/>
          <w:sz w:val="24"/>
          <w:highlight w:val="none"/>
        </w:rPr>
        <w:t>谨启</w:t>
      </w:r>
    </w:p>
    <w:p>
      <w:pPr>
        <w:pStyle w:val="13"/>
        <w:spacing w:line="360" w:lineRule="exact"/>
        <w:ind w:left="1080" w:leftChars="257" w:hanging="540"/>
        <w:rPr>
          <w:rFonts w:hint="eastAsia"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pPr>
        <w:pStyle w:val="13"/>
        <w:spacing w:line="360" w:lineRule="exact"/>
        <w:ind w:left="1080" w:leftChars="257" w:hanging="540"/>
        <w:rPr>
          <w:rFonts w:hint="eastAsia"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pPr>
        <w:pStyle w:val="13"/>
        <w:spacing w:line="360" w:lineRule="exact"/>
        <w:ind w:left="1080" w:leftChars="257" w:hanging="540"/>
        <w:rPr>
          <w:rFonts w:hint="eastAsia"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pPr>
        <w:pStyle w:val="13"/>
        <w:spacing w:line="360" w:lineRule="exact"/>
        <w:ind w:left="1080" w:leftChars="257" w:hanging="540"/>
        <w:rPr>
          <w:rFonts w:hint="eastAsia"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pPr>
        <w:pStyle w:val="5"/>
        <w:spacing w:before="0" w:line="360" w:lineRule="exact"/>
        <w:rPr>
          <w:rFonts w:hint="eastAsia" w:ascii="宋体" w:hAnsi="宋体" w:eastAsia="宋体" w:cs="宋体"/>
          <w:color w:val="auto"/>
          <w:highlight w:val="none"/>
        </w:rPr>
      </w:pPr>
      <w:bookmarkStart w:id="16" w:name="_Toc518923104"/>
      <w:bookmarkStart w:id="17" w:name="_Toc27788"/>
    </w:p>
    <w:p>
      <w:pPr>
        <w:rPr>
          <w:rFonts w:hint="eastAsia" w:ascii="宋体" w:hAnsi="宋体" w:cs="宋体"/>
          <w:color w:val="auto"/>
          <w:highlight w:val="none"/>
        </w:rPr>
      </w:pPr>
    </w:p>
    <w:p>
      <w:pPr>
        <w:pStyle w:val="147"/>
        <w:rPr>
          <w:rFonts w:hint="eastAsia" w:ascii="宋体" w:hAnsi="宋体" w:cs="宋体"/>
          <w:color w:val="auto"/>
          <w:highlight w:val="none"/>
        </w:rPr>
      </w:pPr>
    </w:p>
    <w:p>
      <w:pPr>
        <w:pStyle w:val="147"/>
        <w:rPr>
          <w:rFonts w:hint="eastAsia" w:ascii="宋体" w:hAnsi="宋体" w:cs="宋体"/>
          <w:color w:val="auto"/>
          <w:highlight w:val="none"/>
        </w:rPr>
      </w:pPr>
    </w:p>
    <w:p>
      <w:pPr>
        <w:pStyle w:val="147"/>
        <w:rPr>
          <w:rFonts w:hint="eastAsia" w:ascii="宋体" w:hAnsi="宋体" w:cs="宋体"/>
          <w:color w:val="auto"/>
          <w:highlight w:val="none"/>
        </w:rPr>
      </w:pPr>
    </w:p>
    <w:p>
      <w:pPr>
        <w:pStyle w:val="147"/>
        <w:rPr>
          <w:rFonts w:hint="eastAsia" w:ascii="宋体" w:hAnsi="宋体" w:cs="宋体"/>
          <w:color w:val="auto"/>
          <w:highlight w:val="none"/>
        </w:rPr>
      </w:pPr>
    </w:p>
    <w:p>
      <w:pPr>
        <w:pStyle w:val="147"/>
        <w:rPr>
          <w:rFonts w:hint="eastAsia" w:ascii="宋体" w:hAnsi="宋体" w:cs="宋体"/>
          <w:color w:val="auto"/>
          <w:highlight w:val="none"/>
        </w:rPr>
      </w:pPr>
    </w:p>
    <w:p>
      <w:pPr>
        <w:pStyle w:val="147"/>
        <w:rPr>
          <w:rFonts w:hint="eastAsia" w:ascii="宋体" w:hAnsi="宋体" w:cs="宋体"/>
          <w:color w:val="auto"/>
          <w:highlight w:val="none"/>
        </w:rPr>
      </w:pPr>
    </w:p>
    <w:p>
      <w:pPr>
        <w:pStyle w:val="5"/>
        <w:spacing w:before="0" w:line="360" w:lineRule="exact"/>
        <w:ind w:left="1080" w:leftChars="257" w:hanging="54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附件2：履约担保函格式</w:t>
      </w:r>
      <w:bookmarkEnd w:id="16"/>
      <w:bookmarkEnd w:id="17"/>
    </w:p>
    <w:p>
      <w:pPr>
        <w:pStyle w:val="5"/>
        <w:spacing w:before="0" w:line="360" w:lineRule="exact"/>
        <w:ind w:left="1080" w:leftChars="257" w:hanging="540"/>
        <w:jc w:val="center"/>
        <w:rPr>
          <w:rFonts w:hint="eastAsia" w:ascii="宋体" w:hAnsi="宋体" w:eastAsia="宋体" w:cs="宋体"/>
          <w:color w:val="auto"/>
          <w:kern w:val="0"/>
          <w:sz w:val="24"/>
          <w:szCs w:val="20"/>
          <w:highlight w:val="none"/>
        </w:rPr>
      </w:pPr>
      <w:bookmarkStart w:id="18" w:name="_Toc515904842"/>
      <w:bookmarkStart w:id="19" w:name="_Toc30995"/>
      <w:bookmarkStart w:id="20" w:name="_Toc518923105"/>
      <w:r>
        <w:rPr>
          <w:rFonts w:hint="eastAsia" w:ascii="宋体" w:hAnsi="宋体" w:eastAsia="宋体" w:cs="宋体"/>
          <w:color w:val="auto"/>
          <w:sz w:val="24"/>
          <w:szCs w:val="21"/>
          <w:highlight w:val="none"/>
        </w:rPr>
        <w:t>（采用政府采购信用担保形式时使用）</w:t>
      </w:r>
      <w:bookmarkEnd w:id="18"/>
      <w:bookmarkEnd w:id="19"/>
      <w:bookmarkEnd w:id="20"/>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政府采购履约担保函（项目用）</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编号：</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pPr>
        <w:spacing w:line="360" w:lineRule="exact"/>
        <w:rPr>
          <w:rFonts w:hint="eastAsia" w:ascii="宋体" w:hAnsi="宋体" w:cs="宋体"/>
          <w:color w:val="auto"/>
          <w:sz w:val="24"/>
          <w:highlight w:val="none"/>
        </w:rPr>
      </w:pP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   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1．将中标项目转让给他人，或者在投标文件中未说明，且未经采购招标机构人同意，将中标项目分包给他人的；</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2．主合同约定的应当缴纳履约保证金的情形: </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如果你方与供应商因货物质量问题产生争议，你方还需同时提供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四、保证责任的终止</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3．按照法律法规的规定或出现应终止我方保证责任的其它情形的，我方在本保函项下的保证责任亦终止。</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五、免责条款</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六、争议的解决</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七、保函的生效</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exact"/>
        <w:ind w:firstLine="5400" w:firstLineChars="2250"/>
        <w:rPr>
          <w:rFonts w:hint="eastAsia" w:ascii="宋体" w:hAnsi="宋体" w:cs="宋体"/>
          <w:color w:val="auto"/>
          <w:sz w:val="24"/>
          <w:highlight w:val="none"/>
        </w:rPr>
      </w:pPr>
      <w:r>
        <w:rPr>
          <w:rFonts w:hint="eastAsia" w:ascii="宋体" w:hAnsi="宋体" w:cs="宋体"/>
          <w:color w:val="auto"/>
          <w:sz w:val="24"/>
          <w:highlight w:val="none"/>
        </w:rPr>
        <w:t>保证人：（公章）</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pPr>
        <w:pStyle w:val="148"/>
        <w:spacing w:line="360" w:lineRule="auto"/>
        <w:rPr>
          <w:rFonts w:hint="eastAsia" w:ascii="宋体" w:hAnsi="宋体"/>
          <w:bCs/>
          <w:color w:val="auto"/>
          <w:sz w:val="24"/>
          <w:highlight w:val="none"/>
        </w:rPr>
        <w:sectPr>
          <w:footerReference r:id="rId10" w:type="default"/>
          <w:pgSz w:w="11910" w:h="16840"/>
          <w:pgMar w:top="1134" w:right="1134" w:bottom="1140" w:left="1457" w:header="851" w:footer="953" w:gutter="0"/>
          <w:cols w:space="720" w:num="1"/>
          <w:docGrid w:linePitch="286" w:charSpace="0"/>
        </w:sectPr>
      </w:pPr>
    </w:p>
    <w:p>
      <w:pPr>
        <w:spacing w:line="440" w:lineRule="exact"/>
        <w:jc w:val="center"/>
        <w:rPr>
          <w:rFonts w:hint="default" w:ascii="宋体" w:hAnsi="宋体" w:eastAsia="宋体" w:cs="宋体"/>
          <w:b/>
          <w:bCs/>
          <w:color w:val="auto"/>
          <w:sz w:val="24"/>
          <w:highlight w:val="none"/>
          <w:lang w:val="en-US" w:eastAsia="zh-CN"/>
        </w:rPr>
      </w:pPr>
      <w:bookmarkStart w:id="21" w:name="_Toc14087"/>
      <w:bookmarkStart w:id="22" w:name="_Toc392612352"/>
      <w:bookmarkStart w:id="23" w:name="_Toc396292516"/>
      <w:r>
        <w:rPr>
          <w:rFonts w:hint="eastAsia" w:ascii="宋体" w:hAnsi="宋体" w:cs="宋体"/>
          <w:b/>
          <w:bCs/>
          <w:color w:val="auto"/>
          <w:sz w:val="24"/>
          <w:highlight w:val="none"/>
        </w:rPr>
        <w:t xml:space="preserve"> </w:t>
      </w:r>
      <w:bookmarkEnd w:id="21"/>
      <w:bookmarkEnd w:id="22"/>
      <w:bookmarkEnd w:id="23"/>
      <w:r>
        <w:rPr>
          <w:rFonts w:hint="eastAsia" w:ascii="宋体" w:hAnsi="宋体" w:cs="宋体"/>
          <w:b/>
          <w:bCs/>
          <w:color w:val="auto"/>
          <w:sz w:val="24"/>
          <w:highlight w:val="none"/>
        </w:rPr>
        <w:t xml:space="preserve">第四部分   </w:t>
      </w:r>
      <w:r>
        <w:rPr>
          <w:rFonts w:hint="eastAsia" w:ascii="宋体" w:hAnsi="宋体" w:cs="宋体"/>
          <w:b/>
          <w:bCs/>
          <w:color w:val="auto"/>
          <w:sz w:val="24"/>
          <w:highlight w:val="none"/>
          <w:lang w:val="en-US" w:eastAsia="zh-CN"/>
        </w:rPr>
        <w:t>项目需求</w:t>
      </w:r>
    </w:p>
    <w:p>
      <w:pPr>
        <w:spacing w:line="440" w:lineRule="exact"/>
        <w:rPr>
          <w:rFonts w:hint="eastAsia" w:ascii="宋体" w:hAnsi="宋体"/>
          <w:color w:val="auto"/>
          <w:sz w:val="24"/>
          <w:highlight w:val="none"/>
        </w:rPr>
      </w:pPr>
      <w:r>
        <w:rPr>
          <w:rFonts w:hint="eastAsia" w:ascii="宋体" w:hAnsi="宋体"/>
          <w:color w:val="auto"/>
          <w:sz w:val="24"/>
          <w:highlight w:val="none"/>
        </w:rPr>
        <w:t>申请人的资格要求</w:t>
      </w:r>
    </w:p>
    <w:p>
      <w:pPr>
        <w:spacing w:line="440" w:lineRule="exact"/>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1、满足《中华人民共和国政府采购法》第二十二条规定，即：</w:t>
      </w:r>
    </w:p>
    <w:p>
      <w:pPr>
        <w:spacing w:line="440" w:lineRule="exact"/>
        <w:rPr>
          <w:rFonts w:hint="eastAsia" w:ascii="宋体" w:hAnsi="宋体"/>
          <w:color w:val="auto"/>
          <w:sz w:val="24"/>
          <w:highlight w:val="none"/>
        </w:rPr>
      </w:pPr>
      <w:r>
        <w:rPr>
          <w:rFonts w:hint="eastAsia" w:ascii="宋体" w:hAnsi="宋体"/>
          <w:color w:val="auto"/>
          <w:sz w:val="24"/>
          <w:highlight w:val="none"/>
        </w:rPr>
        <w:t>（1）具有独立承担民事责任的能力；</w:t>
      </w:r>
    </w:p>
    <w:p>
      <w:pPr>
        <w:spacing w:line="440" w:lineRule="exact"/>
        <w:rPr>
          <w:rFonts w:ascii="宋体" w:hAnsi="宋体"/>
          <w:color w:val="auto"/>
          <w:sz w:val="24"/>
          <w:highlight w:val="none"/>
        </w:rPr>
      </w:pPr>
      <w:r>
        <w:rPr>
          <w:rFonts w:hint="eastAsia" w:ascii="宋体" w:hAnsi="宋体"/>
          <w:color w:val="auto"/>
          <w:sz w:val="24"/>
          <w:highlight w:val="none"/>
        </w:rPr>
        <w:t>（2）具有良好的商业信誉和健全的财务会计制度；</w:t>
      </w:r>
    </w:p>
    <w:p>
      <w:pPr>
        <w:spacing w:line="440" w:lineRule="exact"/>
        <w:rPr>
          <w:rFonts w:ascii="宋体" w:hAnsi="宋体"/>
          <w:color w:val="auto"/>
          <w:sz w:val="24"/>
          <w:highlight w:val="none"/>
        </w:rPr>
      </w:pPr>
      <w:r>
        <w:rPr>
          <w:rFonts w:hint="eastAsia" w:ascii="宋体" w:hAnsi="宋体"/>
          <w:color w:val="auto"/>
          <w:sz w:val="24"/>
          <w:highlight w:val="none"/>
        </w:rPr>
        <w:t>（3）具有履行合同所必需的设备和专业技术能力；</w:t>
      </w:r>
    </w:p>
    <w:p>
      <w:pPr>
        <w:spacing w:line="440" w:lineRule="exact"/>
        <w:rPr>
          <w:rFonts w:ascii="宋体" w:hAnsi="宋体"/>
          <w:color w:val="auto"/>
          <w:sz w:val="24"/>
          <w:highlight w:val="none"/>
        </w:rPr>
      </w:pPr>
      <w:r>
        <w:rPr>
          <w:rFonts w:hint="eastAsia" w:ascii="宋体" w:hAnsi="宋体"/>
          <w:color w:val="auto"/>
          <w:sz w:val="24"/>
          <w:highlight w:val="none"/>
        </w:rPr>
        <w:t>（4）有依法缴纳税收和社会保障资金的良好记录；</w:t>
      </w:r>
    </w:p>
    <w:p>
      <w:pPr>
        <w:spacing w:line="440" w:lineRule="exact"/>
        <w:rPr>
          <w:rFonts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pPr>
        <w:spacing w:line="440" w:lineRule="exact"/>
        <w:rPr>
          <w:rFonts w:ascii="宋体" w:hAnsi="宋体"/>
          <w:color w:val="auto"/>
          <w:sz w:val="24"/>
          <w:highlight w:val="none"/>
        </w:rPr>
      </w:pPr>
      <w:r>
        <w:rPr>
          <w:rFonts w:hint="eastAsia" w:ascii="宋体" w:hAnsi="宋体"/>
          <w:color w:val="auto"/>
          <w:sz w:val="24"/>
          <w:highlight w:val="none"/>
        </w:rPr>
        <w:t>（6）法律、行政法规规定的其他条件。</w:t>
      </w:r>
    </w:p>
    <w:p>
      <w:pPr>
        <w:spacing w:line="440" w:lineRule="exact"/>
        <w:rPr>
          <w:rFonts w:hint="eastAsia" w:ascii="宋体" w:hAnsi="宋体"/>
          <w:color w:val="auto"/>
          <w:sz w:val="24"/>
          <w:highlight w:val="none"/>
        </w:rPr>
      </w:pPr>
      <w:r>
        <w:rPr>
          <w:rFonts w:hint="eastAsia" w:ascii="宋体" w:hAnsi="宋体"/>
          <w:color w:val="auto"/>
          <w:sz w:val="24"/>
          <w:highlight w:val="none"/>
        </w:rPr>
        <w:t>2、落实政府采购政策需满足的资格要求：本项目专门面向</w:t>
      </w:r>
      <w:r>
        <w:rPr>
          <w:rFonts w:hint="eastAsia" w:ascii="宋体" w:hAnsi="宋体"/>
          <w:color w:val="auto"/>
          <w:sz w:val="24"/>
          <w:highlight w:val="none"/>
          <w:lang w:val="en-US" w:eastAsia="zh-CN"/>
        </w:rPr>
        <w:t>中小</w:t>
      </w:r>
      <w:r>
        <w:rPr>
          <w:rFonts w:hint="eastAsia" w:ascii="宋体" w:hAnsi="宋体"/>
          <w:color w:val="auto"/>
          <w:sz w:val="24"/>
          <w:highlight w:val="none"/>
        </w:rPr>
        <w:t>企业。</w:t>
      </w:r>
    </w:p>
    <w:p>
      <w:pPr>
        <w:spacing w:line="440" w:lineRule="exact"/>
        <w:rPr>
          <w:rFonts w:hint="eastAsia" w:ascii="宋体" w:hAnsi="宋体"/>
          <w:color w:val="auto"/>
          <w:sz w:val="24"/>
          <w:highlight w:val="none"/>
        </w:rPr>
      </w:pPr>
      <w:r>
        <w:rPr>
          <w:rFonts w:hint="eastAsia" w:ascii="宋体" w:hAnsi="宋体"/>
          <w:color w:val="auto"/>
          <w:sz w:val="24"/>
          <w:highlight w:val="none"/>
        </w:rPr>
        <w:t>3、本项目的特定资格要求：无。</w:t>
      </w:r>
    </w:p>
    <w:p>
      <w:pPr>
        <w:rPr>
          <w:rFonts w:hint="eastAsia" w:ascii="宋体" w:hAnsi="宋体"/>
          <w:color w:val="auto"/>
          <w:sz w:val="24"/>
          <w:highlight w:val="none"/>
        </w:rPr>
      </w:pPr>
    </w:p>
    <w:p>
      <w:pPr>
        <w:pStyle w:val="2"/>
        <w:rPr>
          <w:rFonts w:hint="eastAsia" w:ascii="宋体" w:hAnsi="宋体"/>
          <w:color w:val="auto"/>
          <w:sz w:val="24"/>
          <w:highlight w:val="none"/>
        </w:rPr>
      </w:pPr>
    </w:p>
    <w:p>
      <w:pPr>
        <w:rPr>
          <w:rFonts w:hint="eastAsia" w:ascii="宋体" w:hAnsi="宋体"/>
          <w:color w:val="auto"/>
          <w:sz w:val="24"/>
          <w:highlight w:val="none"/>
        </w:rPr>
      </w:pPr>
    </w:p>
    <w:p>
      <w:pPr>
        <w:pStyle w:val="5"/>
        <w:rPr>
          <w:rFonts w:hint="eastAsia" w:ascii="宋体" w:hAnsi="宋体"/>
          <w:color w:val="auto"/>
          <w:sz w:val="24"/>
          <w:highlight w:val="none"/>
        </w:rPr>
      </w:pPr>
    </w:p>
    <w:p>
      <w:pPr>
        <w:rPr>
          <w:rFonts w:hint="eastAsia" w:ascii="宋体" w:hAnsi="宋体"/>
          <w:color w:val="auto"/>
          <w:sz w:val="24"/>
          <w:highlight w:val="none"/>
        </w:rPr>
      </w:pPr>
    </w:p>
    <w:p>
      <w:pPr>
        <w:pStyle w:val="5"/>
        <w:rPr>
          <w:rFonts w:hint="eastAsia"/>
          <w:color w:val="auto"/>
          <w:highlight w:val="none"/>
        </w:rPr>
      </w:pPr>
    </w:p>
    <w:p>
      <w:pPr>
        <w:rPr>
          <w:rFonts w:hint="eastAsia" w:ascii="宋体" w:hAnsi="宋体"/>
          <w:color w:val="auto"/>
          <w:sz w:val="24"/>
          <w:highlight w:val="none"/>
        </w:rPr>
      </w:pPr>
    </w:p>
    <w:p>
      <w:pPr>
        <w:pStyle w:val="2"/>
        <w:rPr>
          <w:color w:val="auto"/>
          <w:highlight w:val="none"/>
        </w:rPr>
      </w:pPr>
    </w:p>
    <w:p>
      <w:pPr>
        <w:spacing w:line="360" w:lineRule="auto"/>
        <w:rPr>
          <w:rFonts w:hint="eastAsia" w:ascii="宋体" w:hAnsi="宋体"/>
          <w:color w:val="auto"/>
          <w:sz w:val="24"/>
          <w:highlight w:val="none"/>
          <w:lang w:val="en"/>
        </w:rPr>
      </w:pPr>
    </w:p>
    <w:p>
      <w:pPr>
        <w:pStyle w:val="2"/>
        <w:rPr>
          <w:rFonts w:hint="eastAsia" w:ascii="宋体" w:hAnsi="宋体"/>
          <w:color w:val="auto"/>
          <w:sz w:val="24"/>
          <w:highlight w:val="none"/>
          <w:lang w:val="en"/>
        </w:rPr>
      </w:pPr>
    </w:p>
    <w:p>
      <w:pPr>
        <w:rPr>
          <w:rFonts w:hint="eastAsia" w:ascii="宋体" w:hAnsi="宋体"/>
          <w:color w:val="auto"/>
          <w:sz w:val="24"/>
          <w:highlight w:val="none"/>
          <w:lang w:val="en"/>
        </w:rPr>
      </w:pPr>
    </w:p>
    <w:p>
      <w:pPr>
        <w:pStyle w:val="2"/>
        <w:rPr>
          <w:rFonts w:hint="eastAsia" w:ascii="宋体" w:hAnsi="宋体"/>
          <w:color w:val="auto"/>
          <w:sz w:val="24"/>
          <w:highlight w:val="none"/>
          <w:lang w:val="en"/>
        </w:rPr>
      </w:pPr>
    </w:p>
    <w:p>
      <w:pPr>
        <w:rPr>
          <w:rFonts w:hint="eastAsia" w:ascii="宋体" w:hAnsi="宋体"/>
          <w:color w:val="auto"/>
          <w:sz w:val="24"/>
          <w:highlight w:val="none"/>
          <w:lang w:val="en"/>
        </w:rPr>
      </w:pPr>
    </w:p>
    <w:p>
      <w:pPr>
        <w:pStyle w:val="2"/>
        <w:rPr>
          <w:rFonts w:hint="eastAsia"/>
          <w:color w:val="auto"/>
          <w:highlight w:val="none"/>
          <w:lang w:val="en"/>
        </w:rPr>
      </w:pPr>
    </w:p>
    <w:p>
      <w:pPr>
        <w:pStyle w:val="2"/>
        <w:rPr>
          <w:rFonts w:hint="eastAsia" w:ascii="宋体" w:hAnsi="宋体"/>
          <w:color w:val="auto"/>
          <w:sz w:val="24"/>
          <w:highlight w:val="none"/>
          <w:lang w:val="en"/>
        </w:rPr>
      </w:pPr>
    </w:p>
    <w:p>
      <w:pPr>
        <w:rPr>
          <w:rFonts w:hint="eastAsia" w:ascii="宋体" w:hAnsi="宋体"/>
          <w:color w:val="auto"/>
          <w:sz w:val="24"/>
          <w:highlight w:val="none"/>
          <w:lang w:val="en"/>
        </w:rPr>
      </w:pPr>
    </w:p>
    <w:p>
      <w:pPr>
        <w:pStyle w:val="2"/>
        <w:rPr>
          <w:rFonts w:hint="eastAsia"/>
          <w:color w:val="auto"/>
          <w:highlight w:val="none"/>
          <w:lang w:val="en"/>
        </w:rPr>
      </w:pPr>
    </w:p>
    <w:p>
      <w:pPr>
        <w:pStyle w:val="30"/>
        <w:rPr>
          <w:rFonts w:hint="eastAsia"/>
          <w:color w:val="auto"/>
          <w:highlight w:val="none"/>
          <w:lang w:val="en"/>
        </w:rPr>
      </w:pPr>
    </w:p>
    <w:p>
      <w:pPr>
        <w:pStyle w:val="30"/>
        <w:rPr>
          <w:rFonts w:hint="eastAsia"/>
          <w:color w:val="auto"/>
          <w:highlight w:val="none"/>
          <w:lang w:val="en"/>
        </w:rPr>
      </w:pPr>
    </w:p>
    <w:p>
      <w:pPr>
        <w:rPr>
          <w:rFonts w:hint="eastAsia"/>
          <w:color w:val="auto"/>
          <w:highlight w:val="none"/>
          <w:lang w:val="en"/>
        </w:rPr>
      </w:pPr>
    </w:p>
    <w:p>
      <w:pPr>
        <w:spacing w:line="440" w:lineRule="exact"/>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一、</w:t>
      </w:r>
      <w:r>
        <w:rPr>
          <w:rFonts w:hint="eastAsia" w:ascii="宋体" w:hAnsi="宋体"/>
          <w:b/>
          <w:bCs/>
          <w:color w:val="auto"/>
          <w:sz w:val="32"/>
          <w:szCs w:val="32"/>
          <w:highlight w:val="none"/>
        </w:rPr>
        <w:t>总体要求</w:t>
      </w:r>
    </w:p>
    <w:p>
      <w:pPr>
        <w:spacing w:line="440" w:lineRule="exact"/>
        <w:ind w:firstLine="480" w:firstLineChars="200"/>
        <w:rPr>
          <w:rFonts w:hint="eastAsia" w:ascii="宋体" w:hAnsi="宋体"/>
          <w:color w:val="auto"/>
          <w:sz w:val="24"/>
          <w:highlight w:val="none"/>
        </w:rPr>
      </w:pPr>
      <w:bookmarkStart w:id="24" w:name="_Toc111844958"/>
      <w:r>
        <w:rPr>
          <w:rFonts w:hint="eastAsia" w:ascii="宋体" w:hAnsi="宋体"/>
          <w:color w:val="auto"/>
          <w:sz w:val="24"/>
          <w:highlight w:val="none"/>
        </w:rPr>
        <w:t>为进一步提升自治区业务信息系统网络安全保障能力，拟开展第三方信息安全测评工作，由具备专业能力的技术服务团队提供信息安全测试及源代码安全审计服务。</w:t>
      </w:r>
    </w:p>
    <w:p>
      <w:pPr>
        <w:spacing w:line="440" w:lineRule="exact"/>
        <w:ind w:firstLine="480" w:firstLineChars="200"/>
        <w:rPr>
          <w:rFonts w:hint="eastAsia" w:ascii="宋体" w:hAnsi="宋体"/>
          <w:color w:val="auto"/>
          <w:sz w:val="24"/>
          <w:highlight w:val="none"/>
        </w:rPr>
      </w:pPr>
    </w:p>
    <w:bookmarkEnd w:id="24"/>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二、测试目标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服务机构依据GB/T 25000.51-2016《系统与软件工程 系统与软件质量要求和评价(SQuaRE) 第51部分：就绪可用软件产品（RUSP）的质量要求和测试细则》、GB∕T 30279-2020《信息安全技术 网络安全漏洞分类分级指南》、《C/C++语言源代码漏洞测试规范》（GB/T34943-2017）、《Java语言源代码漏洞测试规范》（GB/T 34944-2017）等标准要求，对自治区人社厅已建设的劳动就业信息系统、公共服务信息系统、人事人才信息系统、社会保障信息系统进行源代码安全审计服务和信息安全性测试，保障各信息系统安全稳定可靠运行。</w:t>
      </w:r>
    </w:p>
    <w:p>
      <w:pPr>
        <w:spacing w:line="440" w:lineRule="exact"/>
        <w:ind w:firstLine="480" w:firstLineChars="200"/>
        <w:rPr>
          <w:rFonts w:hint="eastAsia" w:ascii="宋体" w:hAnsi="宋体"/>
          <w:color w:val="auto"/>
          <w:sz w:val="24"/>
          <w:highlight w:val="none"/>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三、测试原则</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坚持科学、客观、公正、高效的基本原则，从第三方角度，进行第三方测试服务履约。</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公平原则：实施方应遵循“面向应用、保证质量、客观公正、诚信守诺”的原则开展软件测试工作。</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标准性原则：实施方应依据相关国家标准、行业标准开展测试工作。本测试要求所使用的标准和规范如与实施方所执行的标准不一致时，按较高标准执行。</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优质服务原则：本测试要求实施方提供的是最低限度的要求，实施方应保证提供符合本测试要求和有关标准的优质服务。</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保密原则：对在测试服务过程中所涉及的有关本项目的技术方案以及财务等方面的资料严格保密。对测试服务过程中接触到的各种信息，不得泄漏给任何单位和个人，未经允许不得利用这些信息从事与服务无关的活动。</w:t>
      </w:r>
    </w:p>
    <w:p>
      <w:pPr>
        <w:spacing w:line="440" w:lineRule="exact"/>
        <w:ind w:firstLine="480" w:firstLineChars="200"/>
        <w:rPr>
          <w:rFonts w:hint="eastAsia" w:ascii="宋体" w:hAnsi="宋体"/>
          <w:color w:val="auto"/>
          <w:sz w:val="24"/>
          <w:highlight w:val="none"/>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四、测试依据</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《系统与软件工程 系统与软件质量要求和评价（SQuaRE） 第51部分：就绪可用软件产品（RUSP）的质量要求和测试细则》（GB/T 25000.51-2016）；</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《系统与软件工程 系统与软件质量要求和评价（SQuaRE） 第10部分：系统与软件质量模型》（GB/T 25000.10-2016）；</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《信息安全技术网络安全漏洞分类分级指南》GB/T 30279-2020；</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《系统与软件工程软件测试 第1部分：概念和定义》（GB/T 38634.1—2020）；</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《系统与软件工程软件测试 第2部分：测试过程》（GB/T 38634.2—2020）；</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《系统与软件工程软件测试 第3部分：测试文档》（GB/T 38634.3—2020）；</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w:t>
      </w:r>
      <w:r>
        <w:rPr>
          <w:rFonts w:hint="eastAsia" w:ascii="宋体" w:hAnsi="宋体"/>
          <w:color w:val="auto"/>
          <w:sz w:val="24"/>
          <w:highlight w:val="none"/>
        </w:rPr>
        <w:t>《系统与软件工程软件测试 第4部分：测试技术》（GB/T 38634.4—2020）；</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w:t>
      </w:r>
      <w:r>
        <w:rPr>
          <w:rFonts w:hint="eastAsia" w:ascii="宋体" w:hAnsi="宋体"/>
          <w:color w:val="auto"/>
          <w:sz w:val="24"/>
          <w:highlight w:val="none"/>
        </w:rPr>
        <w:t>《C/C++语言源代码漏洞测试规范》（GB/T34943-2017）；</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olor w:val="auto"/>
          <w:sz w:val="24"/>
          <w:highlight w:val="none"/>
        </w:rPr>
        <w:t>《Java语言源代码漏洞测试规范》（GB/T 34944-2017）；</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w:t>
      </w:r>
      <w:r>
        <w:rPr>
          <w:rFonts w:hint="eastAsia" w:ascii="宋体" w:hAnsi="宋体"/>
          <w:color w:val="auto"/>
          <w:sz w:val="24"/>
          <w:highlight w:val="none"/>
        </w:rPr>
        <w:t>国家关于软件产品质量和通用测试标准规范；</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w:t>
      </w:r>
      <w:r>
        <w:rPr>
          <w:rFonts w:hint="eastAsia" w:ascii="宋体" w:hAnsi="宋体"/>
          <w:color w:val="auto"/>
          <w:sz w:val="24"/>
          <w:highlight w:val="none"/>
        </w:rPr>
        <w:t>其他相关的标准规范。</w:t>
      </w:r>
    </w:p>
    <w:p>
      <w:pPr>
        <w:spacing w:line="440" w:lineRule="exact"/>
        <w:rPr>
          <w:rFonts w:hint="eastAsia" w:ascii="宋体" w:hAnsi="宋体"/>
          <w:color w:val="auto"/>
          <w:sz w:val="24"/>
          <w:highlight w:val="none"/>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五、测试内容</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本项目测试内容将针对自治区人社厅已建设的劳动就业信息系统、公共服务信息系统、人事人才信息系统、社会保障信息系统，共120余个模块分别开展源代码安全审计服务及信息安全性测试，测试完成后出具具有有法律效力的第三方测试报告。</w:t>
      </w:r>
    </w:p>
    <w:p>
      <w:pPr>
        <w:spacing w:line="44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cs="Times New Roman"/>
          <w:b/>
          <w:bCs/>
          <w:color w:val="auto"/>
          <w:kern w:val="2"/>
          <w:sz w:val="28"/>
          <w:szCs w:val="28"/>
          <w:highlight w:val="none"/>
          <w:lang w:val="en-US" w:eastAsia="zh-CN" w:bidi="ar-SA"/>
        </w:rPr>
        <w:t>（一）</w:t>
      </w:r>
      <w:r>
        <w:rPr>
          <w:rFonts w:hint="eastAsia" w:ascii="宋体" w:hAnsi="宋体" w:eastAsia="宋体" w:cs="Times New Roman"/>
          <w:b/>
          <w:bCs/>
          <w:color w:val="auto"/>
          <w:kern w:val="2"/>
          <w:sz w:val="28"/>
          <w:szCs w:val="28"/>
          <w:highlight w:val="none"/>
          <w:lang w:val="en-US" w:eastAsia="zh-CN" w:bidi="ar-SA"/>
        </w:rPr>
        <w:t>源代码安全审计</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源代码安全审计由具备丰富编码经验并对安全编码原则及应用安全具有深刻理解的安全服务人员对系统的源代码和软件架构的安全性、可靠性进行全面的安全检查，充分挖据当前代码中存在的安全缺陷及规范性缺陷，让开发人员了解其开发的应用系统可能会面临的威胁，并指导开发人员正确修复程序缺陷。服务机构对信息系统采取人工审计和工具审计相结合的方式开展源代码安全审计工作，采用专业的源代码审计工具；审计内容包括系统所用开源框架、应用代码关注要素、源代码设计、错误处理不当、API滥用、直接对象引用等。</w:t>
      </w:r>
    </w:p>
    <w:p>
      <w:pPr>
        <w:spacing w:line="440" w:lineRule="exact"/>
        <w:ind w:firstLine="562" w:firstLineChars="200"/>
        <w:rPr>
          <w:rFonts w:hint="eastAsia" w:ascii="宋体" w:hAnsi="宋体" w:cs="Times New Roman"/>
          <w:b/>
          <w:bCs/>
          <w:color w:val="auto"/>
          <w:kern w:val="2"/>
          <w:sz w:val="28"/>
          <w:szCs w:val="28"/>
          <w:highlight w:val="none"/>
          <w:lang w:val="en-US" w:eastAsia="zh-CN" w:bidi="ar-SA"/>
        </w:rPr>
      </w:pPr>
      <w:r>
        <w:rPr>
          <w:rFonts w:hint="eastAsia" w:ascii="宋体" w:hAnsi="宋体" w:cs="Times New Roman"/>
          <w:b/>
          <w:bCs/>
          <w:color w:val="auto"/>
          <w:kern w:val="2"/>
          <w:sz w:val="28"/>
          <w:szCs w:val="28"/>
          <w:highlight w:val="none"/>
          <w:lang w:val="en-US" w:eastAsia="zh-CN" w:bidi="ar-SA"/>
        </w:rPr>
        <w:t>（二）信息安全性测试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针对本项目，信息安全性测试服务内容主要包括信息安全性功能测评、漏洞扫描、渗透测试。</w:t>
      </w:r>
    </w:p>
    <w:p>
      <w:pPr>
        <w:spacing w:line="440" w:lineRule="exact"/>
        <w:rPr>
          <w:rFonts w:hint="eastAsia" w:ascii="宋体" w:hAnsi="宋体"/>
          <w:b/>
          <w:bCs/>
          <w:color w:val="auto"/>
          <w:sz w:val="24"/>
          <w:highlight w:val="none"/>
          <w:lang w:val="en-US" w:eastAsia="zh-CN"/>
        </w:rPr>
      </w:pPr>
      <w:r>
        <w:rPr>
          <w:rFonts w:hint="eastAsia" w:ascii="宋体" w:hAnsi="宋体"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信</w:t>
      </w:r>
      <w:r>
        <w:rPr>
          <w:rFonts w:hint="eastAsia" w:ascii="宋体" w:hAnsi="宋体"/>
          <w:b/>
          <w:bCs/>
          <w:color w:val="auto"/>
          <w:sz w:val="24"/>
          <w:highlight w:val="none"/>
          <w:lang w:val="en-US" w:eastAsia="zh-CN"/>
        </w:rPr>
        <w:t>息安全性功能测评</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信息系统安全功能测评包括保密性、完整性、抗抵赖性、可核查性、真实性测试内容。</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1.1 保密性测试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保密性指确保产品或系统数据只有在被授权时才能被访问，测试内容包括权限控制策略、权限范围、限制默认账户权限、最小权限原则等。</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1.2 完整性测试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完整性指系统、产品或组件防止未授权访问、篡改计算机程序或数据的程度，测试内容包括数据保密性（敏感信息加密传输、敏感信息加密存储）、数据完整性、数据有效性。</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1.3 抗抵赖性测试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抗抵赖性指活动或事件发生后可以被证实且不可被否认的程度，测试内容包括审计日志功能、审计的完整性（对活动或事件进行追踪，形成审计日志）等。</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1.4可核查性测试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可核查性指实体的活动可以被唯一地追溯到该实体的程度，测试内容包括审计的广泛性（审计范围覆盖所有角色用户）、审计内容全面（审计日志记录的内容至少应包括事件日期、时间、发起者信息、类型、描述和结果）等。</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1.5真实性测试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真实性指对象或资源的身份标识能够被证实符合其声明的程度，测试内容包括鉴别机制（具有专用的登录控制模块对用户进行身份标识和鉴别）、登录失败处理（采取限制非法登录措施）、强口令策略、会话超时机制等。</w:t>
      </w:r>
    </w:p>
    <w:p>
      <w:pPr>
        <w:spacing w:line="440" w:lineRule="exact"/>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2.漏洞扫描</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漏洞扫描采用就绪可用的商用漏洞扫描工具，基于最新的漏洞数据库，通过扫描手段对信息系统的安全脆弱性进行检查，发现可利用的漏洞。漏洞扫描是可以作为对软件产品或信息系统进行测试的手段，在安全漏洞造成严重危害前发现漏洞并加以防范，完成漏洞扫描测试后，对整个过程进行信息分析与整理，根据分析结果编制测试报告。</w:t>
      </w:r>
    </w:p>
    <w:p>
      <w:pPr>
        <w:spacing w:line="440" w:lineRule="exact"/>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3.渗透测试</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渗透测试是通过被渗透目标的域名、IP、系统版本、数据库版本、测试帐号等一系列信息，由测试工程师基于漏洞扫描探测的web信息系统中危以上漏洞，进行安全渗透测试。由安全测试工程师利用探测到的漏洞进行攻击，验证漏洞，完成渗透测试执行后，对整个渗透过程进行信息分析与整理，分析脆弱环节，技术防护情况，并根据分析结果编制测试报告，记录渗透范围、攻击路径、渗透成果、漏洞详情及可行的修复建议。</w:t>
      </w:r>
    </w:p>
    <w:p>
      <w:pPr>
        <w:spacing w:line="440" w:lineRule="exact"/>
        <w:ind w:firstLine="480" w:firstLineChars="200"/>
        <w:rPr>
          <w:rFonts w:hint="eastAsia" w:ascii="宋体" w:hAnsi="宋体"/>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六、测试流程</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依据软件测试的生命周期，测试流程主要包括测试策划、测试需求分析、收取测试样品、测试环境准备、测试用例开发、测试执行及结果分析、回归测试、测试报告编制、质量监督、配置管理等环节。</w:t>
      </w:r>
    </w:p>
    <w:p>
      <w:pPr>
        <w:spacing w:line="44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（一）测试策划</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测试计划明确了人力资源、设备资源、测试进度安排等内容，服务机构需配备项目经理，由项目经理根据项目资料、周期、规模、难度，依据测试需求，制定测试计划。测试计划中需规定被测试的对象、明确测试需求、被测试项目的特性、应完成的测试任务、人员职责及风险等，确定要完成的测试活动，评估完成活动所需要的时间和资源，设计测试组织和岗位职权，进行活动安排和资源分配，安排跟踪和控制测试过程的活动。</w:t>
      </w:r>
    </w:p>
    <w:p>
      <w:pPr>
        <w:spacing w:line="440" w:lineRule="exact"/>
        <w:ind w:firstLine="482" w:firstLineChars="200"/>
        <w:rPr>
          <w:rFonts w:hint="eastAsia" w:ascii="宋体" w:hAnsi="宋体" w:eastAsia="宋体" w:cs="Times New Roman"/>
          <w:b/>
          <w:bCs/>
          <w:color w:val="auto"/>
          <w:kern w:val="2"/>
          <w:sz w:val="24"/>
          <w:szCs w:val="24"/>
          <w:highlight w:val="none"/>
          <w:lang w:val="en-US" w:eastAsia="zh-CN" w:bidi="ar-SA"/>
        </w:rPr>
      </w:pPr>
      <w:r>
        <w:rPr>
          <w:rFonts w:hint="eastAsia" w:ascii="宋体" w:hAnsi="宋体"/>
          <w:b/>
          <w:bCs/>
          <w:color w:val="auto"/>
          <w:sz w:val="24"/>
          <w:highlight w:val="none"/>
          <w:lang w:val="en-US" w:eastAsia="zh-CN"/>
        </w:rPr>
        <w:t>（二）</w:t>
      </w:r>
      <w:r>
        <w:rPr>
          <w:rFonts w:hint="eastAsia" w:ascii="宋体" w:hAnsi="宋体" w:eastAsia="宋体" w:cs="Times New Roman"/>
          <w:b/>
          <w:bCs/>
          <w:color w:val="auto"/>
          <w:kern w:val="2"/>
          <w:sz w:val="24"/>
          <w:szCs w:val="24"/>
          <w:highlight w:val="none"/>
          <w:lang w:val="en-US" w:eastAsia="zh-CN" w:bidi="ar-SA"/>
        </w:rPr>
        <w:t>测试需求分析</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测试需求明确了软件的测试需求、测试范围、质量要求，是软件测试的重要依据文件，指导测试工作的开展。服务机构需配备测试需求分析师，由测试需求分析师按照招标文件、投标文件、建设合同以及需求规格说明书等用户文档集中约定的技术要求制定；针对源代码审计服务，需求分析师需与自治区人社厅详细沟通调研源代码审计的技术细节，并进行需求分析，确认源代码审计范围、最终对象、审计方式、审计要求和时间等内容。</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（三）测试样品准备</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接收测试样品，并对样品进行完整性进行检查。样品应包括：软件安装包、软件数据、项目招投标文件、项目合同、操作手册、软件文档、数据文档、研制要求、研制任务书和软件运行必要的外部设备等。</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（四）测试环境准备</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测试环境一般包括硬件环境和软件环境。硬件环境指测试必需的服务器、终端、网络连接设备，以及打印机等辅助硬件设备所构成的环境；软件环境指被测软件运行时的操作系统、数据库及其他应用软件构成的环境。</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（五）测试用例开发</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服务机构需配备安全测试工程师，由安全测试工程师根据测试范围设计科学合理有效的测试用例及测试脚本，并对测试用例和脚本统一管理，要求测试用例具有有组织性、可回溯性和可操作性。</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（六）测试执行及结果分析</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需配备安全测试工程师，由安全测试工程师，依据测试用例执行软件测试，并记录测试结果，包括手工测试和/或自动化测试；测试工程师按计划执行测试，并对测试结果进行记录，形成测试记录结果文档。依据测试执行情况和测试记录，将获得的运行结果与预期结果进行比较和分析，记录、跟踪和管理系统缺陷，测试后对测试过程进行分析评估，编制缺陷，提交至自治区人社厅。</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（七）回归测试</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如测试过程中发现存在缺陷项。整改完成后需再次进行测试，由服务机构针对整改完成后的软件版本进行再次测试，确认所有缺陷均完成整改，回归测试次数根据缺陷修改情况，不超过5次。</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（八）测试报告编制</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服务机构按照回归测试结果，整理编制并发布测试报告，报告内容包含测试背景，测试概述，测试结果，测试结论等。</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（九）质量监督</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需配备质量工程师，负责本项目的质量保证，主要依据项目的测试策划与测试需求分析、测试设计和实现、测试执行和测试总结阶段开展，由质量工程师对过程中产生的工作产品以及测试活动进行检查，及时发现存在的偏离或问题，报相关人员、并追踪验证。</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（十）配置管理</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服务机构需配备配置管理工程师，按照测试计划的进行配置项管理，对测试过程中涉及的配置项（如：测试工作产品，包括测试需求、缺陷记录、测试报告等）的编制、评审、归档、变更等程序进行管理。</w:t>
      </w:r>
    </w:p>
    <w:p>
      <w:pPr>
        <w:spacing w:line="440" w:lineRule="exact"/>
        <w:ind w:firstLine="480" w:firstLineChars="200"/>
        <w:rPr>
          <w:rFonts w:hint="eastAsia" w:ascii="宋体" w:hAnsi="宋体"/>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七、测试团队</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（一）资格</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服务机构必须是在中华人民共和国境内注册的、具有独立法人资格的企业或事业单位；具有独立承担民事责任的能力；具有良好的商业信誉和健全的财务会计制度；具有履行合同所必须的设备和专业技术能力；有依法缴纳税收和社会保障资金的良好记录；参加政府采购活动近三年内，在经营活动中没有重大违法记录。</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（二）人员</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服务机构需具有专业的技术团队，为保证本项目相关人员能够胜任项目需求，需按项目实际需求投入技术人员，明确项目配置的人员及数量，包括项目经理、需求分析人员、测试工程师、质量管理及配置管理人员，项目组技术人员需配置合理、职责清晰且分工明确，详见表1人员配置清单。</w:t>
      </w:r>
    </w:p>
    <w:p>
      <w:pPr>
        <w:spacing w:line="440" w:lineRule="exact"/>
        <w:ind w:firstLine="480" w:firstLineChars="200"/>
        <w:rPr>
          <w:rFonts w:hint="eastAsia" w:ascii="宋体" w:hAnsi="宋体"/>
          <w:b w:val="0"/>
          <w:bCs w:val="0"/>
          <w:color w:val="auto"/>
          <w:sz w:val="24"/>
          <w:highlight w:val="none"/>
          <w:lang w:val="en-US" w:eastAsia="zh-CN"/>
        </w:rPr>
      </w:pPr>
    </w:p>
    <w:tbl>
      <w:tblPr>
        <w:tblStyle w:val="33"/>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40"/>
        <w:gridCol w:w="3660"/>
        <w:gridCol w:w="1132"/>
        <w:gridCol w:w="116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6" w:type="dxa"/>
            <w:vAlign w:val="center"/>
          </w:tcPr>
          <w:p>
            <w:pPr>
              <w:spacing w:line="240" w:lineRule="auto"/>
              <w:jc w:val="center"/>
              <w:rPr>
                <w:rFonts w:eastAsia="仿宋" w:cs="仿宋"/>
                <w:b/>
                <w:sz w:val="24"/>
                <w:szCs w:val="24"/>
              </w:rPr>
            </w:pPr>
            <w:r>
              <w:rPr>
                <w:rFonts w:hint="eastAsia" w:eastAsia="仿宋" w:cs="仿宋"/>
                <w:b/>
                <w:sz w:val="24"/>
                <w:szCs w:val="24"/>
              </w:rPr>
              <w:t>序号</w:t>
            </w:r>
          </w:p>
        </w:tc>
        <w:tc>
          <w:tcPr>
            <w:tcW w:w="1440" w:type="dxa"/>
            <w:vAlign w:val="center"/>
          </w:tcPr>
          <w:p>
            <w:pPr>
              <w:spacing w:line="240" w:lineRule="auto"/>
              <w:jc w:val="center"/>
              <w:rPr>
                <w:rFonts w:eastAsia="仿宋" w:cs="仿宋"/>
                <w:b/>
                <w:sz w:val="24"/>
                <w:szCs w:val="24"/>
              </w:rPr>
            </w:pPr>
            <w:r>
              <w:rPr>
                <w:rFonts w:hint="eastAsia" w:eastAsia="仿宋" w:cs="仿宋"/>
                <w:b/>
                <w:sz w:val="24"/>
                <w:szCs w:val="24"/>
              </w:rPr>
              <w:t>人员类别</w:t>
            </w:r>
          </w:p>
        </w:tc>
        <w:tc>
          <w:tcPr>
            <w:tcW w:w="3660" w:type="dxa"/>
            <w:vAlign w:val="center"/>
          </w:tcPr>
          <w:p>
            <w:pPr>
              <w:spacing w:line="240" w:lineRule="auto"/>
              <w:jc w:val="center"/>
              <w:rPr>
                <w:rFonts w:eastAsia="仿宋" w:cs="仿宋"/>
                <w:b/>
                <w:sz w:val="24"/>
                <w:szCs w:val="24"/>
              </w:rPr>
            </w:pPr>
            <w:r>
              <w:rPr>
                <w:rFonts w:hint="eastAsia" w:eastAsia="仿宋" w:cs="仿宋"/>
                <w:b/>
                <w:sz w:val="24"/>
                <w:szCs w:val="24"/>
              </w:rPr>
              <w:t>人员职责描述</w:t>
            </w:r>
          </w:p>
        </w:tc>
        <w:tc>
          <w:tcPr>
            <w:tcW w:w="1132" w:type="dxa"/>
            <w:vAlign w:val="center"/>
          </w:tcPr>
          <w:p>
            <w:pPr>
              <w:spacing w:line="240" w:lineRule="auto"/>
              <w:jc w:val="center"/>
              <w:rPr>
                <w:rFonts w:eastAsia="仿宋" w:cs="仿宋"/>
                <w:b/>
                <w:sz w:val="24"/>
                <w:szCs w:val="24"/>
              </w:rPr>
            </w:pPr>
            <w:r>
              <w:rPr>
                <w:rFonts w:hint="eastAsia" w:eastAsia="仿宋" w:cs="仿宋"/>
                <w:b/>
                <w:sz w:val="24"/>
                <w:szCs w:val="24"/>
              </w:rPr>
              <w:t>人员数量（单位：个）</w:t>
            </w:r>
          </w:p>
        </w:tc>
        <w:tc>
          <w:tcPr>
            <w:tcW w:w="1162" w:type="dxa"/>
            <w:vAlign w:val="center"/>
          </w:tcPr>
          <w:p>
            <w:pPr>
              <w:spacing w:line="240" w:lineRule="auto"/>
              <w:jc w:val="center"/>
              <w:rPr>
                <w:rFonts w:eastAsia="仿宋" w:cs="仿宋"/>
                <w:b/>
                <w:sz w:val="24"/>
                <w:szCs w:val="24"/>
              </w:rPr>
            </w:pPr>
            <w:r>
              <w:rPr>
                <w:rFonts w:hint="eastAsia" w:eastAsia="仿宋" w:cs="仿宋"/>
                <w:b/>
                <w:sz w:val="24"/>
                <w:szCs w:val="24"/>
              </w:rPr>
              <w:t>工作周期（单位：月）</w:t>
            </w:r>
          </w:p>
        </w:tc>
        <w:tc>
          <w:tcPr>
            <w:tcW w:w="1207" w:type="dxa"/>
            <w:vAlign w:val="center"/>
          </w:tcPr>
          <w:p>
            <w:pPr>
              <w:spacing w:line="240" w:lineRule="auto"/>
              <w:jc w:val="center"/>
              <w:rPr>
                <w:rFonts w:eastAsia="仿宋" w:cs="仿宋"/>
                <w:b/>
                <w:sz w:val="24"/>
                <w:szCs w:val="24"/>
              </w:rPr>
            </w:pPr>
            <w:r>
              <w:rPr>
                <w:rFonts w:hint="eastAsia" w:eastAsia="仿宋" w:cs="仿宋"/>
                <w:b/>
                <w:sz w:val="24"/>
                <w:szCs w:val="24"/>
              </w:rPr>
              <w:t>工作量（人月）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pPr>
              <w:pStyle w:val="24"/>
              <w:spacing w:before="0" w:line="240" w:lineRule="auto"/>
              <w:ind w:left="0" w:leftChars="0" w:firstLine="0" w:firstLineChars="0"/>
              <w:jc w:val="center"/>
              <w:rPr>
                <w:rFonts w:ascii="Times New Roman" w:eastAsia="仿宋" w:cs="仿宋"/>
                <w:kern w:val="2"/>
                <w:sz w:val="24"/>
                <w:szCs w:val="24"/>
              </w:rPr>
            </w:pPr>
            <w:r>
              <w:rPr>
                <w:rFonts w:hint="eastAsia" w:ascii="Times New Roman" w:eastAsia="仿宋" w:cs="仿宋"/>
                <w:kern w:val="2"/>
                <w:sz w:val="24"/>
                <w:szCs w:val="24"/>
              </w:rPr>
              <w:t>1</w:t>
            </w:r>
          </w:p>
        </w:tc>
        <w:tc>
          <w:tcPr>
            <w:tcW w:w="1440" w:type="dxa"/>
            <w:vAlign w:val="center"/>
          </w:tcPr>
          <w:p>
            <w:pPr>
              <w:spacing w:line="240" w:lineRule="auto"/>
              <w:jc w:val="center"/>
              <w:rPr>
                <w:rFonts w:eastAsia="仿宋" w:cs="仿宋"/>
                <w:sz w:val="24"/>
                <w:szCs w:val="24"/>
              </w:rPr>
            </w:pPr>
            <w:r>
              <w:rPr>
                <w:rFonts w:hint="eastAsia" w:eastAsia="仿宋" w:cs="仿宋"/>
                <w:sz w:val="24"/>
                <w:szCs w:val="24"/>
              </w:rPr>
              <w:t>项目经理</w:t>
            </w:r>
          </w:p>
        </w:tc>
        <w:tc>
          <w:tcPr>
            <w:tcW w:w="3660" w:type="dxa"/>
            <w:vAlign w:val="center"/>
          </w:tcPr>
          <w:p>
            <w:pPr>
              <w:pStyle w:val="24"/>
              <w:numPr>
                <w:ilvl w:val="0"/>
                <w:numId w:val="0"/>
              </w:numPr>
              <w:spacing w:before="0" w:line="240" w:lineRule="auto"/>
              <w:rPr>
                <w:rFonts w:ascii="Times New Roman" w:eastAsia="仿宋" w:cs="仿宋"/>
                <w:kern w:val="2"/>
                <w:sz w:val="24"/>
                <w:szCs w:val="24"/>
              </w:rPr>
            </w:pPr>
            <w:bookmarkStart w:id="25" w:name="_Toc23807861"/>
            <w:r>
              <w:rPr>
                <w:rFonts w:hint="eastAsia" w:ascii="Times New Roman" w:eastAsia="仿宋" w:cs="仿宋"/>
                <w:kern w:val="2"/>
                <w:sz w:val="24"/>
                <w:szCs w:val="24"/>
                <w:lang w:val="en-US" w:eastAsia="zh-CN"/>
              </w:rPr>
              <w:t>1、</w:t>
            </w:r>
            <w:r>
              <w:rPr>
                <w:rFonts w:hint="eastAsia" w:ascii="Times New Roman" w:eastAsia="仿宋" w:cs="仿宋"/>
                <w:kern w:val="2"/>
                <w:sz w:val="24"/>
                <w:szCs w:val="24"/>
              </w:rPr>
              <w:t>负责</w:t>
            </w:r>
            <w:bookmarkEnd w:id="25"/>
            <w:bookmarkStart w:id="26" w:name="_Toc23807862"/>
            <w:r>
              <w:rPr>
                <w:rFonts w:hint="eastAsia" w:ascii="Times New Roman" w:eastAsia="仿宋" w:cs="仿宋"/>
                <w:kern w:val="2"/>
                <w:sz w:val="24"/>
                <w:szCs w:val="24"/>
              </w:rPr>
              <w:t>管理监督测试项目</w:t>
            </w:r>
            <w:bookmarkEnd w:id="26"/>
            <w:bookmarkStart w:id="27" w:name="_Toc23807863"/>
            <w:r>
              <w:rPr>
                <w:rFonts w:hint="eastAsia" w:ascii="Times New Roman" w:eastAsia="仿宋" w:cs="仿宋"/>
                <w:kern w:val="2"/>
                <w:sz w:val="24"/>
                <w:szCs w:val="24"/>
              </w:rPr>
              <w:t>，组织和协调必要的测试活动；</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2、</w:t>
            </w:r>
            <w:r>
              <w:rPr>
                <w:rFonts w:hint="eastAsia" w:ascii="Times New Roman" w:eastAsia="仿宋" w:cs="仿宋"/>
                <w:kern w:val="2"/>
                <w:sz w:val="24"/>
                <w:szCs w:val="24"/>
              </w:rPr>
              <w:t>协调组织所需的测试资源；</w:t>
            </w:r>
          </w:p>
          <w:bookmarkEnd w:id="27"/>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3、</w:t>
            </w:r>
            <w:r>
              <w:rPr>
                <w:rFonts w:hint="eastAsia" w:ascii="Times New Roman" w:eastAsia="仿宋" w:cs="仿宋"/>
                <w:kern w:val="2"/>
                <w:sz w:val="24"/>
                <w:szCs w:val="24"/>
              </w:rPr>
              <w:t>组织测试团队成员之间、与其他项目干系人之间的沟通；</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4、</w:t>
            </w:r>
            <w:r>
              <w:rPr>
                <w:rFonts w:hint="eastAsia" w:ascii="Times New Roman" w:eastAsia="仿宋" w:cs="仿宋"/>
                <w:kern w:val="2"/>
                <w:sz w:val="24"/>
                <w:szCs w:val="24"/>
              </w:rPr>
              <w:t>负责设计测试计划，跟踪控制进度</w:t>
            </w:r>
            <w:r>
              <w:rPr>
                <w:rFonts w:hint="eastAsia" w:eastAsia="仿宋" w:cs="仿宋"/>
                <w:kern w:val="2"/>
                <w:sz w:val="24"/>
                <w:szCs w:val="24"/>
              </w:rPr>
              <w:t>，</w:t>
            </w:r>
            <w:r>
              <w:rPr>
                <w:rFonts w:hint="eastAsia" w:ascii="Times New Roman" w:eastAsia="仿宋" w:cs="仿宋"/>
                <w:kern w:val="2"/>
                <w:sz w:val="24"/>
                <w:szCs w:val="24"/>
              </w:rPr>
              <w:t>为组员提供测试技术支持；</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5、</w:t>
            </w:r>
            <w:r>
              <w:rPr>
                <w:rFonts w:hint="eastAsia" w:ascii="Times New Roman" w:eastAsia="仿宋" w:cs="仿宋"/>
                <w:kern w:val="2"/>
                <w:sz w:val="24"/>
                <w:szCs w:val="24"/>
              </w:rPr>
              <w:t>交付测试成果；</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6、</w:t>
            </w:r>
            <w:r>
              <w:rPr>
                <w:rFonts w:hint="eastAsia" w:ascii="Times New Roman" w:eastAsia="仿宋" w:cs="仿宋"/>
                <w:kern w:val="2"/>
                <w:sz w:val="24"/>
                <w:szCs w:val="24"/>
              </w:rPr>
              <w:t>负责项目的安全保密。</w:t>
            </w:r>
          </w:p>
        </w:tc>
        <w:tc>
          <w:tcPr>
            <w:tcW w:w="113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1</w:t>
            </w:r>
          </w:p>
        </w:tc>
        <w:tc>
          <w:tcPr>
            <w:tcW w:w="116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6</w:t>
            </w:r>
          </w:p>
        </w:tc>
        <w:tc>
          <w:tcPr>
            <w:tcW w:w="1207"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66" w:type="dxa"/>
            <w:vAlign w:val="center"/>
          </w:tcPr>
          <w:p>
            <w:pPr>
              <w:pStyle w:val="24"/>
              <w:spacing w:before="0" w:line="240" w:lineRule="auto"/>
              <w:ind w:left="0" w:leftChars="0" w:firstLine="0" w:firstLineChars="0"/>
              <w:jc w:val="center"/>
              <w:rPr>
                <w:rFonts w:ascii="Times New Roman" w:eastAsia="仿宋" w:cs="仿宋"/>
                <w:kern w:val="2"/>
                <w:sz w:val="24"/>
                <w:szCs w:val="24"/>
              </w:rPr>
            </w:pPr>
            <w:r>
              <w:rPr>
                <w:rFonts w:hint="eastAsia" w:ascii="Times New Roman" w:eastAsia="仿宋" w:cs="仿宋"/>
                <w:kern w:val="2"/>
                <w:sz w:val="24"/>
                <w:szCs w:val="24"/>
              </w:rPr>
              <w:t>2</w:t>
            </w:r>
          </w:p>
        </w:tc>
        <w:tc>
          <w:tcPr>
            <w:tcW w:w="1440" w:type="dxa"/>
            <w:vAlign w:val="center"/>
          </w:tcPr>
          <w:p>
            <w:pPr>
              <w:spacing w:line="240" w:lineRule="auto"/>
              <w:jc w:val="center"/>
              <w:rPr>
                <w:rFonts w:eastAsia="仿宋" w:cs="仿宋"/>
                <w:sz w:val="24"/>
                <w:szCs w:val="24"/>
              </w:rPr>
            </w:pPr>
            <w:r>
              <w:rPr>
                <w:rFonts w:hint="eastAsia" w:eastAsia="仿宋" w:cs="仿宋"/>
                <w:sz w:val="24"/>
                <w:szCs w:val="24"/>
              </w:rPr>
              <w:t>需求分析师</w:t>
            </w:r>
          </w:p>
        </w:tc>
        <w:tc>
          <w:tcPr>
            <w:tcW w:w="3660" w:type="dxa"/>
            <w:vAlign w:val="center"/>
          </w:tcPr>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1、</w:t>
            </w:r>
            <w:r>
              <w:rPr>
                <w:rFonts w:hint="eastAsia" w:ascii="Times New Roman" w:eastAsia="仿宋" w:cs="仿宋"/>
                <w:kern w:val="2"/>
                <w:sz w:val="24"/>
                <w:szCs w:val="24"/>
              </w:rPr>
              <w:t>负责收集、调研用户需求；</w:t>
            </w:r>
          </w:p>
          <w:p>
            <w:pPr>
              <w:pStyle w:val="24"/>
              <w:numPr>
                <w:ilvl w:val="0"/>
                <w:numId w:val="0"/>
              </w:numPr>
              <w:spacing w:before="0" w:line="240" w:lineRule="auto"/>
              <w:rPr>
                <w:rFonts w:ascii="Times New Roman" w:eastAsia="宋体"/>
                <w:sz w:val="24"/>
                <w:szCs w:val="22"/>
              </w:rPr>
            </w:pPr>
            <w:r>
              <w:rPr>
                <w:rFonts w:hint="eastAsia" w:ascii="Times New Roman" w:eastAsia="仿宋" w:cs="仿宋"/>
                <w:kern w:val="2"/>
                <w:sz w:val="24"/>
                <w:szCs w:val="24"/>
                <w:lang w:val="en-US" w:eastAsia="zh-CN"/>
              </w:rPr>
              <w:t>2、</w:t>
            </w:r>
            <w:r>
              <w:rPr>
                <w:rFonts w:hint="eastAsia" w:ascii="Times New Roman" w:eastAsia="仿宋" w:cs="仿宋"/>
                <w:kern w:val="2"/>
                <w:sz w:val="24"/>
                <w:szCs w:val="24"/>
              </w:rPr>
              <w:t>分析需求</w:t>
            </w:r>
            <w:r>
              <w:rPr>
                <w:rFonts w:hint="eastAsia" w:eastAsia="仿宋" w:cs="仿宋"/>
                <w:kern w:val="2"/>
                <w:sz w:val="24"/>
                <w:szCs w:val="24"/>
              </w:rPr>
              <w:t>，</w:t>
            </w:r>
            <w:r>
              <w:rPr>
                <w:rFonts w:hint="eastAsia" w:ascii="Times New Roman" w:eastAsia="仿宋" w:cs="仿宋"/>
                <w:kern w:val="2"/>
                <w:sz w:val="24"/>
                <w:szCs w:val="24"/>
              </w:rPr>
              <w:t>细化</w:t>
            </w:r>
            <w:r>
              <w:rPr>
                <w:rFonts w:hint="eastAsia" w:eastAsia="仿宋" w:cs="仿宋"/>
                <w:kern w:val="2"/>
                <w:sz w:val="24"/>
                <w:szCs w:val="24"/>
              </w:rPr>
              <w:t>为</w:t>
            </w:r>
            <w:r>
              <w:rPr>
                <w:rFonts w:hint="eastAsia" w:ascii="Times New Roman" w:eastAsia="仿宋" w:cs="仿宋"/>
                <w:kern w:val="2"/>
                <w:sz w:val="24"/>
                <w:szCs w:val="24"/>
              </w:rPr>
              <w:t>可用于执行测试的需求，编写测试需求。</w:t>
            </w:r>
          </w:p>
        </w:tc>
        <w:tc>
          <w:tcPr>
            <w:tcW w:w="1132"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3</w:t>
            </w:r>
          </w:p>
        </w:tc>
        <w:tc>
          <w:tcPr>
            <w:tcW w:w="116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2</w:t>
            </w:r>
          </w:p>
        </w:tc>
        <w:tc>
          <w:tcPr>
            <w:tcW w:w="1207"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66" w:type="dxa"/>
            <w:vAlign w:val="center"/>
          </w:tcPr>
          <w:p>
            <w:pPr>
              <w:pStyle w:val="24"/>
              <w:spacing w:before="0" w:line="240" w:lineRule="auto"/>
              <w:ind w:left="0" w:leftChars="0" w:firstLine="0" w:firstLineChars="0"/>
              <w:jc w:val="center"/>
              <w:rPr>
                <w:rFonts w:ascii="Times New Roman" w:eastAsia="仿宋" w:cs="仿宋"/>
                <w:kern w:val="2"/>
                <w:sz w:val="24"/>
                <w:szCs w:val="24"/>
              </w:rPr>
            </w:pPr>
            <w:r>
              <w:rPr>
                <w:rFonts w:hint="eastAsia" w:ascii="Times New Roman" w:eastAsia="仿宋" w:cs="仿宋"/>
                <w:kern w:val="2"/>
                <w:sz w:val="24"/>
                <w:szCs w:val="24"/>
              </w:rPr>
              <w:t>3</w:t>
            </w:r>
          </w:p>
        </w:tc>
        <w:tc>
          <w:tcPr>
            <w:tcW w:w="1440" w:type="dxa"/>
            <w:vAlign w:val="center"/>
          </w:tcPr>
          <w:p>
            <w:pPr>
              <w:spacing w:line="240" w:lineRule="auto"/>
              <w:jc w:val="center"/>
              <w:rPr>
                <w:rFonts w:eastAsia="仿宋" w:cs="仿宋"/>
                <w:sz w:val="24"/>
                <w:szCs w:val="24"/>
              </w:rPr>
            </w:pPr>
            <w:r>
              <w:rPr>
                <w:rFonts w:hint="eastAsia" w:eastAsia="仿宋" w:cs="仿宋"/>
                <w:sz w:val="24"/>
                <w:szCs w:val="24"/>
              </w:rPr>
              <w:t>安全测试工程师</w:t>
            </w:r>
          </w:p>
        </w:tc>
        <w:tc>
          <w:tcPr>
            <w:tcW w:w="3660" w:type="dxa"/>
            <w:vAlign w:val="center"/>
          </w:tcPr>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1、</w:t>
            </w:r>
            <w:r>
              <w:rPr>
                <w:rFonts w:hint="eastAsia" w:ascii="Times New Roman" w:eastAsia="仿宋" w:cs="仿宋"/>
                <w:kern w:val="2"/>
                <w:sz w:val="24"/>
                <w:szCs w:val="24"/>
              </w:rPr>
              <w:t>根据需求，编写设计测试内容；</w:t>
            </w:r>
          </w:p>
          <w:p>
            <w:pPr>
              <w:pStyle w:val="24"/>
              <w:numPr>
                <w:ilvl w:val="0"/>
                <w:numId w:val="0"/>
              </w:numPr>
              <w:spacing w:before="0" w:line="240" w:lineRule="auto"/>
              <w:rPr>
                <w:rFonts w:ascii="Times New Roman" w:eastAsia="宋体"/>
                <w:sz w:val="24"/>
                <w:szCs w:val="22"/>
              </w:rPr>
            </w:pPr>
            <w:r>
              <w:rPr>
                <w:rFonts w:hint="eastAsia" w:ascii="Times New Roman" w:eastAsia="仿宋" w:cs="仿宋"/>
                <w:kern w:val="2"/>
                <w:sz w:val="24"/>
                <w:szCs w:val="24"/>
                <w:lang w:val="en-US" w:eastAsia="zh-CN"/>
              </w:rPr>
              <w:t>2、</w:t>
            </w:r>
            <w:r>
              <w:rPr>
                <w:rFonts w:hint="eastAsia" w:ascii="Times New Roman" w:eastAsia="仿宋" w:cs="仿宋"/>
                <w:kern w:val="2"/>
                <w:sz w:val="24"/>
                <w:szCs w:val="24"/>
              </w:rPr>
              <w:t>执行信息安全性测试</w:t>
            </w:r>
            <w:r>
              <w:rPr>
                <w:rFonts w:hint="eastAsia" w:eastAsia="仿宋" w:cs="仿宋"/>
                <w:kern w:val="2"/>
                <w:sz w:val="24"/>
                <w:szCs w:val="24"/>
              </w:rPr>
              <w:t>及</w:t>
            </w:r>
            <w:r>
              <w:rPr>
                <w:rFonts w:hint="eastAsia" w:ascii="Times New Roman" w:eastAsia="仿宋" w:cs="仿宋"/>
                <w:kern w:val="2"/>
                <w:sz w:val="24"/>
                <w:szCs w:val="24"/>
              </w:rPr>
              <w:t>源代码安全审计，记录测试结果；</w:t>
            </w:r>
          </w:p>
          <w:p>
            <w:pPr>
              <w:pStyle w:val="24"/>
              <w:numPr>
                <w:ilvl w:val="0"/>
                <w:numId w:val="0"/>
              </w:numPr>
              <w:spacing w:before="0" w:line="240" w:lineRule="auto"/>
              <w:rPr>
                <w:rFonts w:ascii="Times New Roman" w:eastAsia="宋体"/>
                <w:sz w:val="24"/>
                <w:szCs w:val="22"/>
              </w:rPr>
            </w:pPr>
            <w:r>
              <w:rPr>
                <w:rFonts w:hint="eastAsia" w:ascii="Times New Roman" w:eastAsia="仿宋" w:cs="仿宋"/>
                <w:kern w:val="2"/>
                <w:sz w:val="24"/>
                <w:szCs w:val="24"/>
                <w:lang w:val="en-US" w:eastAsia="zh-CN"/>
              </w:rPr>
              <w:t>3、</w:t>
            </w:r>
            <w:r>
              <w:rPr>
                <w:rFonts w:hint="eastAsia" w:ascii="Times New Roman" w:eastAsia="仿宋" w:cs="仿宋"/>
                <w:kern w:val="2"/>
                <w:sz w:val="24"/>
                <w:szCs w:val="24"/>
              </w:rPr>
              <w:t>反馈测试缺陷；</w:t>
            </w:r>
          </w:p>
          <w:p>
            <w:pPr>
              <w:pStyle w:val="24"/>
              <w:numPr>
                <w:ilvl w:val="0"/>
                <w:numId w:val="0"/>
              </w:numPr>
              <w:spacing w:before="0" w:line="240" w:lineRule="auto"/>
              <w:rPr>
                <w:rFonts w:ascii="Times New Roman" w:eastAsia="宋体"/>
                <w:sz w:val="24"/>
                <w:szCs w:val="22"/>
              </w:rPr>
            </w:pPr>
            <w:r>
              <w:rPr>
                <w:rFonts w:hint="eastAsia" w:ascii="Times New Roman" w:eastAsia="仿宋" w:cs="仿宋"/>
                <w:kern w:val="2"/>
                <w:sz w:val="24"/>
                <w:szCs w:val="24"/>
                <w:lang w:val="en-US" w:eastAsia="zh-CN"/>
              </w:rPr>
              <w:t>4、</w:t>
            </w:r>
            <w:r>
              <w:rPr>
                <w:rFonts w:hint="eastAsia" w:ascii="Times New Roman" w:eastAsia="仿宋" w:cs="仿宋"/>
                <w:kern w:val="2"/>
                <w:sz w:val="24"/>
                <w:szCs w:val="24"/>
              </w:rPr>
              <w:t>执行回归测试；</w:t>
            </w:r>
          </w:p>
          <w:p>
            <w:pPr>
              <w:pStyle w:val="24"/>
              <w:numPr>
                <w:ilvl w:val="0"/>
                <w:numId w:val="0"/>
              </w:numPr>
              <w:spacing w:before="0" w:line="240" w:lineRule="auto"/>
              <w:rPr>
                <w:rFonts w:ascii="Times New Roman" w:eastAsia="宋体"/>
                <w:sz w:val="24"/>
                <w:szCs w:val="22"/>
              </w:rPr>
            </w:pPr>
            <w:r>
              <w:rPr>
                <w:rFonts w:hint="eastAsia" w:ascii="Times New Roman" w:eastAsia="仿宋" w:cs="仿宋"/>
                <w:kern w:val="2"/>
                <w:sz w:val="24"/>
                <w:szCs w:val="24"/>
                <w:lang w:val="en-US" w:eastAsia="zh-CN"/>
              </w:rPr>
              <w:t>5、</w:t>
            </w:r>
            <w:r>
              <w:rPr>
                <w:rFonts w:hint="eastAsia" w:ascii="Times New Roman" w:eastAsia="仿宋" w:cs="仿宋"/>
                <w:kern w:val="2"/>
                <w:sz w:val="24"/>
                <w:szCs w:val="24"/>
              </w:rPr>
              <w:t>编制测试报告。</w:t>
            </w:r>
          </w:p>
        </w:tc>
        <w:tc>
          <w:tcPr>
            <w:tcW w:w="113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12</w:t>
            </w:r>
          </w:p>
        </w:tc>
        <w:tc>
          <w:tcPr>
            <w:tcW w:w="116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6</w:t>
            </w:r>
          </w:p>
        </w:tc>
        <w:tc>
          <w:tcPr>
            <w:tcW w:w="1207"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66" w:type="dxa"/>
            <w:vAlign w:val="center"/>
          </w:tcPr>
          <w:p>
            <w:pPr>
              <w:pStyle w:val="24"/>
              <w:spacing w:before="0" w:line="240" w:lineRule="auto"/>
              <w:ind w:left="0" w:leftChars="0" w:firstLine="0" w:firstLineChars="0"/>
              <w:jc w:val="center"/>
              <w:rPr>
                <w:rFonts w:ascii="Times New Roman" w:eastAsia="仿宋" w:cs="仿宋"/>
                <w:kern w:val="2"/>
                <w:sz w:val="24"/>
                <w:szCs w:val="24"/>
              </w:rPr>
            </w:pPr>
            <w:r>
              <w:rPr>
                <w:rFonts w:hint="eastAsia" w:ascii="Times New Roman" w:eastAsia="仿宋" w:cs="仿宋"/>
                <w:kern w:val="2"/>
                <w:sz w:val="24"/>
                <w:szCs w:val="24"/>
              </w:rPr>
              <w:t>4</w:t>
            </w:r>
          </w:p>
        </w:tc>
        <w:tc>
          <w:tcPr>
            <w:tcW w:w="1440" w:type="dxa"/>
            <w:vAlign w:val="center"/>
          </w:tcPr>
          <w:p>
            <w:pPr>
              <w:spacing w:line="240" w:lineRule="auto"/>
              <w:jc w:val="center"/>
              <w:rPr>
                <w:rFonts w:eastAsia="仿宋" w:cs="仿宋"/>
                <w:sz w:val="24"/>
                <w:szCs w:val="24"/>
              </w:rPr>
            </w:pPr>
            <w:r>
              <w:rPr>
                <w:rFonts w:hint="eastAsia" w:eastAsia="仿宋" w:cs="仿宋"/>
                <w:sz w:val="24"/>
                <w:szCs w:val="24"/>
              </w:rPr>
              <w:t>质量工程师</w:t>
            </w:r>
          </w:p>
        </w:tc>
        <w:tc>
          <w:tcPr>
            <w:tcW w:w="3660" w:type="dxa"/>
            <w:vAlign w:val="center"/>
          </w:tcPr>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1、</w:t>
            </w:r>
            <w:r>
              <w:rPr>
                <w:rFonts w:hint="eastAsia" w:ascii="Times New Roman" w:eastAsia="仿宋" w:cs="仿宋"/>
                <w:kern w:val="2"/>
                <w:sz w:val="24"/>
                <w:szCs w:val="24"/>
              </w:rPr>
              <w:t>对测试工程师的测试工作进行有效的质量监督；</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2、</w:t>
            </w:r>
            <w:r>
              <w:rPr>
                <w:rFonts w:hint="eastAsia" w:ascii="Times New Roman" w:eastAsia="仿宋" w:cs="仿宋"/>
                <w:kern w:val="2"/>
                <w:sz w:val="24"/>
                <w:szCs w:val="24"/>
              </w:rPr>
              <w:t>制止有违真实性、有效性、正确性的任何操作活动。</w:t>
            </w:r>
          </w:p>
        </w:tc>
        <w:tc>
          <w:tcPr>
            <w:tcW w:w="113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2</w:t>
            </w:r>
          </w:p>
        </w:tc>
        <w:tc>
          <w:tcPr>
            <w:tcW w:w="116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6</w:t>
            </w:r>
          </w:p>
        </w:tc>
        <w:tc>
          <w:tcPr>
            <w:tcW w:w="1207"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66" w:type="dxa"/>
            <w:vAlign w:val="center"/>
          </w:tcPr>
          <w:p>
            <w:pPr>
              <w:pStyle w:val="24"/>
              <w:spacing w:before="0" w:line="240" w:lineRule="auto"/>
              <w:ind w:left="0" w:leftChars="0" w:firstLine="0" w:firstLineChars="0"/>
              <w:jc w:val="center"/>
              <w:rPr>
                <w:rFonts w:ascii="Times New Roman" w:eastAsia="仿宋" w:cs="仿宋"/>
                <w:kern w:val="2"/>
                <w:sz w:val="24"/>
                <w:szCs w:val="24"/>
              </w:rPr>
            </w:pPr>
            <w:r>
              <w:rPr>
                <w:rFonts w:hint="eastAsia" w:ascii="Times New Roman" w:eastAsia="仿宋" w:cs="仿宋"/>
                <w:kern w:val="2"/>
                <w:sz w:val="24"/>
                <w:szCs w:val="24"/>
              </w:rPr>
              <w:t>5</w:t>
            </w:r>
          </w:p>
        </w:tc>
        <w:tc>
          <w:tcPr>
            <w:tcW w:w="1440" w:type="dxa"/>
            <w:vAlign w:val="center"/>
          </w:tcPr>
          <w:p>
            <w:pPr>
              <w:spacing w:line="240" w:lineRule="auto"/>
              <w:jc w:val="center"/>
              <w:rPr>
                <w:rFonts w:eastAsia="仿宋" w:cs="仿宋"/>
                <w:sz w:val="24"/>
                <w:szCs w:val="24"/>
              </w:rPr>
            </w:pPr>
            <w:r>
              <w:rPr>
                <w:rFonts w:hint="eastAsia" w:eastAsia="仿宋" w:cs="仿宋"/>
                <w:sz w:val="24"/>
                <w:szCs w:val="24"/>
              </w:rPr>
              <w:t>配置工程师</w:t>
            </w:r>
          </w:p>
        </w:tc>
        <w:tc>
          <w:tcPr>
            <w:tcW w:w="3660" w:type="dxa"/>
            <w:vAlign w:val="center"/>
          </w:tcPr>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1、</w:t>
            </w:r>
            <w:r>
              <w:rPr>
                <w:rFonts w:hint="eastAsia" w:ascii="Times New Roman" w:eastAsia="仿宋" w:cs="仿宋"/>
                <w:kern w:val="2"/>
                <w:sz w:val="24"/>
                <w:szCs w:val="24"/>
              </w:rPr>
              <w:t>测试配置项的配置管理；</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2、</w:t>
            </w:r>
            <w:r>
              <w:rPr>
                <w:rFonts w:hint="eastAsia" w:ascii="Times New Roman" w:eastAsia="仿宋" w:cs="仿宋"/>
                <w:kern w:val="2"/>
                <w:sz w:val="24"/>
                <w:szCs w:val="24"/>
              </w:rPr>
              <w:t>配置项的出/入库控制；</w:t>
            </w:r>
          </w:p>
          <w:p>
            <w:pPr>
              <w:pStyle w:val="24"/>
              <w:numPr>
                <w:ilvl w:val="0"/>
                <w:numId w:val="0"/>
              </w:numPr>
              <w:spacing w:before="0" w:line="240" w:lineRule="auto"/>
              <w:rPr>
                <w:rFonts w:ascii="Times New Roman" w:eastAsia="仿宋" w:cs="仿宋"/>
                <w:kern w:val="2"/>
                <w:sz w:val="24"/>
                <w:szCs w:val="24"/>
              </w:rPr>
            </w:pPr>
            <w:r>
              <w:rPr>
                <w:rFonts w:hint="eastAsia" w:ascii="Times New Roman" w:eastAsia="仿宋" w:cs="仿宋"/>
                <w:kern w:val="2"/>
                <w:sz w:val="24"/>
                <w:szCs w:val="24"/>
                <w:lang w:val="en-US" w:eastAsia="zh-CN"/>
              </w:rPr>
              <w:t>3、</w:t>
            </w:r>
            <w:r>
              <w:rPr>
                <w:rFonts w:hint="eastAsia" w:ascii="Times New Roman" w:eastAsia="仿宋" w:cs="仿宋"/>
                <w:kern w:val="2"/>
                <w:sz w:val="24"/>
                <w:szCs w:val="24"/>
              </w:rPr>
              <w:t>基线的状态和内容通知项目全体人员。</w:t>
            </w:r>
          </w:p>
        </w:tc>
        <w:tc>
          <w:tcPr>
            <w:tcW w:w="113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1</w:t>
            </w:r>
          </w:p>
        </w:tc>
        <w:tc>
          <w:tcPr>
            <w:tcW w:w="1162" w:type="dxa"/>
            <w:vAlign w:val="center"/>
          </w:tcPr>
          <w:p>
            <w:pPr>
              <w:widowControl/>
              <w:jc w:val="center"/>
              <w:textAlignment w:val="bottom"/>
              <w:rPr>
                <w:rFonts w:eastAsia="等线" w:cs="等线"/>
                <w:color w:val="000000"/>
                <w:szCs w:val="28"/>
                <w:lang w:bidi="ar"/>
              </w:rPr>
            </w:pPr>
            <w:r>
              <w:rPr>
                <w:rFonts w:eastAsia="等线" w:cs="等线"/>
                <w:color w:val="000000"/>
                <w:szCs w:val="28"/>
                <w:lang w:bidi="ar"/>
              </w:rPr>
              <w:t>6</w:t>
            </w:r>
          </w:p>
        </w:tc>
        <w:tc>
          <w:tcPr>
            <w:tcW w:w="1207" w:type="dxa"/>
            <w:vAlign w:val="center"/>
          </w:tcPr>
          <w:p>
            <w:pPr>
              <w:widowControl/>
              <w:jc w:val="center"/>
              <w:textAlignment w:val="bottom"/>
              <w:rPr>
                <w:rFonts w:eastAsia="等线" w:cs="等线"/>
                <w:color w:val="000000"/>
                <w:szCs w:val="28"/>
                <w:lang w:bidi="ar"/>
              </w:rPr>
            </w:pPr>
            <w:r>
              <w:rPr>
                <w:rFonts w:hint="eastAsia" w:eastAsia="等线" w:cs="等线"/>
                <w:color w:val="000000"/>
                <w:szCs w:val="2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0" w:type="dxa"/>
            <w:gridSpan w:val="5"/>
            <w:vAlign w:val="center"/>
          </w:tcPr>
          <w:p>
            <w:pPr>
              <w:widowControl/>
              <w:jc w:val="center"/>
              <w:textAlignment w:val="bottom"/>
              <w:rPr>
                <w:rFonts w:eastAsia="等线" w:cs="等线"/>
                <w:color w:val="000000"/>
                <w:szCs w:val="28"/>
                <w:lang w:bidi="ar"/>
              </w:rPr>
            </w:pPr>
            <w:r>
              <w:rPr>
                <w:rFonts w:hint="eastAsia" w:eastAsia="仿宋" w:cs="仿宋"/>
                <w:kern w:val="2"/>
                <w:sz w:val="24"/>
                <w:szCs w:val="24"/>
              </w:rPr>
              <w:t>合计</w:t>
            </w:r>
          </w:p>
        </w:tc>
        <w:tc>
          <w:tcPr>
            <w:tcW w:w="1207" w:type="dxa"/>
            <w:vAlign w:val="bottom"/>
          </w:tcPr>
          <w:p>
            <w:pPr>
              <w:widowControl/>
              <w:jc w:val="center"/>
              <w:textAlignment w:val="bottom"/>
              <w:rPr>
                <w:rFonts w:eastAsia="等线" w:cs="等线"/>
                <w:color w:val="000000"/>
                <w:szCs w:val="28"/>
                <w:lang w:bidi="ar"/>
              </w:rPr>
            </w:pPr>
            <w:r>
              <w:rPr>
                <w:rFonts w:hint="eastAsia" w:eastAsia="等线" w:cs="等线"/>
                <w:color w:val="000000"/>
                <w:szCs w:val="28"/>
                <w:lang w:bidi="ar"/>
              </w:rPr>
              <w:t>102</w:t>
            </w:r>
          </w:p>
        </w:tc>
      </w:tr>
    </w:tbl>
    <w:p>
      <w:pPr>
        <w:ind w:firstLine="480" w:firstLineChars="200"/>
        <w:jc w:val="center"/>
      </w:pPr>
      <w:r>
        <w:rPr>
          <w:rFonts w:hint="eastAsia" w:eastAsia="仿宋_GB2312" w:cs="仿宋_GB2312"/>
          <w:sz w:val="24"/>
          <w:szCs w:val="21"/>
        </w:rPr>
        <w:t>表1人员配置清单</w:t>
      </w:r>
    </w:p>
    <w:p>
      <w:pPr>
        <w:spacing w:line="44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（三）本地化服务</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服务机构应具有本地化服务能力，在本市有常驻的服务机构，或设立分公司或办事处等作为常驻服务和技术支持机构，应组织一个专业化的团队来执行本项目，并向自治区人社厅提供拟参与本项目的各人员的有效联系方式（包括手机、电子邮箱等），所有测评人员需提供驻场服务。</w:t>
      </w:r>
    </w:p>
    <w:p>
      <w:pPr>
        <w:spacing w:line="440" w:lineRule="exact"/>
        <w:ind w:firstLine="480" w:firstLineChars="200"/>
        <w:rPr>
          <w:rFonts w:hint="eastAsia" w:ascii="宋体" w:hAnsi="宋体"/>
          <w:b w:val="0"/>
          <w:bCs w:val="0"/>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八、测试周期</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合同签订后6个月内，完成全部第三方测试服务内容。</w:t>
      </w:r>
    </w:p>
    <w:p>
      <w:pPr>
        <w:spacing w:line="440" w:lineRule="exact"/>
        <w:ind w:firstLine="480" w:firstLineChars="200"/>
        <w:rPr>
          <w:rFonts w:hint="eastAsia" w:ascii="宋体" w:hAnsi="宋体"/>
          <w:b w:val="0"/>
          <w:bCs w:val="0"/>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九、经费预算</w:t>
      </w:r>
    </w:p>
    <w:p>
      <w:pPr>
        <w:spacing w:line="440" w:lineRule="exact"/>
        <w:ind w:firstLine="480" w:firstLineChars="200"/>
        <w:rPr>
          <w:rFonts w:hint="eastAsia" w:ascii="宋体" w:hAnsi="宋体"/>
          <w:b w:val="0"/>
          <w:bCs w:val="0"/>
          <w:color w:val="auto"/>
          <w:sz w:val="22"/>
          <w:szCs w:val="22"/>
          <w:highlight w:val="none"/>
          <w:lang w:val="en-US" w:eastAsia="zh-CN"/>
        </w:rPr>
      </w:pPr>
      <w:r>
        <w:rPr>
          <w:rFonts w:hint="eastAsia" w:ascii="宋体" w:hAnsi="宋体"/>
          <w:b w:val="0"/>
          <w:bCs w:val="0"/>
          <w:color w:val="auto"/>
          <w:sz w:val="24"/>
          <w:highlight w:val="none"/>
          <w:lang w:val="en-US" w:eastAsia="zh-CN"/>
        </w:rPr>
        <w:t>1.项目预算：173万元。</w:t>
      </w:r>
      <w:r>
        <w:rPr>
          <w:rFonts w:hint="eastAsia" w:ascii="宋体" w:hAnsi="宋体"/>
          <w:b w:val="0"/>
          <w:bCs w:val="0"/>
          <w:color w:val="auto"/>
          <w:sz w:val="22"/>
          <w:szCs w:val="22"/>
          <w:highlight w:val="none"/>
          <w:lang w:val="en-US" w:eastAsia="zh-CN"/>
        </w:rPr>
        <w:t>预算包含回归测试费用（总次数不超过5次）及税费。</w:t>
      </w:r>
    </w:p>
    <w:p>
      <w:pPr>
        <w:spacing w:line="440" w:lineRule="exact"/>
        <w:ind w:firstLine="480" w:firstLineChars="200"/>
        <w:rPr>
          <w:rFonts w:hint="eastAsia" w:ascii="宋体" w:hAnsi="宋体"/>
          <w:b w:val="0"/>
          <w:bCs w:val="0"/>
          <w:color w:val="auto"/>
          <w:sz w:val="24"/>
          <w:highlight w:val="yellow"/>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十、法律责任及保密要求</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1、中标供应商按照国家有关法规规定提供服务，并承担相应的法律责任。</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2、中标供应商按照国家相关法规规定承接业务，并承续法律责任。</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3、中标供应商应与采购人签订服务协议，明确双方的权利与义务。</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4、中标供应商应与采购人签订保密协议，明确双方的权利与义务。</w:t>
      </w:r>
    </w:p>
    <w:p>
      <w:pPr>
        <w:spacing w:line="440" w:lineRule="exact"/>
        <w:ind w:firstLine="480" w:firstLineChars="200"/>
        <w:rPr>
          <w:rFonts w:hint="eastAsia" w:ascii="宋体" w:hAnsi="宋体"/>
          <w:b w:val="0"/>
          <w:bCs w:val="0"/>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十一、验收、考核要求</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采购人与中标供应商就具体服务项目签订项目服务合同，中标供应商应在具体项目服务合同履行完成后，出具经甲方认可的加盖CNAS及CMA资质章测试报告。</w:t>
      </w:r>
    </w:p>
    <w:p>
      <w:pPr>
        <w:spacing w:line="440" w:lineRule="exact"/>
        <w:ind w:firstLine="480" w:firstLineChars="200"/>
        <w:rPr>
          <w:rFonts w:hint="eastAsia" w:ascii="宋体" w:hAnsi="宋体"/>
          <w:b w:val="0"/>
          <w:bCs w:val="0"/>
          <w:color w:val="auto"/>
          <w:sz w:val="24"/>
          <w:highlight w:val="none"/>
          <w:lang w:val="en-US" w:eastAsia="zh-CN"/>
        </w:rPr>
      </w:pPr>
    </w:p>
    <w:p>
      <w:pPr>
        <w:spacing w:line="440" w:lineRule="exact"/>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十二、其他要求</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（一）中标供应商为本项目保证专门的项目负责人和项目人员；</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（二）在服务期内，项目负责人要保持24小时手机开机，随时与采购人保持积极沟通；</w:t>
      </w:r>
    </w:p>
    <w:p>
      <w:pPr>
        <w:spacing w:line="44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（三）按采购人要求时限编制并提交相关成果文件。</w:t>
      </w:r>
    </w:p>
    <w:p>
      <w:pPr>
        <w:rPr>
          <w:rFonts w:hint="eastAsia"/>
          <w:color w:val="auto"/>
          <w:highlight w:val="none"/>
        </w:rPr>
      </w:pPr>
    </w:p>
    <w:p>
      <w:pPr>
        <w:spacing w:line="440" w:lineRule="exact"/>
        <w:jc w:val="center"/>
        <w:outlineLvl w:val="0"/>
        <w:rPr>
          <w:rFonts w:hint="eastAsia" w:ascii="宋体" w:hAnsi="宋体" w:cs="宋体"/>
          <w:b/>
          <w:color w:val="auto"/>
          <w:sz w:val="24"/>
          <w:highlight w:val="none"/>
        </w:rPr>
      </w:pPr>
    </w:p>
    <w:p>
      <w:pPr>
        <w:spacing w:line="440" w:lineRule="exact"/>
        <w:jc w:val="center"/>
        <w:outlineLvl w:val="0"/>
        <w:rPr>
          <w:rFonts w:hint="eastAsia" w:ascii="宋体" w:hAnsi="宋体" w:cs="宋体"/>
          <w:b/>
          <w:color w:val="auto"/>
          <w:sz w:val="24"/>
          <w:highlight w:val="none"/>
        </w:rPr>
      </w:pPr>
    </w:p>
    <w:p>
      <w:pPr>
        <w:spacing w:line="440" w:lineRule="exact"/>
        <w:jc w:val="both"/>
        <w:outlineLvl w:val="0"/>
        <w:rPr>
          <w:rFonts w:hint="eastAsia" w:ascii="宋体" w:hAnsi="宋体" w:cs="宋体"/>
          <w:b/>
          <w:color w:val="auto"/>
          <w:sz w:val="24"/>
          <w:highlight w:val="none"/>
        </w:rPr>
      </w:pPr>
    </w:p>
    <w:p>
      <w:pPr>
        <w:spacing w:line="440" w:lineRule="exact"/>
        <w:outlineLvl w:val="0"/>
        <w:rPr>
          <w:rFonts w:hint="eastAsia" w:ascii="宋体" w:hAnsi="宋体" w:cs="宋体"/>
          <w:b/>
          <w:color w:val="auto"/>
          <w:sz w:val="24"/>
          <w:highlight w:val="none"/>
        </w:rPr>
      </w:pPr>
    </w:p>
    <w:p>
      <w:pPr>
        <w:spacing w:line="440" w:lineRule="exact"/>
        <w:jc w:val="center"/>
        <w:outlineLvl w:val="0"/>
        <w:rPr>
          <w:rFonts w:hint="eastAsia" w:ascii="宋体" w:hAnsi="宋体" w:cs="宋体"/>
          <w:color w:val="auto"/>
          <w:sz w:val="24"/>
          <w:highlight w:val="none"/>
        </w:rPr>
      </w:pPr>
      <w:r>
        <w:rPr>
          <w:rFonts w:hint="eastAsia" w:ascii="宋体" w:hAnsi="宋体" w:cs="宋体"/>
          <w:b/>
          <w:color w:val="auto"/>
          <w:sz w:val="24"/>
          <w:highlight w:val="none"/>
        </w:rPr>
        <w:t>第五部分    合同部分</w:t>
      </w:r>
    </w:p>
    <w:p>
      <w:pPr>
        <w:pStyle w:val="121"/>
        <w:ind w:firstLine="0" w:firstLineChars="0"/>
        <w:jc w:val="center"/>
        <w:rPr>
          <w:rFonts w:hint="eastAsia" w:ascii="宋体" w:hAnsi="宋体" w:cs="宋体"/>
          <w:color w:val="auto"/>
          <w:sz w:val="24"/>
          <w:szCs w:val="24"/>
          <w:highlight w:val="none"/>
        </w:rPr>
      </w:pPr>
    </w:p>
    <w:bookmarkEnd w:id="15"/>
    <w:p>
      <w:pPr>
        <w:spacing w:line="360" w:lineRule="auto"/>
        <w:jc w:val="center"/>
        <w:rPr>
          <w:rFonts w:hint="eastAsia" w:ascii="仿宋" w:hAnsi="仿宋" w:eastAsia="仿宋" w:cs="仿宋"/>
          <w:b/>
          <w:color w:val="auto"/>
          <w:sz w:val="24"/>
          <w:highlight w:val="none"/>
        </w:rPr>
      </w:pPr>
      <w:bookmarkStart w:id="28" w:name="_Toc502852419"/>
      <w:bookmarkStart w:id="29" w:name="_Toc1481"/>
      <w:r>
        <w:rPr>
          <w:rFonts w:hint="eastAsia" w:ascii="仿宋" w:hAnsi="仿宋" w:eastAsia="仿宋" w:cs="仿宋"/>
          <w:b/>
          <w:color w:val="auto"/>
          <w:sz w:val="24"/>
          <w:highlight w:val="none"/>
        </w:rPr>
        <w:t>（仅供参考，具体以实际签订合同为准）</w:t>
      </w:r>
    </w:p>
    <w:p>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500" w:lineRule="exact"/>
        <w:jc w:val="center"/>
        <w:rPr>
          <w:rFonts w:hint="eastAsia" w:ascii="宋体" w:hAnsi="宋体" w:cs="宋体"/>
          <w:b/>
          <w:color w:val="auto"/>
          <w:sz w:val="28"/>
          <w:szCs w:val="28"/>
          <w:highlight w:val="none"/>
        </w:rPr>
      </w:pPr>
    </w:p>
    <w:p>
      <w:pPr>
        <w:spacing w:line="5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pPr>
        <w:spacing w:line="500" w:lineRule="exact"/>
        <w:jc w:val="center"/>
        <w:rPr>
          <w:rFonts w:hint="eastAsia" w:ascii="宋体" w:hAnsi="宋体" w:cs="宋体"/>
          <w:b/>
          <w:color w:val="auto"/>
          <w:sz w:val="24"/>
          <w:highlight w:val="none"/>
        </w:rPr>
      </w:pPr>
      <w:r>
        <w:rPr>
          <w:rFonts w:hint="eastAsia" w:ascii="宋体" w:hAnsi="宋体" w:cs="宋体"/>
          <w:b/>
          <w:color w:val="auto"/>
          <w:sz w:val="24"/>
          <w:highlight w:val="none"/>
        </w:rPr>
        <w:t>（服务类）</w:t>
      </w:r>
    </w:p>
    <w:p>
      <w:pPr>
        <w:pStyle w:val="140"/>
        <w:spacing w:line="400" w:lineRule="exact"/>
        <w:rPr>
          <w:rFonts w:hint="eastAsia" w:cs="宋体"/>
          <w:color w:val="auto"/>
          <w:highlight w:val="none"/>
        </w:rPr>
      </w:pPr>
    </w:p>
    <w:p>
      <w:pPr>
        <w:pStyle w:val="140"/>
        <w:spacing w:line="400" w:lineRule="exact"/>
        <w:rPr>
          <w:rFonts w:hint="eastAsia" w:cs="宋体"/>
          <w:color w:val="auto"/>
          <w:highlight w:val="none"/>
        </w:rPr>
      </w:pPr>
    </w:p>
    <w:p>
      <w:pPr>
        <w:pStyle w:val="140"/>
        <w:spacing w:line="400" w:lineRule="exact"/>
        <w:rPr>
          <w:rFonts w:hint="eastAsia" w:cs="宋体"/>
          <w:color w:val="auto"/>
          <w:highlight w:val="none"/>
        </w:rPr>
      </w:pPr>
    </w:p>
    <w:p>
      <w:pPr>
        <w:pStyle w:val="140"/>
        <w:spacing w:line="400" w:lineRule="exact"/>
        <w:ind w:firstLine="422"/>
        <w:jc w:val="center"/>
        <w:rPr>
          <w:rFonts w:hint="eastAsia" w:cs="宋体"/>
          <w:b/>
          <w:color w:val="auto"/>
          <w:highlight w:val="none"/>
        </w:rPr>
      </w:pPr>
      <w:r>
        <w:rPr>
          <w:rFonts w:hint="eastAsia" w:cs="宋体"/>
          <w:b/>
          <w:color w:val="auto"/>
          <w:highlight w:val="none"/>
        </w:rPr>
        <w:t>第一部分 合同书</w:t>
      </w:r>
    </w:p>
    <w:p>
      <w:pPr>
        <w:pStyle w:val="140"/>
        <w:spacing w:line="400" w:lineRule="exact"/>
        <w:rPr>
          <w:rFonts w:hint="eastAsia" w:cs="宋体"/>
          <w:color w:val="auto"/>
          <w:highlight w:val="none"/>
        </w:rPr>
      </w:pPr>
    </w:p>
    <w:p>
      <w:pPr>
        <w:pStyle w:val="140"/>
        <w:spacing w:line="400" w:lineRule="exact"/>
        <w:rPr>
          <w:rFonts w:hint="eastAsia" w:cs="宋体"/>
          <w:color w:val="auto"/>
          <w:highlight w:val="none"/>
        </w:rPr>
      </w:pPr>
    </w:p>
    <w:p>
      <w:pPr>
        <w:spacing w:before="120" w:line="400" w:lineRule="exact"/>
        <w:rPr>
          <w:rFonts w:hint="eastAsia" w:ascii="宋体" w:hAnsi="宋体" w:cs="宋体"/>
          <w:color w:val="auto"/>
          <w:sz w:val="24"/>
          <w:highlight w:val="none"/>
        </w:rPr>
      </w:pPr>
    </w:p>
    <w:p>
      <w:pPr>
        <w:spacing w:before="120" w:line="400" w:lineRule="exac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149"/>
        <w:spacing w:before="120" w:line="400" w:lineRule="exact"/>
        <w:rPr>
          <w:rFonts w:hint="eastAsia" w:ascii="宋体" w:hAnsi="宋体" w:eastAsia="宋体" w:cs="宋体"/>
          <w:color w:val="auto"/>
          <w:szCs w:val="24"/>
          <w:highlight w:val="none"/>
        </w:rPr>
      </w:pPr>
    </w:p>
    <w:p>
      <w:pPr>
        <w:spacing w:line="400" w:lineRule="exact"/>
        <w:rPr>
          <w:rFonts w:hint="eastAsia" w:ascii="宋体" w:hAnsi="宋体" w:cs="宋体"/>
          <w:color w:val="auto"/>
          <w:highlight w:val="none"/>
        </w:rPr>
      </w:pPr>
    </w:p>
    <w:p>
      <w:pPr>
        <w:spacing w:before="120" w:line="400" w:lineRule="exac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400" w:lineRule="exact"/>
        <w:rPr>
          <w:rFonts w:hint="eastAsia" w:ascii="宋体" w:hAnsi="宋体" w:cs="宋体"/>
          <w:color w:val="auto"/>
          <w:sz w:val="24"/>
          <w:highlight w:val="none"/>
        </w:rPr>
      </w:pPr>
    </w:p>
    <w:p>
      <w:pPr>
        <w:spacing w:before="120" w:line="400" w:lineRule="exac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400" w:lineRule="exact"/>
        <w:rPr>
          <w:rFonts w:hint="eastAsia" w:ascii="宋体" w:hAnsi="宋体" w:cs="宋体"/>
          <w:color w:val="auto"/>
          <w:sz w:val="24"/>
          <w:highlight w:val="none"/>
        </w:rPr>
      </w:pPr>
    </w:p>
    <w:p>
      <w:pPr>
        <w:spacing w:before="120" w:line="400" w:lineRule="exac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400" w:lineRule="exact"/>
        <w:rPr>
          <w:rFonts w:hint="eastAsia" w:ascii="宋体" w:hAnsi="宋体" w:cs="宋体"/>
          <w:color w:val="auto"/>
          <w:sz w:val="24"/>
          <w:highlight w:val="none"/>
        </w:rPr>
      </w:pPr>
    </w:p>
    <w:p>
      <w:pPr>
        <w:spacing w:before="120" w:line="400" w:lineRule="exac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utoSpaceDE w:val="0"/>
        <w:autoSpaceDN w:val="0"/>
        <w:adjustRightInd w:val="0"/>
        <w:spacing w:line="400" w:lineRule="exact"/>
        <w:ind w:firstLine="640"/>
        <w:jc w:val="center"/>
        <w:rPr>
          <w:rFonts w:hint="eastAsia" w:ascii="宋体" w:hAnsi="宋体" w:cs="宋体"/>
          <w:color w:val="auto"/>
          <w:sz w:val="24"/>
          <w:highlight w:val="none"/>
        </w:rPr>
        <w:sectPr>
          <w:headerReference r:id="rId12" w:type="first"/>
          <w:footerReference r:id="rId15" w:type="first"/>
          <w:footerReference r:id="rId13" w:type="default"/>
          <w:headerReference r:id="rId11" w:type="even"/>
          <w:footerReference r:id="rId14" w:type="even"/>
          <w:pgSz w:w="11907" w:h="16840"/>
          <w:pgMar w:top="1474" w:right="1814" w:bottom="1474" w:left="1814" w:header="851" w:footer="851" w:gutter="0"/>
          <w:cols w:space="720" w:num="1"/>
          <w:docGrid w:linePitch="462" w:charSpace="0"/>
        </w:sectPr>
      </w:pPr>
    </w:p>
    <w:p>
      <w:pPr>
        <w:spacing w:line="400" w:lineRule="exact"/>
        <w:ind w:firstLine="480" w:firstLineChars="200"/>
        <w:rPr>
          <w:rFonts w:hint="eastAsia" w:ascii="宋体" w:hAnsi="宋体" w:cs="宋体"/>
          <w:color w:val="auto"/>
          <w:sz w:val="24"/>
          <w:highlight w:val="none"/>
          <w:u w:val="single"/>
          <w:lang w:val="zh-CN"/>
        </w:rPr>
      </w:pP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为该项目中标供应商。现于中标通知书发出之日起三十日内，按照采购文件确定的事项签订本合同。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400" w:lineRule="exact"/>
        <w:ind w:firstLine="482" w:firstLineChars="200"/>
        <w:outlineLvl w:val="0"/>
        <w:rPr>
          <w:rFonts w:hint="eastAsia" w:ascii="宋体" w:hAnsi="宋体" w:cs="宋体"/>
          <w:color w:val="auto"/>
          <w:sz w:val="24"/>
          <w:highlight w:val="none"/>
        </w:rPr>
      </w:pPr>
      <w:bookmarkStart w:id="30" w:name="_Toc15367"/>
      <w:bookmarkStart w:id="31" w:name="_Toc11585"/>
      <w:bookmarkStart w:id="32" w:name="_Toc22374"/>
      <w:bookmarkStart w:id="33" w:name="_Toc19273"/>
      <w:bookmarkStart w:id="34" w:name="_Toc11236"/>
      <w:bookmarkStart w:id="35" w:name="_Toc11756"/>
      <w:bookmarkStart w:id="36" w:name="_Toc20421"/>
      <w:bookmarkStart w:id="37" w:name="_Toc28855"/>
      <w:bookmarkStart w:id="38" w:name="_Toc20566"/>
      <w:r>
        <w:rPr>
          <w:rFonts w:hint="eastAsia" w:ascii="宋体" w:hAnsi="宋体" w:cs="宋体"/>
          <w:b/>
          <w:color w:val="auto"/>
          <w:sz w:val="24"/>
          <w:highlight w:val="none"/>
        </w:rPr>
        <w:t>1.1 合同组成部分</w:t>
      </w:r>
      <w:bookmarkEnd w:id="30"/>
      <w:bookmarkEnd w:id="31"/>
      <w:bookmarkEnd w:id="32"/>
      <w:bookmarkEnd w:id="33"/>
      <w:bookmarkEnd w:id="34"/>
      <w:bookmarkEnd w:id="35"/>
      <w:bookmarkEnd w:id="36"/>
      <w:bookmarkEnd w:id="37"/>
      <w:bookmarkEnd w:id="3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投标文件（含澄清或者说明文件）；</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pPr>
        <w:spacing w:line="400" w:lineRule="exact"/>
        <w:ind w:firstLine="482" w:firstLineChars="200"/>
        <w:outlineLvl w:val="0"/>
        <w:rPr>
          <w:rFonts w:hint="eastAsia" w:ascii="宋体" w:hAnsi="宋体" w:cs="宋体"/>
          <w:b/>
          <w:color w:val="auto"/>
          <w:sz w:val="24"/>
          <w:highlight w:val="none"/>
        </w:rPr>
      </w:pPr>
      <w:bookmarkStart w:id="39" w:name="_Toc23275"/>
      <w:bookmarkStart w:id="40" w:name="_Toc6311"/>
      <w:bookmarkStart w:id="41" w:name="_Toc2918"/>
      <w:bookmarkStart w:id="42" w:name="_Toc10537"/>
      <w:bookmarkStart w:id="43" w:name="_Toc6773"/>
      <w:bookmarkStart w:id="44" w:name="_Toc18585"/>
      <w:bookmarkStart w:id="45" w:name="_Toc22185"/>
      <w:bookmarkStart w:id="46" w:name="_Toc29108"/>
      <w:bookmarkStart w:id="47" w:name="_Toc26918"/>
      <w:bookmarkStart w:id="48" w:name="_Toc10044"/>
      <w:r>
        <w:rPr>
          <w:rFonts w:hint="eastAsia" w:ascii="宋体" w:hAnsi="宋体" w:cs="宋体"/>
          <w:b/>
          <w:color w:val="auto"/>
          <w:sz w:val="24"/>
          <w:highlight w:val="none"/>
        </w:rPr>
        <w:t>1.2 标的</w:t>
      </w:r>
      <w:bookmarkEnd w:id="39"/>
      <w:bookmarkEnd w:id="40"/>
      <w:bookmarkEnd w:id="41"/>
      <w:bookmarkEnd w:id="42"/>
      <w:bookmarkEnd w:id="43"/>
      <w:bookmarkEnd w:id="44"/>
      <w:bookmarkEnd w:id="45"/>
      <w:bookmarkEnd w:id="46"/>
      <w:bookmarkEnd w:id="47"/>
      <w:bookmarkEnd w:id="48"/>
    </w:p>
    <w:p>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标的名称：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标的数量：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outlineLvl w:val="0"/>
        <w:rPr>
          <w:rFonts w:hint="eastAsia" w:ascii="宋体" w:hAnsi="宋体" w:cs="宋体"/>
          <w:b/>
          <w:color w:val="auto"/>
          <w:sz w:val="24"/>
          <w:highlight w:val="none"/>
        </w:rPr>
      </w:pPr>
      <w:bookmarkStart w:id="49" w:name="_Toc13918"/>
      <w:bookmarkStart w:id="50" w:name="_Toc16842"/>
      <w:bookmarkStart w:id="51" w:name="_Toc27077"/>
      <w:bookmarkStart w:id="52" w:name="_Toc1757"/>
      <w:bookmarkStart w:id="53" w:name="_Toc5635"/>
      <w:bookmarkStart w:id="54" w:name="_Toc4929"/>
      <w:bookmarkStart w:id="55" w:name="_Toc17173"/>
      <w:bookmarkStart w:id="56" w:name="_Toc1386"/>
      <w:bookmarkStart w:id="57" w:name="_Toc23817"/>
      <w:bookmarkStart w:id="58" w:name="_Toc21124"/>
      <w:r>
        <w:rPr>
          <w:rFonts w:hint="eastAsia" w:ascii="宋体" w:hAnsi="宋体" w:cs="宋体"/>
          <w:b/>
          <w:color w:val="auto"/>
          <w:sz w:val="24"/>
          <w:highlight w:val="none"/>
        </w:rPr>
        <w:t>1.3 价款</w:t>
      </w:r>
      <w:bookmarkEnd w:id="49"/>
      <w:bookmarkEnd w:id="50"/>
      <w:bookmarkEnd w:id="51"/>
      <w:bookmarkEnd w:id="52"/>
      <w:bookmarkEnd w:id="53"/>
      <w:bookmarkEnd w:id="54"/>
      <w:bookmarkEnd w:id="55"/>
      <w:bookmarkEnd w:id="56"/>
      <w:bookmarkEnd w:id="57"/>
      <w:bookmarkEnd w:id="5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3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50"/>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3402" w:type="dxa"/>
            <w:vAlign w:val="center"/>
          </w:tcPr>
          <w:p>
            <w:pPr>
              <w:pStyle w:val="150"/>
              <w:spacing w:line="400" w:lineRule="exact"/>
              <w:ind w:firstLine="20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分项名称</w:t>
            </w:r>
          </w:p>
        </w:tc>
        <w:tc>
          <w:tcPr>
            <w:tcW w:w="2552" w:type="dxa"/>
            <w:vAlign w:val="center"/>
          </w:tcPr>
          <w:p>
            <w:pPr>
              <w:pStyle w:val="150"/>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3402"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2552" w:type="dxa"/>
            <w:vAlign w:val="center"/>
          </w:tcPr>
          <w:p>
            <w:pPr>
              <w:pStyle w:val="150"/>
              <w:spacing w:line="400" w:lineRule="exact"/>
              <w:ind w:firstLine="200"/>
              <w:jc w:val="center"/>
              <w:rPr>
                <w:rFonts w:hint="eastAsia"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3402"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2552" w:type="dxa"/>
            <w:vAlign w:val="center"/>
          </w:tcPr>
          <w:p>
            <w:pPr>
              <w:pStyle w:val="150"/>
              <w:spacing w:line="400" w:lineRule="exact"/>
              <w:ind w:firstLine="200"/>
              <w:jc w:val="center"/>
              <w:rPr>
                <w:rFonts w:hint="eastAsia"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3402"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2552" w:type="dxa"/>
            <w:vAlign w:val="center"/>
          </w:tcPr>
          <w:p>
            <w:pPr>
              <w:pStyle w:val="150"/>
              <w:spacing w:line="400" w:lineRule="exact"/>
              <w:ind w:firstLine="200"/>
              <w:jc w:val="center"/>
              <w:rPr>
                <w:rFonts w:hint="eastAsia"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3402" w:type="dxa"/>
            <w:vAlign w:val="center"/>
          </w:tcPr>
          <w:p>
            <w:pPr>
              <w:pStyle w:val="150"/>
              <w:spacing w:line="400" w:lineRule="exact"/>
              <w:ind w:firstLine="200"/>
              <w:jc w:val="center"/>
              <w:rPr>
                <w:rFonts w:hint="eastAsia" w:hAnsi="宋体" w:cs="宋体"/>
                <w:color w:val="auto"/>
                <w:kern w:val="2"/>
                <w:sz w:val="24"/>
                <w:szCs w:val="24"/>
                <w:highlight w:val="none"/>
              </w:rPr>
            </w:pPr>
          </w:p>
        </w:tc>
        <w:tc>
          <w:tcPr>
            <w:tcW w:w="2552" w:type="dxa"/>
            <w:vAlign w:val="center"/>
          </w:tcPr>
          <w:p>
            <w:pPr>
              <w:pStyle w:val="150"/>
              <w:spacing w:line="400" w:lineRule="exact"/>
              <w:ind w:firstLine="200"/>
              <w:jc w:val="center"/>
              <w:rPr>
                <w:rFonts w:hint="eastAsia"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50"/>
              <w:spacing w:line="400" w:lineRule="exact"/>
              <w:ind w:firstLine="20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总价</w:t>
            </w:r>
          </w:p>
        </w:tc>
        <w:tc>
          <w:tcPr>
            <w:tcW w:w="2552" w:type="dxa"/>
            <w:vAlign w:val="center"/>
          </w:tcPr>
          <w:p>
            <w:pPr>
              <w:pStyle w:val="150"/>
              <w:spacing w:line="400" w:lineRule="exact"/>
              <w:ind w:firstLine="200"/>
              <w:jc w:val="center"/>
              <w:rPr>
                <w:rFonts w:hint="eastAsia" w:hAnsi="宋体" w:cs="宋体"/>
                <w:color w:val="auto"/>
                <w:kern w:val="2"/>
                <w:sz w:val="24"/>
                <w:szCs w:val="24"/>
                <w:highlight w:val="none"/>
              </w:rPr>
            </w:pPr>
          </w:p>
        </w:tc>
      </w:tr>
    </w:tbl>
    <w:p>
      <w:pPr>
        <w:spacing w:line="400" w:lineRule="exact"/>
        <w:ind w:firstLine="482" w:firstLineChars="200"/>
        <w:outlineLvl w:val="0"/>
        <w:rPr>
          <w:rFonts w:hint="eastAsia" w:ascii="宋体" w:hAnsi="宋体" w:cs="宋体"/>
          <w:b/>
          <w:color w:val="auto"/>
          <w:sz w:val="24"/>
          <w:highlight w:val="none"/>
        </w:rPr>
      </w:pPr>
      <w:bookmarkStart w:id="59" w:name="_Toc30506"/>
      <w:bookmarkStart w:id="60" w:name="_Toc14993"/>
      <w:bookmarkStart w:id="61" w:name="_Toc30158"/>
      <w:bookmarkStart w:id="62" w:name="_Toc21702"/>
      <w:bookmarkStart w:id="63" w:name="_Toc1056"/>
      <w:bookmarkStart w:id="64" w:name="_Toc25642"/>
      <w:bookmarkStart w:id="65" w:name="_Toc26916"/>
      <w:bookmarkStart w:id="66" w:name="_Toc7832"/>
      <w:bookmarkStart w:id="67" w:name="_Toc7990"/>
      <w:bookmarkStart w:id="68" w:name="_Toc3654"/>
      <w:r>
        <w:rPr>
          <w:rFonts w:hint="eastAsia" w:ascii="宋体" w:hAnsi="宋体" w:cs="宋体"/>
          <w:b/>
          <w:color w:val="auto"/>
          <w:sz w:val="24"/>
          <w:highlight w:val="none"/>
        </w:rPr>
        <w:t>1.4 付款方式和发票开具方式</w:t>
      </w:r>
      <w:bookmarkEnd w:id="59"/>
      <w:bookmarkEnd w:id="60"/>
      <w:bookmarkEnd w:id="61"/>
      <w:bookmarkEnd w:id="62"/>
      <w:bookmarkEnd w:id="63"/>
      <w:bookmarkEnd w:id="64"/>
      <w:bookmarkEnd w:id="65"/>
      <w:bookmarkEnd w:id="66"/>
      <w:bookmarkEnd w:id="67"/>
      <w:bookmarkEnd w:id="6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outlineLvl w:val="0"/>
        <w:rPr>
          <w:rFonts w:hint="eastAsia" w:ascii="宋体" w:hAnsi="宋体" w:cs="宋体"/>
          <w:b/>
          <w:color w:val="auto"/>
          <w:sz w:val="24"/>
          <w:highlight w:val="none"/>
        </w:rPr>
      </w:pPr>
      <w:bookmarkStart w:id="69" w:name="_Toc6700"/>
      <w:bookmarkStart w:id="70" w:name="_Toc8772"/>
      <w:bookmarkStart w:id="71" w:name="_Toc3625"/>
      <w:bookmarkStart w:id="72" w:name="_Toc31421"/>
      <w:bookmarkStart w:id="73" w:name="_Toc32119"/>
      <w:bookmarkStart w:id="74" w:name="_Toc11108"/>
      <w:bookmarkStart w:id="75" w:name="_Toc17443"/>
      <w:bookmarkStart w:id="76" w:name="_Toc23112"/>
      <w:bookmarkStart w:id="77" w:name="_Toc21606"/>
      <w:bookmarkStart w:id="78" w:name="_Toc4760"/>
      <w:r>
        <w:rPr>
          <w:rFonts w:hint="eastAsia" w:ascii="宋体" w:hAnsi="宋体" w:cs="宋体"/>
          <w:b/>
          <w:color w:val="auto"/>
          <w:sz w:val="24"/>
          <w:highlight w:val="none"/>
        </w:rPr>
        <w:t>1.5 履行期限、地点和方式</w:t>
      </w:r>
      <w:bookmarkEnd w:id="69"/>
      <w:bookmarkEnd w:id="70"/>
      <w:bookmarkEnd w:id="71"/>
      <w:bookmarkEnd w:id="72"/>
      <w:bookmarkEnd w:id="73"/>
      <w:bookmarkEnd w:id="74"/>
      <w:bookmarkEnd w:id="75"/>
      <w:bookmarkEnd w:id="76"/>
      <w:bookmarkEnd w:id="77"/>
      <w:bookmarkEnd w:id="78"/>
    </w:p>
    <w:p>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履行期限：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履行地点：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履行方式：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firstLine="482" w:firstLineChars="200"/>
        <w:outlineLvl w:val="0"/>
        <w:rPr>
          <w:rFonts w:hint="eastAsia" w:ascii="宋体" w:hAnsi="宋体" w:cs="宋体"/>
          <w:color w:val="auto"/>
          <w:sz w:val="24"/>
          <w:highlight w:val="none"/>
          <w:u w:val="single"/>
        </w:rPr>
      </w:pPr>
      <w:bookmarkStart w:id="79" w:name="_Toc535"/>
      <w:bookmarkStart w:id="80" w:name="_Toc14156"/>
      <w:bookmarkStart w:id="81" w:name="_Toc3290"/>
      <w:bookmarkStart w:id="82" w:name="_Toc2375"/>
      <w:bookmarkStart w:id="83" w:name="_Toc30396"/>
      <w:bookmarkStart w:id="84" w:name="_Toc5698"/>
      <w:bookmarkStart w:id="85" w:name="_Toc8586"/>
      <w:bookmarkStart w:id="86" w:name="_Toc24662"/>
      <w:bookmarkStart w:id="87" w:name="_Toc3079"/>
      <w:bookmarkStart w:id="88" w:name="_Toc14969"/>
      <w:r>
        <w:rPr>
          <w:rFonts w:hint="eastAsia" w:ascii="宋体" w:hAnsi="宋体" w:cs="宋体"/>
          <w:b/>
          <w:color w:val="auto"/>
          <w:sz w:val="24"/>
          <w:highlight w:val="none"/>
        </w:rPr>
        <w:t>1.6 违约责任</w:t>
      </w:r>
      <w:bookmarkEnd w:id="79"/>
      <w:bookmarkEnd w:id="80"/>
      <w:bookmarkEnd w:id="81"/>
      <w:bookmarkEnd w:id="82"/>
      <w:bookmarkEnd w:id="83"/>
      <w:bookmarkEnd w:id="84"/>
      <w:bookmarkEnd w:id="85"/>
      <w:bookmarkEnd w:id="86"/>
      <w:bookmarkEnd w:id="87"/>
      <w:bookmarkEnd w:id="8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400" w:lineRule="exact"/>
        <w:ind w:firstLine="482" w:firstLineChars="200"/>
        <w:outlineLvl w:val="0"/>
        <w:rPr>
          <w:rFonts w:hint="eastAsia" w:ascii="宋体" w:hAnsi="宋体" w:cs="宋体"/>
          <w:b/>
          <w:color w:val="auto"/>
          <w:sz w:val="24"/>
          <w:highlight w:val="none"/>
        </w:rPr>
      </w:pPr>
      <w:bookmarkStart w:id="89" w:name="_Toc26807"/>
      <w:bookmarkStart w:id="90" w:name="_Toc4563"/>
      <w:bookmarkStart w:id="91" w:name="_Toc32454"/>
      <w:bookmarkStart w:id="92" w:name="_Toc19773"/>
      <w:bookmarkStart w:id="93" w:name="_Toc17968"/>
      <w:bookmarkStart w:id="94" w:name="_Toc9497"/>
      <w:bookmarkStart w:id="95" w:name="_Toc18683"/>
      <w:bookmarkStart w:id="96" w:name="_Toc30329"/>
      <w:bookmarkStart w:id="97" w:name="_Toc25368"/>
      <w:bookmarkStart w:id="98" w:name="_Toc29832"/>
      <w:r>
        <w:rPr>
          <w:rFonts w:hint="eastAsia" w:ascii="宋体" w:hAnsi="宋体" w:cs="宋体"/>
          <w:b/>
          <w:color w:val="auto"/>
          <w:sz w:val="24"/>
          <w:highlight w:val="none"/>
        </w:rPr>
        <w:t>1.7 合同争议的解决</w:t>
      </w:r>
      <w:bookmarkEnd w:id="89"/>
      <w:bookmarkEnd w:id="90"/>
      <w:bookmarkEnd w:id="91"/>
      <w:bookmarkEnd w:id="92"/>
      <w:bookmarkEnd w:id="93"/>
      <w:bookmarkEnd w:id="94"/>
      <w:bookmarkEnd w:id="95"/>
      <w:bookmarkEnd w:id="96"/>
      <w:bookmarkEnd w:id="97"/>
      <w:bookmarkEnd w:id="9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highlight w:val="none"/>
        </w:rPr>
        <w:t>人民法院起诉。</w:t>
      </w:r>
    </w:p>
    <w:p>
      <w:pPr>
        <w:spacing w:line="400" w:lineRule="exact"/>
        <w:ind w:firstLine="482" w:firstLineChars="200"/>
        <w:outlineLvl w:val="0"/>
        <w:rPr>
          <w:rFonts w:hint="eastAsia" w:ascii="宋体" w:hAnsi="宋体" w:cs="宋体"/>
          <w:b/>
          <w:color w:val="auto"/>
          <w:sz w:val="24"/>
          <w:highlight w:val="none"/>
        </w:rPr>
      </w:pPr>
      <w:bookmarkStart w:id="99" w:name="_Toc18657"/>
      <w:bookmarkStart w:id="100" w:name="_Toc16417"/>
      <w:bookmarkStart w:id="101" w:name="_Toc23784"/>
      <w:bookmarkStart w:id="102" w:name="_Toc1048"/>
      <w:bookmarkStart w:id="103" w:name="_Toc31535"/>
      <w:bookmarkStart w:id="104" w:name="_Toc26227"/>
      <w:bookmarkStart w:id="105" w:name="_Toc31258"/>
      <w:bookmarkStart w:id="106" w:name="_Toc15827"/>
      <w:bookmarkStart w:id="107" w:name="_Toc9752"/>
      <w:bookmarkStart w:id="108" w:name="_Toc12273"/>
      <w:r>
        <w:rPr>
          <w:rFonts w:hint="eastAsia" w:ascii="宋体" w:hAnsi="宋体" w:cs="宋体"/>
          <w:b/>
          <w:color w:val="auto"/>
          <w:sz w:val="24"/>
          <w:highlight w:val="none"/>
        </w:rPr>
        <w:t>1.8 合同生效</w:t>
      </w:r>
      <w:bookmarkEnd w:id="99"/>
      <w:bookmarkEnd w:id="100"/>
      <w:bookmarkEnd w:id="101"/>
      <w:bookmarkEnd w:id="102"/>
      <w:bookmarkEnd w:id="103"/>
      <w:bookmarkEnd w:id="104"/>
      <w:bookmarkEnd w:id="105"/>
      <w:bookmarkEnd w:id="106"/>
      <w:bookmarkEnd w:id="107"/>
      <w:bookmarkEnd w:id="108"/>
    </w:p>
    <w:p>
      <w:pPr>
        <w:spacing w:line="4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pPr>
        <w:autoSpaceDE w:val="0"/>
        <w:autoSpaceDN w:val="0"/>
        <w:adjustRightInd w:val="0"/>
        <w:spacing w:line="400" w:lineRule="exact"/>
        <w:rPr>
          <w:rFonts w:hint="eastAsia" w:ascii="宋体" w:hAnsi="宋体" w:cs="宋体"/>
          <w:color w:val="auto"/>
          <w:sz w:val="24"/>
          <w:highlight w:val="none"/>
          <w:lang w:val="zh-CN"/>
        </w:rPr>
      </w:pP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住所：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住所：</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w:t>
      </w:r>
      <w:r>
        <w:rPr>
          <w:rFonts w:hint="eastAsia" w:ascii="宋体" w:hAnsi="宋体" w:cs="宋体"/>
          <w:color w:val="auto"/>
          <w:sz w:val="24"/>
          <w:highlight w:val="none"/>
        </w:rPr>
        <w:t>或盖章</w:t>
      </w:r>
      <w:r>
        <w:rPr>
          <w:rFonts w:hint="eastAsia" w:ascii="宋体" w:hAnsi="宋体" w:cs="宋体"/>
          <w:color w:val="auto"/>
          <w:sz w:val="24"/>
          <w:highlight w:val="none"/>
          <w:lang w:val="zh-CN"/>
        </w:rPr>
        <w:t>）：      法定代表人或授权代表（签字</w:t>
      </w:r>
      <w:r>
        <w:rPr>
          <w:rFonts w:hint="eastAsia" w:ascii="宋体" w:hAnsi="宋体" w:cs="宋体"/>
          <w:color w:val="auto"/>
          <w:sz w:val="24"/>
          <w:highlight w:val="none"/>
        </w:rPr>
        <w:t>或盖章</w:t>
      </w:r>
      <w:r>
        <w:rPr>
          <w:rFonts w:hint="eastAsia" w:ascii="宋体" w:hAnsi="宋体" w:cs="宋体"/>
          <w:color w:val="auto"/>
          <w:sz w:val="24"/>
          <w:highlight w:val="none"/>
          <w:lang w:val="zh-CN"/>
        </w:rPr>
        <w:t>）:</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联系人：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联系人：</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约定送达地址：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约定送达地址：</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邮政编码：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邮政编码：</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电话: </w:t>
      </w:r>
    </w:p>
    <w:p>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传真: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传真:</w:t>
      </w:r>
    </w:p>
    <w:p>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 xml:space="preserve">电子邮箱：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电子邮箱：</w:t>
      </w:r>
    </w:p>
    <w:p>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 xml:space="preserve"> 开户账号：</w:t>
      </w:r>
    </w:p>
    <w:p>
      <w:pPr>
        <w:widowControl/>
        <w:spacing w:line="400" w:lineRule="exact"/>
        <w:jc w:val="left"/>
        <w:rPr>
          <w:rFonts w:hint="eastAsia" w:ascii="宋体" w:hAnsi="宋体" w:cs="宋体"/>
          <w:b/>
          <w:color w:val="auto"/>
          <w:highlight w:val="none"/>
        </w:rPr>
      </w:pPr>
      <w:bookmarkStart w:id="109" w:name="_Toc331685783"/>
    </w:p>
    <w:p>
      <w:pPr>
        <w:widowControl/>
        <w:spacing w:line="400" w:lineRule="exact"/>
        <w:jc w:val="left"/>
        <w:rPr>
          <w:rFonts w:hint="eastAsia" w:ascii="宋体" w:hAnsi="宋体" w:cs="宋体"/>
          <w:b/>
          <w:color w:val="auto"/>
          <w:highlight w:val="none"/>
        </w:rPr>
      </w:pPr>
    </w:p>
    <w:p>
      <w:pPr>
        <w:widowControl/>
        <w:spacing w:line="400" w:lineRule="exact"/>
        <w:jc w:val="left"/>
        <w:rPr>
          <w:rFonts w:hint="eastAsia" w:ascii="宋体" w:hAnsi="宋体" w:cs="宋体"/>
          <w:b/>
          <w:color w:val="auto"/>
          <w:kern w:val="0"/>
          <w:sz w:val="24"/>
          <w:highlight w:val="none"/>
        </w:rPr>
      </w:pPr>
    </w:p>
    <w:p>
      <w:pPr>
        <w:widowControl/>
        <w:spacing w:line="400" w:lineRule="exact"/>
        <w:jc w:val="left"/>
        <w:rPr>
          <w:rFonts w:hint="eastAsia" w:ascii="宋体" w:hAnsi="宋体" w:cs="宋体"/>
          <w:b/>
          <w:color w:val="auto"/>
          <w:kern w:val="0"/>
          <w:sz w:val="24"/>
          <w:highlight w:val="none"/>
        </w:rPr>
      </w:pPr>
    </w:p>
    <w:p>
      <w:pPr>
        <w:widowControl/>
        <w:spacing w:line="400" w:lineRule="exact"/>
        <w:jc w:val="left"/>
        <w:rPr>
          <w:rFonts w:hint="eastAsia" w:ascii="宋体" w:hAnsi="宋体" w:cs="宋体"/>
          <w:b/>
          <w:color w:val="auto"/>
          <w:kern w:val="0"/>
          <w:sz w:val="24"/>
          <w:highlight w:val="none"/>
        </w:rPr>
      </w:pPr>
    </w:p>
    <w:p>
      <w:pPr>
        <w:widowControl/>
        <w:spacing w:line="400" w:lineRule="exact"/>
        <w:jc w:val="left"/>
        <w:rPr>
          <w:rFonts w:hint="eastAsia" w:ascii="宋体" w:hAnsi="宋体" w:cs="宋体"/>
          <w:b/>
          <w:color w:val="auto"/>
          <w:kern w:val="0"/>
          <w:sz w:val="24"/>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422"/>
        <w:jc w:val="center"/>
        <w:rPr>
          <w:rFonts w:hint="eastAsia" w:cs="宋体"/>
          <w:b/>
          <w:color w:val="auto"/>
          <w:highlight w:val="none"/>
        </w:rPr>
      </w:pPr>
    </w:p>
    <w:p>
      <w:pPr>
        <w:pStyle w:val="140"/>
        <w:spacing w:line="400" w:lineRule="exact"/>
        <w:ind w:firstLine="0" w:firstLineChars="0"/>
        <w:rPr>
          <w:rFonts w:hint="eastAsia" w:cs="宋体"/>
          <w:b/>
          <w:color w:val="auto"/>
          <w:highlight w:val="none"/>
        </w:rPr>
      </w:pPr>
    </w:p>
    <w:p>
      <w:pPr>
        <w:pStyle w:val="140"/>
        <w:spacing w:line="400" w:lineRule="exact"/>
        <w:ind w:firstLine="0" w:firstLineChars="0"/>
        <w:rPr>
          <w:rFonts w:hint="eastAsia" w:cs="宋体"/>
          <w:b/>
          <w:color w:val="auto"/>
          <w:highlight w:val="none"/>
        </w:rPr>
      </w:pPr>
    </w:p>
    <w:p>
      <w:pPr>
        <w:pStyle w:val="140"/>
        <w:spacing w:line="400" w:lineRule="exact"/>
        <w:ind w:firstLine="0" w:firstLineChars="0"/>
        <w:rPr>
          <w:rFonts w:hint="eastAsia" w:cs="宋体"/>
          <w:b/>
          <w:color w:val="auto"/>
          <w:highlight w:val="none"/>
        </w:rPr>
      </w:pPr>
    </w:p>
    <w:p>
      <w:pPr>
        <w:pStyle w:val="140"/>
        <w:spacing w:line="400" w:lineRule="exact"/>
        <w:ind w:firstLine="0" w:firstLineChars="0"/>
        <w:rPr>
          <w:rFonts w:hint="eastAsia" w:cs="宋体"/>
          <w:b/>
          <w:color w:val="auto"/>
          <w:highlight w:val="none"/>
        </w:rPr>
      </w:pPr>
    </w:p>
    <w:p>
      <w:pPr>
        <w:pStyle w:val="140"/>
        <w:spacing w:line="400" w:lineRule="exact"/>
        <w:ind w:firstLine="0" w:firstLineChars="0"/>
        <w:rPr>
          <w:rFonts w:hint="eastAsia" w:cs="宋体"/>
          <w:b/>
          <w:color w:val="auto"/>
          <w:highlight w:val="none"/>
        </w:rPr>
      </w:pPr>
    </w:p>
    <w:p>
      <w:pPr>
        <w:pStyle w:val="140"/>
        <w:spacing w:line="400" w:lineRule="exact"/>
        <w:ind w:firstLine="422"/>
        <w:jc w:val="center"/>
        <w:rPr>
          <w:rFonts w:hint="eastAsia" w:cs="宋体"/>
          <w:b/>
          <w:color w:val="auto"/>
          <w:highlight w:val="none"/>
        </w:rPr>
      </w:pPr>
      <w:r>
        <w:rPr>
          <w:rFonts w:hint="eastAsia" w:cs="宋体"/>
          <w:b/>
          <w:color w:val="auto"/>
          <w:highlight w:val="none"/>
        </w:rPr>
        <w:t>第二部分 合同一般条款</w:t>
      </w:r>
      <w:bookmarkEnd w:id="109"/>
    </w:p>
    <w:p>
      <w:pPr>
        <w:spacing w:line="400" w:lineRule="exact"/>
        <w:ind w:firstLine="482" w:firstLineChars="200"/>
        <w:outlineLvl w:val="0"/>
        <w:rPr>
          <w:rFonts w:hint="eastAsia" w:ascii="宋体" w:hAnsi="宋体" w:cs="宋体"/>
          <w:b/>
          <w:color w:val="auto"/>
          <w:sz w:val="24"/>
          <w:highlight w:val="none"/>
        </w:rPr>
      </w:pPr>
      <w:bookmarkStart w:id="110" w:name="_Ref467379195"/>
      <w:bookmarkStart w:id="111" w:name="_Toc30494"/>
      <w:bookmarkStart w:id="112" w:name="_Ref467378499"/>
      <w:bookmarkStart w:id="113" w:name="_Ref467379225"/>
      <w:bookmarkStart w:id="114" w:name="_Toc19680"/>
      <w:bookmarkStart w:id="115" w:name="_Toc279701240"/>
      <w:bookmarkStart w:id="116" w:name="_Ref467379101"/>
      <w:bookmarkStart w:id="117" w:name="_Toc31297"/>
      <w:bookmarkStart w:id="118" w:name="_Toc13273"/>
      <w:bookmarkStart w:id="119" w:name="_Ref467379205"/>
      <w:bookmarkStart w:id="120" w:name="_Toc487900349"/>
      <w:bookmarkStart w:id="121" w:name="_Ref467378404"/>
      <w:bookmarkStart w:id="122" w:name="_Toc14021"/>
      <w:bookmarkStart w:id="123" w:name="_Toc17704"/>
      <w:bookmarkStart w:id="124" w:name="_Ref467379094"/>
      <w:bookmarkStart w:id="125" w:name="_Toc259093669"/>
      <w:bookmarkStart w:id="126" w:name="_Toc25079"/>
      <w:bookmarkStart w:id="127" w:name="_Ref467379109"/>
      <w:bookmarkStart w:id="128" w:name="_Ref467379214"/>
      <w:bookmarkStart w:id="129" w:name="_Toc32039"/>
      <w:bookmarkStart w:id="130" w:name="_Toc5228"/>
      <w:bookmarkStart w:id="131" w:name="_Ref467378463"/>
      <w:bookmarkStart w:id="132" w:name="_Toc25218"/>
      <w:r>
        <w:rPr>
          <w:rFonts w:hint="eastAsia" w:ascii="宋体" w:hAnsi="宋体" w:cs="宋体"/>
          <w:b/>
          <w:color w:val="auto"/>
          <w:sz w:val="24"/>
          <w:highlight w:val="none"/>
        </w:rPr>
        <w:t>2.1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“服务”系指中标供应商根据合同约定应向采购人履行的除服务和工程以外的其他政府采购对象，包括采购人自身需要的服务和向社会公众提供的公共服务。</w:t>
      </w:r>
    </w:p>
    <w:p>
      <w:pPr>
        <w:spacing w:line="400" w:lineRule="exact"/>
        <w:ind w:firstLine="480" w:firstLineChars="200"/>
        <w:rPr>
          <w:rFonts w:hint="eastAsia" w:ascii="宋体" w:hAnsi="宋体" w:cs="宋体"/>
          <w:color w:val="auto"/>
          <w:sz w:val="24"/>
          <w:highlight w:val="none"/>
        </w:rPr>
      </w:pPr>
      <w:bookmarkStart w:id="133" w:name="_Ref467378840"/>
      <w:r>
        <w:rPr>
          <w:rFonts w:hint="eastAsia" w:ascii="宋体" w:hAnsi="宋体" w:cs="宋体"/>
          <w:color w:val="auto"/>
          <w:sz w:val="24"/>
          <w:highlight w:val="none"/>
        </w:rPr>
        <w:t>2.1.4 “甲方”系指与中标供应商签署合同的采购人</w:t>
      </w:r>
      <w:bookmarkEnd w:id="133"/>
      <w:r>
        <w:rPr>
          <w:rFonts w:hint="eastAsia" w:ascii="宋体" w:hAnsi="宋体" w:cs="宋体"/>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宋体" w:hAnsi="宋体" w:cs="宋体"/>
          <w:color w:val="auto"/>
          <w:sz w:val="24"/>
          <w:highlight w:val="none"/>
        </w:rPr>
      </w:pPr>
      <w:bookmarkStart w:id="134" w:name="_Ref467379400"/>
      <w:r>
        <w:rPr>
          <w:rFonts w:hint="eastAsia" w:ascii="宋体" w:hAnsi="宋体" w:cs="宋体"/>
          <w:color w:val="auto"/>
          <w:sz w:val="24"/>
          <w:highlight w:val="none"/>
        </w:rPr>
        <w:t>2.1.5 “乙方”系指根据合同约定提供服务的中标供应商</w:t>
      </w:r>
      <w:bookmarkEnd w:id="134"/>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cs="宋体"/>
          <w:color w:val="auto"/>
          <w:sz w:val="24"/>
          <w:highlight w:val="none"/>
        </w:rPr>
      </w:pPr>
      <w:bookmarkStart w:id="135" w:name="_Ref467379436"/>
      <w:r>
        <w:rPr>
          <w:rFonts w:hint="eastAsia" w:ascii="宋体" w:hAnsi="宋体" w:cs="宋体"/>
          <w:color w:val="auto"/>
          <w:sz w:val="24"/>
          <w:highlight w:val="none"/>
        </w:rPr>
        <w:t>2.1.6 “现场”系指合同约定提供服务的地点。</w:t>
      </w:r>
      <w:bookmarkEnd w:id="135"/>
    </w:p>
    <w:p>
      <w:pPr>
        <w:spacing w:line="400" w:lineRule="exact"/>
        <w:ind w:firstLine="482" w:firstLineChars="200"/>
        <w:outlineLvl w:val="0"/>
        <w:rPr>
          <w:rFonts w:hint="eastAsia" w:ascii="宋体" w:hAnsi="宋体" w:cs="宋体"/>
          <w:b/>
          <w:color w:val="auto"/>
          <w:sz w:val="24"/>
          <w:highlight w:val="none"/>
        </w:rPr>
      </w:pPr>
      <w:bookmarkStart w:id="136" w:name="_Toc12355"/>
      <w:bookmarkStart w:id="137" w:name="_Toc259093670"/>
      <w:bookmarkStart w:id="138" w:name="_Toc16752"/>
      <w:bookmarkStart w:id="139" w:name="_Toc3769"/>
      <w:bookmarkStart w:id="140" w:name="_Toc279701241"/>
      <w:bookmarkStart w:id="141" w:name="_Toc1041"/>
      <w:bookmarkStart w:id="142" w:name="_Toc10249"/>
      <w:bookmarkStart w:id="143" w:name="_Toc23289"/>
      <w:bookmarkStart w:id="144" w:name="_Toc487900350"/>
      <w:bookmarkStart w:id="145" w:name="_Toc27574"/>
      <w:bookmarkStart w:id="146" w:name="_Toc31402"/>
      <w:bookmarkStart w:id="147" w:name="_Toc15419"/>
      <w:r>
        <w:rPr>
          <w:rFonts w:hint="eastAsia" w:ascii="宋体" w:hAnsi="宋体" w:cs="宋体"/>
          <w:b/>
          <w:color w:val="auto"/>
          <w:sz w:val="24"/>
          <w:highlight w:val="none"/>
        </w:rPr>
        <w:t>2.2 技术规范</w:t>
      </w:r>
      <w:bookmarkEnd w:id="136"/>
      <w:bookmarkEnd w:id="137"/>
      <w:bookmarkEnd w:id="138"/>
      <w:bookmarkEnd w:id="139"/>
      <w:bookmarkEnd w:id="140"/>
      <w:bookmarkEnd w:id="141"/>
      <w:bookmarkEnd w:id="142"/>
      <w:bookmarkEnd w:id="143"/>
      <w:bookmarkEnd w:id="144"/>
      <w:bookmarkEnd w:id="145"/>
      <w:bookmarkEnd w:id="146"/>
      <w:bookmarkEnd w:id="147"/>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cs="宋体"/>
          <w:b/>
          <w:color w:val="auto"/>
          <w:sz w:val="24"/>
          <w:highlight w:val="none"/>
        </w:rPr>
      </w:pPr>
      <w:bookmarkStart w:id="148" w:name="_Toc2325"/>
      <w:bookmarkStart w:id="149" w:name="_Toc279701242"/>
      <w:bookmarkStart w:id="150" w:name="_Toc1059"/>
      <w:bookmarkStart w:id="151" w:name="_Toc13673"/>
      <w:bookmarkStart w:id="152" w:name="_Toc259093671"/>
      <w:bookmarkStart w:id="153" w:name="_Toc27945"/>
      <w:bookmarkStart w:id="154" w:name="_Toc487900351"/>
      <w:bookmarkStart w:id="155" w:name="_Toc6511"/>
      <w:bookmarkStart w:id="156" w:name="_Toc9161"/>
      <w:bookmarkStart w:id="157" w:name="_Toc15870"/>
      <w:bookmarkStart w:id="158" w:name="_Toc4133"/>
      <w:bookmarkStart w:id="159" w:name="_Toc18514"/>
      <w:bookmarkStart w:id="160" w:name="_Toc12412"/>
      <w:r>
        <w:rPr>
          <w:rFonts w:hint="eastAsia" w:ascii="宋体" w:hAnsi="宋体" w:cs="宋体"/>
          <w:b/>
          <w:color w:val="auto"/>
          <w:sz w:val="24"/>
          <w:highlight w:val="none"/>
        </w:rPr>
        <w:t>2.3 知识产权</w:t>
      </w:r>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 履约检查和问题反馈</w:t>
      </w:r>
    </w:p>
    <w:p>
      <w:pPr>
        <w:spacing w:line="400" w:lineRule="exact"/>
        <w:ind w:firstLine="480" w:firstLineChars="200"/>
        <w:rPr>
          <w:rFonts w:hint="eastAsia" w:ascii="宋体" w:hAnsi="宋体" w:cs="宋体"/>
          <w:color w:val="auto"/>
          <w:sz w:val="24"/>
          <w:highlight w:val="none"/>
        </w:rPr>
      </w:pPr>
      <w:bookmarkStart w:id="161" w:name="_Ref467379657"/>
      <w:r>
        <w:rPr>
          <w:rFonts w:hint="eastAsia" w:ascii="宋体" w:hAnsi="宋体" w:cs="宋体"/>
          <w:color w:val="auto"/>
          <w:sz w:val="24"/>
          <w:highlight w:val="none"/>
        </w:rPr>
        <w:t>2.4.1</w:t>
      </w:r>
      <w:bookmarkEnd w:id="161"/>
      <w:bookmarkStart w:id="162" w:name="_Toc186431854"/>
      <w:bookmarkStart w:id="163" w:name="_Ref467379793"/>
      <w:bookmarkStart w:id="164" w:name="_Toc259093676"/>
      <w:bookmarkStart w:id="165" w:name="_Ref467379807"/>
      <w:bookmarkStart w:id="166" w:name="_Toc487900357"/>
      <w:bookmarkStart w:id="167" w:name="_Toc279701247"/>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162"/>
      <w:bookmarkStart w:id="168" w:name="_Toc186431855"/>
      <w:r>
        <w:rPr>
          <w:rFonts w:hint="eastAsia" w:ascii="宋体" w:hAnsi="宋体" w:cs="宋体"/>
          <w:color w:val="auto"/>
          <w:sz w:val="24"/>
          <w:highlight w:val="none"/>
        </w:rPr>
        <w:t>。</w:t>
      </w:r>
    </w:p>
    <w:bookmarkEnd w:id="168"/>
    <w:p>
      <w:pPr>
        <w:spacing w:line="400" w:lineRule="exact"/>
        <w:ind w:firstLine="482" w:firstLineChars="200"/>
        <w:outlineLvl w:val="0"/>
        <w:rPr>
          <w:rFonts w:hint="eastAsia" w:ascii="宋体" w:hAnsi="宋体" w:cs="宋体"/>
          <w:b/>
          <w:color w:val="auto"/>
          <w:sz w:val="24"/>
          <w:highlight w:val="none"/>
        </w:rPr>
      </w:pPr>
      <w:bookmarkStart w:id="169" w:name="_Toc31233"/>
      <w:bookmarkStart w:id="170" w:name="_Toc26555"/>
      <w:bookmarkStart w:id="171" w:name="_Toc12263"/>
      <w:bookmarkStart w:id="172" w:name="_Toc15447"/>
      <w:bookmarkStart w:id="173" w:name="_Toc22011"/>
      <w:bookmarkStart w:id="174" w:name="_Toc28915"/>
      <w:bookmarkStart w:id="175" w:name="_Toc17728"/>
      <w:bookmarkStart w:id="176" w:name="_Toc15567"/>
      <w:bookmarkStart w:id="177" w:name="_Toc26963"/>
      <w:r>
        <w:rPr>
          <w:rFonts w:hint="eastAsia" w:ascii="宋体" w:hAnsi="宋体" w:cs="宋体"/>
          <w:b/>
          <w:color w:val="auto"/>
          <w:sz w:val="24"/>
          <w:highlight w:val="none"/>
        </w:rPr>
        <w:t>2.5 结算方式和付款条件</w:t>
      </w:r>
      <w:bookmarkEnd w:id="163"/>
      <w:bookmarkEnd w:id="164"/>
      <w:bookmarkEnd w:id="165"/>
      <w:bookmarkEnd w:id="166"/>
      <w:bookmarkEnd w:id="167"/>
      <w:bookmarkEnd w:id="169"/>
      <w:bookmarkEnd w:id="170"/>
      <w:bookmarkEnd w:id="171"/>
      <w:bookmarkEnd w:id="172"/>
      <w:bookmarkEnd w:id="173"/>
      <w:bookmarkEnd w:id="174"/>
      <w:bookmarkEnd w:id="175"/>
      <w:bookmarkEnd w:id="176"/>
      <w:bookmarkEnd w:id="177"/>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400" w:lineRule="exact"/>
        <w:ind w:firstLine="482" w:firstLineChars="200"/>
        <w:outlineLvl w:val="0"/>
        <w:rPr>
          <w:rFonts w:hint="eastAsia" w:ascii="宋体" w:hAnsi="宋体" w:cs="宋体"/>
          <w:b/>
          <w:color w:val="auto"/>
          <w:sz w:val="24"/>
          <w:highlight w:val="none"/>
        </w:rPr>
      </w:pPr>
      <w:bookmarkStart w:id="178" w:name="_Ref467379863"/>
      <w:bookmarkStart w:id="179" w:name="_Ref467379852"/>
      <w:bookmarkStart w:id="180" w:name="_Ref467379923"/>
      <w:bookmarkStart w:id="181" w:name="_Toc487900358"/>
      <w:bookmarkStart w:id="182" w:name="_Toc279701248"/>
      <w:bookmarkStart w:id="183" w:name="_Toc259093677"/>
      <w:bookmarkStart w:id="184" w:name="_Toc23122"/>
      <w:bookmarkStart w:id="185" w:name="_Toc18990"/>
      <w:bookmarkStart w:id="186" w:name="_Toc9622"/>
      <w:bookmarkStart w:id="187" w:name="_Toc13006"/>
      <w:bookmarkStart w:id="188" w:name="_Toc13467"/>
      <w:bookmarkStart w:id="189" w:name="_Toc30507"/>
      <w:bookmarkStart w:id="190" w:name="_Toc4467"/>
      <w:bookmarkStart w:id="191" w:name="_Toc31196"/>
      <w:bookmarkStart w:id="192" w:name="_Toc13154"/>
      <w:bookmarkStart w:id="193" w:name="_Toc16163"/>
      <w:r>
        <w:rPr>
          <w:rFonts w:hint="eastAsia" w:ascii="宋体" w:hAnsi="宋体" w:cs="宋体"/>
          <w:b/>
          <w:color w:val="auto"/>
          <w:sz w:val="24"/>
          <w:highlight w:val="none"/>
        </w:rPr>
        <w:t>2.6 技术资料</w:t>
      </w:r>
      <w:bookmarkEnd w:id="178"/>
      <w:bookmarkEnd w:id="179"/>
      <w:bookmarkEnd w:id="180"/>
      <w:bookmarkEnd w:id="181"/>
      <w:bookmarkEnd w:id="182"/>
      <w:bookmarkEnd w:id="183"/>
      <w:r>
        <w:rPr>
          <w:rFonts w:hint="eastAsia" w:ascii="宋体" w:hAnsi="宋体" w:cs="宋体"/>
          <w:b/>
          <w:color w:val="auto"/>
          <w:sz w:val="24"/>
          <w:highlight w:val="none"/>
        </w:rPr>
        <w:t>和保密义务</w:t>
      </w:r>
      <w:bookmarkEnd w:id="184"/>
      <w:bookmarkEnd w:id="185"/>
      <w:bookmarkEnd w:id="186"/>
      <w:bookmarkEnd w:id="187"/>
      <w:bookmarkEnd w:id="188"/>
      <w:bookmarkEnd w:id="189"/>
      <w:bookmarkEnd w:id="190"/>
      <w:bookmarkEnd w:id="191"/>
      <w:bookmarkEnd w:id="192"/>
      <w:bookmarkEnd w:id="193"/>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cs="宋体"/>
          <w:b/>
          <w:color w:val="auto"/>
          <w:sz w:val="24"/>
          <w:highlight w:val="none"/>
        </w:rPr>
      </w:pPr>
      <w:bookmarkStart w:id="194" w:name="_Toc24552"/>
      <w:bookmarkStart w:id="195" w:name="_Toc19069"/>
      <w:bookmarkStart w:id="196" w:name="_Toc25515"/>
      <w:bookmarkStart w:id="197" w:name="_Toc4786"/>
      <w:bookmarkStart w:id="198" w:name="_Toc16162"/>
      <w:bookmarkStart w:id="199" w:name="_Toc279701252"/>
      <w:bookmarkStart w:id="200" w:name="_Toc259093681"/>
      <w:bookmarkStart w:id="201" w:name="_Toc487900362"/>
      <w:r>
        <w:rPr>
          <w:rFonts w:hint="eastAsia" w:ascii="宋体" w:hAnsi="宋体" w:cs="宋体"/>
          <w:b/>
          <w:color w:val="auto"/>
          <w:sz w:val="24"/>
          <w:highlight w:val="none"/>
        </w:rPr>
        <w:t>2.7 质量保证</w:t>
      </w:r>
      <w:bookmarkEnd w:id="194"/>
      <w:bookmarkEnd w:id="195"/>
      <w:bookmarkEnd w:id="196"/>
      <w:bookmarkEnd w:id="197"/>
      <w:bookmarkEnd w:id="198"/>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cs="宋体"/>
          <w:b/>
          <w:color w:val="auto"/>
          <w:sz w:val="24"/>
          <w:highlight w:val="none"/>
        </w:rPr>
      </w:pPr>
      <w:bookmarkStart w:id="202" w:name="_Toc14489"/>
      <w:bookmarkStart w:id="203" w:name="_Toc22267"/>
      <w:bookmarkStart w:id="204" w:name="_Toc22198"/>
      <w:bookmarkStart w:id="205" w:name="_Toc29292"/>
      <w:bookmarkStart w:id="206" w:name="_Toc17104"/>
      <w:bookmarkStart w:id="207" w:name="_Toc2207"/>
      <w:r>
        <w:rPr>
          <w:rFonts w:hint="eastAsia" w:ascii="宋体" w:hAnsi="宋体" w:cs="宋体"/>
          <w:b/>
          <w:color w:val="auto"/>
          <w:sz w:val="24"/>
          <w:highlight w:val="none"/>
        </w:rPr>
        <w:t>2.8 延迟</w:t>
      </w:r>
      <w:bookmarkEnd w:id="199"/>
      <w:bookmarkEnd w:id="200"/>
      <w:bookmarkEnd w:id="201"/>
      <w:r>
        <w:rPr>
          <w:rFonts w:hint="eastAsia" w:ascii="宋体" w:hAnsi="宋体" w:cs="宋体"/>
          <w:b/>
          <w:color w:val="auto"/>
          <w:sz w:val="24"/>
          <w:highlight w:val="none"/>
        </w:rPr>
        <w:t>履行</w:t>
      </w:r>
      <w:bookmarkEnd w:id="202"/>
      <w:bookmarkEnd w:id="203"/>
      <w:bookmarkEnd w:id="204"/>
      <w:bookmarkEnd w:id="205"/>
      <w:bookmarkEnd w:id="206"/>
      <w:bookmarkEnd w:id="207"/>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cs="宋体"/>
          <w:b/>
          <w:color w:val="auto"/>
          <w:sz w:val="24"/>
          <w:highlight w:val="none"/>
        </w:rPr>
      </w:pPr>
      <w:bookmarkStart w:id="208" w:name="_Toc18013"/>
      <w:bookmarkStart w:id="209" w:name="_Toc13769"/>
      <w:bookmarkStart w:id="210" w:name="_Toc10611"/>
      <w:bookmarkStart w:id="211" w:name="_Toc5771"/>
      <w:bookmarkStart w:id="212" w:name="_Toc5216"/>
      <w:bookmarkStart w:id="213" w:name="_Toc19002"/>
      <w:bookmarkStart w:id="214" w:name="_Ref467378121"/>
      <w:bookmarkStart w:id="215" w:name="_Toc259093683"/>
      <w:bookmarkStart w:id="216" w:name="_Toc279701254"/>
      <w:bookmarkStart w:id="217" w:name="_Toc487900364"/>
      <w:r>
        <w:rPr>
          <w:rFonts w:hint="eastAsia" w:ascii="宋体" w:hAnsi="宋体" w:cs="宋体"/>
          <w:b/>
          <w:color w:val="auto"/>
          <w:sz w:val="24"/>
          <w:highlight w:val="none"/>
        </w:rPr>
        <w:t>2.9 合同变更</w:t>
      </w:r>
      <w:bookmarkEnd w:id="208"/>
      <w:bookmarkEnd w:id="209"/>
      <w:bookmarkEnd w:id="210"/>
      <w:bookmarkEnd w:id="211"/>
      <w:bookmarkEnd w:id="212"/>
      <w:bookmarkEnd w:id="213"/>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18" w:name="_Toc487900369"/>
      <w:bookmarkStart w:id="219" w:name="_Toc259093688"/>
      <w:bookmarkStart w:id="220" w:name="_Toc279701259"/>
    </w:p>
    <w:p>
      <w:pPr>
        <w:spacing w:line="400" w:lineRule="exact"/>
        <w:ind w:firstLine="482" w:firstLineChars="200"/>
        <w:outlineLvl w:val="0"/>
        <w:rPr>
          <w:rFonts w:hint="eastAsia" w:ascii="宋体" w:hAnsi="宋体" w:cs="宋体"/>
          <w:b/>
          <w:color w:val="auto"/>
          <w:sz w:val="24"/>
          <w:highlight w:val="none"/>
        </w:rPr>
      </w:pPr>
      <w:bookmarkStart w:id="221" w:name="_Toc6424"/>
      <w:bookmarkStart w:id="222" w:name="_Toc26689"/>
      <w:bookmarkStart w:id="223" w:name="_Toc21830"/>
      <w:bookmarkStart w:id="224" w:name="_Toc10663"/>
      <w:bookmarkStart w:id="225" w:name="_Toc42"/>
      <w:bookmarkStart w:id="226" w:name="_Toc32267"/>
      <w:bookmarkStart w:id="227" w:name="_Toc5582"/>
      <w:bookmarkStart w:id="228" w:name="_Toc22685"/>
      <w:bookmarkStart w:id="229" w:name="_Toc26427"/>
      <w:bookmarkStart w:id="230" w:name="_Toc23368"/>
      <w:r>
        <w:rPr>
          <w:rFonts w:hint="eastAsia" w:ascii="宋体" w:hAnsi="宋体" w:cs="宋体"/>
          <w:b/>
          <w:color w:val="auto"/>
          <w:sz w:val="24"/>
          <w:highlight w:val="none"/>
        </w:rPr>
        <w:t>2.10 合同转让</w:t>
      </w:r>
      <w:bookmarkEnd w:id="218"/>
      <w:bookmarkEnd w:id="219"/>
      <w:bookmarkEnd w:id="220"/>
      <w:r>
        <w:rPr>
          <w:rFonts w:hint="eastAsia" w:ascii="宋体" w:hAnsi="宋体" w:cs="宋体"/>
          <w:b/>
          <w:color w:val="auto"/>
          <w:sz w:val="24"/>
          <w:highlight w:val="none"/>
        </w:rPr>
        <w:t>和分包</w:t>
      </w:r>
      <w:bookmarkEnd w:id="221"/>
      <w:bookmarkEnd w:id="222"/>
      <w:bookmarkEnd w:id="223"/>
      <w:bookmarkEnd w:id="224"/>
      <w:bookmarkEnd w:id="225"/>
      <w:bookmarkEnd w:id="226"/>
      <w:bookmarkEnd w:id="227"/>
      <w:bookmarkEnd w:id="228"/>
      <w:bookmarkEnd w:id="229"/>
      <w:bookmarkEnd w:id="230"/>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cs="宋体"/>
          <w:b/>
          <w:color w:val="auto"/>
          <w:sz w:val="24"/>
          <w:highlight w:val="none"/>
        </w:rPr>
      </w:pPr>
      <w:bookmarkStart w:id="231" w:name="_Toc2962"/>
      <w:bookmarkStart w:id="232" w:name="_Toc15293"/>
      <w:bookmarkStart w:id="233" w:name="_Toc22969"/>
      <w:bookmarkStart w:id="234" w:name="_Toc14371"/>
      <w:bookmarkStart w:id="235" w:name="_Toc524"/>
      <w:bookmarkStart w:id="236" w:name="_Toc26633"/>
      <w:bookmarkStart w:id="237" w:name="_Toc4720"/>
      <w:bookmarkStart w:id="238" w:name="_Toc9462"/>
      <w:bookmarkStart w:id="239" w:name="_Toc32494"/>
      <w:bookmarkStart w:id="240" w:name="_Toc25571"/>
      <w:r>
        <w:rPr>
          <w:rFonts w:hint="eastAsia" w:ascii="宋体" w:hAnsi="宋体" w:cs="宋体"/>
          <w:b/>
          <w:color w:val="auto"/>
          <w:sz w:val="24"/>
          <w:highlight w:val="none"/>
        </w:rPr>
        <w:t>2.11 不可抗力</w:t>
      </w:r>
      <w:bookmarkEnd w:id="231"/>
      <w:bookmarkEnd w:id="232"/>
      <w:bookmarkEnd w:id="233"/>
      <w:bookmarkEnd w:id="234"/>
      <w:bookmarkEnd w:id="235"/>
      <w:bookmarkEnd w:id="236"/>
      <w:bookmarkEnd w:id="237"/>
      <w:bookmarkEnd w:id="238"/>
      <w:bookmarkEnd w:id="239"/>
      <w:bookmarkEnd w:id="240"/>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因不可抗力致使不能实现合同目的的，当事人可以解除合同；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pPr>
        <w:spacing w:line="400" w:lineRule="exact"/>
        <w:ind w:firstLine="482" w:firstLineChars="200"/>
        <w:outlineLvl w:val="0"/>
        <w:rPr>
          <w:rFonts w:hint="eastAsia" w:ascii="宋体" w:hAnsi="宋体" w:cs="宋体"/>
          <w:b/>
          <w:color w:val="auto"/>
          <w:sz w:val="24"/>
          <w:highlight w:val="none"/>
        </w:rPr>
      </w:pPr>
      <w:bookmarkStart w:id="241" w:name="_Toc487900365"/>
      <w:bookmarkStart w:id="242" w:name="_Toc219"/>
      <w:bookmarkStart w:id="243" w:name="_Toc24465"/>
      <w:bookmarkStart w:id="244" w:name="_Toc259093684"/>
      <w:bookmarkStart w:id="245" w:name="_Toc13079"/>
      <w:bookmarkStart w:id="246" w:name="_Toc23854"/>
      <w:bookmarkStart w:id="247" w:name="_Toc279701255"/>
      <w:bookmarkStart w:id="248" w:name="_Toc3638"/>
      <w:bookmarkStart w:id="249" w:name="_Toc2226"/>
      <w:bookmarkStart w:id="250" w:name="_Toc14792"/>
      <w:bookmarkStart w:id="251" w:name="_Toc3472"/>
      <w:bookmarkStart w:id="252" w:name="_Toc25783"/>
      <w:bookmarkStart w:id="253" w:name="_Toc14115"/>
      <w:r>
        <w:rPr>
          <w:rFonts w:hint="eastAsia" w:ascii="宋体" w:hAnsi="宋体" w:cs="宋体"/>
          <w:b/>
          <w:color w:val="auto"/>
          <w:sz w:val="24"/>
          <w:highlight w:val="none"/>
        </w:rPr>
        <w:t>2.12 税费</w:t>
      </w:r>
      <w:bookmarkEnd w:id="241"/>
      <w:bookmarkEnd w:id="242"/>
      <w:bookmarkEnd w:id="243"/>
      <w:bookmarkEnd w:id="244"/>
      <w:bookmarkEnd w:id="245"/>
      <w:bookmarkEnd w:id="246"/>
      <w:bookmarkEnd w:id="247"/>
      <w:bookmarkEnd w:id="248"/>
      <w:bookmarkEnd w:id="249"/>
      <w:bookmarkEnd w:id="250"/>
      <w:bookmarkEnd w:id="251"/>
      <w:bookmarkEnd w:id="252"/>
      <w:bookmarkEnd w:id="253"/>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pPr>
        <w:spacing w:line="400" w:lineRule="exact"/>
        <w:ind w:firstLine="482" w:firstLineChars="200"/>
        <w:outlineLvl w:val="0"/>
        <w:rPr>
          <w:rFonts w:hint="eastAsia" w:ascii="宋体" w:hAnsi="宋体" w:cs="宋体"/>
          <w:b/>
          <w:color w:val="auto"/>
          <w:sz w:val="24"/>
          <w:highlight w:val="none"/>
        </w:rPr>
      </w:pPr>
      <w:bookmarkStart w:id="254" w:name="_Toc3411"/>
      <w:bookmarkStart w:id="255" w:name="_Toc487900368"/>
      <w:bookmarkStart w:id="256" w:name="_Toc10903"/>
      <w:bookmarkStart w:id="257" w:name="_Toc14814"/>
      <w:bookmarkStart w:id="258" w:name="_Toc7315"/>
      <w:bookmarkStart w:id="259" w:name="_Toc26883"/>
      <w:bookmarkStart w:id="260" w:name="_Toc22164"/>
      <w:bookmarkStart w:id="261" w:name="_Toc10195"/>
      <w:bookmarkStart w:id="262" w:name="_Toc279701258"/>
      <w:bookmarkStart w:id="263" w:name="_Toc4896"/>
      <w:bookmarkStart w:id="264" w:name="_Toc259093687"/>
      <w:bookmarkStart w:id="265" w:name="_Toc25525"/>
      <w:bookmarkStart w:id="266" w:name="_Toc30105"/>
      <w:r>
        <w:rPr>
          <w:rFonts w:hint="eastAsia" w:ascii="宋体" w:hAnsi="宋体" w:cs="宋体"/>
          <w:b/>
          <w:color w:val="auto"/>
          <w:sz w:val="24"/>
          <w:highlight w:val="none"/>
        </w:rPr>
        <w:t>2.13 乙方破产</w:t>
      </w:r>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cs="宋体"/>
          <w:b/>
          <w:color w:val="auto"/>
          <w:sz w:val="24"/>
          <w:highlight w:val="none"/>
        </w:rPr>
      </w:pPr>
      <w:bookmarkStart w:id="267" w:name="_Toc7643"/>
      <w:bookmarkStart w:id="268" w:name="_Toc1123"/>
      <w:bookmarkStart w:id="269" w:name="_Toc2016"/>
      <w:bookmarkStart w:id="270" w:name="_Toc15650"/>
      <w:bookmarkStart w:id="271" w:name="_Toc16974"/>
      <w:bookmarkStart w:id="272" w:name="_Toc16492"/>
      <w:bookmarkStart w:id="273" w:name="_Toc23323"/>
      <w:bookmarkStart w:id="274" w:name="_Toc18465"/>
      <w:r>
        <w:rPr>
          <w:rFonts w:hint="eastAsia" w:ascii="宋体" w:hAnsi="宋体" w:cs="宋体"/>
          <w:b/>
          <w:color w:val="auto"/>
          <w:sz w:val="24"/>
          <w:highlight w:val="none"/>
        </w:rPr>
        <w:t>2.14 合同中止、终止</w:t>
      </w:r>
      <w:bookmarkEnd w:id="267"/>
      <w:bookmarkEnd w:id="268"/>
      <w:bookmarkEnd w:id="269"/>
      <w:bookmarkEnd w:id="270"/>
      <w:bookmarkEnd w:id="271"/>
      <w:bookmarkEnd w:id="272"/>
      <w:bookmarkEnd w:id="273"/>
      <w:bookmarkEnd w:id="274"/>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2.14.1 双方当事人不得擅自中止或者终止合同；</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cs="宋体"/>
          <w:b/>
          <w:color w:val="auto"/>
          <w:sz w:val="24"/>
          <w:highlight w:val="none"/>
        </w:rPr>
      </w:pPr>
      <w:bookmarkStart w:id="275" w:name="_Toc14525"/>
      <w:bookmarkStart w:id="276" w:name="_Toc1969"/>
      <w:bookmarkStart w:id="277" w:name="_Toc25753"/>
      <w:bookmarkStart w:id="278" w:name="_Toc6589"/>
      <w:bookmarkStart w:id="279" w:name="_Toc17363"/>
      <w:bookmarkStart w:id="280" w:name="_Toc9584"/>
      <w:bookmarkStart w:id="281" w:name="_Toc23912"/>
      <w:bookmarkStart w:id="282" w:name="_Toc32535"/>
      <w:r>
        <w:rPr>
          <w:rFonts w:hint="eastAsia" w:ascii="宋体" w:hAnsi="宋体" w:cs="宋体"/>
          <w:b/>
          <w:color w:val="auto"/>
          <w:sz w:val="24"/>
          <w:highlight w:val="none"/>
        </w:rPr>
        <w:t>2.15 检验和验收</w:t>
      </w:r>
      <w:bookmarkEnd w:id="275"/>
      <w:bookmarkEnd w:id="276"/>
      <w:bookmarkEnd w:id="277"/>
      <w:bookmarkEnd w:id="278"/>
      <w:bookmarkEnd w:id="279"/>
      <w:bookmarkEnd w:id="280"/>
      <w:bookmarkEnd w:id="281"/>
      <w:bookmarkEnd w:id="282"/>
    </w:p>
    <w:p>
      <w:pPr>
        <w:tabs>
          <w:tab w:val="left" w:pos="360"/>
          <w:tab w:val="left" w:pos="540"/>
          <w:tab w:val="left" w:pos="108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2.15.1 乙方按照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4"/>
    <w:bookmarkEnd w:id="215"/>
    <w:bookmarkEnd w:id="216"/>
    <w:bookmarkEnd w:id="217"/>
    <w:p>
      <w:pPr>
        <w:spacing w:line="400" w:lineRule="exact"/>
        <w:ind w:firstLine="482" w:firstLineChars="200"/>
        <w:outlineLvl w:val="0"/>
        <w:rPr>
          <w:rFonts w:hint="eastAsia" w:ascii="宋体" w:hAnsi="宋体" w:cs="宋体"/>
          <w:b/>
          <w:color w:val="auto"/>
          <w:sz w:val="24"/>
          <w:highlight w:val="none"/>
        </w:rPr>
      </w:pPr>
      <w:bookmarkStart w:id="283" w:name="_Toc259093690"/>
      <w:bookmarkStart w:id="284" w:name="_Toc487900371"/>
      <w:bookmarkStart w:id="285" w:name="_Toc279701261"/>
      <w:bookmarkStart w:id="286" w:name="_Toc8129"/>
      <w:bookmarkStart w:id="287" w:name="_Toc22825"/>
      <w:bookmarkStart w:id="288" w:name="_Toc12444"/>
      <w:bookmarkStart w:id="289" w:name="_Toc9808"/>
      <w:bookmarkStart w:id="290" w:name="_Toc2308"/>
      <w:bookmarkStart w:id="291" w:name="_Toc31892"/>
      <w:bookmarkStart w:id="292" w:name="_Toc28885"/>
      <w:bookmarkStart w:id="293" w:name="_Toc26095"/>
      <w:bookmarkStart w:id="294" w:name="_Toc12666"/>
      <w:bookmarkStart w:id="295" w:name="_Toc25198"/>
      <w:r>
        <w:rPr>
          <w:rFonts w:hint="eastAsia" w:ascii="宋体" w:hAnsi="宋体" w:cs="宋体"/>
          <w:b/>
          <w:color w:val="auto"/>
          <w:sz w:val="24"/>
          <w:highlight w:val="none"/>
        </w:rPr>
        <w:t>2.16 通知</w:t>
      </w:r>
      <w:bookmarkEnd w:id="283"/>
      <w:bookmarkEnd w:id="284"/>
      <w:bookmarkEnd w:id="285"/>
      <w:r>
        <w:rPr>
          <w:rFonts w:hint="eastAsia" w:ascii="宋体" w:hAnsi="宋体" w:cs="宋体"/>
          <w:b/>
          <w:color w:val="auto"/>
          <w:sz w:val="24"/>
          <w:highlight w:val="none"/>
        </w:rPr>
        <w:t>和送达</w:t>
      </w:r>
      <w:bookmarkEnd w:id="286"/>
      <w:bookmarkEnd w:id="287"/>
      <w:bookmarkEnd w:id="288"/>
      <w:bookmarkEnd w:id="289"/>
      <w:bookmarkEnd w:id="290"/>
      <w:bookmarkEnd w:id="291"/>
      <w:bookmarkEnd w:id="292"/>
      <w:bookmarkEnd w:id="293"/>
      <w:bookmarkEnd w:id="294"/>
      <w:bookmarkEnd w:id="295"/>
    </w:p>
    <w:p>
      <w:pPr>
        <w:spacing w:line="400" w:lineRule="exact"/>
        <w:ind w:firstLine="480" w:firstLineChars="200"/>
        <w:rPr>
          <w:rFonts w:hint="eastAsia" w:ascii="宋体" w:hAnsi="宋体" w:cs="宋体"/>
          <w:color w:val="auto"/>
          <w:sz w:val="24"/>
          <w:highlight w:val="none"/>
        </w:rPr>
      </w:pPr>
      <w:bookmarkStart w:id="296" w:name="_Toc29220"/>
      <w:bookmarkStart w:id="297" w:name="_Toc7073"/>
      <w:bookmarkStart w:id="298" w:name="_Toc279701262"/>
      <w:bookmarkStart w:id="299" w:name="_Toc487900372"/>
      <w:bookmarkStart w:id="300" w:name="_Toc259093691"/>
      <w:r>
        <w:rPr>
          <w:rFonts w:hint="eastAsia" w:ascii="宋体" w:hAnsi="宋体" w:cs="宋体"/>
          <w:color w:val="auto"/>
          <w:sz w:val="24"/>
          <w:highlight w:val="none"/>
        </w:rPr>
        <w:t>2.16.1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296"/>
      <w:bookmarkEnd w:id="297"/>
    </w:p>
    <w:p>
      <w:pPr>
        <w:spacing w:line="400" w:lineRule="exact"/>
        <w:ind w:firstLine="480" w:firstLineChars="200"/>
        <w:rPr>
          <w:rFonts w:hint="eastAsia" w:ascii="宋体" w:hAnsi="宋体" w:cs="宋体"/>
          <w:color w:val="auto"/>
          <w:sz w:val="24"/>
          <w:highlight w:val="none"/>
        </w:rPr>
      </w:pPr>
      <w:bookmarkStart w:id="301" w:name="_Toc18401"/>
      <w:bookmarkStart w:id="302" w:name="_Toc27674"/>
      <w:r>
        <w:rPr>
          <w:rFonts w:hint="eastAsia" w:ascii="宋体" w:hAnsi="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bookmarkEnd w:id="298"/>
    <w:bookmarkEnd w:id="299"/>
    <w:bookmarkEnd w:id="300"/>
    <w:p>
      <w:pPr>
        <w:spacing w:line="400" w:lineRule="exact"/>
        <w:ind w:firstLine="482" w:firstLineChars="200"/>
        <w:outlineLvl w:val="0"/>
        <w:rPr>
          <w:rFonts w:hint="eastAsia" w:ascii="宋体" w:hAnsi="宋体" w:cs="宋体"/>
          <w:b/>
          <w:color w:val="auto"/>
          <w:sz w:val="24"/>
          <w:highlight w:val="none"/>
        </w:rPr>
      </w:pPr>
      <w:bookmarkStart w:id="303" w:name="_Toc20808"/>
      <w:bookmarkStart w:id="304" w:name="_Toc1425"/>
      <w:bookmarkStart w:id="305" w:name="_Toc5063"/>
      <w:bookmarkStart w:id="306" w:name="_Toc279701263"/>
      <w:bookmarkStart w:id="307" w:name="_Toc20930"/>
      <w:bookmarkStart w:id="308" w:name="_Toc19321"/>
      <w:bookmarkStart w:id="309" w:name="_Toc487900373"/>
      <w:bookmarkStart w:id="310" w:name="_Toc259093692"/>
      <w:bookmarkStart w:id="311" w:name="_Toc27644"/>
      <w:bookmarkStart w:id="312" w:name="_Toc21204"/>
      <w:bookmarkStart w:id="313" w:name="_Toc12254"/>
      <w:bookmarkStart w:id="314" w:name="_Toc556"/>
      <w:r>
        <w:rPr>
          <w:rFonts w:hint="eastAsia" w:ascii="宋体" w:hAnsi="宋体" w:cs="宋体"/>
          <w:b/>
          <w:color w:val="auto"/>
          <w:sz w:val="24"/>
          <w:highlight w:val="none"/>
        </w:rPr>
        <w:t>2.17 合同使用的文字和适用的法律</w:t>
      </w:r>
      <w:bookmarkEnd w:id="303"/>
      <w:bookmarkEnd w:id="304"/>
      <w:bookmarkEnd w:id="305"/>
      <w:bookmarkEnd w:id="306"/>
      <w:bookmarkEnd w:id="307"/>
      <w:bookmarkEnd w:id="308"/>
      <w:bookmarkEnd w:id="309"/>
      <w:bookmarkEnd w:id="310"/>
      <w:bookmarkEnd w:id="311"/>
      <w:bookmarkEnd w:id="312"/>
      <w:bookmarkEnd w:id="313"/>
      <w:bookmarkEnd w:id="314"/>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 合同使用汉语书就、变更和解释；</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 合同适用中华人民共和国法律。</w:t>
      </w:r>
    </w:p>
    <w:p>
      <w:pPr>
        <w:spacing w:line="400" w:lineRule="exact"/>
        <w:ind w:firstLine="482" w:firstLineChars="200"/>
        <w:outlineLvl w:val="0"/>
        <w:rPr>
          <w:rFonts w:hint="eastAsia" w:ascii="宋体" w:hAnsi="宋体" w:cs="宋体"/>
          <w:b/>
          <w:color w:val="auto"/>
          <w:sz w:val="24"/>
          <w:highlight w:val="none"/>
        </w:rPr>
      </w:pPr>
      <w:bookmarkStart w:id="315" w:name="_Toc259093693"/>
      <w:bookmarkStart w:id="316" w:name="_Toc30312"/>
      <w:bookmarkStart w:id="317" w:name="_Toc1492"/>
      <w:bookmarkStart w:id="318" w:name="_Toc25275"/>
      <w:bookmarkStart w:id="319" w:name="_Toc279701264"/>
      <w:bookmarkStart w:id="320" w:name="_Toc27403"/>
      <w:bookmarkStart w:id="321" w:name="_Toc27127"/>
      <w:bookmarkStart w:id="322" w:name="_Toc29543"/>
      <w:bookmarkStart w:id="323" w:name="_Toc17578"/>
      <w:bookmarkStart w:id="324" w:name="_Toc26895"/>
      <w:bookmarkStart w:id="325" w:name="_Toc22266"/>
      <w:bookmarkStart w:id="326" w:name="_Toc487900374"/>
      <w:r>
        <w:rPr>
          <w:rFonts w:hint="eastAsia" w:ascii="宋体" w:hAnsi="宋体" w:cs="宋体"/>
          <w:b/>
          <w:color w:val="auto"/>
          <w:sz w:val="24"/>
          <w:highlight w:val="none"/>
        </w:rPr>
        <w:t>2.18 履约保证金</w:t>
      </w:r>
      <w:bookmarkEnd w:id="315"/>
      <w:bookmarkEnd w:id="316"/>
      <w:bookmarkEnd w:id="317"/>
      <w:bookmarkEnd w:id="318"/>
      <w:bookmarkEnd w:id="319"/>
      <w:bookmarkEnd w:id="320"/>
      <w:bookmarkEnd w:id="321"/>
      <w:bookmarkEnd w:id="322"/>
      <w:bookmarkEnd w:id="323"/>
      <w:bookmarkEnd w:id="324"/>
      <w:bookmarkEnd w:id="325"/>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2.18.1 采购文件要求乙方提交履约保证金的，乙方应按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2.18.2 履约保证金在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约定期间内不予退还或者应完全有效，前述约定期间届满之日起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个工作日内，甲方应将履约保证金退还乙方；</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6"/>
    <w:p>
      <w:pPr>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2.19 合同份数</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pPr>
        <w:pStyle w:val="140"/>
        <w:spacing w:line="400" w:lineRule="exact"/>
        <w:jc w:val="center"/>
        <w:rPr>
          <w:rFonts w:hint="eastAsia" w:cs="宋体"/>
          <w:color w:val="auto"/>
          <w:highlight w:val="none"/>
        </w:rPr>
      </w:pPr>
      <w:r>
        <w:rPr>
          <w:rFonts w:hint="eastAsia" w:cs="宋体"/>
          <w:color w:val="auto"/>
          <w:highlight w:val="none"/>
        </w:rPr>
        <w:br w:type="page"/>
      </w:r>
      <w:bookmarkStart w:id="327" w:name="_Toc331685784"/>
    </w:p>
    <w:p>
      <w:pPr>
        <w:pStyle w:val="140"/>
        <w:spacing w:line="400" w:lineRule="exact"/>
        <w:ind w:firstLine="422"/>
        <w:jc w:val="center"/>
        <w:rPr>
          <w:rFonts w:hint="eastAsia" w:cs="宋体"/>
          <w:b/>
          <w:color w:val="auto"/>
          <w:highlight w:val="none"/>
        </w:rPr>
      </w:pPr>
      <w:r>
        <w:rPr>
          <w:rFonts w:hint="eastAsia" w:cs="宋体"/>
          <w:b/>
          <w:color w:val="auto"/>
          <w:highlight w:val="none"/>
        </w:rPr>
        <w:t>第三部分  合同专用条款</w:t>
      </w:r>
      <w:bookmarkEnd w:id="327"/>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96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3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2135" w:type="dxa"/>
            <w:tcBorders>
              <w:left w:val="single" w:color="auto" w:sz="4" w:space="0"/>
            </w:tcBorders>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7545" w:type="dxa"/>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pPr>
              <w:spacing w:line="400" w:lineRule="exact"/>
              <w:rPr>
                <w:rFonts w:hint="eastAsia" w:ascii="宋体" w:hAnsi="宋体" w:cs="宋体"/>
                <w:color w:val="auto"/>
                <w:sz w:val="24"/>
                <w:highlight w:val="none"/>
              </w:rPr>
            </w:pPr>
          </w:p>
        </w:tc>
        <w:tc>
          <w:tcPr>
            <w:tcW w:w="7545" w:type="dxa"/>
            <w:vAlign w:val="center"/>
          </w:tcPr>
          <w:p>
            <w:pPr>
              <w:spacing w:line="400" w:lineRule="exact"/>
              <w:rPr>
                <w:rFonts w:hint="eastAsia" w:ascii="宋体" w:hAnsi="宋体" w:cs="宋体"/>
                <w:color w:val="auto"/>
                <w:sz w:val="24"/>
                <w:highlight w:val="none"/>
              </w:rPr>
            </w:pPr>
          </w:p>
        </w:tc>
      </w:tr>
    </w:tbl>
    <w:p>
      <w:pPr>
        <w:spacing w:after="156" w:line="400" w:lineRule="exact"/>
        <w:ind w:firstLine="480"/>
        <w:rPr>
          <w:rFonts w:hint="eastAsia" w:ascii="宋体" w:hAnsi="宋体" w:cs="宋体"/>
          <w:color w:val="auto"/>
          <w:highlight w:val="none"/>
        </w:rPr>
      </w:pPr>
    </w:p>
    <w:p>
      <w:pPr>
        <w:spacing w:line="360" w:lineRule="auto"/>
        <w:jc w:val="left"/>
        <w:rPr>
          <w:rFonts w:hint="eastAsia" w:ascii="仿宋" w:hAnsi="仿宋" w:eastAsia="仿宋" w:cs="仿宋"/>
          <w:b/>
          <w:color w:val="auto"/>
          <w:sz w:val="24"/>
          <w:highlight w:val="none"/>
        </w:rPr>
      </w:pPr>
    </w:p>
    <w:p>
      <w:pPr>
        <w:spacing w:line="360" w:lineRule="auto"/>
        <w:ind w:firstLine="643" w:firstLineChars="200"/>
        <w:jc w:val="left"/>
        <w:rPr>
          <w:rFonts w:hint="eastAsia" w:ascii="仿宋" w:hAnsi="仿宋" w:eastAsia="仿宋" w:cs="仿宋"/>
          <w:b/>
          <w:color w:val="auto"/>
          <w:sz w:val="32"/>
          <w:szCs w:val="32"/>
          <w:highlight w:val="none"/>
          <w:u w:val="single"/>
        </w:rPr>
      </w:pPr>
    </w:p>
    <w:p>
      <w:pPr>
        <w:spacing w:line="360" w:lineRule="auto"/>
        <w:ind w:firstLine="643" w:firstLineChars="200"/>
        <w:jc w:val="left"/>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u w:val="single"/>
        </w:rPr>
        <w:t>注：最终合同已与甲方签订的合同为准。</w:t>
      </w:r>
    </w:p>
    <w:p>
      <w:pPr>
        <w:pStyle w:val="8"/>
        <w:spacing w:line="336" w:lineRule="auto"/>
        <w:ind w:firstLine="0" w:firstLineChars="0"/>
        <w:rPr>
          <w:rFonts w:cs="宋体"/>
          <w:color w:val="auto"/>
          <w:sz w:val="22"/>
          <w:szCs w:val="22"/>
          <w:highlight w:val="none"/>
        </w:rPr>
      </w:pPr>
      <w:r>
        <w:rPr>
          <w:rFonts w:ascii="宋体" w:hAnsi="宋体" w:cs="宋体"/>
          <w:color w:val="auto"/>
          <w:sz w:val="22"/>
          <w:szCs w:val="22"/>
          <w:highlight w:val="none"/>
        </w:rPr>
        <w:br w:type="page"/>
      </w:r>
    </w:p>
    <w:p>
      <w:pPr>
        <w:pStyle w:val="28"/>
        <w:rPr>
          <w:rFonts w:hint="eastAsia" w:ascii="宋体" w:hAnsi="宋体" w:cs="宋体"/>
          <w:color w:val="auto"/>
          <w:sz w:val="24"/>
          <w:szCs w:val="24"/>
          <w:highlight w:val="none"/>
        </w:rPr>
      </w:pPr>
    </w:p>
    <w:p>
      <w:pPr>
        <w:pStyle w:val="28"/>
        <w:rPr>
          <w:rFonts w:hint="eastAsia" w:ascii="宋体" w:hAnsi="宋体" w:cs="宋体"/>
          <w:color w:val="auto"/>
          <w:sz w:val="24"/>
          <w:szCs w:val="24"/>
          <w:highlight w:val="none"/>
        </w:rPr>
      </w:pPr>
      <w:r>
        <w:rPr>
          <w:rFonts w:hint="eastAsia" w:ascii="宋体" w:hAnsi="宋体" w:cs="宋体"/>
          <w:color w:val="auto"/>
          <w:sz w:val="24"/>
          <w:szCs w:val="24"/>
          <w:highlight w:val="none"/>
        </w:rPr>
        <w:t>第六部分  附　　件</w:t>
      </w:r>
      <w:bookmarkEnd w:id="28"/>
      <w:bookmarkEnd w:id="29"/>
    </w:p>
    <w:p>
      <w:pPr>
        <w:pStyle w:val="6"/>
        <w:numPr>
          <w:ilvl w:val="0"/>
          <w:numId w:val="0"/>
        </w:numPr>
        <w:spacing w:before="0" w:after="0" w:line="240" w:lineRule="auto"/>
        <w:jc w:val="both"/>
        <w:rPr>
          <w:rFonts w:hint="eastAsia" w:cs="宋体"/>
          <w:color w:val="auto"/>
          <w:sz w:val="24"/>
          <w:szCs w:val="24"/>
          <w:highlight w:val="none"/>
        </w:rPr>
      </w:pPr>
      <w:r>
        <w:rPr>
          <w:rFonts w:hint="eastAsia" w:cs="宋体"/>
          <w:color w:val="auto"/>
          <w:sz w:val="24"/>
          <w:szCs w:val="24"/>
          <w:highlight w:val="none"/>
        </w:rPr>
        <w:t>（一）资格文件</w:t>
      </w:r>
    </w:p>
    <w:p>
      <w:pPr>
        <w:rPr>
          <w:rFonts w:hint="eastAsia" w:ascii="宋体" w:hAnsi="宋体" w:cs="宋体"/>
          <w:b/>
          <w:color w:val="auto"/>
          <w:sz w:val="24"/>
          <w:highlight w:val="none"/>
        </w:rPr>
      </w:pPr>
      <w:r>
        <w:rPr>
          <w:rFonts w:hint="eastAsia" w:ascii="宋体" w:hAnsi="宋体" w:cs="宋体"/>
          <w:b/>
          <w:color w:val="auto"/>
          <w:sz w:val="24"/>
          <w:highlight w:val="none"/>
        </w:rPr>
        <w:t>1.资格文件封面</w:t>
      </w:r>
    </w:p>
    <w:p>
      <w:pPr>
        <w:jc w:val="center"/>
        <w:rPr>
          <w:rFonts w:hint="eastAsia" w:ascii="宋体" w:hAnsi="宋体" w:cs="宋体"/>
          <w:b/>
          <w:color w:val="auto"/>
          <w:sz w:val="24"/>
          <w:highlight w:val="none"/>
        </w:rPr>
      </w:pPr>
    </w:p>
    <w:p>
      <w:pPr>
        <w:jc w:val="center"/>
        <w:rPr>
          <w:rFonts w:hint="eastAsia" w:ascii="宋体" w:hAnsi="宋体" w:cs="宋体"/>
          <w:b/>
          <w:color w:val="auto"/>
          <w:sz w:val="24"/>
          <w:highlight w:val="none"/>
        </w:rPr>
      </w:pPr>
    </w:p>
    <w:p>
      <w:pPr>
        <w:jc w:val="center"/>
        <w:rPr>
          <w:rFonts w:hint="eastAsia" w:ascii="宋体" w:hAnsi="宋体" w:cs="宋体"/>
          <w:b/>
          <w:color w:val="auto"/>
          <w:sz w:val="24"/>
          <w:highlight w:val="none"/>
        </w:rPr>
      </w:pPr>
    </w:p>
    <w:p>
      <w:pPr>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***服务项目</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资格文件</w:t>
      </w: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投标单位名称：</w:t>
      </w:r>
    </w:p>
    <w:p>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投标内容：</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投标单位联系人：</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投标单位联系电话：：</w:t>
      </w:r>
    </w:p>
    <w:p>
      <w:pPr>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二〇二三年  月</w:t>
      </w:r>
    </w:p>
    <w:p>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w:t>
      </w:r>
      <w:r>
        <w:rPr>
          <w:rFonts w:hint="eastAsia" w:ascii="宋体" w:hAnsi="宋体" w:cs="宋体"/>
          <w:b/>
          <w:color w:val="auto"/>
          <w:sz w:val="24"/>
          <w:highlight w:val="none"/>
        </w:rPr>
        <w:t>资格文件组成</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目录</w:t>
      </w:r>
    </w:p>
    <w:p>
      <w:pPr>
        <w:pStyle w:val="6"/>
        <w:numPr>
          <w:ilvl w:val="0"/>
          <w:numId w:val="0"/>
        </w:numPr>
        <w:spacing w:before="0" w:after="0" w:line="240" w:lineRule="auto"/>
        <w:jc w:val="both"/>
        <w:rPr>
          <w:rFonts w:hint="eastAsia" w:cs="宋体"/>
          <w:color w:val="auto"/>
          <w:sz w:val="24"/>
          <w:szCs w:val="24"/>
          <w:highlight w:val="none"/>
        </w:rPr>
      </w:pPr>
      <w:r>
        <w:rPr>
          <w:rFonts w:hint="eastAsia" w:cs="宋体"/>
          <w:color w:val="auto"/>
          <w:sz w:val="24"/>
          <w:szCs w:val="24"/>
          <w:highlight w:val="none"/>
        </w:rPr>
        <w:t>一、投标人代表身份证明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  法定代表人身份证明复印件(法定代表人参加投标)（附件1-1）</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  法定代表人授权委托书(授权代表参加投标) （附件1-2）</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  授权委托书 (适用于自然人委托投标) （附件1-3）</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二、供应商的资格证明材料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（一）参加政府采购活动的供应商应当具备《政府采购法》第二十二条第一款规定的条件，提供下列材料：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  法人或者其他组织的营业执照副本复印件或自然人的身份证明复印件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  提供上一年度经审计财务会计报告或财务报表。财务审计报告必须为第三方提供并加盖第三方公章。（供应商是法人的应提供经审计的上一年度的财务报告，成立不足一年的提供3个月的财务报表和其基本开户银行出具的资信证明；另：部分其他组织或自然人，没有经审计的财务报告，应当提供开标近1个月的银行出具的资信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  近半年内任一月依法缴纳税收证明（提供近半年内任意一月依法缴纳税收证明，当月新成立公司不需提供；无需纳税或免税的也需提供相应证明材料。）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  提供社会保险登记证或社保缴纳证明（近三个月至今任意一月。）</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  具有履行合同所必需的设备和专业技术能力相关证明材料或声明(由供应商根据项目需求提供说明材料)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  参加政府采购活动前三年内在经营活动中没有重大违法记录的书面声明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（二）提供符合政府采购政策的证明材料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（本项目为专门面向中小企业（含中型、小型、微型企业）采购项目。监狱企业、残疾人福利性单位视同为小微企业。本项目采购标的对应的中小企业划分标准所属行业为其他未列明行业。）</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1.中小企业声明函（附件1-4）</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2.监狱企业声明函（附件1-5）</w:t>
      </w:r>
    </w:p>
    <w:p>
      <w:pPr>
        <w:spacing w:line="360" w:lineRule="auto"/>
        <w:rPr>
          <w:rFonts w:ascii="宋体" w:hAnsi="宋体" w:cs="宋体"/>
          <w:color w:val="auto"/>
          <w:sz w:val="24"/>
          <w:highlight w:val="none"/>
        </w:rPr>
      </w:pPr>
      <w:r>
        <w:rPr>
          <w:rFonts w:hint="eastAsia" w:ascii="宋体" w:hAnsi="宋体" w:cs="宋体"/>
          <w:color w:val="auto"/>
          <w:sz w:val="24"/>
          <w:highlight w:val="none"/>
        </w:rPr>
        <w:t>3.残疾人福利性单位声明函（附件1-6）</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（三）其他特定资质：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三、其他资料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ab/>
      </w:r>
      <w:r>
        <w:rPr>
          <w:rFonts w:hint="eastAsia" w:ascii="宋体" w:hAnsi="宋体" w:cs="宋体"/>
          <w:color w:val="auto"/>
          <w:sz w:val="24"/>
          <w:highlight w:val="none"/>
        </w:rPr>
        <w:t>不参与围标串标承诺书；</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   投标保证金缴纳凭证（电汇凭证等）复印件</w:t>
      </w:r>
    </w:p>
    <w:p>
      <w:pPr>
        <w:pStyle w:val="20"/>
        <w:rPr>
          <w:rFonts w:hint="eastAsia" w:ascii="宋体" w:hAnsi="宋体" w:eastAsia="宋体" w:cs="宋体"/>
          <w:color w:val="auto"/>
          <w:sz w:val="24"/>
          <w:highlight w:val="none"/>
        </w:rPr>
      </w:pPr>
    </w:p>
    <w:p>
      <w:pPr>
        <w:rPr>
          <w:rFonts w:hint="eastAsia"/>
          <w:color w:val="auto"/>
          <w:highlight w:val="none"/>
        </w:rPr>
      </w:pPr>
    </w:p>
    <w:p>
      <w:pPr>
        <w:widowControl/>
        <w:spacing w:line="440" w:lineRule="exact"/>
        <w:jc w:val="left"/>
        <w:rPr>
          <w:rFonts w:hint="eastAsia" w:ascii="宋体" w:hAnsi="宋体" w:cs="宋体"/>
          <w:bCs/>
          <w:color w:val="auto"/>
          <w:sz w:val="24"/>
          <w:highlight w:val="none"/>
        </w:rPr>
      </w:pPr>
      <w:r>
        <w:rPr>
          <w:rFonts w:hint="eastAsia" w:ascii="宋体" w:hAnsi="宋体" w:cs="宋体"/>
          <w:b/>
          <w:color w:val="auto"/>
          <w:sz w:val="24"/>
          <w:highlight w:val="none"/>
        </w:rPr>
        <w:t>注：1.投标人制作响应性文件，应按照响应性文件组成顺序制作，编好始末页码且在响应性文件目录中一一列明并对应。</w:t>
      </w:r>
    </w:p>
    <w:p>
      <w:pPr>
        <w:numPr>
          <w:ilvl w:val="0"/>
          <w:numId w:val="4"/>
        </w:numPr>
        <w:spacing w:line="440" w:lineRule="exact"/>
        <w:jc w:val="left"/>
        <w:rPr>
          <w:rFonts w:hint="eastAsia" w:ascii="宋体" w:hAnsi="宋体" w:cs="宋体"/>
          <w:b/>
          <w:color w:val="auto"/>
          <w:sz w:val="30"/>
          <w:szCs w:val="30"/>
          <w:highlight w:val="none"/>
        </w:rPr>
      </w:pPr>
      <w:r>
        <w:rPr>
          <w:rFonts w:hint="eastAsia" w:ascii="宋体" w:hAnsi="宋体" w:cs="宋体"/>
          <w:b/>
          <w:color w:val="auto"/>
          <w:sz w:val="24"/>
          <w:highlight w:val="none"/>
        </w:rPr>
        <w:t>采购文件没有提供格式的，投标人可自行设置。</w:t>
      </w:r>
    </w:p>
    <w:p>
      <w:pPr>
        <w:spacing w:line="440" w:lineRule="exact"/>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pPr>
        <w:numPr>
          <w:ilvl w:val="0"/>
          <w:numId w:val="4"/>
        </w:numPr>
        <w:spacing w:line="440" w:lineRule="exact"/>
        <w:jc w:val="left"/>
        <w:rPr>
          <w:rFonts w:hint="eastAsia" w:ascii="宋体" w:hAnsi="宋体" w:cs="宋体"/>
          <w:b/>
          <w:color w:val="auto"/>
          <w:sz w:val="24"/>
          <w:highlight w:val="none"/>
        </w:rPr>
      </w:pPr>
      <w:r>
        <w:rPr>
          <w:rFonts w:hint="eastAsia" w:ascii="宋体" w:hAnsi="宋体" w:cs="宋体"/>
          <w:b/>
          <w:color w:val="auto"/>
          <w:sz w:val="24"/>
          <w:highlight w:val="none"/>
        </w:rPr>
        <w:t>资格文件格式</w:t>
      </w:r>
    </w:p>
    <w:p>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附件1-1  法定代表人资格证明书</w:t>
      </w:r>
    </w:p>
    <w:p>
      <w:pPr>
        <w:spacing w:before="187" w:beforeLines="50" w:after="187" w:afterLines="50" w:line="360" w:lineRule="auto"/>
        <w:ind w:left="546" w:leftChars="260"/>
        <w:rPr>
          <w:rFonts w:hint="eastAsia" w:ascii="宋体" w:hAnsi="宋体" w:cs="宋体"/>
          <w:color w:val="auto"/>
          <w:sz w:val="24"/>
          <w:highlight w:val="none"/>
          <w:u w:val="single"/>
        </w:rPr>
      </w:pPr>
      <w:r>
        <w:rPr>
          <w:rFonts w:hint="eastAsia" w:ascii="宋体" w:hAnsi="宋体" w:cs="宋体"/>
          <w:color w:val="auto"/>
          <w:sz w:val="24"/>
          <w:highlight w:val="none"/>
        </w:rPr>
        <w:t>单位名称：</w:t>
      </w:r>
    </w:p>
    <w:p>
      <w:pPr>
        <w:spacing w:before="187" w:beforeLines="50" w:after="187" w:afterLines="50" w:line="360" w:lineRule="auto"/>
        <w:ind w:left="546" w:leftChars="260"/>
        <w:rPr>
          <w:rFonts w:hint="eastAsia" w:ascii="宋体" w:hAnsi="宋体" w:cs="宋体"/>
          <w:color w:val="auto"/>
          <w:sz w:val="24"/>
          <w:highlight w:val="none"/>
          <w:u w:val="single"/>
        </w:rPr>
      </w:pPr>
      <w:r>
        <w:rPr>
          <w:rFonts w:hint="eastAsia" w:ascii="宋体" w:hAnsi="宋体" w:cs="宋体"/>
          <w:color w:val="auto"/>
          <w:sz w:val="24"/>
          <w:highlight w:val="none"/>
        </w:rPr>
        <w:t>单位性质：</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地址：</w:t>
      </w:r>
    </w:p>
    <w:p>
      <w:pPr>
        <w:spacing w:before="187" w:beforeLines="50" w:after="187" w:afterLines="50" w:line="360" w:lineRule="auto"/>
        <w:ind w:left="546" w:leftChars="260"/>
        <w:rPr>
          <w:rFonts w:hint="eastAsia" w:ascii="宋体" w:hAnsi="宋体" w:cs="宋体"/>
          <w:color w:val="auto"/>
          <w:sz w:val="24"/>
          <w:highlight w:val="none"/>
          <w:u w:val="single"/>
        </w:rPr>
      </w:pPr>
      <w:r>
        <w:rPr>
          <w:rFonts w:hint="eastAsia" w:ascii="宋体" w:hAnsi="宋体" w:cs="宋体"/>
          <w:color w:val="auto"/>
          <w:sz w:val="24"/>
          <w:highlight w:val="none"/>
        </w:rPr>
        <w:t>成立时间：</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经营期限：</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姓名：性别：年龄：职务：</w:t>
      </w:r>
    </w:p>
    <w:p>
      <w:pPr>
        <w:spacing w:before="187" w:beforeLines="50" w:after="187"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（投标人）</w:t>
      </w:r>
      <w:r>
        <w:rPr>
          <w:rFonts w:hint="eastAsia" w:ascii="宋体" w:hAnsi="宋体" w:cs="宋体"/>
          <w:color w:val="auto"/>
          <w:sz w:val="24"/>
          <w:highlight w:val="none"/>
        </w:rPr>
        <w:t>的法定代表人。</w:t>
      </w:r>
      <w:r>
        <w:rPr>
          <w:rFonts w:hint="eastAsia" w:ascii="宋体" w:hAnsi="宋体" w:cs="宋体"/>
          <w:color w:val="auto"/>
          <w:sz w:val="24"/>
          <w:highlight w:val="none"/>
        </w:rPr>
        <w:cr/>
      </w:r>
    </w:p>
    <w:p>
      <w:pPr>
        <w:spacing w:before="187" w:beforeLines="50" w:after="187"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before="187" w:beforeLines="50" w:after="187"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（附法定代表人身份证复印件）</w:t>
      </w:r>
    </w:p>
    <w:p>
      <w:pPr>
        <w:spacing w:before="187" w:beforeLines="50" w:after="187" w:afterLines="50" w:line="360" w:lineRule="auto"/>
        <w:ind w:firstLine="480" w:firstLineChars="200"/>
        <w:rPr>
          <w:rFonts w:hint="eastAsia" w:ascii="宋体" w:hAnsi="宋体" w:cs="宋体"/>
          <w:color w:val="auto"/>
          <w:sz w:val="24"/>
          <w:highlight w:val="none"/>
        </w:rPr>
      </w:pPr>
    </w:p>
    <w:p>
      <w:pPr>
        <w:spacing w:before="187" w:beforeLines="50" w:after="187"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投标人公章：[投标人盖章]</w:t>
      </w:r>
    </w:p>
    <w:p>
      <w:pPr>
        <w:spacing w:before="187" w:beforeLines="50" w:after="187" w:afterLines="50" w:line="360" w:lineRule="auto"/>
        <w:ind w:firstLine="496" w:firstLineChars="200"/>
        <w:rPr>
          <w:rFonts w:hint="eastAsia" w:ascii="宋体" w:hAnsi="宋体" w:cs="宋体"/>
          <w:color w:val="auto"/>
          <w:sz w:val="24"/>
          <w:highlight w:val="none"/>
        </w:rPr>
      </w:pPr>
      <w:r>
        <w:rPr>
          <w:rFonts w:hint="eastAsia" w:ascii="宋体" w:hAnsi="宋体" w:cs="宋体"/>
          <w:color w:val="auto"/>
          <w:spacing w:val="4"/>
          <w:sz w:val="24"/>
          <w:highlight w:val="none"/>
        </w:rPr>
        <w:t>日期：</w:t>
      </w:r>
      <w:r>
        <w:rPr>
          <w:rFonts w:hint="eastAsia" w:ascii="宋体" w:hAnsi="宋体" w:cs="宋体"/>
          <w:color w:val="auto"/>
          <w:sz w:val="24"/>
          <w:highlight w:val="none"/>
        </w:rPr>
        <w:t>年月日</w:t>
      </w:r>
    </w:p>
    <w:p>
      <w:pPr>
        <w:spacing w:line="440" w:lineRule="exact"/>
        <w:jc w:val="center"/>
        <w:rPr>
          <w:rFonts w:hint="eastAsia" w:ascii="宋体" w:hAnsi="宋体" w:cs="宋体"/>
          <w:b/>
          <w:color w:val="auto"/>
          <w:sz w:val="32"/>
          <w:szCs w:val="32"/>
          <w:highlight w:val="none"/>
        </w:rPr>
      </w:pPr>
      <w:r>
        <w:rPr>
          <w:rFonts w:hint="eastAsia" w:ascii="宋体" w:hAnsi="宋体" w:cs="宋体"/>
          <w:b/>
          <w:color w:val="auto"/>
          <w:sz w:val="30"/>
          <w:szCs w:val="30"/>
          <w:highlight w:val="none"/>
        </w:rPr>
        <w:br w:type="page"/>
      </w:r>
      <w:r>
        <w:rPr>
          <w:rFonts w:hint="eastAsia" w:ascii="宋体" w:hAnsi="宋体" w:cs="宋体"/>
          <w:b/>
          <w:color w:val="auto"/>
          <w:sz w:val="24"/>
          <w:highlight w:val="none"/>
        </w:rPr>
        <w:t>附件1-2  法定代表人授权委托书</w:t>
      </w:r>
    </w:p>
    <w:p>
      <w:pPr>
        <w:spacing w:line="440" w:lineRule="exact"/>
        <w:jc w:val="center"/>
        <w:rPr>
          <w:rFonts w:hint="eastAsia" w:ascii="宋体" w:hAnsi="宋体" w:cs="宋体"/>
          <w:b/>
          <w:color w:val="auto"/>
          <w:sz w:val="32"/>
          <w:szCs w:val="32"/>
          <w:highlight w:val="none"/>
        </w:rPr>
      </w:pPr>
    </w:p>
    <w:p>
      <w:pPr>
        <w:autoSpaceDE w:val="0"/>
        <w:autoSpaceDN w:val="0"/>
        <w:adjustRightInd w:val="0"/>
        <w:spacing w:line="440" w:lineRule="exact"/>
        <w:ind w:firstLine="422"/>
        <w:rPr>
          <w:rFonts w:hint="eastAsia" w:ascii="宋体" w:hAnsi="宋体" w:cs="宋体"/>
          <w:color w:val="auto"/>
          <w:sz w:val="24"/>
          <w:highlight w:val="none"/>
        </w:rPr>
      </w:pPr>
      <w:r>
        <w:rPr>
          <w:rFonts w:hint="eastAsia" w:ascii="宋体" w:hAnsi="宋体" w:cs="宋体"/>
          <w:color w:val="auto"/>
          <w:sz w:val="24"/>
          <w:highlight w:val="none"/>
        </w:rPr>
        <w:t>本授权声明：注册于中华人民共和国的</w:t>
      </w:r>
      <w:r>
        <w:rPr>
          <w:rFonts w:hint="eastAsia" w:ascii="宋体" w:hAnsi="宋体" w:cs="宋体"/>
          <w:color w:val="auto"/>
          <w:sz w:val="24"/>
          <w:highlight w:val="none"/>
          <w:u w:val="single"/>
        </w:rPr>
        <w:t>（投标人名称、住址）</w:t>
      </w:r>
      <w:r>
        <w:rPr>
          <w:rFonts w:hint="eastAsia" w:ascii="宋体" w:hAnsi="宋体" w:cs="宋体"/>
          <w:color w:val="auto"/>
          <w:sz w:val="24"/>
          <w:highlight w:val="none"/>
        </w:rPr>
        <w:t>的法人代表</w:t>
      </w: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代表本公司授权在下面签字的</w:t>
      </w:r>
      <w:r>
        <w:rPr>
          <w:rFonts w:hint="eastAsia" w:ascii="宋体" w:hAnsi="宋体" w:cs="宋体"/>
          <w:color w:val="auto"/>
          <w:sz w:val="24"/>
          <w:highlight w:val="none"/>
          <w:u w:val="single"/>
        </w:rPr>
        <w:t>（授权代表姓名）</w:t>
      </w:r>
      <w:r>
        <w:rPr>
          <w:rFonts w:hint="eastAsia" w:ascii="宋体" w:hAnsi="宋体" w:cs="宋体"/>
          <w:color w:val="auto"/>
          <w:sz w:val="24"/>
          <w:highlight w:val="none"/>
        </w:rPr>
        <w:t>为本公司的合法代理人，就此次</w:t>
      </w:r>
      <w:r>
        <w:rPr>
          <w:rFonts w:hint="eastAsia" w:ascii="宋体" w:hAnsi="宋体" w:cs="宋体"/>
          <w:color w:val="auto"/>
          <w:kern w:val="0"/>
          <w:sz w:val="24"/>
          <w:highlight w:val="none"/>
          <w:u w:val="single"/>
        </w:rPr>
        <w:t>项目名称</w:t>
      </w:r>
      <w:r>
        <w:rPr>
          <w:rFonts w:hint="eastAsia" w:ascii="宋体" w:hAnsi="宋体" w:cs="宋体"/>
          <w:color w:val="auto"/>
          <w:sz w:val="24"/>
          <w:highlight w:val="none"/>
        </w:rPr>
        <w:t>项目，项目编号为（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签字生效，特此声明。</w:t>
      </w:r>
    </w:p>
    <w:p>
      <w:pPr>
        <w:autoSpaceDE w:val="0"/>
        <w:autoSpaceDN w:val="0"/>
        <w:adjustRightIn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法定代表人签字或盖章：</w:t>
      </w:r>
    </w:p>
    <w:p>
      <w:pPr>
        <w:autoSpaceDE w:val="0"/>
        <w:autoSpaceDN w:val="0"/>
        <w:adjustRightIn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授权代表签字或盖章：</w:t>
      </w:r>
    </w:p>
    <w:p>
      <w:pPr>
        <w:autoSpaceDE w:val="0"/>
        <w:autoSpaceDN w:val="0"/>
        <w:adjustRightIn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单位名称：</w:t>
      </w:r>
    </w:p>
    <w:p>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授权日期：20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w:t>
      </w:r>
    </w:p>
    <w:p>
      <w:pPr>
        <w:spacing w:line="440" w:lineRule="exact"/>
        <w:ind w:firstLine="480"/>
        <w:rPr>
          <w:rFonts w:hint="eastAsia" w:ascii="宋体" w:hAnsi="宋体" w:cs="宋体"/>
          <w:color w:val="auto"/>
          <w:sz w:val="24"/>
          <w:highlight w:val="none"/>
        </w:rPr>
      </w:pPr>
    </w:p>
    <w:p>
      <w:pPr>
        <w:spacing w:line="440" w:lineRule="exact"/>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（单位公章）</w:t>
      </w:r>
    </w:p>
    <w:p>
      <w:pPr>
        <w:spacing w:line="440" w:lineRule="exact"/>
        <w:ind w:firstLine="6360" w:firstLineChars="2650"/>
        <w:rPr>
          <w:rFonts w:hint="eastAsia" w:ascii="宋体" w:hAnsi="宋体" w:cs="宋体"/>
          <w:color w:val="auto"/>
          <w:sz w:val="24"/>
          <w:highlight w:val="none"/>
        </w:rPr>
      </w:pPr>
      <w:r>
        <w:rPr>
          <w:rFonts w:hint="eastAsia" w:ascii="宋体" w:hAnsi="宋体" w:cs="宋体"/>
          <w:color w:val="auto"/>
          <w:sz w:val="24"/>
          <w:highlight w:val="none"/>
        </w:rPr>
        <w:t>20    年    月   日</w:t>
      </w:r>
    </w:p>
    <w:p>
      <w:pPr>
        <w:spacing w:line="440" w:lineRule="exact"/>
        <w:ind w:firstLine="482" w:firstLineChars="200"/>
        <w:rPr>
          <w:rFonts w:hint="eastAsia" w:ascii="宋体" w:hAnsi="宋体" w:cs="宋体"/>
          <w:b/>
          <w:color w:val="auto"/>
          <w:sz w:val="24"/>
          <w:highlight w:val="none"/>
          <w:em w:val="dot"/>
        </w:rPr>
      </w:pPr>
    </w:p>
    <w:p>
      <w:pPr>
        <w:spacing w:line="440" w:lineRule="exact"/>
        <w:rPr>
          <w:rFonts w:hint="eastAsia" w:ascii="宋体" w:hAnsi="宋体" w:cs="宋体"/>
          <w:b/>
          <w:color w:val="auto"/>
          <w:sz w:val="24"/>
          <w:highlight w:val="none"/>
          <w:em w:val="dot"/>
        </w:rPr>
      </w:pPr>
    </w:p>
    <w:p>
      <w:pPr>
        <w:spacing w:line="440" w:lineRule="exact"/>
        <w:rPr>
          <w:rFonts w:hint="eastAsia" w:ascii="宋体" w:hAnsi="宋体" w:cs="宋体"/>
          <w:b/>
          <w:color w:val="auto"/>
          <w:sz w:val="24"/>
          <w:highlight w:val="none"/>
          <w:em w:val="dot"/>
        </w:rPr>
      </w:pPr>
      <w:permStart w:id="0" w:edGrp="everyone"/>
      <w:permEnd w:id="0"/>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106045</wp:posOffset>
                </wp:positionV>
                <wp:extent cx="5534660" cy="1584960"/>
                <wp:effectExtent l="0" t="0" r="8890" b="0"/>
                <wp:wrapNone/>
                <wp:docPr id="6"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6"/>
                              <w:numPr>
                                <w:ilvl w:val="0"/>
                                <w:numId w:val="0"/>
                              </w:numPr>
                              <w:jc w:val="both"/>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60288;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tXeY9cAAAAIAQAADwAAAAAAAAABACAAAAAiAAAA&#10;ZHJzL2Rvd25yZXYueG1sUEsBAhQAFAAAAAgAh07iQO2wZrMIAgAARQQAAA4AAAAAAAAAAQAgAAAA&#10;JgEAAGRycy9lMm9Eb2MueG1sUEsFBgAAAAAGAAYAWQEAAKAFAAAAAA==&#10;">
                <v:fill on="t" focussize="0,0"/>
                <v:stroke color="#000000" joinstyle="miter" dashstyle="1 1"/>
                <v:imagedata o:title=""/>
                <o:lock v:ext="edit" aspectratio="f"/>
                <v:textbox>
                  <w:txbxContent>
                    <w:p>
                      <w:pPr>
                        <w:jc w:val="center"/>
                      </w:pPr>
                      <w:permStart w:id="1" w:edGrp="everyone"/>
                      <w:permEnd w:id="1"/>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6"/>
                        <w:numPr>
                          <w:ilvl w:val="0"/>
                          <w:numId w:val="0"/>
                        </w:numPr>
                        <w:jc w:val="both"/>
                      </w:pPr>
                    </w:p>
                  </w:txbxContent>
                </v:textbox>
              </v:shape>
            </w:pict>
          </mc:Fallback>
        </mc:AlternateContent>
      </w:r>
    </w:p>
    <w:p>
      <w:pPr>
        <w:spacing w:line="440" w:lineRule="exact"/>
        <w:rPr>
          <w:rFonts w:hint="eastAsia" w:ascii="宋体" w:hAnsi="宋体" w:cs="宋体"/>
          <w:b/>
          <w:color w:val="auto"/>
          <w:sz w:val="24"/>
          <w:highlight w:val="none"/>
          <w:em w:val="dot"/>
        </w:rPr>
      </w:pPr>
    </w:p>
    <w:p>
      <w:pPr>
        <w:spacing w:line="440" w:lineRule="exact"/>
        <w:rPr>
          <w:rFonts w:hint="eastAsia" w:ascii="宋体" w:hAnsi="宋体" w:cs="宋体"/>
          <w:b/>
          <w:color w:val="auto"/>
          <w:sz w:val="24"/>
          <w:highlight w:val="none"/>
        </w:rPr>
      </w:pPr>
    </w:p>
    <w:p>
      <w:pPr>
        <w:spacing w:line="440" w:lineRule="exact"/>
        <w:rPr>
          <w:rFonts w:hint="eastAsia" w:ascii="宋体" w:hAnsi="宋体" w:cs="宋体"/>
          <w:b/>
          <w:color w:val="auto"/>
          <w:sz w:val="24"/>
          <w:highlight w:val="none"/>
        </w:rPr>
      </w:pPr>
    </w:p>
    <w:p>
      <w:pPr>
        <w:spacing w:line="440" w:lineRule="exact"/>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181610</wp:posOffset>
                </wp:positionV>
                <wp:extent cx="5572760" cy="1584960"/>
                <wp:effectExtent l="0" t="0" r="8890" b="0"/>
                <wp:wrapNone/>
                <wp:docPr id="5"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rPr>
                                <w:b/>
                              </w:rPr>
                            </w:pPr>
                          </w:p>
                          <w:p>
                            <w:pPr>
                              <w:pStyle w:val="6"/>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1312;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&#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Oe5wEwIAgAARQQAAA4AAAAAAAAAAQAgAAAA&#10;JgEAAGRycy9lMm9Eb2MueG1sUEsFBgAAAAAGAAYAWQEAAKAFAAAAAA==&#10;">
                <v:fill on="t" focussize="0,0"/>
                <v:stroke color="#000000" joinstyle="miter" dashstyle="1 1"/>
                <v:imagedata o:title=""/>
                <o:lock v:ext="edit" aspectratio="f"/>
                <v:textbox>
                  <w:txbxContent>
                    <w:p>
                      <w:pPr>
                        <w:jc w:val="center"/>
                      </w:pPr>
                      <w:permStart w:id="2" w:edGrp="everyone"/>
                      <w:permEnd w:id="2"/>
                    </w:p>
                    <w:p>
                      <w:pPr>
                        <w:rPr>
                          <w:b/>
                        </w:rPr>
                      </w:pPr>
                    </w:p>
                    <w:p>
                      <w:pPr>
                        <w:pStyle w:val="6"/>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mc:Fallback>
        </mc:AlternateContent>
      </w:r>
      <w:r>
        <w:rPr>
          <w:rFonts w:hint="eastAsia" w:ascii="宋体" w:hAnsi="宋体" w:cs="宋体"/>
          <w:b/>
          <w:color w:val="auto"/>
          <w:sz w:val="30"/>
          <w:szCs w:val="30"/>
          <w:highlight w:val="none"/>
        </w:rPr>
        <w:br w:type="page"/>
      </w:r>
      <w:r>
        <w:rPr>
          <w:rFonts w:hint="eastAsia" w:ascii="宋体" w:hAnsi="宋体" w:cs="宋体"/>
          <w:b/>
          <w:color w:val="auto"/>
          <w:sz w:val="24"/>
          <w:highlight w:val="none"/>
        </w:rPr>
        <w:t>附件1-3授权委托书 (适用于自然人投标)</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致：____________(采购人或采购代理机构)</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我________(姓名)系自然人，现授权委托____________(姓名)以本人名义参加____________(项目名称) ，项目编号为（____________）的投标活动，并代表本人全权办理针对上述项目的投标、签约等具体事务和签署相关文件。</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本人对授权代表的签字事项负全部责任。</w:t>
      </w: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授权委托代理期限：从　　　年　　月　　日起至　　　年　　月　　日止。</w:t>
      </w:r>
    </w:p>
    <w:p>
      <w:pPr>
        <w:spacing w:before="187" w:beforeLines="50" w:after="187" w:afterLines="50" w:line="360" w:lineRule="auto"/>
        <w:ind w:left="546" w:leftChars="260"/>
        <w:rPr>
          <w:rFonts w:hint="eastAsia" w:ascii="宋体" w:hAnsi="宋体" w:cs="宋体"/>
          <w:color w:val="auto"/>
          <w:sz w:val="24"/>
          <w:highlight w:val="none"/>
        </w:rPr>
      </w:pP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代理人无转委托权，特此委托。</w:t>
      </w:r>
    </w:p>
    <w:p>
      <w:pPr>
        <w:spacing w:before="187" w:beforeLines="50" w:after="187" w:afterLines="50" w:line="360" w:lineRule="auto"/>
        <w:ind w:left="546" w:leftChars="260"/>
        <w:rPr>
          <w:rFonts w:hint="eastAsia" w:ascii="宋体" w:hAnsi="宋体" w:cs="宋体"/>
          <w:color w:val="auto"/>
          <w:sz w:val="24"/>
          <w:highlight w:val="none"/>
        </w:rPr>
      </w:pP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我已在下面签字，以资证明。</w:t>
      </w:r>
    </w:p>
    <w:p>
      <w:pPr>
        <w:spacing w:before="187" w:beforeLines="50" w:after="187" w:afterLines="50" w:line="360" w:lineRule="auto"/>
        <w:ind w:left="546" w:leftChars="260"/>
        <w:rPr>
          <w:rFonts w:hint="eastAsia" w:ascii="宋体" w:hAnsi="宋体" w:cs="宋体"/>
          <w:color w:val="auto"/>
          <w:sz w:val="24"/>
          <w:highlight w:val="none"/>
        </w:rPr>
      </w:pPr>
    </w:p>
    <w:p>
      <w:pPr>
        <w:spacing w:before="187" w:beforeLines="50" w:after="187" w:afterLines="50" w:line="360" w:lineRule="auto"/>
        <w:ind w:left="546" w:leftChars="260"/>
        <w:rPr>
          <w:rFonts w:hint="eastAsia" w:ascii="宋体" w:hAnsi="宋体" w:cs="宋体"/>
          <w:color w:val="auto"/>
          <w:sz w:val="24"/>
          <w:highlight w:val="none"/>
        </w:rPr>
      </w:pPr>
      <w:r>
        <w:rPr>
          <w:rFonts w:hint="eastAsia" w:ascii="宋体" w:hAnsi="宋体" w:cs="宋体"/>
          <w:color w:val="auto"/>
          <w:sz w:val="24"/>
          <w:highlight w:val="none"/>
        </w:rPr>
        <w:t>自然人签字并在签名处加盖食指指印：　　　　年　　月　　日</w:t>
      </w:r>
    </w:p>
    <w:p>
      <w:pPr>
        <w:spacing w:before="187" w:beforeLines="50" w:after="187" w:afterLines="50" w:line="360" w:lineRule="auto"/>
        <w:ind w:left="546" w:leftChars="260"/>
        <w:rPr>
          <w:rFonts w:hint="eastAsia" w:ascii="宋体" w:hAnsi="宋体" w:cs="宋体"/>
          <w:color w:val="auto"/>
          <w:sz w:val="24"/>
          <w:highlight w:val="none"/>
        </w:rPr>
      </w:pPr>
    </w:p>
    <w:p>
      <w:pPr>
        <w:spacing w:before="187" w:beforeLines="50" w:after="187" w:afterLines="50" w:line="360" w:lineRule="auto"/>
        <w:ind w:left="546" w:leftChars="260"/>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pStyle w:val="22"/>
        <w:rPr>
          <w:rFonts w:hint="eastAsia"/>
          <w:color w:val="auto"/>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jc w:val="center"/>
        <w:rPr>
          <w:color w:val="auto"/>
          <w:sz w:val="24"/>
          <w:highlight w:val="none"/>
        </w:rPr>
      </w:pPr>
      <w:r>
        <w:rPr>
          <w:rFonts w:hint="eastAsia"/>
          <w:b/>
          <w:color w:val="auto"/>
          <w:sz w:val="24"/>
          <w:highlight w:val="none"/>
        </w:rPr>
        <w:t>附件1-4    中小微企业声明函</w:t>
      </w:r>
    </w:p>
    <w:p>
      <w:pPr>
        <w:widowControl/>
        <w:ind w:firstLine="482" w:firstLineChars="20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中小企业声明函（工程、 服务）</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本公司（联合体） 郑重声明， 根据《政府采购促进中小企业发展管理办法》（财库﹝ 2020﹞ 46 号） 的规定， 本公司（联合体） 参加（单位名称） 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 xml:space="preserve"> 采购活动， 工程的施工单位全部为符合政策要求的中小企业（或者： 服务全部由符合政策要求的中小企业承接）。 相关企业（ 含联合体中的中小企业、 签订分包意向协议的中小企业） 的具体情况如下：</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 xml:space="preserve">（标的名称） </w:t>
      </w:r>
      <w:r>
        <w:rPr>
          <w:rFonts w:hint="eastAsia" w:ascii="宋体" w:hAnsi="宋体" w:cs="宋体"/>
          <w:color w:val="auto"/>
          <w:kern w:val="0"/>
          <w:sz w:val="24"/>
          <w:highlight w:val="none"/>
        </w:rPr>
        <w:t>， 属于</w:t>
      </w:r>
      <w:r>
        <w:rPr>
          <w:rFonts w:hint="eastAsia" w:ascii="宋体" w:hAnsi="宋体" w:cs="宋体"/>
          <w:color w:val="auto"/>
          <w:kern w:val="0"/>
          <w:sz w:val="24"/>
          <w:highlight w:val="none"/>
          <w:u w:val="single"/>
        </w:rPr>
        <w:t>（磋商文件中明确的所属行业）</w:t>
      </w:r>
      <w:r>
        <w:rPr>
          <w:rFonts w:hint="eastAsia" w:ascii="宋体" w:hAnsi="宋体" w:cs="宋体"/>
          <w:color w:val="auto"/>
          <w:kern w:val="0"/>
          <w:sz w:val="24"/>
          <w:highlight w:val="none"/>
        </w:rPr>
        <w:t>；承建（ 承接） 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 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 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 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 属于</w:t>
      </w:r>
      <w:r>
        <w:rPr>
          <w:rFonts w:hint="eastAsia" w:ascii="宋体" w:hAnsi="宋体" w:cs="宋体"/>
          <w:color w:val="auto"/>
          <w:kern w:val="0"/>
          <w:sz w:val="24"/>
          <w:highlight w:val="none"/>
          <w:u w:val="single"/>
        </w:rPr>
        <w:t>（中型企业、小型企业、 微型企业）</w:t>
      </w:r>
      <w:r>
        <w:rPr>
          <w:rFonts w:hint="eastAsia" w:ascii="宋体" w:hAnsi="宋体" w:cs="宋体"/>
          <w:color w:val="auto"/>
          <w:kern w:val="0"/>
          <w:sz w:val="24"/>
          <w:highlight w:val="none"/>
        </w:rPr>
        <w:t>；</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 xml:space="preserve"> ， 属于</w:t>
      </w:r>
      <w:r>
        <w:rPr>
          <w:rFonts w:hint="eastAsia" w:ascii="宋体" w:hAnsi="宋体" w:cs="宋体"/>
          <w:color w:val="auto"/>
          <w:kern w:val="0"/>
          <w:sz w:val="24"/>
          <w:highlight w:val="none"/>
          <w:u w:val="single"/>
        </w:rPr>
        <w:t>（磋商文件中明确的所属行业）</w:t>
      </w:r>
      <w:r>
        <w:rPr>
          <w:rFonts w:hint="eastAsia" w:ascii="宋体" w:hAnsi="宋体" w:cs="宋体"/>
          <w:color w:val="auto"/>
          <w:kern w:val="0"/>
          <w:sz w:val="24"/>
          <w:highlight w:val="none"/>
        </w:rPr>
        <w:t>；承建（ 承接） 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 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 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 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 属于</w:t>
      </w:r>
      <w:r>
        <w:rPr>
          <w:rFonts w:hint="eastAsia" w:ascii="宋体" w:hAnsi="宋体" w:cs="宋体"/>
          <w:color w:val="auto"/>
          <w:kern w:val="0"/>
          <w:sz w:val="24"/>
          <w:highlight w:val="none"/>
          <w:u w:val="single"/>
        </w:rPr>
        <w:t>（中型企业、小型企业、 微型企业）</w:t>
      </w:r>
      <w:r>
        <w:rPr>
          <w:rFonts w:hint="eastAsia" w:ascii="宋体" w:hAnsi="宋体" w:cs="宋体"/>
          <w:color w:val="auto"/>
          <w:kern w:val="0"/>
          <w:sz w:val="24"/>
          <w:highlight w:val="none"/>
        </w:rPr>
        <w:t>；</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以上企业， 不属于大企业的分支机构， 不存在控股股东为大企业的情形， 也不存在与大企业的负责人为同一人的情形。本企业对上述声明内容的真实性负责。 如有虚假， 将依法承担相应责任。</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企业名称（盖章）：</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日 期：</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vertAlign w:val="superscript"/>
        </w:rPr>
        <w:t xml:space="preserve">1 </w:t>
      </w:r>
      <w:r>
        <w:rPr>
          <w:rFonts w:hint="eastAsia" w:ascii="宋体" w:hAnsi="宋体" w:cs="宋体"/>
          <w:color w:val="auto"/>
          <w:kern w:val="0"/>
          <w:sz w:val="24"/>
          <w:highlight w:val="none"/>
        </w:rPr>
        <w:t>从业人员、 营业收入、 资产总额填报上一年度数据， 无上一年度数据的新成立企业可不填报。</w:t>
      </w:r>
    </w:p>
    <w:p>
      <w:pPr>
        <w:tabs>
          <w:tab w:val="left" w:pos="3777"/>
          <w:tab w:val="center" w:pos="4819"/>
        </w:tabs>
        <w:spacing w:line="360" w:lineRule="auto"/>
        <w:jc w:val="left"/>
        <w:rPr>
          <w:rFonts w:hint="eastAsia" w:ascii="宋体" w:hAnsi="宋体"/>
          <w:color w:val="auto"/>
          <w:kern w:val="0"/>
          <w:sz w:val="24"/>
          <w:highlight w:val="none"/>
        </w:rPr>
      </w:pPr>
      <w:r>
        <w:rPr>
          <w:rFonts w:hint="eastAsia" w:ascii="宋体" w:hAnsi="宋体"/>
          <w:color w:val="auto"/>
          <w:kern w:val="0"/>
          <w:sz w:val="24"/>
          <w:highlight w:val="none"/>
        </w:rPr>
        <w:t>（若投标文件中无上述企业类型声明函，则在评审时不考虑对该小、微企业的相关优惠。）</w:t>
      </w:r>
    </w:p>
    <w:p>
      <w:pPr>
        <w:spacing w:line="360" w:lineRule="auto"/>
        <w:ind w:firstLine="480" w:firstLineChars="200"/>
        <w:rPr>
          <w:color w:val="auto"/>
          <w:sz w:val="24"/>
          <w:highlight w:val="none"/>
        </w:rPr>
      </w:pPr>
    </w:p>
    <w:p>
      <w:pPr>
        <w:tabs>
          <w:tab w:val="left" w:pos="3777"/>
          <w:tab w:val="center" w:pos="4819"/>
        </w:tabs>
        <w:spacing w:line="360" w:lineRule="auto"/>
        <w:ind w:firstLine="1807" w:firstLineChars="750"/>
        <w:rPr>
          <w:b/>
          <w:color w:val="auto"/>
          <w:sz w:val="24"/>
          <w:highlight w:val="none"/>
        </w:rPr>
      </w:pPr>
      <w:r>
        <w:rPr>
          <w:rFonts w:hint="eastAsia"/>
          <w:b/>
          <w:color w:val="auto"/>
          <w:sz w:val="24"/>
          <w:highlight w:val="none"/>
        </w:rPr>
        <w:br w:type="page"/>
      </w:r>
      <w:r>
        <w:rPr>
          <w:rFonts w:hint="eastAsia"/>
          <w:b/>
          <w:color w:val="auto"/>
          <w:sz w:val="24"/>
          <w:highlight w:val="none"/>
        </w:rPr>
        <w:t xml:space="preserve">            附件1-5  监狱企业声明函</w:t>
      </w:r>
    </w:p>
    <w:p>
      <w:pPr>
        <w:spacing w:line="360" w:lineRule="auto"/>
        <w:jc w:val="center"/>
        <w:rPr>
          <w:color w:val="auto"/>
          <w:sz w:val="24"/>
          <w:highlight w:val="none"/>
        </w:rPr>
      </w:pPr>
      <w:r>
        <w:rPr>
          <w:rFonts w:hint="eastAsia"/>
          <w:color w:val="auto"/>
          <w:sz w:val="24"/>
          <w:highlight w:val="none"/>
        </w:rPr>
        <w:t>（监狱企业适用）</w:t>
      </w:r>
    </w:p>
    <w:p>
      <w:pPr>
        <w:spacing w:line="360" w:lineRule="auto"/>
        <w:ind w:firstLine="540" w:firstLineChars="225"/>
        <w:rPr>
          <w:color w:val="auto"/>
          <w:sz w:val="24"/>
          <w:highlight w:val="none"/>
        </w:rPr>
      </w:pPr>
      <w:r>
        <w:rPr>
          <w:rFonts w:hint="eastAsia"/>
          <w:color w:val="auto"/>
          <w:sz w:val="24"/>
          <w:highlight w:val="none"/>
        </w:rPr>
        <w:t>本公司郑重声明，根据《关于政府采购支持监狱企业发展有关问题的通知》（财库</w:t>
      </w:r>
      <w:r>
        <w:rPr>
          <w:color w:val="auto"/>
          <w:sz w:val="24"/>
          <w:highlight w:val="none"/>
        </w:rPr>
        <w:t>[2014]68</w:t>
      </w:r>
      <w:r>
        <w:rPr>
          <w:rFonts w:hint="eastAsia"/>
          <w:color w:val="auto"/>
          <w:sz w:val="24"/>
          <w:highlight w:val="none"/>
        </w:rPr>
        <w:t>号）的规定，本公司为监狱企业。</w:t>
      </w:r>
    </w:p>
    <w:p>
      <w:pPr>
        <w:spacing w:line="360" w:lineRule="auto"/>
        <w:ind w:firstLine="540" w:firstLineChars="225"/>
        <w:rPr>
          <w:color w:val="auto"/>
          <w:sz w:val="24"/>
          <w:highlight w:val="none"/>
        </w:rPr>
      </w:pPr>
      <w:r>
        <w:rPr>
          <w:rFonts w:hint="eastAsia"/>
          <w:color w:val="auto"/>
          <w:sz w:val="24"/>
          <w:highlight w:val="none"/>
        </w:rPr>
        <w:t>本公司参加</w:t>
      </w:r>
      <w:r>
        <w:rPr>
          <w:color w:val="auto"/>
          <w:sz w:val="24"/>
          <w:highlight w:val="none"/>
        </w:rPr>
        <w:t>______</w:t>
      </w:r>
      <w:r>
        <w:rPr>
          <w:rFonts w:hint="eastAsia"/>
          <w:color w:val="auto"/>
          <w:sz w:val="24"/>
          <w:highlight w:val="none"/>
        </w:rPr>
        <w:t>单位的</w:t>
      </w:r>
      <w:r>
        <w:rPr>
          <w:color w:val="auto"/>
          <w:sz w:val="24"/>
          <w:highlight w:val="none"/>
        </w:rPr>
        <w:t>______</w:t>
      </w:r>
      <w:r>
        <w:rPr>
          <w:rFonts w:hint="eastAsia"/>
          <w:color w:val="auto"/>
          <w:sz w:val="24"/>
          <w:highlight w:val="none"/>
        </w:rPr>
        <w:t>项目采购活动，采购活动提供本企业（填写制造的货物，由本企业承担工程、提供服务）。</w:t>
      </w:r>
    </w:p>
    <w:p>
      <w:pPr>
        <w:spacing w:line="360" w:lineRule="auto"/>
        <w:ind w:firstLine="540" w:firstLineChars="225"/>
        <w:rPr>
          <w:color w:val="auto"/>
          <w:sz w:val="24"/>
          <w:highlight w:val="none"/>
        </w:rPr>
      </w:pPr>
      <w:r>
        <w:rPr>
          <w:rFonts w:hint="eastAsia"/>
          <w:color w:val="auto"/>
          <w:sz w:val="24"/>
          <w:highlight w:val="none"/>
        </w:rPr>
        <w:t>本条所称货物不包括使用大型企业注册商标的货物和服务。</w:t>
      </w:r>
    </w:p>
    <w:p>
      <w:pPr>
        <w:spacing w:line="360" w:lineRule="auto"/>
        <w:ind w:firstLine="540" w:firstLineChars="225"/>
        <w:rPr>
          <w:color w:val="auto"/>
          <w:sz w:val="24"/>
          <w:highlight w:val="none"/>
        </w:rPr>
      </w:pPr>
      <w:r>
        <w:rPr>
          <w:rFonts w:hint="eastAsia"/>
          <w:color w:val="auto"/>
          <w:sz w:val="24"/>
          <w:highlight w:val="none"/>
        </w:rPr>
        <w:t>本公司对上述声明的真实性负责。如有虚假，将依法承担相应责任。</w:t>
      </w:r>
    </w:p>
    <w:p>
      <w:pPr>
        <w:spacing w:line="360" w:lineRule="auto"/>
        <w:ind w:firstLine="4860" w:firstLineChars="2025"/>
        <w:rPr>
          <w:color w:val="auto"/>
          <w:sz w:val="24"/>
          <w:highlight w:val="none"/>
        </w:rPr>
      </w:pPr>
      <w:r>
        <w:rPr>
          <w:rFonts w:hint="eastAsia"/>
          <w:color w:val="auto"/>
          <w:sz w:val="24"/>
          <w:highlight w:val="none"/>
        </w:rPr>
        <w:t>企业名称（加盖公章）：</w:t>
      </w:r>
    </w:p>
    <w:p>
      <w:pPr>
        <w:spacing w:line="360" w:lineRule="auto"/>
        <w:ind w:firstLine="4860" w:firstLineChars="2025"/>
        <w:rPr>
          <w:color w:val="auto"/>
          <w:sz w:val="24"/>
          <w:highlight w:val="none"/>
        </w:rPr>
      </w:pPr>
      <w:r>
        <w:rPr>
          <w:rFonts w:hint="eastAsia"/>
          <w:color w:val="auto"/>
          <w:sz w:val="24"/>
          <w:highlight w:val="none"/>
        </w:rPr>
        <w:t>法定代表人（负责人）或其授权代表</w:t>
      </w:r>
      <w:r>
        <w:rPr>
          <w:color w:val="auto"/>
          <w:sz w:val="24"/>
          <w:highlight w:val="none"/>
        </w:rPr>
        <w:t>(</w:t>
      </w:r>
      <w:r>
        <w:rPr>
          <w:rFonts w:hint="eastAsia"/>
          <w:color w:val="auto"/>
          <w:sz w:val="24"/>
          <w:highlight w:val="none"/>
        </w:rPr>
        <w:t>签字</w:t>
      </w:r>
      <w:r>
        <w:rPr>
          <w:color w:val="auto"/>
          <w:sz w:val="24"/>
          <w:highlight w:val="none"/>
        </w:rPr>
        <w:t>)</w:t>
      </w:r>
      <w:r>
        <w:rPr>
          <w:rFonts w:hint="eastAsia"/>
          <w:color w:val="auto"/>
          <w:sz w:val="24"/>
          <w:highlight w:val="none"/>
        </w:rPr>
        <w:t>：</w:t>
      </w:r>
    </w:p>
    <w:p>
      <w:pPr>
        <w:tabs>
          <w:tab w:val="left" w:pos="2880"/>
        </w:tabs>
        <w:spacing w:line="460" w:lineRule="atLeast"/>
        <w:ind w:firstLine="4800" w:firstLineChars="2000"/>
        <w:rPr>
          <w:color w:val="auto"/>
          <w:sz w:val="24"/>
          <w:highlight w:val="none"/>
        </w:rPr>
      </w:pPr>
      <w:r>
        <w:rPr>
          <w:rFonts w:hint="eastAsia"/>
          <w:color w:val="auto"/>
          <w:sz w:val="24"/>
          <w:highlight w:val="none"/>
        </w:rPr>
        <w:t>日期：</w:t>
      </w:r>
    </w:p>
    <w:p>
      <w:pPr>
        <w:spacing w:line="360" w:lineRule="auto"/>
        <w:ind w:firstLine="480" w:firstLineChars="200"/>
        <w:rPr>
          <w:color w:val="auto"/>
          <w:sz w:val="24"/>
          <w:highlight w:val="none"/>
        </w:rPr>
      </w:pPr>
      <w:r>
        <w:rPr>
          <w:rFonts w:hint="eastAsia"/>
          <w:color w:val="auto"/>
          <w:sz w:val="24"/>
          <w:highlight w:val="none"/>
        </w:rPr>
        <w:t>注：后附监狱企业资格证明文件</w:t>
      </w:r>
    </w:p>
    <w:p>
      <w:pPr>
        <w:spacing w:line="440" w:lineRule="exact"/>
        <w:ind w:firstLine="567"/>
        <w:rPr>
          <w:color w:val="auto"/>
          <w:sz w:val="24"/>
          <w:highlight w:val="none"/>
        </w:rPr>
      </w:pPr>
      <w:r>
        <w:rPr>
          <w:rFonts w:hint="eastAsia"/>
          <w:color w:val="auto"/>
          <w:sz w:val="24"/>
          <w:highlight w:val="none"/>
        </w:rPr>
        <w:t>1. 省级以上监狱管理局、戒毒管理局（含新疆生产建设兵团）出具的属于监狱企业的证明文件；</w:t>
      </w:r>
    </w:p>
    <w:p>
      <w:pPr>
        <w:tabs>
          <w:tab w:val="left" w:pos="2880"/>
        </w:tabs>
        <w:spacing w:line="460" w:lineRule="atLeast"/>
        <w:ind w:firstLine="566" w:firstLineChars="236"/>
        <w:rPr>
          <w:b/>
          <w:color w:val="auto"/>
          <w:sz w:val="24"/>
          <w:highlight w:val="none"/>
        </w:rPr>
      </w:pPr>
      <w:r>
        <w:rPr>
          <w:rFonts w:hint="eastAsia"/>
          <w:color w:val="auto"/>
          <w:sz w:val="24"/>
          <w:highlight w:val="none"/>
        </w:rPr>
        <w:t>2.证明材料加盖供应商公章。</w:t>
      </w:r>
    </w:p>
    <w:p>
      <w:pPr>
        <w:spacing w:line="360" w:lineRule="auto"/>
        <w:rPr>
          <w:color w:val="auto"/>
          <w:sz w:val="24"/>
          <w:highlight w:val="none"/>
        </w:rPr>
      </w:pPr>
      <w:r>
        <w:rPr>
          <w:rFonts w:hint="eastAsia"/>
          <w:color w:val="auto"/>
          <w:sz w:val="24"/>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rFonts w:cs="??_GB2312"/>
          <w:b/>
          <w:bCs/>
          <w:color w:val="auto"/>
          <w:spacing w:val="6"/>
          <w:sz w:val="24"/>
          <w:highlight w:val="none"/>
        </w:rPr>
      </w:pPr>
      <w:r>
        <w:rPr>
          <w:rFonts w:hint="eastAsia"/>
          <w:b/>
          <w:color w:val="auto"/>
          <w:sz w:val="24"/>
          <w:highlight w:val="none"/>
        </w:rPr>
        <w:t xml:space="preserve">附件1-6  </w:t>
      </w:r>
      <w:r>
        <w:rPr>
          <w:rFonts w:hint="eastAsia"/>
          <w:b/>
          <w:bCs/>
          <w:color w:val="auto"/>
          <w:spacing w:val="6"/>
          <w:sz w:val="24"/>
          <w:highlight w:val="none"/>
        </w:rPr>
        <w:t>残疾人福利性单位声明函</w:t>
      </w:r>
    </w:p>
    <w:p>
      <w:pPr>
        <w:autoSpaceDE w:val="0"/>
        <w:autoSpaceDN w:val="0"/>
        <w:adjustRightInd w:val="0"/>
        <w:spacing w:line="440" w:lineRule="exact"/>
        <w:rPr>
          <w:rFonts w:cs="??_GB2312"/>
          <w:b/>
          <w:bCs/>
          <w:color w:val="auto"/>
          <w:spacing w:val="6"/>
          <w:sz w:val="24"/>
          <w:highlight w:val="none"/>
        </w:rPr>
      </w:pPr>
    </w:p>
    <w:p>
      <w:pPr>
        <w:adjustRightInd w:val="0"/>
        <w:snapToGrid w:val="0"/>
        <w:spacing w:line="440" w:lineRule="exact"/>
        <w:ind w:firstLine="504" w:firstLineChars="200"/>
        <w:rPr>
          <w:color w:val="auto"/>
          <w:spacing w:val="6"/>
          <w:sz w:val="24"/>
          <w:highlight w:val="none"/>
        </w:rPr>
      </w:pPr>
      <w:r>
        <w:rPr>
          <w:rFonts w:hint="eastAsia"/>
          <w:color w:val="auto"/>
          <w:spacing w:val="6"/>
          <w:sz w:val="24"/>
          <w:highlight w:val="none"/>
        </w:rPr>
        <w:t>本单位郑重声明，根据《财政部</w:t>
      </w:r>
      <w:r>
        <w:rPr>
          <w:color w:val="auto"/>
          <w:spacing w:val="6"/>
          <w:sz w:val="24"/>
          <w:highlight w:val="none"/>
        </w:rPr>
        <w:t xml:space="preserve"> </w:t>
      </w:r>
      <w:r>
        <w:rPr>
          <w:rFonts w:hint="eastAsia"/>
          <w:color w:val="auto"/>
          <w:spacing w:val="6"/>
          <w:sz w:val="24"/>
          <w:highlight w:val="none"/>
        </w:rPr>
        <w:t>民政部</w:t>
      </w:r>
      <w:r>
        <w:rPr>
          <w:color w:val="auto"/>
          <w:spacing w:val="6"/>
          <w:sz w:val="24"/>
          <w:highlight w:val="none"/>
        </w:rPr>
        <w:t xml:space="preserve"> </w:t>
      </w:r>
      <w:r>
        <w:rPr>
          <w:rFonts w:hint="eastAsia"/>
          <w:color w:val="auto"/>
          <w:spacing w:val="6"/>
          <w:sz w:val="24"/>
          <w:highlight w:val="none"/>
        </w:rPr>
        <w:t>中国残疾人联合会关于促进残疾人就业政府采购政策的通知》（财库〔</w:t>
      </w:r>
      <w:r>
        <w:rPr>
          <w:color w:val="auto"/>
          <w:spacing w:val="6"/>
          <w:sz w:val="24"/>
          <w:highlight w:val="none"/>
        </w:rPr>
        <w:t>2017</w:t>
      </w:r>
      <w:r>
        <w:rPr>
          <w:rFonts w:hint="eastAsia"/>
          <w:color w:val="auto"/>
          <w:spacing w:val="6"/>
          <w:sz w:val="24"/>
          <w:highlight w:val="none"/>
        </w:rPr>
        <w:t>〕</w:t>
      </w:r>
      <w:r>
        <w:rPr>
          <w:color w:val="auto"/>
          <w:spacing w:val="6"/>
          <w:sz w:val="24"/>
          <w:highlight w:val="none"/>
        </w:rPr>
        <w:t xml:space="preserve"> 141</w:t>
      </w:r>
      <w:r>
        <w:rPr>
          <w:rFonts w:hint="eastAsia"/>
          <w:color w:val="auto"/>
          <w:spacing w:val="6"/>
          <w:sz w:val="24"/>
          <w:highlight w:val="none"/>
        </w:rPr>
        <w:t>号）的规定，本单位为符合条件的残疾人福利性单位，且本单位参加</w:t>
      </w:r>
      <w:r>
        <w:rPr>
          <w:color w:val="auto"/>
          <w:spacing w:val="6"/>
          <w:sz w:val="24"/>
          <w:highlight w:val="none"/>
        </w:rPr>
        <w:t>______</w:t>
      </w:r>
      <w:r>
        <w:rPr>
          <w:rFonts w:hint="eastAsia"/>
          <w:color w:val="auto"/>
          <w:spacing w:val="6"/>
          <w:sz w:val="24"/>
          <w:highlight w:val="none"/>
        </w:rPr>
        <w:t>单位的</w:t>
      </w:r>
      <w:r>
        <w:rPr>
          <w:color w:val="auto"/>
          <w:spacing w:val="6"/>
          <w:sz w:val="24"/>
          <w:highlight w:val="none"/>
        </w:rPr>
        <w:t>______</w:t>
      </w:r>
      <w:r>
        <w:rPr>
          <w:rFonts w:hint="eastAsia"/>
          <w:color w:val="auto"/>
          <w:spacing w:val="6"/>
          <w:sz w:val="24"/>
          <w:highlight w:val="none"/>
        </w:rPr>
        <w:t>项目采购活动提供本单位制造的货物（由本单位承担工程</w:t>
      </w:r>
      <w:r>
        <w:rPr>
          <w:color w:val="auto"/>
          <w:spacing w:val="6"/>
          <w:sz w:val="24"/>
          <w:highlight w:val="none"/>
        </w:rPr>
        <w:t>/</w:t>
      </w:r>
      <w:r>
        <w:rPr>
          <w:rFonts w:hint="eastAsia"/>
          <w:color w:val="auto"/>
          <w:spacing w:val="6"/>
          <w:sz w:val="24"/>
          <w:highlight w:val="none"/>
        </w:rPr>
        <w:t>提供服务），或者提供其他残疾人福利性单位制造的货物（不包括使用非残疾人福利性单位注册商标的货物）。</w:t>
      </w:r>
    </w:p>
    <w:p>
      <w:pPr>
        <w:adjustRightInd w:val="0"/>
        <w:snapToGrid w:val="0"/>
        <w:spacing w:line="440" w:lineRule="exact"/>
        <w:ind w:firstLine="504" w:firstLineChars="200"/>
        <w:rPr>
          <w:color w:val="auto"/>
          <w:spacing w:val="6"/>
          <w:sz w:val="24"/>
          <w:highlight w:val="none"/>
        </w:rPr>
      </w:pPr>
      <w:r>
        <w:rPr>
          <w:rFonts w:hint="eastAsia"/>
          <w:color w:val="auto"/>
          <w:spacing w:val="6"/>
          <w:sz w:val="24"/>
          <w:highlight w:val="none"/>
        </w:rPr>
        <w:t>本单位对上述声明的真实性负责。如有虚假，将依法承担相应责任。</w:t>
      </w:r>
      <w:r>
        <w:rPr>
          <w:color w:val="auto"/>
          <w:spacing w:val="6"/>
          <w:sz w:val="24"/>
          <w:highlight w:val="none"/>
        </w:rPr>
        <w:t xml:space="preserve"> </w:t>
      </w:r>
    </w:p>
    <w:p>
      <w:pPr>
        <w:pStyle w:val="26"/>
        <w:rPr>
          <w:color w:val="auto"/>
          <w:highlight w:val="none"/>
        </w:rPr>
      </w:pPr>
    </w:p>
    <w:p>
      <w:pPr>
        <w:adjustRightInd w:val="0"/>
        <w:snapToGrid w:val="0"/>
        <w:spacing w:line="440" w:lineRule="exact"/>
        <w:ind w:firstLine="5544" w:firstLineChars="2200"/>
        <w:rPr>
          <w:color w:val="auto"/>
          <w:spacing w:val="6"/>
          <w:sz w:val="24"/>
          <w:highlight w:val="none"/>
        </w:rPr>
      </w:pPr>
      <w:r>
        <w:rPr>
          <w:rFonts w:hint="eastAsia"/>
          <w:color w:val="auto"/>
          <w:spacing w:val="6"/>
          <w:sz w:val="24"/>
          <w:highlight w:val="none"/>
        </w:rPr>
        <w:t>单位名称（盖章）：</w:t>
      </w:r>
    </w:p>
    <w:p>
      <w:pPr>
        <w:adjustRightInd w:val="0"/>
        <w:snapToGrid w:val="0"/>
        <w:spacing w:line="440" w:lineRule="exact"/>
        <w:ind w:firstLine="504" w:firstLineChars="200"/>
        <w:rPr>
          <w:rFonts w:hint="eastAsia"/>
          <w:color w:val="auto"/>
          <w:spacing w:val="6"/>
          <w:sz w:val="24"/>
          <w:highlight w:val="none"/>
        </w:rPr>
      </w:pPr>
      <w:r>
        <w:rPr>
          <w:color w:val="auto"/>
          <w:spacing w:val="6"/>
          <w:sz w:val="24"/>
          <w:highlight w:val="none"/>
        </w:rPr>
        <w:t xml:space="preserve">                                 </w:t>
      </w:r>
      <w:r>
        <w:rPr>
          <w:rFonts w:hint="eastAsia"/>
          <w:color w:val="auto"/>
          <w:spacing w:val="6"/>
          <w:sz w:val="24"/>
          <w:highlight w:val="none"/>
        </w:rPr>
        <w:t xml:space="preserve"> </w:t>
      </w:r>
      <w:r>
        <w:rPr>
          <w:color w:val="auto"/>
          <w:spacing w:val="6"/>
          <w:sz w:val="24"/>
          <w:highlight w:val="none"/>
        </w:rPr>
        <w:t xml:space="preserve">    </w:t>
      </w:r>
      <w:r>
        <w:rPr>
          <w:rFonts w:hint="eastAsia"/>
          <w:color w:val="auto"/>
          <w:spacing w:val="6"/>
          <w:sz w:val="24"/>
          <w:highlight w:val="none"/>
        </w:rPr>
        <w:t>日</w:t>
      </w:r>
      <w:r>
        <w:rPr>
          <w:color w:val="auto"/>
          <w:spacing w:val="6"/>
          <w:sz w:val="24"/>
          <w:highlight w:val="none"/>
        </w:rPr>
        <w:t xml:space="preserve">  </w:t>
      </w:r>
      <w:r>
        <w:rPr>
          <w:rFonts w:hint="eastAsia"/>
          <w:color w:val="auto"/>
          <w:spacing w:val="6"/>
          <w:sz w:val="24"/>
          <w:highlight w:val="none"/>
        </w:rPr>
        <w:t>期：</w:t>
      </w:r>
    </w:p>
    <w:p>
      <w:pPr>
        <w:pStyle w:val="22"/>
        <w:rPr>
          <w:rFonts w:hint="eastAsia"/>
          <w:color w:val="auto"/>
          <w:highlight w:val="none"/>
        </w:rPr>
      </w:pPr>
    </w:p>
    <w:p>
      <w:pPr>
        <w:spacing w:before="187" w:beforeLines="50" w:after="187" w:afterLines="50" w:line="44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（二）商务技术文件</w:t>
      </w:r>
    </w:p>
    <w:p>
      <w:pPr>
        <w:spacing w:line="360" w:lineRule="auto"/>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1、商务技术文件封面</w:t>
      </w:r>
    </w:p>
    <w:p>
      <w:pPr>
        <w:pStyle w:val="6"/>
        <w:numPr>
          <w:ilvl w:val="0"/>
          <w:numId w:val="0"/>
        </w:numPr>
        <w:jc w:val="both"/>
        <w:rPr>
          <w:rFonts w:hint="eastAsia"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6"/>
        <w:numPr>
          <w:ilvl w:val="0"/>
          <w:numId w:val="0"/>
        </w:numPr>
        <w:jc w:val="both"/>
        <w:rPr>
          <w:rFonts w:hint="eastAsia" w:cs="宋体"/>
          <w:color w:val="auto"/>
          <w:highlight w:val="none"/>
        </w:rPr>
      </w:pPr>
    </w:p>
    <w:p>
      <w:pPr>
        <w:rPr>
          <w:rFonts w:hint="eastAsia" w:ascii="宋体" w:hAnsi="宋体" w:cs="宋体"/>
          <w:color w:val="auto"/>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***服务项目</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商务技术文件</w:t>
      </w: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投标单位名称：</w:t>
      </w:r>
    </w:p>
    <w:p>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投标内容：</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投标单位联系人：</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投标单位联系电话：：</w:t>
      </w:r>
    </w:p>
    <w:p>
      <w:pPr>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二〇二三年  月</w:t>
      </w:r>
    </w:p>
    <w:p>
      <w:pPr>
        <w:rPr>
          <w:rFonts w:hint="eastAsia" w:ascii="宋体" w:hAnsi="宋体" w:cs="宋体"/>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spacing w:line="360" w:lineRule="auto"/>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2、商务技术文件组成</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目录</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一、磋商响应承诺书（附件一）</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二、投标承诺书（附件二）</w:t>
      </w:r>
    </w:p>
    <w:p>
      <w:pPr>
        <w:tabs>
          <w:tab w:val="left" w:pos="9135"/>
        </w:tabs>
        <w:spacing w:line="440" w:lineRule="exact"/>
        <w:rPr>
          <w:rFonts w:hint="eastAsia" w:ascii="宋体" w:hAnsi="宋体" w:cs="宋体"/>
          <w:b/>
          <w:color w:val="auto"/>
          <w:sz w:val="24"/>
          <w:highlight w:val="none"/>
        </w:rPr>
      </w:pPr>
      <w:r>
        <w:rPr>
          <w:rFonts w:hint="eastAsia" w:ascii="宋体" w:hAnsi="宋体" w:cs="宋体"/>
          <w:bCs/>
          <w:color w:val="auto"/>
          <w:sz w:val="24"/>
          <w:highlight w:val="none"/>
        </w:rPr>
        <w:t>三、磋商响应报价表（单独提交）（附件三）</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四、明细报价表（附件四）</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五、供应商概况（附件五）</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六、项目负责人简历表及拟投入本项目主要成员表（附件六）</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七、供应商近3年的类似业绩（附件七）</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八、</w:t>
      </w:r>
      <w:r>
        <w:rPr>
          <w:rFonts w:hint="eastAsia" w:ascii="宋体" w:hAnsi="宋体" w:cs="宋体"/>
          <w:bCs/>
          <w:color w:val="auto"/>
          <w:sz w:val="24"/>
          <w:highlight w:val="none"/>
          <w:lang w:val="en-US" w:eastAsia="zh-CN"/>
        </w:rPr>
        <w:t>服务方案</w:t>
      </w:r>
      <w:r>
        <w:rPr>
          <w:rFonts w:hint="eastAsia" w:ascii="宋体" w:hAnsi="宋体" w:cs="宋体"/>
          <w:bCs/>
          <w:color w:val="auto"/>
          <w:sz w:val="24"/>
          <w:highlight w:val="none"/>
        </w:rPr>
        <w:t>（附件八）</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包含但不限于实施计划、应急保障方案，响应时间、服务响应的联系人及联系方式等相关信息及证明材料。</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九、技术条款偏离表（附件九）</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十、供应商反商业贿赂承诺书（附件十）</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注：</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1.投标人制作投标文件，应按照投标文件组成顺序制作，编好始末页码且在投标文件目录中一一列明并对应。</w:t>
      </w:r>
    </w:p>
    <w:p>
      <w:pPr>
        <w:spacing w:line="440" w:lineRule="exact"/>
        <w:rPr>
          <w:rFonts w:hint="eastAsia" w:ascii="宋体" w:hAnsi="宋体" w:cs="宋体"/>
          <w:bCs/>
          <w:color w:val="auto"/>
          <w:sz w:val="24"/>
          <w:highlight w:val="none"/>
        </w:rPr>
      </w:pPr>
      <w:r>
        <w:rPr>
          <w:rFonts w:hint="eastAsia" w:ascii="宋体" w:hAnsi="宋体" w:cs="宋体"/>
          <w:bCs/>
          <w:color w:val="auto"/>
          <w:sz w:val="24"/>
          <w:highlight w:val="none"/>
        </w:rPr>
        <w:t>2.招标文件没有提供格式的，投标人可自行设置。</w:t>
      </w:r>
    </w:p>
    <w:p>
      <w:pPr>
        <w:pStyle w:val="6"/>
        <w:numPr>
          <w:ilvl w:val="0"/>
          <w:numId w:val="0"/>
        </w:numPr>
        <w:jc w:val="both"/>
        <w:rPr>
          <w:rFonts w:hint="eastAsia" w:cs="宋体"/>
          <w:color w:val="auto"/>
          <w:highlight w:val="none"/>
        </w:rPr>
      </w:pPr>
    </w:p>
    <w:p>
      <w:pPr>
        <w:spacing w:line="440" w:lineRule="exact"/>
        <w:jc w:val="center"/>
        <w:rPr>
          <w:rFonts w:hint="eastAsia" w:ascii="宋体" w:hAnsi="宋体" w:cs="宋体"/>
          <w:b/>
          <w:color w:val="auto"/>
          <w:sz w:val="24"/>
          <w:highlight w:val="none"/>
        </w:rPr>
      </w:pPr>
      <w:bookmarkStart w:id="328" w:name="_Toc380404625"/>
    </w:p>
    <w:p>
      <w:pPr>
        <w:spacing w:line="440" w:lineRule="exact"/>
        <w:jc w:val="center"/>
        <w:rPr>
          <w:rFonts w:hint="eastAsia" w:ascii="宋体" w:hAnsi="宋体" w:cs="宋体"/>
          <w:b/>
          <w:color w:val="auto"/>
          <w:sz w:val="24"/>
          <w:highlight w:val="none"/>
        </w:rPr>
      </w:pPr>
    </w:p>
    <w:p>
      <w:pPr>
        <w:spacing w:line="440" w:lineRule="exact"/>
        <w:jc w:val="center"/>
        <w:rPr>
          <w:rFonts w:hint="eastAsia" w:ascii="宋体" w:hAnsi="宋体" w:cs="宋体"/>
          <w:b/>
          <w:color w:val="auto"/>
          <w:sz w:val="24"/>
          <w:highlight w:val="none"/>
        </w:rPr>
      </w:pPr>
    </w:p>
    <w:p>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0"/>
          <w:szCs w:val="30"/>
          <w:highlight w:val="none"/>
        </w:rPr>
        <w:t>3、商务文件格式</w:t>
      </w:r>
    </w:p>
    <w:p>
      <w:pPr>
        <w:spacing w:line="440" w:lineRule="exact"/>
        <w:jc w:val="center"/>
        <w:rPr>
          <w:rFonts w:hint="eastAsia" w:ascii="宋体" w:hAnsi="宋体" w:cs="宋体"/>
          <w:b/>
          <w:color w:val="auto"/>
          <w:sz w:val="24"/>
          <w:highlight w:val="none"/>
        </w:rPr>
      </w:pPr>
    </w:p>
    <w:p>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（附件一）磋商响应承诺书</w:t>
      </w:r>
    </w:p>
    <w:p>
      <w:pPr>
        <w:pStyle w:val="12"/>
        <w:spacing w:line="440" w:lineRule="exact"/>
        <w:rPr>
          <w:rFonts w:hint="eastAsia" w:cs="宋体"/>
          <w:color w:val="auto"/>
          <w:sz w:val="24"/>
          <w:highlight w:val="none"/>
          <w:u w:val="single"/>
        </w:rPr>
      </w:pPr>
      <w:r>
        <w:rPr>
          <w:rFonts w:hint="eastAsia" w:cs="宋体"/>
          <w:color w:val="auto"/>
          <w:sz w:val="24"/>
          <w:highlight w:val="none"/>
          <w:u w:val="single"/>
        </w:rPr>
        <w:t>致新疆星圣源工程项目管理有限公司：</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1、根据已收到的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项目的磋商文件，遵照招标投标法律法规的规定，经考察现场和研究贵方的磋商文件，我方愿以</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元(大写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的投标总价，来承担本工程招标范围内的承保工作。</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2、一旦我方中标，我方保证在收到贵方通知后立即进行承保工作，并将按程序要求保证服务质量。</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3、如果我方中标，我方将在磋商文件规定的时间内签订承包合同。如果我方违约，除没收投标保证金外，贵方有权终止我方中标并选择其它中标人。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4、贵方的成交通知书和本响应文件将构成约束双方的合同。</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5、如果我方未中标，贵方没有必要对我方做出任何解释和说明，我方将充分尊重和理解贵方的选择。</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6、我方同意在本项目磋商文件中规定的开标日起 九十日内 遵守本响应文件中的承诺且在此期限期满之前均具有约束力。</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7、我方愿意提供采购人在公开招标采购文件中要求的所有资料。</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8、我方认为你们有权决定成交供应商，还认为你们有权接受或拒绝所有的供应商成交。</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9、我方愿意遵守公开招标采购文件中所列的收费标准。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10、在规定的开标时间后，如果在投标有效期内撤回投标，同意投标保证金将被贵方没收。</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11、我方同意提供按照贵方可能要求的与其投标有关的一切数据或资料，完全理解贵方不一定接受最低价的投标或收到的任何投标的约定。</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12、我方在响应文件和投标中所作的承诺在投标后保持有效，不作任何更改和变动。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13、我们愿意按磋商文件的规定交纳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14、如我方成为成交供应商，我方愿意在签订合同时按招标文件规定金额向招标代理机构支付成交服务费。</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15、综合说明：</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伴随服务及配合措施；</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要求需方提供的配合；</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对磋商文件有不同意见的偏离说明； </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其它说明： </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所有有关标书的函电，请按下列地址联系：</w:t>
      </w:r>
    </w:p>
    <w:p>
      <w:pPr>
        <w:pStyle w:val="22"/>
        <w:rPr>
          <w:rFonts w:hint="eastAsia"/>
          <w:color w:val="auto"/>
          <w:highlight w:val="none"/>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    位：                             　　　　邮      编：</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 系 人：                            　　　　 地      址：</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                            　　　　 电      话：</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传      真：</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开户账号：</w:t>
      </w:r>
    </w:p>
    <w:p>
      <w:pPr>
        <w:spacing w:before="100" w:line="440" w:lineRule="exact"/>
        <w:ind w:firstLine="480" w:firstLineChars="200"/>
        <w:rPr>
          <w:rFonts w:hint="eastAsia" w:ascii="宋体" w:hAnsi="宋体" w:cs="宋体"/>
          <w:color w:val="auto"/>
          <w:sz w:val="24"/>
          <w:highlight w:val="none"/>
        </w:rPr>
      </w:pPr>
    </w:p>
    <w:p>
      <w:pPr>
        <w:spacing w:line="44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投标人：（盖章）</w:t>
      </w:r>
    </w:p>
    <w:p>
      <w:pPr>
        <w:spacing w:line="44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p>
    <w:p>
      <w:pPr>
        <w:spacing w:line="44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22"/>
        <w:rPr>
          <w:rFonts w:hint="eastAsia"/>
          <w:color w:val="auto"/>
          <w:highlight w:val="none"/>
        </w:rPr>
      </w:pPr>
    </w:p>
    <w:p>
      <w:pPr>
        <w:adjustRightInd w:val="0"/>
        <w:snapToGrid w:val="0"/>
        <w:spacing w:line="440" w:lineRule="exact"/>
        <w:ind w:firstLine="482" w:firstLineChars="200"/>
        <w:rPr>
          <w:rFonts w:hint="eastAsia" w:ascii="宋体" w:hAnsi="宋体" w:cs="宋体"/>
          <w:b/>
          <w:color w:val="auto"/>
          <w:sz w:val="24"/>
          <w:highlight w:val="none"/>
          <w:em w:val="dot"/>
        </w:rPr>
      </w:pPr>
      <w:r>
        <w:rPr>
          <w:rFonts w:hint="eastAsia" w:ascii="宋体" w:hAnsi="宋体" w:cs="宋体"/>
          <w:b/>
          <w:color w:val="auto"/>
          <w:sz w:val="24"/>
          <w:highlight w:val="none"/>
          <w:em w:val="dot"/>
        </w:rPr>
        <w:t>注：除可填报项目外，对本投标函的任何修改将被视为非实质性响应投标，从而导致该投标被拒绝。</w:t>
      </w:r>
    </w:p>
    <w:p>
      <w:pPr>
        <w:ind w:left="424" w:leftChars="202"/>
        <w:rPr>
          <w:rStyle w:val="78"/>
          <w:rFonts w:hint="eastAsia" w:ascii="宋体" w:hAnsi="宋体" w:cs="宋体"/>
          <w:b/>
          <w:color w:val="auto"/>
          <w:kern w:val="0"/>
          <w:sz w:val="24"/>
          <w:highlight w:val="none"/>
        </w:rPr>
      </w:pPr>
    </w:p>
    <w:p>
      <w:pPr>
        <w:ind w:left="424" w:leftChars="202"/>
        <w:jc w:val="center"/>
        <w:rPr>
          <w:rStyle w:val="78"/>
          <w:rFonts w:hint="eastAsia" w:ascii="宋体" w:hAnsi="宋体" w:cs="宋体"/>
          <w:color w:val="auto"/>
          <w:kern w:val="0"/>
          <w:sz w:val="24"/>
          <w:highlight w:val="none"/>
        </w:rPr>
      </w:pPr>
      <w:r>
        <w:rPr>
          <w:rStyle w:val="78"/>
          <w:rFonts w:hint="eastAsia" w:ascii="宋体" w:hAnsi="宋体" w:cs="宋体"/>
          <w:color w:val="auto"/>
          <w:kern w:val="0"/>
          <w:sz w:val="24"/>
          <w:highlight w:val="none"/>
        </w:rPr>
        <w:br w:type="page"/>
      </w:r>
      <w:r>
        <w:rPr>
          <w:rStyle w:val="78"/>
          <w:rFonts w:hint="eastAsia" w:ascii="宋体" w:hAnsi="宋体" w:cs="宋体"/>
          <w:b/>
          <w:bCs/>
          <w:color w:val="auto"/>
          <w:kern w:val="0"/>
          <w:sz w:val="24"/>
          <w:highlight w:val="none"/>
        </w:rPr>
        <w:t>（附件二）：投标承诺书</w:t>
      </w:r>
    </w:p>
    <w:p>
      <w:pPr>
        <w:spacing w:line="360" w:lineRule="auto"/>
        <w:ind w:left="424" w:leftChars="202"/>
        <w:jc w:val="center"/>
        <w:rPr>
          <w:rStyle w:val="78"/>
          <w:rFonts w:hint="eastAsia" w:ascii="宋体" w:hAnsi="宋体" w:cs="宋体"/>
          <w:b/>
          <w:color w:val="auto"/>
          <w:kern w:val="0"/>
          <w:sz w:val="24"/>
          <w:highlight w:val="none"/>
        </w:rPr>
      </w:pPr>
    </w:p>
    <w:p>
      <w:pPr>
        <w:pStyle w:val="12"/>
        <w:spacing w:line="440" w:lineRule="exact"/>
        <w:rPr>
          <w:rFonts w:hint="eastAsia" w:cs="宋体"/>
          <w:color w:val="auto"/>
          <w:sz w:val="24"/>
          <w:highlight w:val="none"/>
          <w:u w:val="single"/>
        </w:rPr>
      </w:pPr>
      <w:r>
        <w:rPr>
          <w:rFonts w:hint="eastAsia" w:cs="宋体"/>
          <w:color w:val="auto"/>
          <w:sz w:val="24"/>
          <w:highlight w:val="none"/>
          <w:u w:val="single"/>
        </w:rPr>
        <w:t>致新疆星圣源工程项目管理有限公司：</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若我公司中标后，项目经理为：</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姓名</w:t>
            </w:r>
          </w:p>
        </w:tc>
        <w:tc>
          <w:tcPr>
            <w:tcW w:w="2404" w:type="dxa"/>
          </w:tcPr>
          <w:p>
            <w:pPr>
              <w:spacing w:line="440" w:lineRule="exact"/>
              <w:ind w:firstLine="480" w:firstLineChars="200"/>
              <w:rPr>
                <w:rFonts w:hint="eastAsia" w:ascii="宋体" w:hAnsi="宋体" w:cs="宋体"/>
                <w:color w:val="auto"/>
                <w:sz w:val="24"/>
                <w:highlight w:val="none"/>
              </w:rPr>
            </w:pPr>
          </w:p>
        </w:tc>
        <w:tc>
          <w:tcPr>
            <w:tcW w:w="2409" w:type="dxa"/>
          </w:tcPr>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职称</w:t>
            </w:r>
          </w:p>
        </w:tc>
        <w:tc>
          <w:tcPr>
            <w:tcW w:w="2404" w:type="dxa"/>
          </w:tcPr>
          <w:p>
            <w:pPr>
              <w:spacing w:line="440" w:lineRule="exact"/>
              <w:ind w:firstLine="480" w:firstLineChars="20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p>
        </w:tc>
        <w:tc>
          <w:tcPr>
            <w:tcW w:w="7217" w:type="dxa"/>
            <w:gridSpan w:val="3"/>
          </w:tcPr>
          <w:p>
            <w:pPr>
              <w:spacing w:line="440" w:lineRule="exact"/>
              <w:ind w:firstLine="480" w:firstLineChars="200"/>
              <w:rPr>
                <w:rFonts w:hint="eastAsia" w:ascii="宋体" w:hAnsi="宋体" w:cs="宋体"/>
                <w:color w:val="auto"/>
                <w:sz w:val="24"/>
                <w:highlight w:val="none"/>
              </w:rPr>
            </w:pPr>
          </w:p>
        </w:tc>
      </w:tr>
    </w:tbl>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中标后，若由于特殊原因须更换时，我方将以不低于此项目经理资历的人员替换，并报业主审查。经审查通过后，方可更换。若未经业主批准，我方擅自更换，我方愿以合同价的    %作为赔偿金。</w:t>
      </w: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投标人：（盖章）</w:t>
      </w: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p>
    <w:p>
      <w:pPr>
        <w:spacing w:line="440" w:lineRule="exact"/>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w:t>
      </w:r>
    </w:p>
    <w:p>
      <w:pPr>
        <w:spacing w:line="440" w:lineRule="exact"/>
        <w:ind w:firstLine="480" w:firstLineChars="200"/>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before="100" w:line="440" w:lineRule="exact"/>
        <w:ind w:firstLine="3108" w:firstLineChars="129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（附件三）磋商响应报价表（单独提交）</w:t>
      </w:r>
    </w:p>
    <w:p>
      <w:pPr>
        <w:pStyle w:val="144"/>
        <w:spacing w:line="440" w:lineRule="exact"/>
        <w:ind w:left="210" w:leftChars="-86" w:hanging="391" w:hangingChars="163"/>
        <w:jc w:val="both"/>
        <w:rPr>
          <w:rFonts w:hint="eastAsia" w:ascii="宋体" w:hAnsi="宋体" w:cs="宋体"/>
          <w:color w:val="auto"/>
          <w:sz w:val="24"/>
          <w:highlight w:val="none"/>
        </w:rPr>
      </w:pPr>
      <w:r>
        <w:rPr>
          <w:rFonts w:hint="eastAsia" w:ascii="宋体" w:hAnsi="宋体" w:cs="宋体"/>
          <w:color w:val="auto"/>
          <w:sz w:val="24"/>
          <w:highlight w:val="none"/>
        </w:rPr>
        <w:t xml:space="preserve">采购项目名称：                          供应商单位名称：                            </w:t>
      </w:r>
    </w:p>
    <w:p>
      <w:pPr>
        <w:pStyle w:val="144"/>
        <w:spacing w:line="440" w:lineRule="exact"/>
        <w:ind w:left="210" w:leftChars="-86" w:hanging="391" w:hangingChars="163"/>
        <w:jc w:val="both"/>
        <w:rPr>
          <w:rFonts w:hint="eastAsia" w:ascii="宋体" w:hAnsi="宋体" w:cs="宋体"/>
          <w:color w:val="auto"/>
          <w:sz w:val="24"/>
          <w:highlight w:val="none"/>
        </w:rPr>
      </w:pPr>
      <w:r>
        <w:rPr>
          <w:rFonts w:hint="eastAsia" w:ascii="宋体" w:hAnsi="宋体" w:cs="宋体"/>
          <w:color w:val="auto"/>
          <w:sz w:val="24"/>
          <w:highlight w:val="none"/>
        </w:rPr>
        <w:t xml:space="preserve">采购编号：                              采购内容：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28" w:type="dxa"/>
            <w:vAlign w:val="center"/>
          </w:tcPr>
          <w:p>
            <w:pPr>
              <w:widowControl/>
              <w:spacing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投标内容</w:t>
            </w:r>
          </w:p>
        </w:tc>
        <w:tc>
          <w:tcPr>
            <w:tcW w:w="5794" w:type="dxa"/>
            <w:vAlign w:val="center"/>
          </w:tcPr>
          <w:p>
            <w:pPr>
              <w:widowControl/>
              <w:spacing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28" w:type="dxa"/>
            <w:vAlign w:val="center"/>
          </w:tcPr>
          <w:p>
            <w:pPr>
              <w:widowControl/>
              <w:spacing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最高限价</w:t>
            </w:r>
          </w:p>
        </w:tc>
        <w:tc>
          <w:tcPr>
            <w:tcW w:w="5794" w:type="dxa"/>
            <w:vAlign w:val="center"/>
          </w:tcPr>
          <w:p>
            <w:pPr>
              <w:widowControl/>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本项目最高限价为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528" w:type="dxa"/>
            <w:vMerge w:val="restart"/>
            <w:vAlign w:val="center"/>
          </w:tcPr>
          <w:p>
            <w:pPr>
              <w:widowControl/>
              <w:spacing w:line="440" w:lineRule="exact"/>
              <w:jc w:val="center"/>
              <w:rPr>
                <w:rFonts w:hint="eastAsia" w:ascii="宋体" w:hAnsi="宋体" w:cs="宋体"/>
                <w:color w:val="auto"/>
                <w:kern w:val="0"/>
                <w:sz w:val="24"/>
                <w:highlight w:val="none"/>
              </w:rPr>
            </w:pPr>
          </w:p>
        </w:tc>
        <w:tc>
          <w:tcPr>
            <w:tcW w:w="5794" w:type="dxa"/>
            <w:vAlign w:val="center"/>
          </w:tcPr>
          <w:p>
            <w:pPr>
              <w:widowControl/>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528" w:type="dxa"/>
            <w:vMerge w:val="continue"/>
            <w:vAlign w:val="center"/>
          </w:tcPr>
          <w:p>
            <w:pPr>
              <w:widowControl/>
              <w:spacing w:line="440" w:lineRule="exact"/>
              <w:jc w:val="center"/>
              <w:rPr>
                <w:rFonts w:hint="eastAsia" w:ascii="宋体" w:hAnsi="宋体" w:cs="宋体"/>
                <w:color w:val="auto"/>
                <w:kern w:val="0"/>
                <w:sz w:val="24"/>
                <w:highlight w:val="none"/>
              </w:rPr>
            </w:pPr>
          </w:p>
        </w:tc>
        <w:tc>
          <w:tcPr>
            <w:tcW w:w="5794" w:type="dxa"/>
            <w:vAlign w:val="center"/>
          </w:tcPr>
          <w:p>
            <w:pPr>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528" w:type="dxa"/>
            <w:vAlign w:val="center"/>
          </w:tcPr>
          <w:p>
            <w:pPr>
              <w:widowControl/>
              <w:spacing w:line="440" w:lineRule="exact"/>
              <w:jc w:val="center"/>
              <w:rPr>
                <w:rFonts w:hint="eastAsia" w:ascii="宋体" w:hAnsi="宋体" w:cs="宋体"/>
                <w:color w:val="auto"/>
                <w:kern w:val="0"/>
                <w:sz w:val="24"/>
                <w:highlight w:val="none"/>
              </w:rPr>
            </w:pPr>
            <w:r>
              <w:rPr>
                <w:rFonts w:hint="eastAsia" w:ascii="宋体" w:hAnsi="宋体" w:cs="宋体"/>
                <w:color w:val="auto"/>
                <w:sz w:val="24"/>
                <w:highlight w:val="none"/>
              </w:rPr>
              <w:t>服务期限</w:t>
            </w:r>
          </w:p>
        </w:tc>
        <w:tc>
          <w:tcPr>
            <w:tcW w:w="5794" w:type="dxa"/>
            <w:vAlign w:val="center"/>
          </w:tcPr>
          <w:p>
            <w:pPr>
              <w:spacing w:line="440" w:lineRule="exact"/>
              <w:jc w:val="left"/>
              <w:rPr>
                <w:rFonts w:hint="eastAsia" w:ascii="宋体" w:hAnsi="宋体" w:cs="宋体"/>
                <w:color w:val="auto"/>
                <w:kern w:val="0"/>
                <w:sz w:val="24"/>
                <w:highlight w:val="none"/>
              </w:rPr>
            </w:pPr>
          </w:p>
        </w:tc>
      </w:tr>
    </w:tbl>
    <w:p>
      <w:pPr>
        <w:pStyle w:val="144"/>
        <w:spacing w:line="440" w:lineRule="exact"/>
        <w:rPr>
          <w:rFonts w:hint="eastAsia" w:ascii="宋体" w:hAnsi="宋体" w:cs="宋体"/>
          <w:color w:val="auto"/>
          <w:sz w:val="24"/>
          <w:highlight w:val="none"/>
        </w:rPr>
      </w:pPr>
      <w:r>
        <w:rPr>
          <w:rFonts w:hint="eastAsia" w:ascii="宋体" w:hAnsi="宋体" w:cs="宋体"/>
          <w:color w:val="auto"/>
          <w:sz w:val="24"/>
          <w:highlight w:val="none"/>
        </w:rPr>
        <w:t>兹声明：以上响应报价在磋商响应有效期内一直有效。</w:t>
      </w:r>
    </w:p>
    <w:p>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供应商名称（加盖公章）：                               </w:t>
      </w:r>
    </w:p>
    <w:p>
      <w:pPr>
        <w:pStyle w:val="119"/>
        <w:keepNext w:val="0"/>
        <w:keepLines w:val="0"/>
        <w:adjustRightInd/>
        <w:spacing w:before="0" w:line="440" w:lineRule="exact"/>
        <w:textAlignment w:val="auto"/>
        <w:outlineLvl w:val="9"/>
        <w:rPr>
          <w:rFonts w:hint="eastAsia" w:cs="宋体"/>
          <w:b w:val="0"/>
          <w:bCs w:val="0"/>
          <w:color w:val="auto"/>
          <w:sz w:val="24"/>
          <w:szCs w:val="24"/>
          <w:highlight w:val="none"/>
        </w:rPr>
      </w:pPr>
      <w:bookmarkStart w:id="329" w:name="_Toc20660"/>
      <w:bookmarkStart w:id="330" w:name="_Toc18237"/>
      <w:r>
        <w:rPr>
          <w:rFonts w:hint="eastAsia" w:cs="宋体"/>
          <w:b w:val="0"/>
          <w:bCs w:val="0"/>
          <w:color w:val="auto"/>
          <w:sz w:val="24"/>
          <w:szCs w:val="24"/>
          <w:highlight w:val="none"/>
        </w:rPr>
        <w:t>代理（被授权人）签字</w:t>
      </w:r>
      <w:r>
        <w:rPr>
          <w:rFonts w:hint="eastAsia" w:cs="宋体"/>
          <w:b w:val="0"/>
          <w:bCs w:val="0"/>
          <w:color w:val="auto"/>
          <w:sz w:val="24"/>
          <w:szCs w:val="24"/>
          <w:highlight w:val="none"/>
          <w:lang w:val="en-US" w:eastAsia="zh-CN"/>
        </w:rPr>
        <w:t>或盖章</w:t>
      </w:r>
      <w:r>
        <w:rPr>
          <w:rFonts w:hint="eastAsia" w:cs="宋体"/>
          <w:b w:val="0"/>
          <w:bCs w:val="0"/>
          <w:color w:val="auto"/>
          <w:sz w:val="24"/>
          <w:szCs w:val="24"/>
          <w:highlight w:val="none"/>
        </w:rPr>
        <w:t>：</w:t>
      </w:r>
      <w:bookmarkEnd w:id="329"/>
      <w:bookmarkEnd w:id="330"/>
      <w:r>
        <w:rPr>
          <w:rFonts w:hint="eastAsia" w:cs="宋体"/>
          <w:b w:val="0"/>
          <w:bCs w:val="0"/>
          <w:color w:val="auto"/>
          <w:sz w:val="24"/>
          <w:szCs w:val="24"/>
          <w:highlight w:val="none"/>
        </w:rPr>
        <w:t xml:space="preserve">                  </w:t>
      </w:r>
    </w:p>
    <w:p>
      <w:pPr>
        <w:pStyle w:val="119"/>
        <w:keepNext w:val="0"/>
        <w:keepLines w:val="0"/>
        <w:adjustRightInd/>
        <w:spacing w:before="0" w:line="440" w:lineRule="exact"/>
        <w:textAlignment w:val="auto"/>
        <w:outlineLvl w:val="9"/>
        <w:rPr>
          <w:rFonts w:hint="eastAsia" w:cs="宋体"/>
          <w:b w:val="0"/>
          <w:bCs w:val="0"/>
          <w:color w:val="auto"/>
          <w:sz w:val="24"/>
          <w:szCs w:val="24"/>
          <w:highlight w:val="none"/>
        </w:rPr>
      </w:pPr>
      <w:bookmarkStart w:id="331" w:name="_Toc3277"/>
      <w:bookmarkStart w:id="332" w:name="_Toc5805"/>
      <w:r>
        <w:rPr>
          <w:rFonts w:hint="eastAsia" w:cs="宋体"/>
          <w:b w:val="0"/>
          <w:bCs w:val="0"/>
          <w:color w:val="auto"/>
          <w:sz w:val="24"/>
          <w:szCs w:val="24"/>
          <w:highlight w:val="none"/>
        </w:rPr>
        <w:t>日期：       年     月    日</w:t>
      </w:r>
      <w:bookmarkEnd w:id="331"/>
      <w:bookmarkEnd w:id="332"/>
    </w:p>
    <w:p>
      <w:pPr>
        <w:pStyle w:val="119"/>
        <w:keepNext w:val="0"/>
        <w:keepLines w:val="0"/>
        <w:adjustRightInd/>
        <w:spacing w:before="0" w:line="440" w:lineRule="exact"/>
        <w:textAlignment w:val="auto"/>
        <w:outlineLvl w:val="9"/>
        <w:rPr>
          <w:rFonts w:hint="eastAsia" w:cs="宋体"/>
          <w:b w:val="0"/>
          <w:bCs w:val="0"/>
          <w:color w:val="auto"/>
          <w:sz w:val="24"/>
          <w:szCs w:val="24"/>
          <w:highlight w:val="none"/>
        </w:rPr>
      </w:pPr>
      <w:bookmarkStart w:id="333" w:name="_Toc8917"/>
      <w:bookmarkStart w:id="334" w:name="_Toc5088"/>
      <w:r>
        <w:rPr>
          <w:rFonts w:hint="eastAsia" w:cs="宋体"/>
          <w:b w:val="0"/>
          <w:bCs w:val="0"/>
          <w:color w:val="auto"/>
          <w:sz w:val="24"/>
          <w:szCs w:val="24"/>
          <w:highlight w:val="none"/>
        </w:rPr>
        <w:t>注：1、此表需密封后单独提交。</w:t>
      </w:r>
      <w:bookmarkEnd w:id="333"/>
      <w:bookmarkEnd w:id="334"/>
    </w:p>
    <w:p>
      <w:pPr>
        <w:pStyle w:val="144"/>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2、本表格式不得更改，供应商只能按要求填报，否则将被视为无效响应。</w:t>
      </w:r>
    </w:p>
    <w:p>
      <w:pPr>
        <w:tabs>
          <w:tab w:val="left" w:pos="9135"/>
        </w:tabs>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（附件四）明细报价表</w:t>
      </w:r>
    </w:p>
    <w:p>
      <w:pPr>
        <w:pStyle w:val="144"/>
        <w:spacing w:line="440" w:lineRule="exact"/>
        <w:ind w:left="210" w:leftChars="-86" w:hanging="391" w:hangingChars="163"/>
        <w:rPr>
          <w:rFonts w:hint="eastAsia" w:ascii="宋体" w:hAnsi="宋体" w:cs="宋体"/>
          <w:color w:val="auto"/>
          <w:sz w:val="24"/>
          <w:highlight w:val="none"/>
        </w:rPr>
      </w:pPr>
      <w:r>
        <w:rPr>
          <w:rFonts w:hint="eastAsia" w:ascii="宋体" w:hAnsi="宋体" w:cs="宋体"/>
          <w:color w:val="auto"/>
          <w:sz w:val="24"/>
          <w:highlight w:val="none"/>
        </w:rPr>
        <w:t xml:space="preserve">采购项目名称：                          供应商单位名称：                            </w:t>
      </w:r>
    </w:p>
    <w:p>
      <w:pPr>
        <w:tabs>
          <w:tab w:val="left" w:pos="9135"/>
        </w:tabs>
        <w:spacing w:line="440" w:lineRule="exact"/>
        <w:jc w:val="left"/>
        <w:rPr>
          <w:rFonts w:hint="eastAsia" w:ascii="宋体" w:hAnsi="宋体" w:cs="宋体"/>
          <w:b/>
          <w:color w:val="auto"/>
          <w:sz w:val="24"/>
          <w:highlight w:val="none"/>
        </w:rPr>
      </w:pPr>
      <w:r>
        <w:rPr>
          <w:rFonts w:hint="eastAsia" w:ascii="宋体" w:hAnsi="宋体" w:cs="宋体"/>
          <w:color w:val="auto"/>
          <w:sz w:val="24"/>
          <w:highlight w:val="none"/>
        </w:rPr>
        <w:t>采购编号：                                采购内容：</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597"/>
        <w:gridCol w:w="1335"/>
        <w:gridCol w:w="1572"/>
        <w:gridCol w:w="1761"/>
        <w:gridCol w:w="1374"/>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jc w:val="center"/>
              <w:rPr>
                <w:rFonts w:hint="eastAsia" w:ascii="宋体" w:hAnsi="宋体" w:cs="宋体"/>
                <w:color w:val="auto"/>
                <w:sz w:val="24"/>
                <w:highlight w:val="none"/>
              </w:rPr>
            </w:pPr>
          </w:p>
        </w:tc>
        <w:tc>
          <w:tcPr>
            <w:tcW w:w="2599" w:type="dxa"/>
            <w:vAlign w:val="center"/>
          </w:tcPr>
          <w:p>
            <w:pPr>
              <w:spacing w:line="440" w:lineRule="exact"/>
              <w:jc w:val="center"/>
              <w:rPr>
                <w:rFonts w:hint="eastAsia" w:ascii="宋体" w:hAnsi="宋体" w:cs="宋体"/>
                <w:color w:val="auto"/>
                <w:sz w:val="24"/>
                <w:highlight w:val="none"/>
              </w:rPr>
            </w:pPr>
          </w:p>
        </w:tc>
        <w:tc>
          <w:tcPr>
            <w:tcW w:w="1336" w:type="dxa"/>
            <w:vAlign w:val="center"/>
          </w:tcPr>
          <w:p>
            <w:pPr>
              <w:spacing w:line="440" w:lineRule="exact"/>
              <w:jc w:val="center"/>
              <w:rPr>
                <w:rFonts w:hint="eastAsia" w:ascii="宋体" w:hAnsi="宋体" w:cs="宋体"/>
                <w:color w:val="auto"/>
                <w:sz w:val="24"/>
                <w:highlight w:val="none"/>
              </w:rPr>
            </w:pPr>
          </w:p>
        </w:tc>
        <w:tc>
          <w:tcPr>
            <w:tcW w:w="1573" w:type="dxa"/>
            <w:vAlign w:val="center"/>
          </w:tcPr>
          <w:p>
            <w:pPr>
              <w:spacing w:line="440" w:lineRule="exact"/>
              <w:jc w:val="center"/>
              <w:rPr>
                <w:rFonts w:hint="eastAsia" w:ascii="宋体" w:hAnsi="宋体" w:cs="宋体"/>
                <w:color w:val="auto"/>
                <w:sz w:val="24"/>
                <w:highlight w:val="none"/>
              </w:rPr>
            </w:pPr>
          </w:p>
        </w:tc>
        <w:tc>
          <w:tcPr>
            <w:tcW w:w="1762" w:type="dxa"/>
            <w:vAlign w:val="center"/>
          </w:tcPr>
          <w:p>
            <w:pPr>
              <w:spacing w:line="440" w:lineRule="exact"/>
              <w:jc w:val="center"/>
              <w:rPr>
                <w:rFonts w:hint="eastAsia" w:ascii="宋体" w:hAnsi="宋体" w:cs="宋体"/>
                <w:color w:val="auto"/>
                <w:sz w:val="24"/>
                <w:highlight w:val="none"/>
              </w:rPr>
            </w:pPr>
          </w:p>
        </w:tc>
        <w:tc>
          <w:tcPr>
            <w:tcW w:w="1380" w:type="dxa"/>
            <w:gridSpan w:val="2"/>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4" w:type="dxa"/>
            <w:vAlign w:val="center"/>
          </w:tcPr>
          <w:p>
            <w:pPr>
              <w:spacing w:line="440" w:lineRule="exact"/>
              <w:rPr>
                <w:rFonts w:hint="eastAsia" w:ascii="宋体" w:hAnsi="宋体" w:cs="宋体"/>
                <w:color w:val="auto"/>
                <w:sz w:val="24"/>
                <w:highlight w:val="none"/>
              </w:rPr>
            </w:pPr>
          </w:p>
        </w:tc>
        <w:tc>
          <w:tcPr>
            <w:tcW w:w="2599" w:type="dxa"/>
            <w:vAlign w:val="center"/>
          </w:tcPr>
          <w:p>
            <w:pPr>
              <w:spacing w:line="440" w:lineRule="exact"/>
              <w:rPr>
                <w:rFonts w:hint="eastAsia" w:ascii="宋体" w:hAnsi="宋体" w:cs="宋体"/>
                <w:color w:val="auto"/>
                <w:sz w:val="24"/>
                <w:highlight w:val="none"/>
              </w:rPr>
            </w:pPr>
          </w:p>
        </w:tc>
        <w:tc>
          <w:tcPr>
            <w:tcW w:w="1336" w:type="dxa"/>
            <w:tcBorders>
              <w:left w:val="dotted" w:color="auto" w:sz="4" w:space="0"/>
            </w:tcBorders>
            <w:vAlign w:val="center"/>
          </w:tcPr>
          <w:p>
            <w:pPr>
              <w:spacing w:line="440" w:lineRule="exact"/>
              <w:rPr>
                <w:rFonts w:hint="eastAsia" w:ascii="宋体" w:hAnsi="宋体" w:cs="宋体"/>
                <w:color w:val="auto"/>
                <w:sz w:val="24"/>
                <w:highlight w:val="none"/>
              </w:rPr>
            </w:pPr>
          </w:p>
        </w:tc>
        <w:tc>
          <w:tcPr>
            <w:tcW w:w="1573" w:type="dxa"/>
            <w:vAlign w:val="center"/>
          </w:tcPr>
          <w:p>
            <w:pPr>
              <w:spacing w:line="440" w:lineRule="exact"/>
              <w:rPr>
                <w:rFonts w:hint="eastAsia" w:ascii="宋体" w:hAnsi="宋体" w:cs="宋体"/>
                <w:color w:val="auto"/>
                <w:sz w:val="24"/>
                <w:highlight w:val="none"/>
              </w:rPr>
            </w:pPr>
          </w:p>
        </w:tc>
        <w:tc>
          <w:tcPr>
            <w:tcW w:w="1762" w:type="dxa"/>
            <w:vAlign w:val="center"/>
          </w:tcPr>
          <w:p>
            <w:pPr>
              <w:spacing w:line="440" w:lineRule="exact"/>
              <w:rPr>
                <w:rFonts w:hint="eastAsia" w:ascii="宋体" w:hAnsi="宋体" w:cs="宋体"/>
                <w:color w:val="auto"/>
                <w:sz w:val="24"/>
                <w:highlight w:val="none"/>
              </w:rPr>
            </w:pPr>
          </w:p>
        </w:tc>
        <w:tc>
          <w:tcPr>
            <w:tcW w:w="1380" w:type="dxa"/>
            <w:gridSpan w:val="2"/>
            <w:tcBorders>
              <w:right w:val="dotted" w:color="auto" w:sz="4" w:space="0"/>
            </w:tcBorders>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3803" w:type="dxa"/>
            <w:gridSpan w:val="2"/>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合计金额（小写）</w:t>
            </w:r>
          </w:p>
        </w:tc>
        <w:tc>
          <w:tcPr>
            <w:tcW w:w="6039" w:type="dxa"/>
            <w:gridSpan w:val="4"/>
            <w:tcBorders>
              <w:left w:val="dotted" w:color="auto" w:sz="4" w:space="0"/>
              <w:right w:val="dotted" w:color="auto" w:sz="4" w:space="0"/>
            </w:tcBorders>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3803" w:type="dxa"/>
            <w:gridSpan w:val="2"/>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合计金额（大写）：</w:t>
            </w:r>
          </w:p>
        </w:tc>
        <w:tc>
          <w:tcPr>
            <w:tcW w:w="6039" w:type="dxa"/>
            <w:gridSpan w:val="4"/>
            <w:tcBorders>
              <w:left w:val="dotted" w:color="auto" w:sz="4" w:space="0"/>
              <w:right w:val="dotted" w:color="auto" w:sz="4" w:space="0"/>
            </w:tcBorders>
            <w:vAlign w:val="center"/>
          </w:tcPr>
          <w:p>
            <w:pPr>
              <w:spacing w:line="440" w:lineRule="exact"/>
              <w:rPr>
                <w:rFonts w:hint="eastAsia" w:ascii="宋体" w:hAnsi="宋体" w:cs="宋体"/>
                <w:color w:val="auto"/>
                <w:sz w:val="24"/>
                <w:highlight w:val="none"/>
              </w:rPr>
            </w:pPr>
          </w:p>
        </w:tc>
      </w:tr>
    </w:tbl>
    <w:p>
      <w:pPr>
        <w:pStyle w:val="144"/>
        <w:spacing w:line="440" w:lineRule="exact"/>
        <w:rPr>
          <w:rFonts w:hint="eastAsia" w:ascii="宋体" w:hAnsi="宋体" w:cs="宋体"/>
          <w:color w:val="auto"/>
          <w:kern w:val="2"/>
          <w:sz w:val="24"/>
          <w:highlight w:val="none"/>
        </w:rPr>
      </w:pPr>
      <w:r>
        <w:rPr>
          <w:rFonts w:hint="eastAsia" w:ascii="宋体" w:hAnsi="宋体" w:cs="宋体"/>
          <w:color w:val="auto"/>
          <w:kern w:val="2"/>
          <w:sz w:val="24"/>
          <w:highlight w:val="none"/>
        </w:rPr>
        <w:t xml:space="preserve">投标人名称（公章）：                          </w:t>
      </w:r>
    </w:p>
    <w:p>
      <w:pPr>
        <w:pStyle w:val="144"/>
        <w:spacing w:line="440" w:lineRule="exact"/>
        <w:rPr>
          <w:rFonts w:hint="eastAsia" w:ascii="宋体" w:hAnsi="宋体" w:cs="宋体"/>
          <w:color w:val="auto"/>
          <w:kern w:val="2"/>
          <w:sz w:val="24"/>
          <w:highlight w:val="none"/>
        </w:rPr>
      </w:pPr>
      <w:r>
        <w:rPr>
          <w:rFonts w:hint="eastAsia" w:ascii="宋体" w:hAnsi="宋体" w:cs="宋体"/>
          <w:color w:val="auto"/>
          <w:kern w:val="2"/>
          <w:sz w:val="24"/>
          <w:highlight w:val="none"/>
        </w:rPr>
        <w:t>投标单位法人授权代表签字（</w:t>
      </w:r>
      <w:r>
        <w:rPr>
          <w:rFonts w:hint="eastAsia" w:ascii="宋体" w:hAnsi="宋体" w:cs="宋体"/>
          <w:color w:val="auto"/>
          <w:kern w:val="2"/>
          <w:sz w:val="24"/>
          <w:highlight w:val="none"/>
          <w:lang w:val="en-US" w:eastAsia="zh-CN"/>
        </w:rPr>
        <w:t>或</w:t>
      </w:r>
      <w:r>
        <w:rPr>
          <w:rFonts w:hint="eastAsia" w:ascii="宋体" w:hAnsi="宋体" w:cs="宋体"/>
          <w:color w:val="auto"/>
          <w:kern w:val="2"/>
          <w:sz w:val="24"/>
          <w:highlight w:val="none"/>
        </w:rPr>
        <w:t xml:space="preserve">盖章）：                          </w:t>
      </w:r>
    </w:p>
    <w:p>
      <w:pPr>
        <w:pStyle w:val="13"/>
        <w:spacing w:line="440" w:lineRule="exact"/>
        <w:rPr>
          <w:rFonts w:hint="eastAsia" w:hAnsi="宋体" w:cs="宋体"/>
          <w:color w:val="auto"/>
          <w:sz w:val="24"/>
          <w:szCs w:val="24"/>
          <w:highlight w:val="none"/>
        </w:rPr>
      </w:pPr>
      <w:r>
        <w:rPr>
          <w:rFonts w:hint="eastAsia" w:hAnsi="宋体" w:cs="宋体"/>
          <w:color w:val="auto"/>
          <w:sz w:val="24"/>
          <w:szCs w:val="24"/>
          <w:highlight w:val="none"/>
        </w:rPr>
        <w:t>日期：20    年　  月　  日</w:t>
      </w:r>
    </w:p>
    <w:p>
      <w:pPr>
        <w:tabs>
          <w:tab w:val="left" w:pos="9135"/>
        </w:tabs>
        <w:spacing w:line="440" w:lineRule="exact"/>
        <w:jc w:val="center"/>
        <w:rPr>
          <w:rFonts w:hint="eastAsia" w:ascii="宋体" w:hAnsi="宋体" w:cs="宋体"/>
          <w:b/>
          <w:color w:val="auto"/>
          <w:sz w:val="24"/>
          <w:highlight w:val="none"/>
        </w:rPr>
      </w:pPr>
    </w:p>
    <w:p>
      <w:pPr>
        <w:tabs>
          <w:tab w:val="left" w:pos="9135"/>
        </w:tabs>
        <w:spacing w:line="440" w:lineRule="exact"/>
        <w:jc w:val="center"/>
        <w:rPr>
          <w:rFonts w:hint="eastAsia" w:ascii="宋体" w:hAnsi="宋体"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p>
    <w:p>
      <w:pPr>
        <w:pStyle w:val="12"/>
        <w:spacing w:line="440" w:lineRule="exact"/>
        <w:jc w:val="center"/>
        <w:rPr>
          <w:rFonts w:hint="eastAsia" w:cs="宋体"/>
          <w:b/>
          <w:color w:val="auto"/>
          <w:sz w:val="24"/>
          <w:highlight w:val="none"/>
        </w:rPr>
      </w:pPr>
      <w:r>
        <w:rPr>
          <w:rFonts w:hint="eastAsia" w:cs="宋体"/>
          <w:b/>
          <w:color w:val="auto"/>
          <w:sz w:val="24"/>
          <w:highlight w:val="none"/>
        </w:rPr>
        <w:t>（附件五）供应商概况</w:t>
      </w:r>
    </w:p>
    <w:p>
      <w:pPr>
        <w:pStyle w:val="12"/>
        <w:spacing w:line="440" w:lineRule="exact"/>
        <w:ind w:firstLine="482"/>
        <w:rPr>
          <w:rFonts w:hint="eastAsia" w:cs="宋体"/>
          <w:color w:val="auto"/>
          <w:sz w:val="24"/>
          <w:highlight w:val="none"/>
        </w:rPr>
      </w:pPr>
      <w:r>
        <w:rPr>
          <w:rFonts w:hint="eastAsia" w:cs="宋体"/>
          <w:color w:val="auto"/>
          <w:sz w:val="24"/>
          <w:highlight w:val="none"/>
        </w:rPr>
        <w:t>1、供应商名称：</w:t>
      </w:r>
      <w:r>
        <w:rPr>
          <w:rFonts w:hint="eastAsia" w:cs="宋体"/>
          <w:color w:val="auto"/>
          <w:sz w:val="24"/>
          <w:highlight w:val="none"/>
        </w:rPr>
        <w:tab/>
      </w:r>
    </w:p>
    <w:p>
      <w:pPr>
        <w:pStyle w:val="12"/>
        <w:spacing w:line="440" w:lineRule="exact"/>
        <w:ind w:firstLine="482"/>
        <w:rPr>
          <w:rFonts w:hint="eastAsia" w:cs="宋体"/>
          <w:color w:val="auto"/>
          <w:sz w:val="24"/>
          <w:highlight w:val="none"/>
        </w:rPr>
      </w:pPr>
      <w:r>
        <w:rPr>
          <w:rFonts w:hint="eastAsia" w:cs="宋体"/>
          <w:color w:val="auto"/>
          <w:sz w:val="24"/>
          <w:highlight w:val="none"/>
        </w:rPr>
        <w:t>2、供应商地址：</w:t>
      </w:r>
      <w:r>
        <w:rPr>
          <w:rFonts w:hint="eastAsia" w:cs="宋体"/>
          <w:color w:val="auto"/>
          <w:sz w:val="24"/>
          <w:highlight w:val="none"/>
        </w:rPr>
        <w:tab/>
      </w:r>
    </w:p>
    <w:p>
      <w:pPr>
        <w:pStyle w:val="12"/>
        <w:spacing w:line="440" w:lineRule="exact"/>
        <w:ind w:firstLine="482"/>
        <w:rPr>
          <w:rFonts w:hint="eastAsia" w:cs="宋体"/>
          <w:color w:val="auto"/>
          <w:sz w:val="24"/>
          <w:highlight w:val="none"/>
        </w:rPr>
      </w:pPr>
      <w:r>
        <w:rPr>
          <w:rFonts w:hint="eastAsia" w:cs="宋体"/>
          <w:color w:val="auto"/>
          <w:sz w:val="24"/>
          <w:highlight w:val="none"/>
        </w:rPr>
        <w:t>3、经营范围：</w:t>
      </w:r>
      <w:r>
        <w:rPr>
          <w:rFonts w:hint="eastAsia" w:cs="宋体"/>
          <w:color w:val="auto"/>
          <w:sz w:val="24"/>
          <w:highlight w:val="none"/>
        </w:rPr>
        <w:tab/>
      </w:r>
    </w:p>
    <w:p>
      <w:pPr>
        <w:pStyle w:val="12"/>
        <w:spacing w:line="440" w:lineRule="exact"/>
        <w:ind w:firstLine="482"/>
        <w:rPr>
          <w:rFonts w:hint="eastAsia" w:cs="宋体"/>
          <w:color w:val="auto"/>
          <w:sz w:val="24"/>
          <w:highlight w:val="none"/>
        </w:rPr>
      </w:pPr>
      <w:r>
        <w:rPr>
          <w:rFonts w:hint="eastAsia" w:cs="宋体"/>
          <w:color w:val="auto"/>
          <w:sz w:val="24"/>
          <w:highlight w:val="none"/>
        </w:rPr>
        <w:t>4、供应商自我介绍：</w:t>
      </w:r>
    </w:p>
    <w:p>
      <w:pPr>
        <w:spacing w:line="440" w:lineRule="exact"/>
        <w:jc w:val="center"/>
        <w:rPr>
          <w:rStyle w:val="78"/>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（附件六）</w:t>
      </w:r>
      <w:r>
        <w:rPr>
          <w:rStyle w:val="78"/>
          <w:rFonts w:hint="eastAsia" w:ascii="宋体" w:hAnsi="宋体" w:cs="宋体"/>
          <w:b/>
          <w:color w:val="auto"/>
          <w:sz w:val="24"/>
          <w:highlight w:val="none"/>
        </w:rPr>
        <w:t>项目负责人简历表及拟投入本项目主要成员表</w:t>
      </w:r>
    </w:p>
    <w:p>
      <w:pPr>
        <w:spacing w:line="440" w:lineRule="exact"/>
        <w:rPr>
          <w:rStyle w:val="78"/>
          <w:rFonts w:hint="eastAsia" w:ascii="宋体" w:hAnsi="宋体" w:cs="宋体"/>
          <w:b/>
          <w:color w:val="auto"/>
          <w:sz w:val="24"/>
          <w:highlight w:val="none"/>
        </w:rPr>
      </w:pPr>
      <w:r>
        <w:rPr>
          <w:rStyle w:val="78"/>
          <w:rFonts w:hint="eastAsia" w:ascii="宋体" w:hAnsi="宋体" w:cs="宋体"/>
          <w:b/>
          <w:color w:val="auto"/>
          <w:sz w:val="24"/>
          <w:highlight w:val="none"/>
        </w:rPr>
        <w:t>一、项目负责人简历表</w:t>
      </w:r>
    </w:p>
    <w:p>
      <w:pPr>
        <w:pStyle w:val="12"/>
        <w:spacing w:line="440" w:lineRule="exact"/>
        <w:ind w:firstLine="482"/>
        <w:rPr>
          <w:rFonts w:hint="eastAsia" w:cs="宋体"/>
          <w:color w:val="auto"/>
          <w:sz w:val="24"/>
          <w:highlight w:val="none"/>
        </w:rPr>
      </w:pPr>
      <w:r>
        <w:rPr>
          <w:rFonts w:hint="eastAsia" w:cs="宋体"/>
          <w:color w:val="auto"/>
          <w:sz w:val="24"/>
          <w:highlight w:val="none"/>
        </w:rPr>
        <w:t>1、项目经理介绍应包括：姓名、性别、年龄、职称、学历、参加工作时间、从事项目经理年限和能反映该项目经理情况的其他内容。</w:t>
      </w:r>
    </w:p>
    <w:p>
      <w:pPr>
        <w:pStyle w:val="12"/>
        <w:spacing w:line="440" w:lineRule="exact"/>
        <w:ind w:firstLine="482"/>
        <w:rPr>
          <w:rFonts w:hint="eastAsia" w:cs="宋体"/>
          <w:color w:val="auto"/>
          <w:sz w:val="24"/>
          <w:highlight w:val="none"/>
        </w:rPr>
      </w:pPr>
      <w:r>
        <w:rPr>
          <w:rFonts w:hint="eastAsia" w:cs="宋体"/>
          <w:color w:val="auto"/>
          <w:sz w:val="24"/>
          <w:highlight w:val="none"/>
        </w:rPr>
        <w:t>2、项目经理在业绩应按下表提供</w:t>
      </w:r>
    </w:p>
    <w:p>
      <w:pPr>
        <w:pStyle w:val="12"/>
        <w:spacing w:line="440" w:lineRule="exact"/>
        <w:ind w:firstLine="482"/>
        <w:rPr>
          <w:rFonts w:hint="eastAsia" w:cs="宋体"/>
          <w:color w:val="auto"/>
          <w:sz w:val="24"/>
          <w:highlight w:val="none"/>
        </w:rPr>
      </w:pPr>
    </w:p>
    <w:p>
      <w:pPr>
        <w:pStyle w:val="12"/>
        <w:spacing w:line="440" w:lineRule="exact"/>
        <w:ind w:firstLine="482"/>
        <w:rPr>
          <w:rFonts w:hint="eastAsia" w:cs="宋体"/>
          <w:color w:val="auto"/>
          <w:sz w:val="24"/>
          <w:highlight w:val="none"/>
        </w:rPr>
      </w:pPr>
      <w:r>
        <w:rPr>
          <w:rFonts w:hint="eastAsia" w:cs="宋体"/>
          <w:color w:val="auto"/>
          <w:sz w:val="24"/>
          <w:highlight w:val="none"/>
        </w:rPr>
        <w:t>项目经理一览表</w:t>
      </w:r>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605"/>
        <w:gridCol w:w="2835"/>
        <w:gridCol w:w="2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2235"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甲方单位名称</w:t>
            </w:r>
          </w:p>
        </w:tc>
        <w:tc>
          <w:tcPr>
            <w:tcW w:w="2605"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项目名称</w:t>
            </w:r>
          </w:p>
        </w:tc>
        <w:tc>
          <w:tcPr>
            <w:tcW w:w="2835"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服务规模</w:t>
            </w:r>
          </w:p>
        </w:tc>
        <w:tc>
          <w:tcPr>
            <w:tcW w:w="2127" w:type="dxa"/>
            <w:tcBorders>
              <w:left w:val="single" w:color="auto" w:sz="4" w:space="0"/>
            </w:tcBorders>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2235" w:type="dxa"/>
            <w:vAlign w:val="center"/>
          </w:tcPr>
          <w:p>
            <w:pPr>
              <w:pStyle w:val="12"/>
              <w:spacing w:line="440" w:lineRule="exact"/>
              <w:ind w:firstLine="482"/>
              <w:jc w:val="center"/>
              <w:rPr>
                <w:rFonts w:hint="eastAsia" w:cs="宋体"/>
                <w:color w:val="auto"/>
                <w:sz w:val="24"/>
                <w:highlight w:val="none"/>
              </w:rPr>
            </w:pPr>
          </w:p>
        </w:tc>
        <w:tc>
          <w:tcPr>
            <w:tcW w:w="2605" w:type="dxa"/>
            <w:vAlign w:val="center"/>
          </w:tcPr>
          <w:p>
            <w:pPr>
              <w:pStyle w:val="12"/>
              <w:spacing w:line="440" w:lineRule="exact"/>
              <w:ind w:firstLine="482"/>
              <w:jc w:val="center"/>
              <w:rPr>
                <w:rFonts w:hint="eastAsia" w:cs="宋体"/>
                <w:color w:val="auto"/>
                <w:sz w:val="24"/>
                <w:highlight w:val="none"/>
              </w:rPr>
            </w:pPr>
          </w:p>
        </w:tc>
        <w:tc>
          <w:tcPr>
            <w:tcW w:w="2835" w:type="dxa"/>
            <w:vAlign w:val="center"/>
          </w:tcPr>
          <w:p>
            <w:pPr>
              <w:pStyle w:val="12"/>
              <w:spacing w:line="440" w:lineRule="exact"/>
              <w:ind w:firstLine="482"/>
              <w:jc w:val="center"/>
              <w:rPr>
                <w:rFonts w:hint="eastAsia" w:cs="宋体"/>
                <w:color w:val="auto"/>
                <w:sz w:val="24"/>
                <w:highlight w:val="none"/>
              </w:rPr>
            </w:pPr>
          </w:p>
        </w:tc>
        <w:tc>
          <w:tcPr>
            <w:tcW w:w="2127" w:type="dxa"/>
            <w:tcBorders>
              <w:left w:val="single" w:color="auto" w:sz="4" w:space="0"/>
            </w:tcBorders>
            <w:vAlign w:val="center"/>
          </w:tcPr>
          <w:p>
            <w:pPr>
              <w:pStyle w:val="12"/>
              <w:spacing w:line="440" w:lineRule="exact"/>
              <w:ind w:firstLine="482"/>
              <w:jc w:val="center"/>
              <w:rPr>
                <w:rFonts w:hint="eastAsia" w:cs="宋体"/>
                <w:color w:val="auto"/>
                <w:sz w:val="24"/>
                <w:highlight w:val="none"/>
              </w:rPr>
            </w:pPr>
          </w:p>
        </w:tc>
      </w:tr>
    </w:tbl>
    <w:p>
      <w:pPr>
        <w:pStyle w:val="12"/>
        <w:spacing w:line="440" w:lineRule="exact"/>
        <w:ind w:firstLine="482"/>
        <w:rPr>
          <w:rFonts w:hint="eastAsia" w:cs="宋体"/>
          <w:color w:val="auto"/>
          <w:sz w:val="24"/>
          <w:highlight w:val="none"/>
        </w:rPr>
      </w:pPr>
      <w:r>
        <w:rPr>
          <w:rFonts w:hint="eastAsia" w:cs="宋体"/>
          <w:color w:val="auto"/>
          <w:sz w:val="24"/>
          <w:highlight w:val="none"/>
        </w:rPr>
        <w:t>3、项目经理简历中应附注学历证书复印件等</w:t>
      </w:r>
    </w:p>
    <w:p>
      <w:pPr>
        <w:spacing w:line="440" w:lineRule="exact"/>
        <w:rPr>
          <w:rStyle w:val="78"/>
          <w:rFonts w:hint="eastAsia" w:ascii="宋体" w:hAnsi="宋体" w:cs="宋体"/>
          <w:b/>
          <w:bCs/>
          <w:color w:val="auto"/>
          <w:sz w:val="24"/>
          <w:highlight w:val="none"/>
        </w:rPr>
      </w:pPr>
      <w:r>
        <w:rPr>
          <w:rStyle w:val="78"/>
          <w:rFonts w:hint="eastAsia" w:ascii="宋体" w:hAnsi="宋体" w:cs="宋体"/>
          <w:b/>
          <w:bCs/>
          <w:color w:val="auto"/>
          <w:sz w:val="24"/>
          <w:highlight w:val="none"/>
        </w:rPr>
        <w:t>二、拟投入本项目的主要成员表</w:t>
      </w:r>
    </w:p>
    <w:p>
      <w:pPr>
        <w:spacing w:line="440" w:lineRule="exact"/>
        <w:rPr>
          <w:rStyle w:val="78"/>
          <w:rFonts w:hint="eastAsia" w:ascii="宋体" w:hAnsi="宋体" w:cs="宋体"/>
          <w:bCs/>
          <w:color w:val="auto"/>
          <w:szCs w:val="21"/>
          <w:highlight w:val="none"/>
        </w:rPr>
      </w:pPr>
      <w:r>
        <w:rPr>
          <w:rStyle w:val="78"/>
          <w:rFonts w:hint="eastAsia" w:ascii="宋体" w:hAnsi="宋体" w:cs="宋体"/>
          <w:bCs/>
          <w:color w:val="auto"/>
          <w:szCs w:val="21"/>
          <w:highlight w:val="none"/>
        </w:rPr>
        <w:t>1、其他涉及人员应包括：项目负责人认为需要配备的其他人员。</w:t>
      </w:r>
    </w:p>
    <w:p>
      <w:pPr>
        <w:spacing w:line="440" w:lineRule="exact"/>
        <w:rPr>
          <w:rStyle w:val="78"/>
          <w:rFonts w:hint="eastAsia" w:ascii="宋体" w:hAnsi="宋体" w:cs="宋体"/>
          <w:bCs/>
          <w:color w:val="auto"/>
          <w:szCs w:val="21"/>
          <w:highlight w:val="none"/>
        </w:rPr>
      </w:pPr>
      <w:r>
        <w:rPr>
          <w:rStyle w:val="78"/>
          <w:rFonts w:hint="eastAsia" w:ascii="宋体" w:hAnsi="宋体" w:cs="宋体"/>
          <w:bCs/>
          <w:color w:val="auto"/>
          <w:szCs w:val="21"/>
          <w:highlight w:val="none"/>
        </w:rPr>
        <w:t>2、上述人员介绍应包括姓名、职称、主要资历等基本信息。</w:t>
      </w:r>
    </w:p>
    <w:p>
      <w:pPr>
        <w:spacing w:line="440" w:lineRule="exact"/>
        <w:rPr>
          <w:rStyle w:val="78"/>
          <w:rFonts w:hint="eastAsia" w:ascii="宋体" w:hAnsi="宋体" w:cs="宋体"/>
          <w:bCs/>
          <w:color w:val="auto"/>
          <w:szCs w:val="21"/>
          <w:highlight w:val="none"/>
        </w:rPr>
      </w:pPr>
      <w:r>
        <w:rPr>
          <w:rStyle w:val="78"/>
          <w:rFonts w:hint="eastAsia" w:ascii="宋体" w:hAnsi="宋体" w:cs="宋体"/>
          <w:bCs/>
          <w:color w:val="auto"/>
          <w:szCs w:val="21"/>
          <w:highlight w:val="none"/>
        </w:rPr>
        <w:t>3、涉及人员应附相关资质复印件。</w:t>
      </w:r>
    </w:p>
    <w:p>
      <w:pPr>
        <w:pStyle w:val="26"/>
        <w:rPr>
          <w:rFonts w:hint="eastAsia"/>
          <w:color w:val="auto"/>
          <w:highlight w:val="none"/>
        </w:rPr>
      </w:pPr>
    </w:p>
    <w:p>
      <w:pPr>
        <w:pStyle w:val="26"/>
        <w:rPr>
          <w:rFonts w:hint="eastAsia"/>
          <w:color w:val="auto"/>
          <w:sz w:val="22"/>
          <w:szCs w:val="22"/>
          <w:highlight w:val="none"/>
        </w:rPr>
      </w:pPr>
      <w:r>
        <w:rPr>
          <w:rFonts w:hint="eastAsia"/>
          <w:color w:val="auto"/>
          <w:sz w:val="22"/>
          <w:szCs w:val="22"/>
          <w:highlight w:val="none"/>
        </w:rPr>
        <w:t>项目人员情况一览表</w:t>
      </w:r>
    </w:p>
    <w:tbl>
      <w:tblPr>
        <w:tblStyle w:val="32"/>
        <w:tblW w:w="103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776"/>
        <w:gridCol w:w="1001"/>
        <w:gridCol w:w="4484"/>
        <w:gridCol w:w="23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62"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序号</w:t>
            </w:r>
          </w:p>
        </w:tc>
        <w:tc>
          <w:tcPr>
            <w:tcW w:w="1776"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人员名称</w:t>
            </w:r>
          </w:p>
        </w:tc>
        <w:tc>
          <w:tcPr>
            <w:tcW w:w="1001" w:type="dxa"/>
            <w:tcBorders>
              <w:right w:val="single" w:color="auto" w:sz="4" w:space="0"/>
            </w:tcBorders>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职称</w:t>
            </w:r>
          </w:p>
        </w:tc>
        <w:tc>
          <w:tcPr>
            <w:tcW w:w="4484" w:type="dxa"/>
            <w:tcBorders>
              <w:right w:val="single" w:color="auto" w:sz="4" w:space="0"/>
            </w:tcBorders>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相关工作简历</w:t>
            </w:r>
          </w:p>
        </w:tc>
        <w:tc>
          <w:tcPr>
            <w:tcW w:w="2335" w:type="dxa"/>
            <w:tcBorders>
              <w:left w:val="single" w:color="auto" w:sz="4" w:space="0"/>
            </w:tcBorders>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0" w:hRule="atLeast"/>
        </w:trPr>
        <w:tc>
          <w:tcPr>
            <w:tcW w:w="762" w:type="dxa"/>
            <w:vAlign w:val="center"/>
          </w:tcPr>
          <w:p>
            <w:pPr>
              <w:pStyle w:val="12"/>
              <w:spacing w:line="440" w:lineRule="exact"/>
              <w:ind w:firstLine="482"/>
              <w:jc w:val="center"/>
              <w:rPr>
                <w:rFonts w:hint="eastAsia" w:cs="宋体"/>
                <w:color w:val="auto"/>
                <w:sz w:val="24"/>
                <w:highlight w:val="none"/>
              </w:rPr>
            </w:pPr>
          </w:p>
        </w:tc>
        <w:tc>
          <w:tcPr>
            <w:tcW w:w="1776" w:type="dxa"/>
            <w:vAlign w:val="center"/>
          </w:tcPr>
          <w:p>
            <w:pPr>
              <w:pStyle w:val="12"/>
              <w:spacing w:line="440" w:lineRule="exact"/>
              <w:ind w:firstLine="482"/>
              <w:jc w:val="center"/>
              <w:rPr>
                <w:rFonts w:hint="eastAsia" w:cs="宋体"/>
                <w:color w:val="auto"/>
                <w:sz w:val="24"/>
                <w:highlight w:val="none"/>
              </w:rPr>
            </w:pPr>
          </w:p>
        </w:tc>
        <w:tc>
          <w:tcPr>
            <w:tcW w:w="1001" w:type="dxa"/>
            <w:tcBorders>
              <w:right w:val="single" w:color="auto" w:sz="4" w:space="0"/>
            </w:tcBorders>
            <w:vAlign w:val="center"/>
          </w:tcPr>
          <w:p>
            <w:pPr>
              <w:pStyle w:val="12"/>
              <w:spacing w:line="440" w:lineRule="exact"/>
              <w:ind w:firstLine="482"/>
              <w:jc w:val="center"/>
              <w:rPr>
                <w:rFonts w:hint="eastAsia" w:cs="宋体"/>
                <w:color w:val="auto"/>
                <w:sz w:val="24"/>
                <w:highlight w:val="none"/>
              </w:rPr>
            </w:pPr>
          </w:p>
        </w:tc>
        <w:tc>
          <w:tcPr>
            <w:tcW w:w="4484" w:type="dxa"/>
            <w:tcBorders>
              <w:right w:val="single" w:color="auto" w:sz="4" w:space="0"/>
            </w:tcBorders>
            <w:vAlign w:val="center"/>
          </w:tcPr>
          <w:p>
            <w:pPr>
              <w:pStyle w:val="12"/>
              <w:spacing w:line="440" w:lineRule="exact"/>
              <w:ind w:firstLine="482"/>
              <w:jc w:val="center"/>
              <w:rPr>
                <w:rFonts w:hint="eastAsia" w:cs="宋体"/>
                <w:color w:val="auto"/>
                <w:sz w:val="24"/>
                <w:highlight w:val="none"/>
              </w:rPr>
            </w:pPr>
          </w:p>
        </w:tc>
        <w:tc>
          <w:tcPr>
            <w:tcW w:w="2335" w:type="dxa"/>
            <w:tcBorders>
              <w:left w:val="single" w:color="auto" w:sz="4" w:space="0"/>
            </w:tcBorders>
            <w:vAlign w:val="center"/>
          </w:tcPr>
          <w:p>
            <w:pPr>
              <w:pStyle w:val="12"/>
              <w:spacing w:line="440" w:lineRule="exact"/>
              <w:ind w:firstLine="482"/>
              <w:jc w:val="center"/>
              <w:rPr>
                <w:rFonts w:hint="eastAsia"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0" w:hRule="atLeast"/>
        </w:trPr>
        <w:tc>
          <w:tcPr>
            <w:tcW w:w="762" w:type="dxa"/>
            <w:vAlign w:val="center"/>
          </w:tcPr>
          <w:p>
            <w:pPr>
              <w:pStyle w:val="12"/>
              <w:spacing w:line="440" w:lineRule="exact"/>
              <w:ind w:firstLine="482"/>
              <w:jc w:val="center"/>
              <w:rPr>
                <w:rFonts w:hint="eastAsia" w:cs="宋体"/>
                <w:color w:val="auto"/>
                <w:sz w:val="24"/>
                <w:highlight w:val="none"/>
              </w:rPr>
            </w:pPr>
          </w:p>
        </w:tc>
        <w:tc>
          <w:tcPr>
            <w:tcW w:w="1776" w:type="dxa"/>
            <w:vAlign w:val="center"/>
          </w:tcPr>
          <w:p>
            <w:pPr>
              <w:pStyle w:val="12"/>
              <w:spacing w:line="440" w:lineRule="exact"/>
              <w:ind w:firstLine="482"/>
              <w:jc w:val="center"/>
              <w:rPr>
                <w:rFonts w:hint="eastAsia" w:cs="宋体"/>
                <w:color w:val="auto"/>
                <w:sz w:val="24"/>
                <w:highlight w:val="none"/>
              </w:rPr>
            </w:pPr>
          </w:p>
        </w:tc>
        <w:tc>
          <w:tcPr>
            <w:tcW w:w="1001" w:type="dxa"/>
            <w:tcBorders>
              <w:right w:val="single" w:color="auto" w:sz="4" w:space="0"/>
            </w:tcBorders>
            <w:vAlign w:val="center"/>
          </w:tcPr>
          <w:p>
            <w:pPr>
              <w:pStyle w:val="12"/>
              <w:spacing w:line="440" w:lineRule="exact"/>
              <w:ind w:firstLine="482"/>
              <w:jc w:val="center"/>
              <w:rPr>
                <w:rFonts w:hint="eastAsia" w:cs="宋体"/>
                <w:color w:val="auto"/>
                <w:sz w:val="24"/>
                <w:highlight w:val="none"/>
              </w:rPr>
            </w:pPr>
          </w:p>
        </w:tc>
        <w:tc>
          <w:tcPr>
            <w:tcW w:w="4484" w:type="dxa"/>
            <w:tcBorders>
              <w:right w:val="single" w:color="auto" w:sz="4" w:space="0"/>
            </w:tcBorders>
            <w:vAlign w:val="center"/>
          </w:tcPr>
          <w:p>
            <w:pPr>
              <w:pStyle w:val="12"/>
              <w:spacing w:line="440" w:lineRule="exact"/>
              <w:ind w:firstLine="482"/>
              <w:jc w:val="center"/>
              <w:rPr>
                <w:rFonts w:hint="eastAsia" w:cs="宋体"/>
                <w:color w:val="auto"/>
                <w:sz w:val="24"/>
                <w:highlight w:val="none"/>
              </w:rPr>
            </w:pPr>
          </w:p>
        </w:tc>
        <w:tc>
          <w:tcPr>
            <w:tcW w:w="2335" w:type="dxa"/>
            <w:tcBorders>
              <w:left w:val="single" w:color="auto" w:sz="4" w:space="0"/>
            </w:tcBorders>
            <w:vAlign w:val="center"/>
          </w:tcPr>
          <w:p>
            <w:pPr>
              <w:pStyle w:val="12"/>
              <w:spacing w:line="440" w:lineRule="exact"/>
              <w:ind w:firstLine="482"/>
              <w:jc w:val="center"/>
              <w:rPr>
                <w:rFonts w:hint="eastAsia" w:cs="宋体"/>
                <w:color w:val="auto"/>
                <w:sz w:val="24"/>
                <w:highlight w:val="none"/>
              </w:rPr>
            </w:pPr>
          </w:p>
        </w:tc>
      </w:tr>
    </w:tbl>
    <w:p>
      <w:pPr>
        <w:jc w:val="left"/>
        <w:rPr>
          <w:rFonts w:hint="eastAsia" w:ascii="宋体" w:hAnsi="宋体" w:cs="宋体"/>
          <w:b/>
          <w:color w:val="auto"/>
          <w:sz w:val="24"/>
          <w:highlight w:val="none"/>
        </w:rPr>
      </w:pPr>
    </w:p>
    <w:p>
      <w:pPr>
        <w:pStyle w:val="12"/>
        <w:spacing w:line="440" w:lineRule="exact"/>
        <w:jc w:val="center"/>
        <w:rPr>
          <w:rFonts w:hint="eastAsia" w:cs="宋体"/>
          <w:b/>
          <w:color w:val="auto"/>
          <w:sz w:val="24"/>
          <w:highlight w:val="none"/>
        </w:rPr>
      </w:pPr>
      <w:r>
        <w:rPr>
          <w:rFonts w:hint="eastAsia" w:cs="宋体"/>
          <w:b/>
          <w:color w:val="auto"/>
          <w:sz w:val="24"/>
          <w:highlight w:val="none"/>
        </w:rPr>
        <w:br w:type="page"/>
      </w:r>
      <w:r>
        <w:rPr>
          <w:rFonts w:hint="eastAsia" w:cs="宋体"/>
          <w:b/>
          <w:color w:val="auto"/>
          <w:sz w:val="24"/>
          <w:highlight w:val="none"/>
        </w:rPr>
        <w:t>（附件七）供应商近3年的类似业绩</w:t>
      </w:r>
    </w:p>
    <w:p>
      <w:pPr>
        <w:pStyle w:val="12"/>
        <w:spacing w:line="440" w:lineRule="exact"/>
        <w:ind w:firstLine="482"/>
        <w:rPr>
          <w:rFonts w:hint="eastAsia" w:cs="宋体"/>
          <w:color w:val="auto"/>
          <w:sz w:val="24"/>
          <w:highlight w:val="none"/>
          <w:u w:val="single"/>
        </w:rPr>
      </w:pPr>
    </w:p>
    <w:p>
      <w:pPr>
        <w:pStyle w:val="144"/>
        <w:spacing w:line="440" w:lineRule="exact"/>
        <w:ind w:left="210" w:leftChars="-86" w:hanging="391" w:hangingChars="163"/>
        <w:jc w:val="both"/>
        <w:rPr>
          <w:rFonts w:hint="eastAsia" w:ascii="宋体" w:hAnsi="宋体" w:cs="宋体"/>
          <w:color w:val="auto"/>
          <w:sz w:val="24"/>
          <w:highlight w:val="none"/>
        </w:rPr>
      </w:pPr>
      <w:r>
        <w:rPr>
          <w:rFonts w:hint="eastAsia" w:ascii="宋体" w:hAnsi="宋体" w:cs="宋体"/>
          <w:color w:val="auto"/>
          <w:sz w:val="24"/>
          <w:highlight w:val="none"/>
        </w:rPr>
        <w:t xml:space="preserve">采购项目名称：                          供应商单位名称：                            </w:t>
      </w:r>
    </w:p>
    <w:p>
      <w:pPr>
        <w:spacing w:line="440" w:lineRule="exact"/>
        <w:rPr>
          <w:rStyle w:val="78"/>
          <w:rFonts w:hint="eastAsia" w:ascii="宋体" w:hAnsi="宋体" w:cs="宋体"/>
          <w:color w:val="auto"/>
          <w:sz w:val="24"/>
          <w:highlight w:val="none"/>
          <w:u w:val="single"/>
        </w:rPr>
      </w:pPr>
      <w:r>
        <w:rPr>
          <w:rFonts w:hint="eastAsia" w:ascii="宋体" w:hAnsi="宋体" w:cs="宋体"/>
          <w:color w:val="auto"/>
          <w:sz w:val="24"/>
          <w:highlight w:val="none"/>
        </w:rPr>
        <w:t>采购编号：                             采购内容：</w:t>
      </w:r>
    </w:p>
    <w:p>
      <w:pPr>
        <w:spacing w:line="440" w:lineRule="exact"/>
        <w:rPr>
          <w:rStyle w:val="78"/>
          <w:rFonts w:hint="eastAsia" w:ascii="宋体" w:hAnsi="宋体" w:cs="宋体"/>
          <w:color w:val="auto"/>
          <w:sz w:val="24"/>
          <w:highlight w:val="none"/>
          <w:u w:val="single"/>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767"/>
        <w:gridCol w:w="2174"/>
        <w:gridCol w:w="2507"/>
        <w:gridCol w:w="1973"/>
        <w:gridCol w:w="143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52" w:hRule="atLeast"/>
          <w:jc w:val="center"/>
        </w:trPr>
        <w:tc>
          <w:tcPr>
            <w:tcW w:w="1767" w:type="dxa"/>
            <w:tcBorders>
              <w:top w:val="single" w:color="000000" w:sz="8" w:space="0"/>
              <w:left w:val="single" w:color="000000" w:sz="8" w:space="0"/>
              <w:bottom w:val="single" w:color="000000" w:sz="6" w:space="0"/>
              <w:right w:val="single" w:color="000000" w:sz="6" w:space="0"/>
            </w:tcBorders>
            <w:vAlign w:val="center"/>
          </w:tcPr>
          <w:p>
            <w:pPr>
              <w:jc w:val="center"/>
              <w:rPr>
                <w:rStyle w:val="78"/>
                <w:rFonts w:hint="eastAsia" w:ascii="宋体" w:hAnsi="宋体" w:cs="宋体"/>
                <w:color w:val="auto"/>
                <w:sz w:val="24"/>
                <w:highlight w:val="none"/>
              </w:rPr>
            </w:pPr>
            <w:r>
              <w:rPr>
                <w:rStyle w:val="78"/>
                <w:rFonts w:hint="eastAsia" w:ascii="宋体" w:hAnsi="宋体" w:cs="宋体"/>
                <w:color w:val="auto"/>
                <w:sz w:val="24"/>
                <w:highlight w:val="none"/>
              </w:rPr>
              <w:t>采购单位</w:t>
            </w:r>
          </w:p>
        </w:tc>
        <w:tc>
          <w:tcPr>
            <w:tcW w:w="2174" w:type="dxa"/>
            <w:tcBorders>
              <w:top w:val="single" w:color="000000" w:sz="8" w:space="0"/>
              <w:left w:val="single" w:color="000000" w:sz="6" w:space="0"/>
              <w:bottom w:val="single" w:color="000000" w:sz="6" w:space="0"/>
              <w:right w:val="single" w:color="000000" w:sz="6" w:space="0"/>
            </w:tcBorders>
            <w:vAlign w:val="center"/>
          </w:tcPr>
          <w:p>
            <w:pPr>
              <w:jc w:val="center"/>
              <w:rPr>
                <w:rStyle w:val="78"/>
                <w:rFonts w:hint="eastAsia" w:ascii="宋体" w:hAnsi="宋体" w:cs="宋体"/>
                <w:color w:val="auto"/>
                <w:sz w:val="24"/>
                <w:highlight w:val="none"/>
              </w:rPr>
            </w:pPr>
            <w:r>
              <w:rPr>
                <w:rStyle w:val="78"/>
                <w:rFonts w:hint="eastAsia" w:ascii="宋体" w:hAnsi="宋体" w:cs="宋体"/>
                <w:color w:val="auto"/>
                <w:sz w:val="24"/>
                <w:highlight w:val="none"/>
              </w:rPr>
              <w:t>项目名称</w:t>
            </w:r>
          </w:p>
        </w:tc>
        <w:tc>
          <w:tcPr>
            <w:tcW w:w="2507" w:type="dxa"/>
            <w:tcBorders>
              <w:top w:val="single" w:color="000000" w:sz="8" w:space="0"/>
              <w:left w:val="single" w:color="000000" w:sz="6" w:space="0"/>
              <w:bottom w:val="single" w:color="000000" w:sz="6" w:space="0"/>
              <w:right w:val="single" w:color="000000" w:sz="6" w:space="0"/>
            </w:tcBorders>
            <w:vAlign w:val="center"/>
          </w:tcPr>
          <w:p>
            <w:pPr>
              <w:jc w:val="center"/>
              <w:rPr>
                <w:rStyle w:val="78"/>
                <w:rFonts w:hint="eastAsia" w:ascii="宋体" w:hAnsi="宋体" w:cs="宋体"/>
                <w:color w:val="auto"/>
                <w:sz w:val="24"/>
                <w:highlight w:val="none"/>
              </w:rPr>
            </w:pPr>
            <w:r>
              <w:rPr>
                <w:rStyle w:val="78"/>
                <w:rFonts w:hint="eastAsia" w:ascii="宋体" w:hAnsi="宋体" w:cs="宋体"/>
                <w:color w:val="auto"/>
                <w:sz w:val="24"/>
                <w:highlight w:val="none"/>
              </w:rPr>
              <w:t>项目金额（万元）</w:t>
            </w:r>
          </w:p>
        </w:tc>
        <w:tc>
          <w:tcPr>
            <w:tcW w:w="1973" w:type="dxa"/>
            <w:tcBorders>
              <w:top w:val="single" w:color="000000" w:sz="8" w:space="0"/>
              <w:left w:val="single" w:color="000000" w:sz="6" w:space="0"/>
              <w:bottom w:val="single" w:color="000000" w:sz="6" w:space="0"/>
              <w:right w:val="single" w:color="000000" w:sz="6" w:space="0"/>
            </w:tcBorders>
            <w:vAlign w:val="center"/>
          </w:tcPr>
          <w:p>
            <w:pPr>
              <w:jc w:val="center"/>
              <w:rPr>
                <w:rStyle w:val="78"/>
                <w:rFonts w:hint="eastAsia" w:ascii="宋体" w:hAnsi="宋体" w:cs="宋体"/>
                <w:color w:val="auto"/>
                <w:sz w:val="24"/>
                <w:highlight w:val="none"/>
              </w:rPr>
            </w:pPr>
            <w:r>
              <w:rPr>
                <w:rStyle w:val="78"/>
                <w:rFonts w:hint="eastAsia" w:ascii="宋体" w:hAnsi="宋体" w:cs="宋体"/>
                <w:color w:val="auto"/>
                <w:sz w:val="24"/>
                <w:highlight w:val="none"/>
              </w:rPr>
              <w:t>项目发生时间</w:t>
            </w:r>
          </w:p>
        </w:tc>
        <w:tc>
          <w:tcPr>
            <w:tcW w:w="1433" w:type="dxa"/>
            <w:tcBorders>
              <w:top w:val="single" w:color="000000" w:sz="8" w:space="0"/>
              <w:left w:val="single" w:color="000000" w:sz="6" w:space="0"/>
              <w:bottom w:val="single" w:color="000000" w:sz="6" w:space="0"/>
              <w:right w:val="single" w:color="000000" w:sz="8" w:space="0"/>
            </w:tcBorders>
            <w:vAlign w:val="center"/>
          </w:tcPr>
          <w:p>
            <w:pPr>
              <w:jc w:val="center"/>
              <w:rPr>
                <w:rStyle w:val="78"/>
                <w:rFonts w:hint="eastAsia" w:ascii="宋体" w:hAnsi="宋体" w:cs="宋体"/>
                <w:color w:val="auto"/>
                <w:sz w:val="24"/>
                <w:highlight w:val="none"/>
              </w:rPr>
            </w:pPr>
            <w:r>
              <w:rPr>
                <w:rStyle w:val="78"/>
                <w:rFonts w:hint="eastAsia" w:ascii="宋体" w:hAnsi="宋体" w:cs="宋体"/>
                <w:color w:val="auto"/>
                <w:sz w:val="24"/>
                <w:highlight w:val="none"/>
              </w:rPr>
              <w:t>中标金额（万元）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1" w:hRule="atLeast"/>
          <w:jc w:val="center"/>
        </w:trPr>
        <w:tc>
          <w:tcPr>
            <w:tcW w:w="1767" w:type="dxa"/>
            <w:tcBorders>
              <w:top w:val="single" w:color="000000" w:sz="6" w:space="0"/>
              <w:left w:val="single" w:color="000000" w:sz="8"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6" w:space="0"/>
              <w:right w:val="single" w:color="000000" w:sz="8" w:space="0"/>
            </w:tcBorders>
          </w:tcPr>
          <w:p>
            <w:pPr>
              <w:rPr>
                <w:rStyle w:val="78"/>
                <w:rFonts w:hint="eastAsia"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1767" w:type="dxa"/>
            <w:tcBorders>
              <w:top w:val="single" w:color="000000" w:sz="6" w:space="0"/>
              <w:left w:val="single" w:color="000000" w:sz="8"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6" w:space="0"/>
              <w:right w:val="single" w:color="000000" w:sz="8" w:space="0"/>
            </w:tcBorders>
          </w:tcPr>
          <w:p>
            <w:pPr>
              <w:rPr>
                <w:rStyle w:val="78"/>
                <w:rFonts w:hint="eastAsia"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1" w:hRule="atLeast"/>
          <w:jc w:val="center"/>
        </w:trPr>
        <w:tc>
          <w:tcPr>
            <w:tcW w:w="1767" w:type="dxa"/>
            <w:tcBorders>
              <w:top w:val="single" w:color="000000" w:sz="6" w:space="0"/>
              <w:left w:val="single" w:color="000000" w:sz="8"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6" w:space="0"/>
              <w:right w:val="single" w:color="000000" w:sz="8" w:space="0"/>
            </w:tcBorders>
          </w:tcPr>
          <w:p>
            <w:pPr>
              <w:rPr>
                <w:rStyle w:val="78"/>
                <w:rFonts w:hint="eastAsia"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1767" w:type="dxa"/>
            <w:tcBorders>
              <w:top w:val="single" w:color="000000" w:sz="6" w:space="0"/>
              <w:left w:val="single" w:color="000000" w:sz="8"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6" w:space="0"/>
              <w:right w:val="single" w:color="000000" w:sz="8" w:space="0"/>
            </w:tcBorders>
          </w:tcPr>
          <w:p>
            <w:pPr>
              <w:rPr>
                <w:rStyle w:val="78"/>
                <w:rFonts w:hint="eastAsia"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1767" w:type="dxa"/>
            <w:tcBorders>
              <w:top w:val="single" w:color="000000" w:sz="6" w:space="0"/>
              <w:left w:val="single" w:color="000000" w:sz="8"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6"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6" w:space="0"/>
              <w:right w:val="single" w:color="000000" w:sz="8" w:space="0"/>
            </w:tcBorders>
          </w:tcPr>
          <w:p>
            <w:pPr>
              <w:rPr>
                <w:rStyle w:val="78"/>
                <w:rFonts w:hint="eastAsia"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1" w:hRule="atLeast"/>
          <w:jc w:val="center"/>
        </w:trPr>
        <w:tc>
          <w:tcPr>
            <w:tcW w:w="1767" w:type="dxa"/>
            <w:tcBorders>
              <w:top w:val="single" w:color="000000" w:sz="6" w:space="0"/>
              <w:left w:val="single" w:color="000000" w:sz="8" w:space="0"/>
              <w:bottom w:val="single" w:color="000000" w:sz="8" w:space="0"/>
              <w:right w:val="single" w:color="000000" w:sz="6" w:space="0"/>
            </w:tcBorders>
          </w:tcPr>
          <w:p>
            <w:pPr>
              <w:rPr>
                <w:rStyle w:val="78"/>
                <w:rFonts w:hint="eastAsia" w:ascii="宋体" w:hAnsi="宋体" w:cs="宋体"/>
                <w:color w:val="auto"/>
                <w:sz w:val="24"/>
                <w:highlight w:val="none"/>
              </w:rPr>
            </w:pPr>
          </w:p>
        </w:tc>
        <w:tc>
          <w:tcPr>
            <w:tcW w:w="2174" w:type="dxa"/>
            <w:tcBorders>
              <w:top w:val="single" w:color="000000" w:sz="6" w:space="0"/>
              <w:left w:val="single" w:color="000000" w:sz="6" w:space="0"/>
              <w:bottom w:val="single" w:color="000000" w:sz="8" w:space="0"/>
              <w:right w:val="single" w:color="000000" w:sz="6" w:space="0"/>
            </w:tcBorders>
          </w:tcPr>
          <w:p>
            <w:pPr>
              <w:rPr>
                <w:rStyle w:val="78"/>
                <w:rFonts w:hint="eastAsia" w:ascii="宋体" w:hAnsi="宋体" w:cs="宋体"/>
                <w:color w:val="auto"/>
                <w:sz w:val="24"/>
                <w:highlight w:val="none"/>
              </w:rPr>
            </w:pPr>
          </w:p>
        </w:tc>
        <w:tc>
          <w:tcPr>
            <w:tcW w:w="2507" w:type="dxa"/>
            <w:tcBorders>
              <w:top w:val="single" w:color="000000" w:sz="6" w:space="0"/>
              <w:left w:val="single" w:color="000000" w:sz="6" w:space="0"/>
              <w:bottom w:val="single" w:color="000000" w:sz="8" w:space="0"/>
              <w:right w:val="single" w:color="000000" w:sz="6" w:space="0"/>
            </w:tcBorders>
          </w:tcPr>
          <w:p>
            <w:pPr>
              <w:rPr>
                <w:rStyle w:val="78"/>
                <w:rFonts w:hint="eastAsia" w:ascii="宋体" w:hAnsi="宋体" w:cs="宋体"/>
                <w:color w:val="auto"/>
                <w:sz w:val="24"/>
                <w:highlight w:val="none"/>
              </w:rPr>
            </w:pPr>
          </w:p>
        </w:tc>
        <w:tc>
          <w:tcPr>
            <w:tcW w:w="1973" w:type="dxa"/>
            <w:tcBorders>
              <w:top w:val="single" w:color="000000" w:sz="6" w:space="0"/>
              <w:left w:val="single" w:color="000000" w:sz="6" w:space="0"/>
              <w:bottom w:val="single" w:color="000000" w:sz="8" w:space="0"/>
              <w:right w:val="single" w:color="000000" w:sz="6" w:space="0"/>
            </w:tcBorders>
          </w:tcPr>
          <w:p>
            <w:pPr>
              <w:rPr>
                <w:rStyle w:val="78"/>
                <w:rFonts w:hint="eastAsia" w:ascii="宋体" w:hAnsi="宋体" w:cs="宋体"/>
                <w:color w:val="auto"/>
                <w:sz w:val="24"/>
                <w:highlight w:val="none"/>
              </w:rPr>
            </w:pPr>
          </w:p>
        </w:tc>
        <w:tc>
          <w:tcPr>
            <w:tcW w:w="1433" w:type="dxa"/>
            <w:tcBorders>
              <w:top w:val="single" w:color="000000" w:sz="6" w:space="0"/>
              <w:left w:val="single" w:color="000000" w:sz="6" w:space="0"/>
              <w:bottom w:val="single" w:color="000000" w:sz="8" w:space="0"/>
              <w:right w:val="single" w:color="000000" w:sz="8" w:space="0"/>
            </w:tcBorders>
          </w:tcPr>
          <w:p>
            <w:pPr>
              <w:rPr>
                <w:rStyle w:val="78"/>
                <w:rFonts w:hint="eastAsia" w:ascii="宋体" w:hAnsi="宋体" w:cs="宋体"/>
                <w:color w:val="auto"/>
                <w:sz w:val="24"/>
                <w:highlight w:val="none"/>
              </w:rPr>
            </w:pPr>
          </w:p>
        </w:tc>
      </w:tr>
    </w:tbl>
    <w:p>
      <w:pPr>
        <w:spacing w:line="440" w:lineRule="exact"/>
        <w:rPr>
          <w:rStyle w:val="78"/>
          <w:rFonts w:hint="eastAsia" w:ascii="宋体" w:hAnsi="宋体" w:cs="宋体"/>
          <w:b/>
          <w:color w:val="auto"/>
          <w:sz w:val="24"/>
          <w:highlight w:val="none"/>
        </w:rPr>
      </w:pPr>
      <w:r>
        <w:rPr>
          <w:rStyle w:val="78"/>
          <w:rFonts w:hint="eastAsia" w:ascii="宋体" w:hAnsi="宋体" w:cs="宋体"/>
          <w:b/>
          <w:color w:val="auto"/>
          <w:sz w:val="24"/>
          <w:highlight w:val="none"/>
        </w:rPr>
        <w:t>附：需提供合同复印件并加盖公章或中标、成交通知书复印件并加盖公章。</w:t>
      </w:r>
    </w:p>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供应商（盖单位章）：</w:t>
      </w:r>
    </w:p>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2"/>
        <w:spacing w:line="440" w:lineRule="exact"/>
        <w:ind w:firstLine="482"/>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eastAsia" w:cs="宋体"/>
          <w:b/>
          <w:color w:val="auto"/>
          <w:sz w:val="24"/>
          <w:highlight w:val="none"/>
        </w:rPr>
      </w:pPr>
    </w:p>
    <w:p>
      <w:pPr>
        <w:pStyle w:val="12"/>
        <w:spacing w:line="440" w:lineRule="exact"/>
        <w:ind w:firstLine="0"/>
        <w:jc w:val="center"/>
        <w:rPr>
          <w:rFonts w:hint="default" w:eastAsia="宋体" w:cs="宋体"/>
          <w:b/>
          <w:color w:val="auto"/>
          <w:sz w:val="24"/>
          <w:highlight w:val="none"/>
          <w:lang w:val="en-US" w:eastAsia="zh-CN"/>
        </w:rPr>
      </w:pPr>
      <w:r>
        <w:rPr>
          <w:rFonts w:hint="eastAsia" w:cs="宋体"/>
          <w:b/>
          <w:color w:val="auto"/>
          <w:sz w:val="24"/>
          <w:highlight w:val="none"/>
        </w:rPr>
        <w:t>（附件八）</w:t>
      </w:r>
      <w:r>
        <w:rPr>
          <w:rFonts w:hint="eastAsia" w:cs="宋体"/>
          <w:b/>
          <w:color w:val="auto"/>
          <w:sz w:val="24"/>
          <w:highlight w:val="none"/>
          <w:lang w:val="en-US" w:eastAsia="zh-CN"/>
        </w:rPr>
        <w:t>服务方案</w:t>
      </w:r>
    </w:p>
    <w:p>
      <w:pPr>
        <w:pStyle w:val="12"/>
        <w:spacing w:line="440" w:lineRule="exact"/>
        <w:ind w:firstLine="482"/>
        <w:rPr>
          <w:rFonts w:hint="eastAsia" w:cs="宋体"/>
          <w:color w:val="auto"/>
          <w:sz w:val="24"/>
          <w:highlight w:val="none"/>
          <w:u w:val="single"/>
        </w:rPr>
      </w:pP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rPr>
        <w:t>投标人应根据本项目的具体情况，编制相应的项目</w:t>
      </w:r>
      <w:r>
        <w:rPr>
          <w:rFonts w:hint="eastAsia" w:cs="宋体"/>
          <w:color w:val="auto"/>
          <w:sz w:val="24"/>
          <w:highlight w:val="none"/>
          <w:lang w:val="en-US" w:eastAsia="zh-CN"/>
        </w:rPr>
        <w:t>服务方案</w:t>
      </w:r>
      <w:r>
        <w:rPr>
          <w:rFonts w:hint="eastAsia" w:cs="宋体"/>
          <w:color w:val="auto"/>
          <w:sz w:val="24"/>
          <w:highlight w:val="none"/>
        </w:rPr>
        <w:t>。由投标单位自行编写（但不限于）下列内容：</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lang w:val="en-US" w:eastAsia="zh-CN"/>
        </w:rPr>
        <w:t>项目理解</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rPr>
        <w:t>项目</w:t>
      </w:r>
      <w:r>
        <w:rPr>
          <w:rFonts w:hint="eastAsia" w:cs="宋体"/>
          <w:color w:val="auto"/>
          <w:sz w:val="24"/>
          <w:highlight w:val="none"/>
          <w:lang w:val="en-US" w:eastAsia="zh-CN"/>
        </w:rPr>
        <w:t>管理</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lang w:val="en-US" w:eastAsia="zh-CN"/>
        </w:rPr>
        <w:t>方案设计</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lang w:val="en-US" w:eastAsia="zh-CN"/>
        </w:rPr>
        <w:t>测评方法</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lang w:val="en-US" w:eastAsia="zh-CN"/>
        </w:rPr>
        <w:t>售后服务</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rPr>
        <w:t>投标人认为必要的其他方案</w:t>
      </w:r>
    </w:p>
    <w:p>
      <w:pPr>
        <w:pStyle w:val="12"/>
        <w:numPr>
          <w:ilvl w:val="0"/>
          <w:numId w:val="5"/>
        </w:numPr>
        <w:spacing w:line="440" w:lineRule="exact"/>
        <w:ind w:firstLine="0"/>
        <w:jc w:val="left"/>
        <w:rPr>
          <w:rFonts w:hint="eastAsia" w:cs="宋体"/>
          <w:color w:val="auto"/>
          <w:sz w:val="24"/>
          <w:highlight w:val="none"/>
        </w:rPr>
      </w:pPr>
      <w:r>
        <w:rPr>
          <w:rFonts w:hint="eastAsia" w:cs="宋体"/>
          <w:color w:val="auto"/>
          <w:sz w:val="24"/>
          <w:highlight w:val="none"/>
        </w:rPr>
        <w:t>……</w:t>
      </w:r>
    </w:p>
    <w:p>
      <w:pPr>
        <w:pStyle w:val="12"/>
        <w:spacing w:line="440" w:lineRule="exact"/>
        <w:ind w:firstLine="0"/>
        <w:jc w:val="center"/>
        <w:rPr>
          <w:rFonts w:hint="eastAsia" w:cs="宋体"/>
          <w:bCs/>
          <w:color w:val="auto"/>
          <w:sz w:val="24"/>
          <w:highlight w:val="none"/>
        </w:rPr>
      </w:pPr>
    </w:p>
    <w:p>
      <w:pPr>
        <w:pStyle w:val="12"/>
        <w:spacing w:line="440" w:lineRule="exact"/>
        <w:ind w:firstLine="0"/>
        <w:jc w:val="center"/>
        <w:rPr>
          <w:rFonts w:hint="eastAsia" w:cs="宋体"/>
          <w:bCs/>
          <w:color w:val="auto"/>
          <w:sz w:val="24"/>
          <w:highlight w:val="none"/>
        </w:rPr>
      </w:pPr>
    </w:p>
    <w:p>
      <w:pPr>
        <w:pStyle w:val="12"/>
        <w:spacing w:line="440" w:lineRule="exact"/>
        <w:ind w:firstLine="0"/>
        <w:jc w:val="center"/>
        <w:rPr>
          <w:rFonts w:hint="eastAsia" w:cs="宋体"/>
          <w:bCs/>
          <w:color w:val="auto"/>
          <w:sz w:val="24"/>
          <w:highlight w:val="none"/>
        </w:rPr>
      </w:pPr>
    </w:p>
    <w:p>
      <w:pPr>
        <w:pStyle w:val="12"/>
        <w:spacing w:line="440" w:lineRule="exact"/>
        <w:ind w:firstLine="0"/>
        <w:jc w:val="center"/>
        <w:rPr>
          <w:rFonts w:hint="eastAsia" w:cs="宋体"/>
          <w:bCs/>
          <w:color w:val="auto"/>
          <w:sz w:val="24"/>
          <w:highlight w:val="none"/>
        </w:rPr>
      </w:pPr>
    </w:p>
    <w:p>
      <w:pPr>
        <w:pStyle w:val="12"/>
        <w:spacing w:line="440" w:lineRule="exact"/>
        <w:ind w:firstLine="0"/>
        <w:rPr>
          <w:rFonts w:hint="eastAsia" w:cs="宋体"/>
          <w:bCs/>
          <w:color w:val="auto"/>
          <w:sz w:val="24"/>
          <w:highlight w:val="none"/>
        </w:rPr>
      </w:pPr>
    </w:p>
    <w:p>
      <w:pPr>
        <w:pStyle w:val="12"/>
        <w:spacing w:line="440" w:lineRule="exact"/>
        <w:ind w:firstLine="0"/>
        <w:jc w:val="center"/>
        <w:rPr>
          <w:rFonts w:hint="eastAsia" w:cs="宋体"/>
          <w:bCs/>
          <w:color w:val="auto"/>
          <w:sz w:val="24"/>
          <w:highlight w:val="none"/>
        </w:rPr>
      </w:pPr>
    </w:p>
    <w:p>
      <w:pPr>
        <w:pStyle w:val="12"/>
        <w:spacing w:line="440" w:lineRule="exact"/>
        <w:ind w:firstLine="0"/>
        <w:jc w:val="center"/>
        <w:rPr>
          <w:rFonts w:hint="eastAsia" w:cs="宋体"/>
          <w:bCs/>
          <w:color w:val="auto"/>
          <w:sz w:val="24"/>
          <w:highlight w:val="none"/>
        </w:rPr>
      </w:pPr>
    </w:p>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供应商（盖单位章）：</w:t>
      </w:r>
    </w:p>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2"/>
        <w:spacing w:line="440" w:lineRule="exact"/>
        <w:ind w:firstLine="0"/>
        <w:jc w:val="center"/>
        <w:rPr>
          <w:rFonts w:hint="eastAsia" w:cs="宋体"/>
          <w:b/>
          <w:color w:val="auto"/>
          <w:sz w:val="24"/>
          <w:highlight w:val="none"/>
        </w:rPr>
      </w:pPr>
      <w:r>
        <w:rPr>
          <w:rFonts w:hint="eastAsia" w:cs="宋体"/>
          <w:b/>
          <w:color w:val="auto"/>
          <w:sz w:val="24"/>
          <w:highlight w:val="none"/>
        </w:rPr>
        <w:br w:type="page"/>
      </w:r>
      <w:r>
        <w:rPr>
          <w:rFonts w:hint="eastAsia" w:cs="宋体"/>
          <w:b/>
          <w:color w:val="auto"/>
          <w:sz w:val="24"/>
          <w:highlight w:val="none"/>
        </w:rPr>
        <w:t>（附件九）技术条款偏离表</w:t>
      </w:r>
    </w:p>
    <w:p>
      <w:pPr>
        <w:pStyle w:val="144"/>
        <w:spacing w:line="440" w:lineRule="exact"/>
        <w:ind w:left="210" w:leftChars="-86" w:hanging="391" w:hangingChars="163"/>
        <w:rPr>
          <w:rFonts w:hint="eastAsia" w:ascii="宋体" w:hAnsi="宋体" w:cs="宋体"/>
          <w:color w:val="auto"/>
          <w:sz w:val="24"/>
          <w:highlight w:val="none"/>
        </w:rPr>
      </w:pPr>
      <w:r>
        <w:rPr>
          <w:rFonts w:hint="eastAsia" w:ascii="宋体" w:hAnsi="宋体" w:cs="宋体"/>
          <w:color w:val="auto"/>
          <w:sz w:val="24"/>
          <w:highlight w:val="none"/>
        </w:rPr>
        <w:t xml:space="preserve">采购项目名称：                          供应商单位名称：                            </w:t>
      </w:r>
    </w:p>
    <w:p>
      <w:pPr>
        <w:pStyle w:val="12"/>
        <w:spacing w:line="440" w:lineRule="exact"/>
        <w:ind w:firstLine="482"/>
        <w:jc w:val="left"/>
        <w:rPr>
          <w:rFonts w:hint="eastAsia" w:cs="宋体"/>
          <w:color w:val="auto"/>
          <w:sz w:val="24"/>
          <w:highlight w:val="none"/>
        </w:rPr>
      </w:pPr>
      <w:r>
        <w:rPr>
          <w:rFonts w:hint="eastAsia" w:cs="宋体"/>
          <w:color w:val="auto"/>
          <w:sz w:val="24"/>
          <w:highlight w:val="none"/>
        </w:rPr>
        <w:t xml:space="preserve">采购编号：                         采购内容：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序号</w:t>
            </w:r>
          </w:p>
        </w:tc>
        <w:tc>
          <w:tcPr>
            <w:tcW w:w="1602" w:type="dxa"/>
            <w:vAlign w:val="center"/>
          </w:tcPr>
          <w:p>
            <w:pPr>
              <w:pStyle w:val="12"/>
              <w:spacing w:line="440" w:lineRule="exact"/>
              <w:ind w:firstLine="0"/>
              <w:rPr>
                <w:rFonts w:hint="eastAsia" w:cs="宋体"/>
                <w:color w:val="auto"/>
                <w:sz w:val="24"/>
                <w:highlight w:val="none"/>
              </w:rPr>
            </w:pPr>
            <w:r>
              <w:rPr>
                <w:rFonts w:hint="eastAsia" w:cs="宋体"/>
                <w:color w:val="auto"/>
                <w:sz w:val="24"/>
                <w:highlight w:val="none"/>
              </w:rPr>
              <w:t>磋商文件条目号</w:t>
            </w:r>
          </w:p>
        </w:tc>
        <w:tc>
          <w:tcPr>
            <w:tcW w:w="2458" w:type="dxa"/>
            <w:vAlign w:val="center"/>
          </w:tcPr>
          <w:p>
            <w:pPr>
              <w:pStyle w:val="12"/>
              <w:spacing w:line="440" w:lineRule="exact"/>
              <w:ind w:firstLine="0"/>
              <w:rPr>
                <w:rFonts w:hint="eastAsia" w:cs="宋体"/>
                <w:color w:val="auto"/>
                <w:sz w:val="24"/>
                <w:highlight w:val="none"/>
              </w:rPr>
            </w:pPr>
            <w:r>
              <w:rPr>
                <w:rFonts w:hint="eastAsia" w:cs="宋体"/>
                <w:color w:val="auto"/>
                <w:sz w:val="24"/>
                <w:highlight w:val="none"/>
              </w:rPr>
              <w:t>磋商文件的技术条款</w:t>
            </w:r>
          </w:p>
        </w:tc>
        <w:tc>
          <w:tcPr>
            <w:tcW w:w="2885" w:type="dxa"/>
            <w:vAlign w:val="center"/>
          </w:tcPr>
          <w:p>
            <w:pPr>
              <w:pStyle w:val="12"/>
              <w:spacing w:line="440" w:lineRule="exact"/>
              <w:ind w:firstLine="240" w:firstLineChars="100"/>
              <w:rPr>
                <w:rFonts w:hint="eastAsia" w:cs="宋体"/>
                <w:color w:val="auto"/>
                <w:sz w:val="24"/>
                <w:highlight w:val="none"/>
              </w:rPr>
            </w:pPr>
            <w:r>
              <w:rPr>
                <w:rFonts w:hint="eastAsia" w:cs="宋体"/>
                <w:color w:val="auto"/>
                <w:sz w:val="24"/>
                <w:highlight w:val="none"/>
              </w:rPr>
              <w:t>响应文件的技术条款</w:t>
            </w:r>
          </w:p>
        </w:tc>
        <w:tc>
          <w:tcPr>
            <w:tcW w:w="2018" w:type="dxa"/>
            <w:vAlign w:val="center"/>
          </w:tcPr>
          <w:p>
            <w:pPr>
              <w:pStyle w:val="12"/>
              <w:spacing w:line="440" w:lineRule="exact"/>
              <w:ind w:firstLine="0"/>
              <w:jc w:val="center"/>
              <w:rPr>
                <w:rFonts w:hint="eastAsia" w:cs="宋体"/>
                <w:color w:val="auto"/>
                <w:sz w:val="24"/>
                <w:highlight w:val="none"/>
              </w:rPr>
            </w:pPr>
            <w:r>
              <w:rPr>
                <w:rFonts w:hint="eastAsia"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pStyle w:val="12"/>
              <w:spacing w:line="440" w:lineRule="exact"/>
              <w:jc w:val="center"/>
              <w:rPr>
                <w:rFonts w:hint="eastAsia" w:cs="宋体"/>
                <w:color w:val="auto"/>
                <w:sz w:val="24"/>
                <w:highlight w:val="none"/>
              </w:rPr>
            </w:pPr>
            <w:r>
              <w:rPr>
                <w:rFonts w:hint="eastAsia" w:cs="宋体"/>
                <w:color w:val="auto"/>
                <w:sz w:val="24"/>
                <w:highlight w:val="none"/>
              </w:rPr>
              <w:t>1</w:t>
            </w:r>
          </w:p>
        </w:tc>
        <w:tc>
          <w:tcPr>
            <w:tcW w:w="1602" w:type="dxa"/>
            <w:vAlign w:val="center"/>
          </w:tcPr>
          <w:p>
            <w:pPr>
              <w:pStyle w:val="12"/>
              <w:spacing w:line="440" w:lineRule="exact"/>
              <w:ind w:firstLine="482"/>
              <w:jc w:val="center"/>
              <w:rPr>
                <w:rFonts w:hint="eastAsia" w:cs="宋体"/>
                <w:color w:val="auto"/>
                <w:sz w:val="24"/>
                <w:highlight w:val="none"/>
                <w:u w:val="single"/>
              </w:rPr>
            </w:pPr>
          </w:p>
        </w:tc>
        <w:tc>
          <w:tcPr>
            <w:tcW w:w="2458" w:type="dxa"/>
            <w:vAlign w:val="center"/>
          </w:tcPr>
          <w:p>
            <w:pPr>
              <w:pStyle w:val="12"/>
              <w:spacing w:line="440" w:lineRule="exact"/>
              <w:ind w:firstLine="482"/>
              <w:jc w:val="center"/>
              <w:rPr>
                <w:rFonts w:hint="eastAsia" w:cs="宋体"/>
                <w:color w:val="auto"/>
                <w:sz w:val="24"/>
                <w:highlight w:val="none"/>
                <w:u w:val="single"/>
              </w:rPr>
            </w:pPr>
          </w:p>
        </w:tc>
        <w:tc>
          <w:tcPr>
            <w:tcW w:w="2885" w:type="dxa"/>
            <w:vAlign w:val="center"/>
          </w:tcPr>
          <w:p>
            <w:pPr>
              <w:pStyle w:val="12"/>
              <w:spacing w:line="440" w:lineRule="exact"/>
              <w:ind w:firstLine="482"/>
              <w:jc w:val="center"/>
              <w:rPr>
                <w:rFonts w:hint="eastAsia" w:cs="宋体"/>
                <w:color w:val="auto"/>
                <w:sz w:val="24"/>
                <w:highlight w:val="none"/>
                <w:u w:val="single"/>
              </w:rPr>
            </w:pPr>
          </w:p>
        </w:tc>
        <w:tc>
          <w:tcPr>
            <w:tcW w:w="2018" w:type="dxa"/>
            <w:vAlign w:val="center"/>
          </w:tcPr>
          <w:p>
            <w:pPr>
              <w:pStyle w:val="12"/>
              <w:spacing w:line="440" w:lineRule="exact"/>
              <w:ind w:firstLine="482"/>
              <w:jc w:val="center"/>
              <w:rPr>
                <w:rFonts w:hint="eastAsia" w:cs="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pPr>
              <w:pStyle w:val="12"/>
              <w:spacing w:line="440" w:lineRule="exact"/>
              <w:jc w:val="center"/>
              <w:rPr>
                <w:rFonts w:hint="eastAsia" w:cs="宋体"/>
                <w:color w:val="auto"/>
                <w:sz w:val="24"/>
                <w:highlight w:val="none"/>
              </w:rPr>
            </w:pPr>
            <w:r>
              <w:rPr>
                <w:rFonts w:hint="eastAsia" w:cs="宋体"/>
                <w:color w:val="auto"/>
                <w:sz w:val="24"/>
                <w:highlight w:val="none"/>
              </w:rPr>
              <w:t>2</w:t>
            </w:r>
          </w:p>
        </w:tc>
        <w:tc>
          <w:tcPr>
            <w:tcW w:w="1602" w:type="dxa"/>
            <w:vAlign w:val="center"/>
          </w:tcPr>
          <w:p>
            <w:pPr>
              <w:pStyle w:val="12"/>
              <w:spacing w:line="440" w:lineRule="exact"/>
              <w:ind w:firstLine="482"/>
              <w:jc w:val="center"/>
              <w:rPr>
                <w:rFonts w:hint="eastAsia" w:cs="宋体"/>
                <w:color w:val="auto"/>
                <w:sz w:val="24"/>
                <w:highlight w:val="none"/>
                <w:u w:val="single"/>
              </w:rPr>
            </w:pPr>
          </w:p>
        </w:tc>
        <w:tc>
          <w:tcPr>
            <w:tcW w:w="2458" w:type="dxa"/>
            <w:vAlign w:val="center"/>
          </w:tcPr>
          <w:p>
            <w:pPr>
              <w:pStyle w:val="12"/>
              <w:spacing w:line="440" w:lineRule="exact"/>
              <w:ind w:firstLine="482"/>
              <w:jc w:val="center"/>
              <w:rPr>
                <w:rFonts w:hint="eastAsia" w:cs="宋体"/>
                <w:color w:val="auto"/>
                <w:sz w:val="24"/>
                <w:highlight w:val="none"/>
                <w:u w:val="single"/>
              </w:rPr>
            </w:pPr>
          </w:p>
        </w:tc>
        <w:tc>
          <w:tcPr>
            <w:tcW w:w="2885" w:type="dxa"/>
            <w:vAlign w:val="center"/>
          </w:tcPr>
          <w:p>
            <w:pPr>
              <w:pStyle w:val="12"/>
              <w:spacing w:line="440" w:lineRule="exact"/>
              <w:ind w:firstLine="482"/>
              <w:jc w:val="center"/>
              <w:rPr>
                <w:rFonts w:hint="eastAsia" w:cs="宋体"/>
                <w:color w:val="auto"/>
                <w:sz w:val="24"/>
                <w:highlight w:val="none"/>
                <w:u w:val="single"/>
              </w:rPr>
            </w:pPr>
          </w:p>
        </w:tc>
        <w:tc>
          <w:tcPr>
            <w:tcW w:w="2018" w:type="dxa"/>
            <w:vAlign w:val="center"/>
          </w:tcPr>
          <w:p>
            <w:pPr>
              <w:pStyle w:val="12"/>
              <w:spacing w:line="440" w:lineRule="exact"/>
              <w:ind w:firstLine="482"/>
              <w:jc w:val="center"/>
              <w:rPr>
                <w:rFonts w:hint="eastAsia" w:cs="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pStyle w:val="12"/>
              <w:spacing w:line="440" w:lineRule="exact"/>
              <w:jc w:val="center"/>
              <w:rPr>
                <w:rFonts w:hint="eastAsia" w:cs="宋体"/>
                <w:color w:val="auto"/>
                <w:sz w:val="24"/>
                <w:highlight w:val="none"/>
              </w:rPr>
            </w:pPr>
            <w:r>
              <w:rPr>
                <w:rFonts w:hint="eastAsia" w:cs="宋体"/>
                <w:color w:val="auto"/>
                <w:sz w:val="24"/>
                <w:highlight w:val="none"/>
              </w:rPr>
              <w:t>3</w:t>
            </w:r>
          </w:p>
        </w:tc>
        <w:tc>
          <w:tcPr>
            <w:tcW w:w="1602" w:type="dxa"/>
            <w:vAlign w:val="center"/>
          </w:tcPr>
          <w:p>
            <w:pPr>
              <w:pStyle w:val="12"/>
              <w:spacing w:line="440" w:lineRule="exact"/>
              <w:ind w:firstLine="482"/>
              <w:jc w:val="center"/>
              <w:rPr>
                <w:rFonts w:hint="eastAsia" w:cs="宋体"/>
                <w:color w:val="auto"/>
                <w:sz w:val="24"/>
                <w:highlight w:val="none"/>
                <w:u w:val="single"/>
              </w:rPr>
            </w:pPr>
          </w:p>
        </w:tc>
        <w:tc>
          <w:tcPr>
            <w:tcW w:w="2458" w:type="dxa"/>
            <w:vAlign w:val="center"/>
          </w:tcPr>
          <w:p>
            <w:pPr>
              <w:pStyle w:val="12"/>
              <w:spacing w:line="440" w:lineRule="exact"/>
              <w:ind w:firstLine="482"/>
              <w:jc w:val="center"/>
              <w:rPr>
                <w:rFonts w:hint="eastAsia" w:cs="宋体"/>
                <w:color w:val="auto"/>
                <w:sz w:val="24"/>
                <w:highlight w:val="none"/>
                <w:u w:val="single"/>
              </w:rPr>
            </w:pPr>
          </w:p>
        </w:tc>
        <w:tc>
          <w:tcPr>
            <w:tcW w:w="2885" w:type="dxa"/>
            <w:vAlign w:val="center"/>
          </w:tcPr>
          <w:p>
            <w:pPr>
              <w:pStyle w:val="12"/>
              <w:spacing w:line="440" w:lineRule="exact"/>
              <w:ind w:firstLine="482"/>
              <w:jc w:val="center"/>
              <w:rPr>
                <w:rFonts w:hint="eastAsia" w:cs="宋体"/>
                <w:color w:val="auto"/>
                <w:sz w:val="24"/>
                <w:highlight w:val="none"/>
                <w:u w:val="single"/>
              </w:rPr>
            </w:pPr>
          </w:p>
        </w:tc>
        <w:tc>
          <w:tcPr>
            <w:tcW w:w="2018" w:type="dxa"/>
            <w:vAlign w:val="center"/>
          </w:tcPr>
          <w:p>
            <w:pPr>
              <w:pStyle w:val="12"/>
              <w:spacing w:line="440" w:lineRule="exact"/>
              <w:ind w:firstLine="482"/>
              <w:jc w:val="center"/>
              <w:rPr>
                <w:rFonts w:hint="eastAsia" w:cs="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pStyle w:val="12"/>
              <w:spacing w:line="440" w:lineRule="exact"/>
              <w:jc w:val="center"/>
              <w:rPr>
                <w:rFonts w:hint="eastAsia" w:cs="宋体"/>
                <w:color w:val="auto"/>
                <w:sz w:val="24"/>
                <w:highlight w:val="none"/>
              </w:rPr>
            </w:pPr>
            <w:r>
              <w:rPr>
                <w:rFonts w:hint="eastAsia" w:cs="宋体"/>
                <w:color w:val="auto"/>
                <w:sz w:val="24"/>
                <w:highlight w:val="none"/>
              </w:rPr>
              <w:t>…</w:t>
            </w:r>
          </w:p>
        </w:tc>
        <w:tc>
          <w:tcPr>
            <w:tcW w:w="1602" w:type="dxa"/>
            <w:vAlign w:val="center"/>
          </w:tcPr>
          <w:p>
            <w:pPr>
              <w:pStyle w:val="12"/>
              <w:spacing w:line="440" w:lineRule="exact"/>
              <w:ind w:firstLine="482"/>
              <w:jc w:val="center"/>
              <w:rPr>
                <w:rFonts w:hint="eastAsia" w:cs="宋体"/>
                <w:color w:val="auto"/>
                <w:sz w:val="24"/>
                <w:highlight w:val="none"/>
                <w:u w:val="single"/>
              </w:rPr>
            </w:pPr>
          </w:p>
        </w:tc>
        <w:tc>
          <w:tcPr>
            <w:tcW w:w="2458" w:type="dxa"/>
            <w:vAlign w:val="center"/>
          </w:tcPr>
          <w:p>
            <w:pPr>
              <w:pStyle w:val="12"/>
              <w:spacing w:line="440" w:lineRule="exact"/>
              <w:ind w:firstLine="482"/>
              <w:jc w:val="center"/>
              <w:rPr>
                <w:rFonts w:hint="eastAsia" w:cs="宋体"/>
                <w:color w:val="auto"/>
                <w:sz w:val="24"/>
                <w:highlight w:val="none"/>
                <w:u w:val="single"/>
              </w:rPr>
            </w:pPr>
          </w:p>
        </w:tc>
        <w:tc>
          <w:tcPr>
            <w:tcW w:w="2885" w:type="dxa"/>
            <w:vAlign w:val="center"/>
          </w:tcPr>
          <w:p>
            <w:pPr>
              <w:pStyle w:val="12"/>
              <w:spacing w:line="440" w:lineRule="exact"/>
              <w:ind w:firstLine="482"/>
              <w:jc w:val="center"/>
              <w:rPr>
                <w:rFonts w:hint="eastAsia" w:cs="宋体"/>
                <w:color w:val="auto"/>
                <w:sz w:val="24"/>
                <w:highlight w:val="none"/>
                <w:u w:val="single"/>
              </w:rPr>
            </w:pPr>
          </w:p>
        </w:tc>
        <w:tc>
          <w:tcPr>
            <w:tcW w:w="2018" w:type="dxa"/>
            <w:vAlign w:val="center"/>
          </w:tcPr>
          <w:p>
            <w:pPr>
              <w:pStyle w:val="12"/>
              <w:spacing w:line="440" w:lineRule="exact"/>
              <w:ind w:firstLine="482"/>
              <w:jc w:val="center"/>
              <w:rPr>
                <w:rFonts w:hint="eastAsia" w:cs="宋体"/>
                <w:color w:val="auto"/>
                <w:sz w:val="24"/>
                <w:highlight w:val="none"/>
                <w:u w:val="single"/>
              </w:rPr>
            </w:pPr>
          </w:p>
        </w:tc>
      </w:tr>
    </w:tbl>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供应商（盖单位章）：</w:t>
      </w:r>
    </w:p>
    <w:p>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2"/>
        <w:spacing w:line="440" w:lineRule="exact"/>
        <w:ind w:firstLine="482"/>
        <w:rPr>
          <w:rFonts w:hint="eastAsia" w:cs="宋体"/>
          <w:color w:val="auto"/>
          <w:sz w:val="24"/>
          <w:highlight w:val="none"/>
        </w:rPr>
      </w:pPr>
      <w:r>
        <w:rPr>
          <w:rFonts w:hint="eastAsia" w:cs="宋体"/>
          <w:color w:val="auto"/>
          <w:sz w:val="24"/>
          <w:highlight w:val="none"/>
        </w:rPr>
        <w:t>　　　　　　　　　　　　　　　</w:t>
      </w:r>
    </w:p>
    <w:p>
      <w:pPr>
        <w:pStyle w:val="12"/>
        <w:spacing w:line="440" w:lineRule="exact"/>
        <w:ind w:firstLine="482"/>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p>
    <w:p>
      <w:pPr>
        <w:pStyle w:val="12"/>
        <w:spacing w:line="440" w:lineRule="exact"/>
        <w:ind w:firstLine="723" w:firstLineChars="300"/>
        <w:jc w:val="center"/>
        <w:rPr>
          <w:rFonts w:hint="eastAsia" w:cs="宋体"/>
          <w:b/>
          <w:color w:val="auto"/>
          <w:sz w:val="24"/>
          <w:highlight w:val="none"/>
        </w:rPr>
      </w:pPr>
      <w:r>
        <w:rPr>
          <w:rFonts w:hint="eastAsia" w:cs="宋体"/>
          <w:b/>
          <w:color w:val="auto"/>
          <w:sz w:val="24"/>
          <w:highlight w:val="none"/>
        </w:rPr>
        <w:t>（附件十）供应商反商业贿赂承诺书</w:t>
      </w:r>
    </w:p>
    <w:p>
      <w:pPr>
        <w:pStyle w:val="12"/>
        <w:spacing w:line="440" w:lineRule="exact"/>
        <w:ind w:firstLine="482"/>
        <w:rPr>
          <w:rFonts w:hint="eastAsia" w:cs="宋体"/>
          <w:color w:val="auto"/>
          <w:sz w:val="24"/>
          <w:highlight w:val="none"/>
        </w:rPr>
      </w:pPr>
      <w:r>
        <w:rPr>
          <w:rFonts w:hint="eastAsia" w:cs="宋体"/>
          <w:color w:val="auto"/>
          <w:sz w:val="24"/>
          <w:highlight w:val="none"/>
        </w:rPr>
        <w:t> 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40" w:lineRule="exact"/>
        <w:ind w:firstLine="482"/>
        <w:rPr>
          <w:rFonts w:hint="eastAsia" w:cs="宋体"/>
          <w:color w:val="auto"/>
          <w:sz w:val="24"/>
          <w:highlight w:val="none"/>
        </w:rPr>
      </w:pPr>
      <w:r>
        <w:rPr>
          <w:rFonts w:hint="eastAsia" w:cs="宋体"/>
          <w:color w:val="auto"/>
          <w:sz w:val="24"/>
          <w:highlight w:val="none"/>
        </w:rPr>
        <w:t xml:space="preserve">公司法定代表人：                      </w:t>
      </w:r>
    </w:p>
    <w:p>
      <w:pPr>
        <w:pStyle w:val="12"/>
        <w:spacing w:line="440" w:lineRule="exact"/>
        <w:ind w:firstLine="482"/>
        <w:rPr>
          <w:rFonts w:hint="eastAsia" w:cs="宋体"/>
          <w:color w:val="auto"/>
          <w:sz w:val="24"/>
          <w:highlight w:val="none"/>
        </w:rPr>
      </w:pPr>
      <w:r>
        <w:rPr>
          <w:rFonts w:hint="eastAsia" w:cs="宋体"/>
          <w:color w:val="auto"/>
          <w:sz w:val="24"/>
          <w:highlight w:val="none"/>
        </w:rPr>
        <w:t xml:space="preserve">法定代表人授权代表：                      </w:t>
      </w:r>
    </w:p>
    <w:p>
      <w:pPr>
        <w:pStyle w:val="12"/>
        <w:spacing w:line="440" w:lineRule="exact"/>
        <w:ind w:firstLine="482"/>
        <w:rPr>
          <w:rFonts w:hint="eastAsia" w:cs="宋体"/>
          <w:color w:val="auto"/>
          <w:sz w:val="24"/>
          <w:highlight w:val="none"/>
        </w:rPr>
      </w:pPr>
      <w:r>
        <w:rPr>
          <w:rFonts w:hint="eastAsia" w:cs="宋体"/>
          <w:color w:val="auto"/>
          <w:sz w:val="24"/>
          <w:highlight w:val="none"/>
        </w:rPr>
        <w:t xml:space="preserve">项目经办人：                         </w:t>
      </w:r>
    </w:p>
    <w:p>
      <w:pPr>
        <w:pStyle w:val="12"/>
        <w:spacing w:line="440" w:lineRule="exact"/>
        <w:ind w:firstLine="482"/>
        <w:rPr>
          <w:rFonts w:hint="eastAsia" w:cs="宋体"/>
          <w:color w:val="auto"/>
          <w:sz w:val="24"/>
          <w:highlight w:val="none"/>
        </w:rPr>
        <w:sectPr>
          <w:pgSz w:w="11906" w:h="16838"/>
          <w:pgMar w:top="1134" w:right="1134" w:bottom="1134" w:left="1134" w:header="851" w:footer="992" w:gutter="0"/>
          <w:cols w:space="720" w:num="1"/>
          <w:docGrid w:type="lines" w:linePitch="375" w:charSpace="0"/>
        </w:sectPr>
      </w:pPr>
      <w:r>
        <w:rPr>
          <w:rFonts w:hint="eastAsia" w:cs="宋体"/>
          <w:color w:val="auto"/>
          <w:sz w:val="24"/>
          <w:highlight w:val="none"/>
        </w:rPr>
        <w:t>日期：20    年     月     日</w:t>
      </w:r>
    </w:p>
    <w:bookmarkEnd w:id="328"/>
    <w:p>
      <w:pPr>
        <w:pStyle w:val="145"/>
        <w:spacing w:line="440" w:lineRule="exact"/>
        <w:ind w:left="0" w:firstLine="482" w:firstLineChars="200"/>
        <w:rPr>
          <w:b/>
          <w:sz w:val="24"/>
          <w:szCs w:val="24"/>
        </w:rPr>
      </w:pPr>
      <w:r>
        <w:rPr>
          <w:rFonts w:hint="eastAsia"/>
          <w:b/>
          <w:sz w:val="24"/>
          <w:szCs w:val="24"/>
        </w:rPr>
        <w:t>本项目采用综合评分法，评分按经济、商务和技术三部分分别打分的方式进行。三项总分为100分，其中价格得分占10％，商务得分占25％、技术得分占65%。</w:t>
      </w:r>
    </w:p>
    <w:tbl>
      <w:tblPr>
        <w:tblStyle w:val="32"/>
        <w:tblW w:w="52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490"/>
        <w:gridCol w:w="636"/>
        <w:gridCol w:w="7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5000" w:type="pct"/>
            <w:gridSpan w:val="4"/>
            <w:tcBorders>
              <w:tl2br w:val="nil"/>
              <w:tr2bl w:val="nil"/>
            </w:tcBorders>
            <w:shd w:val="clear" w:color="auto" w:fill="auto"/>
            <w:noWrap/>
            <w:vAlign w:val="center"/>
          </w:tcPr>
          <w:p>
            <w:pPr>
              <w:jc w:val="center"/>
            </w:pPr>
            <w:r>
              <w:rPr>
                <w:rFonts w:hint="eastAsia"/>
                <w:b/>
                <w:bCs/>
                <w:sz w:val="24"/>
                <w:szCs w:val="32"/>
              </w:rPr>
              <w:t>价格评分细则  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21" w:type="pct"/>
            <w:tcBorders>
              <w:tl2br w:val="nil"/>
              <w:tr2bl w:val="nil"/>
            </w:tcBorders>
            <w:shd w:val="clear" w:color="auto" w:fill="D7D7D7"/>
            <w:vAlign w:val="center"/>
          </w:tcPr>
          <w:p>
            <w:pPr>
              <w:jc w:val="center"/>
            </w:pPr>
            <w:r>
              <w:rPr>
                <w:rFonts w:hint="eastAsia"/>
              </w:rPr>
              <w:t>序号</w:t>
            </w:r>
          </w:p>
        </w:tc>
        <w:tc>
          <w:tcPr>
            <w:tcW w:w="714" w:type="pct"/>
            <w:tcBorders>
              <w:tl2br w:val="nil"/>
              <w:tr2bl w:val="nil"/>
            </w:tcBorders>
            <w:shd w:val="clear" w:color="auto" w:fill="D7D7D7"/>
            <w:vAlign w:val="center"/>
          </w:tcPr>
          <w:p>
            <w:pPr>
              <w:jc w:val="center"/>
            </w:pPr>
            <w:r>
              <w:rPr>
                <w:rFonts w:hint="eastAsia"/>
              </w:rPr>
              <w:t>评价项目</w:t>
            </w:r>
          </w:p>
        </w:tc>
        <w:tc>
          <w:tcPr>
            <w:tcW w:w="305" w:type="pct"/>
            <w:tcBorders>
              <w:tl2br w:val="nil"/>
              <w:tr2bl w:val="nil"/>
            </w:tcBorders>
            <w:shd w:val="clear" w:color="auto" w:fill="D7D7D7"/>
            <w:vAlign w:val="center"/>
          </w:tcPr>
          <w:p>
            <w:pPr>
              <w:jc w:val="center"/>
            </w:pPr>
            <w:r>
              <w:rPr>
                <w:rFonts w:hint="eastAsia"/>
              </w:rPr>
              <w:t>分值</w:t>
            </w:r>
          </w:p>
        </w:tc>
        <w:tc>
          <w:tcPr>
            <w:tcW w:w="3658" w:type="pct"/>
            <w:tcBorders>
              <w:tl2br w:val="nil"/>
              <w:tr2bl w:val="nil"/>
            </w:tcBorders>
            <w:shd w:val="clear" w:color="auto" w:fill="D7D7D7"/>
            <w:vAlign w:val="center"/>
          </w:tcPr>
          <w:p>
            <w:pPr>
              <w:jc w:val="center"/>
            </w:pPr>
            <w:r>
              <w:rPr>
                <w:rFonts w:hint="eastAsia"/>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8" w:hRule="atLeast"/>
          <w:jc w:val="center"/>
        </w:trPr>
        <w:tc>
          <w:tcPr>
            <w:tcW w:w="321" w:type="pct"/>
            <w:tcBorders>
              <w:tl2br w:val="nil"/>
              <w:tr2bl w:val="nil"/>
            </w:tcBorders>
            <w:shd w:val="clear" w:color="auto" w:fill="auto"/>
            <w:vAlign w:val="center"/>
          </w:tcPr>
          <w:p>
            <w:pPr>
              <w:jc w:val="center"/>
            </w:pPr>
            <w:r>
              <w:rPr>
                <w:rFonts w:hint="eastAsia"/>
              </w:rPr>
              <w:t>1</w:t>
            </w:r>
          </w:p>
        </w:tc>
        <w:tc>
          <w:tcPr>
            <w:tcW w:w="714" w:type="pct"/>
            <w:tcBorders>
              <w:tl2br w:val="nil"/>
              <w:tr2bl w:val="nil"/>
            </w:tcBorders>
            <w:shd w:val="clear" w:color="auto" w:fill="auto"/>
            <w:vAlign w:val="center"/>
          </w:tcPr>
          <w:p>
            <w:pPr>
              <w:jc w:val="center"/>
            </w:pPr>
            <w:r>
              <w:rPr>
                <w:rFonts w:hint="eastAsia"/>
              </w:rPr>
              <w:t>价格部分</w:t>
            </w:r>
          </w:p>
        </w:tc>
        <w:tc>
          <w:tcPr>
            <w:tcW w:w="305" w:type="pct"/>
            <w:tcBorders>
              <w:tl2br w:val="nil"/>
              <w:tr2bl w:val="nil"/>
            </w:tcBorders>
            <w:shd w:val="clear" w:color="auto" w:fill="auto"/>
            <w:vAlign w:val="center"/>
          </w:tcPr>
          <w:p>
            <w:pPr>
              <w:jc w:val="center"/>
            </w:pPr>
            <w:r>
              <w:rPr>
                <w:rFonts w:hint="eastAsia"/>
              </w:rPr>
              <w:t>10</w:t>
            </w:r>
          </w:p>
        </w:tc>
        <w:tc>
          <w:tcPr>
            <w:tcW w:w="3658" w:type="pct"/>
            <w:tcBorders>
              <w:tl2br w:val="nil"/>
              <w:tr2bl w:val="nil"/>
            </w:tcBorders>
            <w:shd w:val="clear" w:color="auto" w:fill="auto"/>
            <w:vAlign w:val="center"/>
          </w:tcPr>
          <w:p>
            <w:pPr>
              <w:snapToGrid w:val="0"/>
              <w:spacing w:line="320" w:lineRule="exact"/>
              <w:jc w:val="left"/>
            </w:pPr>
            <w:r>
              <w:rPr>
                <w:rFonts w:hint="eastAsia"/>
              </w:rPr>
              <w:t>1、本次采购方式为竞争性磋商，共有两次报价机会，第二轮报价作为最终投标报价。</w:t>
            </w:r>
          </w:p>
          <w:p>
            <w:pPr>
              <w:snapToGrid w:val="0"/>
              <w:spacing w:line="320" w:lineRule="exact"/>
              <w:jc w:val="left"/>
            </w:pPr>
            <w:r>
              <w:rPr>
                <w:rFonts w:hint="eastAsia"/>
              </w:rPr>
              <w:t>2、在评审过程中，磋商小组发现投标供应商的报价明显低于其他投标报价，使得其投标报价可能低于其个别成本的，应当要求该投标供应商做出书面说明并提供相关证明材料。投标供应商不能合理说明或者不能提供相关证明材料的，磋商小组认定该投标供应商以低于成本报价竞标，其投标将被否决。</w:t>
            </w:r>
          </w:p>
          <w:p>
            <w:pPr>
              <w:snapToGrid w:val="0"/>
              <w:spacing w:line="320" w:lineRule="exact"/>
              <w:jc w:val="left"/>
            </w:pPr>
            <w:r>
              <w:rPr>
                <w:rFonts w:hint="eastAsia"/>
              </w:rPr>
              <w:t>3、投标的最低报价，不作为是否成交的保证。</w:t>
            </w:r>
          </w:p>
          <w:p>
            <w:pPr>
              <w:snapToGrid w:val="0"/>
              <w:spacing w:line="320" w:lineRule="exact"/>
              <w:jc w:val="left"/>
            </w:pPr>
            <w:r>
              <w:rPr>
                <w:rFonts w:hint="eastAsia"/>
              </w:rPr>
              <w:t>4、价格分统一采用低价优先法计算，即满足招标文件要求且最终报价最低的供应商的价格为招标基准价，其价格分为满分。其他供应商的价格分统一按照下列公式计算：</w:t>
            </w:r>
          </w:p>
          <w:p>
            <w:pPr>
              <w:snapToGrid w:val="0"/>
              <w:spacing w:line="320" w:lineRule="exact"/>
              <w:jc w:val="left"/>
            </w:pPr>
            <w:r>
              <w:rPr>
                <w:rFonts w:hint="eastAsia"/>
              </w:rPr>
              <w:t>招标报价得分=（招标基准价/最终报价）×价格权值×100</w:t>
            </w:r>
          </w:p>
          <w:p>
            <w:r>
              <w:rPr>
                <w:rFonts w:hint="eastAsia"/>
              </w:rPr>
              <w:t>（本项目的价格权值为10%。项目评审过程中，不得去掉报价中的最高报价和最低报价。）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000" w:type="pct"/>
            <w:gridSpan w:val="4"/>
            <w:tcBorders>
              <w:tl2br w:val="nil"/>
              <w:tr2bl w:val="nil"/>
            </w:tcBorders>
            <w:shd w:val="clear" w:color="auto" w:fill="auto"/>
            <w:noWrap/>
            <w:vAlign w:val="center"/>
          </w:tcPr>
          <w:p>
            <w:pPr>
              <w:jc w:val="center"/>
            </w:pPr>
            <w:r>
              <w:rPr>
                <w:rFonts w:hint="eastAsia"/>
                <w:b/>
                <w:bCs/>
                <w:sz w:val="24"/>
                <w:szCs w:val="32"/>
              </w:rPr>
              <w:t>商务评分细则 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321" w:type="pct"/>
            <w:tcBorders>
              <w:tl2br w:val="nil"/>
              <w:tr2bl w:val="nil"/>
            </w:tcBorders>
            <w:shd w:val="clear" w:color="auto" w:fill="D7D7D7"/>
            <w:vAlign w:val="center"/>
          </w:tcPr>
          <w:p>
            <w:pPr>
              <w:jc w:val="center"/>
            </w:pPr>
            <w:r>
              <w:rPr>
                <w:rFonts w:hint="eastAsia"/>
              </w:rPr>
              <w:t>序号</w:t>
            </w:r>
          </w:p>
        </w:tc>
        <w:tc>
          <w:tcPr>
            <w:tcW w:w="714" w:type="pct"/>
            <w:tcBorders>
              <w:tl2br w:val="nil"/>
              <w:tr2bl w:val="nil"/>
            </w:tcBorders>
            <w:shd w:val="clear" w:color="auto" w:fill="D7D7D7"/>
            <w:vAlign w:val="center"/>
          </w:tcPr>
          <w:p>
            <w:pPr>
              <w:jc w:val="center"/>
            </w:pPr>
            <w:r>
              <w:rPr>
                <w:rFonts w:hint="eastAsia"/>
              </w:rPr>
              <w:t>评价项目</w:t>
            </w:r>
          </w:p>
        </w:tc>
        <w:tc>
          <w:tcPr>
            <w:tcW w:w="305" w:type="pct"/>
            <w:tcBorders>
              <w:tl2br w:val="nil"/>
              <w:tr2bl w:val="nil"/>
            </w:tcBorders>
            <w:shd w:val="clear" w:color="auto" w:fill="D7D7D7"/>
            <w:vAlign w:val="center"/>
          </w:tcPr>
          <w:p>
            <w:pPr>
              <w:jc w:val="center"/>
            </w:pPr>
            <w:r>
              <w:rPr>
                <w:rFonts w:hint="eastAsia"/>
              </w:rPr>
              <w:t>分值</w:t>
            </w:r>
          </w:p>
        </w:tc>
        <w:tc>
          <w:tcPr>
            <w:tcW w:w="3658" w:type="pct"/>
            <w:tcBorders>
              <w:tl2br w:val="nil"/>
              <w:tr2bl w:val="nil"/>
            </w:tcBorders>
            <w:shd w:val="clear" w:color="auto" w:fill="D7D7D7"/>
            <w:vAlign w:val="center"/>
          </w:tcPr>
          <w:p>
            <w:pPr>
              <w:jc w:val="center"/>
            </w:pPr>
            <w:r>
              <w:rPr>
                <w:rFonts w:hint="eastAsia"/>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321" w:type="pct"/>
            <w:tcBorders>
              <w:tl2br w:val="nil"/>
              <w:tr2bl w:val="nil"/>
            </w:tcBorders>
            <w:shd w:val="clear" w:color="auto" w:fill="auto"/>
            <w:vAlign w:val="center"/>
          </w:tcPr>
          <w:p>
            <w:pPr>
              <w:jc w:val="center"/>
            </w:pPr>
            <w:r>
              <w:rPr>
                <w:rFonts w:hint="eastAsia"/>
              </w:rPr>
              <w:t>1</w:t>
            </w:r>
          </w:p>
        </w:tc>
        <w:tc>
          <w:tcPr>
            <w:tcW w:w="714" w:type="pct"/>
            <w:tcBorders>
              <w:tl2br w:val="nil"/>
              <w:tr2bl w:val="nil"/>
            </w:tcBorders>
            <w:shd w:val="clear" w:color="auto" w:fill="auto"/>
            <w:vAlign w:val="center"/>
          </w:tcPr>
          <w:p>
            <w:pPr>
              <w:jc w:val="center"/>
            </w:pPr>
            <w:r>
              <w:rPr>
                <w:rFonts w:hint="eastAsia"/>
              </w:rPr>
              <w:t>类似项目业绩</w:t>
            </w:r>
          </w:p>
        </w:tc>
        <w:tc>
          <w:tcPr>
            <w:tcW w:w="305" w:type="pct"/>
            <w:tcBorders>
              <w:tl2br w:val="nil"/>
              <w:tr2bl w:val="nil"/>
            </w:tcBorders>
            <w:shd w:val="clear" w:color="auto" w:fill="auto"/>
            <w:vAlign w:val="center"/>
          </w:tcPr>
          <w:p>
            <w:pPr>
              <w:jc w:val="center"/>
            </w:pPr>
            <w:r>
              <w:rPr>
                <w:rFonts w:hint="eastAsia"/>
              </w:rPr>
              <w:t>10</w:t>
            </w:r>
          </w:p>
        </w:tc>
        <w:tc>
          <w:tcPr>
            <w:tcW w:w="3658" w:type="pct"/>
            <w:tcBorders>
              <w:tl2br w:val="nil"/>
              <w:tr2bl w:val="nil"/>
            </w:tcBorders>
            <w:shd w:val="clear" w:color="auto" w:fill="auto"/>
            <w:vAlign w:val="center"/>
          </w:tcPr>
          <w:p>
            <w:r>
              <w:rPr>
                <w:rFonts w:hint="eastAsia"/>
              </w:rPr>
              <w:t>投标人</w:t>
            </w:r>
            <w:r>
              <w:t>20</w:t>
            </w:r>
            <w:r>
              <w:rPr>
                <w:rFonts w:hint="eastAsia"/>
              </w:rPr>
              <w:t>20年9月</w:t>
            </w:r>
            <w:r>
              <w:t>1</w:t>
            </w:r>
            <w:r>
              <w:rPr>
                <w:rFonts w:hint="eastAsia"/>
              </w:rPr>
              <w:t>日至投标文件递交截止日期止（以合同签订时间为准）独立完成的同类项目成功实施案例，</w:t>
            </w:r>
            <w:r>
              <w:rPr>
                <w:rFonts w:hint="eastAsia"/>
                <w:lang w:val="zh-CN"/>
              </w:rPr>
              <w:t>每提供1个</w:t>
            </w:r>
            <w:r>
              <w:rPr>
                <w:rFonts w:hint="eastAsia"/>
              </w:rPr>
              <w:t>得2分，最多得10分；</w:t>
            </w:r>
          </w:p>
          <w:p>
            <w:r>
              <w:rPr>
                <w:rFonts w:hint="eastAsia"/>
                <w:b/>
                <w:bCs/>
              </w:rPr>
              <w:t>注:</w:t>
            </w:r>
            <w:r>
              <w:rPr>
                <w:rFonts w:hint="eastAsia"/>
                <w:b/>
                <w:bCs/>
                <w:lang w:val="zh-CN"/>
              </w:rPr>
              <w:t>需提供项目</w:t>
            </w:r>
            <w:r>
              <w:rPr>
                <w:rFonts w:hint="eastAsia"/>
                <w:b/>
                <w:bCs/>
              </w:rPr>
              <w:t>中标（成交）通知书或</w:t>
            </w:r>
            <w:r>
              <w:rPr>
                <w:rFonts w:hint="eastAsia"/>
                <w:b/>
                <w:bCs/>
                <w:lang w:val="zh-CN"/>
              </w:rPr>
              <w:t>合同关键页复印件（至少包括封面页、服务内容页、合同金额页、合同签字页），以上资料须完整有效，否则不予认可。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7" w:hRule="atLeast"/>
          <w:jc w:val="center"/>
        </w:trPr>
        <w:tc>
          <w:tcPr>
            <w:tcW w:w="321" w:type="pct"/>
            <w:tcBorders>
              <w:tl2br w:val="nil"/>
              <w:tr2bl w:val="nil"/>
            </w:tcBorders>
            <w:shd w:val="clear" w:color="auto" w:fill="auto"/>
            <w:vAlign w:val="center"/>
          </w:tcPr>
          <w:p>
            <w:pPr>
              <w:jc w:val="center"/>
            </w:pPr>
            <w:r>
              <w:rPr>
                <w:rFonts w:hint="eastAsia"/>
              </w:rPr>
              <w:t>2</w:t>
            </w:r>
          </w:p>
        </w:tc>
        <w:tc>
          <w:tcPr>
            <w:tcW w:w="714" w:type="pct"/>
            <w:tcBorders>
              <w:tl2br w:val="nil"/>
              <w:tr2bl w:val="nil"/>
            </w:tcBorders>
            <w:shd w:val="clear" w:color="auto" w:fill="auto"/>
            <w:vAlign w:val="center"/>
          </w:tcPr>
          <w:p>
            <w:pPr>
              <w:jc w:val="center"/>
            </w:pPr>
            <w:r>
              <w:rPr>
                <w:rFonts w:hint="eastAsia"/>
              </w:rPr>
              <w:t>企业证书</w:t>
            </w:r>
          </w:p>
        </w:tc>
        <w:tc>
          <w:tcPr>
            <w:tcW w:w="305" w:type="pct"/>
            <w:tcBorders>
              <w:tl2br w:val="nil"/>
              <w:tr2bl w:val="nil"/>
            </w:tcBorders>
            <w:shd w:val="clear" w:color="auto" w:fill="auto"/>
            <w:vAlign w:val="center"/>
          </w:tcPr>
          <w:p>
            <w:pPr>
              <w:jc w:val="center"/>
              <w:rPr>
                <w:rFonts w:hint="eastAsia" w:ascii="宋体" w:hAnsi="宋体" w:cs="宋体"/>
                <w:kern w:val="24"/>
                <w:szCs w:val="21"/>
              </w:rPr>
            </w:pPr>
            <w:r>
              <w:rPr>
                <w:rFonts w:hint="eastAsia" w:ascii="宋体" w:hAnsi="宋体" w:cs="宋体"/>
                <w:kern w:val="24"/>
                <w:szCs w:val="21"/>
              </w:rPr>
              <w:t>15</w:t>
            </w:r>
          </w:p>
        </w:tc>
        <w:tc>
          <w:tcPr>
            <w:tcW w:w="3658" w:type="pct"/>
            <w:tcBorders>
              <w:tl2br w:val="nil"/>
              <w:tr2bl w:val="nil"/>
            </w:tcBorders>
            <w:shd w:val="clear" w:color="auto" w:fill="auto"/>
            <w:vAlign w:val="center"/>
          </w:tcPr>
          <w:p>
            <w:pPr>
              <w:rPr>
                <w:rFonts w:hint="eastAsia" w:ascii="宋体" w:hAnsi="宋体" w:cs="宋体"/>
                <w:kern w:val="24"/>
                <w:szCs w:val="21"/>
              </w:rPr>
            </w:pPr>
            <w:r>
              <w:rPr>
                <w:rFonts w:hint="eastAsia" w:ascii="宋体" w:hAnsi="宋体" w:cs="宋体"/>
                <w:kern w:val="24"/>
                <w:szCs w:val="21"/>
              </w:rPr>
              <w:t>投标人所提供的第三方测试测评服务机构须具有下列认证证书：</w:t>
            </w:r>
          </w:p>
          <w:p>
            <w:pPr>
              <w:rPr>
                <w:rFonts w:hint="eastAsia" w:ascii="宋体" w:hAnsi="宋体" w:cs="宋体"/>
                <w:kern w:val="24"/>
                <w:szCs w:val="21"/>
              </w:rPr>
            </w:pPr>
            <w:r>
              <w:rPr>
                <w:rFonts w:hint="eastAsia" w:ascii="宋体" w:hAnsi="宋体" w:cs="宋体"/>
                <w:kern w:val="24"/>
                <w:szCs w:val="21"/>
                <w:lang w:eastAsia="zh-CN"/>
              </w:rPr>
              <w:t>（</w:t>
            </w:r>
            <w:r>
              <w:rPr>
                <w:rFonts w:hint="eastAsia" w:ascii="宋体" w:hAnsi="宋体" w:cs="宋体"/>
                <w:kern w:val="24"/>
                <w:szCs w:val="21"/>
                <w:lang w:val="en-US" w:eastAsia="zh-CN"/>
              </w:rPr>
              <w:t>1</w:t>
            </w:r>
            <w:r>
              <w:rPr>
                <w:rFonts w:hint="eastAsia" w:ascii="宋体" w:hAnsi="宋体" w:cs="宋体"/>
                <w:kern w:val="24"/>
                <w:szCs w:val="21"/>
                <w:lang w:eastAsia="zh-CN"/>
              </w:rPr>
              <w:t>）</w:t>
            </w:r>
            <w:r>
              <w:rPr>
                <w:rFonts w:hint="eastAsia" w:ascii="宋体" w:hAnsi="宋体" w:cs="宋体"/>
                <w:kern w:val="24"/>
                <w:szCs w:val="21"/>
              </w:rPr>
              <w:t>具有国家级市场监督管理局颁发的检验检测机构资质认定CMA证书</w:t>
            </w:r>
            <w:r>
              <w:rPr>
                <w:rFonts w:hint="eastAsia" w:ascii="宋体" w:hAnsi="宋体" w:cs="宋体"/>
                <w:kern w:val="24"/>
                <w:szCs w:val="21"/>
                <w:lang w:val="en-US" w:eastAsia="zh-CN"/>
              </w:rPr>
              <w:t>的</w:t>
            </w:r>
            <w:r>
              <w:rPr>
                <w:rFonts w:hint="eastAsia" w:ascii="宋体" w:hAnsi="宋体" w:cs="宋体"/>
                <w:kern w:val="24"/>
                <w:szCs w:val="21"/>
              </w:rPr>
              <w:t>得5分，省级市场监督管理局颁发的得2分，无证书不得分；</w:t>
            </w:r>
          </w:p>
          <w:p>
            <w:pPr>
              <w:rPr>
                <w:rFonts w:hint="eastAsia" w:ascii="宋体" w:hAnsi="宋体" w:cs="宋体"/>
                <w:kern w:val="24"/>
                <w:szCs w:val="21"/>
              </w:rPr>
            </w:pPr>
            <w:r>
              <w:rPr>
                <w:rFonts w:hint="eastAsia" w:ascii="宋体" w:hAnsi="宋体" w:cs="宋体"/>
                <w:kern w:val="24"/>
                <w:szCs w:val="21"/>
                <w:lang w:eastAsia="zh-CN"/>
              </w:rPr>
              <w:t>（</w:t>
            </w:r>
            <w:r>
              <w:rPr>
                <w:rFonts w:hint="eastAsia" w:ascii="宋体" w:hAnsi="宋体" w:cs="宋体"/>
                <w:kern w:val="24"/>
                <w:szCs w:val="21"/>
                <w:lang w:val="en-US" w:eastAsia="zh-CN"/>
              </w:rPr>
              <w:t>2</w:t>
            </w:r>
            <w:r>
              <w:rPr>
                <w:rFonts w:hint="eastAsia" w:ascii="宋体" w:hAnsi="宋体" w:cs="宋体"/>
                <w:kern w:val="24"/>
                <w:szCs w:val="21"/>
                <w:lang w:eastAsia="zh-CN"/>
              </w:rPr>
              <w:t>）</w:t>
            </w:r>
            <w:r>
              <w:rPr>
                <w:rFonts w:hint="eastAsia" w:ascii="宋体" w:hAnsi="宋体" w:cs="宋体"/>
                <w:kern w:val="24"/>
                <w:szCs w:val="21"/>
              </w:rPr>
              <w:t>具有中国合格评定国家认可委员会颁发的CNAS证书得5分；无证书不得分。</w:t>
            </w:r>
          </w:p>
          <w:p>
            <w:pPr>
              <w:rPr>
                <w:rFonts w:hint="eastAsia" w:ascii="宋体" w:hAnsi="宋体" w:cs="宋体"/>
                <w:kern w:val="24"/>
                <w:szCs w:val="21"/>
              </w:rPr>
            </w:pPr>
            <w:r>
              <w:rPr>
                <w:rFonts w:hint="eastAsia" w:ascii="宋体" w:hAnsi="宋体" w:cs="宋体"/>
                <w:kern w:val="24"/>
                <w:szCs w:val="21"/>
              </w:rPr>
              <w:t>（3）具有中国网络安全审查技术与认证中心颁发的信息系统信息安全风险评估资质得2分；不提供不得分；</w:t>
            </w:r>
          </w:p>
          <w:p>
            <w:pPr>
              <w:rPr>
                <w:rFonts w:hint="eastAsia" w:ascii="宋体" w:hAnsi="宋体" w:cs="宋体"/>
                <w:kern w:val="24"/>
                <w:szCs w:val="21"/>
              </w:rPr>
            </w:pPr>
            <w:r>
              <w:rPr>
                <w:rFonts w:hint="eastAsia" w:ascii="宋体" w:hAnsi="宋体" w:cs="宋体"/>
                <w:kern w:val="24"/>
                <w:szCs w:val="21"/>
              </w:rPr>
              <w:t>（4）具有ISO9001质量管理体系认证证书，得1分；</w:t>
            </w:r>
            <w:r>
              <w:rPr>
                <w:rFonts w:hint="eastAsia" w:ascii="宋体" w:hAnsi="宋体" w:cs="宋体"/>
                <w:kern w:val="24"/>
                <w:szCs w:val="21"/>
              </w:rPr>
              <w:br w:type="textWrapping"/>
            </w:r>
            <w:r>
              <w:rPr>
                <w:rFonts w:hint="eastAsia" w:ascii="宋体" w:hAnsi="宋体" w:cs="宋体"/>
                <w:kern w:val="24"/>
                <w:szCs w:val="21"/>
              </w:rPr>
              <w:t>（5）具有ISO27001信息安全管理体系认证证书，得1分；</w:t>
            </w:r>
            <w:r>
              <w:rPr>
                <w:rFonts w:hint="eastAsia" w:ascii="宋体" w:hAnsi="宋体" w:cs="宋体"/>
                <w:kern w:val="24"/>
                <w:szCs w:val="21"/>
              </w:rPr>
              <w:br w:type="textWrapping"/>
            </w:r>
            <w:r>
              <w:rPr>
                <w:rFonts w:hint="eastAsia" w:ascii="宋体" w:hAnsi="宋体" w:cs="宋体"/>
                <w:kern w:val="24"/>
                <w:szCs w:val="21"/>
              </w:rPr>
              <w:t>（6）具有ISO20000 信息技术服务管理体系认证证书，得1分；</w:t>
            </w:r>
          </w:p>
          <w:p>
            <w:pPr>
              <w:rPr>
                <w:rFonts w:hint="eastAsia" w:ascii="宋体" w:hAnsi="宋体" w:cs="宋体"/>
                <w:kern w:val="24"/>
                <w:szCs w:val="21"/>
              </w:rPr>
            </w:pPr>
            <w:r>
              <w:rPr>
                <w:rFonts w:hint="eastAsia" w:ascii="宋体" w:hAnsi="宋体" w:cs="宋体"/>
                <w:kern w:val="24"/>
                <w:szCs w:val="21"/>
              </w:rPr>
              <w:t>注：须提供以上证书扫描件，不提供不得分。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5000" w:type="pct"/>
            <w:gridSpan w:val="4"/>
            <w:tcBorders>
              <w:tl2br w:val="nil"/>
              <w:tr2bl w:val="nil"/>
            </w:tcBorders>
            <w:shd w:val="clear" w:color="auto" w:fill="auto"/>
            <w:vAlign w:val="center"/>
          </w:tcPr>
          <w:p>
            <w:pPr>
              <w:pStyle w:val="2"/>
              <w:jc w:val="center"/>
              <w:rPr>
                <w:rFonts w:ascii="宋体" w:hAnsi="宋体" w:cs="宋体"/>
                <w:b/>
                <w:bCs/>
                <w:szCs w:val="21"/>
              </w:rPr>
            </w:pPr>
            <w:r>
              <w:rPr>
                <w:rFonts w:hint="eastAsia"/>
                <w:b/>
                <w:bCs/>
                <w:sz w:val="24"/>
                <w:szCs w:val="32"/>
              </w:rPr>
              <w:t>技术评分细则 65分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321" w:type="pct"/>
            <w:tcBorders>
              <w:tl2br w:val="nil"/>
              <w:tr2bl w:val="nil"/>
            </w:tcBorders>
            <w:shd w:val="clear" w:color="auto" w:fill="D7D7D7" w:themeFill="background1" w:themeFillShade="D8"/>
            <w:vAlign w:val="center"/>
          </w:tcPr>
          <w:p>
            <w:pPr>
              <w:jc w:val="center"/>
            </w:pPr>
            <w:r>
              <w:rPr>
                <w:rFonts w:hint="eastAsia"/>
              </w:rPr>
              <w:t>序号</w:t>
            </w:r>
          </w:p>
        </w:tc>
        <w:tc>
          <w:tcPr>
            <w:tcW w:w="714" w:type="pct"/>
            <w:tcBorders>
              <w:tl2br w:val="nil"/>
              <w:tr2bl w:val="nil"/>
            </w:tcBorders>
            <w:shd w:val="clear" w:color="auto" w:fill="D7D7D7" w:themeFill="background1" w:themeFillShade="D8"/>
            <w:vAlign w:val="center"/>
          </w:tcPr>
          <w:p>
            <w:pPr>
              <w:jc w:val="center"/>
            </w:pPr>
            <w:r>
              <w:rPr>
                <w:rFonts w:hint="eastAsia"/>
              </w:rPr>
              <w:t>评价项目</w:t>
            </w:r>
          </w:p>
        </w:tc>
        <w:tc>
          <w:tcPr>
            <w:tcW w:w="305" w:type="pct"/>
            <w:tcBorders>
              <w:tl2br w:val="nil"/>
              <w:tr2bl w:val="nil"/>
            </w:tcBorders>
            <w:shd w:val="clear" w:color="auto" w:fill="D7D7D7" w:themeFill="background1" w:themeFillShade="D8"/>
            <w:vAlign w:val="center"/>
          </w:tcPr>
          <w:p>
            <w:pPr>
              <w:jc w:val="center"/>
            </w:pPr>
            <w:r>
              <w:rPr>
                <w:rFonts w:hint="eastAsia"/>
              </w:rPr>
              <w:t>分值</w:t>
            </w:r>
          </w:p>
        </w:tc>
        <w:tc>
          <w:tcPr>
            <w:tcW w:w="3658" w:type="pct"/>
            <w:tcBorders>
              <w:tl2br w:val="nil"/>
              <w:tr2bl w:val="nil"/>
            </w:tcBorders>
            <w:shd w:val="clear" w:color="auto" w:fill="D7D7D7" w:themeFill="background1" w:themeFillShade="D8"/>
            <w:vAlign w:val="center"/>
          </w:tcPr>
          <w:p>
            <w:pPr>
              <w:jc w:val="center"/>
              <w:rPr>
                <w:rFonts w:ascii="宋体" w:hAnsi="宋体" w:cs="宋体"/>
                <w:b/>
                <w:bCs/>
                <w:szCs w:val="21"/>
              </w:rPr>
            </w:pPr>
            <w:r>
              <w:rPr>
                <w:rFonts w:hint="eastAsia"/>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321" w:type="pct"/>
            <w:vMerge w:val="restart"/>
            <w:tcBorders>
              <w:tl2br w:val="nil"/>
              <w:tr2bl w:val="nil"/>
            </w:tcBorders>
            <w:shd w:val="clear" w:color="auto" w:fill="auto"/>
            <w:vAlign w:val="center"/>
          </w:tcPr>
          <w:p>
            <w:pPr>
              <w:jc w:val="center"/>
            </w:pPr>
            <w:r>
              <w:rPr>
                <w:rFonts w:hint="eastAsia"/>
              </w:rPr>
              <w:t>1</w:t>
            </w:r>
          </w:p>
        </w:tc>
        <w:tc>
          <w:tcPr>
            <w:tcW w:w="714" w:type="pct"/>
            <w:vMerge w:val="restart"/>
            <w:tcBorders>
              <w:tl2br w:val="nil"/>
              <w:tr2bl w:val="nil"/>
            </w:tcBorders>
            <w:shd w:val="clear" w:color="auto" w:fill="auto"/>
            <w:noWrap/>
            <w:vAlign w:val="center"/>
          </w:tcPr>
          <w:p>
            <w:pPr>
              <w:jc w:val="center"/>
            </w:pPr>
            <w:r>
              <w:rPr>
                <w:rFonts w:hint="eastAsia"/>
              </w:rPr>
              <w:t>项目团队人员配置情况</w:t>
            </w:r>
          </w:p>
        </w:tc>
        <w:tc>
          <w:tcPr>
            <w:tcW w:w="305" w:type="pct"/>
            <w:tcBorders>
              <w:tl2br w:val="nil"/>
              <w:tr2bl w:val="nil"/>
            </w:tcBorders>
            <w:shd w:val="clear" w:color="auto" w:fill="auto"/>
            <w:noWrap/>
            <w:vAlign w:val="center"/>
          </w:tcPr>
          <w:p>
            <w:pPr>
              <w:jc w:val="center"/>
            </w:pPr>
            <w:r>
              <w:rPr>
                <w:rFonts w:hint="eastAsia"/>
              </w:rPr>
              <w:t>6</w:t>
            </w:r>
          </w:p>
        </w:tc>
        <w:tc>
          <w:tcPr>
            <w:tcW w:w="3658" w:type="pct"/>
            <w:tcBorders>
              <w:tl2br w:val="nil"/>
              <w:tr2bl w:val="nil"/>
            </w:tcBorders>
            <w:shd w:val="clear" w:color="auto" w:fill="auto"/>
            <w:vAlign w:val="center"/>
          </w:tcPr>
          <w:p>
            <w:r>
              <w:rPr>
                <w:rFonts w:hint="eastAsia"/>
                <w:lang w:val="zh-CN"/>
              </w:rPr>
              <w:t>根据投标人拟派项目经理资质情况进行评分：</w:t>
            </w:r>
            <w:r>
              <w:rPr>
                <w:rFonts w:hint="eastAsia"/>
                <w:lang w:val="zh-CN"/>
              </w:rPr>
              <w:br w:type="textWrapping"/>
            </w:r>
            <w:r>
              <w:rPr>
                <w:rFonts w:hint="eastAsia"/>
                <w:lang w:val="zh-CN"/>
              </w:rPr>
              <w:t>（1）具有信息系统项目管理师证书</w:t>
            </w:r>
            <w:r>
              <w:rPr>
                <w:rFonts w:hint="eastAsia"/>
              </w:rPr>
              <w:t>及以上在有效期内</w:t>
            </w:r>
            <w:r>
              <w:rPr>
                <w:rFonts w:hint="eastAsia"/>
                <w:lang w:val="zh-CN"/>
              </w:rPr>
              <w:t>得</w:t>
            </w:r>
            <w:r>
              <w:rPr>
                <w:rFonts w:hint="eastAsia"/>
              </w:rPr>
              <w:t>3</w:t>
            </w:r>
            <w:r>
              <w:rPr>
                <w:rFonts w:hint="eastAsia"/>
                <w:lang w:val="zh-CN"/>
              </w:rPr>
              <w:t>分，不</w:t>
            </w:r>
            <w:r>
              <w:rPr>
                <w:rFonts w:hint="eastAsia"/>
              </w:rPr>
              <w:t>满足不得分。</w:t>
            </w:r>
          </w:p>
          <w:p>
            <w:pPr>
              <w:rPr>
                <w:lang w:val="zh-CN"/>
              </w:rPr>
            </w:pPr>
            <w:r>
              <w:rPr>
                <w:rFonts w:hint="eastAsia"/>
                <w:lang w:val="zh-CN"/>
              </w:rPr>
              <w:t>（</w:t>
            </w:r>
            <w:r>
              <w:rPr>
                <w:rFonts w:hint="eastAsia"/>
              </w:rPr>
              <w:t>2</w:t>
            </w:r>
            <w:r>
              <w:rPr>
                <w:rFonts w:hint="eastAsia"/>
                <w:lang w:val="zh-CN"/>
              </w:rPr>
              <w:t>）具有</w:t>
            </w:r>
            <w:r>
              <w:rPr>
                <w:rFonts w:hint="eastAsia"/>
              </w:rPr>
              <w:t>软件评测师</w:t>
            </w:r>
            <w:r>
              <w:rPr>
                <w:rFonts w:hint="eastAsia"/>
                <w:lang w:val="zh-CN"/>
              </w:rPr>
              <w:t>证书</w:t>
            </w:r>
            <w:r>
              <w:rPr>
                <w:rFonts w:hint="eastAsia"/>
              </w:rPr>
              <w:t>且在有效期内</w:t>
            </w:r>
            <w:r>
              <w:rPr>
                <w:rFonts w:hint="eastAsia"/>
                <w:lang w:val="zh-CN"/>
              </w:rPr>
              <w:t>得</w:t>
            </w:r>
            <w:r>
              <w:rPr>
                <w:rFonts w:hint="eastAsia"/>
              </w:rPr>
              <w:t>2</w:t>
            </w:r>
            <w:r>
              <w:rPr>
                <w:rFonts w:hint="eastAsia"/>
                <w:lang w:val="zh-CN"/>
              </w:rPr>
              <w:t>分，不</w:t>
            </w:r>
            <w:r>
              <w:rPr>
                <w:rFonts w:hint="eastAsia"/>
              </w:rPr>
              <w:t>满足不得分。</w:t>
            </w:r>
          </w:p>
          <w:p>
            <w:pPr>
              <w:rPr>
                <w:lang w:val="zh-CN"/>
              </w:rPr>
            </w:pPr>
            <w:r>
              <w:rPr>
                <w:rFonts w:hint="eastAsia"/>
                <w:lang w:val="zh-CN"/>
              </w:rPr>
              <w:t>（</w:t>
            </w:r>
            <w:r>
              <w:t>3</w:t>
            </w:r>
            <w:r>
              <w:rPr>
                <w:rFonts w:hint="eastAsia"/>
                <w:lang w:val="zh-CN"/>
              </w:rPr>
              <w:t>）具有</w:t>
            </w:r>
            <w:r>
              <w:rPr>
                <w:rFonts w:hint="eastAsia"/>
              </w:rPr>
              <w:t>注册信息安全专业人员(CISP-PTE)注册渗透测试工程师证书且在有效期内</w:t>
            </w:r>
            <w:r>
              <w:rPr>
                <w:rFonts w:hint="eastAsia"/>
                <w:lang w:val="zh-CN"/>
              </w:rPr>
              <w:t>得</w:t>
            </w:r>
            <w:r>
              <w:rPr>
                <w:rFonts w:hint="eastAsia"/>
              </w:rPr>
              <w:t>1</w:t>
            </w:r>
            <w:r>
              <w:rPr>
                <w:rFonts w:hint="eastAsia"/>
                <w:lang w:val="zh-CN"/>
              </w:rPr>
              <w:t>分，不</w:t>
            </w:r>
            <w:r>
              <w:rPr>
                <w:rFonts w:hint="eastAsia"/>
              </w:rPr>
              <w:t>满足不得分。</w:t>
            </w:r>
          </w:p>
          <w:p>
            <w:pPr>
              <w:rPr>
                <w:lang w:val="zh-CN"/>
              </w:rPr>
            </w:pPr>
            <w:r>
              <w:rPr>
                <w:rFonts w:hint="eastAsia"/>
                <w:b/>
                <w:bCs/>
                <w:lang w:val="zh-CN"/>
              </w:rPr>
              <w:t>注：须提供</w:t>
            </w:r>
            <w:r>
              <w:rPr>
                <w:rFonts w:hint="eastAsia"/>
                <w:b/>
                <w:bCs/>
                <w:lang w:val="de-DE"/>
              </w:rPr>
              <w:t>毕业证、身份证及相关证书的复印件</w:t>
            </w:r>
            <w:r>
              <w:rPr>
                <w:rFonts w:hint="eastAsia"/>
                <w:b/>
                <w:bCs/>
              </w:rPr>
              <w:t>及</w:t>
            </w:r>
            <w:r>
              <w:rPr>
                <w:rFonts w:hint="eastAsia"/>
                <w:b/>
                <w:bCs/>
                <w:lang w:val="zh-CN"/>
              </w:rPr>
              <w:t>近一年（近一年是指2022年</w:t>
            </w:r>
            <w:r>
              <w:rPr>
                <w:rFonts w:hint="eastAsia"/>
                <w:b/>
                <w:bCs/>
              </w:rPr>
              <w:t>10</w:t>
            </w:r>
            <w:r>
              <w:rPr>
                <w:rFonts w:hint="eastAsia"/>
                <w:b/>
                <w:bCs/>
                <w:lang w:val="zh-CN"/>
              </w:rPr>
              <w:t>月1日至投标截止日）投标人为其缴纳社保证明。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1" w:hRule="atLeast"/>
          <w:jc w:val="center"/>
        </w:trPr>
        <w:tc>
          <w:tcPr>
            <w:tcW w:w="321" w:type="pct"/>
            <w:vMerge w:val="continue"/>
            <w:tcBorders>
              <w:tl2br w:val="nil"/>
              <w:tr2bl w:val="nil"/>
            </w:tcBorders>
            <w:shd w:val="clear" w:color="auto" w:fill="auto"/>
            <w:vAlign w:val="center"/>
          </w:tcPr>
          <w:p/>
        </w:tc>
        <w:tc>
          <w:tcPr>
            <w:tcW w:w="714" w:type="pct"/>
            <w:vMerge w:val="continue"/>
            <w:tcBorders>
              <w:tl2br w:val="nil"/>
              <w:tr2bl w:val="nil"/>
            </w:tcBorders>
            <w:shd w:val="clear" w:color="auto" w:fill="auto"/>
            <w:noWrap/>
            <w:vAlign w:val="center"/>
          </w:tcPr>
          <w:p/>
        </w:tc>
        <w:tc>
          <w:tcPr>
            <w:tcW w:w="305" w:type="pct"/>
            <w:tcBorders>
              <w:tl2br w:val="nil"/>
              <w:tr2bl w:val="nil"/>
            </w:tcBorders>
            <w:shd w:val="clear" w:color="auto" w:fill="auto"/>
            <w:noWrap/>
            <w:vAlign w:val="center"/>
          </w:tcPr>
          <w:p>
            <w:pPr>
              <w:jc w:val="center"/>
            </w:pPr>
            <w:r>
              <w:rPr>
                <w:rFonts w:hint="eastAsia"/>
              </w:rPr>
              <w:t>8</w:t>
            </w:r>
          </w:p>
        </w:tc>
        <w:tc>
          <w:tcPr>
            <w:tcW w:w="3658" w:type="pct"/>
            <w:tcBorders>
              <w:tl2br w:val="nil"/>
              <w:tr2bl w:val="nil"/>
            </w:tcBorders>
            <w:shd w:val="clear" w:color="auto" w:fill="auto"/>
            <w:vAlign w:val="center"/>
          </w:tcPr>
          <w:p>
            <w:pPr>
              <w:rPr>
                <w:rFonts w:hint="eastAsia"/>
                <w:lang w:val="de-DE"/>
              </w:rPr>
            </w:pPr>
            <w:r>
              <w:rPr>
                <w:rFonts w:hint="eastAsia"/>
                <w:lang w:val="de-DE"/>
              </w:rPr>
              <w:t>对拟派项目实施团队（不含项目经理）评分：</w:t>
            </w:r>
            <w:r>
              <w:rPr>
                <w:rFonts w:hint="eastAsia"/>
                <w:lang w:val="de-DE"/>
              </w:rPr>
              <w:br w:type="textWrapping"/>
            </w:r>
            <w:r>
              <w:rPr>
                <w:rFonts w:hint="eastAsia"/>
                <w:lang w:val="de-DE"/>
              </w:rPr>
              <w:t>（1）具有</w:t>
            </w:r>
            <w:r>
              <w:rPr>
                <w:rFonts w:hint="eastAsia"/>
                <w:lang w:val="zh-CN"/>
              </w:rPr>
              <w:t>软件测试</w:t>
            </w:r>
            <w:r>
              <w:rPr>
                <w:rFonts w:hint="eastAsia"/>
                <w:lang w:val="de-DE"/>
              </w:rPr>
              <w:t>类证书，每提供一个证书得0.5分，最多得4分，未提供不得分。</w:t>
            </w:r>
          </w:p>
          <w:p>
            <w:pPr>
              <w:rPr>
                <w:rFonts w:hint="eastAsia"/>
                <w:lang w:val="de-DE"/>
              </w:rPr>
            </w:pPr>
            <w:r>
              <w:rPr>
                <w:rFonts w:hint="eastAsia"/>
                <w:lang w:val="de-DE"/>
              </w:rPr>
              <w:t>（2）具有CISAW得1分，未提供不得分。</w:t>
            </w:r>
            <w:r>
              <w:rPr>
                <w:rFonts w:hint="eastAsia"/>
                <w:lang w:val="de-DE"/>
              </w:rPr>
              <w:br w:type="textWrapping"/>
            </w:r>
            <w:r>
              <w:rPr>
                <w:rFonts w:hint="eastAsia"/>
                <w:lang w:val="de-DE"/>
              </w:rPr>
              <w:t>（3）具备信息系统安全类证书，每提供一个证书得1分，最多得2分；</w:t>
            </w:r>
          </w:p>
          <w:p>
            <w:pPr>
              <w:rPr>
                <w:lang w:val="de-DE"/>
              </w:rPr>
            </w:pPr>
            <w:r>
              <w:rPr>
                <w:rFonts w:hint="eastAsia"/>
                <w:lang w:val="de-DE"/>
              </w:rPr>
              <w:t>（4）</w:t>
            </w:r>
            <w:r>
              <w:rPr>
                <w:rFonts w:hint="eastAsia"/>
                <w:lang w:val="zh-CN"/>
              </w:rPr>
              <w:t>具有</w:t>
            </w:r>
            <w:r>
              <w:rPr>
                <w:rFonts w:hint="eastAsia"/>
                <w:lang w:val="de-DE"/>
              </w:rPr>
              <w:t>注册信息安全专业人员(CISP)证书，每提供一个证书得</w:t>
            </w:r>
            <w:r>
              <w:rPr>
                <w:rFonts w:hint="eastAsia"/>
              </w:rPr>
              <w:t>1</w:t>
            </w:r>
            <w:r>
              <w:rPr>
                <w:rFonts w:hint="eastAsia"/>
                <w:lang w:val="de-DE"/>
              </w:rPr>
              <w:t>分，最多得1分；</w:t>
            </w:r>
            <w:r>
              <w:rPr>
                <w:rFonts w:hint="eastAsia"/>
                <w:lang w:val="de-DE"/>
              </w:rPr>
              <w:br w:type="textWrapping"/>
            </w:r>
            <w:r>
              <w:rPr>
                <w:rFonts w:hint="eastAsia"/>
                <w:b/>
                <w:bCs/>
                <w:lang w:val="de-DE"/>
              </w:rPr>
              <w:t>注</w:t>
            </w:r>
            <w:r>
              <w:rPr>
                <w:rFonts w:hint="eastAsia"/>
                <w:b/>
                <w:bCs/>
              </w:rPr>
              <w:t>1</w:t>
            </w:r>
            <w:r>
              <w:rPr>
                <w:rFonts w:hint="eastAsia"/>
                <w:b/>
                <w:bCs/>
                <w:lang w:val="de-DE"/>
              </w:rPr>
              <w:t>：</w:t>
            </w:r>
            <w:r>
              <w:rPr>
                <w:rFonts w:hint="eastAsia"/>
                <w:b/>
                <w:bCs/>
              </w:rPr>
              <w:t>以上人员证书在有效期内且不可重复得分，</w:t>
            </w:r>
            <w:r>
              <w:rPr>
                <w:rFonts w:hint="eastAsia"/>
                <w:b/>
                <w:bCs/>
                <w:lang w:val="de-DE"/>
              </w:rPr>
              <w:t>须提供实施团队成员名单、毕业证、身份证及相关证书的复印件、对应人员近</w:t>
            </w:r>
            <w:r>
              <w:rPr>
                <w:rFonts w:hint="eastAsia"/>
                <w:b/>
                <w:bCs/>
              </w:rPr>
              <w:t>半</w:t>
            </w:r>
            <w:r>
              <w:rPr>
                <w:rFonts w:hint="eastAsia"/>
                <w:b/>
                <w:bCs/>
                <w:lang w:val="de-DE"/>
              </w:rPr>
              <w:t>年（</w:t>
            </w:r>
            <w:r>
              <w:rPr>
                <w:rFonts w:hint="eastAsia"/>
                <w:b/>
                <w:bCs/>
              </w:rPr>
              <w:t>2023年5月-10月</w:t>
            </w:r>
            <w:r>
              <w:rPr>
                <w:rFonts w:hint="eastAsia"/>
                <w:b/>
                <w:bCs/>
                <w:lang w:val="de-DE"/>
              </w:rPr>
              <w:t>）的社保证明。</w:t>
            </w:r>
          </w:p>
          <w:p>
            <w:pPr>
              <w:rPr>
                <w:lang w:val="de-DE"/>
              </w:rPr>
            </w:pPr>
            <w:r>
              <w:rPr>
                <w:rFonts w:hint="eastAsia"/>
                <w:b/>
                <w:bCs/>
                <w:lang w:val="de-DE"/>
              </w:rPr>
              <w:t>注</w:t>
            </w:r>
            <w:r>
              <w:rPr>
                <w:rFonts w:hint="eastAsia"/>
                <w:b/>
                <w:bCs/>
              </w:rPr>
              <w:t>2</w:t>
            </w:r>
            <w:r>
              <w:rPr>
                <w:rFonts w:hint="eastAsia"/>
                <w:b/>
                <w:bCs/>
                <w:lang w:val="de-DE"/>
              </w:rPr>
              <w:t>：</w:t>
            </w:r>
            <w:r>
              <w:rPr>
                <w:rFonts w:hint="eastAsia"/>
                <w:b/>
                <w:bCs/>
              </w:rPr>
              <w:t>投标</w:t>
            </w:r>
            <w:r>
              <w:rPr>
                <w:rFonts w:hint="eastAsia"/>
                <w:b/>
                <w:bCs/>
                <w:lang w:val="de-DE"/>
              </w:rPr>
              <w:t>人在</w:t>
            </w:r>
            <w:r>
              <w:rPr>
                <w:rFonts w:hint="eastAsia"/>
                <w:b/>
                <w:bCs/>
              </w:rPr>
              <w:t>该项目的实施</w:t>
            </w:r>
            <w:r>
              <w:rPr>
                <w:rFonts w:hint="eastAsia"/>
                <w:b/>
                <w:bCs/>
                <w:lang w:val="de-DE"/>
              </w:rPr>
              <w:t>人员</w:t>
            </w:r>
            <w:r>
              <w:rPr>
                <w:rFonts w:hint="eastAsia"/>
                <w:b/>
                <w:bCs/>
              </w:rPr>
              <w:t>(不含项目经理)</w:t>
            </w:r>
            <w:r>
              <w:rPr>
                <w:rFonts w:hint="eastAsia"/>
                <w:b/>
                <w:bCs/>
                <w:lang w:val="de-DE"/>
              </w:rPr>
              <w:t>不</w:t>
            </w:r>
            <w:r>
              <w:rPr>
                <w:rFonts w:hint="eastAsia"/>
                <w:b/>
                <w:bCs/>
              </w:rPr>
              <w:t>得</w:t>
            </w:r>
            <w:r>
              <w:rPr>
                <w:rFonts w:hint="eastAsia"/>
                <w:b/>
                <w:bCs/>
                <w:lang w:val="de-DE"/>
              </w:rPr>
              <w:t>少于18人，不满足</w:t>
            </w:r>
            <w:r>
              <w:rPr>
                <w:rFonts w:hint="eastAsia"/>
                <w:b/>
                <w:bCs/>
              </w:rPr>
              <w:t>得0分</w:t>
            </w:r>
            <w:r>
              <w:rPr>
                <w:rFonts w:hint="eastAsia"/>
                <w:b/>
                <w:bCs/>
                <w:lang w:val="de-D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8" w:hRule="atLeast"/>
          <w:jc w:val="center"/>
        </w:trPr>
        <w:tc>
          <w:tcPr>
            <w:tcW w:w="321" w:type="pct"/>
            <w:tcBorders>
              <w:tl2br w:val="nil"/>
              <w:tr2bl w:val="nil"/>
            </w:tcBorders>
            <w:shd w:val="clear" w:color="auto" w:fill="auto"/>
            <w:vAlign w:val="center"/>
          </w:tcPr>
          <w:p>
            <w:pPr>
              <w:jc w:val="center"/>
            </w:pPr>
            <w:r>
              <w:rPr>
                <w:rFonts w:hint="eastAsia"/>
              </w:rPr>
              <w:t>2</w:t>
            </w:r>
          </w:p>
        </w:tc>
        <w:tc>
          <w:tcPr>
            <w:tcW w:w="714" w:type="pct"/>
            <w:tcBorders>
              <w:tl2br w:val="nil"/>
              <w:tr2bl w:val="nil"/>
            </w:tcBorders>
            <w:shd w:val="clear" w:color="auto" w:fill="auto"/>
            <w:vAlign w:val="center"/>
          </w:tcPr>
          <w:p>
            <w:pPr>
              <w:jc w:val="center"/>
            </w:pPr>
            <w:r>
              <w:rPr>
                <w:rFonts w:hint="eastAsia"/>
              </w:rPr>
              <w:t>项目理解</w:t>
            </w:r>
          </w:p>
        </w:tc>
        <w:tc>
          <w:tcPr>
            <w:tcW w:w="305" w:type="pct"/>
            <w:tcBorders>
              <w:tl2br w:val="nil"/>
              <w:tr2bl w:val="nil"/>
            </w:tcBorders>
            <w:shd w:val="clear" w:color="auto" w:fill="auto"/>
            <w:vAlign w:val="center"/>
          </w:tcPr>
          <w:p>
            <w:pPr>
              <w:jc w:val="center"/>
            </w:pPr>
            <w:r>
              <w:rPr>
                <w:rFonts w:hint="eastAsia"/>
              </w:rPr>
              <w:t>8</w:t>
            </w:r>
          </w:p>
        </w:tc>
        <w:tc>
          <w:tcPr>
            <w:tcW w:w="3658" w:type="pct"/>
            <w:tcBorders>
              <w:tl2br w:val="nil"/>
              <w:tr2bl w:val="nil"/>
            </w:tcBorders>
            <w:shd w:val="clear" w:color="auto" w:fill="auto"/>
            <w:vAlign w:val="center"/>
          </w:tcPr>
          <w:p>
            <w:r>
              <w:rPr>
                <w:rFonts w:hint="eastAsia"/>
              </w:rPr>
              <w:t>投标人根据本项目需求、项目交付标准、项目重点难点，以及测试内容得完善程度四项内容编写项目理解方案，方案完整、保证项目顺利实施、内容无错误或无缺陷的得8分，每缺少一项内容扣2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6" w:hRule="atLeast"/>
          <w:jc w:val="center"/>
        </w:trPr>
        <w:tc>
          <w:tcPr>
            <w:tcW w:w="321" w:type="pct"/>
            <w:tcBorders>
              <w:tl2br w:val="nil"/>
              <w:tr2bl w:val="nil"/>
            </w:tcBorders>
            <w:shd w:val="clear" w:color="auto" w:fill="auto"/>
            <w:vAlign w:val="center"/>
          </w:tcPr>
          <w:p>
            <w:pPr>
              <w:jc w:val="center"/>
            </w:pPr>
            <w:r>
              <w:rPr>
                <w:rFonts w:hint="eastAsia"/>
              </w:rPr>
              <w:t>3</w:t>
            </w:r>
          </w:p>
        </w:tc>
        <w:tc>
          <w:tcPr>
            <w:tcW w:w="714" w:type="pct"/>
            <w:tcBorders>
              <w:tl2br w:val="nil"/>
              <w:tr2bl w:val="nil"/>
            </w:tcBorders>
            <w:shd w:val="clear" w:color="auto" w:fill="auto"/>
            <w:vAlign w:val="center"/>
          </w:tcPr>
          <w:p>
            <w:pPr>
              <w:jc w:val="center"/>
            </w:pPr>
            <w:r>
              <w:rPr>
                <w:rFonts w:hint="eastAsia"/>
              </w:rPr>
              <w:t>项目实施方案</w:t>
            </w:r>
          </w:p>
        </w:tc>
        <w:tc>
          <w:tcPr>
            <w:tcW w:w="305" w:type="pct"/>
            <w:tcBorders>
              <w:tl2br w:val="nil"/>
              <w:tr2bl w:val="nil"/>
            </w:tcBorders>
            <w:shd w:val="clear" w:color="auto" w:fill="auto"/>
            <w:vAlign w:val="center"/>
          </w:tcPr>
          <w:p>
            <w:pPr>
              <w:jc w:val="center"/>
            </w:pPr>
            <w:r>
              <w:rPr>
                <w:rFonts w:hint="eastAsia"/>
              </w:rPr>
              <w:t>10</w:t>
            </w:r>
          </w:p>
        </w:tc>
        <w:tc>
          <w:tcPr>
            <w:tcW w:w="3658" w:type="pct"/>
            <w:tcBorders>
              <w:tl2br w:val="nil"/>
              <w:tr2bl w:val="nil"/>
            </w:tcBorders>
            <w:shd w:val="clear" w:color="auto" w:fill="auto"/>
            <w:vAlign w:val="center"/>
          </w:tcPr>
          <w:p>
            <w:r>
              <w:rPr>
                <w:rFonts w:hint="eastAsia"/>
              </w:rPr>
              <w:t>投标人需提供项目实施方案包括项目实施计划、项目人员管理、进度管理、质量管理、风险管理等五项内容编写项目实施方案，满足项目交付时间要求、方案完整、保证项目顺利实施、内容无错误或无缺陷的得10分，每缺少一项内容扣2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321" w:type="pct"/>
            <w:tcBorders>
              <w:tl2br w:val="nil"/>
              <w:tr2bl w:val="nil"/>
            </w:tcBorders>
            <w:shd w:val="clear" w:color="auto" w:fill="auto"/>
            <w:vAlign w:val="center"/>
          </w:tcPr>
          <w:p>
            <w:pPr>
              <w:jc w:val="center"/>
            </w:pPr>
            <w:r>
              <w:rPr>
                <w:rFonts w:hint="eastAsia"/>
              </w:rPr>
              <w:t>4</w:t>
            </w:r>
          </w:p>
        </w:tc>
        <w:tc>
          <w:tcPr>
            <w:tcW w:w="714" w:type="pct"/>
            <w:tcBorders>
              <w:tl2br w:val="nil"/>
              <w:tr2bl w:val="nil"/>
            </w:tcBorders>
            <w:shd w:val="clear" w:color="auto" w:fill="auto"/>
            <w:vAlign w:val="center"/>
          </w:tcPr>
          <w:p>
            <w:pPr>
              <w:jc w:val="center"/>
            </w:pPr>
            <w:r>
              <w:rPr>
                <w:rFonts w:hint="eastAsia"/>
              </w:rPr>
              <w:t>服务方案情况</w:t>
            </w:r>
          </w:p>
        </w:tc>
        <w:tc>
          <w:tcPr>
            <w:tcW w:w="305" w:type="pct"/>
            <w:tcBorders>
              <w:tl2br w:val="nil"/>
              <w:tr2bl w:val="nil"/>
            </w:tcBorders>
            <w:shd w:val="clear" w:color="auto" w:fill="auto"/>
            <w:vAlign w:val="center"/>
          </w:tcPr>
          <w:p>
            <w:pPr>
              <w:jc w:val="center"/>
            </w:pPr>
            <w:r>
              <w:rPr>
                <w:rFonts w:hint="eastAsia"/>
              </w:rPr>
              <w:t>9</w:t>
            </w:r>
          </w:p>
        </w:tc>
        <w:tc>
          <w:tcPr>
            <w:tcW w:w="3658" w:type="pct"/>
            <w:tcBorders>
              <w:tl2br w:val="nil"/>
              <w:tr2bl w:val="nil"/>
            </w:tcBorders>
            <w:shd w:val="clear" w:color="auto" w:fill="auto"/>
            <w:vAlign w:val="center"/>
          </w:tcPr>
          <w:p>
            <w:r>
              <w:rPr>
                <w:rFonts w:hint="eastAsia"/>
              </w:rPr>
              <w:t>根据投标人测试方案、测试计划、测试流程的合理性、先进性三项内容进行打分。</w:t>
            </w:r>
            <w:r>
              <w:rPr>
                <w:rFonts w:hint="eastAsia"/>
              </w:rPr>
              <w:br w:type="textWrapping"/>
            </w:r>
            <w:r>
              <w:rPr>
                <w:rFonts w:hint="eastAsia"/>
              </w:rPr>
              <w:t>投标人测试方案全面、测试计划安排合理、测试流程科学严谨的得9分；每缺少一项内容扣3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1.5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jc w:val="center"/>
        </w:trPr>
        <w:tc>
          <w:tcPr>
            <w:tcW w:w="321" w:type="pct"/>
            <w:tcBorders>
              <w:tl2br w:val="nil"/>
              <w:tr2bl w:val="nil"/>
            </w:tcBorders>
            <w:shd w:val="clear" w:color="auto" w:fill="auto"/>
            <w:vAlign w:val="center"/>
          </w:tcPr>
          <w:p>
            <w:pPr>
              <w:jc w:val="center"/>
            </w:pPr>
            <w:r>
              <w:rPr>
                <w:rFonts w:hint="eastAsia"/>
              </w:rPr>
              <w:t>5</w:t>
            </w:r>
          </w:p>
        </w:tc>
        <w:tc>
          <w:tcPr>
            <w:tcW w:w="714" w:type="pct"/>
            <w:tcBorders>
              <w:tl2br w:val="nil"/>
              <w:tr2bl w:val="nil"/>
            </w:tcBorders>
            <w:shd w:val="clear" w:color="auto" w:fill="auto"/>
            <w:vAlign w:val="center"/>
          </w:tcPr>
          <w:p>
            <w:pPr>
              <w:jc w:val="center"/>
            </w:pPr>
            <w:r>
              <w:rPr>
                <w:rFonts w:hint="eastAsia"/>
              </w:rPr>
              <w:t>测评工具</w:t>
            </w:r>
          </w:p>
        </w:tc>
        <w:tc>
          <w:tcPr>
            <w:tcW w:w="305" w:type="pct"/>
            <w:tcBorders>
              <w:tl2br w:val="nil"/>
              <w:tr2bl w:val="nil"/>
            </w:tcBorders>
            <w:shd w:val="clear" w:color="auto" w:fill="auto"/>
            <w:vAlign w:val="center"/>
          </w:tcPr>
          <w:p>
            <w:pPr>
              <w:jc w:val="center"/>
            </w:pPr>
            <w:r>
              <w:rPr>
                <w:rFonts w:hint="eastAsia"/>
              </w:rPr>
              <w:t>5</w:t>
            </w:r>
          </w:p>
        </w:tc>
        <w:tc>
          <w:tcPr>
            <w:tcW w:w="3658" w:type="pct"/>
            <w:tcBorders>
              <w:tl2br w:val="nil"/>
              <w:tr2bl w:val="nil"/>
            </w:tcBorders>
            <w:shd w:val="clear" w:color="auto" w:fill="auto"/>
            <w:vAlign w:val="center"/>
          </w:tcPr>
          <w:p>
            <w:r>
              <w:rPr>
                <w:rFonts w:hint="eastAsia"/>
              </w:rPr>
              <w:t>测试工具的专业性、完备性和先进性，进行横向对比：项目团队需提供的正版测评工具及证明材料，包括功能性能测试工具、源代码检测工具。（需提供购买工具合同复印件或扫描件证明，且合同必须与投标单位签订）。测试方法分析完整清晰符合项目需求且测评工具及证明材料提供全面的5分；测试方法分析基本完整清晰基本符合项目需求且提供测评工具证明材料的得3分；测试方法分析一般不能满足项目需求且未提供测评工具证明材料的得1分；无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5" w:hRule="atLeast"/>
          <w:jc w:val="center"/>
        </w:trPr>
        <w:tc>
          <w:tcPr>
            <w:tcW w:w="321" w:type="pct"/>
            <w:tcBorders>
              <w:tl2br w:val="nil"/>
              <w:tr2bl w:val="nil"/>
            </w:tcBorders>
            <w:shd w:val="clear" w:color="auto" w:fill="auto"/>
            <w:vAlign w:val="center"/>
          </w:tcPr>
          <w:p>
            <w:pPr>
              <w:jc w:val="center"/>
            </w:pPr>
            <w:r>
              <w:rPr>
                <w:rFonts w:hint="eastAsia"/>
              </w:rPr>
              <w:t>6</w:t>
            </w:r>
          </w:p>
        </w:tc>
        <w:tc>
          <w:tcPr>
            <w:tcW w:w="714" w:type="pct"/>
            <w:tcBorders>
              <w:tl2br w:val="nil"/>
              <w:tr2bl w:val="nil"/>
            </w:tcBorders>
            <w:shd w:val="clear" w:color="auto" w:fill="auto"/>
            <w:noWrap/>
            <w:vAlign w:val="center"/>
          </w:tcPr>
          <w:p>
            <w:pPr>
              <w:jc w:val="center"/>
            </w:pPr>
            <w:r>
              <w:rPr>
                <w:rFonts w:hint="eastAsia" w:cs="宋体" w:asciiTheme="minorEastAsia" w:hAnsiTheme="minorEastAsia"/>
                <w:color w:val="000000"/>
                <w:kern w:val="0"/>
                <w:sz w:val="22"/>
                <w:szCs w:val="22"/>
              </w:rPr>
              <w:t>安全保密措施及售后服务承诺</w:t>
            </w:r>
          </w:p>
        </w:tc>
        <w:tc>
          <w:tcPr>
            <w:tcW w:w="305" w:type="pct"/>
            <w:tcBorders>
              <w:tl2br w:val="nil"/>
              <w:tr2bl w:val="nil"/>
            </w:tcBorders>
            <w:shd w:val="clear" w:color="auto" w:fill="auto"/>
            <w:noWrap/>
            <w:vAlign w:val="center"/>
          </w:tcPr>
          <w:p>
            <w:pPr>
              <w:jc w:val="center"/>
            </w:pPr>
            <w:r>
              <w:rPr>
                <w:rFonts w:hint="eastAsia"/>
              </w:rPr>
              <w:t>6</w:t>
            </w:r>
          </w:p>
        </w:tc>
        <w:tc>
          <w:tcPr>
            <w:tcW w:w="3658" w:type="pct"/>
            <w:tcBorders>
              <w:tl2br w:val="nil"/>
              <w:tr2bl w:val="nil"/>
            </w:tcBorders>
            <w:shd w:val="clear" w:color="auto" w:fill="auto"/>
            <w:vAlign w:val="center"/>
          </w:tcPr>
          <w:p>
            <w:r>
              <w:rPr>
                <w:rFonts w:hint="eastAsia"/>
              </w:rPr>
              <w:t>1.根据供应商提供的安全保密措施内容进行评价：</w:t>
            </w:r>
          </w:p>
          <w:p>
            <w:r>
              <w:rPr>
                <w:rFonts w:hint="eastAsia"/>
              </w:rPr>
              <w:t>投标人具有完善的安全保密管理制度，针对本项目制定有效且完善的安全保密措施实施方案得4分；存在内容与实际实施存在差异性，语义表述不清，存在歧义、混乱，内容不充实完善等扣1分，扣完为止；无安全保密管理制度，无安全保密措施不得分。</w:t>
            </w:r>
          </w:p>
          <w:p>
            <w:r>
              <w:rPr>
                <w:rFonts w:hint="eastAsia"/>
              </w:rPr>
              <w:t>2.售后服务响应方案需提供售后服务人员的名单，固定电话+手机（7×24小时）联系方式，提供得2分，未提供不得分；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321" w:type="pct"/>
            <w:tcBorders>
              <w:tl2br w:val="nil"/>
              <w:tr2bl w:val="nil"/>
            </w:tcBorders>
            <w:shd w:val="clear" w:color="auto" w:fill="auto"/>
            <w:vAlign w:val="center"/>
          </w:tcPr>
          <w:p>
            <w:pPr>
              <w:jc w:val="center"/>
            </w:pPr>
            <w:r>
              <w:rPr>
                <w:rFonts w:hint="eastAsia"/>
              </w:rPr>
              <w:t>7</w:t>
            </w:r>
          </w:p>
        </w:tc>
        <w:tc>
          <w:tcPr>
            <w:tcW w:w="714" w:type="pct"/>
            <w:tcBorders>
              <w:tl2br w:val="nil"/>
              <w:tr2bl w:val="nil"/>
            </w:tcBorders>
            <w:shd w:val="clear" w:color="auto" w:fill="auto"/>
            <w:noWrap/>
            <w:vAlign w:val="center"/>
          </w:tcPr>
          <w:p>
            <w:pPr>
              <w:jc w:val="center"/>
            </w:pPr>
            <w:r>
              <w:rPr>
                <w:rFonts w:hint="eastAsia" w:cs="宋体" w:asciiTheme="minorEastAsia" w:hAnsiTheme="minorEastAsia"/>
                <w:color w:val="000000"/>
                <w:kern w:val="0"/>
                <w:sz w:val="22"/>
                <w:szCs w:val="22"/>
              </w:rPr>
              <w:t>服务能力及驻场服务</w:t>
            </w:r>
          </w:p>
        </w:tc>
        <w:tc>
          <w:tcPr>
            <w:tcW w:w="305" w:type="pct"/>
            <w:tcBorders>
              <w:tl2br w:val="nil"/>
              <w:tr2bl w:val="nil"/>
            </w:tcBorders>
            <w:shd w:val="clear" w:color="auto" w:fill="auto"/>
            <w:noWrap/>
            <w:vAlign w:val="center"/>
          </w:tcPr>
          <w:p>
            <w:pPr>
              <w:jc w:val="center"/>
            </w:pPr>
            <w:r>
              <w:rPr>
                <w:rFonts w:hint="eastAsia"/>
              </w:rPr>
              <w:t>9</w:t>
            </w:r>
          </w:p>
        </w:tc>
        <w:tc>
          <w:tcPr>
            <w:tcW w:w="3658" w:type="pct"/>
            <w:tcBorders>
              <w:tl2br w:val="nil"/>
              <w:tr2bl w:val="nil"/>
            </w:tcBorders>
            <w:shd w:val="clear" w:color="auto" w:fill="auto"/>
            <w:vAlign w:val="center"/>
          </w:tcPr>
          <w:p>
            <w:r>
              <w:rPr>
                <w:rFonts w:hint="eastAsia"/>
              </w:rPr>
              <w:t>1.投标人在本地有技术人员提供本地化服务或有办事处，并提供相关证明材料</w:t>
            </w:r>
            <w:r>
              <w:rPr>
                <w:rFonts w:hint="eastAsia"/>
                <w:lang w:val="en-US" w:eastAsia="zh-CN"/>
              </w:rPr>
              <w:t>和驻场服务承诺书</w:t>
            </w:r>
            <w:r>
              <w:rPr>
                <w:rFonts w:hint="eastAsia"/>
              </w:rPr>
              <w:t>的得4分，不提供不得分。</w:t>
            </w:r>
          </w:p>
          <w:p>
            <w:r>
              <w:rPr>
                <w:rFonts w:hint="eastAsia"/>
              </w:rPr>
              <w:t>2.投标人按照项目需求响应现场驻场服务，就整体服务方案进行综合评比</w:t>
            </w:r>
            <w:r>
              <w:rPr>
                <w:rFonts w:hint="eastAsia"/>
                <w:color w:val="0000FF"/>
              </w:rPr>
              <w:t>。</w:t>
            </w:r>
            <w:r>
              <w:rPr>
                <w:rFonts w:hint="eastAsia"/>
              </w:rPr>
              <w:t>能够完全响应现场驻场服务的，得5分；能够部分响应现场驻场服务的，得3分；不能够响应现场驻场服务的，得0分。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321" w:type="pct"/>
            <w:tcBorders>
              <w:tl2br w:val="nil"/>
              <w:tr2bl w:val="nil"/>
            </w:tcBorders>
            <w:shd w:val="clear" w:color="auto" w:fill="auto"/>
            <w:vAlign w:val="center"/>
          </w:tcPr>
          <w:p>
            <w:pPr>
              <w:jc w:val="center"/>
            </w:pPr>
            <w:r>
              <w:rPr>
                <w:rFonts w:hint="eastAsia"/>
              </w:rPr>
              <w:t>8</w:t>
            </w:r>
          </w:p>
        </w:tc>
        <w:tc>
          <w:tcPr>
            <w:tcW w:w="714" w:type="pct"/>
            <w:tcBorders>
              <w:tl2br w:val="nil"/>
              <w:tr2bl w:val="nil"/>
            </w:tcBorders>
            <w:shd w:val="clear" w:color="auto" w:fill="auto"/>
            <w:noWrap/>
            <w:vAlign w:val="center"/>
          </w:tcPr>
          <w:p>
            <w:pPr>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成果文件质量保障措施</w:t>
            </w:r>
          </w:p>
        </w:tc>
        <w:tc>
          <w:tcPr>
            <w:tcW w:w="305" w:type="pct"/>
            <w:tcBorders>
              <w:tl2br w:val="nil"/>
              <w:tr2bl w:val="nil"/>
            </w:tcBorders>
            <w:shd w:val="clear" w:color="auto" w:fill="auto"/>
            <w:noWrap/>
            <w:vAlign w:val="center"/>
          </w:tcPr>
          <w:p>
            <w:pPr>
              <w:jc w:val="center"/>
            </w:pPr>
            <w:r>
              <w:rPr>
                <w:rFonts w:hint="eastAsia"/>
              </w:rPr>
              <w:t>4</w:t>
            </w:r>
          </w:p>
        </w:tc>
        <w:tc>
          <w:tcPr>
            <w:tcW w:w="3658" w:type="pct"/>
            <w:tcBorders>
              <w:tl2br w:val="nil"/>
              <w:tr2bl w:val="nil"/>
            </w:tcBorders>
            <w:shd w:val="clear" w:color="auto" w:fill="auto"/>
            <w:vAlign w:val="center"/>
          </w:tcPr>
          <w:p>
            <w:r>
              <w:rPr>
                <w:rFonts w:hint="eastAsia" w:cs="宋体" w:asciiTheme="minorEastAsia" w:hAnsiTheme="minorEastAsia"/>
                <w:color w:val="000000"/>
                <w:kern w:val="0"/>
                <w:sz w:val="22"/>
                <w:szCs w:val="22"/>
              </w:rPr>
              <w:t>根据投标人提供的成果文件质量保障措施内容在科学性、合理性、规范性、满足国家、地方相关文件要求及采购人时限要求等方面进行评分。全部满足采购需求得4分，若有一项不满足扣1分，扣完为止。</w:t>
            </w:r>
          </w:p>
        </w:tc>
      </w:tr>
    </w:tbl>
    <w:p>
      <w:pPr>
        <w:tabs>
          <w:tab w:val="left" w:pos="967"/>
        </w:tabs>
        <w:jc w:val="left"/>
        <w:rPr>
          <w:rFonts w:hint="eastAsia"/>
          <w:color w:val="auto"/>
          <w:highlight w:val="none"/>
        </w:rPr>
      </w:pPr>
    </w:p>
    <w:sectPr>
      <w:pgSz w:w="11906" w:h="16838"/>
      <w:pgMar w:top="1134" w:right="1134" w:bottom="1134" w:left="1134" w:header="851" w:footer="992" w:gutter="0"/>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6"/>
      </w:rPr>
    </w:pPr>
    <w:r>
      <w:fldChar w:fldCharType="begin"/>
    </w:r>
    <w:r>
      <w:rPr>
        <w:rStyle w:val="36"/>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3175" t="0" r="0" b="0"/>
              <wp:wrapNone/>
              <wp:docPr id="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W7l30AAAAAIBAAAPAAAAAAAAAAEAIAAAACIAAABkcnMv&#10;ZG93bnJldi54bWxQSwECFAAUAAAACACHTuJAkWxfBgsCAAACBAAADgAAAAAAAAABACAAAAAfAQAA&#10;ZHJzL2Uyb0RvYy54bWxQSwUGAAAAAAYABgBZAQAAn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3175"/>
              <wp:wrapNone/>
              <wp:docPr id="3"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LpYU0AAAAAMBAAAPAAAAAAAAAAEAIAAAACIAAABkcnMv&#10;ZG93bnJldi54bWxQSwECFAAUAAAACACHTuJAWjibMAsCAAADBAAADgAAAAAAAAABACAAAAAfAQAA&#10;ZHJzL2Uyb0RvYy54bWxQSwUGAAAAAAYABgBZAQAAn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shape>
          </w:pict>
        </mc:Fallback>
      </mc:AlternateContent>
    </w:r>
  </w:p>
  <w:p>
    <w:pPr>
      <w:pStyle w:val="18"/>
      <w:ind w:right="360"/>
      <w:jc w:val="both"/>
      <w:rPr>
        <w:rFonts w:hint="eastAsia"/>
      </w:rP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3814"/>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1905" b="381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LpYU0AAAAAMBAAAPAAAAAAAAAAEAIAAAACIAAABkcnMv&#10;ZG93bnJldi54bWxQSwECFAAUAAAACACHTuJAsF6lWAsCAAADBAAADgAAAAAAAAABACAAAAAfAQAA&#10;ZHJzL2Uyb0RvYy54bWxQSwUGAAAAAAYABgBZAQAAn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635" b="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I715+AJAgAAAwQAAA4AAAAAAAAAAQAgAAAAHwEAAGRy&#10;cy9lMm9Eb2MueG1sUEsFBgAAAAAGAAYAWQEAAJo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43</w:t>
                    </w:r>
                    <w:r>
                      <w:fldChar w:fldCharType="end"/>
                    </w:r>
                  </w:p>
                </w:txbxContent>
              </v:textbox>
            </v:shape>
          </w:pict>
        </mc:Fallback>
      </mc:AlternateContent>
    </w:r>
  </w:p>
  <w:p>
    <w:pPr>
      <w:pStyle w:val="1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宋体" w:hAnsi="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Style w:val="7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99F4E4D2"/>
    <w:multiLevelType w:val="multilevel"/>
    <w:tmpl w:val="99F4E4D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D71E13D3"/>
    <w:multiLevelType w:val="singleLevel"/>
    <w:tmpl w:val="D71E13D3"/>
    <w:lvl w:ilvl="0" w:tentative="0">
      <w:start w:val="1"/>
      <w:numFmt w:val="decimal"/>
      <w:suff w:val="nothing"/>
      <w:lvlText w:val="%1、"/>
      <w:lvlJc w:val="left"/>
    </w:lvl>
  </w:abstractNum>
  <w:abstractNum w:abstractNumId="3">
    <w:nsid w:val="00000002"/>
    <w:multiLevelType w:val="multilevel"/>
    <w:tmpl w:val="00000002"/>
    <w:lvl w:ilvl="0" w:tentative="0">
      <w:start w:val="3"/>
      <w:numFmt w:val="japaneseCounting"/>
      <w:pStyle w:val="6"/>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3"/>
    <w:multiLevelType w:val="singleLevel"/>
    <w:tmpl w:val="00000003"/>
    <w:lvl w:ilvl="0" w:tentative="0">
      <w:start w:val="2"/>
      <w:numFmt w:val="chineseCounting"/>
      <w:suff w:val="space"/>
      <w:lvlText w:val="第%1部分"/>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375"/>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hNWVkNWJlOGFhMjUwYmVjZmUzMGU3MmRlZGMyOGIifQ=="/>
  </w:docVars>
  <w:rsids>
    <w:rsidRoot w:val="00172A27"/>
    <w:rsid w:val="00000414"/>
    <w:rsid w:val="000019BF"/>
    <w:rsid w:val="0000253D"/>
    <w:rsid w:val="00003253"/>
    <w:rsid w:val="000035EC"/>
    <w:rsid w:val="00003C75"/>
    <w:rsid w:val="00003FA3"/>
    <w:rsid w:val="00004D14"/>
    <w:rsid w:val="00005706"/>
    <w:rsid w:val="0000592C"/>
    <w:rsid w:val="00006244"/>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B35"/>
    <w:rsid w:val="00024CE2"/>
    <w:rsid w:val="0002533F"/>
    <w:rsid w:val="00025480"/>
    <w:rsid w:val="00025C52"/>
    <w:rsid w:val="000268AB"/>
    <w:rsid w:val="00026E22"/>
    <w:rsid w:val="00027955"/>
    <w:rsid w:val="00027983"/>
    <w:rsid w:val="00030E8F"/>
    <w:rsid w:val="00030FA7"/>
    <w:rsid w:val="00031898"/>
    <w:rsid w:val="00032222"/>
    <w:rsid w:val="00032311"/>
    <w:rsid w:val="000326D3"/>
    <w:rsid w:val="00032FBA"/>
    <w:rsid w:val="000341B7"/>
    <w:rsid w:val="000348A5"/>
    <w:rsid w:val="00035836"/>
    <w:rsid w:val="00035971"/>
    <w:rsid w:val="00035CE6"/>
    <w:rsid w:val="00035E54"/>
    <w:rsid w:val="00036717"/>
    <w:rsid w:val="0003764C"/>
    <w:rsid w:val="0003794F"/>
    <w:rsid w:val="0004071A"/>
    <w:rsid w:val="000410FA"/>
    <w:rsid w:val="00041304"/>
    <w:rsid w:val="0004190A"/>
    <w:rsid w:val="000420B0"/>
    <w:rsid w:val="00042547"/>
    <w:rsid w:val="000425A4"/>
    <w:rsid w:val="0004261F"/>
    <w:rsid w:val="00042AB4"/>
    <w:rsid w:val="00042FF8"/>
    <w:rsid w:val="000432B4"/>
    <w:rsid w:val="00043C0E"/>
    <w:rsid w:val="00044674"/>
    <w:rsid w:val="000446D4"/>
    <w:rsid w:val="00044A72"/>
    <w:rsid w:val="00044FB0"/>
    <w:rsid w:val="00047FFE"/>
    <w:rsid w:val="00050EE1"/>
    <w:rsid w:val="0005102B"/>
    <w:rsid w:val="00051EE0"/>
    <w:rsid w:val="00052679"/>
    <w:rsid w:val="000529DC"/>
    <w:rsid w:val="00052CD4"/>
    <w:rsid w:val="00052D9D"/>
    <w:rsid w:val="0005309D"/>
    <w:rsid w:val="00053872"/>
    <w:rsid w:val="00053C6A"/>
    <w:rsid w:val="00055F1B"/>
    <w:rsid w:val="000605C6"/>
    <w:rsid w:val="00061124"/>
    <w:rsid w:val="000614AC"/>
    <w:rsid w:val="00061539"/>
    <w:rsid w:val="000616B4"/>
    <w:rsid w:val="00062ACE"/>
    <w:rsid w:val="00063963"/>
    <w:rsid w:val="00064589"/>
    <w:rsid w:val="0006468D"/>
    <w:rsid w:val="00064C87"/>
    <w:rsid w:val="00065EE9"/>
    <w:rsid w:val="00065FDC"/>
    <w:rsid w:val="000661F6"/>
    <w:rsid w:val="00066B24"/>
    <w:rsid w:val="0006711A"/>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5AA"/>
    <w:rsid w:val="000817E0"/>
    <w:rsid w:val="00081B53"/>
    <w:rsid w:val="00081D36"/>
    <w:rsid w:val="000828D9"/>
    <w:rsid w:val="00082FFA"/>
    <w:rsid w:val="0008311F"/>
    <w:rsid w:val="00083273"/>
    <w:rsid w:val="000832C9"/>
    <w:rsid w:val="0008333B"/>
    <w:rsid w:val="00083683"/>
    <w:rsid w:val="00084956"/>
    <w:rsid w:val="00084E87"/>
    <w:rsid w:val="00086F6C"/>
    <w:rsid w:val="000874DE"/>
    <w:rsid w:val="00087FEA"/>
    <w:rsid w:val="0009089F"/>
    <w:rsid w:val="00090BC5"/>
    <w:rsid w:val="00090C07"/>
    <w:rsid w:val="00090D47"/>
    <w:rsid w:val="0009256B"/>
    <w:rsid w:val="00093488"/>
    <w:rsid w:val="00094923"/>
    <w:rsid w:val="00094B90"/>
    <w:rsid w:val="00094DC0"/>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37D"/>
    <w:rsid w:val="000D658D"/>
    <w:rsid w:val="000D66C0"/>
    <w:rsid w:val="000D7228"/>
    <w:rsid w:val="000D7243"/>
    <w:rsid w:val="000D72AD"/>
    <w:rsid w:val="000D77FE"/>
    <w:rsid w:val="000D7FE7"/>
    <w:rsid w:val="000E0E9C"/>
    <w:rsid w:val="000E1236"/>
    <w:rsid w:val="000E1EAF"/>
    <w:rsid w:val="000E21B8"/>
    <w:rsid w:val="000E236C"/>
    <w:rsid w:val="000E4341"/>
    <w:rsid w:val="000E4889"/>
    <w:rsid w:val="000E5244"/>
    <w:rsid w:val="000E57DB"/>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6CEB"/>
    <w:rsid w:val="00117DF3"/>
    <w:rsid w:val="0012013A"/>
    <w:rsid w:val="00120359"/>
    <w:rsid w:val="001212BB"/>
    <w:rsid w:val="00122103"/>
    <w:rsid w:val="0012231A"/>
    <w:rsid w:val="00123BCE"/>
    <w:rsid w:val="001240BD"/>
    <w:rsid w:val="0012442B"/>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91"/>
    <w:rsid w:val="001378F2"/>
    <w:rsid w:val="0013793D"/>
    <w:rsid w:val="00137BE3"/>
    <w:rsid w:val="00137C50"/>
    <w:rsid w:val="00141EB0"/>
    <w:rsid w:val="0014210B"/>
    <w:rsid w:val="00143250"/>
    <w:rsid w:val="00143992"/>
    <w:rsid w:val="00144076"/>
    <w:rsid w:val="001447A8"/>
    <w:rsid w:val="00145F02"/>
    <w:rsid w:val="00146CC5"/>
    <w:rsid w:val="00146E20"/>
    <w:rsid w:val="00147152"/>
    <w:rsid w:val="00147B73"/>
    <w:rsid w:val="00150152"/>
    <w:rsid w:val="00150362"/>
    <w:rsid w:val="00150B75"/>
    <w:rsid w:val="001515B5"/>
    <w:rsid w:val="0015298F"/>
    <w:rsid w:val="00152F44"/>
    <w:rsid w:val="001530DD"/>
    <w:rsid w:val="00153465"/>
    <w:rsid w:val="0015471E"/>
    <w:rsid w:val="00154FF7"/>
    <w:rsid w:val="00155E29"/>
    <w:rsid w:val="00161C93"/>
    <w:rsid w:val="00161DE2"/>
    <w:rsid w:val="00162023"/>
    <w:rsid w:val="001628FC"/>
    <w:rsid w:val="00162ED1"/>
    <w:rsid w:val="00163039"/>
    <w:rsid w:val="0016348A"/>
    <w:rsid w:val="00164053"/>
    <w:rsid w:val="0016450A"/>
    <w:rsid w:val="00165568"/>
    <w:rsid w:val="001655F3"/>
    <w:rsid w:val="00166196"/>
    <w:rsid w:val="00167207"/>
    <w:rsid w:val="00167E1D"/>
    <w:rsid w:val="00167E5B"/>
    <w:rsid w:val="001702BB"/>
    <w:rsid w:val="0017085C"/>
    <w:rsid w:val="001718CD"/>
    <w:rsid w:val="00171D09"/>
    <w:rsid w:val="00172044"/>
    <w:rsid w:val="00172122"/>
    <w:rsid w:val="001725B6"/>
    <w:rsid w:val="00172986"/>
    <w:rsid w:val="00172AB8"/>
    <w:rsid w:val="00173093"/>
    <w:rsid w:val="001738FE"/>
    <w:rsid w:val="00174F6E"/>
    <w:rsid w:val="00175F53"/>
    <w:rsid w:val="00176571"/>
    <w:rsid w:val="0017662A"/>
    <w:rsid w:val="00176D32"/>
    <w:rsid w:val="00177468"/>
    <w:rsid w:val="00177674"/>
    <w:rsid w:val="0017793E"/>
    <w:rsid w:val="00181703"/>
    <w:rsid w:val="00181D6A"/>
    <w:rsid w:val="00181F5C"/>
    <w:rsid w:val="0018286E"/>
    <w:rsid w:val="001830F6"/>
    <w:rsid w:val="0018384E"/>
    <w:rsid w:val="00183F84"/>
    <w:rsid w:val="0018400D"/>
    <w:rsid w:val="001843B8"/>
    <w:rsid w:val="00184C18"/>
    <w:rsid w:val="00184C40"/>
    <w:rsid w:val="001850B3"/>
    <w:rsid w:val="00185241"/>
    <w:rsid w:val="001857FF"/>
    <w:rsid w:val="00186B8D"/>
    <w:rsid w:val="00186C3D"/>
    <w:rsid w:val="00186DF2"/>
    <w:rsid w:val="00186E98"/>
    <w:rsid w:val="00187356"/>
    <w:rsid w:val="001873C9"/>
    <w:rsid w:val="00187BC2"/>
    <w:rsid w:val="001901D6"/>
    <w:rsid w:val="00190FFC"/>
    <w:rsid w:val="001910E2"/>
    <w:rsid w:val="00191DE9"/>
    <w:rsid w:val="0019219E"/>
    <w:rsid w:val="00192274"/>
    <w:rsid w:val="001923F2"/>
    <w:rsid w:val="00192762"/>
    <w:rsid w:val="00192D86"/>
    <w:rsid w:val="00193274"/>
    <w:rsid w:val="00193603"/>
    <w:rsid w:val="001943B8"/>
    <w:rsid w:val="00195ED3"/>
    <w:rsid w:val="0019644D"/>
    <w:rsid w:val="00196730"/>
    <w:rsid w:val="00196764"/>
    <w:rsid w:val="00197B3F"/>
    <w:rsid w:val="001A0498"/>
    <w:rsid w:val="001A1009"/>
    <w:rsid w:val="001A12E4"/>
    <w:rsid w:val="001A1769"/>
    <w:rsid w:val="001A21E2"/>
    <w:rsid w:val="001A240D"/>
    <w:rsid w:val="001A263E"/>
    <w:rsid w:val="001A3659"/>
    <w:rsid w:val="001A40E7"/>
    <w:rsid w:val="001A42F5"/>
    <w:rsid w:val="001A5038"/>
    <w:rsid w:val="001A62C1"/>
    <w:rsid w:val="001A702D"/>
    <w:rsid w:val="001A7AE2"/>
    <w:rsid w:val="001A7BCA"/>
    <w:rsid w:val="001B0C06"/>
    <w:rsid w:val="001B1415"/>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2B06"/>
    <w:rsid w:val="001C36AA"/>
    <w:rsid w:val="001C371D"/>
    <w:rsid w:val="001C3A3E"/>
    <w:rsid w:val="001C4607"/>
    <w:rsid w:val="001C5C12"/>
    <w:rsid w:val="001C6318"/>
    <w:rsid w:val="001C6A09"/>
    <w:rsid w:val="001C6E57"/>
    <w:rsid w:val="001C7EF3"/>
    <w:rsid w:val="001D052F"/>
    <w:rsid w:val="001D111C"/>
    <w:rsid w:val="001D4215"/>
    <w:rsid w:val="001D438A"/>
    <w:rsid w:val="001D6301"/>
    <w:rsid w:val="001D69A5"/>
    <w:rsid w:val="001D7DED"/>
    <w:rsid w:val="001E02C0"/>
    <w:rsid w:val="001E06BC"/>
    <w:rsid w:val="001E07C9"/>
    <w:rsid w:val="001E0B61"/>
    <w:rsid w:val="001E0CC8"/>
    <w:rsid w:val="001E10EF"/>
    <w:rsid w:val="001E1312"/>
    <w:rsid w:val="001E1319"/>
    <w:rsid w:val="001E1380"/>
    <w:rsid w:val="001E1710"/>
    <w:rsid w:val="001E22F0"/>
    <w:rsid w:val="001E38EC"/>
    <w:rsid w:val="001E55AE"/>
    <w:rsid w:val="001E5D92"/>
    <w:rsid w:val="001E6213"/>
    <w:rsid w:val="001E6C18"/>
    <w:rsid w:val="001E7747"/>
    <w:rsid w:val="001F0E2B"/>
    <w:rsid w:val="001F1315"/>
    <w:rsid w:val="001F1EC5"/>
    <w:rsid w:val="001F229D"/>
    <w:rsid w:val="001F2B43"/>
    <w:rsid w:val="001F2CBC"/>
    <w:rsid w:val="001F4A2C"/>
    <w:rsid w:val="001F4AFF"/>
    <w:rsid w:val="001F4C9E"/>
    <w:rsid w:val="001F511C"/>
    <w:rsid w:val="001F535E"/>
    <w:rsid w:val="001F5568"/>
    <w:rsid w:val="001F5A1B"/>
    <w:rsid w:val="001F6292"/>
    <w:rsid w:val="001F67C6"/>
    <w:rsid w:val="001F7CE9"/>
    <w:rsid w:val="00201410"/>
    <w:rsid w:val="00201ABE"/>
    <w:rsid w:val="002025E4"/>
    <w:rsid w:val="00203442"/>
    <w:rsid w:val="00203B67"/>
    <w:rsid w:val="00203CDD"/>
    <w:rsid w:val="00203D31"/>
    <w:rsid w:val="0020470F"/>
    <w:rsid w:val="00204A4C"/>
    <w:rsid w:val="00204CDE"/>
    <w:rsid w:val="00204FE9"/>
    <w:rsid w:val="002050A7"/>
    <w:rsid w:val="00205287"/>
    <w:rsid w:val="00206C69"/>
    <w:rsid w:val="00206F6E"/>
    <w:rsid w:val="002112F8"/>
    <w:rsid w:val="0021303F"/>
    <w:rsid w:val="0021315F"/>
    <w:rsid w:val="0021387D"/>
    <w:rsid w:val="0021404E"/>
    <w:rsid w:val="00214559"/>
    <w:rsid w:val="002157EB"/>
    <w:rsid w:val="00215994"/>
    <w:rsid w:val="00215B05"/>
    <w:rsid w:val="00216400"/>
    <w:rsid w:val="00216C20"/>
    <w:rsid w:val="00216DDA"/>
    <w:rsid w:val="00217427"/>
    <w:rsid w:val="0021758D"/>
    <w:rsid w:val="002202F2"/>
    <w:rsid w:val="00220418"/>
    <w:rsid w:val="002206B8"/>
    <w:rsid w:val="002207CB"/>
    <w:rsid w:val="00220B3E"/>
    <w:rsid w:val="00220CFF"/>
    <w:rsid w:val="00221D25"/>
    <w:rsid w:val="002224C9"/>
    <w:rsid w:val="00223F30"/>
    <w:rsid w:val="0022501A"/>
    <w:rsid w:val="00226B88"/>
    <w:rsid w:val="00227A8E"/>
    <w:rsid w:val="00227D1A"/>
    <w:rsid w:val="00230B8A"/>
    <w:rsid w:val="0023154D"/>
    <w:rsid w:val="0023231F"/>
    <w:rsid w:val="002332EF"/>
    <w:rsid w:val="002332F0"/>
    <w:rsid w:val="00233F68"/>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46317"/>
    <w:rsid w:val="0025000A"/>
    <w:rsid w:val="00250362"/>
    <w:rsid w:val="00250528"/>
    <w:rsid w:val="00250BF7"/>
    <w:rsid w:val="00250CD4"/>
    <w:rsid w:val="00250EA5"/>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35A"/>
    <w:rsid w:val="002747AE"/>
    <w:rsid w:val="002747C6"/>
    <w:rsid w:val="00274A8C"/>
    <w:rsid w:val="00276061"/>
    <w:rsid w:val="00277436"/>
    <w:rsid w:val="0027773A"/>
    <w:rsid w:val="002801F2"/>
    <w:rsid w:val="002813C4"/>
    <w:rsid w:val="002832A1"/>
    <w:rsid w:val="00283464"/>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2FA6"/>
    <w:rsid w:val="002A3F50"/>
    <w:rsid w:val="002A7B3E"/>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4916"/>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D6C89"/>
    <w:rsid w:val="002D78C0"/>
    <w:rsid w:val="002E0190"/>
    <w:rsid w:val="002E19FA"/>
    <w:rsid w:val="002E1A35"/>
    <w:rsid w:val="002E2095"/>
    <w:rsid w:val="002E2542"/>
    <w:rsid w:val="002E3133"/>
    <w:rsid w:val="002E335C"/>
    <w:rsid w:val="002E4122"/>
    <w:rsid w:val="002E4979"/>
    <w:rsid w:val="002E5850"/>
    <w:rsid w:val="002E5D3E"/>
    <w:rsid w:val="002E674B"/>
    <w:rsid w:val="002E717D"/>
    <w:rsid w:val="002E735E"/>
    <w:rsid w:val="002F0619"/>
    <w:rsid w:val="002F0830"/>
    <w:rsid w:val="002F08C3"/>
    <w:rsid w:val="002F0C20"/>
    <w:rsid w:val="002F0E21"/>
    <w:rsid w:val="002F13F9"/>
    <w:rsid w:val="002F1BB2"/>
    <w:rsid w:val="002F2425"/>
    <w:rsid w:val="002F25EE"/>
    <w:rsid w:val="002F2ABA"/>
    <w:rsid w:val="002F2BC3"/>
    <w:rsid w:val="002F48EE"/>
    <w:rsid w:val="002F4A3C"/>
    <w:rsid w:val="002F4D58"/>
    <w:rsid w:val="002F4D5B"/>
    <w:rsid w:val="002F5449"/>
    <w:rsid w:val="002F707E"/>
    <w:rsid w:val="002F775A"/>
    <w:rsid w:val="0030017E"/>
    <w:rsid w:val="00301C29"/>
    <w:rsid w:val="0030338A"/>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F53"/>
    <w:rsid w:val="00317014"/>
    <w:rsid w:val="0031706C"/>
    <w:rsid w:val="0031793A"/>
    <w:rsid w:val="003179F4"/>
    <w:rsid w:val="0032139A"/>
    <w:rsid w:val="00321620"/>
    <w:rsid w:val="00322560"/>
    <w:rsid w:val="0032305E"/>
    <w:rsid w:val="00323074"/>
    <w:rsid w:val="003245E8"/>
    <w:rsid w:val="0032460B"/>
    <w:rsid w:val="00325715"/>
    <w:rsid w:val="00325CBB"/>
    <w:rsid w:val="00325D09"/>
    <w:rsid w:val="00326302"/>
    <w:rsid w:val="00326BA6"/>
    <w:rsid w:val="00326F50"/>
    <w:rsid w:val="00327C90"/>
    <w:rsid w:val="003314CD"/>
    <w:rsid w:val="00332FCA"/>
    <w:rsid w:val="003332A7"/>
    <w:rsid w:val="003337E8"/>
    <w:rsid w:val="00333B01"/>
    <w:rsid w:val="00333E17"/>
    <w:rsid w:val="003352A9"/>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AD1"/>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3B67"/>
    <w:rsid w:val="003744EF"/>
    <w:rsid w:val="00374A47"/>
    <w:rsid w:val="00374C20"/>
    <w:rsid w:val="00374DCD"/>
    <w:rsid w:val="00375085"/>
    <w:rsid w:val="00375260"/>
    <w:rsid w:val="0037674F"/>
    <w:rsid w:val="00376870"/>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3F5"/>
    <w:rsid w:val="0039141E"/>
    <w:rsid w:val="00391736"/>
    <w:rsid w:val="003918B6"/>
    <w:rsid w:val="00392D78"/>
    <w:rsid w:val="00392F10"/>
    <w:rsid w:val="003941EF"/>
    <w:rsid w:val="00395285"/>
    <w:rsid w:val="00395734"/>
    <w:rsid w:val="003961C2"/>
    <w:rsid w:val="00396585"/>
    <w:rsid w:val="003970E6"/>
    <w:rsid w:val="0039711F"/>
    <w:rsid w:val="00397D61"/>
    <w:rsid w:val="003A10B0"/>
    <w:rsid w:val="003A1141"/>
    <w:rsid w:val="003A1838"/>
    <w:rsid w:val="003A1A70"/>
    <w:rsid w:val="003A2139"/>
    <w:rsid w:val="003A2B6E"/>
    <w:rsid w:val="003A349C"/>
    <w:rsid w:val="003A3D81"/>
    <w:rsid w:val="003A40EE"/>
    <w:rsid w:val="003A60C6"/>
    <w:rsid w:val="003A6792"/>
    <w:rsid w:val="003A67C6"/>
    <w:rsid w:val="003A6BC1"/>
    <w:rsid w:val="003B00A0"/>
    <w:rsid w:val="003B0983"/>
    <w:rsid w:val="003B0A70"/>
    <w:rsid w:val="003B0FC7"/>
    <w:rsid w:val="003B155C"/>
    <w:rsid w:val="003B1851"/>
    <w:rsid w:val="003B24A9"/>
    <w:rsid w:val="003B433D"/>
    <w:rsid w:val="003B4487"/>
    <w:rsid w:val="003B5462"/>
    <w:rsid w:val="003B61A0"/>
    <w:rsid w:val="003B633D"/>
    <w:rsid w:val="003B6599"/>
    <w:rsid w:val="003B661F"/>
    <w:rsid w:val="003B7161"/>
    <w:rsid w:val="003B745F"/>
    <w:rsid w:val="003B7B3A"/>
    <w:rsid w:val="003C0457"/>
    <w:rsid w:val="003C1159"/>
    <w:rsid w:val="003C18E2"/>
    <w:rsid w:val="003C1924"/>
    <w:rsid w:val="003C2BA6"/>
    <w:rsid w:val="003C2F5B"/>
    <w:rsid w:val="003C2FE3"/>
    <w:rsid w:val="003C3235"/>
    <w:rsid w:val="003C362F"/>
    <w:rsid w:val="003C3F15"/>
    <w:rsid w:val="003C41F8"/>
    <w:rsid w:val="003C59A7"/>
    <w:rsid w:val="003C613F"/>
    <w:rsid w:val="003C706F"/>
    <w:rsid w:val="003C71F4"/>
    <w:rsid w:val="003C75C7"/>
    <w:rsid w:val="003D0605"/>
    <w:rsid w:val="003D0E96"/>
    <w:rsid w:val="003D1489"/>
    <w:rsid w:val="003D26A7"/>
    <w:rsid w:val="003D28DA"/>
    <w:rsid w:val="003D343B"/>
    <w:rsid w:val="003D362F"/>
    <w:rsid w:val="003D39C7"/>
    <w:rsid w:val="003D41ED"/>
    <w:rsid w:val="003D4FD5"/>
    <w:rsid w:val="003D5768"/>
    <w:rsid w:val="003D59C5"/>
    <w:rsid w:val="003D6EE3"/>
    <w:rsid w:val="003D7A39"/>
    <w:rsid w:val="003D7D62"/>
    <w:rsid w:val="003E0452"/>
    <w:rsid w:val="003E09DC"/>
    <w:rsid w:val="003E2503"/>
    <w:rsid w:val="003E2F61"/>
    <w:rsid w:val="003E326D"/>
    <w:rsid w:val="003E467F"/>
    <w:rsid w:val="003E4812"/>
    <w:rsid w:val="003E5102"/>
    <w:rsid w:val="003E5E17"/>
    <w:rsid w:val="003E5FDC"/>
    <w:rsid w:val="003E60C5"/>
    <w:rsid w:val="003E69BB"/>
    <w:rsid w:val="003E7BF0"/>
    <w:rsid w:val="003F03CA"/>
    <w:rsid w:val="003F0DCF"/>
    <w:rsid w:val="003F1685"/>
    <w:rsid w:val="003F1FFC"/>
    <w:rsid w:val="003F2ED6"/>
    <w:rsid w:val="003F2F5F"/>
    <w:rsid w:val="003F36F4"/>
    <w:rsid w:val="003F3A13"/>
    <w:rsid w:val="003F3F7D"/>
    <w:rsid w:val="003F4D00"/>
    <w:rsid w:val="003F5E4A"/>
    <w:rsid w:val="003F5FF1"/>
    <w:rsid w:val="003F6607"/>
    <w:rsid w:val="003F6777"/>
    <w:rsid w:val="003F74EE"/>
    <w:rsid w:val="003F7629"/>
    <w:rsid w:val="003F7D6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6CC0"/>
    <w:rsid w:val="00407423"/>
    <w:rsid w:val="00407712"/>
    <w:rsid w:val="00407F32"/>
    <w:rsid w:val="00410397"/>
    <w:rsid w:val="00410595"/>
    <w:rsid w:val="00411223"/>
    <w:rsid w:val="00411300"/>
    <w:rsid w:val="00411ACC"/>
    <w:rsid w:val="00411BB4"/>
    <w:rsid w:val="00413A5C"/>
    <w:rsid w:val="004148D6"/>
    <w:rsid w:val="00417568"/>
    <w:rsid w:val="00417E08"/>
    <w:rsid w:val="00417ED8"/>
    <w:rsid w:val="004200DD"/>
    <w:rsid w:val="00420334"/>
    <w:rsid w:val="0042036B"/>
    <w:rsid w:val="00421375"/>
    <w:rsid w:val="00421B2D"/>
    <w:rsid w:val="004224D5"/>
    <w:rsid w:val="00422A9D"/>
    <w:rsid w:val="00422BF0"/>
    <w:rsid w:val="0042434F"/>
    <w:rsid w:val="00425529"/>
    <w:rsid w:val="0042688A"/>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37F70"/>
    <w:rsid w:val="0044092E"/>
    <w:rsid w:val="00441369"/>
    <w:rsid w:val="004416A0"/>
    <w:rsid w:val="00443982"/>
    <w:rsid w:val="004439AE"/>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71AB"/>
    <w:rsid w:val="004571B4"/>
    <w:rsid w:val="004579F0"/>
    <w:rsid w:val="004603CC"/>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D05"/>
    <w:rsid w:val="004830B7"/>
    <w:rsid w:val="004834C2"/>
    <w:rsid w:val="00483501"/>
    <w:rsid w:val="004838AA"/>
    <w:rsid w:val="00485C26"/>
    <w:rsid w:val="00485EBC"/>
    <w:rsid w:val="0048611A"/>
    <w:rsid w:val="0048613F"/>
    <w:rsid w:val="00486708"/>
    <w:rsid w:val="00486EE1"/>
    <w:rsid w:val="00487259"/>
    <w:rsid w:val="00487390"/>
    <w:rsid w:val="00487A17"/>
    <w:rsid w:val="004912CD"/>
    <w:rsid w:val="00491A46"/>
    <w:rsid w:val="00491AD4"/>
    <w:rsid w:val="00491CFC"/>
    <w:rsid w:val="00491ECA"/>
    <w:rsid w:val="004935AE"/>
    <w:rsid w:val="00494173"/>
    <w:rsid w:val="0049537C"/>
    <w:rsid w:val="004961EF"/>
    <w:rsid w:val="00497198"/>
    <w:rsid w:val="004A007E"/>
    <w:rsid w:val="004A029D"/>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1076"/>
    <w:rsid w:val="004D1161"/>
    <w:rsid w:val="004D2385"/>
    <w:rsid w:val="004D468C"/>
    <w:rsid w:val="004D4B56"/>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A99"/>
    <w:rsid w:val="004E5DBA"/>
    <w:rsid w:val="004E6AA7"/>
    <w:rsid w:val="004E72EB"/>
    <w:rsid w:val="004E78CD"/>
    <w:rsid w:val="004F0130"/>
    <w:rsid w:val="004F0247"/>
    <w:rsid w:val="004F0749"/>
    <w:rsid w:val="004F099F"/>
    <w:rsid w:val="004F0AF2"/>
    <w:rsid w:val="004F0D69"/>
    <w:rsid w:val="004F1677"/>
    <w:rsid w:val="004F1B7A"/>
    <w:rsid w:val="004F1E0A"/>
    <w:rsid w:val="004F29CF"/>
    <w:rsid w:val="004F2CC8"/>
    <w:rsid w:val="004F31B9"/>
    <w:rsid w:val="004F3415"/>
    <w:rsid w:val="004F3BDB"/>
    <w:rsid w:val="004F405E"/>
    <w:rsid w:val="004F43F9"/>
    <w:rsid w:val="004F49E2"/>
    <w:rsid w:val="004F4BD1"/>
    <w:rsid w:val="004F4E53"/>
    <w:rsid w:val="004F54DF"/>
    <w:rsid w:val="004F5AB0"/>
    <w:rsid w:val="00500441"/>
    <w:rsid w:val="005005E0"/>
    <w:rsid w:val="00500BC0"/>
    <w:rsid w:val="0050215E"/>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67"/>
    <w:rsid w:val="005311A4"/>
    <w:rsid w:val="00531810"/>
    <w:rsid w:val="00531B08"/>
    <w:rsid w:val="0053228D"/>
    <w:rsid w:val="00532748"/>
    <w:rsid w:val="00532826"/>
    <w:rsid w:val="0053338B"/>
    <w:rsid w:val="00533556"/>
    <w:rsid w:val="005339B5"/>
    <w:rsid w:val="005344BF"/>
    <w:rsid w:val="00535F91"/>
    <w:rsid w:val="0053709E"/>
    <w:rsid w:val="0053751E"/>
    <w:rsid w:val="00537934"/>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4003"/>
    <w:rsid w:val="005540CA"/>
    <w:rsid w:val="005543BD"/>
    <w:rsid w:val="00554A7F"/>
    <w:rsid w:val="00554C34"/>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21B"/>
    <w:rsid w:val="005B0306"/>
    <w:rsid w:val="005B074F"/>
    <w:rsid w:val="005B35CC"/>
    <w:rsid w:val="005B39AB"/>
    <w:rsid w:val="005B53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5F7D0E"/>
    <w:rsid w:val="00600160"/>
    <w:rsid w:val="00600279"/>
    <w:rsid w:val="006003CC"/>
    <w:rsid w:val="006026DF"/>
    <w:rsid w:val="0060302B"/>
    <w:rsid w:val="00603B2A"/>
    <w:rsid w:val="00604B4F"/>
    <w:rsid w:val="0060582E"/>
    <w:rsid w:val="006062CD"/>
    <w:rsid w:val="00606651"/>
    <w:rsid w:val="0060694D"/>
    <w:rsid w:val="0060695C"/>
    <w:rsid w:val="00606FCC"/>
    <w:rsid w:val="00607D98"/>
    <w:rsid w:val="006107F6"/>
    <w:rsid w:val="00610A9D"/>
    <w:rsid w:val="0061111A"/>
    <w:rsid w:val="00612798"/>
    <w:rsid w:val="00612D67"/>
    <w:rsid w:val="006133B2"/>
    <w:rsid w:val="00613B17"/>
    <w:rsid w:val="006140F3"/>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6EA"/>
    <w:rsid w:val="00631933"/>
    <w:rsid w:val="006328A5"/>
    <w:rsid w:val="0063366A"/>
    <w:rsid w:val="00634176"/>
    <w:rsid w:val="00634A37"/>
    <w:rsid w:val="00634BE2"/>
    <w:rsid w:val="0063532D"/>
    <w:rsid w:val="0063587C"/>
    <w:rsid w:val="00635D29"/>
    <w:rsid w:val="00636ABD"/>
    <w:rsid w:val="00636ECD"/>
    <w:rsid w:val="00637803"/>
    <w:rsid w:val="00641081"/>
    <w:rsid w:val="006427DB"/>
    <w:rsid w:val="006434F1"/>
    <w:rsid w:val="00644016"/>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0062"/>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23BD"/>
    <w:rsid w:val="00672428"/>
    <w:rsid w:val="00672686"/>
    <w:rsid w:val="00672782"/>
    <w:rsid w:val="00672871"/>
    <w:rsid w:val="006731D3"/>
    <w:rsid w:val="006734BF"/>
    <w:rsid w:val="00673EA5"/>
    <w:rsid w:val="006745F5"/>
    <w:rsid w:val="00675826"/>
    <w:rsid w:val="0067618B"/>
    <w:rsid w:val="00676301"/>
    <w:rsid w:val="00676620"/>
    <w:rsid w:val="006767C4"/>
    <w:rsid w:val="0067690E"/>
    <w:rsid w:val="006815B7"/>
    <w:rsid w:val="006818AC"/>
    <w:rsid w:val="00683337"/>
    <w:rsid w:val="006846C1"/>
    <w:rsid w:val="006848C0"/>
    <w:rsid w:val="0068515C"/>
    <w:rsid w:val="00685CFA"/>
    <w:rsid w:val="00686EE9"/>
    <w:rsid w:val="00687438"/>
    <w:rsid w:val="00687850"/>
    <w:rsid w:val="00687EF1"/>
    <w:rsid w:val="0069007B"/>
    <w:rsid w:val="006906C9"/>
    <w:rsid w:val="00690818"/>
    <w:rsid w:val="00690A40"/>
    <w:rsid w:val="00690B69"/>
    <w:rsid w:val="006910FD"/>
    <w:rsid w:val="006912DC"/>
    <w:rsid w:val="006918A1"/>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6D4"/>
    <w:rsid w:val="006A6C69"/>
    <w:rsid w:val="006B0435"/>
    <w:rsid w:val="006B0D4B"/>
    <w:rsid w:val="006B1AB7"/>
    <w:rsid w:val="006B1D13"/>
    <w:rsid w:val="006B228C"/>
    <w:rsid w:val="006B267B"/>
    <w:rsid w:val="006B3E9A"/>
    <w:rsid w:val="006B44F3"/>
    <w:rsid w:val="006B6315"/>
    <w:rsid w:val="006B6721"/>
    <w:rsid w:val="006B685A"/>
    <w:rsid w:val="006B7DBC"/>
    <w:rsid w:val="006B7FF9"/>
    <w:rsid w:val="006C0949"/>
    <w:rsid w:val="006C0F84"/>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AC0"/>
    <w:rsid w:val="006E3B5A"/>
    <w:rsid w:val="006E3D47"/>
    <w:rsid w:val="006E3E1C"/>
    <w:rsid w:val="006E3F88"/>
    <w:rsid w:val="006E4A7E"/>
    <w:rsid w:val="006E4DA4"/>
    <w:rsid w:val="006E528D"/>
    <w:rsid w:val="006E5A34"/>
    <w:rsid w:val="006E73C1"/>
    <w:rsid w:val="006E7580"/>
    <w:rsid w:val="006E7753"/>
    <w:rsid w:val="006F0ED3"/>
    <w:rsid w:val="006F147F"/>
    <w:rsid w:val="006F2720"/>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273D"/>
    <w:rsid w:val="007035A3"/>
    <w:rsid w:val="00703906"/>
    <w:rsid w:val="00703EDC"/>
    <w:rsid w:val="00704ABF"/>
    <w:rsid w:val="00704ECF"/>
    <w:rsid w:val="00705977"/>
    <w:rsid w:val="00705B3E"/>
    <w:rsid w:val="00705C55"/>
    <w:rsid w:val="0070606A"/>
    <w:rsid w:val="007061EB"/>
    <w:rsid w:val="00706599"/>
    <w:rsid w:val="007068A3"/>
    <w:rsid w:val="00706AA4"/>
    <w:rsid w:val="00707898"/>
    <w:rsid w:val="00707E91"/>
    <w:rsid w:val="007117C5"/>
    <w:rsid w:val="0071192E"/>
    <w:rsid w:val="00711C77"/>
    <w:rsid w:val="0071333A"/>
    <w:rsid w:val="007133A6"/>
    <w:rsid w:val="00713DE4"/>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246C"/>
    <w:rsid w:val="007534FA"/>
    <w:rsid w:val="0075364C"/>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174E"/>
    <w:rsid w:val="00781A9C"/>
    <w:rsid w:val="00781AC6"/>
    <w:rsid w:val="00781B98"/>
    <w:rsid w:val="00784B96"/>
    <w:rsid w:val="0078594A"/>
    <w:rsid w:val="00785DF6"/>
    <w:rsid w:val="0078622A"/>
    <w:rsid w:val="0078690E"/>
    <w:rsid w:val="0078732E"/>
    <w:rsid w:val="00790D79"/>
    <w:rsid w:val="0079268D"/>
    <w:rsid w:val="00793A6A"/>
    <w:rsid w:val="00794549"/>
    <w:rsid w:val="00794841"/>
    <w:rsid w:val="00795C3E"/>
    <w:rsid w:val="007960BA"/>
    <w:rsid w:val="0079672A"/>
    <w:rsid w:val="007969B4"/>
    <w:rsid w:val="00797BD3"/>
    <w:rsid w:val="007A2C76"/>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4FEB"/>
    <w:rsid w:val="007B565C"/>
    <w:rsid w:val="007B569E"/>
    <w:rsid w:val="007B6226"/>
    <w:rsid w:val="007B6B4D"/>
    <w:rsid w:val="007B6CD0"/>
    <w:rsid w:val="007B7099"/>
    <w:rsid w:val="007C1205"/>
    <w:rsid w:val="007C2237"/>
    <w:rsid w:val="007C2FBB"/>
    <w:rsid w:val="007C4A35"/>
    <w:rsid w:val="007C4D8A"/>
    <w:rsid w:val="007C5304"/>
    <w:rsid w:val="007C65EA"/>
    <w:rsid w:val="007C6920"/>
    <w:rsid w:val="007D057C"/>
    <w:rsid w:val="007D06A6"/>
    <w:rsid w:val="007D185E"/>
    <w:rsid w:val="007D1CD8"/>
    <w:rsid w:val="007D2344"/>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0FB0"/>
    <w:rsid w:val="007F17C9"/>
    <w:rsid w:val="007F20B6"/>
    <w:rsid w:val="007F2162"/>
    <w:rsid w:val="007F3C18"/>
    <w:rsid w:val="007F466A"/>
    <w:rsid w:val="007F4E31"/>
    <w:rsid w:val="007F5359"/>
    <w:rsid w:val="007F589E"/>
    <w:rsid w:val="007F5B87"/>
    <w:rsid w:val="007F5C86"/>
    <w:rsid w:val="007F602F"/>
    <w:rsid w:val="007F68FC"/>
    <w:rsid w:val="007F78EE"/>
    <w:rsid w:val="008005D3"/>
    <w:rsid w:val="008006A6"/>
    <w:rsid w:val="008007F8"/>
    <w:rsid w:val="0080112F"/>
    <w:rsid w:val="0080116E"/>
    <w:rsid w:val="008013E5"/>
    <w:rsid w:val="00802342"/>
    <w:rsid w:val="008026F3"/>
    <w:rsid w:val="0080272C"/>
    <w:rsid w:val="00802980"/>
    <w:rsid w:val="00802B6D"/>
    <w:rsid w:val="00803293"/>
    <w:rsid w:val="00803889"/>
    <w:rsid w:val="00804950"/>
    <w:rsid w:val="00805F17"/>
    <w:rsid w:val="00806CC1"/>
    <w:rsid w:val="00807142"/>
    <w:rsid w:val="00807A2D"/>
    <w:rsid w:val="00810CC8"/>
    <w:rsid w:val="0081161D"/>
    <w:rsid w:val="008116DA"/>
    <w:rsid w:val="008119AC"/>
    <w:rsid w:val="00811FA8"/>
    <w:rsid w:val="008122C7"/>
    <w:rsid w:val="00812999"/>
    <w:rsid w:val="00813006"/>
    <w:rsid w:val="008131CC"/>
    <w:rsid w:val="008134F2"/>
    <w:rsid w:val="0081364D"/>
    <w:rsid w:val="008140A8"/>
    <w:rsid w:val="0081427E"/>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D65"/>
    <w:rsid w:val="0083110F"/>
    <w:rsid w:val="008316B4"/>
    <w:rsid w:val="008318B5"/>
    <w:rsid w:val="00831B77"/>
    <w:rsid w:val="008332A8"/>
    <w:rsid w:val="00833A2B"/>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52F"/>
    <w:rsid w:val="00843E59"/>
    <w:rsid w:val="00844902"/>
    <w:rsid w:val="00844A57"/>
    <w:rsid w:val="00844CAE"/>
    <w:rsid w:val="00844FDB"/>
    <w:rsid w:val="00845551"/>
    <w:rsid w:val="00845E8B"/>
    <w:rsid w:val="0084643E"/>
    <w:rsid w:val="008501DF"/>
    <w:rsid w:val="00852951"/>
    <w:rsid w:val="00852E54"/>
    <w:rsid w:val="0085414A"/>
    <w:rsid w:val="0085439C"/>
    <w:rsid w:val="008544D0"/>
    <w:rsid w:val="00854617"/>
    <w:rsid w:val="00854EA1"/>
    <w:rsid w:val="008568CB"/>
    <w:rsid w:val="0085729A"/>
    <w:rsid w:val="0085784F"/>
    <w:rsid w:val="0085798D"/>
    <w:rsid w:val="00857D87"/>
    <w:rsid w:val="00860583"/>
    <w:rsid w:val="00860E50"/>
    <w:rsid w:val="00861E7C"/>
    <w:rsid w:val="008641DC"/>
    <w:rsid w:val="0086447D"/>
    <w:rsid w:val="00865050"/>
    <w:rsid w:val="00865A8C"/>
    <w:rsid w:val="008673BA"/>
    <w:rsid w:val="008673E0"/>
    <w:rsid w:val="00867E2C"/>
    <w:rsid w:val="008702FB"/>
    <w:rsid w:val="00870EE3"/>
    <w:rsid w:val="0087194B"/>
    <w:rsid w:val="00872ED8"/>
    <w:rsid w:val="008733B8"/>
    <w:rsid w:val="00873A94"/>
    <w:rsid w:val="00873D39"/>
    <w:rsid w:val="008748B0"/>
    <w:rsid w:val="0087589B"/>
    <w:rsid w:val="00876164"/>
    <w:rsid w:val="00880758"/>
    <w:rsid w:val="00880A1F"/>
    <w:rsid w:val="00881069"/>
    <w:rsid w:val="00881B82"/>
    <w:rsid w:val="00883509"/>
    <w:rsid w:val="00885501"/>
    <w:rsid w:val="008855B4"/>
    <w:rsid w:val="008856C8"/>
    <w:rsid w:val="00885A75"/>
    <w:rsid w:val="00886CA0"/>
    <w:rsid w:val="008875E8"/>
    <w:rsid w:val="00887624"/>
    <w:rsid w:val="0089119E"/>
    <w:rsid w:val="00891793"/>
    <w:rsid w:val="00891F51"/>
    <w:rsid w:val="008926FA"/>
    <w:rsid w:val="008933FB"/>
    <w:rsid w:val="00893D30"/>
    <w:rsid w:val="008940B6"/>
    <w:rsid w:val="008942FE"/>
    <w:rsid w:val="008947EC"/>
    <w:rsid w:val="00895126"/>
    <w:rsid w:val="00896700"/>
    <w:rsid w:val="008967D0"/>
    <w:rsid w:val="008968C3"/>
    <w:rsid w:val="00896D10"/>
    <w:rsid w:val="0089769D"/>
    <w:rsid w:val="008A1A72"/>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0F5"/>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8D1"/>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B9"/>
    <w:rsid w:val="008D6348"/>
    <w:rsid w:val="008D64D9"/>
    <w:rsid w:val="008D6C96"/>
    <w:rsid w:val="008E124A"/>
    <w:rsid w:val="008E21B7"/>
    <w:rsid w:val="008E26A1"/>
    <w:rsid w:val="008E287E"/>
    <w:rsid w:val="008E3BDB"/>
    <w:rsid w:val="008E4C95"/>
    <w:rsid w:val="008E5D22"/>
    <w:rsid w:val="008E6003"/>
    <w:rsid w:val="008E6044"/>
    <w:rsid w:val="008E6B95"/>
    <w:rsid w:val="008E7247"/>
    <w:rsid w:val="008E7705"/>
    <w:rsid w:val="008E7B8A"/>
    <w:rsid w:val="008E7FF0"/>
    <w:rsid w:val="008F0581"/>
    <w:rsid w:val="008F0E07"/>
    <w:rsid w:val="008F2E76"/>
    <w:rsid w:val="008F3145"/>
    <w:rsid w:val="008F3B2C"/>
    <w:rsid w:val="008F3CA0"/>
    <w:rsid w:val="008F45E2"/>
    <w:rsid w:val="008F4606"/>
    <w:rsid w:val="008F5A34"/>
    <w:rsid w:val="008F6EB7"/>
    <w:rsid w:val="008F7B56"/>
    <w:rsid w:val="009003BE"/>
    <w:rsid w:val="009004DF"/>
    <w:rsid w:val="00901000"/>
    <w:rsid w:val="009024C6"/>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964"/>
    <w:rsid w:val="00925A91"/>
    <w:rsid w:val="00925F7F"/>
    <w:rsid w:val="00926115"/>
    <w:rsid w:val="0092677D"/>
    <w:rsid w:val="009270A8"/>
    <w:rsid w:val="00927AB1"/>
    <w:rsid w:val="00930610"/>
    <w:rsid w:val="00931F52"/>
    <w:rsid w:val="009327B8"/>
    <w:rsid w:val="00932A56"/>
    <w:rsid w:val="00932BD2"/>
    <w:rsid w:val="00932EDD"/>
    <w:rsid w:val="009336FC"/>
    <w:rsid w:val="00933D75"/>
    <w:rsid w:val="00933E75"/>
    <w:rsid w:val="00934CB9"/>
    <w:rsid w:val="009355A8"/>
    <w:rsid w:val="0093585C"/>
    <w:rsid w:val="009358F8"/>
    <w:rsid w:val="00936A47"/>
    <w:rsid w:val="0094077E"/>
    <w:rsid w:val="00940CCF"/>
    <w:rsid w:val="00940DDF"/>
    <w:rsid w:val="00940E76"/>
    <w:rsid w:val="00940F63"/>
    <w:rsid w:val="00941189"/>
    <w:rsid w:val="00941602"/>
    <w:rsid w:val="00941759"/>
    <w:rsid w:val="00941D74"/>
    <w:rsid w:val="009421F7"/>
    <w:rsid w:val="00942267"/>
    <w:rsid w:val="00942B24"/>
    <w:rsid w:val="00942DA1"/>
    <w:rsid w:val="00943937"/>
    <w:rsid w:val="009440F1"/>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B2C"/>
    <w:rsid w:val="00957EF8"/>
    <w:rsid w:val="0096019F"/>
    <w:rsid w:val="0096025D"/>
    <w:rsid w:val="00960653"/>
    <w:rsid w:val="00960D09"/>
    <w:rsid w:val="009615B6"/>
    <w:rsid w:val="00962CAC"/>
    <w:rsid w:val="009640DE"/>
    <w:rsid w:val="009642AB"/>
    <w:rsid w:val="009643C0"/>
    <w:rsid w:val="0096587B"/>
    <w:rsid w:val="00966F81"/>
    <w:rsid w:val="009678E8"/>
    <w:rsid w:val="009701B5"/>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80"/>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15E9"/>
    <w:rsid w:val="009C1FB5"/>
    <w:rsid w:val="009C2548"/>
    <w:rsid w:val="009C3FCF"/>
    <w:rsid w:val="009C44F6"/>
    <w:rsid w:val="009C45F9"/>
    <w:rsid w:val="009C551E"/>
    <w:rsid w:val="009C5B7E"/>
    <w:rsid w:val="009C5F5F"/>
    <w:rsid w:val="009C6A04"/>
    <w:rsid w:val="009C747A"/>
    <w:rsid w:val="009D00BA"/>
    <w:rsid w:val="009D069E"/>
    <w:rsid w:val="009D07C2"/>
    <w:rsid w:val="009D108F"/>
    <w:rsid w:val="009D1BE7"/>
    <w:rsid w:val="009D1E60"/>
    <w:rsid w:val="009D1EAB"/>
    <w:rsid w:val="009D2BF8"/>
    <w:rsid w:val="009D2F10"/>
    <w:rsid w:val="009D3B38"/>
    <w:rsid w:val="009D402C"/>
    <w:rsid w:val="009D4FB5"/>
    <w:rsid w:val="009D5044"/>
    <w:rsid w:val="009D5A96"/>
    <w:rsid w:val="009D5CF0"/>
    <w:rsid w:val="009D77EE"/>
    <w:rsid w:val="009E0331"/>
    <w:rsid w:val="009E050A"/>
    <w:rsid w:val="009E088E"/>
    <w:rsid w:val="009E1005"/>
    <w:rsid w:val="009E12F3"/>
    <w:rsid w:val="009E28B5"/>
    <w:rsid w:val="009E2ADB"/>
    <w:rsid w:val="009E3721"/>
    <w:rsid w:val="009E4218"/>
    <w:rsid w:val="009E473D"/>
    <w:rsid w:val="009E497B"/>
    <w:rsid w:val="009E4B5A"/>
    <w:rsid w:val="009E52D8"/>
    <w:rsid w:val="009E5325"/>
    <w:rsid w:val="009E5389"/>
    <w:rsid w:val="009E65FD"/>
    <w:rsid w:val="009E6EE4"/>
    <w:rsid w:val="009E7CCB"/>
    <w:rsid w:val="009F0B76"/>
    <w:rsid w:val="009F123D"/>
    <w:rsid w:val="009F239C"/>
    <w:rsid w:val="009F33CA"/>
    <w:rsid w:val="009F4E2B"/>
    <w:rsid w:val="009F57F6"/>
    <w:rsid w:val="009F5AAB"/>
    <w:rsid w:val="009F5BDD"/>
    <w:rsid w:val="009F7659"/>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0A9"/>
    <w:rsid w:val="00A2141D"/>
    <w:rsid w:val="00A238DC"/>
    <w:rsid w:val="00A2459E"/>
    <w:rsid w:val="00A24930"/>
    <w:rsid w:val="00A25FFE"/>
    <w:rsid w:val="00A26001"/>
    <w:rsid w:val="00A2621E"/>
    <w:rsid w:val="00A26C96"/>
    <w:rsid w:val="00A26CC4"/>
    <w:rsid w:val="00A27A30"/>
    <w:rsid w:val="00A30926"/>
    <w:rsid w:val="00A32339"/>
    <w:rsid w:val="00A34561"/>
    <w:rsid w:val="00A34FA9"/>
    <w:rsid w:val="00A35820"/>
    <w:rsid w:val="00A35C60"/>
    <w:rsid w:val="00A35D12"/>
    <w:rsid w:val="00A36011"/>
    <w:rsid w:val="00A36C0B"/>
    <w:rsid w:val="00A371A9"/>
    <w:rsid w:val="00A374D8"/>
    <w:rsid w:val="00A37E7B"/>
    <w:rsid w:val="00A40984"/>
    <w:rsid w:val="00A40CF3"/>
    <w:rsid w:val="00A4178B"/>
    <w:rsid w:val="00A421A5"/>
    <w:rsid w:val="00A4222E"/>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803"/>
    <w:rsid w:val="00A60C49"/>
    <w:rsid w:val="00A60E87"/>
    <w:rsid w:val="00A6161E"/>
    <w:rsid w:val="00A6163E"/>
    <w:rsid w:val="00A622B6"/>
    <w:rsid w:val="00A62366"/>
    <w:rsid w:val="00A62EAE"/>
    <w:rsid w:val="00A6421E"/>
    <w:rsid w:val="00A6437C"/>
    <w:rsid w:val="00A644B2"/>
    <w:rsid w:val="00A64826"/>
    <w:rsid w:val="00A64AFF"/>
    <w:rsid w:val="00A6693A"/>
    <w:rsid w:val="00A6707B"/>
    <w:rsid w:val="00A67292"/>
    <w:rsid w:val="00A708BF"/>
    <w:rsid w:val="00A71812"/>
    <w:rsid w:val="00A71C1D"/>
    <w:rsid w:val="00A72CB0"/>
    <w:rsid w:val="00A731C8"/>
    <w:rsid w:val="00A73385"/>
    <w:rsid w:val="00A73E61"/>
    <w:rsid w:val="00A74D7C"/>
    <w:rsid w:val="00A77163"/>
    <w:rsid w:val="00A777D9"/>
    <w:rsid w:val="00A77966"/>
    <w:rsid w:val="00A77F14"/>
    <w:rsid w:val="00A80B54"/>
    <w:rsid w:val="00A80D8C"/>
    <w:rsid w:val="00A811B3"/>
    <w:rsid w:val="00A81352"/>
    <w:rsid w:val="00A81946"/>
    <w:rsid w:val="00A81C01"/>
    <w:rsid w:val="00A826D8"/>
    <w:rsid w:val="00A8306B"/>
    <w:rsid w:val="00A831AF"/>
    <w:rsid w:val="00A83271"/>
    <w:rsid w:val="00A83D09"/>
    <w:rsid w:val="00A8477D"/>
    <w:rsid w:val="00A85143"/>
    <w:rsid w:val="00A856AB"/>
    <w:rsid w:val="00A86F52"/>
    <w:rsid w:val="00A87243"/>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B0F92"/>
    <w:rsid w:val="00AB1043"/>
    <w:rsid w:val="00AB1150"/>
    <w:rsid w:val="00AB1490"/>
    <w:rsid w:val="00AB19F7"/>
    <w:rsid w:val="00AB3649"/>
    <w:rsid w:val="00AB6CBB"/>
    <w:rsid w:val="00AB76B4"/>
    <w:rsid w:val="00AC038F"/>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48D"/>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E36"/>
    <w:rsid w:val="00AE100D"/>
    <w:rsid w:val="00AE173E"/>
    <w:rsid w:val="00AE1DEE"/>
    <w:rsid w:val="00AE1F5F"/>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0BD1"/>
    <w:rsid w:val="00B02388"/>
    <w:rsid w:val="00B033E0"/>
    <w:rsid w:val="00B03795"/>
    <w:rsid w:val="00B03D8A"/>
    <w:rsid w:val="00B046FC"/>
    <w:rsid w:val="00B048F0"/>
    <w:rsid w:val="00B05541"/>
    <w:rsid w:val="00B05804"/>
    <w:rsid w:val="00B0759C"/>
    <w:rsid w:val="00B07EB9"/>
    <w:rsid w:val="00B11171"/>
    <w:rsid w:val="00B11ABA"/>
    <w:rsid w:val="00B12A80"/>
    <w:rsid w:val="00B1379E"/>
    <w:rsid w:val="00B13926"/>
    <w:rsid w:val="00B146C8"/>
    <w:rsid w:val="00B14B33"/>
    <w:rsid w:val="00B14F9E"/>
    <w:rsid w:val="00B15102"/>
    <w:rsid w:val="00B16464"/>
    <w:rsid w:val="00B16606"/>
    <w:rsid w:val="00B171F8"/>
    <w:rsid w:val="00B17519"/>
    <w:rsid w:val="00B17E36"/>
    <w:rsid w:val="00B21886"/>
    <w:rsid w:val="00B22DFB"/>
    <w:rsid w:val="00B236B2"/>
    <w:rsid w:val="00B2382E"/>
    <w:rsid w:val="00B246C2"/>
    <w:rsid w:val="00B24A48"/>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3AC1"/>
    <w:rsid w:val="00B44AF5"/>
    <w:rsid w:val="00B44D4A"/>
    <w:rsid w:val="00B45A65"/>
    <w:rsid w:val="00B461CC"/>
    <w:rsid w:val="00B462FD"/>
    <w:rsid w:val="00B463D4"/>
    <w:rsid w:val="00B46DB0"/>
    <w:rsid w:val="00B471F1"/>
    <w:rsid w:val="00B47A29"/>
    <w:rsid w:val="00B50DE2"/>
    <w:rsid w:val="00B50E7F"/>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4428"/>
    <w:rsid w:val="00B64B24"/>
    <w:rsid w:val="00B64C3E"/>
    <w:rsid w:val="00B650BB"/>
    <w:rsid w:val="00B658DF"/>
    <w:rsid w:val="00B65AD7"/>
    <w:rsid w:val="00B66A32"/>
    <w:rsid w:val="00B66DEE"/>
    <w:rsid w:val="00B7012A"/>
    <w:rsid w:val="00B7048A"/>
    <w:rsid w:val="00B70A6A"/>
    <w:rsid w:val="00B70D37"/>
    <w:rsid w:val="00B722D2"/>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3C91"/>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9EF"/>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6E1F"/>
    <w:rsid w:val="00BD75AC"/>
    <w:rsid w:val="00BD76A7"/>
    <w:rsid w:val="00BD78BF"/>
    <w:rsid w:val="00BE0186"/>
    <w:rsid w:val="00BE0536"/>
    <w:rsid w:val="00BE0C0C"/>
    <w:rsid w:val="00BE10B5"/>
    <w:rsid w:val="00BE1A39"/>
    <w:rsid w:val="00BE22F8"/>
    <w:rsid w:val="00BE2A33"/>
    <w:rsid w:val="00BE4369"/>
    <w:rsid w:val="00BE4676"/>
    <w:rsid w:val="00BE58A4"/>
    <w:rsid w:val="00BE5939"/>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D82"/>
    <w:rsid w:val="00C1588A"/>
    <w:rsid w:val="00C176FE"/>
    <w:rsid w:val="00C20246"/>
    <w:rsid w:val="00C2054C"/>
    <w:rsid w:val="00C205AF"/>
    <w:rsid w:val="00C20C00"/>
    <w:rsid w:val="00C211E7"/>
    <w:rsid w:val="00C212CF"/>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7AD"/>
    <w:rsid w:val="00C55A79"/>
    <w:rsid w:val="00C56538"/>
    <w:rsid w:val="00C5657F"/>
    <w:rsid w:val="00C569D1"/>
    <w:rsid w:val="00C5767B"/>
    <w:rsid w:val="00C5771D"/>
    <w:rsid w:val="00C609B8"/>
    <w:rsid w:val="00C60DDE"/>
    <w:rsid w:val="00C6233E"/>
    <w:rsid w:val="00C6247A"/>
    <w:rsid w:val="00C649A7"/>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50D1"/>
    <w:rsid w:val="00C75180"/>
    <w:rsid w:val="00C76557"/>
    <w:rsid w:val="00C77A08"/>
    <w:rsid w:val="00C77F49"/>
    <w:rsid w:val="00C80903"/>
    <w:rsid w:val="00C811EC"/>
    <w:rsid w:val="00C81A40"/>
    <w:rsid w:val="00C8258B"/>
    <w:rsid w:val="00C84276"/>
    <w:rsid w:val="00C856D5"/>
    <w:rsid w:val="00C86300"/>
    <w:rsid w:val="00C86BF4"/>
    <w:rsid w:val="00C86DE9"/>
    <w:rsid w:val="00C86FD7"/>
    <w:rsid w:val="00C8708E"/>
    <w:rsid w:val="00C87107"/>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6B22"/>
    <w:rsid w:val="00CA70CD"/>
    <w:rsid w:val="00CA72B4"/>
    <w:rsid w:val="00CA737C"/>
    <w:rsid w:val="00CA7EA2"/>
    <w:rsid w:val="00CB016B"/>
    <w:rsid w:val="00CB13BA"/>
    <w:rsid w:val="00CB1928"/>
    <w:rsid w:val="00CB2395"/>
    <w:rsid w:val="00CB2E92"/>
    <w:rsid w:val="00CB34C8"/>
    <w:rsid w:val="00CB3725"/>
    <w:rsid w:val="00CB48E3"/>
    <w:rsid w:val="00CB4CF8"/>
    <w:rsid w:val="00CB585F"/>
    <w:rsid w:val="00CB6A34"/>
    <w:rsid w:val="00CB791B"/>
    <w:rsid w:val="00CC059F"/>
    <w:rsid w:val="00CC0A92"/>
    <w:rsid w:val="00CC399A"/>
    <w:rsid w:val="00CC556F"/>
    <w:rsid w:val="00CC5B86"/>
    <w:rsid w:val="00CC6043"/>
    <w:rsid w:val="00CC6544"/>
    <w:rsid w:val="00CC70AA"/>
    <w:rsid w:val="00CD01A7"/>
    <w:rsid w:val="00CD070B"/>
    <w:rsid w:val="00CD087A"/>
    <w:rsid w:val="00CD1804"/>
    <w:rsid w:val="00CD4374"/>
    <w:rsid w:val="00CD4835"/>
    <w:rsid w:val="00CD487C"/>
    <w:rsid w:val="00CD4DDF"/>
    <w:rsid w:val="00CD5190"/>
    <w:rsid w:val="00CD6AC6"/>
    <w:rsid w:val="00CD6B14"/>
    <w:rsid w:val="00CD777A"/>
    <w:rsid w:val="00CD7969"/>
    <w:rsid w:val="00CE0782"/>
    <w:rsid w:val="00CE0D88"/>
    <w:rsid w:val="00CE1728"/>
    <w:rsid w:val="00CE1932"/>
    <w:rsid w:val="00CE2026"/>
    <w:rsid w:val="00CE2188"/>
    <w:rsid w:val="00CE2BBF"/>
    <w:rsid w:val="00CE4674"/>
    <w:rsid w:val="00CE5DD4"/>
    <w:rsid w:val="00CE62EF"/>
    <w:rsid w:val="00CE6575"/>
    <w:rsid w:val="00CE6E3C"/>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1A1"/>
    <w:rsid w:val="00D07F36"/>
    <w:rsid w:val="00D1086C"/>
    <w:rsid w:val="00D10A07"/>
    <w:rsid w:val="00D10C8F"/>
    <w:rsid w:val="00D116B6"/>
    <w:rsid w:val="00D11797"/>
    <w:rsid w:val="00D119D8"/>
    <w:rsid w:val="00D11ACC"/>
    <w:rsid w:val="00D11E2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C60"/>
    <w:rsid w:val="00D21384"/>
    <w:rsid w:val="00D224F8"/>
    <w:rsid w:val="00D22B28"/>
    <w:rsid w:val="00D22E76"/>
    <w:rsid w:val="00D23896"/>
    <w:rsid w:val="00D23AF5"/>
    <w:rsid w:val="00D23C04"/>
    <w:rsid w:val="00D23FCD"/>
    <w:rsid w:val="00D2412E"/>
    <w:rsid w:val="00D24829"/>
    <w:rsid w:val="00D24EA7"/>
    <w:rsid w:val="00D24F88"/>
    <w:rsid w:val="00D250AB"/>
    <w:rsid w:val="00D26838"/>
    <w:rsid w:val="00D30316"/>
    <w:rsid w:val="00D304E9"/>
    <w:rsid w:val="00D327DE"/>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A91"/>
    <w:rsid w:val="00D54D27"/>
    <w:rsid w:val="00D560D8"/>
    <w:rsid w:val="00D56855"/>
    <w:rsid w:val="00D56BAC"/>
    <w:rsid w:val="00D57E85"/>
    <w:rsid w:val="00D60073"/>
    <w:rsid w:val="00D60F96"/>
    <w:rsid w:val="00D61164"/>
    <w:rsid w:val="00D61196"/>
    <w:rsid w:val="00D61422"/>
    <w:rsid w:val="00D63132"/>
    <w:rsid w:val="00D64176"/>
    <w:rsid w:val="00D65B04"/>
    <w:rsid w:val="00D65DBF"/>
    <w:rsid w:val="00D66546"/>
    <w:rsid w:val="00D66EE2"/>
    <w:rsid w:val="00D67734"/>
    <w:rsid w:val="00D707AE"/>
    <w:rsid w:val="00D70948"/>
    <w:rsid w:val="00D70D59"/>
    <w:rsid w:val="00D72A7B"/>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C17"/>
    <w:rsid w:val="00D90D68"/>
    <w:rsid w:val="00D90E9C"/>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591"/>
    <w:rsid w:val="00DA28E5"/>
    <w:rsid w:val="00DA321D"/>
    <w:rsid w:val="00DA367F"/>
    <w:rsid w:val="00DA459E"/>
    <w:rsid w:val="00DA4A94"/>
    <w:rsid w:val="00DA4B9D"/>
    <w:rsid w:val="00DA4DAA"/>
    <w:rsid w:val="00DA4DC4"/>
    <w:rsid w:val="00DA5245"/>
    <w:rsid w:val="00DA5E12"/>
    <w:rsid w:val="00DA616B"/>
    <w:rsid w:val="00DA70E8"/>
    <w:rsid w:val="00DA737C"/>
    <w:rsid w:val="00DA74A4"/>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11C3"/>
    <w:rsid w:val="00E020D3"/>
    <w:rsid w:val="00E03138"/>
    <w:rsid w:val="00E033EF"/>
    <w:rsid w:val="00E04548"/>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3D09"/>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4EFA"/>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5FF3"/>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7C07"/>
    <w:rsid w:val="00E90505"/>
    <w:rsid w:val="00E90716"/>
    <w:rsid w:val="00E90DF1"/>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2EC"/>
    <w:rsid w:val="00EA7DA4"/>
    <w:rsid w:val="00EB0813"/>
    <w:rsid w:val="00EB0FFD"/>
    <w:rsid w:val="00EB1B9B"/>
    <w:rsid w:val="00EB223A"/>
    <w:rsid w:val="00EB34BB"/>
    <w:rsid w:val="00EB5A50"/>
    <w:rsid w:val="00EB60AD"/>
    <w:rsid w:val="00EB6718"/>
    <w:rsid w:val="00EB6CBE"/>
    <w:rsid w:val="00EB7230"/>
    <w:rsid w:val="00EB7549"/>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5DA"/>
    <w:rsid w:val="00ED3684"/>
    <w:rsid w:val="00ED4150"/>
    <w:rsid w:val="00ED4A3F"/>
    <w:rsid w:val="00ED53C0"/>
    <w:rsid w:val="00ED5621"/>
    <w:rsid w:val="00ED5E59"/>
    <w:rsid w:val="00ED5FC0"/>
    <w:rsid w:val="00ED60CA"/>
    <w:rsid w:val="00ED636D"/>
    <w:rsid w:val="00ED6930"/>
    <w:rsid w:val="00EE00A4"/>
    <w:rsid w:val="00EE00B0"/>
    <w:rsid w:val="00EE0321"/>
    <w:rsid w:val="00EE0A8B"/>
    <w:rsid w:val="00EE1534"/>
    <w:rsid w:val="00EE1A6D"/>
    <w:rsid w:val="00EE2B21"/>
    <w:rsid w:val="00EE2BA4"/>
    <w:rsid w:val="00EE35F0"/>
    <w:rsid w:val="00EE3D6A"/>
    <w:rsid w:val="00EE59BB"/>
    <w:rsid w:val="00EE5DCD"/>
    <w:rsid w:val="00EE6520"/>
    <w:rsid w:val="00EE6727"/>
    <w:rsid w:val="00EE7480"/>
    <w:rsid w:val="00EF017D"/>
    <w:rsid w:val="00EF2ADD"/>
    <w:rsid w:val="00EF2B31"/>
    <w:rsid w:val="00EF41E0"/>
    <w:rsid w:val="00EF45C6"/>
    <w:rsid w:val="00EF49E8"/>
    <w:rsid w:val="00EF5361"/>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1F8E"/>
    <w:rsid w:val="00F122A4"/>
    <w:rsid w:val="00F12CB8"/>
    <w:rsid w:val="00F13A76"/>
    <w:rsid w:val="00F14141"/>
    <w:rsid w:val="00F14DAD"/>
    <w:rsid w:val="00F159D5"/>
    <w:rsid w:val="00F16F6C"/>
    <w:rsid w:val="00F1710F"/>
    <w:rsid w:val="00F17BE6"/>
    <w:rsid w:val="00F20E58"/>
    <w:rsid w:val="00F220D0"/>
    <w:rsid w:val="00F227B7"/>
    <w:rsid w:val="00F23157"/>
    <w:rsid w:val="00F233E9"/>
    <w:rsid w:val="00F23618"/>
    <w:rsid w:val="00F23B18"/>
    <w:rsid w:val="00F23C25"/>
    <w:rsid w:val="00F24228"/>
    <w:rsid w:val="00F24378"/>
    <w:rsid w:val="00F2504F"/>
    <w:rsid w:val="00F2532A"/>
    <w:rsid w:val="00F255AE"/>
    <w:rsid w:val="00F258CD"/>
    <w:rsid w:val="00F26185"/>
    <w:rsid w:val="00F27D47"/>
    <w:rsid w:val="00F27F77"/>
    <w:rsid w:val="00F30066"/>
    <w:rsid w:val="00F30274"/>
    <w:rsid w:val="00F30A85"/>
    <w:rsid w:val="00F31FC1"/>
    <w:rsid w:val="00F3228F"/>
    <w:rsid w:val="00F3334D"/>
    <w:rsid w:val="00F338F5"/>
    <w:rsid w:val="00F33964"/>
    <w:rsid w:val="00F339BC"/>
    <w:rsid w:val="00F35564"/>
    <w:rsid w:val="00F359D7"/>
    <w:rsid w:val="00F35D17"/>
    <w:rsid w:val="00F35D46"/>
    <w:rsid w:val="00F36C3A"/>
    <w:rsid w:val="00F370CA"/>
    <w:rsid w:val="00F37959"/>
    <w:rsid w:val="00F411A7"/>
    <w:rsid w:val="00F429BF"/>
    <w:rsid w:val="00F42BB1"/>
    <w:rsid w:val="00F43243"/>
    <w:rsid w:val="00F435C7"/>
    <w:rsid w:val="00F443CC"/>
    <w:rsid w:val="00F4472A"/>
    <w:rsid w:val="00F44AF9"/>
    <w:rsid w:val="00F45C74"/>
    <w:rsid w:val="00F46024"/>
    <w:rsid w:val="00F46083"/>
    <w:rsid w:val="00F466F9"/>
    <w:rsid w:val="00F4696A"/>
    <w:rsid w:val="00F50246"/>
    <w:rsid w:val="00F50387"/>
    <w:rsid w:val="00F50582"/>
    <w:rsid w:val="00F50612"/>
    <w:rsid w:val="00F514E5"/>
    <w:rsid w:val="00F51550"/>
    <w:rsid w:val="00F525CD"/>
    <w:rsid w:val="00F5286A"/>
    <w:rsid w:val="00F5332A"/>
    <w:rsid w:val="00F54C50"/>
    <w:rsid w:val="00F55D44"/>
    <w:rsid w:val="00F561E0"/>
    <w:rsid w:val="00F56413"/>
    <w:rsid w:val="00F56A42"/>
    <w:rsid w:val="00F57B8D"/>
    <w:rsid w:val="00F600A0"/>
    <w:rsid w:val="00F60C32"/>
    <w:rsid w:val="00F6284C"/>
    <w:rsid w:val="00F63AE6"/>
    <w:rsid w:val="00F64007"/>
    <w:rsid w:val="00F6413D"/>
    <w:rsid w:val="00F66ED3"/>
    <w:rsid w:val="00F6720E"/>
    <w:rsid w:val="00F67B2F"/>
    <w:rsid w:val="00F67BCD"/>
    <w:rsid w:val="00F67ED4"/>
    <w:rsid w:val="00F700DB"/>
    <w:rsid w:val="00F71BD3"/>
    <w:rsid w:val="00F71C70"/>
    <w:rsid w:val="00F72AE8"/>
    <w:rsid w:val="00F73CA5"/>
    <w:rsid w:val="00F75CF3"/>
    <w:rsid w:val="00F76B79"/>
    <w:rsid w:val="00F7732B"/>
    <w:rsid w:val="00F77637"/>
    <w:rsid w:val="00F777A9"/>
    <w:rsid w:val="00F77869"/>
    <w:rsid w:val="00F8017A"/>
    <w:rsid w:val="00F801A1"/>
    <w:rsid w:val="00F8041C"/>
    <w:rsid w:val="00F8043F"/>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601"/>
    <w:rsid w:val="00FC16ED"/>
    <w:rsid w:val="00FC21BF"/>
    <w:rsid w:val="00FC259C"/>
    <w:rsid w:val="00FC330D"/>
    <w:rsid w:val="00FC4AB4"/>
    <w:rsid w:val="00FC5232"/>
    <w:rsid w:val="00FC55A7"/>
    <w:rsid w:val="00FC5987"/>
    <w:rsid w:val="00FC6243"/>
    <w:rsid w:val="00FC699B"/>
    <w:rsid w:val="00FC789C"/>
    <w:rsid w:val="00FC7D6F"/>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4EB8"/>
    <w:rsid w:val="00FE6385"/>
    <w:rsid w:val="00FE7A6F"/>
    <w:rsid w:val="00FF0068"/>
    <w:rsid w:val="00FF134D"/>
    <w:rsid w:val="00FF1EA6"/>
    <w:rsid w:val="00FF25A8"/>
    <w:rsid w:val="00FF2E40"/>
    <w:rsid w:val="00FF421F"/>
    <w:rsid w:val="00FF4222"/>
    <w:rsid w:val="00FF4735"/>
    <w:rsid w:val="00FF5343"/>
    <w:rsid w:val="00FF62B7"/>
    <w:rsid w:val="01871DF6"/>
    <w:rsid w:val="01875DDB"/>
    <w:rsid w:val="019625A8"/>
    <w:rsid w:val="022968C0"/>
    <w:rsid w:val="02C10E79"/>
    <w:rsid w:val="03367486"/>
    <w:rsid w:val="03FC43FE"/>
    <w:rsid w:val="042A219A"/>
    <w:rsid w:val="045A6477"/>
    <w:rsid w:val="048535B5"/>
    <w:rsid w:val="0673692E"/>
    <w:rsid w:val="06D27AF8"/>
    <w:rsid w:val="072129CF"/>
    <w:rsid w:val="07911761"/>
    <w:rsid w:val="07B74F40"/>
    <w:rsid w:val="07F03A1B"/>
    <w:rsid w:val="08053EFD"/>
    <w:rsid w:val="08B651F8"/>
    <w:rsid w:val="08CB0CA3"/>
    <w:rsid w:val="0935436E"/>
    <w:rsid w:val="09546FD7"/>
    <w:rsid w:val="0A1A02B2"/>
    <w:rsid w:val="0A5F76B3"/>
    <w:rsid w:val="0B86776C"/>
    <w:rsid w:val="0B974B23"/>
    <w:rsid w:val="0BCB7D75"/>
    <w:rsid w:val="0C3E79DE"/>
    <w:rsid w:val="0D38442D"/>
    <w:rsid w:val="0D3F6B37"/>
    <w:rsid w:val="0D755B86"/>
    <w:rsid w:val="0DE23A56"/>
    <w:rsid w:val="0E0E7A0E"/>
    <w:rsid w:val="0E1529C0"/>
    <w:rsid w:val="0ECA37AB"/>
    <w:rsid w:val="0F820DAE"/>
    <w:rsid w:val="0FA43A85"/>
    <w:rsid w:val="11F859D4"/>
    <w:rsid w:val="124A2B84"/>
    <w:rsid w:val="149C0E92"/>
    <w:rsid w:val="15765DBC"/>
    <w:rsid w:val="15E50ECA"/>
    <w:rsid w:val="16A95791"/>
    <w:rsid w:val="16BC60CF"/>
    <w:rsid w:val="16FA4B4D"/>
    <w:rsid w:val="16FE2244"/>
    <w:rsid w:val="17836967"/>
    <w:rsid w:val="17D2722C"/>
    <w:rsid w:val="187D675D"/>
    <w:rsid w:val="18FA6A3B"/>
    <w:rsid w:val="19026583"/>
    <w:rsid w:val="19236B01"/>
    <w:rsid w:val="1930099D"/>
    <w:rsid w:val="19B72ED1"/>
    <w:rsid w:val="19D82430"/>
    <w:rsid w:val="1C1C77DD"/>
    <w:rsid w:val="1C2B5674"/>
    <w:rsid w:val="1CA26454"/>
    <w:rsid w:val="1CB22CBD"/>
    <w:rsid w:val="1DEE1955"/>
    <w:rsid w:val="1E116D00"/>
    <w:rsid w:val="1E56249A"/>
    <w:rsid w:val="1ED31934"/>
    <w:rsid w:val="1EFC4870"/>
    <w:rsid w:val="1FCA0086"/>
    <w:rsid w:val="20283CC1"/>
    <w:rsid w:val="202B1BD0"/>
    <w:rsid w:val="209634ED"/>
    <w:rsid w:val="20C04A0E"/>
    <w:rsid w:val="2226421E"/>
    <w:rsid w:val="225867AE"/>
    <w:rsid w:val="22600D93"/>
    <w:rsid w:val="23C23B7E"/>
    <w:rsid w:val="242C3B4D"/>
    <w:rsid w:val="24DB0068"/>
    <w:rsid w:val="25BF34E6"/>
    <w:rsid w:val="25E171F1"/>
    <w:rsid w:val="26255C20"/>
    <w:rsid w:val="26AD6D40"/>
    <w:rsid w:val="26B17B3A"/>
    <w:rsid w:val="26C1109D"/>
    <w:rsid w:val="26F6209B"/>
    <w:rsid w:val="27306E7F"/>
    <w:rsid w:val="27B86914"/>
    <w:rsid w:val="283A6E54"/>
    <w:rsid w:val="289B1FE8"/>
    <w:rsid w:val="28C11323"/>
    <w:rsid w:val="28F040DB"/>
    <w:rsid w:val="2B281851"/>
    <w:rsid w:val="2B2F4C6A"/>
    <w:rsid w:val="2B42706E"/>
    <w:rsid w:val="2C043088"/>
    <w:rsid w:val="2C250873"/>
    <w:rsid w:val="2CA51448"/>
    <w:rsid w:val="2CC575B9"/>
    <w:rsid w:val="2DCD6BB5"/>
    <w:rsid w:val="2E4879D6"/>
    <w:rsid w:val="2E556795"/>
    <w:rsid w:val="2F114283"/>
    <w:rsid w:val="2F3E7229"/>
    <w:rsid w:val="2FF63FA8"/>
    <w:rsid w:val="301A2DFD"/>
    <w:rsid w:val="30C70CE1"/>
    <w:rsid w:val="31057202"/>
    <w:rsid w:val="3138485B"/>
    <w:rsid w:val="314A1F55"/>
    <w:rsid w:val="315A0567"/>
    <w:rsid w:val="31716284"/>
    <w:rsid w:val="3192385D"/>
    <w:rsid w:val="32217220"/>
    <w:rsid w:val="33B64234"/>
    <w:rsid w:val="34120C85"/>
    <w:rsid w:val="343F0508"/>
    <w:rsid w:val="3448310E"/>
    <w:rsid w:val="34492FA5"/>
    <w:rsid w:val="34CE48F5"/>
    <w:rsid w:val="34F66061"/>
    <w:rsid w:val="35615E19"/>
    <w:rsid w:val="36363350"/>
    <w:rsid w:val="37385DDD"/>
    <w:rsid w:val="3795483A"/>
    <w:rsid w:val="37A34A15"/>
    <w:rsid w:val="38673C95"/>
    <w:rsid w:val="38E03C52"/>
    <w:rsid w:val="3A6D772C"/>
    <w:rsid w:val="3A8723CC"/>
    <w:rsid w:val="3A900B55"/>
    <w:rsid w:val="3B007A89"/>
    <w:rsid w:val="3B911693"/>
    <w:rsid w:val="3C9B215F"/>
    <w:rsid w:val="3D5139F7"/>
    <w:rsid w:val="3DC72AE0"/>
    <w:rsid w:val="3E2D1849"/>
    <w:rsid w:val="3EC62D97"/>
    <w:rsid w:val="3F295A92"/>
    <w:rsid w:val="400578BA"/>
    <w:rsid w:val="40E0559E"/>
    <w:rsid w:val="419C6D13"/>
    <w:rsid w:val="41D43A1D"/>
    <w:rsid w:val="42417E75"/>
    <w:rsid w:val="42717F87"/>
    <w:rsid w:val="427D4AE9"/>
    <w:rsid w:val="42A12342"/>
    <w:rsid w:val="42D775B3"/>
    <w:rsid w:val="42FA32B6"/>
    <w:rsid w:val="434037B0"/>
    <w:rsid w:val="437A46CE"/>
    <w:rsid w:val="440C749E"/>
    <w:rsid w:val="443D5976"/>
    <w:rsid w:val="44A40EFC"/>
    <w:rsid w:val="450A2483"/>
    <w:rsid w:val="453215A8"/>
    <w:rsid w:val="455B338C"/>
    <w:rsid w:val="4575151D"/>
    <w:rsid w:val="45F14BBF"/>
    <w:rsid w:val="460E12C5"/>
    <w:rsid w:val="462C02CC"/>
    <w:rsid w:val="46AC7A69"/>
    <w:rsid w:val="46F245F5"/>
    <w:rsid w:val="47245B75"/>
    <w:rsid w:val="47D74671"/>
    <w:rsid w:val="47DC75A0"/>
    <w:rsid w:val="4823682F"/>
    <w:rsid w:val="48FF5B8C"/>
    <w:rsid w:val="49CD75E6"/>
    <w:rsid w:val="4A3D6792"/>
    <w:rsid w:val="4ABB2486"/>
    <w:rsid w:val="4B67266A"/>
    <w:rsid w:val="4BA426B2"/>
    <w:rsid w:val="4C9D1191"/>
    <w:rsid w:val="4D52686A"/>
    <w:rsid w:val="4D847B2E"/>
    <w:rsid w:val="4DBD7A5B"/>
    <w:rsid w:val="4F241EBB"/>
    <w:rsid w:val="4FA65C1D"/>
    <w:rsid w:val="51F45956"/>
    <w:rsid w:val="523429E2"/>
    <w:rsid w:val="52783963"/>
    <w:rsid w:val="5388703E"/>
    <w:rsid w:val="539B25ED"/>
    <w:rsid w:val="53C90F08"/>
    <w:rsid w:val="53E828B4"/>
    <w:rsid w:val="547D5118"/>
    <w:rsid w:val="54FE0DEB"/>
    <w:rsid w:val="552A7044"/>
    <w:rsid w:val="556C6E12"/>
    <w:rsid w:val="55A0038E"/>
    <w:rsid w:val="55B45245"/>
    <w:rsid w:val="55B94FAC"/>
    <w:rsid w:val="56226FF5"/>
    <w:rsid w:val="5653402C"/>
    <w:rsid w:val="56871989"/>
    <w:rsid w:val="56A41165"/>
    <w:rsid w:val="574E76F1"/>
    <w:rsid w:val="579706B0"/>
    <w:rsid w:val="582A3F3F"/>
    <w:rsid w:val="584274DB"/>
    <w:rsid w:val="58825D9F"/>
    <w:rsid w:val="59605E6B"/>
    <w:rsid w:val="59984DE8"/>
    <w:rsid w:val="59D26523"/>
    <w:rsid w:val="59D70FAC"/>
    <w:rsid w:val="5A0A5DD6"/>
    <w:rsid w:val="5B221376"/>
    <w:rsid w:val="5BB60B12"/>
    <w:rsid w:val="5CDA23D8"/>
    <w:rsid w:val="5EF01530"/>
    <w:rsid w:val="5F492843"/>
    <w:rsid w:val="5F7B1F43"/>
    <w:rsid w:val="603242D9"/>
    <w:rsid w:val="60F04529"/>
    <w:rsid w:val="60F8781B"/>
    <w:rsid w:val="610417D1"/>
    <w:rsid w:val="61167757"/>
    <w:rsid w:val="611C5B2C"/>
    <w:rsid w:val="614A599F"/>
    <w:rsid w:val="61521181"/>
    <w:rsid w:val="619D2364"/>
    <w:rsid w:val="61D373F6"/>
    <w:rsid w:val="61EC5083"/>
    <w:rsid w:val="61FC694D"/>
    <w:rsid w:val="634C4C63"/>
    <w:rsid w:val="639C593D"/>
    <w:rsid w:val="63DC07E4"/>
    <w:rsid w:val="65670920"/>
    <w:rsid w:val="65EB7404"/>
    <w:rsid w:val="67581ECE"/>
    <w:rsid w:val="68015A2C"/>
    <w:rsid w:val="68591215"/>
    <w:rsid w:val="68CB7079"/>
    <w:rsid w:val="68D51CA5"/>
    <w:rsid w:val="69EC1891"/>
    <w:rsid w:val="6A1567FD"/>
    <w:rsid w:val="6A2D42B7"/>
    <w:rsid w:val="6A66193F"/>
    <w:rsid w:val="6AE6335A"/>
    <w:rsid w:val="6BC06C3D"/>
    <w:rsid w:val="6C606456"/>
    <w:rsid w:val="6D023176"/>
    <w:rsid w:val="6D897E96"/>
    <w:rsid w:val="6DB112C3"/>
    <w:rsid w:val="6DD618F2"/>
    <w:rsid w:val="6E441506"/>
    <w:rsid w:val="6EBE4972"/>
    <w:rsid w:val="6EFD7024"/>
    <w:rsid w:val="6F756462"/>
    <w:rsid w:val="6F7E2114"/>
    <w:rsid w:val="70673B2B"/>
    <w:rsid w:val="70863F4B"/>
    <w:rsid w:val="7130216F"/>
    <w:rsid w:val="718F3E5B"/>
    <w:rsid w:val="721734AC"/>
    <w:rsid w:val="72287D2F"/>
    <w:rsid w:val="7238752D"/>
    <w:rsid w:val="730B4709"/>
    <w:rsid w:val="73FB4CB6"/>
    <w:rsid w:val="746F2FAE"/>
    <w:rsid w:val="74B5766F"/>
    <w:rsid w:val="75126B27"/>
    <w:rsid w:val="75952EE8"/>
    <w:rsid w:val="762A1CDE"/>
    <w:rsid w:val="76A21419"/>
    <w:rsid w:val="77626DFA"/>
    <w:rsid w:val="77BE6726"/>
    <w:rsid w:val="78662568"/>
    <w:rsid w:val="7A083C89"/>
    <w:rsid w:val="7A1E7FB2"/>
    <w:rsid w:val="7A897092"/>
    <w:rsid w:val="7A925F27"/>
    <w:rsid w:val="7ADC6EC3"/>
    <w:rsid w:val="7B3344D7"/>
    <w:rsid w:val="7B6313DB"/>
    <w:rsid w:val="7B6475E5"/>
    <w:rsid w:val="7BD10584"/>
    <w:rsid w:val="7CD30DCF"/>
    <w:rsid w:val="7CE7227B"/>
    <w:rsid w:val="7D162B61"/>
    <w:rsid w:val="7DE642E1"/>
    <w:rsid w:val="7FEA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qFormat="1" w:unhideWhenUsed="0" w:uiPriority="99"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99" w:semiHidden="0"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5">
    <w:name w:val="heading 2"/>
    <w:basedOn w:val="1"/>
    <w:next w:val="1"/>
    <w:link w:val="42"/>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43"/>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7">
    <w:name w:val="heading 4"/>
    <w:basedOn w:val="1"/>
    <w:next w:val="1"/>
    <w:unhideWhenUsed/>
    <w:qFormat/>
    <w:uiPriority w:val="0"/>
    <w:pPr>
      <w:keepNext/>
      <w:keepLines/>
      <w:numPr>
        <w:ilvl w:val="3"/>
        <w:numId w:val="2"/>
      </w:numPr>
      <w:spacing w:before="240" w:after="240" w:line="377" w:lineRule="auto"/>
      <w:ind w:left="862" w:hanging="862"/>
      <w:outlineLvl w:val="3"/>
    </w:pPr>
    <w:rPr>
      <w:rFonts w:ascii="Calibri Light" w:hAnsi="Calibri Light" w:eastAsia="黑体"/>
      <w:b/>
      <w:bCs/>
      <w:szCs w:val="28"/>
    </w:rPr>
  </w:style>
  <w:style w:type="character" w:default="1" w:styleId="34">
    <w:name w:val="Default Paragraph Font"/>
    <w:qFormat/>
    <w:uiPriority w:val="0"/>
    <w:rPr>
      <w:rFonts w:ascii="Calibri" w:hAnsi="Calibri" w:eastAsia="宋体" w:cs="Times New Roman"/>
    </w:rPr>
  </w:style>
  <w:style w:type="table" w:default="1" w:styleId="32">
    <w:name w:val="Normal Table"/>
    <w:qFormat/>
    <w:uiPriority w:val="0"/>
    <w:rPr>
      <w:rFonts w:ascii="Calibri" w:hAnsi="Calibri"/>
    </w:rPr>
    <w:tblPr>
      <w:tblCellMar>
        <w:top w:w="0" w:type="dxa"/>
        <w:left w:w="108" w:type="dxa"/>
        <w:bottom w:w="0" w:type="dxa"/>
        <w:right w:w="108" w:type="dxa"/>
      </w:tblCellMar>
    </w:tblPr>
  </w:style>
  <w:style w:type="paragraph" w:styleId="2">
    <w:name w:val="Body Text"/>
    <w:basedOn w:val="1"/>
    <w:next w:val="3"/>
    <w:link w:val="46"/>
    <w:qFormat/>
    <w:uiPriority w:val="0"/>
    <w:pPr>
      <w:spacing w:after="120"/>
    </w:pPr>
    <w:rPr>
      <w:rFonts w:ascii="Calibri" w:hAnsi="Calibri"/>
    </w:rPr>
  </w:style>
  <w:style w:type="paragraph" w:customStyle="1" w:styleId="3">
    <w:name w:val="Default"/>
    <w:link w:val="96"/>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paragraph" w:styleId="8">
    <w:name w:val="Normal Indent"/>
    <w:basedOn w:val="1"/>
    <w:next w:val="1"/>
    <w:link w:val="44"/>
    <w:qFormat/>
    <w:uiPriority w:val="0"/>
    <w:pPr>
      <w:ind w:firstLine="420" w:firstLineChars="200"/>
    </w:pPr>
    <w:rPr>
      <w:rFonts w:ascii="Calibri" w:hAnsi="Calibri"/>
    </w:rPr>
  </w:style>
  <w:style w:type="paragraph" w:styleId="9">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10">
    <w:name w:val="Document Map"/>
    <w:basedOn w:val="1"/>
    <w:qFormat/>
    <w:uiPriority w:val="0"/>
    <w:pPr>
      <w:shd w:val="clear" w:color="auto" w:fill="000080"/>
    </w:pPr>
    <w:rPr>
      <w:rFonts w:ascii="Calibri" w:hAnsi="Calibri"/>
    </w:rPr>
  </w:style>
  <w:style w:type="paragraph" w:styleId="11">
    <w:name w:val="annotation text"/>
    <w:basedOn w:val="1"/>
    <w:link w:val="45"/>
    <w:qFormat/>
    <w:uiPriority w:val="0"/>
    <w:pPr>
      <w:jc w:val="left"/>
    </w:pPr>
    <w:rPr>
      <w:rFonts w:ascii="Calibri" w:hAnsi="Calibri"/>
      <w:sz w:val="28"/>
      <w:szCs w:val="20"/>
    </w:rPr>
  </w:style>
  <w:style w:type="paragraph" w:styleId="12">
    <w:name w:val="Body Text Indent"/>
    <w:basedOn w:val="1"/>
    <w:link w:val="47"/>
    <w:qFormat/>
    <w:uiPriority w:val="0"/>
    <w:pPr>
      <w:ind w:firstLine="570"/>
    </w:pPr>
    <w:rPr>
      <w:rFonts w:ascii="宋体" w:hAnsi="宋体"/>
      <w:sz w:val="28"/>
    </w:rPr>
  </w:style>
  <w:style w:type="paragraph" w:styleId="13">
    <w:name w:val="Plain Text"/>
    <w:basedOn w:val="1"/>
    <w:next w:val="14"/>
    <w:link w:val="48"/>
    <w:qFormat/>
    <w:uiPriority w:val="0"/>
    <w:rPr>
      <w:rFonts w:ascii="宋体" w:hAnsi="Courier New"/>
      <w:szCs w:val="20"/>
    </w:rPr>
  </w:style>
  <w:style w:type="paragraph" w:styleId="14">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15">
    <w:name w:val="Date"/>
    <w:basedOn w:val="1"/>
    <w:next w:val="1"/>
    <w:qFormat/>
    <w:uiPriority w:val="0"/>
    <w:rPr>
      <w:rFonts w:ascii="Calibri" w:hAnsi="Calibri"/>
      <w:szCs w:val="20"/>
    </w:rPr>
  </w:style>
  <w:style w:type="paragraph" w:styleId="16">
    <w:name w:val="Body Text Indent 2"/>
    <w:basedOn w:val="1"/>
    <w:qFormat/>
    <w:uiPriority w:val="0"/>
    <w:pPr>
      <w:spacing w:after="120" w:line="480" w:lineRule="auto"/>
      <w:ind w:left="420" w:leftChars="200"/>
    </w:pPr>
    <w:rPr>
      <w:rFonts w:ascii="Calibri" w:hAnsi="Calibri"/>
    </w:rPr>
  </w:style>
  <w:style w:type="paragraph" w:styleId="17">
    <w:name w:val="Balloon Text"/>
    <w:basedOn w:val="1"/>
    <w:qFormat/>
    <w:uiPriority w:val="0"/>
    <w:rPr>
      <w:rFonts w:ascii="Calibri" w:hAnsi="Calibri"/>
      <w:sz w:val="18"/>
      <w:szCs w:val="18"/>
    </w:rPr>
  </w:style>
  <w:style w:type="paragraph" w:styleId="18">
    <w:name w:val="footer"/>
    <w:basedOn w:val="1"/>
    <w:link w:val="49"/>
    <w:qFormat/>
    <w:uiPriority w:val="0"/>
    <w:pPr>
      <w:tabs>
        <w:tab w:val="center" w:pos="4153"/>
        <w:tab w:val="right" w:pos="8306"/>
      </w:tabs>
      <w:snapToGrid w:val="0"/>
      <w:jc w:val="left"/>
    </w:pPr>
    <w:rPr>
      <w:rFonts w:ascii="Calibri" w:hAnsi="Calibri"/>
      <w:sz w:val="18"/>
      <w:szCs w:val="18"/>
    </w:rPr>
  </w:style>
  <w:style w:type="paragraph" w:styleId="19">
    <w:name w:val="header"/>
    <w:basedOn w:val="1"/>
    <w:link w:val="5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0">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21">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22">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23">
    <w:name w:val="Body Text Indent 3"/>
    <w:basedOn w:val="1"/>
    <w:qFormat/>
    <w:uiPriority w:val="0"/>
    <w:pPr>
      <w:spacing w:after="120"/>
      <w:ind w:left="420" w:leftChars="200"/>
    </w:pPr>
    <w:rPr>
      <w:rFonts w:ascii="Calibri" w:hAnsi="Calibri"/>
      <w:sz w:val="16"/>
      <w:szCs w:val="16"/>
    </w:rPr>
  </w:style>
  <w:style w:type="paragraph" w:styleId="24">
    <w:name w:val="toc 2"/>
    <w:basedOn w:val="1"/>
    <w:next w:val="1"/>
    <w:qFormat/>
    <w:uiPriority w:val="0"/>
    <w:pPr>
      <w:ind w:left="420" w:leftChars="200"/>
    </w:pPr>
    <w:rPr>
      <w:rFonts w:ascii="Calibri" w:hAnsi="Calibri"/>
    </w:rPr>
  </w:style>
  <w:style w:type="paragraph" w:styleId="25">
    <w:name w:val="List 4"/>
    <w:basedOn w:val="1"/>
    <w:qFormat/>
    <w:uiPriority w:val="0"/>
    <w:pPr>
      <w:ind w:left="100" w:leftChars="600" w:hanging="200" w:hangingChars="200"/>
    </w:pPr>
    <w:rPr>
      <w:rFonts w:ascii="Calibri" w:hAnsi="Calibri"/>
    </w:rPr>
  </w:style>
  <w:style w:type="paragraph" w:styleId="26">
    <w:name w:val="HTML Preformatted"/>
    <w:basedOn w:val="1"/>
    <w:qFormat/>
    <w:uiPriority w:val="0"/>
    <w:pPr>
      <w:widowControl/>
      <w:spacing w:line="360" w:lineRule="auto"/>
    </w:pPr>
    <w:rPr>
      <w:rFonts w:ascii="Courier New" w:hAnsi="Courier New"/>
      <w:sz w:val="20"/>
      <w:szCs w:val="20"/>
    </w:rPr>
  </w:style>
  <w:style w:type="paragraph" w:styleId="27">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0"/>
    <w:pPr>
      <w:spacing w:before="240" w:after="60"/>
      <w:jc w:val="center"/>
      <w:outlineLvl w:val="0"/>
    </w:pPr>
    <w:rPr>
      <w:rFonts w:ascii="Cambria" w:hAnsi="Cambria"/>
      <w:b/>
      <w:bCs/>
      <w:sz w:val="32"/>
      <w:szCs w:val="32"/>
    </w:rPr>
  </w:style>
  <w:style w:type="paragraph" w:styleId="29">
    <w:name w:val="annotation subject"/>
    <w:basedOn w:val="11"/>
    <w:next w:val="11"/>
    <w:qFormat/>
    <w:uiPriority w:val="0"/>
    <w:rPr>
      <w:b/>
      <w:bCs/>
      <w:sz w:val="21"/>
      <w:szCs w:val="24"/>
    </w:rPr>
  </w:style>
  <w:style w:type="paragraph" w:styleId="30">
    <w:name w:val="Body Text First Indent"/>
    <w:basedOn w:val="2"/>
    <w:next w:val="1"/>
    <w:qFormat/>
    <w:uiPriority w:val="0"/>
    <w:pPr>
      <w:ind w:firstLine="420"/>
    </w:pPr>
    <w:rPr>
      <w:rFonts w:ascii="Times New Roman" w:hAnsi="Times New Roman"/>
    </w:rPr>
  </w:style>
  <w:style w:type="paragraph" w:styleId="31">
    <w:name w:val="Body Text First Indent 2"/>
    <w:basedOn w:val="12"/>
    <w:next w:val="1"/>
    <w:qFormat/>
    <w:uiPriority w:val="0"/>
    <w:pPr>
      <w:tabs>
        <w:tab w:val="left" w:pos="0"/>
      </w:tabs>
      <w:spacing w:after="120" w:line="520" w:lineRule="exact"/>
      <w:ind w:firstLine="210"/>
      <w:textAlignment w:val="baseline"/>
    </w:pPr>
    <w:rPr>
      <w:rFonts w:ascii="黑体" w:hAnsi="Arial" w:eastAsia="黑体" w:cs="Arial"/>
      <w:sz w:val="24"/>
      <w:szCs w:val="30"/>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rFonts w:ascii="Calibri" w:hAnsi="Calibri" w:eastAsia="宋体" w:cs="Times New Roman"/>
      <w:b/>
      <w:bCs/>
    </w:rPr>
  </w:style>
  <w:style w:type="character" w:styleId="36">
    <w:name w:val="page number"/>
    <w:qFormat/>
    <w:uiPriority w:val="0"/>
    <w:rPr>
      <w:rFonts w:ascii="Calibri" w:hAnsi="Calibri" w:eastAsia="宋体" w:cs="Times New Roman"/>
    </w:rPr>
  </w:style>
  <w:style w:type="character" w:styleId="37">
    <w:name w:val="FollowedHyperlink"/>
    <w:qFormat/>
    <w:uiPriority w:val="99"/>
    <w:rPr>
      <w:rFonts w:ascii="Calibri" w:hAnsi="Calibri" w:eastAsia="宋体" w:cs="Times New Roman"/>
      <w:color w:val="800080"/>
      <w:u w:val="single"/>
    </w:rPr>
  </w:style>
  <w:style w:type="character" w:styleId="38">
    <w:name w:val="Hyperlink"/>
    <w:qFormat/>
    <w:uiPriority w:val="99"/>
    <w:rPr>
      <w:rFonts w:ascii="Calibri" w:hAnsi="Calibri" w:eastAsia="宋体" w:cs="Times New Roman"/>
      <w:color w:val="262626"/>
      <w:u w:val="none"/>
    </w:rPr>
  </w:style>
  <w:style w:type="character" w:styleId="39">
    <w:name w:val="annotation reference"/>
    <w:qFormat/>
    <w:uiPriority w:val="0"/>
    <w:rPr>
      <w:rFonts w:ascii="Calibri" w:hAnsi="Calibri" w:eastAsia="宋体" w:cs="Times New Roman"/>
      <w:sz w:val="21"/>
      <w:szCs w:val="21"/>
    </w:rPr>
  </w:style>
  <w:style w:type="character" w:styleId="40">
    <w:name w:val="HTML Sample"/>
    <w:qFormat/>
    <w:uiPriority w:val="99"/>
    <w:rPr>
      <w:rFonts w:ascii="Courier New" w:hAnsi="Courier New" w:eastAsia="宋体" w:cs="Times New Roman"/>
    </w:rPr>
  </w:style>
  <w:style w:type="character" w:customStyle="1" w:styleId="41">
    <w:name w:val="标题 1 字符"/>
    <w:link w:val="4"/>
    <w:qFormat/>
    <w:uiPriority w:val="0"/>
    <w:rPr>
      <w:rFonts w:ascii="宋体" w:hAnsi="宋体" w:eastAsia="宋体" w:cs="Times New Roman"/>
      <w:b/>
      <w:bCs/>
      <w:color w:val="000000"/>
      <w:kern w:val="44"/>
      <w:sz w:val="30"/>
      <w:szCs w:val="30"/>
    </w:rPr>
  </w:style>
  <w:style w:type="character" w:customStyle="1" w:styleId="42">
    <w:name w:val="标题 2 字符"/>
    <w:link w:val="5"/>
    <w:qFormat/>
    <w:uiPriority w:val="0"/>
    <w:rPr>
      <w:rFonts w:ascii="Arial Black" w:hAnsi="Arial Black" w:eastAsia="黑体" w:cs="Times New Roman"/>
      <w:b/>
      <w:bCs/>
      <w:kern w:val="2"/>
      <w:sz w:val="32"/>
      <w:szCs w:val="32"/>
      <w:lang w:val="en-US" w:eastAsia="zh-CN" w:bidi="ar-SA"/>
    </w:rPr>
  </w:style>
  <w:style w:type="character" w:customStyle="1" w:styleId="43">
    <w:name w:val="标题 3 字符"/>
    <w:link w:val="6"/>
    <w:qFormat/>
    <w:locked/>
    <w:uiPriority w:val="0"/>
    <w:rPr>
      <w:rFonts w:ascii="宋体" w:hAnsi="宋体"/>
      <w:kern w:val="2"/>
      <w:sz w:val="28"/>
      <w:szCs w:val="32"/>
    </w:rPr>
  </w:style>
  <w:style w:type="character" w:customStyle="1" w:styleId="44">
    <w:name w:val="正文缩进 字符"/>
    <w:link w:val="8"/>
    <w:qFormat/>
    <w:uiPriority w:val="0"/>
    <w:rPr>
      <w:rFonts w:ascii="Calibri" w:hAnsi="Calibri"/>
      <w:kern w:val="2"/>
      <w:sz w:val="21"/>
      <w:szCs w:val="24"/>
    </w:rPr>
  </w:style>
  <w:style w:type="character" w:customStyle="1" w:styleId="45">
    <w:name w:val="批注文字 字符"/>
    <w:link w:val="11"/>
    <w:qFormat/>
    <w:uiPriority w:val="0"/>
    <w:rPr>
      <w:rFonts w:ascii="Calibri" w:hAnsi="Calibri" w:eastAsia="宋体" w:cs="Times New Roman"/>
      <w:kern w:val="2"/>
      <w:sz w:val="28"/>
    </w:rPr>
  </w:style>
  <w:style w:type="character" w:customStyle="1" w:styleId="46">
    <w:name w:val="正文文本 字符"/>
    <w:link w:val="2"/>
    <w:qFormat/>
    <w:uiPriority w:val="0"/>
    <w:rPr>
      <w:rFonts w:ascii="Calibri" w:hAnsi="Calibri" w:eastAsia="宋体" w:cs="Times New Roman"/>
      <w:kern w:val="2"/>
      <w:sz w:val="21"/>
      <w:szCs w:val="24"/>
      <w:lang w:val="en-US" w:eastAsia="zh-CN" w:bidi="ar-SA"/>
    </w:rPr>
  </w:style>
  <w:style w:type="character" w:customStyle="1" w:styleId="47">
    <w:name w:val="正文文本缩进 字符"/>
    <w:link w:val="12"/>
    <w:qFormat/>
    <w:locked/>
    <w:uiPriority w:val="0"/>
    <w:rPr>
      <w:rFonts w:ascii="宋体" w:hAnsi="宋体"/>
      <w:kern w:val="2"/>
      <w:sz w:val="28"/>
      <w:szCs w:val="24"/>
    </w:rPr>
  </w:style>
  <w:style w:type="character" w:customStyle="1" w:styleId="48">
    <w:name w:val="纯文本 字符"/>
    <w:link w:val="13"/>
    <w:qFormat/>
    <w:uiPriority w:val="0"/>
    <w:rPr>
      <w:rFonts w:ascii="宋体" w:hAnsi="Courier New" w:eastAsia="宋体" w:cs="Times New Roman"/>
      <w:kern w:val="2"/>
      <w:sz w:val="21"/>
    </w:rPr>
  </w:style>
  <w:style w:type="character" w:customStyle="1" w:styleId="49">
    <w:name w:val="页脚 字符"/>
    <w:link w:val="18"/>
    <w:qFormat/>
    <w:uiPriority w:val="0"/>
    <w:rPr>
      <w:rFonts w:ascii="Calibri" w:hAnsi="Calibri" w:eastAsia="宋体" w:cs="Times New Roman"/>
      <w:kern w:val="2"/>
      <w:sz w:val="18"/>
      <w:szCs w:val="18"/>
    </w:rPr>
  </w:style>
  <w:style w:type="character" w:customStyle="1" w:styleId="50">
    <w:name w:val="页眉 字符"/>
    <w:link w:val="19"/>
    <w:qFormat/>
    <w:uiPriority w:val="0"/>
    <w:rPr>
      <w:rFonts w:ascii="Calibri" w:hAnsi="Calibri" w:eastAsia="宋体" w:cs="Times New Roman"/>
      <w:kern w:val="2"/>
      <w:sz w:val="18"/>
      <w:szCs w:val="18"/>
    </w:rPr>
  </w:style>
  <w:style w:type="character" w:customStyle="1" w:styleId="51">
    <w:name w:val="标题 字符"/>
    <w:link w:val="28"/>
    <w:qFormat/>
    <w:uiPriority w:val="0"/>
    <w:rPr>
      <w:rFonts w:ascii="Cambria" w:hAnsi="Cambria" w:eastAsia="宋体" w:cs="Times New Roman"/>
      <w:b/>
      <w:bCs/>
      <w:kern w:val="2"/>
      <w:sz w:val="32"/>
      <w:szCs w:val="32"/>
    </w:rPr>
  </w:style>
  <w:style w:type="character" w:customStyle="1" w:styleId="52">
    <w:name w:val="bookmark-item uuid-1536114681261 code-00009"/>
    <w:qFormat/>
    <w:uiPriority w:val="0"/>
    <w:rPr>
      <w:rFonts w:ascii="Calibri" w:hAnsi="Calibri" w:eastAsia="宋体" w:cs="Times New Roman"/>
    </w:rPr>
  </w:style>
  <w:style w:type="character" w:customStyle="1" w:styleId="53">
    <w:name w:val="apple-converted-space"/>
    <w:qFormat/>
    <w:uiPriority w:val="0"/>
    <w:rPr>
      <w:rFonts w:ascii="Calibri" w:hAnsi="Calibri" w:eastAsia="宋体" w:cs="Times New Roman"/>
    </w:rPr>
  </w:style>
  <w:style w:type="character" w:customStyle="1" w:styleId="54">
    <w:name w:val="bookmark-item uuid-1536114688571 code-00010"/>
    <w:qFormat/>
    <w:uiPriority w:val="0"/>
    <w:rPr>
      <w:rFonts w:ascii="Calibri" w:hAnsi="Calibri" w:eastAsia="宋体" w:cs="Times New Roman"/>
    </w:rPr>
  </w:style>
  <w:style w:type="character" w:customStyle="1" w:styleId="55">
    <w:name w:val="font91"/>
    <w:qFormat/>
    <w:uiPriority w:val="0"/>
    <w:rPr>
      <w:rFonts w:ascii="Arial" w:hAnsi="Arial" w:eastAsia="宋体" w:cs="Arial"/>
      <w:color w:val="000000"/>
      <w:sz w:val="21"/>
      <w:szCs w:val="21"/>
      <w:u w:val="none"/>
    </w:rPr>
  </w:style>
  <w:style w:type="character" w:customStyle="1" w:styleId="56">
    <w:name w:val="采购一级 Char"/>
    <w:link w:val="57"/>
    <w:qFormat/>
    <w:uiPriority w:val="0"/>
    <w:rPr>
      <w:rFonts w:ascii="方正小标宋简体" w:hAnsi="仿宋" w:eastAsia="方正小标宋简体"/>
      <w:b/>
      <w:kern w:val="44"/>
      <w:sz w:val="36"/>
      <w:szCs w:val="36"/>
      <w:lang w:val="en-US" w:eastAsia="zh-CN" w:bidi="ar-SA"/>
    </w:rPr>
  </w:style>
  <w:style w:type="paragraph" w:customStyle="1" w:styleId="57">
    <w:name w:val="采购一级"/>
    <w:link w:val="56"/>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58">
    <w:name w:val="UserStyle_27"/>
    <w:link w:val="59"/>
    <w:qFormat/>
    <w:uiPriority w:val="0"/>
    <w:rPr>
      <w:rFonts w:ascii="Calibri" w:hAnsi="Calibri" w:eastAsia="宋体" w:cs="Times New Roman"/>
      <w:kern w:val="2"/>
      <w:sz w:val="28"/>
    </w:rPr>
  </w:style>
  <w:style w:type="paragraph" w:customStyle="1" w:styleId="59">
    <w:name w:val="AnnotationText"/>
    <w:basedOn w:val="1"/>
    <w:link w:val="58"/>
    <w:qFormat/>
    <w:uiPriority w:val="0"/>
    <w:pPr>
      <w:widowControl/>
      <w:jc w:val="left"/>
      <w:textAlignment w:val="baseline"/>
    </w:pPr>
    <w:rPr>
      <w:rFonts w:ascii="Calibri" w:hAnsi="Calibri"/>
      <w:sz w:val="28"/>
      <w:szCs w:val="20"/>
    </w:rPr>
  </w:style>
  <w:style w:type="character" w:customStyle="1" w:styleId="60">
    <w:name w:val="font131"/>
    <w:qFormat/>
    <w:uiPriority w:val="0"/>
    <w:rPr>
      <w:rFonts w:hint="eastAsia" w:ascii="宋体" w:hAnsi="宋体" w:eastAsia="宋体" w:cs="宋体"/>
      <w:color w:val="FF0000"/>
      <w:sz w:val="21"/>
      <w:szCs w:val="21"/>
      <w:u w:val="none"/>
    </w:rPr>
  </w:style>
  <w:style w:type="character" w:customStyle="1" w:styleId="61">
    <w:name w:val="bookmark-item uuid-1536114381259 code-23015"/>
    <w:qFormat/>
    <w:uiPriority w:val="0"/>
    <w:rPr>
      <w:rFonts w:ascii="Calibri" w:hAnsi="Calibri" w:eastAsia="宋体" w:cs="Times New Roman"/>
    </w:rPr>
  </w:style>
  <w:style w:type="character" w:customStyle="1" w:styleId="62">
    <w:name w:val="bookmark-item"/>
    <w:basedOn w:val="34"/>
    <w:qFormat/>
    <w:uiPriority w:val="0"/>
    <w:rPr>
      <w:rFonts w:ascii="Calibri" w:hAnsi="Calibri" w:eastAsia="宋体" w:cs="Times New Roman"/>
    </w:rPr>
  </w:style>
  <w:style w:type="character" w:customStyle="1" w:styleId="63">
    <w:name w:val="bookmark-item uuid-1536114367028 code-23012"/>
    <w:qFormat/>
    <w:uiPriority w:val="0"/>
    <w:rPr>
      <w:rFonts w:ascii="Calibri" w:hAnsi="Calibri" w:eastAsia="宋体" w:cs="Times New Roman"/>
    </w:rPr>
  </w:style>
  <w:style w:type="character" w:customStyle="1" w:styleId="64">
    <w:name w:val="bookmark-item uuid-1536114744629 code-00018"/>
    <w:basedOn w:val="34"/>
    <w:qFormat/>
    <w:uiPriority w:val="0"/>
    <w:rPr>
      <w:rFonts w:ascii="Calibri" w:hAnsi="Calibri" w:eastAsia="宋体" w:cs="Times New Roman"/>
    </w:rPr>
  </w:style>
  <w:style w:type="character" w:customStyle="1" w:styleId="65">
    <w:name w:val="font61"/>
    <w:qFormat/>
    <w:uiPriority w:val="0"/>
    <w:rPr>
      <w:rFonts w:hint="default" w:ascii="Times New Roman" w:hAnsi="Times New Roman" w:eastAsia="宋体" w:cs="Times New Roman"/>
      <w:color w:val="000000"/>
      <w:sz w:val="21"/>
      <w:szCs w:val="21"/>
      <w:u w:val="none"/>
    </w:rPr>
  </w:style>
  <w:style w:type="character" w:customStyle="1" w:styleId="66">
    <w:name w:val="标题 2 Char Char Char Char Char Char Char Char Char Char Char Char Char Char Char Char Char Char Char Char Char"/>
    <w:qFormat/>
    <w:uiPriority w:val="0"/>
    <w:rPr>
      <w:rFonts w:ascii="Calibri" w:hAnsi="Calibri" w:eastAsia="宋体" w:cs="Times New Roman"/>
    </w:rPr>
  </w:style>
  <w:style w:type="character" w:customStyle="1" w:styleId="67">
    <w:name w:val="font31"/>
    <w:qFormat/>
    <w:uiPriority w:val="0"/>
    <w:rPr>
      <w:rFonts w:hint="default" w:ascii="Times New Roman" w:hAnsi="Times New Roman" w:eastAsia="宋体" w:cs="Times New Roman"/>
      <w:b/>
      <w:color w:val="000000"/>
      <w:sz w:val="21"/>
      <w:szCs w:val="21"/>
      <w:u w:val="none"/>
    </w:rPr>
  </w:style>
  <w:style w:type="character" w:customStyle="1" w:styleId="68">
    <w:name w:val="fontstyle11"/>
    <w:qFormat/>
    <w:uiPriority w:val="0"/>
    <w:rPr>
      <w:rFonts w:hint="eastAsia" w:ascii="宋体" w:hAnsi="宋体" w:eastAsia="宋体" w:cs="Times New Roman"/>
      <w:b/>
      <w:bCs/>
      <w:color w:val="000000"/>
      <w:sz w:val="20"/>
      <w:szCs w:val="20"/>
    </w:rPr>
  </w:style>
  <w:style w:type="character" w:customStyle="1" w:styleId="69">
    <w:name w:val="bookmark-item uuid-1536114797846 code-23002"/>
    <w:qFormat/>
    <w:uiPriority w:val="0"/>
    <w:rPr>
      <w:rFonts w:ascii="Calibri" w:hAnsi="Calibri" w:eastAsia="宋体" w:cs="Times New Roman"/>
    </w:rPr>
  </w:style>
  <w:style w:type="character" w:customStyle="1" w:styleId="70">
    <w:name w:val="bookmark-item uuid-1541657111286 code-23008"/>
    <w:qFormat/>
    <w:uiPriority w:val="0"/>
    <w:rPr>
      <w:rFonts w:ascii="Calibri" w:hAnsi="Calibri" w:eastAsia="宋体" w:cs="Times New Roman"/>
    </w:rPr>
  </w:style>
  <w:style w:type="character" w:customStyle="1" w:styleId="71">
    <w:name w:val="bookmark-item uuid-1536114230642 code-00004"/>
    <w:qFormat/>
    <w:uiPriority w:val="0"/>
    <w:rPr>
      <w:rFonts w:ascii="Calibri" w:hAnsi="Calibri" w:eastAsia="宋体" w:cs="Times New Roman"/>
    </w:rPr>
  </w:style>
  <w:style w:type="character" w:customStyle="1" w:styleId="72">
    <w:name w:val="bookmark-item uuid-1536114730799 code-00016"/>
    <w:qFormat/>
    <w:uiPriority w:val="0"/>
    <w:rPr>
      <w:rFonts w:ascii="Calibri" w:hAnsi="Calibri" w:eastAsia="宋体" w:cs="Times New Roman"/>
    </w:rPr>
  </w:style>
  <w:style w:type="character" w:customStyle="1" w:styleId="73">
    <w:name w:val="Unresolved Mention"/>
    <w:qFormat/>
    <w:uiPriority w:val="0"/>
    <w:rPr>
      <w:rFonts w:ascii="Calibri" w:hAnsi="Calibri" w:eastAsia="宋体" w:cs="Times New Roman"/>
      <w:color w:val="605E5C"/>
      <w:shd w:val="clear" w:color="auto" w:fill="E1DFDD"/>
    </w:rPr>
  </w:style>
  <w:style w:type="character" w:customStyle="1" w:styleId="74">
    <w:name w:val="bookmark-item uuid-1536114761735 code-00020"/>
    <w:qFormat/>
    <w:uiPriority w:val="0"/>
    <w:rPr>
      <w:rFonts w:ascii="Calibri" w:hAnsi="Calibri" w:eastAsia="宋体" w:cs="Times New Roman"/>
    </w:rPr>
  </w:style>
  <w:style w:type="character" w:customStyle="1" w:styleId="75">
    <w:name w:val="bookmark-item uuid-1536114326115 code-23007"/>
    <w:qFormat/>
    <w:uiPriority w:val="0"/>
    <w:rPr>
      <w:rFonts w:ascii="Calibri" w:hAnsi="Calibri" w:eastAsia="宋体" w:cs="Times New Roman"/>
    </w:rPr>
  </w:style>
  <w:style w:type="character" w:customStyle="1" w:styleId="76">
    <w:name w:val="fontstyle01"/>
    <w:qFormat/>
    <w:uiPriority w:val="0"/>
    <w:rPr>
      <w:rFonts w:hint="eastAsia" w:ascii="黑体" w:hAnsi="黑体" w:eastAsia="黑体" w:cs="Times New Roman"/>
      <w:color w:val="000000"/>
      <w:sz w:val="32"/>
      <w:szCs w:val="32"/>
    </w:rPr>
  </w:style>
  <w:style w:type="character" w:customStyle="1" w:styleId="77">
    <w:name w:val="UserStyle_18"/>
    <w:qFormat/>
    <w:uiPriority w:val="0"/>
    <w:rPr>
      <w:rFonts w:ascii="Calibri" w:hAnsi="Calibri" w:eastAsia="宋体" w:cs="Times New Roman"/>
    </w:rPr>
  </w:style>
  <w:style w:type="character" w:customStyle="1" w:styleId="78">
    <w:name w:val="NormalCharacter"/>
    <w:qFormat/>
    <w:uiPriority w:val="0"/>
    <w:rPr>
      <w:rFonts w:ascii="Calibri" w:hAnsi="Calibri" w:eastAsia="宋体" w:cs="Times New Roman"/>
    </w:rPr>
  </w:style>
  <w:style w:type="character" w:customStyle="1" w:styleId="79">
    <w:name w:val="bookmark-item uuid-1536114708792 code-00013"/>
    <w:qFormat/>
    <w:uiPriority w:val="0"/>
    <w:rPr>
      <w:rFonts w:ascii="Calibri" w:hAnsi="Calibri" w:eastAsia="宋体" w:cs="Times New Roman"/>
    </w:rPr>
  </w:style>
  <w:style w:type="character" w:customStyle="1" w:styleId="80">
    <w:name w:val="bookmark-item uuid-1536114351935 code-23009"/>
    <w:qFormat/>
    <w:uiPriority w:val="0"/>
    <w:rPr>
      <w:rFonts w:ascii="Calibri" w:hAnsi="Calibri" w:eastAsia="宋体" w:cs="Times New Roman"/>
    </w:rPr>
  </w:style>
  <w:style w:type="character" w:customStyle="1" w:styleId="81">
    <w:name w:val="UserStyle_0"/>
    <w:link w:val="82"/>
    <w:qFormat/>
    <w:uiPriority w:val="0"/>
    <w:rPr>
      <w:rFonts w:ascii="Cambria" w:hAnsi="Cambria" w:eastAsia="宋体" w:cs="Times New Roman"/>
      <w:kern w:val="2"/>
      <w:sz w:val="28"/>
      <w:szCs w:val="28"/>
    </w:rPr>
  </w:style>
  <w:style w:type="paragraph" w:customStyle="1" w:styleId="82">
    <w:name w:val="Heading4"/>
    <w:basedOn w:val="1"/>
    <w:next w:val="1"/>
    <w:link w:val="81"/>
    <w:qFormat/>
    <w:uiPriority w:val="0"/>
    <w:pPr>
      <w:keepNext/>
      <w:keepLines/>
      <w:widowControl/>
      <w:spacing w:before="280" w:after="290" w:line="376" w:lineRule="auto"/>
      <w:textAlignment w:val="baseline"/>
    </w:pPr>
    <w:rPr>
      <w:rFonts w:ascii="Cambria" w:hAnsi="Cambria"/>
      <w:sz w:val="28"/>
      <w:szCs w:val="28"/>
    </w:rPr>
  </w:style>
  <w:style w:type="character" w:customStyle="1" w:styleId="83">
    <w:name w:val="p2"/>
    <w:qFormat/>
    <w:uiPriority w:val="0"/>
    <w:rPr>
      <w:rFonts w:ascii="Calibri" w:hAnsi="Calibri" w:eastAsia="宋体" w:cs="Times New Roman"/>
    </w:rPr>
  </w:style>
  <w:style w:type="character" w:customStyle="1" w:styleId="84">
    <w:name w:val="bookmark-item uuid-1536114695490 code-00011"/>
    <w:qFormat/>
    <w:uiPriority w:val="0"/>
    <w:rPr>
      <w:rFonts w:ascii="Calibri" w:hAnsi="Calibri" w:eastAsia="宋体" w:cs="Times New Roman"/>
    </w:rPr>
  </w:style>
  <w:style w:type="character" w:customStyle="1" w:styleId="85">
    <w:name w:val="font121"/>
    <w:qFormat/>
    <w:uiPriority w:val="0"/>
    <w:rPr>
      <w:rFonts w:ascii="Arial" w:hAnsi="Arial" w:eastAsia="宋体" w:cs="Arial"/>
      <w:b/>
      <w:color w:val="000000"/>
      <w:sz w:val="21"/>
      <w:szCs w:val="21"/>
      <w:u w:val="none"/>
    </w:rPr>
  </w:style>
  <w:style w:type="character" w:customStyle="1" w:styleId="86">
    <w:name w:val="fontstyle21"/>
    <w:qFormat/>
    <w:uiPriority w:val="0"/>
    <w:rPr>
      <w:rFonts w:hint="eastAsia" w:ascii="宋体" w:hAnsi="宋体" w:eastAsia="宋体" w:cs="Times New Roman"/>
      <w:color w:val="000000"/>
      <w:sz w:val="22"/>
      <w:szCs w:val="22"/>
    </w:rPr>
  </w:style>
  <w:style w:type="character" w:customStyle="1" w:styleId="87">
    <w:name w:val="bookmark-item uuid-1536114315631 code-23006"/>
    <w:qFormat/>
    <w:uiPriority w:val="0"/>
    <w:rPr>
      <w:rFonts w:ascii="Calibri" w:hAnsi="Calibri" w:eastAsia="宋体" w:cs="Times New Roman"/>
    </w:rPr>
  </w:style>
  <w:style w:type="character" w:customStyle="1" w:styleId="88">
    <w:name w:val="纯文本 Char2"/>
    <w:qFormat/>
    <w:uiPriority w:val="0"/>
    <w:rPr>
      <w:rFonts w:ascii="宋体" w:hAnsi="Calibri" w:eastAsia="宋体" w:cs="Times New Roman"/>
      <w:kern w:val="2"/>
      <w:sz w:val="21"/>
    </w:rPr>
  </w:style>
  <w:style w:type="character" w:customStyle="1" w:styleId="89">
    <w:name w:val="font151"/>
    <w:qFormat/>
    <w:uiPriority w:val="0"/>
    <w:rPr>
      <w:rFonts w:hint="default" w:ascii="Times New Roman" w:hAnsi="Times New Roman" w:eastAsia="宋体" w:cs="Times New Roman"/>
      <w:color w:val="000000"/>
      <w:sz w:val="21"/>
      <w:szCs w:val="21"/>
      <w:u w:val="none"/>
    </w:rPr>
  </w:style>
  <w:style w:type="character" w:customStyle="1" w:styleId="90">
    <w:name w:val="font71"/>
    <w:qFormat/>
    <w:uiPriority w:val="0"/>
    <w:rPr>
      <w:rFonts w:hint="default" w:ascii="Times New Roman" w:hAnsi="Times New Roman" w:eastAsia="宋体" w:cs="Times New Roman"/>
      <w:color w:val="FF0000"/>
      <w:sz w:val="21"/>
      <w:szCs w:val="21"/>
      <w:u w:val="none"/>
    </w:rPr>
  </w:style>
  <w:style w:type="character" w:customStyle="1" w:styleId="91">
    <w:name w:val="UserStyle_40"/>
    <w:link w:val="92"/>
    <w:qFormat/>
    <w:uiPriority w:val="0"/>
    <w:rPr>
      <w:rFonts w:ascii="Calibri" w:hAnsi="Calibri" w:eastAsia="宋体" w:cs="Times New Roman"/>
      <w:kern w:val="2"/>
      <w:sz w:val="16"/>
      <w:szCs w:val="16"/>
    </w:rPr>
  </w:style>
  <w:style w:type="paragraph" w:customStyle="1" w:styleId="92">
    <w:name w:val="BodyText3"/>
    <w:basedOn w:val="1"/>
    <w:link w:val="91"/>
    <w:qFormat/>
    <w:uiPriority w:val="0"/>
    <w:pPr>
      <w:widowControl/>
      <w:spacing w:after="120"/>
      <w:textAlignment w:val="baseline"/>
    </w:pPr>
    <w:rPr>
      <w:rFonts w:ascii="Calibri" w:hAnsi="Calibri"/>
      <w:sz w:val="16"/>
      <w:szCs w:val="16"/>
    </w:rPr>
  </w:style>
  <w:style w:type="character" w:customStyle="1" w:styleId="93">
    <w:name w:val="fontstyle31"/>
    <w:qFormat/>
    <w:uiPriority w:val="0"/>
    <w:rPr>
      <w:rFonts w:hint="eastAsia" w:ascii="宋体" w:hAnsi="宋体" w:eastAsia="宋体" w:cs="Times New Roman"/>
      <w:color w:val="000000"/>
      <w:sz w:val="20"/>
      <w:szCs w:val="20"/>
    </w:rPr>
  </w:style>
  <w:style w:type="character" w:customStyle="1" w:styleId="94">
    <w:name w:val="bookmark-item uuid-1536114722887 code-00015"/>
    <w:qFormat/>
    <w:uiPriority w:val="0"/>
    <w:rPr>
      <w:rFonts w:ascii="Calibri" w:hAnsi="Calibri" w:eastAsia="宋体" w:cs="Times New Roman"/>
    </w:rPr>
  </w:style>
  <w:style w:type="character" w:customStyle="1" w:styleId="95">
    <w:name w:val="font81"/>
    <w:qFormat/>
    <w:uiPriority w:val="0"/>
    <w:rPr>
      <w:rFonts w:ascii="Arial" w:hAnsi="Arial" w:eastAsia="宋体" w:cs="Arial"/>
      <w:color w:val="FF0000"/>
      <w:sz w:val="21"/>
      <w:szCs w:val="21"/>
      <w:u w:val="none"/>
    </w:rPr>
  </w:style>
  <w:style w:type="character" w:customStyle="1" w:styleId="96">
    <w:name w:val="Default Char Char"/>
    <w:link w:val="3"/>
    <w:qFormat/>
    <w:uiPriority w:val="0"/>
    <w:rPr>
      <w:rFonts w:ascii="宋体"/>
      <w:color w:val="000000"/>
      <w:kern w:val="2"/>
      <w:sz w:val="24"/>
      <w:lang w:val="en-US" w:eastAsia="zh-CN" w:bidi="ar-SA"/>
    </w:rPr>
  </w:style>
  <w:style w:type="character" w:customStyle="1" w:styleId="97">
    <w:name w:val="font141"/>
    <w:qFormat/>
    <w:uiPriority w:val="0"/>
    <w:rPr>
      <w:rFonts w:hint="eastAsia" w:ascii="宋体" w:hAnsi="宋体" w:eastAsia="宋体" w:cs="宋体"/>
      <w:b/>
      <w:color w:val="000000"/>
      <w:sz w:val="21"/>
      <w:szCs w:val="21"/>
      <w:u w:val="none"/>
    </w:rPr>
  </w:style>
  <w:style w:type="character" w:customStyle="1" w:styleId="98">
    <w:name w:val="bookmark-item uuid-1536114769643 code-00021"/>
    <w:qFormat/>
    <w:uiPriority w:val="0"/>
    <w:rPr>
      <w:rFonts w:ascii="Calibri" w:hAnsi="Calibri" w:eastAsia="宋体" w:cs="Times New Roman"/>
    </w:rPr>
  </w:style>
  <w:style w:type="character" w:customStyle="1" w:styleId="99">
    <w:name w:val="纯文本 Char"/>
    <w:qFormat/>
    <w:uiPriority w:val="0"/>
    <w:rPr>
      <w:rFonts w:ascii="宋体" w:hAnsi="Courier New" w:eastAsia="宋体" w:cs="Times New Roman"/>
      <w:kern w:val="2"/>
      <w:sz w:val="21"/>
      <w:lang w:val="en-US" w:eastAsia="zh-CN"/>
    </w:rPr>
  </w:style>
  <w:style w:type="character" w:customStyle="1" w:styleId="100">
    <w:name w:val="bookmark-item uuid-1536114237662 code-00006"/>
    <w:qFormat/>
    <w:uiPriority w:val="0"/>
    <w:rPr>
      <w:rFonts w:ascii="Calibri" w:hAnsi="Calibri" w:eastAsia="宋体" w:cs="Times New Roman"/>
    </w:rPr>
  </w:style>
  <w:style w:type="character" w:customStyle="1" w:styleId="101">
    <w:name w:val="hs14"/>
    <w:qFormat/>
    <w:uiPriority w:val="0"/>
    <w:rPr>
      <w:rFonts w:ascii="Calibri" w:hAnsi="Calibri" w:eastAsia="宋体" w:cs="Times New Roman"/>
    </w:rPr>
  </w:style>
  <w:style w:type="character" w:customStyle="1" w:styleId="102">
    <w:name w:val="bookmark-item uuid-1536114308002 code-23005"/>
    <w:qFormat/>
    <w:uiPriority w:val="0"/>
    <w:rPr>
      <w:rFonts w:ascii="Calibri" w:hAnsi="Calibri" w:eastAsia="宋体" w:cs="Times New Roman"/>
    </w:rPr>
  </w:style>
  <w:style w:type="character" w:customStyle="1" w:styleId="103">
    <w:name w:val="bookmark-item uuid-1536114752958 code-00019"/>
    <w:qFormat/>
    <w:uiPriority w:val="0"/>
    <w:rPr>
      <w:rFonts w:ascii="Calibri" w:hAnsi="Calibri" w:eastAsia="宋体" w:cs="Times New Roman"/>
    </w:rPr>
  </w:style>
  <w:style w:type="character" w:customStyle="1" w:styleId="104">
    <w:name w:val="样式3 Char"/>
    <w:link w:val="105"/>
    <w:qFormat/>
    <w:uiPriority w:val="0"/>
    <w:rPr>
      <w:rFonts w:ascii="宋体" w:hAnsi="Courier New" w:eastAsia="宋体" w:cs="Times New Roman"/>
      <w:kern w:val="2"/>
      <w:sz w:val="28"/>
      <w:szCs w:val="24"/>
    </w:rPr>
  </w:style>
  <w:style w:type="paragraph" w:customStyle="1" w:styleId="105">
    <w:name w:val="样式3"/>
    <w:basedOn w:val="13"/>
    <w:link w:val="104"/>
    <w:qFormat/>
    <w:uiPriority w:val="0"/>
    <w:pPr>
      <w:spacing w:line="0" w:lineRule="atLeast"/>
      <w:outlineLvl w:val="0"/>
    </w:pPr>
    <w:rPr>
      <w:sz w:val="28"/>
      <w:szCs w:val="24"/>
    </w:rPr>
  </w:style>
  <w:style w:type="character" w:customStyle="1" w:styleId="106">
    <w:name w:val="bookmark-item uuid-1536114715836 code-00014"/>
    <w:basedOn w:val="34"/>
    <w:qFormat/>
    <w:uiPriority w:val="0"/>
    <w:rPr>
      <w:rFonts w:ascii="Calibri" w:hAnsi="Calibri" w:eastAsia="宋体" w:cs="Times New Roman"/>
    </w:rPr>
  </w:style>
  <w:style w:type="character" w:customStyle="1" w:styleId="107">
    <w:name w:val="font112"/>
    <w:qFormat/>
    <w:uiPriority w:val="0"/>
    <w:rPr>
      <w:rFonts w:hint="eastAsia" w:ascii="宋体" w:hAnsi="宋体" w:eastAsia="宋体" w:cs="宋体"/>
      <w:b/>
      <w:color w:val="000000"/>
      <w:sz w:val="24"/>
      <w:szCs w:val="24"/>
      <w:u w:val="none"/>
    </w:rPr>
  </w:style>
  <w:style w:type="character" w:customStyle="1" w:styleId="108">
    <w:name w:val="font21"/>
    <w:qFormat/>
    <w:uiPriority w:val="0"/>
    <w:rPr>
      <w:rFonts w:hint="eastAsia" w:ascii="宋体" w:hAnsi="宋体" w:eastAsia="宋体" w:cs="宋体"/>
      <w:color w:val="000000"/>
      <w:sz w:val="21"/>
      <w:szCs w:val="21"/>
      <w:u w:val="none"/>
    </w:rPr>
  </w:style>
  <w:style w:type="character" w:customStyle="1" w:styleId="109">
    <w:name w:val="bookmark-item uuid-1536114672385 code-23021"/>
    <w:qFormat/>
    <w:uiPriority w:val="0"/>
    <w:rPr>
      <w:rFonts w:ascii="Calibri" w:hAnsi="Calibri" w:eastAsia="宋体" w:cs="Times New Roman"/>
    </w:rPr>
  </w:style>
  <w:style w:type="character" w:customStyle="1" w:styleId="110">
    <w:name w:val="font11"/>
    <w:qFormat/>
    <w:uiPriority w:val="0"/>
    <w:rPr>
      <w:rFonts w:hint="eastAsia" w:ascii="宋体" w:hAnsi="宋体" w:eastAsia="宋体" w:cs="宋体"/>
      <w:color w:val="000000"/>
      <w:sz w:val="21"/>
      <w:szCs w:val="21"/>
      <w:u w:val="none"/>
    </w:rPr>
  </w:style>
  <w:style w:type="paragraph" w:customStyle="1" w:styleId="111">
    <w:name w:val="UserStyle_70"/>
    <w:basedOn w:val="1"/>
    <w:qFormat/>
    <w:uiPriority w:val="0"/>
    <w:pPr>
      <w:widowControl/>
      <w:ind w:firstLine="420" w:firstLineChars="200"/>
      <w:jc w:val="left"/>
      <w:textAlignment w:val="baseline"/>
    </w:pPr>
    <w:rPr>
      <w:rFonts w:ascii="宋体" w:hAnsi="宋体"/>
      <w:kern w:val="0"/>
      <w:sz w:val="24"/>
    </w:rPr>
  </w:style>
  <w:style w:type="paragraph" w:customStyle="1" w:styleId="112">
    <w:name w:val="detail-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List Paragraph1"/>
    <w:basedOn w:val="1"/>
    <w:qFormat/>
    <w:uiPriority w:val="0"/>
    <w:pPr>
      <w:jc w:val="left"/>
    </w:pPr>
    <w:rPr>
      <w:rFonts w:ascii="Calibri" w:hAnsi="Calibri"/>
      <w:kern w:val="0"/>
      <w:sz w:val="22"/>
      <w:szCs w:val="22"/>
      <w:lang w:eastAsia="en-US"/>
    </w:rPr>
  </w:style>
  <w:style w:type="paragraph" w:customStyle="1" w:styleId="11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sz w:val="24"/>
      <w:szCs w:val="20"/>
    </w:rPr>
  </w:style>
  <w:style w:type="paragraph" w:customStyle="1" w:styleId="115">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List Paragraph2"/>
    <w:basedOn w:val="1"/>
    <w:qFormat/>
    <w:uiPriority w:val="0"/>
    <w:pPr>
      <w:ind w:firstLine="420" w:firstLineChars="200"/>
    </w:pPr>
    <w:rPr>
      <w:rFonts w:ascii="Calibri" w:hAnsi="Calibri"/>
    </w:rPr>
  </w:style>
  <w:style w:type="paragraph" w:customStyle="1" w:styleId="117">
    <w:name w:val="Char Char Char"/>
    <w:basedOn w:val="1"/>
    <w:qFormat/>
    <w:uiPriority w:val="0"/>
    <w:pPr>
      <w:spacing w:line="360" w:lineRule="auto"/>
      <w:ind w:firstLine="560" w:firstLineChars="200"/>
    </w:pPr>
    <w:rPr>
      <w:rFonts w:ascii="Calibri" w:hAnsi="Calibri"/>
      <w:szCs w:val="20"/>
    </w:rPr>
  </w:style>
  <w:style w:type="paragraph" w:customStyle="1" w:styleId="118">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_正文"/>
    <w:basedOn w:val="1"/>
    <w:qFormat/>
    <w:uiPriority w:val="0"/>
    <w:pPr>
      <w:adjustRightInd w:val="0"/>
      <w:snapToGrid w:val="0"/>
      <w:spacing w:line="360" w:lineRule="auto"/>
      <w:ind w:firstLine="200" w:firstLineChars="200"/>
    </w:pPr>
    <w:rPr>
      <w:rFonts w:ascii="Calibri" w:hAnsi="Calibri"/>
      <w:color w:val="000000"/>
      <w:szCs w:val="20"/>
    </w:rPr>
  </w:style>
  <w:style w:type="paragraph" w:customStyle="1" w:styleId="122">
    <w:name w:val=" 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3">
    <w:name w:val="UserStyle_53"/>
    <w:basedOn w:val="1"/>
    <w:qFormat/>
    <w:uiPriority w:val="0"/>
    <w:pPr>
      <w:widowControl/>
      <w:ind w:firstLine="420" w:firstLineChars="200"/>
      <w:textAlignment w:val="baseline"/>
    </w:pPr>
    <w:rPr>
      <w:rFonts w:ascii="Calibri" w:hAnsi="Calibri"/>
      <w:szCs w:val="22"/>
    </w:rPr>
  </w:style>
  <w:style w:type="paragraph" w:styleId="124">
    <w:name w:val="List Paragraph"/>
    <w:basedOn w:val="1"/>
    <w:qFormat/>
    <w:uiPriority w:val="34"/>
    <w:pPr>
      <w:spacing w:line="360" w:lineRule="auto"/>
      <w:ind w:firstLine="420" w:firstLineChars="200"/>
    </w:pPr>
    <w:rPr>
      <w:rFonts w:ascii="Calibri" w:hAnsi="Calibri"/>
      <w:sz w:val="24"/>
      <w:szCs w:val="22"/>
    </w:rPr>
  </w:style>
  <w:style w:type="paragraph" w:customStyle="1" w:styleId="125">
    <w:name w:val=" Char1"/>
    <w:basedOn w:val="1"/>
    <w:qFormat/>
    <w:uiPriority w:val="0"/>
    <w:rPr>
      <w:rFonts w:ascii="Tahoma" w:hAnsi="Tahoma"/>
      <w:sz w:val="24"/>
      <w:szCs w:val="20"/>
    </w:rPr>
  </w:style>
  <w:style w:type="paragraph" w:customStyle="1" w:styleId="126">
    <w:name w:val="Table Paragraph"/>
    <w:basedOn w:val="1"/>
    <w:qFormat/>
    <w:uiPriority w:val="0"/>
    <w:pPr>
      <w:jc w:val="left"/>
    </w:pPr>
    <w:rPr>
      <w:rFonts w:ascii="Calibri" w:hAnsi="Calibri"/>
      <w:kern w:val="0"/>
      <w:sz w:val="22"/>
      <w:szCs w:val="22"/>
      <w:lang w:eastAsia="en-US"/>
    </w:rPr>
  </w:style>
  <w:style w:type="paragraph" w:customStyle="1" w:styleId="127">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128">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UserStyle_59"/>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130">
    <w:name w:val="Body Text 2"/>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31">
    <w:name w:val="正文文字2"/>
    <w:basedOn w:val="2"/>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3">
    <w:name w:val="Normal_10"/>
    <w:qFormat/>
    <w:uiPriority w:val="0"/>
    <w:rPr>
      <w:rFonts w:ascii="黑体" w:hAnsi="黑体" w:eastAsia="黑体" w:cs="Times New Roman"/>
      <w:b/>
      <w:sz w:val="32"/>
      <w:szCs w:val="24"/>
      <w:lang w:val="en-US" w:eastAsia="zh-CN" w:bidi="ar-SA"/>
    </w:rPr>
  </w:style>
  <w:style w:type="paragraph" w:customStyle="1" w:styleId="1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5">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 Char"/>
    <w:basedOn w:val="1"/>
    <w:qFormat/>
    <w:uiPriority w:val="0"/>
    <w:pPr>
      <w:widowControl/>
      <w:spacing w:after="160" w:line="240" w:lineRule="exact"/>
      <w:jc w:val="left"/>
    </w:pPr>
    <w:rPr>
      <w:rFonts w:ascii="Arial" w:hAnsi="Arial" w:cs="Arial"/>
      <w:kern w:val="0"/>
      <w:sz w:val="22"/>
      <w:szCs w:val="22"/>
      <w:lang w:eastAsia="en-US"/>
    </w:rPr>
  </w:style>
  <w:style w:type="paragraph" w:customStyle="1" w:styleId="140">
    <w:name w:val="正文缩进1"/>
    <w:basedOn w:val="1"/>
    <w:qFormat/>
    <w:uiPriority w:val="0"/>
    <w:pPr>
      <w:ind w:firstLine="420" w:firstLineChars="200"/>
    </w:pPr>
  </w:style>
  <w:style w:type="paragraph" w:customStyle="1" w:styleId="141">
    <w:name w:val="TOC Heading"/>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2">
    <w:name w:val="Normal_10_0"/>
    <w:qFormat/>
    <w:uiPriority w:val="0"/>
    <w:rPr>
      <w:rFonts w:ascii="黑体" w:hAnsi="黑体" w:eastAsia="黑体" w:cs="Times New Roman"/>
      <w:b/>
      <w:sz w:val="32"/>
      <w:szCs w:val="24"/>
      <w:lang w:val="en-US" w:eastAsia="zh-CN" w:bidi="ar-SA"/>
    </w:rPr>
  </w:style>
  <w:style w:type="paragraph" w:customStyle="1" w:styleId="14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4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4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4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索引 11"/>
    <w:basedOn w:val="1"/>
    <w:next w:val="1"/>
    <w:qFormat/>
    <w:uiPriority w:val="0"/>
    <w:pPr>
      <w:spacing w:line="360" w:lineRule="auto"/>
    </w:pPr>
    <w:rPr>
      <w:rFonts w:ascii="仿宋_GB2312" w:eastAsia="仿宋_GB2312"/>
      <w:sz w:val="24"/>
      <w:szCs w:val="20"/>
    </w:rPr>
  </w:style>
  <w:style w:type="paragraph" w:customStyle="1" w:styleId="15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6956</Words>
  <Characters>39650</Characters>
  <Lines>330</Lines>
  <Paragraphs>93</Paragraphs>
  <TotalTime>38</TotalTime>
  <ScaleCrop>false</ScaleCrop>
  <LinksUpToDate>false</LinksUpToDate>
  <CharactersWithSpaces>46513</CharactersWithSpaces>
  <Application>WPS Office_12.1.0.15712_F1E327BC-269C-435d-A152-05C5408002CA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2023-08-11T04:40:00Z</dcterms:created>
  <dc:creator>h</dc:creator>
  <cp:lastModifiedBy>杨猫猫吖</cp:lastModifiedBy>
  <cp:lastPrinted>2022-04-14T03:07:00Z</cp:lastPrinted>
  <dcterms:modified xsi:type="dcterms:W3CDTF">2023-11-22T08:29:50Z</dcterms:modified>
  <dc:title>自治区政府采购印刷品招标技术规范书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8F545F3474CE44138E5BC59AB3752AF5_13</vt:lpwstr>
  </property>
  <property fmtid="{D5CDD505-2E9C-101B-9397-08002B2CF9AE}" pid="4" name="commondata">
    <vt:lpwstr>eyJoZGlkIjoiMzI1Yzc4OGVmZTYwYjY4ZGQxZmM2YTYyMzBkMmFkY2UifQ==</vt:lpwstr>
  </property>
</Properties>
</file>