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hint="eastAsia" w:ascii="黑体" w:hAnsi="黑体" w:eastAsia="黑体"/>
          <w:sz w:val="10"/>
          <w:szCs w:val="10"/>
          <w:lang w:val="en-US" w:eastAsia="zh-CN"/>
        </w:rPr>
      </w:pPr>
      <w:r>
        <w:rPr>
          <w:rFonts w:hint="eastAsia" w:ascii="黑体" w:hAnsi="黑体" w:eastAsia="黑体"/>
          <w:sz w:val="10"/>
          <w:szCs w:val="10"/>
          <w:lang w:val="en-US" w:eastAsia="zh-CN"/>
        </w:rPr>
        <w:t xml:space="preserve"> </w:t>
      </w:r>
    </w:p>
    <w:p>
      <w:pPr>
        <w:spacing w:before="120" w:beforeLines="50" w:after="240" w:afterLines="100"/>
        <w:jc w:val="center"/>
        <w:rPr>
          <w:rFonts w:hint="eastAsia" w:ascii="宋体" w:hAnsi="宋体" w:eastAsia="宋体" w:cs="宋体"/>
          <w:b/>
          <w:sz w:val="40"/>
          <w:szCs w:val="32"/>
          <w:lang w:val="en-US" w:eastAsia="zh-CN"/>
        </w:rPr>
      </w:pPr>
    </w:p>
    <w:p>
      <w:pPr>
        <w:spacing w:before="120" w:beforeLines="50" w:after="240" w:afterLines="100"/>
        <w:jc w:val="center"/>
        <w:rPr>
          <w:rFonts w:hint="default" w:ascii="宋体" w:hAnsi="宋体" w:eastAsia="宋体" w:cs="宋体"/>
          <w:b/>
          <w:kern w:val="2"/>
          <w:sz w:val="40"/>
          <w:szCs w:val="32"/>
          <w:lang w:val="en-US" w:eastAsia="zh-CN" w:bidi="ar-SA"/>
        </w:rPr>
      </w:pPr>
      <w:r>
        <w:rPr>
          <w:rFonts w:hint="eastAsia" w:ascii="宋体" w:hAnsi="宋体" w:eastAsia="宋体" w:cs="宋体"/>
          <w:b/>
          <w:sz w:val="40"/>
          <w:szCs w:val="32"/>
          <w:lang w:val="en-US" w:eastAsia="zh-CN"/>
        </w:rPr>
        <w:t>昌吉回族自治州人民医院</w:t>
      </w:r>
      <w:r>
        <w:rPr>
          <w:rFonts w:hint="eastAsia" w:ascii="宋体" w:hAnsi="宋体" w:eastAsia="宋体" w:cs="宋体"/>
          <w:b/>
          <w:kern w:val="2"/>
          <w:sz w:val="40"/>
          <w:szCs w:val="32"/>
          <w:lang w:val="en-US" w:eastAsia="zh-CN" w:bidi="ar-SA"/>
        </w:rPr>
        <w:t>超声设备维保</w:t>
      </w:r>
      <w:r>
        <w:rPr>
          <w:rFonts w:hint="eastAsia" w:ascii="宋体" w:hAnsi="宋体" w:cs="宋体"/>
          <w:b/>
          <w:kern w:val="2"/>
          <w:sz w:val="40"/>
          <w:szCs w:val="32"/>
          <w:lang w:val="en-US" w:eastAsia="zh-CN" w:bidi="ar-SA"/>
        </w:rPr>
        <w:t>项目</w:t>
      </w:r>
    </w:p>
    <w:p/>
    <w:p>
      <w:pPr>
        <w:spacing w:before="120" w:beforeLines="50" w:after="240" w:afterLines="100"/>
        <w:jc w:val="center"/>
        <w:rPr>
          <w:rFonts w:hint="eastAsia" w:ascii="宋体" w:hAnsi="宋体" w:eastAsia="宋体" w:cs="宋体"/>
          <w:b/>
          <w:sz w:val="40"/>
          <w:szCs w:val="32"/>
          <w:lang w:val="en-US" w:eastAsia="zh-CN"/>
        </w:rPr>
      </w:pPr>
      <w:r>
        <w:rPr>
          <w:rFonts w:hint="eastAsia" w:ascii="宋体" w:hAnsi="宋体" w:eastAsia="宋体" w:cs="宋体"/>
          <w:b/>
          <w:sz w:val="40"/>
          <w:szCs w:val="32"/>
          <w:lang w:val="en-US" w:eastAsia="zh-CN"/>
        </w:rPr>
        <w:t>项目编号：</w:t>
      </w:r>
      <w:r>
        <w:rPr>
          <w:rFonts w:hint="eastAsia" w:ascii="宋体" w:hAnsi="宋体" w:eastAsia="宋体" w:cs="宋体"/>
          <w:b/>
          <w:sz w:val="40"/>
          <w:szCs w:val="32"/>
          <w:lang w:val="en-US" w:eastAsia="zh-CN"/>
        </w:rPr>
        <w:fldChar w:fldCharType="begin"/>
      </w:r>
      <w:r>
        <w:rPr>
          <w:rFonts w:hint="eastAsia" w:ascii="宋体" w:hAnsi="宋体" w:eastAsia="宋体" w:cs="宋体"/>
          <w:b/>
          <w:sz w:val="40"/>
          <w:szCs w:val="32"/>
          <w:lang w:val="en-US" w:eastAsia="zh-CN"/>
        </w:rPr>
        <w:instrText xml:space="preserve"> HYPERLINK "https://www.zcygov.cn/project-center/_procurement_/project-result-detail/7124954634643954971" \t "https://www.zcygov.cn/project-center/_procurement_/self-project/_blank" </w:instrText>
      </w:r>
      <w:r>
        <w:rPr>
          <w:rFonts w:hint="eastAsia" w:ascii="宋体" w:hAnsi="宋体" w:eastAsia="宋体" w:cs="宋体"/>
          <w:b/>
          <w:sz w:val="40"/>
          <w:szCs w:val="32"/>
          <w:lang w:val="en-US" w:eastAsia="zh-CN"/>
        </w:rPr>
        <w:fldChar w:fldCharType="separate"/>
      </w:r>
      <w:r>
        <w:rPr>
          <w:rFonts w:hint="eastAsia" w:ascii="宋体" w:hAnsi="宋体" w:eastAsia="宋体" w:cs="宋体"/>
          <w:b/>
          <w:sz w:val="40"/>
          <w:szCs w:val="32"/>
          <w:lang w:val="en-US" w:eastAsia="zh-CN"/>
        </w:rPr>
        <w:t>XJTRY2023ZB0</w:t>
      </w:r>
      <w:r>
        <w:rPr>
          <w:rFonts w:hint="eastAsia" w:ascii="宋体" w:hAnsi="宋体" w:cs="宋体"/>
          <w:b/>
          <w:sz w:val="40"/>
          <w:szCs w:val="32"/>
          <w:lang w:val="en-US" w:eastAsia="zh-CN"/>
        </w:rPr>
        <w:t>8</w:t>
      </w:r>
      <w:r>
        <w:rPr>
          <w:rFonts w:hint="eastAsia" w:ascii="宋体" w:hAnsi="宋体" w:eastAsia="宋体" w:cs="宋体"/>
          <w:b/>
          <w:sz w:val="40"/>
          <w:szCs w:val="32"/>
          <w:lang w:val="en-US" w:eastAsia="zh-CN"/>
        </w:rPr>
        <w:t>-CG</w:t>
      </w:r>
      <w:r>
        <w:rPr>
          <w:rFonts w:hint="eastAsia" w:ascii="宋体" w:hAnsi="宋体" w:eastAsia="宋体" w:cs="宋体"/>
          <w:b/>
          <w:sz w:val="40"/>
          <w:szCs w:val="32"/>
          <w:lang w:val="en-US" w:eastAsia="zh-CN"/>
        </w:rPr>
        <w:fldChar w:fldCharType="end"/>
      </w: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spacing w:line="400" w:lineRule="exact"/>
        <w:rPr>
          <w:rFonts w:ascii="宋体" w:hAnsi="宋体" w:cs="宋体"/>
        </w:rPr>
      </w:pPr>
    </w:p>
    <w:p>
      <w:pPr>
        <w:spacing w:line="360" w:lineRule="auto"/>
        <w:jc w:val="center"/>
        <w:rPr>
          <w:rFonts w:hint="default" w:ascii="宋体" w:hAnsi="宋体" w:eastAsia="宋体" w:cs="宋体"/>
          <w:b/>
          <w:sz w:val="32"/>
          <w:szCs w:val="24"/>
          <w:lang w:val="en-US" w:eastAsia="zh-CN"/>
        </w:rPr>
      </w:pPr>
      <w:r>
        <w:rPr>
          <w:rFonts w:hint="eastAsia" w:ascii="宋体" w:hAnsi="宋体" w:cs="宋体"/>
          <w:b/>
          <w:sz w:val="32"/>
          <w:szCs w:val="24"/>
        </w:rPr>
        <w:t>采购人：</w:t>
      </w:r>
      <w:r>
        <w:rPr>
          <w:rFonts w:hint="eastAsia" w:ascii="宋体" w:hAnsi="宋体" w:cs="宋体"/>
          <w:b/>
          <w:sz w:val="32"/>
          <w:szCs w:val="24"/>
          <w:lang w:val="en-US" w:eastAsia="zh-CN"/>
        </w:rPr>
        <w:t>昌吉回族自治州人民医院</w:t>
      </w:r>
    </w:p>
    <w:p>
      <w:pPr>
        <w:spacing w:line="360" w:lineRule="auto"/>
        <w:jc w:val="center"/>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新疆天润源工程管理咨询有限公司</w:t>
      </w:r>
    </w:p>
    <w:p>
      <w:pPr>
        <w:pStyle w:val="19"/>
        <w:jc w:val="center"/>
        <w:rPr>
          <w:rFonts w:hint="eastAsia" w:ascii="宋体" w:hAnsi="宋体" w:cs="宋体"/>
          <w:b/>
          <w:sz w:val="32"/>
          <w:szCs w:val="24"/>
          <w:lang w:val="en-US" w:eastAsia="zh-CN"/>
        </w:rPr>
      </w:pPr>
    </w:p>
    <w:p>
      <w:pPr>
        <w:jc w:val="center"/>
        <w:rPr>
          <w:rFonts w:hint="eastAsia"/>
          <w:lang w:val="en-US" w:eastAsia="zh-CN"/>
        </w:rPr>
      </w:pPr>
    </w:p>
    <w:p>
      <w:pPr>
        <w:spacing w:line="360" w:lineRule="auto"/>
        <w:jc w:val="center"/>
        <w:rPr>
          <w:rFonts w:hint="eastAsia" w:hAnsi="宋体"/>
          <w:b/>
          <w:color w:val="000000"/>
          <w:sz w:val="48"/>
          <w:szCs w:val="48"/>
        </w:rPr>
      </w:pPr>
      <w:r>
        <w:rPr>
          <w:rFonts w:hint="eastAsia" w:ascii="宋体" w:hAnsi="宋体" w:cs="宋体"/>
          <w:b/>
          <w:sz w:val="32"/>
          <w:szCs w:val="24"/>
          <w:lang w:eastAsia="zh-CN"/>
        </w:rPr>
        <w:t>二〇二</w:t>
      </w:r>
      <w:r>
        <w:rPr>
          <w:rFonts w:hint="eastAsia" w:ascii="宋体" w:hAnsi="宋体" w:cs="宋体"/>
          <w:b/>
          <w:sz w:val="32"/>
          <w:szCs w:val="24"/>
          <w:lang w:val="en-US" w:eastAsia="zh-CN"/>
        </w:rPr>
        <w:t>三</w:t>
      </w:r>
      <w:r>
        <w:rPr>
          <w:rFonts w:hint="eastAsia" w:ascii="宋体" w:hAnsi="宋体" w:cs="宋体"/>
          <w:b/>
          <w:sz w:val="32"/>
          <w:szCs w:val="24"/>
          <w:lang w:eastAsia="zh-CN"/>
        </w:rPr>
        <w:t>年</w:t>
      </w:r>
      <w:r>
        <w:rPr>
          <w:rFonts w:hint="eastAsia" w:ascii="宋体" w:hAnsi="宋体" w:cs="宋体"/>
          <w:b/>
          <w:sz w:val="32"/>
          <w:szCs w:val="24"/>
          <w:lang w:val="en-US" w:eastAsia="zh-CN"/>
        </w:rPr>
        <w:t>十二</w:t>
      </w:r>
      <w:r>
        <w:rPr>
          <w:rFonts w:hint="eastAsia" w:ascii="宋体" w:hAnsi="宋体" w:cs="宋体"/>
          <w:b/>
          <w:sz w:val="32"/>
          <w:szCs w:val="24"/>
          <w:lang w:eastAsia="zh-CN"/>
        </w:rPr>
        <w:t>月</w:t>
      </w:r>
    </w:p>
    <w:p>
      <w:pPr>
        <w:jc w:val="center"/>
        <w:rPr>
          <w:rFonts w:hint="eastAsia" w:hAnsi="宋体"/>
          <w:b/>
          <w:color w:val="000000"/>
          <w:sz w:val="48"/>
          <w:szCs w:val="48"/>
        </w:rPr>
      </w:pPr>
    </w:p>
    <w:p>
      <w:pPr>
        <w:jc w:val="center"/>
        <w:rPr>
          <w:rFonts w:hint="eastAsia" w:hAnsi="宋体"/>
          <w:b/>
          <w:color w:val="000000"/>
          <w:sz w:val="48"/>
          <w:szCs w:val="48"/>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6"/>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6"/>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6"/>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6"/>
            <w:tabs>
              <w:tab w:val="right" w:leader="dot" w:pos="9746"/>
            </w:tabs>
            <w:spacing w:line="600" w:lineRule="exact"/>
            <w:rPr>
              <w:rFonts w:asciiTheme="minorEastAsia" w:hAnsiTheme="minorEastAsia" w:eastAsiaTheme="minorEastAsia" w:cstheme="minorEastAsia"/>
              <w:sz w:val="28"/>
              <w:szCs w:val="28"/>
            </w:rPr>
          </w:pPr>
        </w:p>
        <w:p>
          <w:pPr>
            <w:pStyle w:val="32"/>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2"/>
        <w:numPr>
          <w:ilvl w:val="0"/>
          <w:numId w:val="1"/>
        </w:numPr>
        <w:spacing w:before="0" w:after="0" w:line="240" w:lineRule="auto"/>
        <w:sectPr>
          <w:footerReference r:id="rId3" w:type="default"/>
          <w:pgSz w:w="11906" w:h="16838"/>
          <w:pgMar w:top="1440" w:right="1080" w:bottom="1440" w:left="1080" w:header="851" w:footer="992" w:gutter="0"/>
          <w:pgNumType w:start="1"/>
          <w:cols w:space="425" w:num="1"/>
          <w:docGrid w:linePitch="312" w:charSpace="0"/>
        </w:sectPr>
      </w:pPr>
      <w:bookmarkStart w:id="0" w:name="_Toc21151"/>
      <w:bookmarkStart w:id="1" w:name="_Toc456718476"/>
    </w:p>
    <w:p>
      <w:pPr>
        <w:pStyle w:val="2"/>
        <w:numPr>
          <w:ilvl w:val="0"/>
          <w:numId w:val="1"/>
        </w:numPr>
        <w:spacing w:before="0" w:after="0" w:line="240" w:lineRule="auto"/>
      </w:pPr>
      <w:r>
        <w:rPr>
          <w:rFonts w:hint="eastAsia"/>
        </w:rPr>
        <w:t xml:space="preserve"> </w:t>
      </w:r>
      <w:bookmarkStart w:id="2" w:name="_Toc6006"/>
      <w:bookmarkStart w:id="3" w:name="_Toc4209"/>
      <w:bookmarkStart w:id="4" w:name="_Toc28491"/>
      <w:r>
        <w:rPr>
          <w:rFonts w:hint="eastAsia"/>
        </w:rPr>
        <w:t>竞争性磋商</w:t>
      </w:r>
      <w:bookmarkEnd w:id="0"/>
      <w:r>
        <w:rPr>
          <w:rFonts w:hint="eastAsia"/>
        </w:rPr>
        <w:t>公告</w:t>
      </w:r>
      <w:bookmarkEnd w:id="2"/>
      <w:bookmarkEnd w:id="3"/>
      <w:bookmarkEnd w:id="4"/>
    </w:p>
    <w:p>
      <w:pPr>
        <w:spacing w:line="500" w:lineRule="exact"/>
        <w:ind w:firstLine="843" w:firstLineChars="300"/>
        <w:jc w:val="center"/>
        <w:rPr>
          <w:rFonts w:hAnsi="宋体" w:cs="宋体"/>
          <w:b/>
          <w:bCs/>
          <w:sz w:val="28"/>
          <w:szCs w:val="28"/>
        </w:rPr>
      </w:pPr>
      <w:bookmarkStart w:id="5" w:name="_Toc10571"/>
      <w:bookmarkStart w:id="6" w:name="_Toc1347"/>
      <w:r>
        <w:rPr>
          <w:rFonts w:hint="eastAsia" w:hAnsi="宋体" w:cs="宋体"/>
          <w:b/>
          <w:bCs/>
          <w:sz w:val="28"/>
          <w:szCs w:val="28"/>
          <w:lang w:eastAsia="zh-CN"/>
        </w:rPr>
        <w:t>昌吉回族自治州人民医院超声设备维保项目</w:t>
      </w:r>
      <w:r>
        <w:rPr>
          <w:rFonts w:hint="eastAsia" w:hAnsi="宋体" w:cs="宋体"/>
          <w:b/>
          <w:bCs/>
          <w:sz w:val="28"/>
          <w:szCs w:val="28"/>
        </w:rPr>
        <w:t>竞争性磋商公告</w:t>
      </w:r>
    </w:p>
    <w:tbl>
      <w:tblPr>
        <w:tblStyle w:val="33"/>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90"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auto"/>
                <w:sz w:val="24"/>
                <w:szCs w:val="24"/>
              </w:rPr>
            </w:pPr>
            <w:r>
              <w:rPr>
                <w:rFonts w:hint="eastAsia" w:cs="宋体"/>
                <w:color w:val="auto"/>
                <w:sz w:val="24"/>
                <w:szCs w:val="24"/>
              </w:rPr>
              <w:t>项目概况：</w:t>
            </w:r>
          </w:p>
          <w:p>
            <w:pPr>
              <w:spacing w:line="500" w:lineRule="exact"/>
              <w:ind w:firstLine="480" w:firstLineChars="200"/>
              <w:rPr>
                <w:rFonts w:ascii="宋体" w:hAnsi="Times New Roman" w:cs="宋体"/>
                <w:color w:val="auto"/>
                <w:sz w:val="24"/>
                <w:szCs w:val="24"/>
              </w:rPr>
            </w:pPr>
            <w:r>
              <w:rPr>
                <w:rFonts w:hint="eastAsia" w:hAnsi="Times New Roman" w:cs="宋体"/>
                <w:color w:val="auto"/>
                <w:sz w:val="24"/>
                <w:szCs w:val="24"/>
                <w:lang w:eastAsia="zh-CN"/>
              </w:rPr>
              <w:t>昌吉回族自治州人民医院超声设备维保项目</w:t>
            </w:r>
            <w:r>
              <w:rPr>
                <w:rFonts w:hint="eastAsia" w:hAnsi="Times New Roman" w:cs="宋体"/>
                <w:color w:val="auto"/>
                <w:sz w:val="24"/>
                <w:szCs w:val="24"/>
              </w:rPr>
              <w:t>的</w:t>
            </w:r>
            <w:r>
              <w:rPr>
                <w:rFonts w:hint="eastAsia" w:cs="宋体"/>
                <w:color w:val="auto"/>
                <w:sz w:val="24"/>
                <w:szCs w:val="24"/>
              </w:rPr>
              <w:t>潜在供应商应在政采云平台报名成功后获取采购文件，并于202</w:t>
            </w:r>
            <w:r>
              <w:rPr>
                <w:rFonts w:hint="eastAsia" w:cs="宋体"/>
                <w:color w:val="auto"/>
                <w:sz w:val="24"/>
                <w:szCs w:val="24"/>
                <w:lang w:val="en-US" w:eastAsia="zh-CN"/>
              </w:rPr>
              <w:t>3</w:t>
            </w:r>
            <w:r>
              <w:rPr>
                <w:rFonts w:hint="eastAsia" w:cs="宋体"/>
                <w:color w:val="auto"/>
                <w:sz w:val="24"/>
                <w:szCs w:val="24"/>
              </w:rPr>
              <w:t>年</w:t>
            </w:r>
            <w:r>
              <w:rPr>
                <w:rFonts w:hint="eastAsia" w:cs="宋体"/>
                <w:color w:val="auto"/>
                <w:sz w:val="24"/>
                <w:szCs w:val="24"/>
                <w:lang w:val="en-US" w:eastAsia="zh-CN"/>
              </w:rPr>
              <w:t>12</w:t>
            </w:r>
            <w:r>
              <w:rPr>
                <w:rFonts w:hint="eastAsia" w:cs="宋体"/>
                <w:color w:val="auto"/>
                <w:sz w:val="24"/>
                <w:szCs w:val="24"/>
              </w:rPr>
              <w:t>月</w:t>
            </w:r>
            <w:r>
              <w:rPr>
                <w:rFonts w:hint="eastAsia" w:cs="宋体"/>
                <w:color w:val="auto"/>
                <w:sz w:val="24"/>
                <w:szCs w:val="24"/>
                <w:lang w:val="en-US" w:eastAsia="zh-CN"/>
              </w:rPr>
              <w:t>26</w:t>
            </w:r>
            <w:r>
              <w:rPr>
                <w:rFonts w:hint="eastAsia" w:cs="宋体"/>
                <w:color w:val="auto"/>
                <w:sz w:val="24"/>
                <w:szCs w:val="24"/>
              </w:rPr>
              <w:t>日</w:t>
            </w:r>
            <w:r>
              <w:rPr>
                <w:rFonts w:hint="eastAsia" w:cs="宋体"/>
                <w:color w:val="auto"/>
                <w:sz w:val="24"/>
                <w:szCs w:val="24"/>
                <w:lang w:val="en-US" w:eastAsia="zh-CN"/>
              </w:rPr>
              <w:t>16</w:t>
            </w:r>
            <w:r>
              <w:rPr>
                <w:rFonts w:hint="eastAsia" w:cs="宋体"/>
                <w:color w:val="auto"/>
                <w:sz w:val="24"/>
                <w:szCs w:val="24"/>
              </w:rPr>
              <w:t>点</w:t>
            </w:r>
            <w:r>
              <w:rPr>
                <w:rFonts w:hint="eastAsia" w:cs="宋体"/>
                <w:color w:val="auto"/>
                <w:sz w:val="24"/>
                <w:szCs w:val="24"/>
                <w:lang w:val="en-US" w:eastAsia="zh-CN"/>
              </w:rPr>
              <w:t>30</w:t>
            </w:r>
            <w:r>
              <w:rPr>
                <w:rFonts w:hint="eastAsia" w:cs="宋体"/>
                <w:color w:val="auto"/>
                <w:sz w:val="24"/>
                <w:szCs w:val="24"/>
              </w:rPr>
              <w:t>分（北京时间）前提交响应文件。</w:t>
            </w:r>
          </w:p>
        </w:tc>
      </w:tr>
    </w:tbl>
    <w:p>
      <w:pPr>
        <w:spacing w:line="400" w:lineRule="exact"/>
        <w:rPr>
          <w:rFonts w:cs="宋体"/>
          <w:b/>
          <w:bCs/>
          <w:color w:val="auto"/>
          <w:sz w:val="24"/>
          <w:szCs w:val="24"/>
        </w:rPr>
      </w:pPr>
      <w:r>
        <w:rPr>
          <w:rFonts w:hint="eastAsia" w:cs="宋体"/>
          <w:b/>
          <w:bCs/>
          <w:color w:val="auto"/>
          <w:sz w:val="24"/>
          <w:szCs w:val="24"/>
        </w:rPr>
        <w:t>一、项目基本情况</w:t>
      </w:r>
    </w:p>
    <w:p>
      <w:pPr>
        <w:spacing w:line="400" w:lineRule="exact"/>
        <w:ind w:firstLine="480" w:firstLineChars="200"/>
        <w:rPr>
          <w:rFonts w:hint="default" w:hAnsi="Times New Roman" w:cs="宋体"/>
          <w:color w:val="auto"/>
          <w:sz w:val="24"/>
          <w:szCs w:val="24"/>
          <w:lang w:val="en-US"/>
        </w:rPr>
      </w:pPr>
      <w:r>
        <w:rPr>
          <w:rFonts w:hint="eastAsia" w:cs="宋体"/>
          <w:color w:val="auto"/>
          <w:sz w:val="24"/>
          <w:szCs w:val="24"/>
        </w:rPr>
        <w:t>项目编</w:t>
      </w:r>
      <w:r>
        <w:rPr>
          <w:rFonts w:hint="eastAsia" w:hAnsi="Times New Roman" w:cs="宋体"/>
          <w:color w:val="auto"/>
          <w:sz w:val="24"/>
          <w:szCs w:val="24"/>
        </w:rPr>
        <w:t>号：</w:t>
      </w:r>
      <w:r>
        <w:rPr>
          <w:rFonts w:hint="eastAsia" w:hAnsi="Times New Roman" w:cs="宋体"/>
          <w:color w:val="auto"/>
          <w:sz w:val="24"/>
          <w:szCs w:val="24"/>
          <w:lang w:val="en-US" w:eastAsia="zh-CN"/>
        </w:rPr>
        <w:fldChar w:fldCharType="begin"/>
      </w:r>
      <w:r>
        <w:rPr>
          <w:rFonts w:hint="eastAsia" w:hAnsi="Times New Roman" w:cs="宋体"/>
          <w:color w:val="auto"/>
          <w:sz w:val="24"/>
          <w:szCs w:val="24"/>
          <w:lang w:val="en-US" w:eastAsia="zh-CN"/>
        </w:rPr>
        <w:instrText xml:space="preserve"> HYPERLINK "https://www.zcygov.cn/project-center/_procurement_/project-result-detail/7124954634643954971" \t "https://www.zcygov.cn/project-center/_procurement_/self-project/_blank" </w:instrText>
      </w:r>
      <w:r>
        <w:rPr>
          <w:rFonts w:hint="eastAsia" w:hAnsi="Times New Roman" w:cs="宋体"/>
          <w:color w:val="auto"/>
          <w:sz w:val="24"/>
          <w:szCs w:val="24"/>
          <w:lang w:val="en-US" w:eastAsia="zh-CN"/>
        </w:rPr>
        <w:fldChar w:fldCharType="separate"/>
      </w:r>
      <w:r>
        <w:rPr>
          <w:rFonts w:hint="eastAsia" w:hAnsi="Times New Roman" w:cs="宋体"/>
          <w:color w:val="auto"/>
          <w:sz w:val="24"/>
          <w:szCs w:val="24"/>
          <w:lang w:val="en-US" w:eastAsia="zh-CN"/>
        </w:rPr>
        <w:t>XJTRY2023ZB08-CG</w:t>
      </w:r>
      <w:r>
        <w:rPr>
          <w:rFonts w:hint="eastAsia" w:hAnsi="Times New Roman" w:cs="宋体"/>
          <w:color w:val="auto"/>
          <w:sz w:val="24"/>
          <w:szCs w:val="24"/>
          <w:lang w:val="en-US" w:eastAsia="zh-CN"/>
        </w:rPr>
        <w:fldChar w:fldCharType="end"/>
      </w:r>
    </w:p>
    <w:p>
      <w:pPr>
        <w:spacing w:line="400" w:lineRule="exact"/>
        <w:ind w:firstLine="480" w:firstLineChars="200"/>
        <w:rPr>
          <w:rFonts w:hint="eastAsia" w:eastAsia="宋体" w:cs="宋体"/>
          <w:color w:val="auto"/>
          <w:sz w:val="24"/>
          <w:szCs w:val="24"/>
          <w:lang w:eastAsia="zh-CN"/>
        </w:rPr>
      </w:pPr>
      <w:r>
        <w:rPr>
          <w:rFonts w:hint="eastAsia" w:cs="宋体"/>
          <w:color w:val="auto"/>
          <w:sz w:val="24"/>
          <w:szCs w:val="24"/>
        </w:rPr>
        <w:t>项目名称：</w:t>
      </w:r>
      <w:r>
        <w:rPr>
          <w:rFonts w:hint="eastAsia" w:hAnsi="Times New Roman" w:cs="宋体"/>
          <w:color w:val="auto"/>
          <w:sz w:val="24"/>
          <w:szCs w:val="24"/>
          <w:lang w:eastAsia="zh-CN"/>
        </w:rPr>
        <w:t>昌吉回族自治州人民医院超声设备维保项目</w:t>
      </w:r>
    </w:p>
    <w:p>
      <w:pPr>
        <w:spacing w:line="400" w:lineRule="exact"/>
        <w:ind w:firstLine="480" w:firstLineChars="200"/>
        <w:rPr>
          <w:rFonts w:cs="宋体"/>
          <w:color w:val="auto"/>
          <w:sz w:val="24"/>
          <w:szCs w:val="24"/>
        </w:rPr>
      </w:pPr>
      <w:r>
        <w:rPr>
          <w:rFonts w:hint="eastAsia" w:cs="宋体"/>
          <w:color w:val="auto"/>
          <w:sz w:val="24"/>
          <w:szCs w:val="24"/>
        </w:rPr>
        <w:t>采购方式：竞争性磋商 </w:t>
      </w:r>
    </w:p>
    <w:p>
      <w:pPr>
        <w:spacing w:line="400" w:lineRule="exact"/>
        <w:ind w:firstLine="480" w:firstLineChars="200"/>
        <w:rPr>
          <w:rFonts w:cs="宋体"/>
          <w:color w:val="FF0000"/>
          <w:sz w:val="24"/>
          <w:szCs w:val="24"/>
          <w:highlight w:val="none"/>
        </w:rPr>
      </w:pPr>
      <w:r>
        <w:rPr>
          <w:rFonts w:hint="eastAsia" w:cs="宋体"/>
          <w:color w:val="auto"/>
          <w:sz w:val="24"/>
          <w:szCs w:val="24"/>
        </w:rPr>
        <w:t>最高限价（元）：</w:t>
      </w:r>
      <w:r>
        <w:rPr>
          <w:rFonts w:hint="eastAsia" w:cs="宋体"/>
          <w:color w:val="auto"/>
          <w:sz w:val="24"/>
          <w:szCs w:val="24"/>
          <w:lang w:val="en-US" w:eastAsia="zh-CN"/>
        </w:rPr>
        <w:t>300000.00</w:t>
      </w:r>
      <w:r>
        <w:rPr>
          <w:rFonts w:hint="eastAsia" w:cs="宋体"/>
          <w:color w:val="auto"/>
          <w:sz w:val="24"/>
          <w:szCs w:val="24"/>
          <w:highlight w:val="none"/>
        </w:rPr>
        <w:t>元（大写：</w:t>
      </w:r>
      <w:r>
        <w:rPr>
          <w:rFonts w:hint="eastAsia" w:cs="宋体"/>
          <w:color w:val="auto"/>
          <w:sz w:val="24"/>
          <w:szCs w:val="24"/>
          <w:highlight w:val="none"/>
          <w:lang w:val="en-US" w:eastAsia="zh-CN"/>
        </w:rPr>
        <w:t>叁拾万</w:t>
      </w:r>
      <w:r>
        <w:rPr>
          <w:rFonts w:hint="eastAsia" w:cs="宋体"/>
          <w:color w:val="auto"/>
          <w:sz w:val="24"/>
          <w:szCs w:val="24"/>
          <w:highlight w:val="none"/>
          <w:lang w:eastAsia="zh-CN"/>
        </w:rPr>
        <w:t>元整</w:t>
      </w:r>
      <w:r>
        <w:rPr>
          <w:rFonts w:hint="eastAsia" w:cs="宋体"/>
          <w:color w:val="auto"/>
          <w:sz w:val="24"/>
          <w:szCs w:val="24"/>
          <w:highlight w:val="none"/>
        </w:rPr>
        <w:t>）</w:t>
      </w:r>
    </w:p>
    <w:tbl>
      <w:tblPr>
        <w:tblStyle w:val="33"/>
        <w:tblW w:w="9761" w:type="dxa"/>
        <w:tblInd w:w="0" w:type="dxa"/>
        <w:tblLayout w:type="fixed"/>
        <w:tblCellMar>
          <w:top w:w="15" w:type="dxa"/>
          <w:left w:w="15" w:type="dxa"/>
          <w:bottom w:w="15" w:type="dxa"/>
          <w:right w:w="15" w:type="dxa"/>
        </w:tblCellMar>
      </w:tblPr>
      <w:tblGrid>
        <w:gridCol w:w="642"/>
        <w:gridCol w:w="3452"/>
        <w:gridCol w:w="1079"/>
        <w:gridCol w:w="1020"/>
        <w:gridCol w:w="3568"/>
      </w:tblGrid>
      <w:tr>
        <w:tblPrEx>
          <w:tblCellMar>
            <w:top w:w="15" w:type="dxa"/>
            <w:left w:w="15" w:type="dxa"/>
            <w:bottom w:w="15" w:type="dxa"/>
            <w:right w:w="15" w:type="dxa"/>
          </w:tblCellMar>
        </w:tblPrEx>
        <w:trPr>
          <w:trHeight w:val="581" w:hRule="atLeast"/>
        </w:trPr>
        <w:tc>
          <w:tcPr>
            <w:tcW w:w="6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标项序号</w:t>
            </w:r>
          </w:p>
        </w:tc>
        <w:tc>
          <w:tcPr>
            <w:tcW w:w="34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标项名称</w:t>
            </w:r>
          </w:p>
        </w:tc>
        <w:tc>
          <w:tcPr>
            <w:tcW w:w="10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简要规格描述</w:t>
            </w:r>
          </w:p>
        </w:tc>
      </w:tr>
      <w:tr>
        <w:tblPrEx>
          <w:tblCellMar>
            <w:top w:w="15" w:type="dxa"/>
            <w:left w:w="15" w:type="dxa"/>
            <w:bottom w:w="15" w:type="dxa"/>
            <w:right w:w="15" w:type="dxa"/>
          </w:tblCellMar>
        </w:tblPrEx>
        <w:trPr>
          <w:cantSplit/>
          <w:trHeight w:val="910" w:hRule="atLeast"/>
        </w:trPr>
        <w:tc>
          <w:tcPr>
            <w:tcW w:w="6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1</w:t>
            </w:r>
          </w:p>
        </w:tc>
        <w:tc>
          <w:tcPr>
            <w:tcW w:w="345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auto"/>
                <w:sz w:val="24"/>
                <w:szCs w:val="24"/>
                <w:highlight w:val="none"/>
                <w:lang w:eastAsia="zh-CN"/>
              </w:rPr>
            </w:pPr>
            <w:r>
              <w:rPr>
                <w:rFonts w:hint="eastAsia" w:ascii="宋体" w:hAnsi="Times New Roman" w:eastAsia="宋体" w:cs="宋体"/>
                <w:color w:val="auto"/>
                <w:sz w:val="24"/>
                <w:szCs w:val="24"/>
                <w:highlight w:val="none"/>
                <w:lang w:eastAsia="zh-CN"/>
              </w:rPr>
              <w:t>昌吉回族自治州人民医院超声设备维保项目</w:t>
            </w:r>
          </w:p>
        </w:tc>
        <w:tc>
          <w:tcPr>
            <w:tcW w:w="10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auto"/>
                <w:sz w:val="24"/>
                <w:szCs w:val="24"/>
                <w:highlight w:val="none"/>
              </w:rPr>
            </w:pPr>
            <w:r>
              <w:rPr>
                <w:rFonts w:hint="eastAsia" w:ascii="宋体" w:hAnsi="Times New Roman" w:cs="宋体"/>
                <w:color w:val="auto"/>
                <w:sz w:val="24"/>
                <w:szCs w:val="24"/>
                <w:highlight w:val="none"/>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default" w:ascii="宋体" w:hAnsi="Times New Roman" w:eastAsia="宋体" w:cs="宋体"/>
                <w:color w:val="auto"/>
                <w:sz w:val="24"/>
                <w:szCs w:val="24"/>
                <w:highlight w:val="none"/>
                <w:lang w:val="en-US" w:eastAsia="zh-CN"/>
              </w:rPr>
            </w:pPr>
            <w:r>
              <w:rPr>
                <w:rFonts w:hint="eastAsia" w:ascii="宋体" w:hAnsi="Times New Roman" w:cs="宋体"/>
                <w:color w:val="auto"/>
                <w:sz w:val="24"/>
                <w:szCs w:val="24"/>
                <w:highlight w:val="none"/>
                <w:lang w:val="en-US" w:eastAsia="zh-CN"/>
              </w:rPr>
              <w:t>批</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default" w:ascii="宋体" w:hAnsi="Times New Roman" w:eastAsia="宋体" w:cs="宋体"/>
                <w:color w:val="auto"/>
                <w:sz w:val="24"/>
                <w:szCs w:val="24"/>
                <w:highlight w:val="none"/>
                <w:lang w:val="en-US" w:eastAsia="zh-CN"/>
              </w:rPr>
            </w:pPr>
            <w:r>
              <w:rPr>
                <w:rFonts w:hint="eastAsia" w:ascii="宋体" w:hAnsi="Times New Roman" w:eastAsia="宋体" w:cs="宋体"/>
                <w:color w:val="auto"/>
                <w:sz w:val="24"/>
                <w:szCs w:val="24"/>
                <w:highlight w:val="none"/>
                <w:lang w:eastAsia="zh-CN"/>
              </w:rPr>
              <w:t>超声设备维保</w:t>
            </w:r>
            <w:r>
              <w:rPr>
                <w:rFonts w:hint="default" w:ascii="宋体" w:hAnsi="Times New Roman" w:eastAsia="宋体" w:cs="宋体"/>
                <w:color w:val="000000" w:themeColor="text1"/>
                <w:sz w:val="24"/>
                <w:szCs w:val="24"/>
                <w:highlight w:val="none"/>
                <w:lang w:val="en-US" w:eastAsia="zh-CN"/>
                <w14:textFill>
                  <w14:solidFill>
                    <w14:schemeClr w14:val="tx1"/>
                  </w14:solidFill>
                </w14:textFill>
              </w:rPr>
              <w:t>（详见采购需求）</w:t>
            </w:r>
          </w:p>
        </w:tc>
      </w:tr>
    </w:tbl>
    <w:p>
      <w:pPr>
        <w:spacing w:line="400" w:lineRule="exact"/>
        <w:rPr>
          <w:rFonts w:hint="eastAsia" w:ascii="宋体" w:hAnsi="宋体"/>
          <w:sz w:val="24"/>
          <w:szCs w:val="24"/>
        </w:rPr>
      </w:pPr>
    </w:p>
    <w:p>
      <w:pPr>
        <w:spacing w:line="400" w:lineRule="exact"/>
        <w:rPr>
          <w:rFonts w:hint="eastAsia" w:ascii="宋体" w:hAnsi="宋体"/>
          <w:sz w:val="24"/>
          <w:szCs w:val="24"/>
          <w:lang w:val="en-US" w:eastAsia="zh-CN"/>
        </w:rPr>
      </w:pPr>
      <w:r>
        <w:rPr>
          <w:rFonts w:ascii="仿宋" w:hAnsi="仿宋" w:eastAsia="仿宋" w:cs="仿宋"/>
          <w:i w:val="0"/>
          <w:iCs w:val="0"/>
          <w:caps w:val="0"/>
          <w:color w:val="000000"/>
          <w:spacing w:val="0"/>
          <w:sz w:val="27"/>
          <w:szCs w:val="27"/>
        </w:rPr>
        <w:t>合同履约期限</w:t>
      </w:r>
      <w:r>
        <w:rPr>
          <w:rFonts w:hint="eastAsia" w:ascii="宋体" w:hAnsi="宋体"/>
          <w:sz w:val="24"/>
          <w:szCs w:val="24"/>
        </w:rPr>
        <w:t>：</w:t>
      </w:r>
      <w:r>
        <w:rPr>
          <w:rFonts w:hint="eastAsia" w:ascii="宋体" w:hAnsi="宋体"/>
          <w:sz w:val="24"/>
          <w:szCs w:val="24"/>
          <w:lang w:val="en-US" w:eastAsia="zh-CN"/>
        </w:rPr>
        <w:t>合同期限一</w:t>
      </w:r>
      <w:r>
        <w:rPr>
          <w:rFonts w:hint="eastAsia" w:ascii="宋体" w:hAnsi="宋体"/>
          <w:sz w:val="24"/>
          <w:szCs w:val="24"/>
        </w:rPr>
        <w:t>年</w:t>
      </w:r>
      <w:r>
        <w:rPr>
          <w:rFonts w:hint="eastAsia" w:ascii="宋体" w:hAnsi="宋体"/>
          <w:sz w:val="24"/>
          <w:szCs w:val="24"/>
          <w:lang w:val="en-US" w:eastAsia="zh-CN"/>
        </w:rPr>
        <w:t>。</w:t>
      </w:r>
    </w:p>
    <w:p>
      <w:pPr>
        <w:spacing w:line="400" w:lineRule="exact"/>
        <w:rPr>
          <w:rFonts w:hint="eastAsia" w:eastAsia="宋体" w:cs="宋体"/>
          <w:b/>
          <w:bCs/>
          <w:color w:val="auto"/>
          <w:sz w:val="24"/>
          <w:szCs w:val="24"/>
          <w:lang w:eastAsia="zh-CN"/>
        </w:rPr>
      </w:pPr>
      <w:r>
        <w:rPr>
          <w:rFonts w:hint="eastAsia" w:cs="宋体"/>
          <w:b/>
          <w:bCs/>
          <w:color w:val="auto"/>
          <w:sz w:val="24"/>
          <w:szCs w:val="24"/>
        </w:rPr>
        <w:t>二、申请人的资格要求：</w:t>
      </w:r>
    </w:p>
    <w:p>
      <w:pPr>
        <w:spacing w:line="400" w:lineRule="exact"/>
        <w:ind w:firstLine="480" w:firstLineChars="200"/>
        <w:rPr>
          <w:rFonts w:cs="宋体"/>
          <w:color w:val="auto"/>
          <w:sz w:val="24"/>
          <w:szCs w:val="24"/>
        </w:rPr>
      </w:pPr>
      <w:r>
        <w:rPr>
          <w:rFonts w:hint="eastAsia" w:cs="宋体"/>
          <w:color w:val="auto"/>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auto"/>
          <w:sz w:val="24"/>
          <w:szCs w:val="24"/>
        </w:rPr>
      </w:pPr>
      <w:r>
        <w:rPr>
          <w:rFonts w:hint="eastAsia" w:cs="宋体"/>
          <w:color w:val="auto"/>
          <w:sz w:val="24"/>
          <w:szCs w:val="24"/>
        </w:rPr>
        <w:t>2.落实政府采购政策需满足的资格要求：</w:t>
      </w:r>
      <w:r>
        <w:rPr>
          <w:rFonts w:hint="eastAsia" w:cs="宋体"/>
          <w:color w:val="auto"/>
          <w:sz w:val="24"/>
          <w:szCs w:val="24"/>
          <w:lang w:eastAsia="zh-CN"/>
        </w:rPr>
        <w:t>无</w:t>
      </w:r>
      <w:r>
        <w:rPr>
          <w:rFonts w:hint="eastAsia" w:cs="宋体"/>
          <w:color w:val="auto"/>
          <w:sz w:val="24"/>
          <w:szCs w:val="24"/>
        </w:rPr>
        <w:t>。</w:t>
      </w:r>
    </w:p>
    <w:p>
      <w:pPr>
        <w:spacing w:line="400" w:lineRule="exact"/>
        <w:ind w:firstLine="480" w:firstLineChars="200"/>
        <w:rPr>
          <w:rFonts w:cs="宋体"/>
          <w:color w:val="auto"/>
          <w:sz w:val="24"/>
          <w:szCs w:val="24"/>
        </w:rPr>
      </w:pPr>
      <w:r>
        <w:rPr>
          <w:rFonts w:hint="eastAsia" w:cs="宋体"/>
          <w:color w:val="auto"/>
          <w:sz w:val="24"/>
          <w:szCs w:val="24"/>
        </w:rPr>
        <w:t>3.本项目的特定资格要求：</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val="en-US" w:eastAsia="zh-CN"/>
        </w:rPr>
        <w:t>（1）</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eastAsia="zh-CN"/>
        </w:rPr>
        <w:t>（</w:t>
      </w:r>
      <w:r>
        <w:rPr>
          <w:rFonts w:hint="eastAsia" w:cs="宋体"/>
          <w:color w:val="000000"/>
          <w:sz w:val="24"/>
          <w:szCs w:val="24"/>
          <w:lang w:val="en-US" w:eastAsia="zh-CN"/>
        </w:rPr>
        <w:t>2)</w:t>
      </w:r>
      <w:r>
        <w:rPr>
          <w:rFonts w:hint="eastAsia" w:cs="宋体"/>
          <w:color w:val="000000"/>
          <w:sz w:val="24"/>
          <w:szCs w:val="24"/>
          <w:lang w:eastAsia="zh-CN"/>
        </w:rPr>
        <w:t>提供有效的行政主管部门颁发的医疗器械经营备案凭证（或医疗器械生产许可证或医疗器械经营许可证）；</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3</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4</w:t>
      </w:r>
      <w:r>
        <w:rPr>
          <w:rFonts w:hint="eastAsia" w:cs="宋体"/>
          <w:color w:val="000000"/>
          <w:sz w:val="24"/>
          <w:szCs w:val="24"/>
          <w:lang w:eastAsia="zh-CN"/>
        </w:rPr>
        <w:t>）</w:t>
      </w:r>
      <w:r>
        <w:rPr>
          <w:rFonts w:hint="eastAsia" w:cs="宋体"/>
          <w:color w:val="000000"/>
          <w:sz w:val="24"/>
          <w:szCs w:val="24"/>
          <w:lang w:val="en-US" w:eastAsia="zh-CN"/>
        </w:rPr>
        <w:t>不接受联合体投标。</w:t>
      </w:r>
    </w:p>
    <w:p>
      <w:pPr>
        <w:spacing w:line="400" w:lineRule="exact"/>
        <w:ind w:firstLine="480" w:firstLineChars="200"/>
        <w:rPr>
          <w:rFonts w:hint="default" w:cs="宋体"/>
          <w:color w:val="000000"/>
          <w:sz w:val="24"/>
          <w:szCs w:val="24"/>
          <w:lang w:val="en-US" w:eastAsia="zh-CN"/>
        </w:rPr>
      </w:pP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auto"/>
          <w:sz w:val="24"/>
          <w:szCs w:val="24"/>
        </w:rPr>
      </w:pPr>
      <w:r>
        <w:rPr>
          <w:rFonts w:hint="eastAsia" w:cs="宋体"/>
          <w:color w:val="auto"/>
          <w:sz w:val="24"/>
          <w:szCs w:val="24"/>
        </w:rPr>
        <w:t>时间：</w:t>
      </w:r>
      <w:r>
        <w:rPr>
          <w:rFonts w:hint="eastAsia" w:cs="宋体"/>
          <w:color w:val="auto"/>
          <w:sz w:val="24"/>
          <w:szCs w:val="24"/>
          <w:lang w:val="en-US" w:eastAsia="zh-CN"/>
        </w:rPr>
        <w:t>2023年12月14日10:00(北京时间)至2023年12月21日19:30（北京时间）</w:t>
      </w:r>
      <w:r>
        <w:rPr>
          <w:rFonts w:cs="宋体"/>
          <w:color w:val="auto"/>
          <w:sz w:val="24"/>
          <w:szCs w:val="24"/>
        </w:rPr>
        <w:t xml:space="preserve"> </w:t>
      </w:r>
    </w:p>
    <w:p>
      <w:pPr>
        <w:spacing w:line="400" w:lineRule="exact"/>
        <w:ind w:firstLine="480" w:firstLineChars="200"/>
        <w:rPr>
          <w:rFonts w:hint="eastAsia" w:cs="宋体"/>
          <w:color w:val="auto"/>
          <w:sz w:val="24"/>
          <w:szCs w:val="24"/>
        </w:rPr>
      </w:pPr>
      <w:r>
        <w:rPr>
          <w:rFonts w:hint="eastAsia" w:cs="宋体"/>
          <w:color w:val="auto"/>
          <w:sz w:val="24"/>
          <w:szCs w:val="24"/>
        </w:rPr>
        <w:t>地点：政采云平台线上</w:t>
      </w:r>
    </w:p>
    <w:p>
      <w:pPr>
        <w:spacing w:line="400" w:lineRule="exact"/>
        <w:ind w:firstLine="480" w:firstLineChars="200"/>
        <w:rPr>
          <w:rFonts w:hint="eastAsia" w:cs="宋体"/>
          <w:color w:val="auto"/>
          <w:sz w:val="24"/>
          <w:szCs w:val="24"/>
        </w:rPr>
      </w:pPr>
      <w:r>
        <w:rPr>
          <w:rFonts w:hint="eastAsia" w:cs="宋体"/>
          <w:color w:val="auto"/>
          <w:sz w:val="24"/>
          <w:szCs w:val="24"/>
        </w:rPr>
        <w:t>方式：供应商登录政采云平台https://www.zcygov.cn/在线申请获取采购文件（进入“项目采购”应用，在获取采购文件菜单中选择项目，申请获取采购文件） </w:t>
      </w:r>
    </w:p>
    <w:p>
      <w:pPr>
        <w:spacing w:line="400" w:lineRule="exact"/>
        <w:ind w:firstLine="480" w:firstLineChars="200"/>
        <w:rPr>
          <w:rFonts w:hint="default" w:eastAsia="宋体" w:cs="宋体"/>
          <w:color w:val="auto"/>
          <w:sz w:val="24"/>
          <w:szCs w:val="24"/>
          <w:lang w:val="en-US" w:eastAsia="zh-CN"/>
        </w:rPr>
      </w:pPr>
      <w:r>
        <w:rPr>
          <w:rFonts w:hint="eastAsia" w:cs="宋体"/>
          <w:color w:val="auto"/>
          <w:sz w:val="24"/>
          <w:szCs w:val="24"/>
        </w:rPr>
        <w:t>售价（元）：</w:t>
      </w:r>
      <w:r>
        <w:rPr>
          <w:rFonts w:hint="eastAsia" w:cs="宋体"/>
          <w:color w:val="auto"/>
          <w:sz w:val="24"/>
          <w:szCs w:val="24"/>
          <w:lang w:val="en-US" w:eastAsia="zh-CN"/>
        </w:rPr>
        <w:t>0</w:t>
      </w:r>
    </w:p>
    <w:p>
      <w:pPr>
        <w:spacing w:line="400" w:lineRule="exact"/>
        <w:rPr>
          <w:rFonts w:cs="宋体"/>
          <w:b/>
          <w:bCs/>
          <w:color w:val="auto"/>
          <w:sz w:val="24"/>
          <w:szCs w:val="24"/>
        </w:rPr>
      </w:pPr>
      <w:r>
        <w:rPr>
          <w:rFonts w:hint="eastAsia" w:cs="宋体"/>
          <w:b/>
          <w:bCs/>
          <w:color w:val="auto"/>
          <w:sz w:val="24"/>
          <w:szCs w:val="24"/>
        </w:rPr>
        <w:t>四、响应文件提交</w:t>
      </w:r>
    </w:p>
    <w:p>
      <w:pPr>
        <w:spacing w:line="400" w:lineRule="exact"/>
        <w:ind w:firstLine="480" w:firstLineChars="200"/>
        <w:rPr>
          <w:rFonts w:cs="宋体"/>
          <w:color w:val="auto"/>
          <w:sz w:val="24"/>
          <w:szCs w:val="24"/>
        </w:rPr>
      </w:pPr>
      <w:r>
        <w:rPr>
          <w:rFonts w:hint="eastAsia" w:cs="宋体"/>
          <w:color w:val="auto"/>
          <w:sz w:val="24"/>
          <w:szCs w:val="24"/>
        </w:rPr>
        <w:t>截止时间：</w:t>
      </w:r>
      <w:r>
        <w:rPr>
          <w:rFonts w:hint="eastAsia" w:cs="宋体"/>
          <w:color w:val="auto"/>
          <w:sz w:val="24"/>
          <w:szCs w:val="24"/>
          <w:lang w:val="en-US" w:eastAsia="zh-CN"/>
        </w:rPr>
        <w:t>2023年12月26日16:30（北京时间）</w:t>
      </w:r>
    </w:p>
    <w:p>
      <w:pPr>
        <w:spacing w:line="400" w:lineRule="exact"/>
        <w:ind w:firstLine="480" w:firstLineChars="200"/>
        <w:rPr>
          <w:rFonts w:cs="宋体"/>
          <w:color w:val="auto"/>
          <w:sz w:val="24"/>
          <w:szCs w:val="24"/>
        </w:rPr>
      </w:pPr>
      <w:r>
        <w:rPr>
          <w:rFonts w:hint="eastAsia" w:cs="宋体"/>
          <w:color w:val="auto"/>
          <w:sz w:val="24"/>
          <w:szCs w:val="24"/>
        </w:rPr>
        <w:t>地点：</w:t>
      </w:r>
      <w:r>
        <w:rPr>
          <w:rFonts w:hint="eastAsia" w:cs="宋体"/>
          <w:color w:val="auto"/>
          <w:sz w:val="24"/>
          <w:szCs w:val="24"/>
          <w:lang w:eastAsia="zh-CN"/>
        </w:rPr>
        <w:t>政采云全流程电子标</w:t>
      </w:r>
    </w:p>
    <w:p>
      <w:pPr>
        <w:spacing w:line="400" w:lineRule="exact"/>
        <w:rPr>
          <w:rFonts w:cs="宋体"/>
          <w:b/>
          <w:bCs/>
          <w:color w:val="auto"/>
          <w:sz w:val="24"/>
          <w:szCs w:val="24"/>
        </w:rPr>
      </w:pPr>
      <w:r>
        <w:rPr>
          <w:rFonts w:hint="eastAsia" w:cs="宋体"/>
          <w:b/>
          <w:bCs/>
          <w:color w:val="auto"/>
          <w:sz w:val="24"/>
          <w:szCs w:val="24"/>
        </w:rPr>
        <w:t>五、响应文件开启</w:t>
      </w:r>
    </w:p>
    <w:p>
      <w:pPr>
        <w:spacing w:line="400" w:lineRule="exact"/>
        <w:ind w:firstLine="480" w:firstLineChars="200"/>
        <w:rPr>
          <w:rFonts w:cs="宋体"/>
          <w:color w:val="auto"/>
          <w:sz w:val="24"/>
          <w:szCs w:val="24"/>
        </w:rPr>
      </w:pPr>
      <w:r>
        <w:rPr>
          <w:rFonts w:hint="eastAsia" w:cs="宋体"/>
          <w:color w:val="auto"/>
          <w:sz w:val="24"/>
          <w:szCs w:val="24"/>
        </w:rPr>
        <w:t>截止时间：</w:t>
      </w:r>
      <w:r>
        <w:rPr>
          <w:rFonts w:hint="eastAsia" w:cs="宋体"/>
          <w:color w:val="auto"/>
          <w:sz w:val="24"/>
          <w:szCs w:val="24"/>
          <w:lang w:val="en-US" w:eastAsia="zh-CN"/>
        </w:rPr>
        <w:t>2023年12月26日16:30（北京时间）</w:t>
      </w:r>
    </w:p>
    <w:p>
      <w:pPr>
        <w:spacing w:line="400" w:lineRule="exact"/>
        <w:ind w:firstLine="480" w:firstLineChars="200"/>
        <w:rPr>
          <w:rFonts w:cs="宋体"/>
          <w:color w:val="auto"/>
          <w:sz w:val="24"/>
          <w:szCs w:val="24"/>
        </w:rPr>
      </w:pPr>
      <w:r>
        <w:rPr>
          <w:rFonts w:hint="eastAsia" w:cs="宋体"/>
          <w:color w:val="auto"/>
          <w:sz w:val="24"/>
          <w:szCs w:val="24"/>
        </w:rPr>
        <w:t>地点：</w:t>
      </w:r>
      <w:r>
        <w:rPr>
          <w:rFonts w:hint="eastAsia" w:cs="宋体"/>
          <w:color w:val="auto"/>
          <w:sz w:val="24"/>
          <w:szCs w:val="24"/>
          <w:lang w:eastAsia="zh-CN"/>
        </w:rPr>
        <w:t>政采云全流程电子标</w:t>
      </w:r>
    </w:p>
    <w:p>
      <w:pPr>
        <w:spacing w:line="400" w:lineRule="exact"/>
        <w:rPr>
          <w:rFonts w:cs="宋体"/>
          <w:b/>
          <w:bCs/>
          <w:color w:val="auto"/>
          <w:sz w:val="24"/>
          <w:szCs w:val="24"/>
        </w:rPr>
      </w:pPr>
      <w:r>
        <w:rPr>
          <w:rFonts w:hint="eastAsia" w:cs="宋体"/>
          <w:b/>
          <w:bCs/>
          <w:color w:val="auto"/>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p>
    <w:p>
      <w:pPr>
        <w:spacing w:line="400" w:lineRule="exact"/>
        <w:ind w:firstLine="480" w:firstLineChars="200"/>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名称：昌吉回族自治州人民医院</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联 系 人：</w:t>
      </w:r>
      <w:r>
        <w:rPr>
          <w:rFonts w:hint="eastAsia" w:cs="宋体"/>
          <w:color w:val="000000"/>
          <w:sz w:val="24"/>
          <w:szCs w:val="24"/>
          <w:lang w:val="en-US" w:eastAsia="zh-CN"/>
        </w:rPr>
        <w:t>郭老师</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18909945698</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新疆天润源工程管理咨询有限公司</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 系 人：</w:t>
      </w:r>
      <w:r>
        <w:rPr>
          <w:rFonts w:hint="eastAsia" w:cs="宋体"/>
          <w:color w:val="000000"/>
          <w:sz w:val="24"/>
          <w:szCs w:val="24"/>
          <w:lang w:val="en-US" w:eastAsia="zh-CN"/>
        </w:rPr>
        <w:t xml:space="preserve">张凯伦 刘阳   </w:t>
      </w:r>
      <w:r>
        <w:rPr>
          <w:rFonts w:hint="eastAsia" w:cs="宋体"/>
          <w:color w:val="000000"/>
          <w:sz w:val="24"/>
          <w:szCs w:val="24"/>
        </w:rPr>
        <w:t>电    话：</w:t>
      </w:r>
      <w:r>
        <w:rPr>
          <w:rFonts w:hint="eastAsia" w:cs="宋体"/>
          <w:color w:val="000000"/>
          <w:sz w:val="24"/>
          <w:szCs w:val="24"/>
          <w:lang w:val="en-US" w:eastAsia="zh-CN"/>
        </w:rPr>
        <w:t xml:space="preserve">0994-2213006  </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rPr>
        <w:t>联系地址：</w:t>
      </w:r>
      <w:r>
        <w:rPr>
          <w:rFonts w:hint="eastAsia" w:cs="宋体"/>
          <w:color w:val="000000"/>
          <w:sz w:val="24"/>
          <w:szCs w:val="24"/>
          <w:lang w:val="en-US" w:eastAsia="zh-CN"/>
        </w:rPr>
        <w:t>新疆昌吉回族自治州昌吉市屯河北路新天地商务港711室</w:t>
      </w:r>
    </w:p>
    <w:p>
      <w:pPr>
        <w:spacing w:line="400" w:lineRule="exact"/>
        <w:ind w:firstLine="480" w:firstLineChars="200"/>
        <w:rPr>
          <w:rFonts w:hint="eastAsia" w:cs="宋体"/>
          <w:color w:val="000000"/>
          <w:sz w:val="24"/>
          <w:szCs w:val="24"/>
          <w:lang w:val="en-US" w:eastAsia="zh-CN"/>
        </w:rPr>
      </w:pPr>
    </w:p>
    <w:p>
      <w:pPr>
        <w:pStyle w:val="2"/>
        <w:numPr>
          <w:ilvl w:val="0"/>
          <w:numId w:val="0"/>
        </w:numPr>
        <w:spacing w:before="0" w:after="0" w:line="240" w:lineRule="auto"/>
        <w:jc w:val="both"/>
      </w:pPr>
      <w:bookmarkStart w:id="7" w:name="_Toc21077"/>
      <w:bookmarkStart w:id="8" w:name="_Toc136"/>
      <w:bookmarkStart w:id="9" w:name="_Toc19733"/>
    </w:p>
    <w:p/>
    <w:p>
      <w:pPr>
        <w:pStyle w:val="23"/>
      </w:pPr>
    </w:p>
    <w:p>
      <w:pPr>
        <w:pStyle w:val="23"/>
      </w:pPr>
    </w:p>
    <w:p>
      <w:pPr>
        <w:pStyle w:val="23"/>
      </w:pPr>
    </w:p>
    <w:p>
      <w:pPr>
        <w:pStyle w:val="23"/>
      </w:pPr>
    </w:p>
    <w:p>
      <w:pPr>
        <w:pStyle w:val="2"/>
        <w:numPr>
          <w:ilvl w:val="0"/>
          <w:numId w:val="1"/>
        </w:numPr>
        <w:spacing w:before="0" w:after="0" w:line="240" w:lineRule="auto"/>
      </w:pPr>
      <w:r>
        <w:rPr>
          <w:rFonts w:hint="eastAsia"/>
        </w:rPr>
        <w:t>供应商须知</w:t>
      </w:r>
      <w:bookmarkEnd w:id="5"/>
      <w:bookmarkEnd w:id="6"/>
      <w:bookmarkEnd w:id="7"/>
      <w:bookmarkEnd w:id="8"/>
      <w:bookmarkEnd w:id="9"/>
      <w:bookmarkStart w:id="10" w:name="_Toc21720"/>
    </w:p>
    <w:p>
      <w:pPr>
        <w:pStyle w:val="3"/>
      </w:pPr>
      <w:r>
        <w:rPr>
          <w:rFonts w:hint="eastAsia"/>
        </w:rPr>
        <w:t>供应商须知前附表</w:t>
      </w:r>
      <w:bookmarkEnd w:id="10"/>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hAnsi="Times New Roman" w:cs="宋体"/>
                <w:color w:val="000000" w:themeColor="text1"/>
                <w:sz w:val="24"/>
                <w:szCs w:val="24"/>
                <w:lang w:val="en-US" w:eastAsia="zh-CN"/>
                <w14:textFill>
                  <w14:solidFill>
                    <w14:schemeClr w14:val="tx1"/>
                  </w14:solidFill>
                </w14:textFill>
              </w:rPr>
              <w:t>昌吉回族自治州人民医院超声设备维保项目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名称：昌吉回族自治州人民医院</w:t>
            </w:r>
          </w:p>
          <w:p>
            <w:pPr>
              <w:adjustRightInd w:val="0"/>
              <w:snapToGrid w:val="0"/>
              <w:spacing w:before="120" w:beforeLines="50"/>
              <w:jc w:val="left"/>
              <w:rPr>
                <w:rFonts w:hint="default" w:eastAsia="宋体" w:cs="宋体"/>
                <w:color w:val="000000"/>
                <w:sz w:val="24"/>
                <w:szCs w:val="24"/>
                <w:lang w:val="en-US" w:eastAsia="zh-CN"/>
              </w:rPr>
            </w:pPr>
            <w:r>
              <w:rPr>
                <w:rFonts w:hint="eastAsia" w:cs="宋体"/>
                <w:color w:val="000000"/>
                <w:sz w:val="24"/>
                <w:szCs w:val="24"/>
              </w:rPr>
              <w:t xml:space="preserve">联 系 人： </w:t>
            </w:r>
            <w:r>
              <w:rPr>
                <w:rFonts w:hint="eastAsia" w:cs="宋体"/>
                <w:color w:val="000000"/>
                <w:sz w:val="24"/>
                <w:szCs w:val="24"/>
                <w:lang w:val="en-US" w:eastAsia="zh-CN"/>
              </w:rPr>
              <w:t>郭老师</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18909945698</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新疆天润源工程管理咨询有限公司</w:t>
            </w:r>
          </w:p>
          <w:p>
            <w:pPr>
              <w:spacing w:line="400" w:lineRule="exact"/>
              <w:rPr>
                <w:rFonts w:hint="eastAsia" w:eastAsia="宋体" w:cs="宋体"/>
                <w:color w:val="000000"/>
                <w:sz w:val="24"/>
                <w:szCs w:val="24"/>
                <w:lang w:eastAsia="zh-CN"/>
              </w:rPr>
            </w:pPr>
            <w:r>
              <w:rPr>
                <w:rFonts w:hint="eastAsia" w:cs="宋体"/>
                <w:color w:val="000000"/>
                <w:sz w:val="24"/>
                <w:szCs w:val="24"/>
              </w:rPr>
              <w:t>联系人：</w:t>
            </w:r>
            <w:r>
              <w:rPr>
                <w:rFonts w:hint="eastAsia" w:cs="宋体"/>
                <w:color w:val="000000"/>
                <w:sz w:val="24"/>
                <w:szCs w:val="24"/>
                <w:lang w:val="en-US" w:eastAsia="zh-CN"/>
              </w:rPr>
              <w:t>张凯伦 刘阳</w:t>
            </w:r>
          </w:p>
          <w:p>
            <w:pPr>
              <w:spacing w:line="400" w:lineRule="exact"/>
              <w:rPr>
                <w:rFonts w:hint="default" w:eastAsia="宋体" w:cs="宋体"/>
                <w:color w:val="000000"/>
                <w:sz w:val="24"/>
                <w:szCs w:val="24"/>
                <w:lang w:val="en-US" w:eastAsia="zh-CN"/>
              </w:rPr>
            </w:pPr>
            <w:r>
              <w:rPr>
                <w:rFonts w:hint="eastAsia" w:cs="宋体"/>
                <w:color w:val="000000"/>
                <w:sz w:val="24"/>
                <w:szCs w:val="24"/>
              </w:rPr>
              <w:t>电话：</w:t>
            </w:r>
            <w:r>
              <w:rPr>
                <w:rFonts w:hint="eastAsia" w:cs="宋体"/>
                <w:color w:val="000000"/>
                <w:sz w:val="24"/>
                <w:szCs w:val="24"/>
                <w:lang w:val="en-US" w:eastAsia="zh-CN"/>
              </w:rPr>
              <w:t>0994-2213006</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cs="宋体"/>
                <w:color w:val="000000"/>
                <w:sz w:val="24"/>
                <w:szCs w:val="24"/>
                <w:lang w:val="en-US" w:eastAsia="zh-CN"/>
              </w:rPr>
              <w:t>新疆昌吉回族自治州昌吉市屯河北路新天地商务港711室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rPr>
                <w:rFonts w:hint="eastAsia" w:cs="宋体"/>
                <w:color w:val="000000"/>
                <w:sz w:val="24"/>
                <w:szCs w:val="24"/>
                <w:lang w:eastAsia="zh-CN"/>
              </w:rPr>
            </w:pPr>
            <w:r>
              <w:rPr>
                <w:rFonts w:hint="eastAsia" w:cs="宋体"/>
                <w:color w:val="000000"/>
                <w:sz w:val="24"/>
                <w:szCs w:val="24"/>
                <w:lang w:val="en-US" w:eastAsia="zh-CN"/>
              </w:rPr>
              <w:t>（1）</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rPr>
                <w:rFonts w:hint="eastAsia" w:cs="宋体"/>
                <w:color w:val="000000"/>
                <w:sz w:val="24"/>
                <w:szCs w:val="24"/>
                <w:lang w:eastAsia="zh-CN"/>
              </w:rPr>
            </w:pPr>
            <w:r>
              <w:rPr>
                <w:rFonts w:hint="eastAsia" w:cs="宋体"/>
                <w:color w:val="000000"/>
                <w:sz w:val="24"/>
                <w:szCs w:val="24"/>
                <w:lang w:eastAsia="zh-CN"/>
              </w:rPr>
              <w:t>（</w:t>
            </w:r>
            <w:r>
              <w:rPr>
                <w:rFonts w:hint="eastAsia" w:cs="宋体"/>
                <w:color w:val="000000"/>
                <w:sz w:val="24"/>
                <w:szCs w:val="24"/>
                <w:lang w:val="en-US" w:eastAsia="zh-CN"/>
              </w:rPr>
              <w:t>2)</w:t>
            </w:r>
            <w:r>
              <w:rPr>
                <w:rFonts w:hint="eastAsia" w:cs="宋体"/>
                <w:color w:val="000000"/>
                <w:sz w:val="24"/>
                <w:szCs w:val="24"/>
                <w:lang w:eastAsia="zh-CN"/>
              </w:rPr>
              <w:t>提供有效的行政主管部门颁发的医疗器械经营备案凭证（或医疗器械生产许可证或医疗器械经营许可证）；</w:t>
            </w:r>
          </w:p>
          <w:p>
            <w:pPr>
              <w:spacing w:line="400" w:lineRule="exact"/>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3</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w:t>
            </w:r>
            <w:r>
              <w:rPr>
                <w:rFonts w:hint="eastAsia" w:cs="宋体"/>
                <w:color w:val="000000"/>
                <w:sz w:val="24"/>
                <w:szCs w:val="24"/>
                <w:lang w:val="en-US" w:eastAsia="zh-CN"/>
              </w:rPr>
              <w:t>4</w:t>
            </w:r>
            <w:r>
              <w:rPr>
                <w:rFonts w:hint="eastAsia" w:cs="宋体"/>
                <w:color w:val="000000"/>
                <w:sz w:val="24"/>
                <w:szCs w:val="24"/>
                <w:lang w:eastAsia="zh-CN"/>
              </w:rPr>
              <w:t>）</w:t>
            </w:r>
            <w:r>
              <w:rPr>
                <w:rFonts w:hint="eastAsia" w:cs="宋体"/>
                <w:color w:val="000000"/>
                <w:sz w:val="24"/>
                <w:szCs w:val="24"/>
                <w:lang w:val="en-US" w:eastAsia="zh-CN"/>
              </w:rPr>
              <w:t>不接受联合体投标。</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300000.00元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val="zh-CN"/>
              </w:rPr>
              <w:t>金额（大写）：</w:t>
            </w:r>
            <w:r>
              <w:rPr>
                <w:rFonts w:hint="eastAsia" w:ascii="宋体" w:hAnsi="宋体" w:cs="宋体"/>
                <w:sz w:val="24"/>
                <w:szCs w:val="24"/>
                <w:lang w:val="en-US" w:eastAsia="zh-CN"/>
              </w:rPr>
              <w:t>肆叁拾</w:t>
            </w:r>
            <w:r>
              <w:rPr>
                <w:rFonts w:hint="eastAsia" w:ascii="宋体" w:hAnsi="宋体" w:cs="宋体"/>
                <w:color w:val="000000" w:themeColor="text1"/>
                <w:sz w:val="24"/>
                <w:szCs w:val="24"/>
                <w:lang w:val="zh-CN"/>
                <w14:textFill>
                  <w14:solidFill>
                    <w14:schemeClr w14:val="tx1"/>
                  </w14:solidFill>
                </w14:textFill>
              </w:rPr>
              <w:t>万元整</w:t>
            </w:r>
          </w:p>
          <w:p>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cs="宋体"/>
                <w:b/>
                <w:bCs/>
                <w:color w:val="000000" w:themeColor="text1"/>
                <w:sz w:val="24"/>
                <w:szCs w:val="24"/>
                <w14:textFill>
                  <w14:solidFill>
                    <w14:schemeClr w14:val="tx1"/>
                  </w14:solidFill>
                </w14:textFill>
              </w:rPr>
              <w:t>本项目设有最高限价：</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楷体" w:hAnsi="楷体" w:eastAsia="楷体" w:cstheme="majorEastAsia"/>
                <w:b/>
                <w:bCs/>
                <w:color w:val="auto"/>
                <w:kern w:val="0"/>
                <w:sz w:val="24"/>
                <w:szCs w:val="24"/>
                <w:lang w:val="en-US" w:eastAsia="zh-CN"/>
              </w:rPr>
              <w:t>00000.00</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cs="宋体"/>
                <w:color w:val="000000" w:themeColor="text1"/>
                <w:sz w:val="24"/>
                <w:szCs w:val="24"/>
                <w:highlight w:val="none"/>
                <w14:textFill>
                  <w14:solidFill>
                    <w14:schemeClr w14:val="tx1"/>
                  </w14:solidFill>
                </w14:textFill>
              </w:rPr>
              <w:t>（大写：</w:t>
            </w:r>
            <w:r>
              <w:rPr>
                <w:rFonts w:hint="eastAsia" w:ascii="宋体" w:hAnsi="宋体" w:cs="宋体"/>
                <w:b/>
                <w:bCs/>
                <w:color w:val="auto"/>
                <w:kern w:val="0"/>
                <w:sz w:val="24"/>
                <w:szCs w:val="24"/>
                <w:lang w:val="en-US" w:eastAsia="zh-CN" w:bidi="ar"/>
              </w:rPr>
              <w:t>叁拾万元整</w:t>
            </w:r>
            <w:r>
              <w:rPr>
                <w:rFonts w:hint="eastAsia"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服务期限</w:t>
            </w:r>
          </w:p>
        </w:tc>
        <w:tc>
          <w:tcPr>
            <w:tcW w:w="6038" w:type="dxa"/>
            <w:vAlign w:val="center"/>
          </w:tcPr>
          <w:p>
            <w:pPr>
              <w:adjustRightInd w:val="0"/>
              <w:snapToGrid w:val="0"/>
              <w:spacing w:before="120" w:beforeLines="50"/>
              <w:jc w:val="left"/>
              <w:rPr>
                <w:rFonts w:ascii="宋体" w:hAnsi="宋体" w:cs="宋体"/>
                <w:b/>
                <w:bCs/>
                <w:color w:val="auto"/>
                <w:sz w:val="24"/>
                <w:szCs w:val="24"/>
              </w:rPr>
            </w:pPr>
            <w:r>
              <w:rPr>
                <w:rFonts w:hint="eastAsia" w:ascii="宋体" w:hAnsi="宋体" w:cs="宋体"/>
                <w:b/>
                <w:bCs/>
                <w:color w:val="auto"/>
                <w:sz w:val="24"/>
                <w:szCs w:val="24"/>
                <w:lang w:val="en-US" w:eastAsia="zh-CN"/>
              </w:rPr>
              <w:t>合同期限一</w:t>
            </w:r>
            <w:r>
              <w:rPr>
                <w:rFonts w:hint="eastAsia" w:ascii="宋体" w:hAnsi="宋体" w:cs="宋体"/>
                <w:b/>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rPr>
                <w:rFonts w:hint="eastAsia" w:eastAsia="仿宋"/>
                <w:lang w:val="en-US" w:eastAsia="zh-CN"/>
              </w:rPr>
            </w:pPr>
            <w:r>
              <w:rPr>
                <w:rFonts w:ascii="仿宋" w:hAnsi="仿宋" w:eastAsia="仿宋" w:cs="仿宋"/>
                <w:i w:val="0"/>
                <w:iCs w:val="0"/>
                <w:caps w:val="0"/>
                <w:color w:val="000000"/>
                <w:spacing w:val="0"/>
                <w:sz w:val="27"/>
                <w:szCs w:val="27"/>
              </w:rPr>
              <w:t>报名的同时要缴</w:t>
            </w:r>
            <w:r>
              <w:rPr>
                <w:rFonts w:ascii="仿宋" w:hAnsi="仿宋" w:eastAsia="仿宋" w:cs="仿宋"/>
                <w:i w:val="0"/>
                <w:iCs w:val="0"/>
                <w:caps w:val="0"/>
                <w:color w:val="auto"/>
                <w:spacing w:val="0"/>
                <w:sz w:val="27"/>
                <w:szCs w:val="27"/>
              </w:rPr>
              <w:t>纳投标保证金，投标保证金缴纳形式：以银行转账、电汇、支票、银行汇票等非现金形式提交。银行电子保函（咨询电话：400-903-9583）或者保险公司、担保公司电子保函应当从其基本账户开具。以供应商基本账户以外的个人、供应商的办事处、分公司、子公司名义或者其他账户转出的投标保证金无效。为保障资金的安全性和简化程序，建议供应商采用银行转账或者电子保函形式提交投标保证金。</w:t>
            </w:r>
            <w:r>
              <w:rPr>
                <w:rFonts w:hint="eastAsia" w:ascii="仿宋" w:hAnsi="仿宋" w:eastAsia="仿宋" w:cs="仿宋"/>
                <w:i w:val="0"/>
                <w:iCs w:val="0"/>
                <w:caps w:val="0"/>
                <w:color w:val="auto"/>
                <w:spacing w:val="0"/>
                <w:sz w:val="27"/>
                <w:szCs w:val="27"/>
              </w:rPr>
              <w:br w:type="textWrapping"/>
            </w:r>
            <w:r>
              <w:rPr>
                <w:rFonts w:ascii="仿宋" w:hAnsi="仿宋" w:eastAsia="仿宋" w:cs="仿宋"/>
                <w:i w:val="0"/>
                <w:iCs w:val="0"/>
                <w:caps w:val="0"/>
                <w:color w:val="auto"/>
                <w:spacing w:val="0"/>
                <w:sz w:val="27"/>
                <w:szCs w:val="27"/>
              </w:rPr>
              <w:t>保证金为：</w:t>
            </w:r>
            <w:r>
              <w:rPr>
                <w:rFonts w:hint="eastAsia" w:ascii="仿宋" w:hAnsi="仿宋" w:eastAsia="仿宋" w:cs="仿宋"/>
                <w:i w:val="0"/>
                <w:iCs w:val="0"/>
                <w:caps w:val="0"/>
                <w:color w:val="auto"/>
                <w:spacing w:val="0"/>
                <w:sz w:val="27"/>
                <w:szCs w:val="27"/>
                <w:lang w:val="en-US" w:eastAsia="zh-CN"/>
              </w:rPr>
              <w:t>5000</w:t>
            </w:r>
            <w:r>
              <w:rPr>
                <w:rFonts w:ascii="仿宋" w:hAnsi="仿宋" w:eastAsia="仿宋" w:cs="仿宋"/>
                <w:i w:val="0"/>
                <w:iCs w:val="0"/>
                <w:caps w:val="0"/>
                <w:color w:val="auto"/>
                <w:spacing w:val="0"/>
                <w:sz w:val="27"/>
                <w:szCs w:val="27"/>
              </w:rPr>
              <w:t>元（</w:t>
            </w:r>
            <w:r>
              <w:rPr>
                <w:rFonts w:hint="eastAsia" w:ascii="仿宋" w:hAnsi="仿宋" w:eastAsia="仿宋" w:cs="仿宋"/>
                <w:i w:val="0"/>
                <w:iCs w:val="0"/>
                <w:caps w:val="0"/>
                <w:color w:val="auto"/>
                <w:spacing w:val="0"/>
                <w:sz w:val="27"/>
                <w:szCs w:val="27"/>
                <w:lang w:val="en-US" w:eastAsia="zh-CN"/>
              </w:rPr>
              <w:t>伍仟</w:t>
            </w:r>
            <w:r>
              <w:rPr>
                <w:rFonts w:ascii="仿宋" w:hAnsi="仿宋" w:eastAsia="仿宋" w:cs="仿宋"/>
                <w:i w:val="0"/>
                <w:iCs w:val="0"/>
                <w:caps w:val="0"/>
                <w:color w:val="auto"/>
                <w:spacing w:val="0"/>
                <w:sz w:val="27"/>
                <w:szCs w:val="27"/>
              </w:rPr>
              <w:t>元整)。</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投标保证金的缴纳时间为</w:t>
            </w:r>
            <w:r>
              <w:rPr>
                <w:rFonts w:hint="eastAsia" w:ascii="仿宋" w:hAnsi="仿宋" w:eastAsia="仿宋" w:cs="仿宋"/>
                <w:b/>
                <w:bCs/>
                <w:i w:val="0"/>
                <w:iCs w:val="0"/>
                <w:caps w:val="0"/>
                <w:color w:val="auto"/>
                <w:spacing w:val="0"/>
                <w:sz w:val="27"/>
                <w:szCs w:val="27"/>
              </w:rPr>
              <w:t>2023年1</w:t>
            </w:r>
            <w:r>
              <w:rPr>
                <w:rFonts w:hint="eastAsia" w:ascii="仿宋" w:hAnsi="仿宋" w:eastAsia="仿宋" w:cs="仿宋"/>
                <w:b/>
                <w:bCs/>
                <w:i w:val="0"/>
                <w:iCs w:val="0"/>
                <w:caps w:val="0"/>
                <w:color w:val="auto"/>
                <w:spacing w:val="0"/>
                <w:sz w:val="27"/>
                <w:szCs w:val="27"/>
                <w:lang w:val="en-US" w:eastAsia="zh-CN"/>
              </w:rPr>
              <w:t>2</w:t>
            </w:r>
            <w:r>
              <w:rPr>
                <w:rFonts w:hint="eastAsia" w:ascii="仿宋" w:hAnsi="仿宋" w:eastAsia="仿宋" w:cs="仿宋"/>
                <w:b/>
                <w:bCs/>
                <w:i w:val="0"/>
                <w:iCs w:val="0"/>
                <w:caps w:val="0"/>
                <w:color w:val="auto"/>
                <w:spacing w:val="0"/>
                <w:sz w:val="27"/>
                <w:szCs w:val="27"/>
              </w:rPr>
              <w:t>月1</w:t>
            </w:r>
            <w:r>
              <w:rPr>
                <w:rFonts w:hint="eastAsia" w:ascii="仿宋" w:hAnsi="仿宋" w:eastAsia="仿宋" w:cs="仿宋"/>
                <w:b/>
                <w:bCs/>
                <w:i w:val="0"/>
                <w:iCs w:val="0"/>
                <w:caps w:val="0"/>
                <w:color w:val="auto"/>
                <w:spacing w:val="0"/>
                <w:sz w:val="27"/>
                <w:szCs w:val="27"/>
                <w:lang w:val="en-US" w:eastAsia="zh-CN"/>
              </w:rPr>
              <w:t>4</w:t>
            </w:r>
            <w:bookmarkStart w:id="144" w:name="_GoBack"/>
            <w:bookmarkEnd w:id="144"/>
            <w:r>
              <w:rPr>
                <w:rFonts w:hint="eastAsia" w:ascii="仿宋" w:hAnsi="仿宋" w:eastAsia="仿宋" w:cs="仿宋"/>
                <w:b/>
                <w:bCs/>
                <w:i w:val="0"/>
                <w:iCs w:val="0"/>
                <w:caps w:val="0"/>
                <w:color w:val="auto"/>
                <w:spacing w:val="0"/>
                <w:sz w:val="27"/>
                <w:szCs w:val="27"/>
              </w:rPr>
              <w:t>日10：00时至2023年1</w:t>
            </w:r>
            <w:r>
              <w:rPr>
                <w:rFonts w:hint="eastAsia" w:ascii="仿宋" w:hAnsi="仿宋" w:eastAsia="仿宋" w:cs="仿宋"/>
                <w:b/>
                <w:bCs/>
                <w:i w:val="0"/>
                <w:iCs w:val="0"/>
                <w:caps w:val="0"/>
                <w:color w:val="auto"/>
                <w:spacing w:val="0"/>
                <w:sz w:val="27"/>
                <w:szCs w:val="27"/>
                <w:lang w:val="en-US" w:eastAsia="zh-CN"/>
              </w:rPr>
              <w:t>2</w:t>
            </w:r>
            <w:r>
              <w:rPr>
                <w:rFonts w:hint="eastAsia" w:ascii="仿宋" w:hAnsi="仿宋" w:eastAsia="仿宋" w:cs="仿宋"/>
                <w:b/>
                <w:bCs/>
                <w:i w:val="0"/>
                <w:iCs w:val="0"/>
                <w:caps w:val="0"/>
                <w:color w:val="auto"/>
                <w:spacing w:val="0"/>
                <w:sz w:val="27"/>
                <w:szCs w:val="27"/>
              </w:rPr>
              <w:t>月2</w:t>
            </w:r>
            <w:r>
              <w:rPr>
                <w:rFonts w:hint="eastAsia" w:ascii="仿宋" w:hAnsi="仿宋" w:eastAsia="仿宋" w:cs="仿宋"/>
                <w:b/>
                <w:bCs/>
                <w:i w:val="0"/>
                <w:iCs w:val="0"/>
                <w:caps w:val="0"/>
                <w:color w:val="auto"/>
                <w:spacing w:val="0"/>
                <w:sz w:val="27"/>
                <w:szCs w:val="27"/>
                <w:lang w:val="en-US" w:eastAsia="zh-CN"/>
              </w:rPr>
              <w:t>6</w:t>
            </w:r>
            <w:r>
              <w:rPr>
                <w:rFonts w:hint="eastAsia" w:ascii="仿宋" w:hAnsi="仿宋" w:eastAsia="仿宋" w:cs="仿宋"/>
                <w:b/>
                <w:bCs/>
                <w:i w:val="0"/>
                <w:iCs w:val="0"/>
                <w:caps w:val="0"/>
                <w:color w:val="auto"/>
                <w:spacing w:val="0"/>
                <w:sz w:val="27"/>
                <w:szCs w:val="27"/>
              </w:rPr>
              <w:t>日1</w:t>
            </w:r>
            <w:r>
              <w:rPr>
                <w:rFonts w:hint="eastAsia" w:ascii="仿宋" w:hAnsi="仿宋" w:eastAsia="仿宋" w:cs="仿宋"/>
                <w:b/>
                <w:bCs/>
                <w:i w:val="0"/>
                <w:iCs w:val="0"/>
                <w:caps w:val="0"/>
                <w:color w:val="auto"/>
                <w:spacing w:val="0"/>
                <w:sz w:val="27"/>
                <w:szCs w:val="27"/>
                <w:lang w:val="en-US" w:eastAsia="zh-CN"/>
              </w:rPr>
              <w:t>6</w:t>
            </w:r>
            <w:r>
              <w:rPr>
                <w:rFonts w:hint="eastAsia" w:ascii="仿宋" w:hAnsi="仿宋" w:eastAsia="仿宋" w:cs="仿宋"/>
                <w:b/>
                <w:bCs/>
                <w:i w:val="0"/>
                <w:iCs w:val="0"/>
                <w:caps w:val="0"/>
                <w:color w:val="auto"/>
                <w:spacing w:val="0"/>
                <w:sz w:val="27"/>
                <w:szCs w:val="27"/>
              </w:rPr>
              <w:t>：</w:t>
            </w:r>
            <w:r>
              <w:rPr>
                <w:rFonts w:hint="eastAsia" w:ascii="仿宋" w:hAnsi="仿宋" w:eastAsia="仿宋" w:cs="仿宋"/>
                <w:b/>
                <w:bCs/>
                <w:i w:val="0"/>
                <w:iCs w:val="0"/>
                <w:caps w:val="0"/>
                <w:color w:val="auto"/>
                <w:spacing w:val="0"/>
                <w:sz w:val="27"/>
                <w:szCs w:val="27"/>
                <w:lang w:val="en-US" w:eastAsia="zh-CN"/>
              </w:rPr>
              <w:t>3</w:t>
            </w:r>
            <w:r>
              <w:rPr>
                <w:rFonts w:hint="eastAsia" w:ascii="仿宋" w:hAnsi="仿宋" w:eastAsia="仿宋" w:cs="仿宋"/>
                <w:b/>
                <w:bCs/>
                <w:i w:val="0"/>
                <w:iCs w:val="0"/>
                <w:caps w:val="0"/>
                <w:color w:val="auto"/>
                <w:spacing w:val="0"/>
                <w:sz w:val="27"/>
                <w:szCs w:val="27"/>
              </w:rPr>
              <w:t>0时(节假日除外）</w:t>
            </w:r>
            <w:r>
              <w:rPr>
                <w:rFonts w:hint="eastAsia" w:ascii="仿宋" w:hAnsi="仿宋" w:eastAsia="仿宋" w:cs="仿宋"/>
                <w:i w:val="0"/>
                <w:iCs w:val="0"/>
                <w:caps w:val="0"/>
                <w:color w:val="auto"/>
                <w:spacing w:val="0"/>
                <w:sz w:val="27"/>
                <w:szCs w:val="27"/>
              </w:rPr>
              <w:t>供应商应充分考虑资金到帐时间，在规定的时限前自行办妥投标保证金缴纳手续，投标保证金的缴付时间以到账时间为准，超过报名时限缴纳投标保证金视为报名无效，投标保证金由投标单</w:t>
            </w:r>
            <w:r>
              <w:rPr>
                <w:rFonts w:hint="eastAsia" w:ascii="仿宋" w:hAnsi="仿宋" w:eastAsia="仿宋" w:cs="仿宋"/>
                <w:i w:val="0"/>
                <w:iCs w:val="0"/>
                <w:caps w:val="0"/>
                <w:color w:val="000000"/>
                <w:spacing w:val="0"/>
                <w:sz w:val="27"/>
                <w:szCs w:val="27"/>
              </w:rPr>
              <w:t>位基本帐户汇至（单位名称：新疆天润源工程管理咨询有限公司、开户银行：中国建设银行股份有限公司昌吉屯河路支行，开户账号：65050110180100001015、开户行行号：（105885000148）。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sz w:val="24"/>
                <w:szCs w:val="24"/>
              </w:rPr>
              <w:t>时间</w:t>
            </w:r>
            <w:r>
              <w:rPr>
                <w:rFonts w:hint="eastAsia" w:ascii="宋体" w:hAnsi="宋体" w:cs="宋体"/>
                <w:color w:val="auto"/>
                <w:sz w:val="24"/>
                <w:szCs w:val="24"/>
              </w:rPr>
              <w:t>：</w:t>
            </w:r>
            <w:r>
              <w:rPr>
                <w:rFonts w:hint="eastAsia" w:ascii="宋体" w:hAnsi="宋体" w:cs="宋体"/>
                <w:color w:val="auto"/>
                <w:sz w:val="24"/>
                <w:szCs w:val="24"/>
                <w:lang w:val="en-US" w:eastAsia="zh-CN"/>
              </w:rPr>
              <w:t>2023年12月26日16:30（北京时间）</w:t>
            </w:r>
            <w:r>
              <w:rPr>
                <w:rFonts w:ascii="宋体" w:hAnsi="宋体" w:cs="宋体"/>
                <w:color w:val="auto"/>
                <w:sz w:val="24"/>
                <w:szCs w:val="24"/>
              </w:rPr>
              <w:t xml:space="preserve"> </w:t>
            </w:r>
            <w:r>
              <w:rPr>
                <w:rFonts w:hint="eastAsia" w:ascii="宋体" w:hAnsi="宋体" w:cs="宋体"/>
                <w:color w:val="auto"/>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Align w:val="center"/>
          </w:tcPr>
          <w:p>
            <w:pPr>
              <w:adjustRightInd w:val="0"/>
              <w:snapToGrid w:val="0"/>
              <w:spacing w:before="120" w:beforeLines="5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5.2</w:t>
            </w: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color w:val="auto"/>
                <w:sz w:val="24"/>
                <w:szCs w:val="24"/>
              </w:rPr>
            </w:pPr>
            <w:r>
              <w:rPr>
                <w:rFonts w:hint="eastAsia" w:ascii="宋体" w:hAnsi="宋体" w:cs="宋体"/>
                <w:b/>
                <w:bCs/>
                <w:color w:val="auto"/>
                <w:sz w:val="24"/>
                <w:szCs w:val="24"/>
              </w:rPr>
              <w:t>磋商小组的组建及确定方式</w:t>
            </w:r>
          </w:p>
        </w:tc>
        <w:tc>
          <w:tcPr>
            <w:tcW w:w="6038" w:type="dxa"/>
            <w:vAlign w:val="center"/>
          </w:tcPr>
          <w:p>
            <w:pPr>
              <w:adjustRightInd w:val="0"/>
              <w:snapToGrid w:val="0"/>
              <w:spacing w:before="120" w:beforeLines="5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4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sz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31"/>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hint="default" w:ascii="宋体" w:hAnsi="宋体" w:eastAsia="宋体" w:cs="宋体"/>
                <w:kern w:val="0"/>
                <w:sz w:val="24"/>
                <w:szCs w:val="24"/>
                <w:lang w:val="en-US" w:eastAsia="zh-CN"/>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w:t>
            </w:r>
            <w:r>
              <w:rPr>
                <w:rFonts w:hint="eastAsia" w:ascii="宋体" w:hAnsi="宋体" w:cs="宋体"/>
                <w:color w:val="000000" w:themeColor="text1"/>
                <w:sz w:val="24"/>
                <w14:textFill>
                  <w14:solidFill>
                    <w14:schemeClr w14:val="tx1"/>
                  </w14:solidFill>
                </w14:textFill>
              </w:rPr>
              <w:t>本工程招标代理服务费由中标人支付</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代理费下浮50%。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left"/>
              <w:rPr>
                <w:rFonts w:hint="eastAsia" w:ascii="宋体" w:hAnsi="宋体" w:cs="宋体"/>
                <w:bCs/>
                <w:sz w:val="24"/>
              </w:rPr>
            </w:pPr>
            <w:r>
              <w:rPr>
                <w:rFonts w:hint="eastAsia" w:ascii="宋体" w:hAnsi="宋体" w:cs="宋体"/>
                <w:bCs/>
                <w:sz w:val="24"/>
              </w:rPr>
              <w:t>注：</w:t>
            </w:r>
          </w:p>
          <w:p>
            <w:pPr>
              <w:spacing w:line="440" w:lineRule="exact"/>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cs="宋体"/>
                <w:b/>
                <w:bCs w:val="0"/>
                <w:sz w:val="24"/>
                <w:lang w:eastAsia="zh-CN"/>
              </w:rPr>
            </w:pPr>
            <w:r>
              <w:rPr>
                <w:rFonts w:hint="eastAsia" w:ascii="宋体" w:hAnsi="宋体" w:cs="宋体"/>
                <w:b/>
                <w:bCs w:val="0"/>
                <w:sz w:val="24"/>
                <w:lang w:val="en-US" w:eastAsia="zh-CN"/>
              </w:rPr>
              <w:t>2.</w:t>
            </w:r>
            <w:r>
              <w:rPr>
                <w:rFonts w:hint="eastAsia" w:ascii="宋体" w:hAnsi="宋体" w:cs="宋体"/>
                <w:b/>
                <w:bCs w:val="0"/>
                <w:sz w:val="24"/>
                <w:lang w:eastAsia="zh-CN"/>
              </w:rPr>
              <w:t>本次磋商共有两次报价机会，以最终报价为准，按照比例调整工程量清单各子项。</w:t>
            </w:r>
          </w:p>
          <w:p>
            <w:pPr>
              <w:pStyle w:val="23"/>
              <w:rPr>
                <w:rFonts w:hint="eastAsia"/>
                <w:lang w:eastAsia="zh-CN"/>
              </w:rPr>
            </w:pPr>
          </w:p>
          <w:p>
            <w:pPr>
              <w:pStyle w:val="23"/>
              <w:rPr>
                <w:rFonts w:hint="default" w:ascii="宋体" w:hAnsi="宋体" w:cs="宋体"/>
                <w:b/>
                <w:bCs w:val="0"/>
                <w:sz w:val="24"/>
                <w:lang w:val="en-US" w:eastAsia="zh-CN"/>
              </w:rPr>
            </w:pPr>
            <w:r>
              <w:rPr>
                <w:rFonts w:hint="eastAsia" w:ascii="宋体" w:hAnsi="宋体" w:cs="宋体"/>
                <w:b/>
                <w:bCs w:val="0"/>
                <w:sz w:val="24"/>
                <w:lang w:val="en-US" w:eastAsia="zh-CN"/>
              </w:rPr>
              <w:t>3.中标单位需在新疆设立售后服务体系完备并有技术支持的机构</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4"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1"/>
    <w:p>
      <w:pPr>
        <w:pStyle w:val="3"/>
        <w:spacing w:line="400" w:lineRule="exact"/>
      </w:pPr>
      <w:bookmarkStart w:id="11" w:name="_Toc20823274"/>
      <w:bookmarkEnd w:id="11"/>
      <w:bookmarkStart w:id="12" w:name="_Toc455227390"/>
      <w:bookmarkEnd w:id="12"/>
      <w:bookmarkStart w:id="13" w:name="_Toc16938518"/>
      <w:bookmarkEnd w:id="13"/>
      <w:bookmarkStart w:id="14" w:name="_Toc513029202"/>
      <w:bookmarkEnd w:id="14"/>
      <w:bookmarkStart w:id="15" w:name="_Toc120614213"/>
      <w:bookmarkEnd w:id="15"/>
      <w:bookmarkStart w:id="16" w:name="_Toc20759"/>
      <w:bookmarkStart w:id="17" w:name="_Toc1621"/>
      <w:r>
        <w:rPr>
          <w:rFonts w:hint="eastAsia"/>
        </w:rPr>
        <w:t>一、说明</w:t>
      </w:r>
      <w:bookmarkEnd w:id="16"/>
      <w:bookmarkEnd w:id="17"/>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3"/>
        <w:spacing w:line="400" w:lineRule="exact"/>
      </w:pPr>
      <w:bookmarkStart w:id="18" w:name="_Toc18317"/>
      <w:bookmarkStart w:id="19" w:name="_Toc3092"/>
      <w:bookmarkStart w:id="20" w:name="_Toc293736011"/>
      <w:bookmarkStart w:id="21" w:name="_Toc293738992"/>
      <w:bookmarkStart w:id="22" w:name="_Toc446599311"/>
      <w:bookmarkStart w:id="23" w:name="_Toc293736054"/>
      <w:r>
        <w:rPr>
          <w:rFonts w:hint="eastAsia"/>
        </w:rPr>
        <w:t>二、磋商文件</w:t>
      </w:r>
      <w:bookmarkEnd w:id="18"/>
      <w:bookmarkEnd w:id="19"/>
      <w:bookmarkEnd w:id="20"/>
      <w:bookmarkEnd w:id="21"/>
      <w:bookmarkEnd w:id="22"/>
      <w:bookmarkEnd w:id="23"/>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1"/>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3"/>
        <w:spacing w:line="400" w:lineRule="exact"/>
      </w:pPr>
      <w:bookmarkStart w:id="24" w:name="_Toc1735"/>
      <w:bookmarkStart w:id="25" w:name="_Toc293736012"/>
      <w:bookmarkStart w:id="26" w:name="_Toc293736055"/>
      <w:bookmarkStart w:id="27" w:name="_Toc446599312"/>
      <w:bookmarkStart w:id="28" w:name="_Toc13231"/>
      <w:bookmarkStart w:id="29" w:name="_Toc293738993"/>
      <w:r>
        <w:rPr>
          <w:rFonts w:hint="eastAsia"/>
        </w:rPr>
        <w:t>三、响应文件的编制和数量</w:t>
      </w:r>
      <w:bookmarkEnd w:id="24"/>
      <w:bookmarkEnd w:id="25"/>
      <w:bookmarkEnd w:id="26"/>
      <w:bookmarkEnd w:id="27"/>
      <w:bookmarkEnd w:id="28"/>
      <w:bookmarkEnd w:id="29"/>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1"/>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1"/>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1"/>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3"/>
        <w:spacing w:line="400" w:lineRule="exact"/>
      </w:pPr>
      <w:bookmarkStart w:id="30" w:name="_Toc293736056"/>
      <w:bookmarkStart w:id="31" w:name="_Toc293738994"/>
      <w:bookmarkStart w:id="32" w:name="_Toc293736013"/>
      <w:bookmarkStart w:id="33" w:name="_Toc446599313"/>
      <w:r>
        <w:rPr>
          <w:rFonts w:hint="eastAsia"/>
        </w:rPr>
        <w:t>四、响应文件的递交</w:t>
      </w:r>
      <w:bookmarkEnd w:id="30"/>
      <w:bookmarkEnd w:id="31"/>
      <w:bookmarkEnd w:id="32"/>
      <w:bookmarkEnd w:id="33"/>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3"/>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3"/>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4" w:name="_Toc446599315"/>
      <w:bookmarkStart w:id="35" w:name="_Toc21441"/>
      <w:bookmarkStart w:id="36" w:name="_Toc293736058"/>
      <w:bookmarkStart w:id="37" w:name="_Toc293738996"/>
      <w:bookmarkStart w:id="38" w:name="_Toc293736015"/>
      <w:bookmarkStart w:id="39" w:name="_Toc10373"/>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3"/>
        <w:spacing w:line="400" w:lineRule="exact"/>
        <w:rPr>
          <w:color w:val="auto"/>
        </w:rPr>
      </w:pPr>
      <w:bookmarkStart w:id="40" w:name="_Toc456291159"/>
      <w:bookmarkStart w:id="41" w:name="_Toc456291473"/>
      <w:bookmarkStart w:id="42" w:name="_Toc456291531"/>
      <w:bookmarkStart w:id="43" w:name="_Toc2"/>
      <w:bookmarkStart w:id="44" w:name="_Toc29411"/>
      <w:bookmarkStart w:id="45" w:name="_Toc456291254"/>
      <w:bookmarkStart w:id="46" w:name="_Toc456291274"/>
      <w:bookmarkStart w:id="47" w:name="_Toc456291348"/>
      <w:r>
        <w:rPr>
          <w:rFonts w:hint="eastAsia"/>
          <w:color w:val="auto"/>
        </w:rPr>
        <w:t>七、推荐成交供应商</w:t>
      </w:r>
      <w:bookmarkEnd w:id="40"/>
      <w:bookmarkEnd w:id="41"/>
      <w:bookmarkEnd w:id="42"/>
      <w:bookmarkEnd w:id="43"/>
      <w:bookmarkEnd w:id="44"/>
      <w:bookmarkEnd w:id="45"/>
      <w:bookmarkEnd w:id="46"/>
      <w:bookmarkEnd w:id="47"/>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3"/>
        <w:spacing w:line="400" w:lineRule="exact"/>
        <w:rPr>
          <w:b/>
          <w:sz w:val="28"/>
          <w:highlight w:val="green"/>
        </w:rPr>
      </w:pPr>
      <w:r>
        <w:rPr>
          <w:rFonts w:hint="eastAsia"/>
        </w:rPr>
        <w:t>八、签订合同</w:t>
      </w:r>
      <w:bookmarkEnd w:id="34"/>
      <w:bookmarkEnd w:id="35"/>
      <w:bookmarkEnd w:id="36"/>
      <w:bookmarkEnd w:id="37"/>
      <w:bookmarkEnd w:id="38"/>
      <w:bookmarkEnd w:id="39"/>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1"/>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3"/>
        <w:spacing w:line="400" w:lineRule="exact"/>
      </w:pPr>
      <w:bookmarkStart w:id="48" w:name="_Toc456291256"/>
      <w:bookmarkStart w:id="49" w:name="_Toc456291350"/>
      <w:bookmarkStart w:id="50" w:name="_Toc456291533"/>
      <w:bookmarkStart w:id="51" w:name="_Toc5694"/>
      <w:bookmarkStart w:id="52" w:name="_Toc456291161"/>
      <w:bookmarkStart w:id="53" w:name="_Toc456291475"/>
      <w:bookmarkStart w:id="54" w:name="_Toc456291276"/>
      <w:bookmarkStart w:id="55" w:name="_Toc7269"/>
      <w:r>
        <w:rPr>
          <w:rFonts w:hint="eastAsia"/>
        </w:rPr>
        <w:t>九、质疑</w:t>
      </w:r>
      <w:bookmarkEnd w:id="48"/>
      <w:bookmarkEnd w:id="49"/>
      <w:bookmarkEnd w:id="50"/>
      <w:bookmarkEnd w:id="51"/>
      <w:bookmarkEnd w:id="52"/>
      <w:bookmarkEnd w:id="53"/>
      <w:bookmarkEnd w:id="54"/>
      <w:bookmarkEnd w:id="55"/>
    </w:p>
    <w:p>
      <w:pPr>
        <w:pStyle w:val="11"/>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3"/>
        <w:spacing w:line="400" w:lineRule="exact"/>
      </w:pPr>
      <w:bookmarkStart w:id="56" w:name="_Toc456291351"/>
      <w:bookmarkStart w:id="57" w:name="_Toc25716"/>
      <w:bookmarkStart w:id="58" w:name="_Toc456291162"/>
      <w:bookmarkStart w:id="59" w:name="_Toc456291476"/>
      <w:bookmarkStart w:id="60" w:name="_Toc456291277"/>
      <w:bookmarkStart w:id="61" w:name="_Toc11180"/>
      <w:bookmarkStart w:id="62" w:name="_Toc456291257"/>
      <w:bookmarkStart w:id="63" w:name="_Toc456291534"/>
      <w:r>
        <w:rPr>
          <w:rFonts w:hint="eastAsia"/>
        </w:rPr>
        <w:t>十、</w:t>
      </w:r>
      <w:bookmarkEnd w:id="56"/>
      <w:bookmarkEnd w:id="57"/>
      <w:bookmarkEnd w:id="58"/>
      <w:bookmarkEnd w:id="59"/>
      <w:bookmarkEnd w:id="60"/>
      <w:bookmarkEnd w:id="61"/>
      <w:bookmarkEnd w:id="62"/>
      <w:bookmarkEnd w:id="63"/>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3"/>
        <w:spacing w:line="400" w:lineRule="exact"/>
      </w:pPr>
      <w:r>
        <w:rPr>
          <w:rFonts w:hint="eastAsia"/>
        </w:rPr>
        <w:t>十一、需要补充的其他内容</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需要补充的其他内容：详见供应商须知前附表。</w:t>
      </w:r>
    </w:p>
    <w:p>
      <w:pPr>
        <w:pStyle w:val="11"/>
        <w:spacing w:line="500" w:lineRule="exact"/>
        <w:ind w:firstLine="565" w:firstLineChars="202"/>
        <w:jc w:val="left"/>
        <w:rPr>
          <w:rFonts w:ascii="宋体" w:hAnsi="宋体"/>
          <w:sz w:val="28"/>
          <w:szCs w:val="28"/>
        </w:rPr>
      </w:pPr>
    </w:p>
    <w:p>
      <w:r>
        <w:rPr>
          <w:rFonts w:hint="eastAsia"/>
        </w:rPr>
        <w:br w:type="page"/>
      </w:r>
    </w:p>
    <w:p>
      <w:pPr>
        <w:pStyle w:val="31"/>
        <w:ind w:firstLine="210"/>
      </w:pPr>
    </w:p>
    <w:p>
      <w:pPr>
        <w:pStyle w:val="80"/>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1"/>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2"/>
        <w:numPr>
          <w:ilvl w:val="0"/>
          <w:numId w:val="1"/>
        </w:numPr>
        <w:spacing w:before="0" w:after="0" w:line="240" w:lineRule="auto"/>
      </w:pPr>
      <w:bookmarkStart w:id="64" w:name="_Toc293736062"/>
      <w:bookmarkStart w:id="65" w:name="_Toc293739000"/>
      <w:bookmarkStart w:id="66" w:name="_Toc293736019"/>
      <w:bookmarkStart w:id="67" w:name="_Toc446599321"/>
      <w:bookmarkStart w:id="68" w:name="_Toc28105"/>
      <w:bookmarkStart w:id="69" w:name="_Toc28752"/>
      <w:bookmarkStart w:id="70" w:name="_Toc293736063"/>
      <w:bookmarkStart w:id="71" w:name="_Toc446599322"/>
      <w:bookmarkStart w:id="72" w:name="_Toc293739001"/>
      <w:bookmarkStart w:id="73" w:name="_Toc293736020"/>
      <w:r>
        <w:rPr>
          <w:rFonts w:hint="eastAsia"/>
        </w:rPr>
        <w:t xml:space="preserve"> </w:t>
      </w:r>
      <w:bookmarkStart w:id="74" w:name="_Toc15716"/>
      <w:bookmarkStart w:id="75" w:name="_Toc10016"/>
      <w:bookmarkStart w:id="76" w:name="_Toc21897"/>
      <w:r>
        <w:rPr>
          <w:rFonts w:hint="eastAsia"/>
        </w:rPr>
        <w:t>采购</w:t>
      </w:r>
      <w:bookmarkEnd w:id="64"/>
      <w:bookmarkEnd w:id="65"/>
      <w:bookmarkEnd w:id="66"/>
      <w:bookmarkStart w:id="77" w:name="_Toc294515580"/>
      <w:r>
        <w:rPr>
          <w:rFonts w:hint="eastAsia"/>
        </w:rPr>
        <w:t>需求</w:t>
      </w:r>
      <w:bookmarkEnd w:id="67"/>
      <w:bookmarkEnd w:id="68"/>
      <w:bookmarkEnd w:id="69"/>
      <w:bookmarkEnd w:id="74"/>
      <w:bookmarkEnd w:id="75"/>
      <w:bookmarkEnd w:id="76"/>
    </w:p>
    <w:tbl>
      <w:tblPr>
        <w:tblStyle w:val="33"/>
        <w:tblW w:w="9555" w:type="dxa"/>
        <w:tblInd w:w="93" w:type="dxa"/>
        <w:tblLayout w:type="autofit"/>
        <w:tblCellMar>
          <w:top w:w="0" w:type="dxa"/>
          <w:left w:w="108" w:type="dxa"/>
          <w:bottom w:w="0" w:type="dxa"/>
          <w:right w:w="108" w:type="dxa"/>
        </w:tblCellMar>
      </w:tblPr>
      <w:tblGrid>
        <w:gridCol w:w="816"/>
        <w:gridCol w:w="8739"/>
      </w:tblGrid>
      <w:tr>
        <w:trPr>
          <w:trHeight w:val="240" w:hRule="atLeast"/>
        </w:trPr>
        <w:tc>
          <w:tcPr>
            <w:tcW w:w="9555" w:type="dxa"/>
            <w:gridSpan w:val="2"/>
            <w:tcBorders>
              <w:top w:val="nil"/>
              <w:left w:val="nil"/>
              <w:bottom w:val="single" w:color="auto" w:sz="4" w:space="0"/>
              <w:right w:val="nil"/>
            </w:tcBorders>
            <w:noWrap/>
            <w:vAlign w:val="center"/>
          </w:tcPr>
          <w:p>
            <w:pPr>
              <w:spacing w:line="240" w:lineRule="atLeast"/>
              <w:jc w:val="center"/>
              <w:rPr>
                <w:rFonts w:ascii="宋体" w:hAnsi="宋体" w:cs="宋体"/>
                <w:b/>
                <w:color w:val="FF0000"/>
                <w:kern w:val="0"/>
                <w:sz w:val="20"/>
                <w:szCs w:val="20"/>
              </w:rPr>
            </w:pPr>
            <w:r>
              <w:rPr>
                <w:rFonts w:hint="eastAsia" w:ascii="宋体" w:hAnsi="宋体"/>
                <w:b/>
                <w:sz w:val="32"/>
                <w:szCs w:val="32"/>
                <w:lang w:val="en-US" w:eastAsia="zh-CN"/>
              </w:rPr>
              <w:t>超声设备维保</w:t>
            </w:r>
            <w:r>
              <w:rPr>
                <w:rFonts w:ascii="宋体" w:hAnsi="宋体"/>
                <w:b/>
                <w:sz w:val="32"/>
                <w:szCs w:val="32"/>
              </w:rPr>
              <w:t>要求</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序号</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500" w:hanging="500" w:hangingChars="250"/>
              <w:rPr>
                <w:rFonts w:hint="eastAsia" w:ascii="宋体" w:hAnsi="宋体"/>
                <w:sz w:val="20"/>
                <w:szCs w:val="20"/>
              </w:rPr>
            </w:pP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500" w:hanging="500" w:hangingChars="250"/>
              <w:rPr>
                <w:rFonts w:hint="default" w:ascii="宋体" w:hAnsi="宋体" w:eastAsia="宋体"/>
                <w:sz w:val="20"/>
                <w:szCs w:val="20"/>
                <w:lang w:val="en-US" w:eastAsia="zh-CN"/>
              </w:rPr>
            </w:pPr>
            <w:r>
              <w:rPr>
                <w:rFonts w:hint="eastAsia" w:ascii="宋体" w:hAnsi="宋体"/>
                <w:sz w:val="20"/>
                <w:szCs w:val="20"/>
              </w:rPr>
              <w:t>合同</w:t>
            </w:r>
            <w:r>
              <w:rPr>
                <w:rFonts w:hint="eastAsia" w:ascii="宋体" w:hAnsi="宋体"/>
                <w:sz w:val="20"/>
                <w:szCs w:val="20"/>
                <w:lang w:val="en-US" w:eastAsia="zh-CN"/>
              </w:rPr>
              <w:t>年限及付款方式</w:t>
            </w:r>
            <w:r>
              <w:rPr>
                <w:rFonts w:hint="eastAsia" w:ascii="宋体" w:hAnsi="宋体"/>
                <w:sz w:val="20"/>
                <w:szCs w:val="20"/>
              </w:rPr>
              <w:t>：</w:t>
            </w:r>
            <w:r>
              <w:rPr>
                <w:rFonts w:hint="eastAsia" w:ascii="宋体" w:hAnsi="宋体"/>
                <w:sz w:val="20"/>
                <w:szCs w:val="20"/>
                <w:lang w:val="en-US" w:eastAsia="zh-CN"/>
              </w:rPr>
              <w:t>合同年限一</w:t>
            </w:r>
            <w:r>
              <w:rPr>
                <w:rFonts w:hint="eastAsia" w:ascii="宋体" w:hAnsi="宋体"/>
                <w:sz w:val="20"/>
                <w:szCs w:val="20"/>
              </w:rPr>
              <w:t>年</w:t>
            </w:r>
            <w:r>
              <w:rPr>
                <w:rFonts w:hint="eastAsia" w:ascii="宋体" w:hAnsi="宋体"/>
                <w:sz w:val="20"/>
                <w:szCs w:val="20"/>
                <w:lang w:eastAsia="zh-CN"/>
              </w:rPr>
              <w:t>。</w:t>
            </w:r>
            <w:r>
              <w:rPr>
                <w:rFonts w:hint="eastAsia" w:ascii="宋体" w:hAnsi="宋体"/>
                <w:sz w:val="20"/>
                <w:szCs w:val="20"/>
              </w:rPr>
              <w:t>先服务后付款，</w:t>
            </w:r>
            <w:r>
              <w:rPr>
                <w:rFonts w:hint="eastAsia" w:ascii="宋体" w:hAnsi="宋体"/>
                <w:sz w:val="20"/>
                <w:szCs w:val="20"/>
                <w:lang w:val="en-US" w:eastAsia="zh-CN"/>
              </w:rPr>
              <w:t>服务满半年按照医院财务制度付款合同金额的</w:t>
            </w:r>
            <w:r>
              <w:rPr>
                <w:rFonts w:hint="default" w:ascii="宋体" w:hAnsi="宋体"/>
                <w:sz w:val="20"/>
                <w:szCs w:val="20"/>
                <w:lang w:val="en-US" w:eastAsia="zh-CN"/>
              </w:rPr>
              <w:t>50%</w:t>
            </w:r>
            <w:r>
              <w:rPr>
                <w:rFonts w:hint="eastAsia" w:ascii="宋体" w:hAnsi="宋体"/>
                <w:sz w:val="20"/>
                <w:szCs w:val="20"/>
                <w:lang w:val="en-US" w:eastAsia="zh-CN"/>
              </w:rPr>
              <w:t>。</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default" w:ascii="宋体" w:hAnsi="宋体" w:eastAsia="宋体" w:cs="宋体"/>
                <w:kern w:val="0"/>
                <w:sz w:val="20"/>
                <w:szCs w:val="20"/>
                <w:lang w:val="en-US"/>
              </w:rPr>
            </w:pPr>
            <w:r>
              <w:rPr>
                <w:rFonts w:hint="eastAsia" w:ascii="宋体" w:hAnsi="宋体" w:eastAsia="宋体" w:cs="宋体"/>
                <w:kern w:val="0"/>
                <w:sz w:val="20"/>
                <w:szCs w:val="20"/>
              </w:rPr>
              <w:t>维保</w:t>
            </w:r>
            <w:r>
              <w:rPr>
                <w:rFonts w:hint="eastAsia" w:ascii="宋体" w:hAnsi="宋体" w:eastAsia="宋体" w:cs="宋体"/>
                <w:kern w:val="0"/>
                <w:sz w:val="20"/>
                <w:szCs w:val="20"/>
                <w:lang w:val="en-US" w:eastAsia="zh-CN"/>
              </w:rPr>
              <w:t>超声数量</w:t>
            </w:r>
            <w:r>
              <w:rPr>
                <w:rFonts w:hint="eastAsia" w:ascii="宋体" w:hAnsi="宋体" w:eastAsia="宋体" w:cs="宋体"/>
                <w:kern w:val="0"/>
                <w:sz w:val="20"/>
                <w:szCs w:val="20"/>
              </w:rPr>
              <w:t>：</w:t>
            </w:r>
            <w:r>
              <w:rPr>
                <w:rFonts w:hint="default" w:ascii="宋体" w:hAnsi="宋体" w:eastAsia="宋体" w:cs="宋体"/>
                <w:kern w:val="0"/>
                <w:sz w:val="20"/>
                <w:szCs w:val="20"/>
                <w:lang w:val="en-US" w:eastAsia="zh-CN"/>
              </w:rPr>
              <w:t>18</w:t>
            </w:r>
            <w:r>
              <w:rPr>
                <w:rFonts w:hint="eastAsia" w:ascii="宋体" w:hAnsi="宋体" w:eastAsia="宋体" w:cs="宋体"/>
                <w:kern w:val="0"/>
                <w:sz w:val="20"/>
                <w:szCs w:val="20"/>
                <w:lang w:val="en-US" w:eastAsia="zh-CN"/>
              </w:rPr>
              <w:t>台。</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default" w:ascii="宋体" w:hAnsi="宋体" w:eastAsia="宋体" w:cs="宋体"/>
                <w:kern w:val="0"/>
                <w:sz w:val="20"/>
                <w:szCs w:val="20"/>
                <w:lang w:val="en-US"/>
              </w:rPr>
            </w:pPr>
            <w:r>
              <w:rPr>
                <w:rFonts w:hint="default" w:ascii="宋体" w:hAnsi="宋体" w:eastAsia="宋体" w:cs="宋体"/>
                <w:kern w:val="0"/>
                <w:sz w:val="20"/>
                <w:szCs w:val="20"/>
                <w:lang w:val="en-US" w:eastAsia="zh-CN"/>
              </w:rPr>
              <w:t>18</w:t>
            </w:r>
            <w:r>
              <w:rPr>
                <w:rFonts w:hint="eastAsia" w:ascii="宋体" w:hAnsi="宋体" w:eastAsia="宋体" w:cs="宋体"/>
                <w:kern w:val="0"/>
                <w:sz w:val="20"/>
                <w:szCs w:val="20"/>
                <w:lang w:val="en-US" w:eastAsia="zh-CN"/>
              </w:rPr>
              <w:t>台超声设备每年四次免费保养，包含清洁除尘、计算机各组件保养、探头养护及消毒，键盘维护、硬盘数据备份以及碎片整理等。</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制定保养计划，纸质版交给医院，确定维护保养的具体内容、周期，根据计划实施维护保养并做好相应记录。</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外观检查首先检查仪器各按钮、开关、接头插座有无松动及错位，插头插座的接触有无氧化、生锈或接触不良，电源 线有无老化，散热排风是否正常，各种接地的连接和管道的连接是否良好。</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对仪器表面与内部电气部分、机械部分进行清洁，包括清洗过滤网及有关管道，对仪器有关插头插座进行消洁，防止接触不良，对必要的机械部分进行加油润滑。</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对己达到使用寿命及性能下降的易损件，不合要求的元器件或使用说明书中规定的要求定期更换的配件要进行及时地更换，排除设备明显的和潜在的各种故障，预防可能发生的故障扩大或造成整机故障。</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开机检查各指示灯、指示器是否正常，通过调节、设置各个开关按钮，进入各功能设置，以检查设备的基本功能是否正常。通过模拟测试，检查设备各项报警功能是否正常。</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3.6</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97"/>
              <w:ind w:firstLine="0" w:firstLineChars="0"/>
              <w:textAlignment w:val="baseline"/>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bidi="ar-SA"/>
              </w:rPr>
              <w:t>测试各直流电源的稳压值、电路中主要测试点电压值或波形并根据说明书的要求进行必要的校准和调整，以保证仪器各项技术指标达到标准，确保仪器在医疗诊断与治疗中的质量。</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rPr>
            </w:pPr>
            <w:r>
              <w:rPr>
                <w:rFonts w:hint="default" w:ascii="宋体" w:hAnsi="宋体" w:cs="宋体"/>
                <w:kern w:val="0"/>
                <w:sz w:val="20"/>
                <w:szCs w:val="20"/>
                <w:lang w:val="en-US"/>
              </w:rPr>
              <w:t>3.7</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维保期到需向医院提供纸质版的保养、维修报告</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此维保项目包含所有人工费用。</w:t>
            </w:r>
          </w:p>
        </w:tc>
      </w:tr>
      <w:tr>
        <w:tblPrEx>
          <w:tblCellMar>
            <w:top w:w="0" w:type="dxa"/>
            <w:left w:w="108" w:type="dxa"/>
            <w:bottom w:w="0" w:type="dxa"/>
            <w:right w:w="108" w:type="dxa"/>
          </w:tblCellMar>
        </w:tblPrEx>
        <w:trPr>
          <w:trHeight w:val="4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不定项4台彩超享受全年无限量备件及人工服务（不包含探头）</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6</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0"/>
                <w:sz w:val="20"/>
                <w:szCs w:val="20"/>
              </w:rPr>
            </w:pPr>
            <w:r>
              <w:rPr>
                <w:rFonts w:hint="eastAsia" w:ascii="宋体" w:hAnsi="宋体" w:eastAsia="宋体" w:cs="宋体"/>
                <w:kern w:val="0"/>
                <w:sz w:val="20"/>
                <w:szCs w:val="20"/>
                <w:lang w:val="en-US" w:eastAsia="zh-CN"/>
              </w:rPr>
              <w:t>不定项8把探头维修名额，提供同型号备用探头（</w:t>
            </w:r>
            <w:r>
              <w:rPr>
                <w:rFonts w:hint="default" w:ascii="宋体" w:hAnsi="宋体" w:eastAsia="宋体" w:cs="宋体"/>
                <w:kern w:val="0"/>
                <w:sz w:val="20"/>
                <w:szCs w:val="20"/>
                <w:lang w:val="en-US" w:eastAsia="zh-CN"/>
              </w:rPr>
              <w:t>18</w:t>
            </w:r>
            <w:r>
              <w:rPr>
                <w:rFonts w:hint="eastAsia" w:ascii="宋体" w:hAnsi="宋体" w:eastAsia="宋体" w:cs="宋体"/>
                <w:kern w:val="0"/>
                <w:sz w:val="20"/>
                <w:szCs w:val="20"/>
                <w:lang w:val="en-US" w:eastAsia="zh-CN"/>
              </w:rPr>
              <w:t>台超声设备里</w:t>
            </w:r>
            <w:r>
              <w:rPr>
                <w:rFonts w:hint="default" w:ascii="宋体" w:hAnsi="宋体" w:eastAsia="宋体" w:cs="宋体"/>
                <w:kern w:val="0"/>
                <w:sz w:val="20"/>
                <w:szCs w:val="20"/>
                <w:lang w:val="en-US" w:eastAsia="zh-CN"/>
              </w:rPr>
              <w:t>8</w:t>
            </w:r>
            <w:r>
              <w:rPr>
                <w:rFonts w:hint="eastAsia" w:ascii="宋体" w:hAnsi="宋体" w:eastAsia="宋体" w:cs="宋体"/>
                <w:kern w:val="0"/>
                <w:sz w:val="20"/>
                <w:szCs w:val="20"/>
                <w:lang w:val="en-US" w:eastAsia="zh-CN"/>
              </w:rPr>
              <w:t>把探头）</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7</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lang w:val="en-US" w:eastAsia="zh-CN"/>
              </w:rPr>
              <w:t>飞利浦HD15现存在电源问题，导致机器无法正常开机工作，需维修，纳入此次维保项目且不占名额</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7*24小时免费人工服务，每次接到报修电话半小时内响应，48小时维修完成。</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9</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维修服务人员需要提供任意超声设备厂家培训证书且证书颁发</w:t>
            </w:r>
            <w:r>
              <w:rPr>
                <w:rFonts w:hint="default" w:ascii="宋体" w:hAnsi="宋体" w:eastAsia="宋体" w:cs="宋体"/>
                <w:kern w:val="0"/>
                <w:sz w:val="20"/>
                <w:szCs w:val="20"/>
                <w:lang w:val="en-US" w:eastAsia="zh-CN" w:bidi="ar-SA"/>
              </w:rPr>
              <w:t>10</w:t>
            </w:r>
            <w:r>
              <w:rPr>
                <w:rFonts w:hint="eastAsia" w:ascii="宋体" w:hAnsi="宋体" w:eastAsia="宋体" w:cs="宋体"/>
                <w:kern w:val="0"/>
                <w:sz w:val="20"/>
                <w:szCs w:val="20"/>
                <w:lang w:val="en-US" w:eastAsia="zh-CN" w:bidi="ar-SA"/>
              </w:rPr>
              <w:t>年以上或有更高级别的从业资质证书，提供投标单位维修服务人员社保缴费证明。</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eastAsia="宋体" w:cs="宋体"/>
                <w:kern w:val="0"/>
                <w:sz w:val="20"/>
                <w:szCs w:val="20"/>
              </w:rPr>
              <w:t>★</w:t>
            </w:r>
            <w:r>
              <w:rPr>
                <w:rFonts w:hint="eastAsia" w:ascii="宋体" w:hAnsi="宋体" w:cs="宋体"/>
                <w:kern w:val="0"/>
                <w:sz w:val="20"/>
                <w:szCs w:val="20"/>
              </w:rPr>
              <w:t>10</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97"/>
              <w:numPr>
                <w:ilvl w:val="0"/>
                <w:numId w:val="0"/>
              </w:numPr>
              <w:ind w:lef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投入至少</w:t>
            </w:r>
            <w:r>
              <w:rPr>
                <w:rFonts w:hint="default" w:ascii="宋体" w:hAnsi="宋体" w:eastAsia="宋体" w:cs="宋体"/>
                <w:kern w:val="0"/>
                <w:sz w:val="20"/>
                <w:szCs w:val="20"/>
                <w:lang w:val="en-US" w:eastAsia="zh-CN" w:bidi="ar-SA"/>
              </w:rPr>
              <w:t>2</w:t>
            </w:r>
            <w:r>
              <w:rPr>
                <w:rFonts w:hint="eastAsia" w:ascii="宋体" w:hAnsi="宋体" w:eastAsia="宋体" w:cs="宋体"/>
                <w:kern w:val="0"/>
                <w:sz w:val="20"/>
                <w:szCs w:val="20"/>
                <w:lang w:val="en-US" w:eastAsia="zh-CN" w:bidi="ar-SA"/>
              </w:rPr>
              <w:t>名维保管理、技术人员具有同类项目工作经验，人员的技术能力、专业水平需满足本项目（提供相关证书，维修工单等资质证明）</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97"/>
              <w:numPr>
                <w:ilvl w:val="0"/>
                <w:numId w:val="0"/>
              </w:numPr>
              <w:ind w:leftChars="0"/>
              <w:textAlignment w:val="baseline"/>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设有固定、长期的维保服务机构（提供相关资质证明或者房屋租赁合同）</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240" w:lineRule="atLeast"/>
              <w:ind w:leftChars="-4" w:hanging="8" w:hangingChars="4"/>
              <w:rPr>
                <w:rFonts w:hint="eastAsia" w:ascii="宋体" w:hAnsi="宋体"/>
                <w:sz w:val="20"/>
                <w:szCs w:val="20"/>
              </w:rPr>
            </w:pPr>
            <w:r>
              <w:rPr>
                <w:rFonts w:hint="eastAsia" w:ascii="宋体" w:hAnsi="宋体" w:eastAsia="宋体" w:cs="宋体"/>
                <w:kern w:val="0"/>
                <w:sz w:val="20"/>
                <w:szCs w:val="20"/>
                <w:lang w:val="en-US" w:eastAsia="zh-CN" w:bidi="ar-SA"/>
              </w:rPr>
              <w:t>整体设备开机率保证:&gt;95%；若开机率低于95%，对相对应的单台设备延长所耽误天数的双倍保修时长。</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lang w:val="en-US" w:eastAsia="zh-CN" w:bidi="ar-SA"/>
              </w:rPr>
              <w:t>定期对院方临床医生及设备科的相关工作人员进行医疗设备的维护使用技术培训，一年的培训次数不少于2次。</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b/>
                <w:kern w:val="0"/>
                <w:sz w:val="20"/>
                <w:szCs w:val="20"/>
              </w:rPr>
            </w:pPr>
            <w:r>
              <w:rPr>
                <w:rFonts w:hint="eastAsia" w:ascii="宋体" w:hAnsi="宋体" w:eastAsia="宋体" w:cs="宋体"/>
                <w:kern w:val="0"/>
                <w:sz w:val="20"/>
                <w:szCs w:val="20"/>
                <w:lang w:val="en-US" w:eastAsia="zh-CN" w:bidi="ar-SA"/>
              </w:rPr>
              <w:t>在维保期内，免费提供设备的系统软件及硬件的安全性改版升级和技术支持，并保证所有系统软件为最新版本</w:t>
            </w:r>
          </w:p>
        </w:tc>
      </w:tr>
      <w:tr>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hint="eastAsia" w:ascii="宋体" w:hAnsi="宋体" w:cs="宋体"/>
                <w:kern w:val="0"/>
                <w:sz w:val="20"/>
                <w:szCs w:val="20"/>
              </w:rPr>
            </w:pPr>
            <w:r>
              <w:rPr>
                <w:rFonts w:hint="eastAsia" w:ascii="宋体" w:hAnsi="宋体" w:eastAsia="宋体" w:cs="宋体"/>
                <w:kern w:val="0"/>
                <w:sz w:val="20"/>
                <w:szCs w:val="20"/>
                <w:lang w:val="en-US" w:eastAsia="zh-CN" w:bidi="ar-SA"/>
              </w:rPr>
              <w:t>具备自有的配件仓库，提供零配件的供给服务。零配件包括但不限于：生产厂家质量证明（国内供货）、如更换探头须提供报关单（国外供货）。针对服务期内更换的配件，服务期满后对所更换的配件延保半年，并终身维修。故障维修涉及的所有更换的零部件，必须为合法来源的原厂认证/测试合格件，维修完成后，需要提供可证明配件来源合法的相关文件。</w:t>
            </w:r>
          </w:p>
        </w:tc>
      </w:tr>
    </w:tbl>
    <w:p>
      <w:pPr>
        <w:pStyle w:val="23"/>
        <w:rPr>
          <w:rFonts w:hint="eastAsia" w:cs="宋体"/>
          <w:color w:val="000000"/>
          <w:sz w:val="24"/>
          <w:szCs w:val="24"/>
        </w:rPr>
      </w:pPr>
    </w:p>
    <w:p>
      <w:pPr>
        <w:pStyle w:val="23"/>
        <w:rPr>
          <w:rFonts w:hint="eastAsia" w:cs="宋体"/>
          <w:color w:val="000000"/>
          <w:sz w:val="24"/>
          <w:szCs w:val="24"/>
        </w:rPr>
      </w:pPr>
    </w:p>
    <w:p>
      <w:pPr>
        <w:pStyle w:val="23"/>
        <w:rPr>
          <w:rFonts w:hint="eastAsia" w:cs="宋体"/>
          <w:color w:val="000000"/>
          <w:sz w:val="24"/>
          <w:szCs w:val="24"/>
        </w:rPr>
      </w:pPr>
    </w:p>
    <w:p>
      <w:pPr>
        <w:pStyle w:val="23"/>
        <w:rPr>
          <w:rFonts w:hint="eastAsia" w:cs="宋体"/>
          <w:color w:val="000000"/>
          <w:sz w:val="24"/>
          <w:szCs w:val="24"/>
        </w:rPr>
      </w:pPr>
    </w:p>
    <w:bookmarkEnd w:id="77"/>
    <w:p>
      <w:pPr>
        <w:pStyle w:val="2"/>
        <w:numPr>
          <w:ilvl w:val="0"/>
          <w:numId w:val="1"/>
        </w:numPr>
        <w:spacing w:before="0" w:after="0" w:line="240" w:lineRule="auto"/>
        <w:rPr>
          <w:color w:val="auto"/>
        </w:rPr>
      </w:pPr>
      <w:bookmarkStart w:id="78" w:name="_Toc20816"/>
      <w:bookmarkStart w:id="79" w:name="_Toc10724"/>
      <w:r>
        <w:rPr>
          <w:rFonts w:hint="eastAsia"/>
          <w:color w:val="auto"/>
        </w:rPr>
        <w:t xml:space="preserve"> </w:t>
      </w:r>
      <w:bookmarkStart w:id="80" w:name="_Toc23076"/>
      <w:bookmarkStart w:id="81" w:name="_Toc5472"/>
      <w:bookmarkStart w:id="82" w:name="_Toc10229"/>
      <w:r>
        <w:rPr>
          <w:rFonts w:hint="eastAsia"/>
          <w:color w:val="auto"/>
        </w:rPr>
        <w:t>评审方法</w:t>
      </w:r>
      <w:bookmarkEnd w:id="70"/>
      <w:bookmarkEnd w:id="71"/>
      <w:bookmarkEnd w:id="72"/>
      <w:bookmarkEnd w:id="73"/>
      <w:bookmarkEnd w:id="78"/>
      <w:bookmarkEnd w:id="79"/>
      <w:bookmarkEnd w:id="80"/>
      <w:bookmarkEnd w:id="81"/>
      <w:bookmarkEnd w:id="82"/>
    </w:p>
    <w:p>
      <w:pPr>
        <w:tabs>
          <w:tab w:val="left" w:pos="420"/>
          <w:tab w:val="left" w:pos="7560"/>
          <w:tab w:val="left" w:pos="7740"/>
          <w:tab w:val="left" w:pos="7920"/>
        </w:tabs>
        <w:adjustRightInd w:val="0"/>
        <w:snapToGrid w:val="0"/>
        <w:spacing w:line="360" w:lineRule="exact"/>
        <w:rPr>
          <w:rFonts w:ascii="宋体" w:hAnsi="宋体"/>
          <w:b/>
          <w:color w:val="auto"/>
          <w:sz w:val="28"/>
          <w:szCs w:val="24"/>
          <w:highlight w:val="white"/>
        </w:rPr>
      </w:pPr>
      <w:bookmarkStart w:id="83" w:name="_Toc446599330"/>
      <w:bookmarkStart w:id="84" w:name="_Toc293739005"/>
      <w:bookmarkStart w:id="85" w:name="_Toc293736067"/>
      <w:bookmarkStart w:id="86" w:name="_Toc293736024"/>
    </w:p>
    <w:p>
      <w:pPr>
        <w:pStyle w:val="11"/>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w:t>
      </w:r>
      <w:r>
        <w:rPr>
          <w:rFonts w:hint="eastAsia" w:ascii="宋体" w:hAnsi="宋体" w:cs="宋体"/>
          <w:color w:val="auto"/>
          <w:sz w:val="24"/>
          <w:szCs w:val="24"/>
          <w:lang w:val="en-US" w:eastAsia="zh-CN"/>
        </w:rPr>
        <w:t>10</w:t>
      </w:r>
      <w:r>
        <w:rPr>
          <w:rFonts w:hint="eastAsia" w:ascii="宋体" w:hAnsi="宋体" w:cs="宋体"/>
          <w:color w:val="auto"/>
          <w:sz w:val="24"/>
          <w:szCs w:val="24"/>
        </w:rPr>
        <w:t>%的扣除价格，用扣除后的价格参与评审。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2、残疾人福利单位价格扣除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（1）本项目对残疾人福利性单位视同小型、微型企业，给予</w:t>
      </w:r>
      <w:r>
        <w:rPr>
          <w:rFonts w:hint="eastAsia" w:ascii="宋体" w:hAnsi="宋体" w:cs="宋体"/>
          <w:color w:val="auto"/>
          <w:sz w:val="24"/>
          <w:szCs w:val="24"/>
          <w:lang w:val="en-US" w:eastAsia="zh-CN"/>
        </w:rPr>
        <w:t>10</w:t>
      </w:r>
      <w:r>
        <w:rPr>
          <w:rFonts w:hint="eastAsia" w:ascii="宋体" w:hAnsi="宋体" w:cs="宋体"/>
          <w:color w:val="auto"/>
          <w:sz w:val="24"/>
          <w:szCs w:val="24"/>
        </w:rPr>
        <w:t>%的价格扣除，用扣除后的价格参与评审。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（2）残疾人福利单位需按照采购文件的要求提供《残疾人福利性单位声明函》。</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（3）残疾人福利单位标准请参照《关于促进残疾人就业政府采购政策的通知》（财库〔2017〕141号）。</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3、监狱和戒毒企业价格扣除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（1）本项目对监狱和戒毒企业（简称监狱企业）视同小型、微型企业，给予6%的价格扣除，用扣除后的价格参与评审。</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（3）监狱企业标准请参照《关于政府采购支持监狱企业发展有关问题的通知》（财库[2014]68号）。</w:t>
      </w:r>
    </w:p>
    <w:p>
      <w:pPr>
        <w:pStyle w:val="11"/>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4、残疾人福利单位、监狱企业属于小型、微型企业的，不重复享受政策。</w:t>
      </w:r>
    </w:p>
    <w:p>
      <w:pPr>
        <w:pStyle w:val="11"/>
        <w:spacing w:line="400" w:lineRule="exact"/>
        <w:ind w:firstLine="484" w:firstLineChars="202"/>
        <w:jc w:val="left"/>
        <w:rPr>
          <w:rFonts w:ascii="宋体" w:hAnsi="宋体" w:cs="宋体"/>
          <w:color w:val="auto"/>
          <w:sz w:val="24"/>
          <w:szCs w:val="24"/>
        </w:rPr>
      </w:pPr>
    </w:p>
    <w:p>
      <w:pPr>
        <w:rPr>
          <w:color w:val="auto"/>
        </w:rPr>
      </w:pPr>
      <w:r>
        <w:rPr>
          <w:rFonts w:hint="eastAsia"/>
          <w:color w:val="auto"/>
        </w:rPr>
        <w:br w:type="page"/>
      </w:r>
    </w:p>
    <w:p>
      <w:pPr>
        <w:pStyle w:val="97"/>
        <w:numPr>
          <w:ilvl w:val="0"/>
          <w:numId w:val="3"/>
        </w:numPr>
        <w:spacing w:line="500" w:lineRule="exact"/>
        <w:ind w:firstLineChars="0"/>
        <w:outlineLvl w:val="1"/>
        <w:rPr>
          <w:rFonts w:ascii="宋体" w:hAnsi="宋体" w:cs="宋体"/>
          <w:b/>
          <w:color w:val="auto"/>
          <w:sz w:val="28"/>
          <w:szCs w:val="28"/>
        </w:rPr>
      </w:pPr>
      <w:bookmarkStart w:id="87" w:name="_Toc16809"/>
      <w:bookmarkStart w:id="88" w:name="_Toc12926"/>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7"/>
      <w:bookmarkEnd w:id="88"/>
    </w:p>
    <w:p>
      <w:pPr>
        <w:pStyle w:val="80"/>
        <w:rPr>
          <w:rFonts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附表一：</w:t>
      </w:r>
    </w:p>
    <w:p>
      <w:pPr>
        <w:pStyle w:val="80"/>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1"/>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1"/>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2"/>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2"/>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供应商对根据修正原则修正后的报价不确认的。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1"/>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80"/>
        <w:rPr>
          <w:rFonts w:ascii="宋体" w:hAnsi="宋体" w:cs="宋体"/>
          <w:sz w:val="22"/>
          <w:szCs w:val="22"/>
          <w:highlight w:val="white"/>
        </w:rPr>
      </w:pPr>
    </w:p>
    <w:p>
      <w:pPr>
        <w:pStyle w:val="80"/>
        <w:rPr>
          <w:rFonts w:hint="eastAsia" w:ascii="宋体" w:hAnsi="宋体" w:cs="宋体"/>
          <w:sz w:val="22"/>
          <w:szCs w:val="22"/>
          <w:highlight w:val="white"/>
        </w:rPr>
      </w:pPr>
    </w:p>
    <w:p>
      <w:pPr>
        <w:pStyle w:val="80"/>
        <w:rPr>
          <w:rFonts w:hint="eastAsia" w:ascii="宋体" w:hAnsi="宋体" w:cs="宋体"/>
          <w:sz w:val="22"/>
          <w:szCs w:val="22"/>
          <w:highlight w:val="white"/>
        </w:rPr>
      </w:pPr>
    </w:p>
    <w:p>
      <w:pPr>
        <w:pStyle w:val="80"/>
        <w:rPr>
          <w:rFonts w:hint="eastAsia" w:ascii="宋体" w:hAnsi="宋体" w:cs="宋体"/>
          <w:sz w:val="22"/>
          <w:szCs w:val="22"/>
          <w:highlight w:val="white"/>
        </w:rPr>
      </w:pPr>
    </w:p>
    <w:p>
      <w:pPr>
        <w:pStyle w:val="80"/>
        <w:rPr>
          <w:rFonts w:ascii="宋体" w:hAnsi="宋体" w:cs="宋体"/>
          <w:sz w:val="22"/>
          <w:szCs w:val="22"/>
          <w:highlight w:val="white"/>
        </w:rPr>
      </w:pPr>
      <w:r>
        <w:rPr>
          <w:rFonts w:hint="eastAsia" w:ascii="宋体" w:hAnsi="宋体" w:cs="宋体"/>
          <w:sz w:val="22"/>
          <w:szCs w:val="22"/>
          <w:highlight w:val="white"/>
        </w:rPr>
        <w:t>附表二：</w:t>
      </w:r>
    </w:p>
    <w:p>
      <w:pPr>
        <w:pStyle w:val="80"/>
        <w:jc w:val="center"/>
        <w:rPr>
          <w:rFonts w:hint="eastAsia" w:ascii="宋体" w:hAnsi="宋体" w:cs="宋体"/>
          <w:b/>
          <w:bCs/>
          <w:sz w:val="28"/>
          <w:szCs w:val="32"/>
          <w:highlight w:val="white"/>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p>
    <w:p>
      <w:pPr>
        <w:pStyle w:val="80"/>
        <w:jc w:val="center"/>
        <w:rPr>
          <w:rFonts w:hint="eastAsia" w:ascii="宋体" w:hAnsi="宋体" w:cs="宋体"/>
          <w:b/>
          <w:bCs/>
          <w:sz w:val="28"/>
          <w:szCs w:val="32"/>
          <w:highlight w:val="white"/>
        </w:rPr>
      </w:pPr>
    </w:p>
    <w:tbl>
      <w:tblPr>
        <w:tblStyle w:val="33"/>
        <w:tblW w:w="9580" w:type="dxa"/>
        <w:tblInd w:w="93" w:type="dxa"/>
        <w:tblLayout w:type="fixed"/>
        <w:tblCellMar>
          <w:top w:w="0" w:type="dxa"/>
          <w:left w:w="108" w:type="dxa"/>
          <w:bottom w:w="0" w:type="dxa"/>
          <w:right w:w="108" w:type="dxa"/>
        </w:tblCellMar>
      </w:tblPr>
      <w:tblGrid>
        <w:gridCol w:w="683"/>
        <w:gridCol w:w="2113"/>
        <w:gridCol w:w="5922"/>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11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   目</w:t>
            </w:r>
          </w:p>
        </w:tc>
        <w:tc>
          <w:tcPr>
            <w:tcW w:w="592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分值</w:t>
            </w:r>
          </w:p>
        </w:tc>
      </w:tr>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商务部分</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类似业绩</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供应商提供近五年（2018年至今）的类似销售业绩，每提供一项得1分，不提供不得分，最高得5分，开标现场须提供中标通知书或成交通知书或合同原件。（评审时以中标通知书、成交通知书或合同原件为准）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5分</w:t>
            </w:r>
          </w:p>
        </w:tc>
      </w:tr>
      <w:tr>
        <w:tblPrEx>
          <w:tblCellMar>
            <w:top w:w="0" w:type="dxa"/>
            <w:left w:w="108" w:type="dxa"/>
            <w:bottom w:w="0" w:type="dxa"/>
            <w:right w:w="108" w:type="dxa"/>
          </w:tblCellMar>
        </w:tblPrEx>
        <w:trPr>
          <w:trHeight w:val="2150"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技术部分</w:t>
            </w:r>
            <w:r>
              <w:rPr>
                <w:rFonts w:hint="eastAsia" w:ascii="宋体" w:hAnsi="宋体" w:cs="宋体"/>
                <w:kern w:val="2"/>
                <w:sz w:val="21"/>
                <w:szCs w:val="21"/>
                <w:lang w:val="en-US" w:eastAsia="zh-CN" w:bidi="ar-SA"/>
              </w:rPr>
              <w:t>65</w:t>
            </w:r>
            <w:r>
              <w:rPr>
                <w:rFonts w:hint="eastAsia" w:ascii="宋体" w:hAnsi="宋体" w:eastAsia="宋体" w:cs="宋体"/>
                <w:kern w:val="2"/>
                <w:sz w:val="21"/>
                <w:szCs w:val="21"/>
                <w:lang w:val="en-US" w:eastAsia="zh-CN" w:bidi="ar-SA"/>
              </w:rPr>
              <w:t>分</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服务能力</w:t>
            </w:r>
          </w:p>
        </w:tc>
        <w:tc>
          <w:tcPr>
            <w:tcW w:w="5922" w:type="dxa"/>
            <w:tcBorders>
              <w:top w:val="single" w:color="auto" w:sz="4" w:space="0"/>
              <w:left w:val="single" w:color="auto" w:sz="4" w:space="0"/>
              <w:right w:val="single" w:color="auto" w:sz="4" w:space="0"/>
            </w:tcBorders>
            <w:noWrap w:val="0"/>
            <w:vAlign w:val="center"/>
          </w:tcPr>
          <w:p>
            <w:pPr>
              <w:widowControl/>
              <w:numPr>
                <w:ilvl w:val="0"/>
                <w:numId w:val="4"/>
              </w:num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售后服务体系完备并有固定的技术支持机构（须提供相关证明或证明材料原件）得5分。</w:t>
            </w:r>
          </w:p>
          <w:p>
            <w:pPr>
              <w:widowControl/>
              <w:numPr>
                <w:ilvl w:val="0"/>
                <w:numId w:val="0"/>
              </w:numPr>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提供紧急配件及常用备品备件明细清单得3分，不提供不得分。</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3、响应招标文件中售后服务要求提供合理的维护维修服务及培训方案的得3分，一般的得1分，不提供不得分。（评审时以提供相关证明材料为准）。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both"/>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11分</w:t>
            </w:r>
          </w:p>
        </w:tc>
      </w:tr>
      <w:tr>
        <w:tblPrEx>
          <w:tblCellMar>
            <w:top w:w="0" w:type="dxa"/>
            <w:left w:w="108" w:type="dxa"/>
            <w:bottom w:w="0" w:type="dxa"/>
            <w:right w:w="108" w:type="dxa"/>
          </w:tblCellMar>
        </w:tblPrEx>
        <w:trPr>
          <w:trHeight w:val="1860"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2"/>
                <w:sz w:val="21"/>
                <w:szCs w:val="21"/>
                <w:lang w:val="en-US" w:eastAsia="zh-CN" w:bidi="ar-SA"/>
              </w:rPr>
            </w:pPr>
          </w:p>
        </w:tc>
        <w:tc>
          <w:tcPr>
            <w:tcW w:w="2113"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技术指标</w:t>
            </w:r>
          </w:p>
        </w:tc>
        <w:tc>
          <w:tcPr>
            <w:tcW w:w="5922" w:type="dxa"/>
            <w:tcBorders>
              <w:top w:val="single" w:color="auto" w:sz="4" w:space="0"/>
              <w:left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1、投标产品的技术参数全部满足招标文件要求的得44分；由专家评审，逐条确定是否达到技术参数要求，一般参数一项不满足扣4分，★关键参数一项不满足扣8分，扣完为止。</w:t>
            </w:r>
          </w:p>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2、技术指标和性能高于招标文件中技术参数和性能的可加分，每一项加2分，最多加4分。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48分</w:t>
            </w:r>
          </w:p>
        </w:tc>
      </w:tr>
      <w:tr>
        <w:tblPrEx>
          <w:tblCellMar>
            <w:top w:w="0" w:type="dxa"/>
            <w:left w:w="108" w:type="dxa"/>
            <w:bottom w:w="0" w:type="dxa"/>
            <w:right w:w="108" w:type="dxa"/>
          </w:tblCellMar>
        </w:tblPrEx>
        <w:trPr>
          <w:trHeight w:val="80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技术人员能力</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专业技术团队人员的能力与经验，有相应的超声设备培训及考核证书，每提供一名得2分，最多得6分。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6分</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p>
    <w:p>
      <w:pPr>
        <w:pStyle w:val="80"/>
        <w:jc w:val="center"/>
        <w:rPr>
          <w:rFonts w:hint="eastAsia" w:ascii="宋体" w:hAnsi="宋体" w:cs="宋体"/>
          <w:b/>
          <w:bCs/>
          <w:sz w:val="28"/>
          <w:szCs w:val="32"/>
          <w:highlight w:val="white"/>
        </w:rPr>
      </w:pPr>
    </w:p>
    <w:tbl>
      <w:tblPr>
        <w:tblStyle w:val="33"/>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0" w:lineRule="atLeast"/>
              <w:jc w:val="left"/>
              <w:textAlignment w:val="center"/>
              <w:rPr>
                <w:rFonts w:hint="eastAsia" w:ascii="宋体" w:hAnsi="宋体" w:cs="Times New Roman"/>
                <w:sz w:val="24"/>
                <w:lang w:val="en-US" w:eastAsia="zh-CN"/>
              </w:rPr>
            </w:pPr>
          </w:p>
          <w:p>
            <w:pPr>
              <w:widowControl/>
              <w:spacing w:line="0" w:lineRule="atLeast"/>
              <w:jc w:val="left"/>
              <w:textAlignment w:val="center"/>
              <w:rPr>
                <w:rFonts w:hint="eastAsia" w:ascii="宋体" w:hAnsi="宋体" w:cs="Times New Roman"/>
                <w:sz w:val="24"/>
                <w:lang w:val="en-US" w:eastAsia="zh-CN"/>
              </w:rPr>
            </w:pPr>
          </w:p>
          <w:p>
            <w:pPr>
              <w:widowControl/>
              <w:spacing w:line="0" w:lineRule="atLeast"/>
              <w:jc w:val="left"/>
              <w:textAlignment w:val="center"/>
              <w:rPr>
                <w:rFonts w:hint="eastAsia" w:ascii="宋体" w:hAnsi="宋体" w:cs="Times New Roman"/>
                <w:sz w:val="24"/>
                <w:lang w:val="en-US" w:eastAsia="zh-CN"/>
              </w:rPr>
            </w:pPr>
          </w:p>
          <w:p>
            <w:pPr>
              <w:widowControl/>
              <w:spacing w:line="0" w:lineRule="atLeast"/>
              <w:ind w:firstLine="240" w:firstLineChars="100"/>
              <w:jc w:val="left"/>
              <w:textAlignment w:val="center"/>
              <w:rPr>
                <w:rFonts w:hint="default" w:ascii="宋体" w:hAnsi="宋体" w:cs="Times New Roman"/>
                <w:sz w:val="24"/>
                <w:lang w:val="en-US" w:eastAsia="zh-CN"/>
              </w:rPr>
            </w:pPr>
            <w:r>
              <w:rPr>
                <w:rFonts w:hint="eastAsia" w:ascii="宋体" w:hAnsi="宋体" w:cs="Times New Roman"/>
                <w:sz w:val="24"/>
                <w:lang w:val="en-US" w:eastAsia="zh-CN"/>
              </w:rPr>
              <w:t>投标报价</w:t>
            </w:r>
          </w:p>
        </w:tc>
        <w:tc>
          <w:tcPr>
            <w:tcW w:w="5812" w:type="dxa"/>
            <w:shd w:val="clear" w:color="auto" w:fill="FFFFFF"/>
            <w:noWrap w:val="0"/>
            <w:vAlign w:val="center"/>
          </w:tcPr>
          <w:p>
            <w:pPr>
              <w:widowControl/>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投标报价：基准价=所有投标商的最低报价，满分30分，投标报价得分=（评标基准价/投标报价）</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30%</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100</w:t>
            </w:r>
          </w:p>
          <w:p>
            <w:pPr>
              <w:widowControl/>
              <w:spacing w:line="360" w:lineRule="exact"/>
              <w:jc w:val="left"/>
              <w:rPr>
                <w:rFonts w:hint="eastAsia" w:ascii="宋体" w:hAnsi="宋体" w:cs="Times New Roman"/>
                <w:sz w:val="24"/>
              </w:rPr>
            </w:pPr>
            <w:r>
              <w:rPr>
                <w:rFonts w:hint="eastAsia" w:ascii="宋体" w:hAnsi="宋体" w:eastAsia="宋体" w:cs="宋体"/>
                <w:kern w:val="2"/>
                <w:sz w:val="21"/>
                <w:szCs w:val="21"/>
                <w:lang w:val="en-US" w:eastAsia="zh-CN" w:bidi="ar-SA"/>
              </w:rPr>
              <w:t>评标基准价：满足招标文件要求且投标价格最低的投标报价为评标基准价。对小型和微型企业的价格给10%的扣除，用扣除后的价格计算投标报价得分，须提供《中小企业声明函》。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75" w:type="dxa"/>
            <w:vMerge w:val="continue"/>
            <w:shd w:val="clear" w:color="auto" w:fill="FFFFFF"/>
            <w:noWrap w:val="0"/>
            <w:vAlign w:val="top"/>
          </w:tcPr>
          <w:p>
            <w:pPr>
              <w:widowControl/>
              <w:spacing w:line="0" w:lineRule="atLeast"/>
              <w:jc w:val="left"/>
              <w:textAlignment w:val="center"/>
              <w:rPr>
                <w:rFonts w:hint="eastAsia" w:ascii="宋体" w:hAnsi="宋体" w:cs="Times New Roman"/>
                <w:sz w:val="24"/>
              </w:rPr>
            </w:pPr>
          </w:p>
        </w:tc>
        <w:tc>
          <w:tcPr>
            <w:tcW w:w="5812" w:type="dxa"/>
            <w:shd w:val="clear" w:color="auto" w:fill="FFFFFF"/>
            <w:noWrap w:val="0"/>
            <w:vAlign w:val="center"/>
          </w:tcPr>
          <w:p>
            <w:pPr>
              <w:widowControl/>
              <w:spacing w:line="0" w:lineRule="atLeast"/>
              <w:jc w:val="center"/>
              <w:textAlignment w:val="center"/>
              <w:rPr>
                <w:rFonts w:hint="eastAsia" w:ascii="宋体" w:hAnsi="宋体" w:cs="Times New Roman"/>
                <w:sz w:val="24"/>
              </w:rPr>
            </w:pPr>
            <w:r>
              <w:rPr>
                <w:rFonts w:hint="eastAsia" w:ascii="宋体" w:hAnsi="宋体" w:eastAsia="宋体" w:cs="宋体"/>
                <w:kern w:val="2"/>
                <w:sz w:val="21"/>
                <w:szCs w:val="21"/>
                <w:lang w:val="en-US" w:eastAsia="zh-CN" w:bidi="ar-SA"/>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pStyle w:val="80"/>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89" w:name="_Toc25362"/>
      <w:bookmarkStart w:id="90" w:name="_Toc14001"/>
      <w:r>
        <w:rPr>
          <w:rFonts w:hint="eastAsia" w:ascii="宋体" w:hAnsi="宋体" w:cs="宋体"/>
          <w:b/>
          <w:sz w:val="28"/>
          <w:szCs w:val="28"/>
        </w:rPr>
        <w:t>二、评审办法正文部分</w:t>
      </w:r>
      <w:bookmarkEnd w:id="89"/>
      <w:bookmarkEnd w:id="90"/>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1"/>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1" w:name="_Toc19418"/>
      <w:r>
        <w:rPr>
          <w:rFonts w:hint="eastAsia" w:ascii="宋体" w:hAnsi="宋体" w:cs="宋体"/>
          <w:b/>
          <w:sz w:val="28"/>
          <w:szCs w:val="28"/>
        </w:rPr>
        <w:t>三、串通投标的情况</w:t>
      </w:r>
      <w:bookmarkEnd w:id="91"/>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1"/>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1"/>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0" w:firstLineChars="0"/>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sz w:val="28"/>
          <w:szCs w:val="28"/>
        </w:rPr>
      </w:pPr>
    </w:p>
    <w:p>
      <w:pPr>
        <w:pStyle w:val="11"/>
        <w:spacing w:line="500" w:lineRule="exact"/>
        <w:ind w:firstLine="565" w:firstLineChars="202"/>
        <w:jc w:val="left"/>
        <w:rPr>
          <w:rFonts w:ascii="宋体" w:hAnsi="宋体"/>
          <w:color w:val="auto"/>
          <w:sz w:val="28"/>
          <w:szCs w:val="28"/>
        </w:rPr>
      </w:pPr>
    </w:p>
    <w:p>
      <w:pPr>
        <w:pStyle w:val="2"/>
        <w:numPr>
          <w:ilvl w:val="0"/>
          <w:numId w:val="1"/>
        </w:numPr>
        <w:spacing w:before="0" w:after="0" w:line="240" w:lineRule="auto"/>
        <w:rPr>
          <w:color w:val="auto"/>
        </w:rPr>
      </w:pPr>
      <w:bookmarkStart w:id="92" w:name="_Toc22804"/>
      <w:bookmarkStart w:id="93" w:name="_Toc6170"/>
      <w:r>
        <w:rPr>
          <w:rFonts w:hint="eastAsia"/>
          <w:color w:val="auto"/>
        </w:rPr>
        <w:t xml:space="preserve"> </w:t>
      </w:r>
      <w:bookmarkStart w:id="94" w:name="_Toc15715"/>
      <w:bookmarkStart w:id="95" w:name="_Toc32004"/>
      <w:bookmarkStart w:id="96" w:name="_Toc10028"/>
      <w:r>
        <w:rPr>
          <w:rFonts w:hint="eastAsia"/>
          <w:color w:val="auto"/>
        </w:rPr>
        <w:t>合同格式及合同条款</w:t>
      </w:r>
      <w:bookmarkEnd w:id="83"/>
      <w:bookmarkEnd w:id="84"/>
      <w:bookmarkEnd w:id="85"/>
      <w:bookmarkEnd w:id="86"/>
      <w:bookmarkEnd w:id="92"/>
      <w:bookmarkEnd w:id="93"/>
      <w:bookmarkEnd w:id="94"/>
      <w:bookmarkEnd w:id="95"/>
      <w:bookmarkEnd w:id="96"/>
    </w:p>
    <w:p>
      <w:pPr>
        <w:jc w:val="center"/>
        <w:rPr>
          <w:rFonts w:ascii="宋体" w:hAnsi="宋体"/>
          <w:bCs/>
          <w:color w:val="auto"/>
          <w:sz w:val="28"/>
          <w:szCs w:val="28"/>
          <w:highlight w:val="lightGray"/>
          <w:shd w:val="clear" w:color="auto" w:fill="92D050"/>
        </w:rPr>
      </w:pPr>
    </w:p>
    <w:p>
      <w:pPr>
        <w:jc w:val="center"/>
        <w:rPr>
          <w:rFonts w:ascii="宋体" w:hAnsi="宋体"/>
          <w:bCs/>
          <w:color w:val="auto"/>
          <w:sz w:val="28"/>
          <w:szCs w:val="28"/>
          <w:highlight w:val="lightGray"/>
          <w:shd w:val="clear" w:color="auto" w:fill="auto"/>
        </w:rPr>
      </w:pPr>
      <w:r>
        <w:rPr>
          <w:rFonts w:hint="eastAsia" w:ascii="宋体" w:hAnsi="宋体"/>
          <w:bCs/>
          <w:color w:val="auto"/>
          <w:sz w:val="28"/>
          <w:szCs w:val="28"/>
          <w:highlight w:val="lightGray"/>
          <w:shd w:val="clear" w:color="auto" w:fill="auto"/>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2"/>
        <w:numPr>
          <w:ilvl w:val="0"/>
          <w:numId w:val="1"/>
        </w:numPr>
        <w:spacing w:before="0" w:after="0" w:line="240" w:lineRule="auto"/>
      </w:pPr>
      <w:bookmarkStart w:id="97" w:name="_Toc18901"/>
      <w:bookmarkStart w:id="98" w:name="_Toc7411"/>
      <w:bookmarkStart w:id="99" w:name="_Toc257633148"/>
      <w:r>
        <w:rPr>
          <w:rFonts w:hint="eastAsia"/>
        </w:rPr>
        <w:t xml:space="preserve"> </w:t>
      </w:r>
      <w:bookmarkStart w:id="100" w:name="_Toc16000"/>
      <w:bookmarkStart w:id="101" w:name="_Toc10721"/>
      <w:bookmarkStart w:id="102" w:name="_Toc804"/>
      <w:r>
        <w:rPr>
          <w:rFonts w:hint="eastAsia"/>
        </w:rPr>
        <w:t>响应文件格式</w:t>
      </w:r>
      <w:bookmarkEnd w:id="97"/>
      <w:bookmarkEnd w:id="98"/>
      <w:bookmarkEnd w:id="100"/>
      <w:bookmarkEnd w:id="101"/>
      <w:bookmarkEnd w:id="102"/>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3" w:name="_Toc18205"/>
      <w:r>
        <w:rPr>
          <w:rFonts w:hint="eastAsia" w:ascii="宋体" w:hAnsi="宋体"/>
          <w:sz w:val="28"/>
          <w:szCs w:val="28"/>
        </w:rPr>
        <w:t>（项目名称）</w:t>
      </w:r>
      <w:bookmarkEnd w:id="103"/>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4" w:name="_Toc19484"/>
      <w:r>
        <w:rPr>
          <w:rFonts w:hint="eastAsia" w:ascii="宋体" w:hAnsi="宋体"/>
          <w:sz w:val="28"/>
          <w:szCs w:val="28"/>
        </w:rPr>
        <w:t>（项目编号）</w:t>
      </w:r>
      <w:bookmarkEnd w:id="104"/>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5" w:name="_Toc3702"/>
      <w:r>
        <w:rPr>
          <w:rFonts w:hint="eastAsia" w:eastAsia="黑体"/>
          <w:b/>
          <w:sz w:val="72"/>
          <w:szCs w:val="72"/>
        </w:rPr>
        <w:t>响应文件</w:t>
      </w:r>
      <w:bookmarkEnd w:id="105"/>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pStyle w:val="32"/>
        <w:ind w:left="0" w:leftChars="0" w:firstLine="0" w:firstLineChars="0"/>
      </w:pPr>
    </w:p>
    <w:p>
      <w:pPr>
        <w:pStyle w:val="4"/>
        <w:numPr>
          <w:ilvl w:val="2"/>
          <w:numId w:val="0"/>
        </w:numPr>
        <w:spacing w:before="120" w:beforeLines="50" w:after="120" w:afterLines="50" w:line="300" w:lineRule="auto"/>
      </w:pPr>
      <w:r>
        <w:rPr>
          <w:rFonts w:hint="eastAsia" w:ascii="宋体" w:cs="宋体"/>
          <w:b w:val="0"/>
          <w:sz w:val="30"/>
          <w:szCs w:val="30"/>
        </w:rPr>
        <w:t>目录</w:t>
      </w:r>
    </w:p>
    <w:p>
      <w:pPr>
        <w:pStyle w:val="32"/>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2"/>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r>
        <w:rPr>
          <w:rFonts w:hint="eastAsia" w:ascii="宋体" w:hAnsi="宋体" w:eastAsia="宋体" w:cs="宋体"/>
          <w:sz w:val="24"/>
          <w:szCs w:val="22"/>
          <w:lang w:val="en-US" w:eastAsia="zh-CN"/>
        </w:rPr>
        <w:t>(代理公司开具的保证金收据复印件)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2"/>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格式自拟，具体内容应包括但不限于：人员配备、业绩证明、信誉证明、</w:t>
      </w:r>
      <w:r>
        <w:rPr>
          <w:rFonts w:hint="eastAsia" w:ascii="宋体" w:hAnsi="宋体" w:eastAsia="宋体" w:cs="宋体"/>
          <w:sz w:val="24"/>
          <w:szCs w:val="22"/>
          <w:lang w:eastAsia="zh-CN"/>
        </w:rPr>
        <w:t>其他技术文件。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4、供应商认为需要提供的其他文件</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如：</w:t>
      </w:r>
      <w:r>
        <w:rPr>
          <w:rFonts w:hint="eastAsia" w:ascii="宋体" w:hAnsi="宋体" w:eastAsia="宋体" w:cs="宋体"/>
          <w:color w:val="000000" w:themeColor="text1"/>
          <w:sz w:val="24"/>
          <w:szCs w:val="22"/>
          <w:lang w:val="en-US" w:eastAsia="zh-CN"/>
          <w14:textFill>
            <w14:solidFill>
              <w14:schemeClr w14:val="tx1"/>
            </w14:solidFill>
          </w14:textFill>
        </w:rPr>
        <w:t>保证金收据或保证金打款凭证等</w:t>
      </w:r>
      <w:r>
        <w:rPr>
          <w:rFonts w:hint="eastAsia" w:ascii="宋体" w:hAnsi="宋体" w:eastAsia="宋体" w:cs="宋体"/>
          <w:sz w:val="24"/>
          <w:szCs w:val="22"/>
          <w:lang w:eastAsia="zh-CN"/>
        </w:rPr>
        <w:t>）</w:t>
      </w:r>
    </w:p>
    <w:p>
      <w:pPr>
        <w:pStyle w:val="32"/>
        <w:spacing w:line="440" w:lineRule="exact"/>
        <w:ind w:firstLine="560" w:firstLineChars="200"/>
        <w:rPr>
          <w:rFonts w:ascii="宋体" w:hAnsi="宋体"/>
          <w:sz w:val="28"/>
          <w:szCs w:val="28"/>
        </w:rPr>
      </w:pPr>
      <w:r>
        <w:rPr>
          <w:rFonts w:hint="eastAsia" w:ascii="宋体" w:hAnsi="宋体"/>
          <w:sz w:val="28"/>
          <w:szCs w:val="28"/>
        </w:rPr>
        <w:br w:type="page"/>
      </w:r>
    </w:p>
    <w:bookmarkEnd w:id="99"/>
    <w:p>
      <w:pPr>
        <w:pStyle w:val="4"/>
        <w:numPr>
          <w:ilvl w:val="2"/>
          <w:numId w:val="0"/>
        </w:numPr>
        <w:spacing w:before="120" w:beforeLines="50" w:after="120" w:afterLines="50" w:line="300" w:lineRule="auto"/>
        <w:jc w:val="both"/>
        <w:rPr>
          <w:rFonts w:ascii="宋体" w:cs="宋体"/>
          <w:b w:val="0"/>
          <w:sz w:val="30"/>
          <w:szCs w:val="30"/>
        </w:rPr>
      </w:pPr>
      <w:bookmarkStart w:id="106" w:name="_Toc534725614"/>
      <w:bookmarkStart w:id="107" w:name="_Toc534816643"/>
      <w:bookmarkStart w:id="108" w:name="_Toc23830"/>
      <w:bookmarkStart w:id="109" w:name="_Toc519111281"/>
      <w:r>
        <w:rPr>
          <w:rFonts w:hint="eastAsia" w:ascii="宋体" w:cs="宋体"/>
          <w:b w:val="0"/>
          <w:sz w:val="30"/>
          <w:szCs w:val="30"/>
        </w:rPr>
        <w:t>附件一：具备履行合同所必需的设备和专业技术能力的书面声明</w:t>
      </w:r>
      <w:bookmarkEnd w:id="106"/>
      <w:bookmarkEnd w:id="107"/>
      <w:bookmarkEnd w:id="108"/>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80"/>
        <w:rPr>
          <w:rFonts w:ascii="宋体" w:hAnsi="宋体" w:cs="宋体"/>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4"/>
        <w:numPr>
          <w:ilvl w:val="2"/>
          <w:numId w:val="0"/>
        </w:numPr>
        <w:spacing w:before="120" w:beforeLines="50" w:after="120" w:afterLines="50" w:line="300" w:lineRule="auto"/>
        <w:jc w:val="both"/>
        <w:rPr>
          <w:rFonts w:ascii="宋体" w:cs="宋体"/>
          <w:b w:val="0"/>
          <w:sz w:val="30"/>
          <w:szCs w:val="30"/>
        </w:rPr>
      </w:pPr>
      <w:bookmarkStart w:id="110" w:name="_Toc534725615"/>
      <w:bookmarkStart w:id="111" w:name="_Toc21280"/>
      <w:bookmarkStart w:id="112" w:name="_Toc534816644"/>
      <w:r>
        <w:rPr>
          <w:rFonts w:hint="eastAsia" w:ascii="宋体" w:cs="宋体"/>
          <w:b w:val="0"/>
          <w:sz w:val="30"/>
          <w:szCs w:val="30"/>
        </w:rPr>
        <w:t>附件二：参加政府采购活动前 3 年内在经营活动中没有重大违法记录的书面声明</w:t>
      </w:r>
      <w:bookmarkEnd w:id="110"/>
      <w:bookmarkEnd w:id="111"/>
      <w:bookmarkEnd w:id="112"/>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80"/>
        <w:rPr>
          <w:rFonts w:ascii="宋体" w:hAnsi="宋体" w:cs="宋体"/>
        </w:rPr>
      </w:pPr>
    </w:p>
    <w:p>
      <w:pPr>
        <w:pStyle w:val="4"/>
        <w:spacing w:before="120" w:beforeLines="50" w:after="120" w:afterLines="50" w:line="300" w:lineRule="auto"/>
        <w:ind w:left="0" w:leftChars="0"/>
        <w:jc w:val="both"/>
        <w:rPr>
          <w:rFonts w:ascii="宋体" w:cs="宋体"/>
          <w:b w:val="0"/>
          <w:sz w:val="30"/>
          <w:szCs w:val="30"/>
        </w:rPr>
      </w:pPr>
      <w:bookmarkStart w:id="113" w:name="_Toc8813"/>
      <w:r>
        <w:rPr>
          <w:rFonts w:hint="eastAsia" w:ascii="宋体" w:cs="宋体"/>
          <w:b w:val="0"/>
          <w:sz w:val="30"/>
          <w:szCs w:val="30"/>
        </w:rPr>
        <w:t>附件三：法定代表人（单位负责人）身份证明及授权委托书</w:t>
      </w:r>
      <w:bookmarkEnd w:id="109"/>
      <w:bookmarkEnd w:id="113"/>
    </w:p>
    <w:p>
      <w:pPr>
        <w:rPr>
          <w:rFonts w:ascii="宋体" w:hAnsi="宋体" w:cs="宋体"/>
        </w:rPr>
      </w:pPr>
    </w:p>
    <w:p>
      <w:pPr>
        <w:pStyle w:val="83"/>
        <w:outlineLvl w:val="9"/>
        <w:rPr>
          <w:rFonts w:eastAsia="宋体" w:cs="宋体"/>
          <w:b w:val="0"/>
          <w:sz w:val="24"/>
          <w:szCs w:val="24"/>
        </w:rPr>
      </w:pPr>
      <w:bookmarkStart w:id="114" w:name="_Toc480368595"/>
      <w:bookmarkStart w:id="115" w:name="_Toc468535482"/>
      <w:bookmarkStart w:id="116" w:name="_Toc480371721"/>
      <w:bookmarkStart w:id="117" w:name="_Toc480368424"/>
      <w:bookmarkStart w:id="118" w:name="_Toc519111282"/>
      <w:bookmarkStart w:id="119" w:name="_Toc480368653"/>
      <w:r>
        <w:rPr>
          <w:rFonts w:hint="eastAsia" w:eastAsia="宋体" w:cs="宋体"/>
          <w:b w:val="0"/>
          <w:sz w:val="24"/>
          <w:szCs w:val="24"/>
        </w:rPr>
        <w:t>法定代表人（单位负责人）资格证明文件</w:t>
      </w:r>
      <w:bookmarkEnd w:id="114"/>
      <w:bookmarkEnd w:id="115"/>
      <w:bookmarkEnd w:id="116"/>
      <w:bookmarkEnd w:id="117"/>
      <w:bookmarkEnd w:id="118"/>
      <w:bookmarkEnd w:id="119"/>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2"/>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p>
          <w:p>
            <w:pPr>
              <w:pStyle w:val="82"/>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2"/>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2"/>
        <w:tabs>
          <w:tab w:val="left" w:pos="750"/>
        </w:tabs>
        <w:adjustRightInd w:val="0"/>
        <w:snapToGrid w:val="0"/>
        <w:spacing w:line="500" w:lineRule="exact"/>
        <w:rPr>
          <w:rFonts w:ascii="宋体" w:hAnsi="宋体" w:cs="宋体"/>
          <w:sz w:val="24"/>
          <w:szCs w:val="24"/>
        </w:rPr>
      </w:pPr>
    </w:p>
    <w:p>
      <w:pPr>
        <w:pStyle w:val="82"/>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3"/>
        <w:outlineLvl w:val="9"/>
        <w:rPr>
          <w:rFonts w:eastAsia="宋体" w:cs="宋体"/>
        </w:rPr>
      </w:pPr>
      <w:r>
        <w:rPr>
          <w:rFonts w:hint="eastAsia" w:eastAsia="宋体" w:cs="宋体"/>
        </w:rPr>
        <w:t xml:space="preserve"> </w:t>
      </w:r>
      <w:bookmarkStart w:id="120" w:name="_Toc468535483"/>
    </w:p>
    <w:p>
      <w:pPr>
        <w:pStyle w:val="82"/>
        <w:rPr>
          <w:rFonts w:ascii="宋体" w:hAnsi="宋体" w:cs="宋体"/>
        </w:rPr>
      </w:pPr>
    </w:p>
    <w:p>
      <w:pPr>
        <w:pStyle w:val="83"/>
        <w:outlineLvl w:val="9"/>
        <w:rPr>
          <w:rFonts w:eastAsia="宋体" w:cs="宋体"/>
          <w:b w:val="0"/>
          <w:sz w:val="24"/>
          <w:szCs w:val="24"/>
        </w:rPr>
      </w:pPr>
      <w:r>
        <w:rPr>
          <w:rFonts w:hint="eastAsia" w:eastAsia="宋体" w:cs="宋体"/>
          <w:b w:val="0"/>
        </w:rPr>
        <w:t xml:space="preserve"> </w:t>
      </w:r>
      <w:bookmarkStart w:id="121" w:name="_Toc480368654"/>
      <w:bookmarkStart w:id="122" w:name="_Toc480371722"/>
      <w:bookmarkStart w:id="123" w:name="_Toc480368596"/>
      <w:bookmarkStart w:id="124" w:name="_Toc480368425"/>
      <w:bookmarkStart w:id="125" w:name="_Toc519111283"/>
      <w:r>
        <w:rPr>
          <w:rFonts w:hint="eastAsia" w:eastAsia="宋体" w:cs="宋体"/>
          <w:b w:val="0"/>
          <w:sz w:val="24"/>
          <w:szCs w:val="24"/>
        </w:rPr>
        <w:t>法定代表人（单位负责人）授权书</w:t>
      </w:r>
      <w:bookmarkEnd w:id="120"/>
      <w:bookmarkEnd w:id="121"/>
      <w:bookmarkEnd w:id="122"/>
      <w:bookmarkEnd w:id="123"/>
      <w:bookmarkEnd w:id="124"/>
      <w:bookmarkEnd w:id="125"/>
    </w:p>
    <w:p>
      <w:pPr>
        <w:pStyle w:val="82"/>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2"/>
        <w:spacing w:line="500" w:lineRule="exact"/>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spacing w:line="500" w:lineRule="exact"/>
        <w:ind w:firstLine="480" w:firstLineChars="200"/>
        <w:rPr>
          <w:rFonts w:ascii="宋体" w:hAnsi="宋体" w:cs="宋体"/>
          <w:sz w:val="24"/>
          <w:szCs w:val="24"/>
        </w:rPr>
      </w:pPr>
    </w:p>
    <w:p>
      <w:pPr>
        <w:pStyle w:val="82"/>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2"/>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2"/>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2"/>
        <w:adjustRightInd w:val="0"/>
        <w:snapToGrid w:val="0"/>
        <w:spacing w:line="500" w:lineRule="exact"/>
        <w:ind w:left="-88" w:leftChars="-42" w:firstLine="600" w:firstLineChars="250"/>
        <w:rPr>
          <w:rFonts w:ascii="宋体" w:hAnsi="宋体" w:cs="宋体"/>
          <w:sz w:val="24"/>
          <w:szCs w:val="24"/>
          <w:u w:val="single"/>
        </w:rPr>
      </w:pPr>
    </w:p>
    <w:tbl>
      <w:tblPr>
        <w:tblStyle w:val="33"/>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2"/>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90"/>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4"/>
        <w:spacing w:before="120" w:beforeLines="50" w:after="120" w:afterLines="50" w:line="600" w:lineRule="exact"/>
        <w:ind w:left="0" w:leftChars="0"/>
        <w:jc w:val="both"/>
        <w:rPr>
          <w:rFonts w:ascii="宋体"/>
          <w:kern w:val="0"/>
          <w:sz w:val="28"/>
          <w:szCs w:val="28"/>
        </w:rPr>
      </w:pPr>
      <w:bookmarkStart w:id="126" w:name="_Toc23219"/>
      <w:r>
        <w:rPr>
          <w:rFonts w:hint="eastAsia" w:ascii="宋体" w:cs="宋体"/>
          <w:b w:val="0"/>
          <w:sz w:val="30"/>
          <w:szCs w:val="30"/>
        </w:rPr>
        <w:t>附件四：竞争性磋商函</w:t>
      </w:r>
      <w:bookmarkEnd w:id="126"/>
    </w:p>
    <w:p>
      <w:pPr>
        <w:autoSpaceDE w:val="0"/>
        <w:autoSpaceDN w:val="0"/>
        <w:adjustRightInd w:val="0"/>
        <w:spacing w:line="600" w:lineRule="exact"/>
        <w:jc w:val="center"/>
        <w:rPr>
          <w:rFonts w:ascii="宋体" w:hAnsi="宋体" w:cs="宋体"/>
          <w:b/>
          <w:sz w:val="44"/>
          <w:szCs w:val="44"/>
        </w:rPr>
      </w:pPr>
      <w:bookmarkStart w:id="127" w:name="_Toc485895991"/>
      <w:bookmarkStart w:id="128" w:name="_Toc13369"/>
      <w:bookmarkStart w:id="129" w:name="_Toc12389"/>
      <w:r>
        <w:rPr>
          <w:rFonts w:hint="eastAsia" w:ascii="宋体" w:hAnsi="宋体" w:cs="宋体"/>
          <w:b/>
          <w:sz w:val="44"/>
          <w:szCs w:val="44"/>
        </w:rPr>
        <w:t>竞争性磋商函</w:t>
      </w:r>
      <w:bookmarkEnd w:id="127"/>
      <w:bookmarkEnd w:id="128"/>
      <w:bookmarkEnd w:id="129"/>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2"/>
        <w:ind w:firstLine="1126"/>
      </w:pPr>
    </w:p>
    <w:p>
      <w:pPr>
        <w:pStyle w:val="4"/>
        <w:spacing w:before="120" w:beforeLines="50" w:after="120" w:afterLines="50" w:line="300" w:lineRule="auto"/>
        <w:ind w:left="0" w:leftChars="0"/>
        <w:jc w:val="both"/>
        <w:rPr>
          <w:rFonts w:ascii="宋体"/>
          <w:sz w:val="28"/>
          <w:szCs w:val="28"/>
        </w:rPr>
      </w:pPr>
      <w:bookmarkStart w:id="130" w:name="_Toc20493"/>
      <w:r>
        <w:rPr>
          <w:rFonts w:hint="eastAsia" w:ascii="宋体" w:cs="宋体"/>
          <w:b w:val="0"/>
          <w:sz w:val="30"/>
          <w:szCs w:val="30"/>
        </w:rPr>
        <w:t>附件五：磋商报价表</w:t>
      </w:r>
      <w:bookmarkEnd w:id="130"/>
    </w:p>
    <w:p>
      <w:pPr>
        <w:adjustRightInd w:val="0"/>
        <w:snapToGrid w:val="0"/>
        <w:spacing w:line="500" w:lineRule="exact"/>
        <w:jc w:val="center"/>
        <w:rPr>
          <w:sz w:val="28"/>
          <w:szCs w:val="32"/>
        </w:rPr>
      </w:pPr>
      <w:bookmarkStart w:id="131" w:name="_Toc20150"/>
      <w:bookmarkStart w:id="132" w:name="_Toc13846"/>
      <w:bookmarkStart w:id="133" w:name="_Toc485895992"/>
      <w:r>
        <w:rPr>
          <w:rFonts w:hint="eastAsia"/>
          <w:sz w:val="28"/>
          <w:szCs w:val="32"/>
        </w:rPr>
        <w:t>磋商报价表</w:t>
      </w:r>
      <w:bookmarkEnd w:id="131"/>
      <w:bookmarkEnd w:id="132"/>
      <w:bookmarkEnd w:id="133"/>
    </w:p>
    <w:p>
      <w:pPr>
        <w:pStyle w:val="32"/>
        <w:ind w:firstLine="1126"/>
      </w:pPr>
    </w:p>
    <w:p>
      <w:pPr>
        <w:pStyle w:val="85"/>
        <w:spacing w:line="360" w:lineRule="auto"/>
        <w:ind w:left="0" w:leftChars="0" w:firstLine="0" w:firstLineChars="0"/>
        <w:jc w:val="right"/>
        <w:rPr>
          <w:rFonts w:ascii="宋体" w:hAnsi="宋体" w:cs="宋体"/>
        </w:rPr>
      </w:pPr>
      <w:bookmarkStart w:id="134" w:name="_Toc485895993"/>
      <w:r>
        <w:rPr>
          <w:rFonts w:hint="eastAsia" w:ascii="宋体" w:hAnsi="宋体" w:cs="宋体"/>
        </w:rPr>
        <w:t>价格单位：元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2"/>
        <w:ind w:firstLine="986"/>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4"/>
        <w:spacing w:before="120" w:beforeLines="50" w:after="120" w:afterLines="50" w:line="300" w:lineRule="auto"/>
        <w:ind w:left="0" w:leftChars="0"/>
        <w:jc w:val="both"/>
        <w:rPr>
          <w:rFonts w:ascii="宋体"/>
          <w:sz w:val="28"/>
          <w:szCs w:val="28"/>
        </w:rPr>
      </w:pPr>
      <w:bookmarkStart w:id="135" w:name="_Toc9072"/>
      <w:r>
        <w:rPr>
          <w:rFonts w:hint="eastAsia" w:ascii="宋体" w:cs="宋体"/>
          <w:b w:val="0"/>
          <w:sz w:val="30"/>
          <w:szCs w:val="30"/>
        </w:rPr>
        <w:t>附件六：竞争性磋商报价明细表</w:t>
      </w:r>
      <w:bookmarkEnd w:id="135"/>
    </w:p>
    <w:p>
      <w:pPr>
        <w:spacing w:line="400" w:lineRule="exact"/>
        <w:jc w:val="center"/>
        <w:rPr>
          <w:sz w:val="28"/>
          <w:szCs w:val="32"/>
        </w:rPr>
      </w:pPr>
      <w:r>
        <w:rPr>
          <w:rFonts w:hint="eastAsia"/>
          <w:sz w:val="28"/>
          <w:szCs w:val="32"/>
        </w:rPr>
        <w:t>竞争性磋商报价明细表</w:t>
      </w:r>
    </w:p>
    <w:bookmarkEnd w:id="134"/>
    <w:p>
      <w:pPr>
        <w:pStyle w:val="87"/>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7"/>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8"/>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8"/>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8"/>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8"/>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8"/>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8"/>
              <w:tabs>
                <w:tab w:val="left" w:pos="1337"/>
              </w:tabs>
              <w:spacing w:line="360" w:lineRule="auto"/>
              <w:ind w:left="-42" w:right="-42"/>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8"/>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8"/>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8"/>
              <w:tabs>
                <w:tab w:val="left" w:pos="1337"/>
              </w:tabs>
              <w:spacing w:line="360" w:lineRule="auto"/>
              <w:jc w:val="center"/>
              <w:rPr>
                <w:rFonts w:ascii="宋体" w:hAnsi="宋体" w:cs="宋体"/>
                <w:sz w:val="24"/>
              </w:rPr>
            </w:pP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8"/>
              <w:tabs>
                <w:tab w:val="left" w:pos="1337"/>
              </w:tabs>
              <w:spacing w:line="360" w:lineRule="auto"/>
              <w:jc w:val="center"/>
              <w:rPr>
                <w:rFonts w:ascii="宋体" w:hAnsi="宋体" w:cs="宋体"/>
                <w:sz w:val="24"/>
              </w:rPr>
            </w:pPr>
          </w:p>
        </w:tc>
        <w:tc>
          <w:tcPr>
            <w:tcW w:w="2441" w:type="dxa"/>
            <w:vAlign w:val="center"/>
          </w:tcPr>
          <w:p>
            <w:pPr>
              <w:pStyle w:val="88"/>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8"/>
              <w:tabs>
                <w:tab w:val="left" w:pos="1337"/>
              </w:tabs>
              <w:spacing w:line="360" w:lineRule="auto"/>
              <w:jc w:val="center"/>
              <w:rPr>
                <w:rFonts w:ascii="宋体" w:hAnsi="宋体" w:cs="宋体"/>
                <w:sz w:val="24"/>
              </w:rPr>
            </w:pPr>
          </w:p>
        </w:tc>
        <w:tc>
          <w:tcPr>
            <w:tcW w:w="955" w:type="dxa"/>
          </w:tcPr>
          <w:p>
            <w:pPr>
              <w:pStyle w:val="88"/>
              <w:tabs>
                <w:tab w:val="left" w:pos="1337"/>
              </w:tabs>
              <w:spacing w:line="360" w:lineRule="auto"/>
              <w:jc w:val="center"/>
              <w:rPr>
                <w:rFonts w:ascii="宋体" w:hAnsi="宋体" w:cs="宋体"/>
                <w:sz w:val="24"/>
              </w:rPr>
            </w:pPr>
          </w:p>
        </w:tc>
        <w:tc>
          <w:tcPr>
            <w:tcW w:w="955" w:type="dxa"/>
            <w:vAlign w:val="center"/>
          </w:tcPr>
          <w:p>
            <w:pPr>
              <w:pStyle w:val="88"/>
              <w:tabs>
                <w:tab w:val="left" w:pos="1337"/>
              </w:tabs>
              <w:spacing w:line="360" w:lineRule="auto"/>
              <w:jc w:val="center"/>
              <w:rPr>
                <w:rFonts w:ascii="宋体" w:hAnsi="宋体" w:cs="宋体"/>
                <w:sz w:val="24"/>
              </w:rPr>
            </w:pPr>
          </w:p>
        </w:tc>
        <w:tc>
          <w:tcPr>
            <w:tcW w:w="1146" w:type="dxa"/>
            <w:vAlign w:val="center"/>
          </w:tcPr>
          <w:p>
            <w:pPr>
              <w:pStyle w:val="88"/>
              <w:tabs>
                <w:tab w:val="left" w:pos="1337"/>
              </w:tabs>
              <w:spacing w:line="360" w:lineRule="auto"/>
              <w:jc w:val="center"/>
              <w:rPr>
                <w:rFonts w:ascii="宋体" w:hAnsi="宋体" w:cs="宋体"/>
                <w:sz w:val="24"/>
              </w:rPr>
            </w:pPr>
          </w:p>
        </w:tc>
      </w:tr>
    </w:tbl>
    <w:p>
      <w:pPr>
        <w:pStyle w:val="88"/>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2"/>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2"/>
        <w:tabs>
          <w:tab w:val="left" w:pos="750"/>
        </w:tabs>
        <w:adjustRightInd w:val="0"/>
        <w:snapToGrid w:val="0"/>
        <w:spacing w:line="500" w:lineRule="exact"/>
        <w:ind w:firstLine="720" w:firstLineChars="300"/>
        <w:jc w:val="center"/>
        <w:rPr>
          <w:rFonts w:ascii="宋体" w:hAnsi="宋体" w:cs="宋体"/>
          <w:sz w:val="24"/>
          <w:szCs w:val="24"/>
        </w:rPr>
      </w:pPr>
    </w:p>
    <w:p>
      <w:pPr>
        <w:pStyle w:val="82"/>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6" w:name="_Toc5414"/>
      <w:r>
        <w:rPr>
          <w:rStyle w:val="46"/>
          <w:rFonts w:hint="eastAsia"/>
          <w:sz w:val="28"/>
          <w:szCs w:val="28"/>
        </w:rPr>
        <w:t>最后报价书格式</w:t>
      </w:r>
      <w:bookmarkEnd w:id="136"/>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hint="default" w:eastAsia="宋体"/>
          <w:b/>
          <w:bCs/>
          <w:sz w:val="36"/>
          <w:szCs w:val="40"/>
          <w:lang w:val="en-US" w:eastAsia="zh-CN"/>
        </w:rPr>
      </w:pPr>
      <w:r>
        <w:rPr>
          <w:rFonts w:hint="eastAsia" w:ascii="宋体" w:hAnsi="宋体" w:cs="宋体"/>
          <w:b/>
          <w:bCs/>
          <w:sz w:val="36"/>
          <w:szCs w:val="36"/>
        </w:rPr>
        <w:t>说明：</w:t>
      </w:r>
      <w:r>
        <w:rPr>
          <w:rFonts w:hint="eastAsia" w:ascii="宋体" w:hAnsi="宋体" w:cs="宋体"/>
          <w:b/>
          <w:bCs/>
          <w:sz w:val="36"/>
          <w:szCs w:val="36"/>
          <w:lang w:val="en-US" w:eastAsia="zh-CN"/>
        </w:rPr>
        <w:t>最终报价时需提供最终报价的清单明细表。</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2"/>
        <w:ind w:firstLine="0" w:firstLineChars="0"/>
        <w:rPr>
          <w:rFonts w:ascii="宋体" w:hAnsi="宋体" w:eastAsia="宋体" w:cs="宋体"/>
          <w:sz w:val="24"/>
          <w:szCs w:val="24"/>
        </w:rPr>
      </w:pPr>
      <w:r>
        <w:rPr>
          <w:rStyle w:val="48"/>
          <w:rFonts w:hint="eastAsia"/>
          <w:bCs/>
          <w:sz w:val="28"/>
        </w:rPr>
        <w:br w:type="page"/>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89"/>
        <w:outlineLvl w:val="0"/>
        <w:rPr>
          <w:rFonts w:ascii="宋体" w:hAnsi="宋体" w:eastAsia="宋体" w:cs="宋体"/>
          <w:b w:val="0"/>
          <w:bCs/>
        </w:rPr>
      </w:pPr>
      <w:bookmarkStart w:id="137" w:name="_Toc13251"/>
      <w:bookmarkStart w:id="138" w:name="_Toc9511"/>
      <w:bookmarkStart w:id="139" w:name="_Toc501460791"/>
      <w:r>
        <w:rPr>
          <w:rFonts w:hint="eastAsia" w:ascii="宋体" w:hAnsi="宋体" w:eastAsia="宋体" w:cs="宋体"/>
          <w:b w:val="0"/>
          <w:bCs/>
        </w:rPr>
        <w:t>附件七：商务和技术偏差表</w:t>
      </w:r>
      <w:bookmarkEnd w:id="137"/>
      <w:bookmarkEnd w:id="138"/>
      <w:bookmarkEnd w:id="139"/>
    </w:p>
    <w:tbl>
      <w:tblPr>
        <w:tblStyle w:val="3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rPr>
          <w:rFonts w:ascii="宋体" w:hAnsi="宋体" w:cs="宋体"/>
          <w:sz w:val="24"/>
        </w:rPr>
      </w:pPr>
    </w:p>
    <w:p>
      <w:pPr>
        <w:pStyle w:val="89"/>
        <w:outlineLvl w:val="0"/>
        <w:rPr>
          <w:rFonts w:ascii="宋体" w:hAnsi="宋体" w:eastAsia="宋体" w:cs="宋体"/>
          <w:b w:val="0"/>
          <w:bCs/>
        </w:rPr>
      </w:pPr>
      <w:bookmarkStart w:id="140" w:name="_Toc18115"/>
      <w:bookmarkStart w:id="141" w:name="_Toc10702"/>
      <w:r>
        <w:rPr>
          <w:rFonts w:hint="eastAsia" w:ascii="宋体" w:hAnsi="宋体" w:eastAsia="宋体" w:cs="宋体"/>
          <w:b w:val="0"/>
          <w:bCs/>
        </w:rPr>
        <w:t>附件八：企业声明函</w:t>
      </w:r>
      <w:bookmarkEnd w:id="140"/>
      <w:r>
        <w:rPr>
          <w:rFonts w:hint="eastAsia" w:ascii="宋体" w:hAnsi="宋体" w:eastAsia="宋体" w:cs="宋体"/>
          <w:b w:val="0"/>
          <w:bCs/>
        </w:rPr>
        <w:t>（若有）</w:t>
      </w:r>
      <w:bookmarkEnd w:id="141"/>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w:t>
      </w:r>
      <w:r>
        <w:rPr>
          <w:rFonts w:hint="eastAsia" w:ascii="宋体" w:hAnsi="宋体" w:cs="宋体"/>
          <w:sz w:val="24"/>
          <w:lang w:val="en-US" w:eastAsia="zh-CN"/>
        </w:rPr>
        <w:t>中型、</w:t>
      </w:r>
      <w:r>
        <w:rPr>
          <w:rFonts w:hint="eastAsia" w:ascii="宋体" w:hAnsi="宋体" w:cs="宋体"/>
          <w:sz w:val="24"/>
        </w:rPr>
        <w:t>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w:t>
      </w:r>
      <w:r>
        <w:rPr>
          <w:rFonts w:hint="eastAsia" w:ascii="宋体" w:hAnsi="宋体" w:cs="宋体"/>
          <w:sz w:val="24"/>
          <w:lang w:val="en-US" w:eastAsia="zh-CN"/>
        </w:rPr>
        <w:t>中型、</w:t>
      </w:r>
      <w:r>
        <w:rPr>
          <w:rFonts w:hint="eastAsia" w:ascii="宋体" w:hAnsi="宋体" w:cs="宋体"/>
          <w:sz w:val="24"/>
        </w:rPr>
        <w:t>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w:t>
      </w:r>
      <w:r>
        <w:rPr>
          <w:rFonts w:hint="eastAsia" w:ascii="宋体" w:hAnsi="宋体" w:cs="宋体"/>
          <w:sz w:val="24"/>
          <w:lang w:val="en-US" w:eastAsia="zh-CN"/>
        </w:rPr>
        <w:t>中型、</w:t>
      </w:r>
      <w:r>
        <w:rPr>
          <w:rFonts w:hint="eastAsia" w:ascii="宋体" w:hAnsi="宋体" w:cs="宋体"/>
          <w:sz w:val="24"/>
        </w:rPr>
        <w:t>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2"/>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0"/>
        <w:rPr>
          <w:rFonts w:ascii="宋体" w:hAnsi="宋体" w:cs="宋体"/>
          <w:bCs/>
          <w:sz w:val="24"/>
        </w:rPr>
      </w:pPr>
    </w:p>
    <w:p>
      <w:pPr>
        <w:pStyle w:val="89"/>
        <w:outlineLvl w:val="0"/>
        <w:rPr>
          <w:rFonts w:ascii="宋体" w:hAnsi="宋体" w:eastAsia="宋体" w:cs="宋体"/>
          <w:b w:val="0"/>
          <w:bCs/>
        </w:rPr>
      </w:pPr>
      <w:bookmarkStart w:id="142" w:name="_Toc26894"/>
      <w:bookmarkStart w:id="143" w:name="_Toc17952"/>
      <w:r>
        <w:rPr>
          <w:rFonts w:hint="eastAsia" w:ascii="宋体" w:hAnsi="宋体" w:eastAsia="宋体" w:cs="宋体"/>
          <w:b w:val="0"/>
          <w:bCs/>
        </w:rPr>
        <w:t>附件九：残疾人福利性单位声明函</w:t>
      </w:r>
      <w:bookmarkEnd w:id="142"/>
      <w:r>
        <w:rPr>
          <w:rFonts w:hint="eastAsia" w:ascii="宋体" w:hAnsi="宋体" w:eastAsia="宋体" w:cs="宋体"/>
          <w:b w:val="0"/>
          <w:bCs/>
        </w:rPr>
        <w:t>（若有）</w:t>
      </w:r>
      <w:bookmarkEnd w:id="143"/>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2"/>
        <w:ind w:firstLine="0" w:firstLineChars="0"/>
        <w:jc w:val="center"/>
      </w:pPr>
    </w:p>
    <w:sectPr>
      <w:headerReference r:id="rId5"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160001" w:csb1="1203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E26C"/>
    <w:multiLevelType w:val="singleLevel"/>
    <w:tmpl w:val="A523E26C"/>
    <w:lvl w:ilvl="0" w:tentative="0">
      <w:start w:val="1"/>
      <w:numFmt w:val="decimal"/>
      <w:suff w:val="nothing"/>
      <w:lvlText w:val="%1、"/>
      <w:lvlJc w:val="left"/>
    </w:lvl>
  </w:abstractNum>
  <w:abstractNum w:abstractNumId="1">
    <w:nsid w:val="FDFEC8F3"/>
    <w:multiLevelType w:val="singleLevel"/>
    <w:tmpl w:val="FDFEC8F3"/>
    <w:lvl w:ilvl="0" w:tentative="0">
      <w:start w:val="1"/>
      <w:numFmt w:val="decimal"/>
      <w:suff w:val="nothing"/>
      <w:lvlText w:val="%1、"/>
      <w:lvlJc w:val="left"/>
    </w:lvl>
  </w:abstractNum>
  <w:abstractNum w:abstractNumId="2">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AF65BF"/>
    <w:multiLevelType w:val="singleLevel"/>
    <w:tmpl w:val="7DAF65BF"/>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mIzZjRlYjkxMzE1ZTM5NTBiZjQ2OGMzZDE0OTkifQ=="/>
    <w:docVar w:name="KSO_WPS_MARK_KEY" w:val="706f236f-c9e0-42c9-864f-6fe414240368"/>
  </w:docVars>
  <w:rsids>
    <w:rsidRoot w:val="00004EAB"/>
    <w:rsid w:val="00004EAB"/>
    <w:rsid w:val="000C63CC"/>
    <w:rsid w:val="000D3615"/>
    <w:rsid w:val="00193979"/>
    <w:rsid w:val="002255D6"/>
    <w:rsid w:val="00266424"/>
    <w:rsid w:val="002930B9"/>
    <w:rsid w:val="00404991"/>
    <w:rsid w:val="004659AD"/>
    <w:rsid w:val="00AE133E"/>
    <w:rsid w:val="00AF578A"/>
    <w:rsid w:val="00B2312A"/>
    <w:rsid w:val="00EB7958"/>
    <w:rsid w:val="00EC2636"/>
    <w:rsid w:val="00FA47DB"/>
    <w:rsid w:val="00FD3A1C"/>
    <w:rsid w:val="01587174"/>
    <w:rsid w:val="02617EA9"/>
    <w:rsid w:val="02CD6988"/>
    <w:rsid w:val="02EE6B93"/>
    <w:rsid w:val="033406C1"/>
    <w:rsid w:val="03410DA9"/>
    <w:rsid w:val="03912F41"/>
    <w:rsid w:val="03A74A9F"/>
    <w:rsid w:val="03BA365B"/>
    <w:rsid w:val="04223F6A"/>
    <w:rsid w:val="045855D2"/>
    <w:rsid w:val="057F56BE"/>
    <w:rsid w:val="05A67910"/>
    <w:rsid w:val="05C570CE"/>
    <w:rsid w:val="06303851"/>
    <w:rsid w:val="076B2666"/>
    <w:rsid w:val="07C94C43"/>
    <w:rsid w:val="089F56DA"/>
    <w:rsid w:val="091D7025"/>
    <w:rsid w:val="09A9323A"/>
    <w:rsid w:val="0A4C1970"/>
    <w:rsid w:val="0BBE2158"/>
    <w:rsid w:val="0C9A3726"/>
    <w:rsid w:val="0D3A7CD7"/>
    <w:rsid w:val="0D5D6764"/>
    <w:rsid w:val="0DA83CC6"/>
    <w:rsid w:val="0DF11DD7"/>
    <w:rsid w:val="0EFD22FA"/>
    <w:rsid w:val="10B72860"/>
    <w:rsid w:val="12430F01"/>
    <w:rsid w:val="1824217E"/>
    <w:rsid w:val="19750E8E"/>
    <w:rsid w:val="1A354C47"/>
    <w:rsid w:val="1A4C1F58"/>
    <w:rsid w:val="1AD4797A"/>
    <w:rsid w:val="1B217F1A"/>
    <w:rsid w:val="1B8A054A"/>
    <w:rsid w:val="1C051EDF"/>
    <w:rsid w:val="1C4112FA"/>
    <w:rsid w:val="1C5D4F5E"/>
    <w:rsid w:val="1CBF06C7"/>
    <w:rsid w:val="1F122C07"/>
    <w:rsid w:val="201B048A"/>
    <w:rsid w:val="205C6A13"/>
    <w:rsid w:val="20AC0F62"/>
    <w:rsid w:val="21C430D5"/>
    <w:rsid w:val="21FE1237"/>
    <w:rsid w:val="225449D0"/>
    <w:rsid w:val="22B26BDA"/>
    <w:rsid w:val="22E6236B"/>
    <w:rsid w:val="23C66A74"/>
    <w:rsid w:val="248C4A68"/>
    <w:rsid w:val="256E2074"/>
    <w:rsid w:val="25B742F8"/>
    <w:rsid w:val="261A4A43"/>
    <w:rsid w:val="26DB434F"/>
    <w:rsid w:val="2792735A"/>
    <w:rsid w:val="27BD6A49"/>
    <w:rsid w:val="28051AA5"/>
    <w:rsid w:val="28436C23"/>
    <w:rsid w:val="2B0E4FF8"/>
    <w:rsid w:val="2B21410A"/>
    <w:rsid w:val="2C3C2C1E"/>
    <w:rsid w:val="2C484235"/>
    <w:rsid w:val="2C6C1F2F"/>
    <w:rsid w:val="2CC16F42"/>
    <w:rsid w:val="2DC63745"/>
    <w:rsid w:val="2F927C10"/>
    <w:rsid w:val="30000983"/>
    <w:rsid w:val="30943905"/>
    <w:rsid w:val="31943A79"/>
    <w:rsid w:val="31A42DEB"/>
    <w:rsid w:val="31B1007E"/>
    <w:rsid w:val="31D644DB"/>
    <w:rsid w:val="321921D0"/>
    <w:rsid w:val="32664652"/>
    <w:rsid w:val="339D19AC"/>
    <w:rsid w:val="33D30288"/>
    <w:rsid w:val="34676FAD"/>
    <w:rsid w:val="34B57D75"/>
    <w:rsid w:val="351E1D9C"/>
    <w:rsid w:val="36A80FDD"/>
    <w:rsid w:val="36BC355C"/>
    <w:rsid w:val="36E21696"/>
    <w:rsid w:val="3786114E"/>
    <w:rsid w:val="37DC1DA9"/>
    <w:rsid w:val="381105ED"/>
    <w:rsid w:val="38992FE6"/>
    <w:rsid w:val="39356F98"/>
    <w:rsid w:val="39B1553A"/>
    <w:rsid w:val="3A6330E9"/>
    <w:rsid w:val="3BC449B8"/>
    <w:rsid w:val="3C16773E"/>
    <w:rsid w:val="3C4165AB"/>
    <w:rsid w:val="3DFE5442"/>
    <w:rsid w:val="3ECD07D9"/>
    <w:rsid w:val="3EF20F5A"/>
    <w:rsid w:val="3F763472"/>
    <w:rsid w:val="3FB34387"/>
    <w:rsid w:val="3FB705CA"/>
    <w:rsid w:val="40076296"/>
    <w:rsid w:val="40420002"/>
    <w:rsid w:val="42364D54"/>
    <w:rsid w:val="43007CDD"/>
    <w:rsid w:val="43BB5369"/>
    <w:rsid w:val="43E77C29"/>
    <w:rsid w:val="44F774B5"/>
    <w:rsid w:val="451524FA"/>
    <w:rsid w:val="45BF3219"/>
    <w:rsid w:val="46920B22"/>
    <w:rsid w:val="4698770F"/>
    <w:rsid w:val="47082D26"/>
    <w:rsid w:val="47A30DF1"/>
    <w:rsid w:val="47FF58FC"/>
    <w:rsid w:val="48416436"/>
    <w:rsid w:val="4B074E64"/>
    <w:rsid w:val="4B6C4B6D"/>
    <w:rsid w:val="4B8152DD"/>
    <w:rsid w:val="4B8E25EC"/>
    <w:rsid w:val="4C472F8C"/>
    <w:rsid w:val="4CA669B9"/>
    <w:rsid w:val="4CE14A0B"/>
    <w:rsid w:val="4D5A3970"/>
    <w:rsid w:val="4F1F6610"/>
    <w:rsid w:val="50135579"/>
    <w:rsid w:val="50305BB9"/>
    <w:rsid w:val="504D156B"/>
    <w:rsid w:val="51A11B6E"/>
    <w:rsid w:val="51AF5225"/>
    <w:rsid w:val="51FD0D8F"/>
    <w:rsid w:val="5286443D"/>
    <w:rsid w:val="53076319"/>
    <w:rsid w:val="531E2C37"/>
    <w:rsid w:val="54577590"/>
    <w:rsid w:val="54C03C11"/>
    <w:rsid w:val="54FD1F7B"/>
    <w:rsid w:val="556C66AF"/>
    <w:rsid w:val="55D63C50"/>
    <w:rsid w:val="57B63184"/>
    <w:rsid w:val="57DA843C"/>
    <w:rsid w:val="589D10EF"/>
    <w:rsid w:val="58E255A6"/>
    <w:rsid w:val="59AC08E0"/>
    <w:rsid w:val="5A9F2393"/>
    <w:rsid w:val="5B616B9E"/>
    <w:rsid w:val="5B914A01"/>
    <w:rsid w:val="5D963863"/>
    <w:rsid w:val="5DD827D2"/>
    <w:rsid w:val="5E5142DE"/>
    <w:rsid w:val="5E902BEE"/>
    <w:rsid w:val="5ED157D7"/>
    <w:rsid w:val="5EED3918"/>
    <w:rsid w:val="5EFE237B"/>
    <w:rsid w:val="5F2A5B14"/>
    <w:rsid w:val="5F4D08C1"/>
    <w:rsid w:val="5FDA02E7"/>
    <w:rsid w:val="60600E46"/>
    <w:rsid w:val="637C69AE"/>
    <w:rsid w:val="63BD6555"/>
    <w:rsid w:val="64757DE4"/>
    <w:rsid w:val="648A61D9"/>
    <w:rsid w:val="65A758D8"/>
    <w:rsid w:val="66246757"/>
    <w:rsid w:val="66771F16"/>
    <w:rsid w:val="67256946"/>
    <w:rsid w:val="676B07FC"/>
    <w:rsid w:val="67F424B3"/>
    <w:rsid w:val="682E182A"/>
    <w:rsid w:val="684D72DF"/>
    <w:rsid w:val="690418A9"/>
    <w:rsid w:val="69110BCA"/>
    <w:rsid w:val="699D66D9"/>
    <w:rsid w:val="69B956F1"/>
    <w:rsid w:val="6A6205D6"/>
    <w:rsid w:val="6B451E4C"/>
    <w:rsid w:val="6B6411A6"/>
    <w:rsid w:val="6C2D46F2"/>
    <w:rsid w:val="6C316E88"/>
    <w:rsid w:val="6CA36EEC"/>
    <w:rsid w:val="6CB0278D"/>
    <w:rsid w:val="6CC80508"/>
    <w:rsid w:val="6F664223"/>
    <w:rsid w:val="6F8A37EA"/>
    <w:rsid w:val="6F936521"/>
    <w:rsid w:val="70381498"/>
    <w:rsid w:val="709E4ED2"/>
    <w:rsid w:val="70AF7522"/>
    <w:rsid w:val="70F3516F"/>
    <w:rsid w:val="71013B33"/>
    <w:rsid w:val="72B2510B"/>
    <w:rsid w:val="732662F1"/>
    <w:rsid w:val="73470251"/>
    <w:rsid w:val="74677E4E"/>
    <w:rsid w:val="747C76EF"/>
    <w:rsid w:val="74F1104E"/>
    <w:rsid w:val="75B7234A"/>
    <w:rsid w:val="775B64C9"/>
    <w:rsid w:val="780A3FA4"/>
    <w:rsid w:val="788D52FC"/>
    <w:rsid w:val="79943126"/>
    <w:rsid w:val="79996A9E"/>
    <w:rsid w:val="7A08254F"/>
    <w:rsid w:val="7AD87CB4"/>
    <w:rsid w:val="7AF91823"/>
    <w:rsid w:val="7B693689"/>
    <w:rsid w:val="7B868F97"/>
    <w:rsid w:val="7C916C49"/>
    <w:rsid w:val="7D2353CD"/>
    <w:rsid w:val="7D670A7C"/>
    <w:rsid w:val="7E23300C"/>
    <w:rsid w:val="7E284E6B"/>
    <w:rsid w:val="7EFD1148"/>
    <w:rsid w:val="7F5A66D4"/>
    <w:rsid w:val="7FCFD296"/>
    <w:rsid w:val="7FD74A9B"/>
    <w:rsid w:val="7FE35E8A"/>
    <w:rsid w:val="7FEF6F0A"/>
    <w:rsid w:val="7FF76C79"/>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48"/>
    <w:qFormat/>
    <w:uiPriority w:val="0"/>
    <w:pPr>
      <w:keepNext/>
      <w:keepLines/>
      <w:spacing w:before="260" w:after="260" w:line="500" w:lineRule="exact"/>
      <w:contextualSpacing/>
      <w:jc w:val="center"/>
      <w:outlineLvl w:val="1"/>
    </w:pPr>
    <w:rPr>
      <w:rFonts w:ascii="宋体" w:hAnsi="宋体"/>
      <w:sz w:val="32"/>
      <w:szCs w:val="28"/>
    </w:rPr>
  </w:style>
  <w:style w:type="paragraph" w:styleId="4">
    <w:name w:val="heading 3"/>
    <w:basedOn w:val="1"/>
    <w:next w:val="1"/>
    <w:link w:val="46"/>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6"/>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1"/>
    <w:qFormat/>
    <w:uiPriority w:val="0"/>
    <w:pPr>
      <w:tabs>
        <w:tab w:val="clear" w:pos="1440"/>
      </w:tabs>
      <w:ind w:left="1276" w:hanging="1276"/>
      <w:outlineLvl w:val="6"/>
    </w:pPr>
  </w:style>
  <w:style w:type="paragraph" w:styleId="9">
    <w:name w:val="heading 8"/>
    <w:basedOn w:val="8"/>
    <w:next w:val="1"/>
    <w:link w:val="52"/>
    <w:qFormat/>
    <w:uiPriority w:val="0"/>
    <w:pPr>
      <w:ind w:left="1418" w:hanging="1418"/>
      <w:outlineLvl w:val="7"/>
    </w:pPr>
  </w:style>
  <w:style w:type="paragraph" w:styleId="10">
    <w:name w:val="heading 9"/>
    <w:basedOn w:val="9"/>
    <w:next w:val="1"/>
    <w:link w:val="53"/>
    <w:qFormat/>
    <w:uiPriority w:val="0"/>
    <w:pPr>
      <w:ind w:left="1559" w:hanging="1559"/>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0"/>
    <w:qFormat/>
    <w:uiPriority w:val="0"/>
    <w:pPr>
      <w:ind w:firstLine="420" w:firstLineChars="200"/>
    </w:pPr>
  </w:style>
  <w:style w:type="paragraph" w:styleId="12">
    <w:name w:val="Document Map"/>
    <w:basedOn w:val="1"/>
    <w:link w:val="65"/>
    <w:qFormat/>
    <w:uiPriority w:val="0"/>
    <w:rPr>
      <w:rFonts w:ascii="宋体"/>
      <w:sz w:val="18"/>
      <w:szCs w:val="18"/>
    </w:rPr>
  </w:style>
  <w:style w:type="paragraph" w:styleId="13">
    <w:name w:val="toa heading"/>
    <w:basedOn w:val="1"/>
    <w:next w:val="1"/>
    <w:semiHidden/>
    <w:qFormat/>
    <w:uiPriority w:val="99"/>
    <w:pPr>
      <w:spacing w:before="120"/>
    </w:pPr>
    <w:rPr>
      <w:rFonts w:ascii="Arial" w:hAnsi="Arial" w:cs="Arial"/>
      <w:sz w:val="24"/>
      <w:szCs w:val="24"/>
    </w:rPr>
  </w:style>
  <w:style w:type="paragraph" w:styleId="14">
    <w:name w:val="annotation text"/>
    <w:basedOn w:val="1"/>
    <w:link w:val="63"/>
    <w:qFormat/>
    <w:uiPriority w:val="0"/>
    <w:pPr>
      <w:jc w:val="left"/>
    </w:pPr>
  </w:style>
  <w:style w:type="paragraph" w:styleId="15">
    <w:name w:val="Body Text"/>
    <w:basedOn w:val="1"/>
    <w:next w:val="16"/>
    <w:qFormat/>
    <w:uiPriority w:val="0"/>
    <w:pPr>
      <w:spacing w:after="120"/>
    </w:pPr>
  </w:style>
  <w:style w:type="paragraph" w:styleId="16">
    <w:name w:val="toc 8"/>
    <w:basedOn w:val="1"/>
    <w:next w:val="1"/>
    <w:qFormat/>
    <w:uiPriority w:val="0"/>
    <w:pPr>
      <w:ind w:left="2100"/>
      <w:jc w:val="left"/>
    </w:pPr>
    <w:rPr>
      <w:rFonts w:ascii="Calibri" w:hAnsi="Calibri"/>
      <w:sz w:val="18"/>
      <w:szCs w:val="18"/>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next w:val="15"/>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3"/>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29">
    <w:name w:val="Title"/>
    <w:basedOn w:val="3"/>
    <w:next w:val="1"/>
    <w:link w:val="44"/>
    <w:qFormat/>
    <w:uiPriority w:val="0"/>
    <w:pPr>
      <w:jc w:val="both"/>
    </w:pPr>
    <w:rPr>
      <w:sz w:val="44"/>
    </w:rPr>
  </w:style>
  <w:style w:type="paragraph" w:styleId="30">
    <w:name w:val="annotation subject"/>
    <w:basedOn w:val="14"/>
    <w:next w:val="14"/>
    <w:link w:val="62"/>
    <w:qFormat/>
    <w:uiPriority w:val="99"/>
    <w:rPr>
      <w:rFonts w:ascii="Times New Roman" w:hAnsi="Times New Roman"/>
      <w:b/>
      <w:sz w:val="28"/>
      <w:szCs w:val="20"/>
    </w:rPr>
  </w:style>
  <w:style w:type="paragraph" w:styleId="31">
    <w:name w:val="Body Text First Indent"/>
    <w:basedOn w:val="15"/>
    <w:next w:val="1"/>
    <w:qFormat/>
    <w:uiPriority w:val="0"/>
    <w:pPr>
      <w:widowControl/>
      <w:ind w:firstLine="420" w:firstLineChars="100"/>
      <w:jc w:val="left"/>
    </w:pPr>
    <w:rPr>
      <w:rFonts w:ascii="Times New Roman" w:hAnsi="Times New Roman"/>
    </w:rPr>
  </w:style>
  <w:style w:type="paragraph" w:styleId="32">
    <w:name w:val="Body Text First Indent 2"/>
    <w:basedOn w:val="17"/>
    <w:qFormat/>
    <w:uiPriority w:val="0"/>
    <w:pPr>
      <w:ind w:firstLine="21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qFormat/>
    <w:uiPriority w:val="0"/>
    <w:rPr>
      <w:color w:val="333333"/>
      <w:u w:val="none"/>
    </w:rPr>
  </w:style>
  <w:style w:type="character" w:styleId="39">
    <w:name w:val="Hyperlink"/>
    <w:qFormat/>
    <w:uiPriority w:val="99"/>
    <w:rPr>
      <w:color w:val="0000FF"/>
      <w:u w:val="single"/>
    </w:rPr>
  </w:style>
  <w:style w:type="character" w:styleId="40">
    <w:name w:val="annotation reference"/>
    <w:basedOn w:val="35"/>
    <w:qFormat/>
    <w:uiPriority w:val="0"/>
    <w:rPr>
      <w:sz w:val="21"/>
      <w:szCs w:val="21"/>
    </w:rPr>
  </w:style>
  <w:style w:type="paragraph" w:customStyle="1" w:styleId="41">
    <w:name w:val="Char"/>
    <w:basedOn w:val="1"/>
    <w:qFormat/>
    <w:uiPriority w:val="0"/>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字符"/>
    <w:link w:val="29"/>
    <w:qFormat/>
    <w:uiPriority w:val="0"/>
    <w:rPr>
      <w:rFonts w:ascii="宋体" w:hAnsi="宋体" w:eastAsia="宋体"/>
      <w:b/>
      <w:kern w:val="2"/>
      <w:sz w:val="44"/>
      <w:szCs w:val="28"/>
    </w:rPr>
  </w:style>
  <w:style w:type="character" w:customStyle="1" w:styleId="45">
    <w:name w:val="标题 1 字符"/>
    <w:link w:val="2"/>
    <w:qFormat/>
    <w:uiPriority w:val="9"/>
    <w:rPr>
      <w:rFonts w:ascii="Calibri" w:hAnsi="Calibri"/>
      <w:b/>
      <w:bCs/>
      <w:kern w:val="44"/>
      <w:sz w:val="44"/>
      <w:szCs w:val="44"/>
    </w:rPr>
  </w:style>
  <w:style w:type="character" w:customStyle="1" w:styleId="46">
    <w:name w:val="标题 3 字符"/>
    <w:link w:val="4"/>
    <w:qFormat/>
    <w:uiPriority w:val="0"/>
    <w:rPr>
      <w:rFonts w:ascii="仿宋_GB2312" w:hAnsi="宋体" w:eastAsia="宋体"/>
      <w:b/>
      <w:kern w:val="2"/>
      <w:sz w:val="32"/>
      <w:szCs w:val="32"/>
    </w:rPr>
  </w:style>
  <w:style w:type="character" w:customStyle="1" w:styleId="47">
    <w:name w:val="标题 5 字符"/>
    <w:link w:val="6"/>
    <w:qFormat/>
    <w:uiPriority w:val="0"/>
    <w:rPr>
      <w:rFonts w:ascii="Calibri" w:hAnsi="Calibri"/>
      <w:b/>
      <w:bCs/>
      <w:kern w:val="2"/>
      <w:sz w:val="28"/>
      <w:szCs w:val="28"/>
    </w:rPr>
  </w:style>
  <w:style w:type="character" w:customStyle="1" w:styleId="48">
    <w:name w:val="标题 2 字符"/>
    <w:link w:val="3"/>
    <w:qFormat/>
    <w:uiPriority w:val="0"/>
    <w:rPr>
      <w:rFonts w:ascii="宋体" w:hAnsi="宋体" w:eastAsia="宋体"/>
      <w:b/>
      <w:kern w:val="2"/>
      <w:sz w:val="32"/>
      <w:szCs w:val="28"/>
    </w:rPr>
  </w:style>
  <w:style w:type="character" w:customStyle="1" w:styleId="49">
    <w:name w:val="标题 4 字符"/>
    <w:link w:val="5"/>
    <w:qFormat/>
    <w:uiPriority w:val="0"/>
    <w:rPr>
      <w:rFonts w:ascii="Arial" w:hAnsi="Arial" w:eastAsia="黑体"/>
      <w:b/>
      <w:bCs/>
      <w:kern w:val="2"/>
      <w:sz w:val="28"/>
      <w:szCs w:val="28"/>
    </w:rPr>
  </w:style>
  <w:style w:type="character" w:customStyle="1" w:styleId="50">
    <w:name w:val="标题 6 字符"/>
    <w:link w:val="7"/>
    <w:qFormat/>
    <w:uiPriority w:val="0"/>
    <w:rPr>
      <w:b/>
      <w:bCs/>
      <w:kern w:val="2"/>
      <w:sz w:val="30"/>
      <w:szCs w:val="18"/>
    </w:rPr>
  </w:style>
  <w:style w:type="character" w:customStyle="1" w:styleId="51">
    <w:name w:val="标题 7 字符"/>
    <w:link w:val="8"/>
    <w:qFormat/>
    <w:uiPriority w:val="0"/>
    <w:rPr>
      <w:b/>
      <w:bCs/>
      <w:kern w:val="2"/>
      <w:sz w:val="30"/>
      <w:szCs w:val="18"/>
    </w:rPr>
  </w:style>
  <w:style w:type="character" w:customStyle="1" w:styleId="52">
    <w:name w:val="标题 8 字符"/>
    <w:link w:val="9"/>
    <w:qFormat/>
    <w:uiPriority w:val="0"/>
    <w:rPr>
      <w:b/>
      <w:bCs/>
      <w:kern w:val="2"/>
      <w:sz w:val="30"/>
      <w:szCs w:val="18"/>
    </w:rPr>
  </w:style>
  <w:style w:type="character" w:customStyle="1" w:styleId="53">
    <w:name w:val="标题 9 字符"/>
    <w:link w:val="10"/>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字符"/>
    <w:link w:val="24"/>
    <w:qFormat/>
    <w:uiPriority w:val="99"/>
    <w:rPr>
      <w:rFonts w:ascii="Calibri" w:hAnsi="Calibri" w:eastAsia="宋体" w:cs="Times New Roman"/>
      <w:kern w:val="2"/>
      <w:sz w:val="18"/>
      <w:szCs w:val="18"/>
    </w:rPr>
  </w:style>
  <w:style w:type="character" w:customStyle="1" w:styleId="57">
    <w:name w:val="纯文本 字符"/>
    <w:link w:val="20"/>
    <w:qFormat/>
    <w:uiPriority w:val="0"/>
    <w:rPr>
      <w:rFonts w:ascii="宋体" w:hAnsi="Courier New" w:eastAsia="宋体" w:cs="Courier New"/>
      <w:kern w:val="2"/>
      <w:sz w:val="21"/>
      <w:szCs w:val="21"/>
    </w:rPr>
  </w:style>
  <w:style w:type="paragraph" w:customStyle="1" w:styleId="58">
    <w:name w:val="需求样式"/>
    <w:basedOn w:val="2"/>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字符"/>
    <w:link w:val="11"/>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字符"/>
    <w:link w:val="30"/>
    <w:qFormat/>
    <w:uiPriority w:val="99"/>
    <w:rPr>
      <w:b/>
      <w:kern w:val="2"/>
      <w:sz w:val="28"/>
    </w:rPr>
  </w:style>
  <w:style w:type="character" w:customStyle="1" w:styleId="63">
    <w:name w:val="批注文字 字符"/>
    <w:basedOn w:val="35"/>
    <w:link w:val="14"/>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字符"/>
    <w:basedOn w:val="35"/>
    <w:link w:val="12"/>
    <w:qFormat/>
    <w:uiPriority w:val="0"/>
    <w:rPr>
      <w:rFonts w:ascii="宋体" w:hAnsi="Calibri"/>
      <w:kern w:val="2"/>
      <w:sz w:val="18"/>
      <w:szCs w:val="18"/>
    </w:rPr>
  </w:style>
  <w:style w:type="paragraph" w:customStyle="1" w:styleId="66">
    <w:name w:val="修订1"/>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List Paragraph_e28a4b39-ba7e-4c4d-9ad9-ba510228f6f3"/>
    <w:basedOn w:val="1"/>
    <w:qFormat/>
    <w:uiPriority w:val="99"/>
    <w:pPr>
      <w:ind w:firstLine="420" w:firstLineChars="200"/>
    </w:pPr>
  </w:style>
  <w:style w:type="paragraph" w:customStyle="1" w:styleId="72">
    <w:name w:val="TOC Heading_a7a6b347-0562-4c7f-a34a-37813bd4bbd7"/>
    <w:basedOn w:val="2"/>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3">
    <w:name w:val="正文文本缩进 3 字符"/>
    <w:basedOn w:val="35"/>
    <w:link w:val="26"/>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customStyle="1" w:styleId="80">
    <w:name w:val="No Spacing_bfaa14c9-ecd9-40fd-81dd-7aba2c1c22b9"/>
    <w:basedOn w:val="1"/>
    <w:qFormat/>
    <w:uiPriority w:val="1"/>
    <w:rPr>
      <w:szCs w:val="24"/>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val="en-US" w:eastAsia="zh-CN"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4">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5">
    <w:name w:val="Normal Indent1"/>
    <w:basedOn w:val="1"/>
    <w:qFormat/>
    <w:uiPriority w:val="0"/>
    <w:pPr>
      <w:ind w:firstLine="420" w:firstLineChars="200"/>
    </w:p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styleId="97">
    <w:name w:val="List Paragraph"/>
    <w:basedOn w:val="1"/>
    <w:qFormat/>
    <w:uiPriority w:val="99"/>
    <w:pPr>
      <w:ind w:firstLine="420" w:firstLineChars="200"/>
    </w:pPr>
  </w:style>
  <w:style w:type="paragraph" w:customStyle="1" w:styleId="9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21193</Words>
  <Characters>22336</Characters>
  <Lines>207</Lines>
  <Paragraphs>58</Paragraphs>
  <TotalTime>1</TotalTime>
  <ScaleCrop>false</ScaleCrop>
  <LinksUpToDate>false</LinksUpToDate>
  <CharactersWithSpaces>25169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万岁 *</cp:lastModifiedBy>
  <cp:lastPrinted>2021-07-12T20:06:00Z</cp:lastPrinted>
  <dcterms:modified xsi:type="dcterms:W3CDTF">2023-12-13T02:29:48Z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207D50C3492C41FFBBAE6328B0777CA8_13</vt:lpwstr>
  </property>
</Properties>
</file>