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bookmarkStart w:id="0" w:name="第二部分第六章"/>
    </w:p>
    <w:p>
      <w:pPr>
        <w:pStyle w:val="22"/>
        <w:adjustRightInd w:val="0"/>
        <w:snapToGrid w:val="0"/>
        <w:spacing w:line="360" w:lineRule="auto"/>
        <w:jc w:val="center"/>
        <w:rPr>
          <w:rFonts w:ascii="宋体" w:hAnsi="宋体"/>
          <w:spacing w:val="-10"/>
          <w:sz w:val="36"/>
          <w:szCs w:val="36"/>
        </w:rPr>
      </w:pPr>
    </w:p>
    <w:p>
      <w:pPr>
        <w:pStyle w:val="22"/>
        <w:tabs>
          <w:tab w:val="left" w:pos="3646"/>
        </w:tabs>
        <w:adjustRightInd w:val="0"/>
        <w:snapToGrid w:val="0"/>
        <w:spacing w:line="360" w:lineRule="auto"/>
        <w:rPr>
          <w:rFonts w:hint="eastAsia" w:hAnsi="宋体"/>
          <w:b/>
          <w:sz w:val="44"/>
          <w:szCs w:val="48"/>
        </w:rPr>
      </w:pPr>
    </w:p>
    <w:p>
      <w:pPr>
        <w:pStyle w:val="22"/>
        <w:adjustRightInd w:val="0"/>
        <w:snapToGrid w:val="0"/>
        <w:spacing w:line="360" w:lineRule="auto"/>
        <w:jc w:val="center"/>
        <w:rPr>
          <w:rFonts w:hint="eastAsia" w:ascii="宋体" w:hAnsi="宋体"/>
          <w:b/>
          <w:sz w:val="72"/>
          <w:szCs w:val="72"/>
        </w:rPr>
      </w:pPr>
      <w:r>
        <w:rPr>
          <w:rFonts w:hint="eastAsia" w:ascii="宋体" w:hAnsi="宋体"/>
          <w:b/>
          <w:sz w:val="72"/>
          <w:szCs w:val="72"/>
          <w:lang w:eastAsia="zh-CN"/>
        </w:rPr>
        <w:t>某单位</w:t>
      </w:r>
      <w:r>
        <w:rPr>
          <w:rFonts w:hint="eastAsia" w:ascii="宋体" w:hAnsi="宋体"/>
          <w:b/>
          <w:sz w:val="72"/>
          <w:szCs w:val="72"/>
          <w:lang w:val="en-US" w:eastAsia="zh-CN"/>
        </w:rPr>
        <w:t>资产管理软件及相关设备采购</w:t>
      </w:r>
      <w:r>
        <w:rPr>
          <w:rFonts w:hint="eastAsia" w:ascii="宋体" w:hAnsi="宋体"/>
          <w:b/>
          <w:sz w:val="72"/>
          <w:szCs w:val="72"/>
          <w:lang w:eastAsia="zh-CN"/>
        </w:rPr>
        <w:t>项目</w:t>
      </w:r>
    </w:p>
    <w:p>
      <w:pPr>
        <w:pStyle w:val="22"/>
        <w:adjustRightInd w:val="0"/>
        <w:snapToGrid w:val="0"/>
        <w:spacing w:line="360" w:lineRule="auto"/>
        <w:jc w:val="center"/>
        <w:rPr>
          <w:rFonts w:ascii="宋体" w:hAnsi="宋体"/>
          <w:szCs w:val="24"/>
        </w:rPr>
      </w:pPr>
    </w:p>
    <w:p>
      <w:pPr>
        <w:pStyle w:val="22"/>
        <w:adjustRightInd w:val="0"/>
        <w:snapToGrid w:val="0"/>
        <w:spacing w:line="360" w:lineRule="auto"/>
        <w:jc w:val="center"/>
        <w:rPr>
          <w:rFonts w:ascii="宋体" w:hAnsi="宋体"/>
          <w:szCs w:val="24"/>
        </w:rPr>
      </w:pPr>
    </w:p>
    <w:p>
      <w:pPr>
        <w:pStyle w:val="22"/>
        <w:adjustRightInd w:val="0"/>
        <w:snapToGrid w:val="0"/>
        <w:spacing w:line="360" w:lineRule="auto"/>
        <w:jc w:val="center"/>
        <w:rPr>
          <w:rFonts w:ascii="宋体" w:hAnsi="宋体"/>
          <w:szCs w:val="24"/>
        </w:rPr>
      </w:pPr>
    </w:p>
    <w:p>
      <w:pPr>
        <w:pStyle w:val="22"/>
        <w:adjustRightInd w:val="0"/>
        <w:snapToGrid w:val="0"/>
        <w:spacing w:line="360" w:lineRule="auto"/>
        <w:jc w:val="center"/>
        <w:rPr>
          <w:rFonts w:ascii="宋体" w:hAnsi="宋体"/>
          <w:b/>
          <w:sz w:val="62"/>
          <w:szCs w:val="84"/>
        </w:rPr>
      </w:pPr>
      <w:r>
        <w:rPr>
          <w:rFonts w:hint="eastAsia" w:ascii="宋体" w:hAnsi="宋体"/>
          <w:b/>
          <w:sz w:val="62"/>
          <w:szCs w:val="84"/>
        </w:rPr>
        <w:t>竞争性磋商文件</w:t>
      </w:r>
    </w:p>
    <w:p>
      <w:pPr>
        <w:pStyle w:val="22"/>
        <w:adjustRightInd w:val="0"/>
        <w:snapToGrid w:val="0"/>
        <w:spacing w:before="120" w:beforeLines="50" w:line="360" w:lineRule="auto"/>
        <w:ind w:left="846" w:leftChars="403" w:firstLine="156" w:firstLineChars="49"/>
        <w:rPr>
          <w:rFonts w:ascii="宋体" w:hAnsi="宋体"/>
          <w:sz w:val="32"/>
          <w:szCs w:val="32"/>
        </w:rPr>
      </w:pPr>
    </w:p>
    <w:p>
      <w:pPr>
        <w:pStyle w:val="22"/>
        <w:adjustRightInd w:val="0"/>
        <w:snapToGrid w:val="0"/>
        <w:spacing w:before="120" w:beforeLines="50" w:line="360" w:lineRule="auto"/>
        <w:ind w:left="846" w:leftChars="403" w:firstLine="156" w:firstLineChars="49"/>
        <w:rPr>
          <w:rFonts w:ascii="宋体" w:hAnsi="宋体"/>
          <w:sz w:val="32"/>
          <w:szCs w:val="32"/>
        </w:rPr>
      </w:pPr>
    </w:p>
    <w:p>
      <w:pPr>
        <w:pStyle w:val="22"/>
        <w:adjustRightInd w:val="0"/>
        <w:snapToGrid w:val="0"/>
        <w:spacing w:line="360" w:lineRule="auto"/>
        <w:ind w:firstLine="944" w:firstLineChars="295"/>
        <w:rPr>
          <w:rFonts w:ascii="宋体" w:hAnsi="宋体"/>
          <w:sz w:val="32"/>
          <w:szCs w:val="32"/>
        </w:rPr>
      </w:pPr>
    </w:p>
    <w:p>
      <w:pPr>
        <w:pStyle w:val="22"/>
        <w:adjustRightInd w:val="0"/>
        <w:snapToGrid w:val="0"/>
        <w:spacing w:line="360" w:lineRule="auto"/>
        <w:ind w:firstLine="944" w:firstLineChars="295"/>
        <w:rPr>
          <w:rFonts w:ascii="宋体" w:hAnsi="宋体"/>
          <w:sz w:val="32"/>
          <w:szCs w:val="32"/>
        </w:rPr>
      </w:pPr>
      <w:r>
        <w:rPr>
          <w:rFonts w:hint="eastAsia" w:ascii="宋体" w:hAnsi="宋体"/>
          <w:sz w:val="32"/>
          <w:szCs w:val="32"/>
        </w:rPr>
        <w:t xml:space="preserve">  </w:t>
      </w:r>
    </w:p>
    <w:p>
      <w:pPr>
        <w:pStyle w:val="22"/>
        <w:adjustRightInd w:val="0"/>
        <w:snapToGrid w:val="0"/>
        <w:spacing w:line="360" w:lineRule="auto"/>
        <w:ind w:firstLine="753" w:firstLineChars="250"/>
        <w:rPr>
          <w:rFonts w:hint="eastAsia" w:ascii="宋体" w:hAnsi="宋体" w:eastAsia="宋体"/>
          <w:b/>
          <w:sz w:val="30"/>
          <w:szCs w:val="30"/>
          <w:lang w:val="en-US" w:eastAsia="zh-CN"/>
        </w:rPr>
      </w:pPr>
      <w:r>
        <w:rPr>
          <w:rFonts w:hint="eastAsia" w:ascii="宋体" w:hAnsi="宋体"/>
          <w:b/>
          <w:sz w:val="30"/>
          <w:szCs w:val="30"/>
        </w:rPr>
        <w:t>采   购   人：</w:t>
      </w:r>
      <w:r>
        <w:rPr>
          <w:rFonts w:hint="eastAsia" w:ascii="宋体" w:hAnsi="宋体"/>
          <w:b/>
          <w:sz w:val="30"/>
          <w:szCs w:val="30"/>
          <w:lang w:val="en-US" w:eastAsia="zh-CN"/>
        </w:rPr>
        <w:t>某单位</w:t>
      </w:r>
    </w:p>
    <w:p>
      <w:pPr>
        <w:pStyle w:val="22"/>
        <w:adjustRightInd w:val="0"/>
        <w:snapToGrid w:val="0"/>
        <w:spacing w:line="360" w:lineRule="auto"/>
        <w:ind w:firstLine="753" w:firstLineChars="250"/>
        <w:rPr>
          <w:rFonts w:ascii="宋体" w:hAnsi="宋体"/>
          <w:b/>
          <w:sz w:val="30"/>
          <w:szCs w:val="30"/>
        </w:rPr>
      </w:pPr>
      <w:r>
        <w:rPr>
          <w:rFonts w:hint="eastAsia" w:ascii="宋体" w:hAnsi="宋体"/>
          <w:b/>
          <w:sz w:val="30"/>
          <w:szCs w:val="30"/>
        </w:rPr>
        <w:t>代  理 机 构: 新疆若梵项目管理有限公司</w:t>
      </w:r>
    </w:p>
    <w:p>
      <w:pPr>
        <w:pStyle w:val="22"/>
        <w:adjustRightInd w:val="0"/>
        <w:snapToGrid w:val="0"/>
        <w:spacing w:line="360" w:lineRule="auto"/>
        <w:ind w:firstLine="753" w:firstLineChars="250"/>
        <w:rPr>
          <w:rFonts w:ascii="宋体" w:hAnsi="宋体"/>
          <w:b/>
          <w:bCs/>
          <w:sz w:val="28"/>
        </w:rPr>
      </w:pPr>
      <w:r>
        <w:rPr>
          <w:rFonts w:hint="eastAsia" w:ascii="宋体" w:hAnsi="宋体"/>
          <w:b/>
          <w:sz w:val="30"/>
          <w:szCs w:val="30"/>
        </w:rPr>
        <w:t>采  购 内 容：</w:t>
      </w:r>
      <w:r>
        <w:rPr>
          <w:rFonts w:hint="eastAsia" w:hAnsi="宋体"/>
          <w:b/>
          <w:sz w:val="30"/>
          <w:szCs w:val="30"/>
          <w:lang w:val="en-US" w:eastAsia="zh-CN"/>
        </w:rPr>
        <w:t>资产管理软件及相关设备</w:t>
      </w:r>
    </w:p>
    <w:p>
      <w:pPr>
        <w:pStyle w:val="22"/>
        <w:adjustRightInd w:val="0"/>
        <w:snapToGrid w:val="0"/>
        <w:spacing w:line="360" w:lineRule="auto"/>
        <w:ind w:firstLine="753" w:firstLineChars="250"/>
        <w:rPr>
          <w:rFonts w:hint="default" w:ascii="宋体" w:hAnsi="宋体" w:eastAsia="宋体"/>
          <w:b/>
          <w:spacing w:val="-20"/>
          <w:sz w:val="30"/>
          <w:szCs w:val="30"/>
          <w:lang w:val="en-US" w:eastAsia="zh-CN"/>
        </w:rPr>
      </w:pPr>
      <w:r>
        <w:rPr>
          <w:rFonts w:hint="eastAsia" w:ascii="宋体" w:hAnsi="宋体"/>
          <w:b/>
          <w:sz w:val="30"/>
          <w:szCs w:val="30"/>
        </w:rPr>
        <w:t>项  目 编 号：</w:t>
      </w:r>
      <w:r>
        <w:rPr>
          <w:rFonts w:hint="eastAsia" w:ascii="宋体" w:hAnsi="宋体"/>
          <w:b/>
          <w:sz w:val="30"/>
          <w:szCs w:val="30"/>
          <w:lang w:val="en-US" w:eastAsia="zh-CN"/>
        </w:rPr>
        <w:t>XJRF-2023-045</w:t>
      </w:r>
    </w:p>
    <w:p>
      <w:pPr>
        <w:pStyle w:val="22"/>
        <w:adjustRightInd w:val="0"/>
        <w:snapToGrid w:val="0"/>
        <w:spacing w:line="360" w:lineRule="auto"/>
        <w:jc w:val="center"/>
        <w:rPr>
          <w:rFonts w:ascii="宋体" w:hAnsi="宋体"/>
          <w:b/>
          <w:spacing w:val="160"/>
          <w:sz w:val="36"/>
          <w:szCs w:val="36"/>
        </w:rPr>
      </w:pPr>
      <w:r>
        <w:rPr>
          <w:rFonts w:ascii="宋体" w:hAnsi="宋体"/>
          <w:b/>
          <w:spacing w:val="160"/>
          <w:sz w:val="36"/>
          <w:szCs w:val="36"/>
        </w:rPr>
        <w:br w:type="page"/>
      </w:r>
      <w:r>
        <w:rPr>
          <w:rFonts w:hint="eastAsia" w:ascii="宋体" w:hAnsi="宋体"/>
          <w:b/>
          <w:spacing w:val="160"/>
          <w:sz w:val="36"/>
          <w:szCs w:val="36"/>
        </w:rPr>
        <w:t>目录</w:t>
      </w:r>
    </w:p>
    <w:p>
      <w:pPr>
        <w:pStyle w:val="29"/>
        <w:spacing w:line="360" w:lineRule="auto"/>
      </w:pPr>
      <w:bookmarkStart w:id="1" w:name="_Toc420948005"/>
      <w:bookmarkStart w:id="2" w:name="_Toc419219410"/>
      <w:bookmarkStart w:id="3" w:name="_Toc419219491"/>
      <w:bookmarkStart w:id="4" w:name="_Toc419219645"/>
      <w:r>
        <w:fldChar w:fldCharType="begin"/>
      </w:r>
      <w:r>
        <w:instrText xml:space="preserve"> TOC \o "1-3" \h \z \u </w:instrText>
      </w:r>
      <w:r>
        <w:fldChar w:fldCharType="separate"/>
      </w:r>
      <w:r>
        <w:fldChar w:fldCharType="begin"/>
      </w:r>
      <w:r>
        <w:instrText xml:space="preserve"> HYPERLINK \l "_Toc474770902" </w:instrText>
      </w:r>
      <w:r>
        <w:fldChar w:fldCharType="separate"/>
      </w:r>
      <w:r>
        <w:rPr>
          <w:rStyle w:val="53"/>
          <w:rFonts w:hint="eastAsia"/>
          <w:color w:val="auto"/>
        </w:rPr>
        <w:t>第一章</w:t>
      </w:r>
      <w:r>
        <w:rPr>
          <w:rStyle w:val="53"/>
          <w:color w:val="auto"/>
        </w:rPr>
        <w:t xml:space="preserve">  </w:t>
      </w:r>
      <w:r>
        <w:rPr>
          <w:rStyle w:val="53"/>
          <w:rFonts w:hint="eastAsia"/>
          <w:color w:val="auto"/>
        </w:rPr>
        <w:t>竞争性磋商公告</w:t>
      </w:r>
      <w:r>
        <w:tab/>
      </w:r>
      <w:r>
        <w:fldChar w:fldCharType="begin"/>
      </w:r>
      <w:r>
        <w:instrText xml:space="preserve"> PAGEREF _Toc474770902 \h </w:instrText>
      </w:r>
      <w:r>
        <w:fldChar w:fldCharType="separate"/>
      </w:r>
      <w:r>
        <w:t>3</w:t>
      </w:r>
      <w:r>
        <w:fldChar w:fldCharType="end"/>
      </w:r>
      <w:r>
        <w:fldChar w:fldCharType="end"/>
      </w:r>
    </w:p>
    <w:p>
      <w:pPr>
        <w:pStyle w:val="29"/>
        <w:spacing w:line="360" w:lineRule="auto"/>
      </w:pPr>
      <w:r>
        <w:fldChar w:fldCharType="begin"/>
      </w:r>
      <w:r>
        <w:instrText xml:space="preserve"> HYPERLINK \l "_Toc474770903" </w:instrText>
      </w:r>
      <w:r>
        <w:fldChar w:fldCharType="separate"/>
      </w:r>
      <w:r>
        <w:rPr>
          <w:rStyle w:val="53"/>
          <w:rFonts w:hint="eastAsia"/>
          <w:color w:val="auto"/>
        </w:rPr>
        <w:t>第二章</w:t>
      </w:r>
      <w:r>
        <w:rPr>
          <w:rStyle w:val="53"/>
          <w:color w:val="auto"/>
        </w:rPr>
        <w:t xml:space="preserve"> </w:t>
      </w:r>
      <w:r>
        <w:rPr>
          <w:rStyle w:val="53"/>
          <w:rFonts w:hint="eastAsia"/>
          <w:color w:val="auto"/>
        </w:rPr>
        <w:t xml:space="preserve"> 磋商须知</w:t>
      </w:r>
      <w:r>
        <w:tab/>
      </w:r>
      <w:r>
        <w:fldChar w:fldCharType="begin"/>
      </w:r>
      <w:r>
        <w:instrText xml:space="preserve"> PAGEREF _Toc474770903 \h </w:instrText>
      </w:r>
      <w:r>
        <w:fldChar w:fldCharType="separate"/>
      </w:r>
      <w:r>
        <w:t>7</w:t>
      </w:r>
      <w:r>
        <w:fldChar w:fldCharType="end"/>
      </w:r>
      <w: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"_Toc474770904" </w:instrText>
      </w:r>
      <w:r>
        <w:fldChar w:fldCharType="separate"/>
      </w:r>
      <w:r>
        <w:rPr>
          <w:rStyle w:val="53"/>
          <w:rFonts w:hint="eastAsia" w:ascii="宋体" w:hAnsi="宋体"/>
          <w:color w:val="auto"/>
          <w:sz w:val="24"/>
        </w:rPr>
        <w:t>磋商须知前附表</w:t>
      </w:r>
      <w:r>
        <w:rPr>
          <w:rFonts w:ascii="宋体" w:hAnsi="宋体"/>
          <w:sz w:val="24"/>
        </w:rPr>
        <w:tab/>
      </w:r>
      <w:r>
        <w:rPr>
          <w:rFonts w:ascii="宋体" w:hAnsi="宋体"/>
          <w:sz w:val="24"/>
        </w:rPr>
        <w:fldChar w:fldCharType="begin"/>
      </w:r>
      <w:r>
        <w:rPr>
          <w:rFonts w:ascii="宋体" w:hAnsi="宋体"/>
          <w:sz w:val="24"/>
        </w:rPr>
        <w:instrText xml:space="preserve"> PAGEREF _Toc474770904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"_Toc474770905" </w:instrText>
      </w:r>
      <w:r>
        <w:fldChar w:fldCharType="separate"/>
      </w:r>
      <w:r>
        <w:rPr>
          <w:rStyle w:val="53"/>
          <w:rFonts w:hint="eastAsia" w:ascii="宋体" w:hAnsi="宋体"/>
          <w:color w:val="auto"/>
          <w:sz w:val="24"/>
        </w:rPr>
        <w:t>磋商须知正文</w:t>
      </w:r>
      <w:r>
        <w:rPr>
          <w:rFonts w:ascii="宋体" w:hAnsi="宋体"/>
          <w:sz w:val="24"/>
        </w:rPr>
        <w:tab/>
      </w:r>
      <w:r>
        <w:rPr>
          <w:rFonts w:ascii="宋体" w:hAnsi="宋体"/>
          <w:sz w:val="24"/>
        </w:rPr>
        <w:fldChar w:fldCharType="begin"/>
      </w:r>
      <w:r>
        <w:rPr>
          <w:rFonts w:ascii="宋体" w:hAnsi="宋体"/>
          <w:sz w:val="24"/>
        </w:rPr>
        <w:instrText xml:space="preserve"> PAGEREF _Toc474770905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"_Toc474770906" </w:instrText>
      </w:r>
      <w:r>
        <w:fldChar w:fldCharType="separate"/>
      </w:r>
      <w:r>
        <w:rPr>
          <w:rStyle w:val="53"/>
          <w:rFonts w:hint="eastAsia" w:ascii="宋体" w:hAnsi="宋体"/>
          <w:color w:val="auto"/>
          <w:sz w:val="24"/>
        </w:rPr>
        <w:t>一、总则</w:t>
      </w:r>
      <w:r>
        <w:rPr>
          <w:rFonts w:ascii="宋体" w:hAnsi="宋体"/>
          <w:sz w:val="24"/>
        </w:rPr>
        <w:tab/>
      </w:r>
      <w:r>
        <w:rPr>
          <w:rFonts w:ascii="宋体" w:hAnsi="宋体"/>
          <w:sz w:val="24"/>
        </w:rPr>
        <w:fldChar w:fldCharType="begin"/>
      </w:r>
      <w:r>
        <w:rPr>
          <w:rFonts w:ascii="宋体" w:hAnsi="宋体"/>
          <w:sz w:val="24"/>
        </w:rPr>
        <w:instrText xml:space="preserve"> PAGEREF _Toc474770906 \h </w:instrText>
      </w:r>
      <w:r>
        <w:rPr>
          <w:rFonts w:ascii="宋体" w:hAnsi="宋体"/>
          <w:sz w:val="24"/>
        </w:rPr>
        <w:fldChar w:fldCharType="separate"/>
      </w:r>
      <w:r>
        <w:rPr>
          <w:rFonts w:ascii="宋体" w:hAnsi="宋体"/>
          <w:sz w:val="24"/>
        </w:rPr>
        <w:t>11</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"_Toc474770907" </w:instrText>
      </w:r>
      <w:r>
        <w:fldChar w:fldCharType="separate"/>
      </w:r>
      <w:r>
        <w:rPr>
          <w:rStyle w:val="53"/>
          <w:rFonts w:hint="eastAsia" w:ascii="宋体" w:hAnsi="宋体"/>
          <w:color w:val="auto"/>
          <w:sz w:val="24"/>
        </w:rPr>
        <w:t>二、磋商文件</w:t>
      </w:r>
      <w:r>
        <w:rPr>
          <w:rFonts w:ascii="宋体" w:hAnsi="宋体"/>
          <w:sz w:val="24"/>
        </w:rPr>
        <w:tab/>
      </w:r>
      <w:r>
        <w:rPr>
          <w:rFonts w:ascii="宋体" w:hAnsi="宋体"/>
          <w:sz w:val="24"/>
        </w:rPr>
        <w:fldChar w:fldCharType="begin"/>
      </w:r>
      <w:r>
        <w:rPr>
          <w:rFonts w:ascii="宋体" w:hAnsi="宋体"/>
          <w:sz w:val="24"/>
        </w:rPr>
        <w:instrText xml:space="preserve"> PAGEREF _Toc474770907 \h </w:instrText>
      </w:r>
      <w:r>
        <w:rPr>
          <w:rFonts w:ascii="宋体" w:hAnsi="宋体"/>
          <w:sz w:val="24"/>
        </w:rPr>
        <w:fldChar w:fldCharType="separate"/>
      </w:r>
      <w:r>
        <w:rPr>
          <w:rFonts w:ascii="宋体" w:hAnsi="宋体"/>
          <w:sz w:val="24"/>
        </w:rPr>
        <w:t>13</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"_Toc474770908" </w:instrText>
      </w:r>
      <w:r>
        <w:fldChar w:fldCharType="separate"/>
      </w:r>
      <w:r>
        <w:rPr>
          <w:rStyle w:val="53"/>
          <w:rFonts w:hint="eastAsia" w:ascii="宋体" w:hAnsi="宋体"/>
          <w:color w:val="auto"/>
          <w:sz w:val="24"/>
        </w:rPr>
        <w:t>三、响应文件</w:t>
      </w:r>
      <w:r>
        <w:rPr>
          <w:rFonts w:ascii="宋体" w:hAnsi="宋体"/>
          <w:sz w:val="24"/>
        </w:rPr>
        <w:tab/>
      </w:r>
      <w:r>
        <w:rPr>
          <w:rFonts w:ascii="宋体" w:hAnsi="宋体"/>
          <w:sz w:val="24"/>
        </w:rPr>
        <w:fldChar w:fldCharType="begin"/>
      </w:r>
      <w:r>
        <w:rPr>
          <w:rFonts w:ascii="宋体" w:hAnsi="宋体"/>
          <w:sz w:val="24"/>
        </w:rPr>
        <w:instrText xml:space="preserve"> PAGEREF _Toc474770908 \h </w:instrText>
      </w:r>
      <w:r>
        <w:rPr>
          <w:rFonts w:ascii="宋体" w:hAnsi="宋体"/>
          <w:sz w:val="24"/>
        </w:rPr>
        <w:fldChar w:fldCharType="separate"/>
      </w:r>
      <w:r>
        <w:rPr>
          <w:rFonts w:ascii="宋体" w:hAnsi="宋体"/>
          <w:sz w:val="24"/>
        </w:rPr>
        <w:t>14</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"_Toc474770909" </w:instrText>
      </w:r>
      <w:r>
        <w:fldChar w:fldCharType="separate"/>
      </w:r>
      <w:r>
        <w:rPr>
          <w:rStyle w:val="53"/>
          <w:rFonts w:hint="eastAsia" w:ascii="宋体" w:hAnsi="宋体"/>
          <w:color w:val="auto"/>
          <w:sz w:val="24"/>
        </w:rPr>
        <w:t>四、响应文件的递交</w:t>
      </w:r>
      <w:r>
        <w:rPr>
          <w:rFonts w:ascii="宋体" w:hAnsi="宋体"/>
          <w:sz w:val="24"/>
        </w:rPr>
        <w:tab/>
      </w:r>
      <w:r>
        <w:rPr>
          <w:rFonts w:ascii="宋体" w:hAnsi="宋体"/>
          <w:sz w:val="24"/>
        </w:rPr>
        <w:fldChar w:fldCharType="begin"/>
      </w:r>
      <w:r>
        <w:rPr>
          <w:rFonts w:ascii="宋体" w:hAnsi="宋体"/>
          <w:sz w:val="24"/>
        </w:rPr>
        <w:instrText xml:space="preserve"> PAGEREF _Toc474770909 \h </w:instrText>
      </w:r>
      <w:r>
        <w:rPr>
          <w:rFonts w:ascii="宋体" w:hAnsi="宋体"/>
          <w:sz w:val="24"/>
        </w:rPr>
        <w:fldChar w:fldCharType="separate"/>
      </w:r>
      <w:r>
        <w:rPr>
          <w:rFonts w:ascii="宋体" w:hAnsi="宋体"/>
          <w:sz w:val="24"/>
        </w:rPr>
        <w:t>17</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"_Toc474770910" </w:instrText>
      </w:r>
      <w:r>
        <w:fldChar w:fldCharType="separate"/>
      </w:r>
      <w:r>
        <w:rPr>
          <w:rStyle w:val="53"/>
          <w:rFonts w:hint="eastAsia" w:ascii="宋体" w:hAnsi="宋体"/>
          <w:color w:val="auto"/>
          <w:sz w:val="24"/>
        </w:rPr>
        <w:t>五、响应文件的</w:t>
      </w:r>
      <w:bookmarkStart w:id="5" w:name="_Hlt9440408"/>
      <w:bookmarkStart w:id="6" w:name="_Hlt9440407"/>
      <w:r>
        <w:rPr>
          <w:rStyle w:val="53"/>
          <w:rFonts w:hint="eastAsia" w:ascii="宋体" w:hAnsi="宋体"/>
          <w:color w:val="auto"/>
          <w:sz w:val="24"/>
        </w:rPr>
        <w:t>评</w:t>
      </w:r>
      <w:bookmarkEnd w:id="5"/>
      <w:bookmarkEnd w:id="6"/>
      <w:bookmarkStart w:id="7" w:name="_Hlt9440488"/>
      <w:r>
        <w:rPr>
          <w:rStyle w:val="53"/>
          <w:rFonts w:hint="eastAsia" w:ascii="宋体" w:hAnsi="宋体"/>
          <w:color w:val="auto"/>
          <w:sz w:val="24"/>
        </w:rPr>
        <w:t>审</w:t>
      </w:r>
      <w:bookmarkEnd w:id="7"/>
      <w:bookmarkStart w:id="8" w:name="_Hlt38792441"/>
      <w:bookmarkStart w:id="9" w:name="_Hlt38792442"/>
      <w:r>
        <w:rPr>
          <w:rFonts w:ascii="宋体" w:hAnsi="宋体"/>
          <w:sz w:val="24"/>
        </w:rPr>
        <w:tab/>
      </w:r>
      <w:bookmarkEnd w:id="8"/>
      <w:bookmarkEnd w:id="9"/>
      <w:r>
        <w:rPr>
          <w:rFonts w:ascii="宋体" w:hAnsi="宋体"/>
          <w:sz w:val="24"/>
        </w:rPr>
        <w:fldChar w:fldCharType="begin"/>
      </w:r>
      <w:r>
        <w:rPr>
          <w:rFonts w:ascii="宋体" w:hAnsi="宋体"/>
          <w:sz w:val="24"/>
        </w:rPr>
        <w:instrText xml:space="preserve"> PAGEREF _Toc474770910 \h </w:instrText>
      </w:r>
      <w:r>
        <w:rPr>
          <w:rFonts w:ascii="宋体" w:hAnsi="宋体"/>
          <w:sz w:val="24"/>
        </w:rPr>
        <w:fldChar w:fldCharType="separate"/>
      </w:r>
      <w:r>
        <w:rPr>
          <w:rFonts w:ascii="宋体" w:hAnsi="宋体"/>
          <w:sz w:val="24"/>
        </w:rPr>
        <w:t>17</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"_Toc474770911" </w:instrText>
      </w:r>
      <w:r>
        <w:fldChar w:fldCharType="separate"/>
      </w:r>
      <w:r>
        <w:rPr>
          <w:rStyle w:val="53"/>
          <w:rFonts w:hint="eastAsia" w:ascii="宋体" w:hAnsi="宋体"/>
          <w:color w:val="auto"/>
          <w:sz w:val="24"/>
        </w:rPr>
        <w:t>六、成交结果信息公布与授予合同</w:t>
      </w:r>
      <w:r>
        <w:rPr>
          <w:rFonts w:ascii="宋体" w:hAnsi="宋体"/>
          <w:sz w:val="24"/>
        </w:rPr>
        <w:tab/>
      </w:r>
      <w:r>
        <w:rPr>
          <w:rFonts w:ascii="宋体" w:hAnsi="宋体"/>
          <w:sz w:val="24"/>
        </w:rPr>
        <w:fldChar w:fldCharType="begin"/>
      </w:r>
      <w:r>
        <w:rPr>
          <w:rFonts w:ascii="宋体" w:hAnsi="宋体"/>
          <w:sz w:val="24"/>
        </w:rPr>
        <w:instrText xml:space="preserve"> PAGEREF _Toc474770911 \h </w:instrText>
      </w:r>
      <w:r>
        <w:rPr>
          <w:rFonts w:ascii="宋体" w:hAnsi="宋体"/>
          <w:sz w:val="24"/>
        </w:rPr>
        <w:fldChar w:fldCharType="separate"/>
      </w:r>
      <w:r>
        <w:rPr>
          <w:rFonts w:ascii="宋体" w:hAnsi="宋体"/>
          <w:sz w:val="24"/>
        </w:rPr>
        <w:t>23</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"_Toc474770912" </w:instrText>
      </w:r>
      <w:r>
        <w:fldChar w:fldCharType="separate"/>
      </w:r>
      <w:r>
        <w:rPr>
          <w:rStyle w:val="53"/>
          <w:rFonts w:hint="eastAsia" w:ascii="宋体" w:hAnsi="宋体"/>
          <w:color w:val="auto"/>
          <w:sz w:val="24"/>
        </w:rPr>
        <w:t>七、其他规定</w:t>
      </w:r>
      <w:r>
        <w:rPr>
          <w:rFonts w:ascii="宋体" w:hAnsi="宋体"/>
          <w:sz w:val="24"/>
        </w:rPr>
        <w:tab/>
      </w:r>
      <w:r>
        <w:rPr>
          <w:rFonts w:ascii="宋体" w:hAnsi="宋体"/>
          <w:sz w:val="24"/>
        </w:rPr>
        <w:fldChar w:fldCharType="begin"/>
      </w:r>
      <w:r>
        <w:rPr>
          <w:rFonts w:ascii="宋体" w:hAnsi="宋体"/>
          <w:sz w:val="24"/>
        </w:rPr>
        <w:instrText xml:space="preserve"> PAGEREF _Toc474770912 \h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29"/>
        <w:spacing w:line="360" w:lineRule="auto"/>
      </w:pPr>
      <w:r>
        <w:fldChar w:fldCharType="begin"/>
      </w:r>
      <w:r>
        <w:instrText xml:space="preserve"> HYPERLINK \l "_Toc474770913" </w:instrText>
      </w:r>
      <w:r>
        <w:fldChar w:fldCharType="separate"/>
      </w:r>
      <w:r>
        <w:rPr>
          <w:rStyle w:val="53"/>
          <w:rFonts w:hint="eastAsia"/>
          <w:color w:val="auto"/>
        </w:rPr>
        <w:t>第三章</w:t>
      </w:r>
      <w:r>
        <w:rPr>
          <w:rStyle w:val="53"/>
          <w:color w:val="auto"/>
        </w:rPr>
        <w:t xml:space="preserve">  </w:t>
      </w:r>
      <w:r>
        <w:rPr>
          <w:rStyle w:val="53"/>
          <w:rFonts w:hint="eastAsia"/>
          <w:color w:val="auto"/>
        </w:rPr>
        <w:t>政府采购合同格式</w:t>
      </w:r>
      <w:r>
        <w:tab/>
      </w:r>
      <w:r>
        <w:fldChar w:fldCharType="begin"/>
      </w:r>
      <w:r>
        <w:instrText xml:space="preserve"> PAGEREF _Toc474770913 \h </w:instrText>
      </w:r>
      <w:r>
        <w:fldChar w:fldCharType="separate"/>
      </w:r>
      <w:r>
        <w:t>25</w:t>
      </w:r>
      <w:r>
        <w:fldChar w:fldCharType="end"/>
      </w:r>
      <w: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"_Toc474770914" </w:instrText>
      </w:r>
      <w:r>
        <w:fldChar w:fldCharType="separate"/>
      </w:r>
      <w:r>
        <w:rPr>
          <w:rStyle w:val="53"/>
          <w:rFonts w:hint="eastAsia" w:ascii="宋体" w:hAnsi="宋体"/>
          <w:color w:val="auto"/>
          <w:sz w:val="24"/>
        </w:rPr>
        <w:t>一、政府采购合同协议书</w:t>
      </w:r>
      <w:r>
        <w:rPr>
          <w:rFonts w:ascii="宋体" w:hAnsi="宋体"/>
          <w:sz w:val="24"/>
        </w:rPr>
        <w:tab/>
      </w:r>
      <w:r>
        <w:rPr>
          <w:rFonts w:ascii="宋体" w:hAnsi="宋体"/>
          <w:sz w:val="24"/>
        </w:rPr>
        <w:fldChar w:fldCharType="begin"/>
      </w:r>
      <w:r>
        <w:rPr>
          <w:rFonts w:ascii="宋体" w:hAnsi="宋体"/>
          <w:sz w:val="24"/>
        </w:rPr>
        <w:instrText xml:space="preserve"> PAGEREF _Toc474770914 \h </w:instrText>
      </w:r>
      <w:r>
        <w:rPr>
          <w:rFonts w:ascii="宋体" w:hAnsi="宋体"/>
          <w:sz w:val="24"/>
        </w:rPr>
        <w:fldChar w:fldCharType="separate"/>
      </w:r>
      <w:r>
        <w:rPr>
          <w:rFonts w:ascii="宋体" w:hAnsi="宋体"/>
          <w:sz w:val="24"/>
        </w:rPr>
        <w:t>25</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"_Toc474770915" </w:instrText>
      </w:r>
      <w:r>
        <w:fldChar w:fldCharType="separate"/>
      </w:r>
      <w:r>
        <w:rPr>
          <w:rStyle w:val="53"/>
          <w:rFonts w:hint="eastAsia" w:ascii="宋体" w:hAnsi="宋体"/>
          <w:color w:val="auto"/>
          <w:sz w:val="24"/>
        </w:rPr>
        <w:t>二、政府采购合同通用条款</w:t>
      </w:r>
      <w:r>
        <w:rPr>
          <w:rFonts w:ascii="宋体" w:hAnsi="宋体"/>
          <w:sz w:val="24"/>
        </w:rPr>
        <w:tab/>
      </w:r>
      <w:r>
        <w:rPr>
          <w:rFonts w:ascii="宋体" w:hAnsi="宋体"/>
          <w:sz w:val="24"/>
        </w:rPr>
        <w:fldChar w:fldCharType="begin"/>
      </w:r>
      <w:r>
        <w:rPr>
          <w:rFonts w:ascii="宋体" w:hAnsi="宋体"/>
          <w:sz w:val="24"/>
        </w:rPr>
        <w:instrText xml:space="preserve"> PAGEREF _Toc474770915 \h </w:instrText>
      </w:r>
      <w:r>
        <w:rPr>
          <w:rFonts w:ascii="宋体" w:hAnsi="宋体"/>
          <w:sz w:val="24"/>
        </w:rPr>
        <w:fldChar w:fldCharType="separate"/>
      </w:r>
      <w:r>
        <w:rPr>
          <w:rFonts w:ascii="宋体" w:hAnsi="宋体"/>
          <w:sz w:val="24"/>
        </w:rPr>
        <w:t>27</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"_Toc474770916" </w:instrText>
      </w:r>
      <w:r>
        <w:fldChar w:fldCharType="separate"/>
      </w:r>
      <w:r>
        <w:rPr>
          <w:rStyle w:val="53"/>
          <w:rFonts w:hint="eastAsia" w:ascii="宋体" w:hAnsi="宋体"/>
          <w:color w:val="auto"/>
          <w:sz w:val="24"/>
        </w:rPr>
        <w:t>三、政府采购合同专用条款</w:t>
      </w:r>
      <w:r>
        <w:rPr>
          <w:rFonts w:ascii="宋体" w:hAnsi="宋体"/>
          <w:sz w:val="24"/>
        </w:rPr>
        <w:tab/>
      </w:r>
      <w:r>
        <w:rPr>
          <w:rFonts w:ascii="宋体" w:hAnsi="宋体"/>
          <w:sz w:val="24"/>
        </w:rPr>
        <w:fldChar w:fldCharType="begin"/>
      </w:r>
      <w:r>
        <w:rPr>
          <w:rFonts w:ascii="宋体" w:hAnsi="宋体"/>
          <w:sz w:val="24"/>
        </w:rPr>
        <w:instrText xml:space="preserve"> PAGEREF _Toc474770916 \h </w:instrText>
      </w:r>
      <w:r>
        <w:rPr>
          <w:rFonts w:ascii="宋体" w:hAnsi="宋体"/>
          <w:sz w:val="24"/>
        </w:rPr>
        <w:fldChar w:fldCharType="separate"/>
      </w:r>
      <w:r>
        <w:rPr>
          <w:rFonts w:ascii="宋体" w:hAnsi="宋体"/>
          <w:sz w:val="24"/>
        </w:rPr>
        <w:t>33</w:t>
      </w:r>
      <w:r>
        <w:rPr>
          <w:rFonts w:ascii="宋体" w:hAnsi="宋体"/>
          <w:sz w:val="24"/>
        </w:rPr>
        <w:fldChar w:fldCharType="end"/>
      </w:r>
      <w:r>
        <w:rPr>
          <w:rFonts w:ascii="宋体" w:hAnsi="宋体"/>
          <w:sz w:val="24"/>
        </w:rPr>
        <w:fldChar w:fldCharType="end"/>
      </w:r>
    </w:p>
    <w:p>
      <w:pPr>
        <w:pStyle w:val="29"/>
        <w:spacing w:line="360" w:lineRule="auto"/>
      </w:pPr>
      <w:r>
        <w:fldChar w:fldCharType="begin"/>
      </w:r>
      <w:r>
        <w:instrText xml:space="preserve"> HYPERLINK \l "_Toc474770917" </w:instrText>
      </w:r>
      <w:r>
        <w:fldChar w:fldCharType="separate"/>
      </w:r>
      <w:r>
        <w:rPr>
          <w:rStyle w:val="53"/>
          <w:rFonts w:hint="eastAsia"/>
          <w:color w:val="auto"/>
        </w:rPr>
        <w:t>第四</w:t>
      </w:r>
      <w:bookmarkStart w:id="10" w:name="_Hlt9441917"/>
      <w:r>
        <w:rPr>
          <w:rStyle w:val="53"/>
          <w:rFonts w:hint="eastAsia"/>
          <w:color w:val="auto"/>
        </w:rPr>
        <w:t>章</w:t>
      </w:r>
      <w:bookmarkEnd w:id="10"/>
      <w:r>
        <w:rPr>
          <w:rStyle w:val="53"/>
          <w:color w:val="auto"/>
        </w:rPr>
        <w:t xml:space="preserve"> </w:t>
      </w:r>
      <w:r>
        <w:rPr>
          <w:rStyle w:val="53"/>
          <w:rFonts w:hint="eastAsia"/>
          <w:color w:val="auto"/>
        </w:rPr>
        <w:t xml:space="preserve"> 采购需求</w:t>
      </w:r>
      <w:r>
        <w:tab/>
      </w:r>
      <w:r>
        <w:fldChar w:fldCharType="begin"/>
      </w:r>
      <w:r>
        <w:instrText xml:space="preserve"> PAGEREF _Toc474770917 \h </w:instrText>
      </w:r>
      <w:r>
        <w:fldChar w:fldCharType="separate"/>
      </w:r>
      <w:r>
        <w:t>34</w:t>
      </w:r>
      <w:r>
        <w:fldChar w:fldCharType="end"/>
      </w:r>
      <w:r>
        <w:fldChar w:fldCharType="end"/>
      </w:r>
    </w:p>
    <w:p>
      <w:pPr>
        <w:pStyle w:val="29"/>
        <w:spacing w:line="360" w:lineRule="auto"/>
      </w:pPr>
      <w:r>
        <w:fldChar w:fldCharType="begin"/>
      </w:r>
      <w:r>
        <w:instrText xml:space="preserve"> HYPERLINK \l "_Toc474770918" </w:instrText>
      </w:r>
      <w:r>
        <w:fldChar w:fldCharType="separate"/>
      </w:r>
      <w:r>
        <w:rPr>
          <w:rStyle w:val="53"/>
          <w:rFonts w:hint="eastAsia"/>
          <w:color w:val="auto"/>
        </w:rPr>
        <w:t>第五章</w:t>
      </w:r>
      <w:r>
        <w:rPr>
          <w:rStyle w:val="53"/>
          <w:color w:val="auto"/>
        </w:rPr>
        <w:t xml:space="preserve"> </w:t>
      </w:r>
      <w:r>
        <w:rPr>
          <w:rStyle w:val="53"/>
          <w:rFonts w:hint="eastAsia"/>
          <w:color w:val="auto"/>
        </w:rPr>
        <w:t xml:space="preserve"> 响应文件格式</w:t>
      </w:r>
      <w:r>
        <w:tab/>
      </w:r>
      <w:bookmarkStart w:id="11" w:name="_Hlt477445962"/>
      <w:r>
        <w:fldChar w:fldCharType="begin"/>
      </w:r>
      <w:r>
        <w:instrText xml:space="preserve"> PAGEREF _Toc474770918 \h </w:instrText>
      </w:r>
      <w:r>
        <w:fldChar w:fldCharType="separate"/>
      </w:r>
      <w:r>
        <w:t>35</w:t>
      </w:r>
      <w:r>
        <w:fldChar w:fldCharType="end"/>
      </w:r>
      <w:bookmarkEnd w:id="11"/>
      <w: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"_Toc474770919" </w:instrText>
      </w:r>
      <w:r>
        <w:fldChar w:fldCharType="separate"/>
      </w:r>
      <w:r>
        <w:rPr>
          <w:rStyle w:val="53"/>
          <w:rFonts w:hint="eastAsia" w:ascii="宋体" w:hAnsi="宋体" w:cs="宋体"/>
          <w:color w:val="auto"/>
          <w:sz w:val="24"/>
        </w:rPr>
        <w:t>一、资格性自查表</w:t>
      </w:r>
      <w:r>
        <w:rPr>
          <w:rFonts w:ascii="宋体" w:hAnsi="宋体"/>
          <w:sz w:val="24"/>
        </w:rPr>
        <w:tab/>
      </w:r>
      <w:r>
        <w:rPr>
          <w:rFonts w:ascii="宋体" w:hAnsi="宋体"/>
          <w:sz w:val="24"/>
        </w:rPr>
        <w:fldChar w:fldCharType="begin"/>
      </w:r>
      <w:r>
        <w:rPr>
          <w:rFonts w:ascii="宋体" w:hAnsi="宋体"/>
          <w:sz w:val="24"/>
        </w:rPr>
        <w:instrText xml:space="preserve"> PAGEREF _Toc474770919 \h </w:instrText>
      </w:r>
      <w:r>
        <w:rPr>
          <w:rFonts w:ascii="宋体" w:hAnsi="宋体"/>
          <w:sz w:val="24"/>
        </w:rPr>
        <w:fldChar w:fldCharType="separate"/>
      </w:r>
      <w:r>
        <w:rPr>
          <w:rFonts w:ascii="宋体" w:hAnsi="宋体"/>
          <w:sz w:val="24"/>
        </w:rPr>
        <w:t>37</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"_Toc474770920" </w:instrText>
      </w:r>
      <w:r>
        <w:fldChar w:fldCharType="separate"/>
      </w:r>
      <w:r>
        <w:rPr>
          <w:rStyle w:val="53"/>
          <w:rFonts w:hint="eastAsia" w:ascii="宋体" w:hAnsi="宋体"/>
          <w:color w:val="auto"/>
          <w:sz w:val="24"/>
        </w:rPr>
        <w:t>二、磋商函</w:t>
      </w:r>
      <w:r>
        <w:rPr>
          <w:rFonts w:ascii="宋体" w:hAnsi="宋体"/>
          <w:sz w:val="24"/>
        </w:rPr>
        <w:tab/>
      </w:r>
      <w:r>
        <w:rPr>
          <w:rFonts w:ascii="宋体" w:hAnsi="宋体"/>
          <w:sz w:val="24"/>
        </w:rPr>
        <w:fldChar w:fldCharType="begin"/>
      </w:r>
      <w:r>
        <w:rPr>
          <w:rFonts w:ascii="宋体" w:hAnsi="宋体"/>
          <w:sz w:val="24"/>
        </w:rPr>
        <w:instrText xml:space="preserve"> PAGEREF _Toc474770920 \h </w:instrText>
      </w:r>
      <w:r>
        <w:rPr>
          <w:rFonts w:ascii="宋体" w:hAnsi="宋体"/>
          <w:sz w:val="24"/>
        </w:rPr>
        <w:fldChar w:fldCharType="separate"/>
      </w:r>
      <w:r>
        <w:rPr>
          <w:rFonts w:ascii="宋体" w:hAnsi="宋体"/>
          <w:sz w:val="24"/>
        </w:rPr>
        <w:t>38</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"_Toc474770921" </w:instrText>
      </w:r>
      <w:r>
        <w:fldChar w:fldCharType="separate"/>
      </w:r>
      <w:r>
        <w:rPr>
          <w:rStyle w:val="53"/>
          <w:rFonts w:hint="eastAsia" w:ascii="宋体" w:hAnsi="宋体"/>
          <w:color w:val="auto"/>
          <w:sz w:val="24"/>
        </w:rPr>
        <w:t>三、磋商保证金</w:t>
      </w:r>
      <w:r>
        <w:rPr>
          <w:rFonts w:ascii="宋体" w:hAnsi="宋体"/>
          <w:sz w:val="24"/>
        </w:rPr>
        <w:tab/>
      </w:r>
      <w:r>
        <w:rPr>
          <w:rFonts w:ascii="宋体" w:hAnsi="宋体"/>
          <w:sz w:val="24"/>
        </w:rPr>
        <w:fldChar w:fldCharType="begin"/>
      </w:r>
      <w:r>
        <w:rPr>
          <w:rFonts w:ascii="宋体" w:hAnsi="宋体"/>
          <w:sz w:val="24"/>
        </w:rPr>
        <w:instrText xml:space="preserve"> PAGEREF _Toc474770921 \h </w:instrText>
      </w:r>
      <w:r>
        <w:rPr>
          <w:rFonts w:ascii="宋体" w:hAnsi="宋体"/>
          <w:sz w:val="24"/>
        </w:rPr>
        <w:fldChar w:fldCharType="separate"/>
      </w:r>
      <w:r>
        <w:rPr>
          <w:rFonts w:ascii="宋体" w:hAnsi="宋体"/>
          <w:sz w:val="24"/>
        </w:rPr>
        <w:t>42</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"_Toc474770922" </w:instrText>
      </w:r>
      <w:r>
        <w:fldChar w:fldCharType="separate"/>
      </w:r>
      <w:r>
        <w:rPr>
          <w:rStyle w:val="53"/>
          <w:rFonts w:hint="eastAsia" w:ascii="宋体" w:hAnsi="宋体"/>
          <w:color w:val="auto"/>
          <w:sz w:val="24"/>
        </w:rPr>
        <w:t>四、报价表及报价明细表</w:t>
      </w:r>
      <w:r>
        <w:rPr>
          <w:rFonts w:ascii="宋体" w:hAnsi="宋体"/>
          <w:sz w:val="24"/>
        </w:rPr>
        <w:tab/>
      </w:r>
      <w:r>
        <w:rPr>
          <w:rFonts w:ascii="宋体" w:hAnsi="宋体"/>
          <w:sz w:val="24"/>
        </w:rPr>
        <w:fldChar w:fldCharType="begin"/>
      </w:r>
      <w:r>
        <w:rPr>
          <w:rFonts w:ascii="宋体" w:hAnsi="宋体"/>
          <w:sz w:val="24"/>
        </w:rPr>
        <w:instrText xml:space="preserve"> PAGEREF _Toc474770922 \h </w:instrText>
      </w:r>
      <w:r>
        <w:rPr>
          <w:rFonts w:ascii="宋体" w:hAnsi="宋体"/>
          <w:sz w:val="24"/>
        </w:rPr>
        <w:fldChar w:fldCharType="separate"/>
      </w:r>
      <w:r>
        <w:rPr>
          <w:rFonts w:ascii="宋体" w:hAnsi="宋体"/>
          <w:sz w:val="24"/>
        </w:rPr>
        <w:t>43</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"_Toc474770923" </w:instrText>
      </w:r>
      <w:r>
        <w:fldChar w:fldCharType="separate"/>
      </w:r>
      <w:r>
        <w:rPr>
          <w:rStyle w:val="53"/>
          <w:rFonts w:hint="eastAsia" w:ascii="宋体" w:hAnsi="宋体"/>
          <w:color w:val="auto"/>
          <w:sz w:val="24"/>
        </w:rPr>
        <w:t>五、供应商的资格证明材料</w:t>
      </w:r>
      <w:r>
        <w:rPr>
          <w:rFonts w:ascii="宋体" w:hAnsi="宋体"/>
          <w:sz w:val="24"/>
        </w:rPr>
        <w:tab/>
      </w:r>
      <w:r>
        <w:rPr>
          <w:rFonts w:ascii="宋体" w:hAnsi="宋体"/>
          <w:sz w:val="24"/>
        </w:rPr>
        <w:fldChar w:fldCharType="begin"/>
      </w:r>
      <w:r>
        <w:rPr>
          <w:rFonts w:ascii="宋体" w:hAnsi="宋体"/>
          <w:sz w:val="24"/>
        </w:rPr>
        <w:instrText xml:space="preserve"> PAGEREF _Toc474770923 \h </w:instrText>
      </w:r>
      <w:r>
        <w:rPr>
          <w:rFonts w:ascii="宋体" w:hAnsi="宋体"/>
          <w:sz w:val="24"/>
        </w:rPr>
        <w:fldChar w:fldCharType="separate"/>
      </w:r>
      <w:r>
        <w:rPr>
          <w:rFonts w:ascii="宋体" w:hAnsi="宋体"/>
          <w:sz w:val="24"/>
        </w:rPr>
        <w:t>47</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"_Toc474770924" </w:instrText>
      </w:r>
      <w:r>
        <w:fldChar w:fldCharType="separate"/>
      </w:r>
      <w:r>
        <w:rPr>
          <w:rStyle w:val="53"/>
          <w:rFonts w:hint="eastAsia" w:ascii="宋体" w:hAnsi="宋体"/>
          <w:color w:val="auto"/>
          <w:sz w:val="24"/>
        </w:rPr>
        <w:t>六、货物说明</w:t>
      </w:r>
      <w:r>
        <w:rPr>
          <w:rFonts w:ascii="宋体" w:hAnsi="宋体"/>
          <w:sz w:val="24"/>
        </w:rPr>
        <w:tab/>
      </w:r>
      <w:r>
        <w:rPr>
          <w:rFonts w:ascii="宋体" w:hAnsi="宋体"/>
          <w:sz w:val="24"/>
        </w:rPr>
        <w:fldChar w:fldCharType="begin"/>
      </w:r>
      <w:r>
        <w:rPr>
          <w:rFonts w:ascii="宋体" w:hAnsi="宋体"/>
          <w:sz w:val="24"/>
        </w:rPr>
        <w:instrText xml:space="preserve"> PAGEREF _Toc474770924 \h </w:instrText>
      </w:r>
      <w:r>
        <w:rPr>
          <w:rFonts w:ascii="宋体" w:hAnsi="宋体"/>
          <w:sz w:val="24"/>
        </w:rPr>
        <w:fldChar w:fldCharType="separate"/>
      </w:r>
      <w:r>
        <w:rPr>
          <w:rFonts w:ascii="宋体" w:hAnsi="宋体"/>
          <w:sz w:val="24"/>
        </w:rPr>
        <w:t>55</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"_Toc474770925" </w:instrText>
      </w:r>
      <w:r>
        <w:fldChar w:fldCharType="separate"/>
      </w:r>
      <w:r>
        <w:rPr>
          <w:rStyle w:val="53"/>
          <w:rFonts w:hint="eastAsia" w:ascii="宋体" w:hAnsi="宋体"/>
          <w:color w:val="auto"/>
          <w:sz w:val="24"/>
        </w:rPr>
        <w:t>七、实施方案</w:t>
      </w:r>
      <w:r>
        <w:rPr>
          <w:rFonts w:ascii="宋体" w:hAnsi="宋体"/>
          <w:sz w:val="24"/>
        </w:rPr>
        <w:tab/>
      </w:r>
      <w:r>
        <w:rPr>
          <w:rFonts w:ascii="宋体" w:hAnsi="宋体"/>
          <w:sz w:val="24"/>
        </w:rPr>
        <w:fldChar w:fldCharType="begin"/>
      </w:r>
      <w:r>
        <w:rPr>
          <w:rFonts w:ascii="宋体" w:hAnsi="宋体"/>
          <w:sz w:val="24"/>
        </w:rPr>
        <w:instrText xml:space="preserve"> PAGEREF _Toc474770925 \h </w:instrText>
      </w:r>
      <w:r>
        <w:rPr>
          <w:rFonts w:ascii="宋体" w:hAnsi="宋体"/>
          <w:sz w:val="24"/>
        </w:rPr>
        <w:fldChar w:fldCharType="separate"/>
      </w:r>
      <w:r>
        <w:rPr>
          <w:rFonts w:ascii="宋体" w:hAnsi="宋体"/>
          <w:sz w:val="24"/>
        </w:rPr>
        <w:t>57</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"_Toc474770926" </w:instrText>
      </w:r>
      <w:r>
        <w:fldChar w:fldCharType="separate"/>
      </w:r>
      <w:r>
        <w:rPr>
          <w:rStyle w:val="53"/>
          <w:rFonts w:hint="eastAsia" w:ascii="宋体" w:hAnsi="宋体"/>
          <w:color w:val="auto"/>
          <w:sz w:val="24"/>
        </w:rPr>
        <w:t>八、商务响应</w:t>
      </w:r>
      <w:r>
        <w:rPr>
          <w:rStyle w:val="53"/>
          <w:rFonts w:ascii="宋体" w:hAnsi="宋体"/>
          <w:color w:val="auto"/>
          <w:sz w:val="24"/>
        </w:rPr>
        <w:t>/</w:t>
      </w:r>
      <w:r>
        <w:rPr>
          <w:rStyle w:val="53"/>
          <w:rFonts w:hint="eastAsia" w:ascii="宋体" w:hAnsi="宋体"/>
          <w:color w:val="auto"/>
          <w:sz w:val="24"/>
        </w:rPr>
        <w:t>偏离表</w:t>
      </w:r>
      <w:r>
        <w:rPr>
          <w:rFonts w:ascii="宋体" w:hAnsi="宋体"/>
          <w:sz w:val="24"/>
        </w:rPr>
        <w:tab/>
      </w:r>
      <w:r>
        <w:rPr>
          <w:rFonts w:ascii="宋体" w:hAnsi="宋体"/>
          <w:sz w:val="24"/>
        </w:rPr>
        <w:fldChar w:fldCharType="begin"/>
      </w:r>
      <w:r>
        <w:rPr>
          <w:rFonts w:ascii="宋体" w:hAnsi="宋体"/>
          <w:sz w:val="24"/>
        </w:rPr>
        <w:instrText xml:space="preserve"> PAGEREF _Toc474770926 \h </w:instrText>
      </w:r>
      <w:r>
        <w:rPr>
          <w:rFonts w:ascii="宋体" w:hAnsi="宋体"/>
          <w:sz w:val="24"/>
        </w:rPr>
        <w:fldChar w:fldCharType="separate"/>
      </w:r>
      <w:r>
        <w:rPr>
          <w:rFonts w:ascii="宋体" w:hAnsi="宋体"/>
          <w:sz w:val="24"/>
        </w:rPr>
        <w:t>60</w:t>
      </w:r>
      <w:r>
        <w:rPr>
          <w:rFonts w:ascii="宋体" w:hAnsi="宋体"/>
          <w:sz w:val="24"/>
        </w:rPr>
        <w:fldChar w:fldCharType="end"/>
      </w:r>
      <w:r>
        <w:rPr>
          <w:rFonts w:ascii="宋体" w:hAnsi="宋体"/>
          <w:sz w:val="24"/>
        </w:rPr>
        <w:fldChar w:fldCharType="end"/>
      </w:r>
    </w:p>
    <w:p>
      <w:pPr>
        <w:pStyle w:val="37"/>
        <w:tabs>
          <w:tab w:val="right" w:leader="dot" w:pos="8302"/>
        </w:tabs>
        <w:spacing w:line="360" w:lineRule="auto"/>
        <w:ind w:left="420"/>
        <w:rPr>
          <w:rFonts w:ascii="宋体" w:hAnsi="宋体"/>
          <w:sz w:val="24"/>
        </w:rPr>
      </w:pPr>
      <w:r>
        <w:fldChar w:fldCharType="begin"/>
      </w:r>
      <w:r>
        <w:instrText xml:space="preserve"> HYPERLINK \l "_Toc474770927" </w:instrText>
      </w:r>
      <w:r>
        <w:fldChar w:fldCharType="separate"/>
      </w:r>
      <w:r>
        <w:rPr>
          <w:rStyle w:val="53"/>
          <w:rFonts w:hint="eastAsia" w:ascii="宋体" w:hAnsi="宋体"/>
          <w:color w:val="auto"/>
          <w:sz w:val="24"/>
        </w:rPr>
        <w:t>九、供应商认为需要提供的其它</w:t>
      </w:r>
      <w:bookmarkStart w:id="12" w:name="_Hlt9441885"/>
      <w:r>
        <w:rPr>
          <w:rStyle w:val="53"/>
          <w:rFonts w:hint="eastAsia" w:ascii="宋体" w:hAnsi="宋体"/>
          <w:color w:val="auto"/>
          <w:sz w:val="24"/>
        </w:rPr>
        <w:t>资</w:t>
      </w:r>
      <w:bookmarkEnd w:id="12"/>
      <w:r>
        <w:rPr>
          <w:rStyle w:val="53"/>
          <w:rFonts w:hint="eastAsia" w:ascii="宋体" w:hAnsi="宋体"/>
          <w:color w:val="auto"/>
          <w:sz w:val="24"/>
        </w:rPr>
        <w:t>料</w:t>
      </w:r>
      <w:r>
        <w:rPr>
          <w:rFonts w:ascii="宋体" w:hAnsi="宋体"/>
          <w:sz w:val="24"/>
        </w:rPr>
        <w:tab/>
      </w:r>
      <w:r>
        <w:rPr>
          <w:rFonts w:ascii="宋体" w:hAnsi="宋体"/>
          <w:sz w:val="24"/>
        </w:rPr>
        <w:fldChar w:fldCharType="begin"/>
      </w:r>
      <w:r>
        <w:rPr>
          <w:rFonts w:ascii="宋体" w:hAnsi="宋体"/>
          <w:sz w:val="24"/>
        </w:rPr>
        <w:instrText xml:space="preserve"> PAGEREF _Toc474770927 \h </w:instrText>
      </w:r>
      <w:r>
        <w:rPr>
          <w:rFonts w:ascii="宋体" w:hAnsi="宋体"/>
          <w:sz w:val="24"/>
        </w:rPr>
        <w:fldChar w:fldCharType="separate"/>
      </w:r>
      <w:r>
        <w:rPr>
          <w:rFonts w:ascii="宋体" w:hAnsi="宋体"/>
          <w:sz w:val="24"/>
        </w:rPr>
        <w:t>61</w:t>
      </w:r>
      <w:r>
        <w:rPr>
          <w:rFonts w:ascii="宋体" w:hAnsi="宋体"/>
          <w:sz w:val="24"/>
        </w:rPr>
        <w:fldChar w:fldCharType="end"/>
      </w:r>
      <w:r>
        <w:rPr>
          <w:rFonts w:ascii="宋体" w:hAnsi="宋体"/>
          <w:sz w:val="24"/>
        </w:rPr>
        <w:fldChar w:fldCharType="end"/>
      </w:r>
    </w:p>
    <w:p>
      <w:pPr>
        <w:spacing w:line="360" w:lineRule="auto"/>
        <w:jc w:val="center"/>
        <w:rPr>
          <w:rFonts w:ascii="宋体" w:hAnsi="宋体"/>
          <w:szCs w:val="21"/>
        </w:rPr>
      </w:pPr>
      <w:r>
        <w:rPr>
          <w:rFonts w:ascii="宋体" w:hAnsi="宋体"/>
          <w:sz w:val="24"/>
        </w:rPr>
        <w:fldChar w:fldCharType="end"/>
      </w:r>
      <w:bookmarkStart w:id="13" w:name="_Toc474770902"/>
      <w:bookmarkStart w:id="14" w:name="_Toc433113174"/>
    </w:p>
    <w:p>
      <w:pPr>
        <w:spacing w:line="360" w:lineRule="auto"/>
        <w:jc w:val="center"/>
        <w:rPr>
          <w:rFonts w:ascii="宋体" w:hAnsi="宋体"/>
          <w:b/>
          <w:bCs/>
          <w:sz w:val="28"/>
          <w:szCs w:val="20"/>
        </w:rPr>
      </w:pPr>
      <w:r>
        <w:rPr>
          <w:rFonts w:ascii="宋体" w:hAnsi="宋体"/>
          <w:szCs w:val="21"/>
        </w:rPr>
        <w:br w:type="page"/>
      </w:r>
      <w:r>
        <w:rPr>
          <w:rFonts w:hint="eastAsia" w:ascii="宋体" w:hAnsi="宋体"/>
          <w:b/>
          <w:bCs/>
          <w:sz w:val="28"/>
          <w:szCs w:val="20"/>
        </w:rPr>
        <w:t>第一</w:t>
      </w:r>
      <w:r>
        <w:rPr>
          <w:rFonts w:ascii="宋体" w:hAnsi="宋体"/>
          <w:b/>
          <w:bCs/>
          <w:sz w:val="28"/>
          <w:szCs w:val="20"/>
        </w:rPr>
        <w:t xml:space="preserve">章  </w:t>
      </w:r>
      <w:r>
        <w:rPr>
          <w:rFonts w:hint="eastAsia" w:ascii="宋体" w:hAnsi="宋体"/>
          <w:b/>
          <w:bCs/>
          <w:sz w:val="28"/>
          <w:szCs w:val="20"/>
        </w:rPr>
        <w:t>竞争性磋商公告</w:t>
      </w:r>
      <w:bookmarkEnd w:id="1"/>
      <w:bookmarkEnd w:id="2"/>
      <w:bookmarkEnd w:id="3"/>
      <w:bookmarkEnd w:id="4"/>
      <w:bookmarkEnd w:id="13"/>
      <w:bookmarkEnd w:id="14"/>
    </w:p>
    <w:p>
      <w:pPr>
        <w:pBdr>
          <w:top w:val="single" w:color="auto" w:sz="4" w:space="1"/>
          <w:left w:val="single" w:color="auto" w:sz="4" w:space="4"/>
          <w:bottom w:val="single" w:color="auto" w:sz="4" w:space="1"/>
          <w:right w:val="single" w:color="auto" w:sz="4" w:space="4"/>
        </w:pBdr>
        <w:spacing w:line="360" w:lineRule="auto"/>
        <w:ind w:firstLine="480" w:firstLineChars="200"/>
        <w:jc w:val="center"/>
        <w:rPr>
          <w:rFonts w:ascii="宋体" w:hAnsi="宋体"/>
          <w:sz w:val="24"/>
        </w:rPr>
      </w:pPr>
      <w:bookmarkStart w:id="15" w:name="_Toc420948006"/>
      <w:bookmarkStart w:id="16" w:name="_Toc433113175"/>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u w:val="single"/>
          <w:lang w:eastAsia="zh-CN"/>
        </w:rPr>
        <w:t>某单位</w:t>
      </w:r>
      <w:r>
        <w:rPr>
          <w:rFonts w:hint="eastAsia" w:ascii="宋体" w:hAnsi="宋体"/>
          <w:sz w:val="24"/>
          <w:u w:val="single"/>
          <w:lang w:val="en-US" w:eastAsia="zh-CN"/>
        </w:rPr>
        <w:t>资产管理软件及相关设备采购</w:t>
      </w:r>
      <w:r>
        <w:rPr>
          <w:rFonts w:hint="eastAsia" w:ascii="宋体" w:hAnsi="宋体"/>
          <w:sz w:val="24"/>
          <w:u w:val="single"/>
          <w:lang w:eastAsia="zh-CN"/>
        </w:rPr>
        <w:t>项目</w:t>
      </w:r>
      <w:r>
        <w:rPr>
          <w:rFonts w:hint="eastAsia" w:ascii="宋体" w:hAnsi="宋体"/>
          <w:sz w:val="24"/>
        </w:rPr>
        <w:t>的潜在供应商应在</w:t>
      </w:r>
      <w:r>
        <w:rPr>
          <w:rFonts w:hint="eastAsia" w:ascii="宋体" w:hAnsi="宋体"/>
          <w:sz w:val="24"/>
          <w:u w:val="single"/>
        </w:rPr>
        <w:t>政采云平台（https://www.zcygov.cn/）</w:t>
      </w:r>
      <w:r>
        <w:rPr>
          <w:rFonts w:hint="eastAsia" w:ascii="宋体" w:hAnsi="宋体"/>
          <w:sz w:val="24"/>
        </w:rPr>
        <w:t>获取采购文件，并于</w:t>
      </w:r>
      <w:r>
        <w:rPr>
          <w:rFonts w:ascii="宋体" w:hAnsi="宋体"/>
          <w:sz w:val="24"/>
          <w:u w:val="single"/>
        </w:rPr>
        <w:t xml:space="preserve"> </w:t>
      </w:r>
      <w:r>
        <w:rPr>
          <w:rFonts w:hint="eastAsia" w:ascii="宋体" w:hAnsi="宋体"/>
          <w:sz w:val="24"/>
          <w:u w:val="single"/>
        </w:rPr>
        <w:t>2023年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25</w:t>
      </w:r>
      <w:r>
        <w:rPr>
          <w:rFonts w:hint="eastAsia" w:ascii="宋体" w:hAnsi="宋体"/>
          <w:sz w:val="24"/>
          <w:u w:val="single"/>
        </w:rPr>
        <w:t>日11点00分</w:t>
      </w:r>
      <w:r>
        <w:rPr>
          <w:rFonts w:hint="eastAsia" w:ascii="宋体" w:hAnsi="宋体"/>
          <w:bCs/>
          <w:sz w:val="24"/>
          <w:u w:val="single"/>
        </w:rPr>
        <w:t>（</w:t>
      </w:r>
      <w:r>
        <w:rPr>
          <w:rFonts w:hint="eastAsia" w:ascii="宋体" w:hAnsi="宋体"/>
          <w:bCs/>
          <w:sz w:val="24"/>
        </w:rPr>
        <w:t>北京时间）前提交响应</w:t>
      </w:r>
      <w:r>
        <w:rPr>
          <w:rFonts w:ascii="宋体" w:hAnsi="宋体"/>
          <w:bCs/>
          <w:sz w:val="24"/>
        </w:rPr>
        <w:t>文件</w:t>
      </w:r>
      <w:r>
        <w:rPr>
          <w:rFonts w:hint="eastAsia" w:ascii="宋体" w:hAnsi="宋体"/>
          <w:sz w:val="24"/>
        </w:rPr>
        <w:t>。</w:t>
      </w:r>
    </w:p>
    <w:p>
      <w:pPr>
        <w:pStyle w:val="3"/>
        <w:rPr>
          <w:rFonts w:ascii="宋体" w:hAnsi="宋体" w:cs="宋体"/>
          <w:b w:val="0"/>
          <w:szCs w:val="24"/>
        </w:rPr>
      </w:pPr>
      <w:bookmarkStart w:id="17" w:name="_Toc28359002"/>
      <w:bookmarkStart w:id="18" w:name="_Toc35393621"/>
      <w:bookmarkStart w:id="19" w:name="_Toc28359079"/>
      <w:bookmarkStart w:id="20" w:name="_Toc35393790"/>
      <w:bookmarkStart w:id="21" w:name="_Hlk24379207"/>
      <w:r>
        <w:rPr>
          <w:rFonts w:hint="eastAsia" w:ascii="宋体" w:hAnsi="宋体" w:cs="宋体"/>
          <w:b w:val="0"/>
          <w:szCs w:val="24"/>
        </w:rPr>
        <w:t>一、项目基本情况</w:t>
      </w:r>
      <w:bookmarkEnd w:id="17"/>
      <w:bookmarkEnd w:id="18"/>
      <w:bookmarkEnd w:id="19"/>
      <w:bookmarkEnd w:id="20"/>
    </w:p>
    <w:p>
      <w:pPr>
        <w:spacing w:line="360" w:lineRule="auto"/>
        <w:ind w:firstLine="480" w:firstLineChars="200"/>
        <w:rPr>
          <w:rFonts w:ascii="宋体" w:hAnsi="宋体"/>
          <w:sz w:val="24"/>
        </w:rPr>
      </w:pPr>
      <w:r>
        <w:rPr>
          <w:rFonts w:hint="eastAsia" w:ascii="宋体" w:hAnsi="宋体"/>
          <w:sz w:val="24"/>
        </w:rPr>
        <w:t>项目编号：</w:t>
      </w:r>
      <w:r>
        <w:rPr>
          <w:rFonts w:hint="eastAsia" w:ascii="宋体" w:hAnsi="宋体"/>
          <w:sz w:val="24"/>
          <w:lang w:val="en-US" w:eastAsia="zh-CN"/>
        </w:rPr>
        <w:t>XJRF-2023-045</w:t>
      </w:r>
    </w:p>
    <w:p>
      <w:pPr>
        <w:spacing w:line="360" w:lineRule="auto"/>
        <w:ind w:firstLine="480" w:firstLineChars="20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某单位</w:t>
      </w:r>
      <w:r>
        <w:rPr>
          <w:rFonts w:hint="eastAsia" w:ascii="宋体" w:hAnsi="宋体"/>
          <w:sz w:val="24"/>
          <w:lang w:val="en-US" w:eastAsia="zh-CN"/>
        </w:rPr>
        <w:t>资产管理软件及相关设备采购</w:t>
      </w:r>
      <w:r>
        <w:rPr>
          <w:rFonts w:hint="eastAsia" w:ascii="宋体" w:hAnsi="宋体"/>
          <w:sz w:val="24"/>
          <w:lang w:eastAsia="zh-CN"/>
        </w:rPr>
        <w:t>项目</w:t>
      </w:r>
    </w:p>
    <w:p>
      <w:pPr>
        <w:spacing w:line="360" w:lineRule="auto"/>
        <w:ind w:firstLine="480" w:firstLineChars="200"/>
        <w:rPr>
          <w:rFonts w:ascii="宋体" w:hAnsi="宋体"/>
          <w:sz w:val="24"/>
        </w:rPr>
      </w:pPr>
      <w:r>
        <w:rPr>
          <w:rFonts w:hint="eastAsia" w:ascii="宋体" w:hAnsi="宋体"/>
          <w:sz w:val="24"/>
        </w:rPr>
        <w:t>采购方式：竞争性磋商</w:t>
      </w:r>
    </w:p>
    <w:bookmarkEnd w:id="21"/>
    <w:p>
      <w:pPr>
        <w:spacing w:line="360" w:lineRule="auto"/>
        <w:ind w:firstLine="480" w:firstLineChars="200"/>
        <w:rPr>
          <w:rFonts w:hint="default" w:ascii="宋体" w:hAnsi="宋体" w:eastAsia="宋体"/>
          <w:sz w:val="24"/>
          <w:lang w:val="en-US" w:eastAsia="zh-CN"/>
        </w:rPr>
      </w:pPr>
      <w:r>
        <w:rPr>
          <w:rFonts w:hint="eastAsia" w:ascii="宋体" w:hAnsi="宋体"/>
          <w:sz w:val="24"/>
        </w:rPr>
        <w:t>预算金额：</w:t>
      </w:r>
      <w:r>
        <w:rPr>
          <w:rFonts w:hint="eastAsia" w:ascii="宋体" w:hAnsi="宋体"/>
          <w:sz w:val="24"/>
          <w:lang w:val="en-US" w:eastAsia="zh-CN"/>
        </w:rPr>
        <w:t>70万元</w:t>
      </w:r>
    </w:p>
    <w:p>
      <w:pPr>
        <w:spacing w:line="360" w:lineRule="auto"/>
        <w:ind w:firstLine="480" w:firstLineChars="200"/>
        <w:rPr>
          <w:rFonts w:hint="default" w:ascii="宋体" w:hAnsi="宋体" w:eastAsia="宋体"/>
          <w:sz w:val="24"/>
          <w:lang w:val="en-US" w:eastAsia="zh-CN"/>
        </w:rPr>
      </w:pPr>
      <w:r>
        <w:rPr>
          <w:rFonts w:hint="eastAsia" w:ascii="宋体" w:hAnsi="宋体"/>
          <w:sz w:val="24"/>
        </w:rPr>
        <w:t xml:space="preserve">采购需求： </w:t>
      </w:r>
      <w:r>
        <w:rPr>
          <w:rFonts w:hint="eastAsia" w:ascii="宋体" w:hAnsi="宋体"/>
          <w:sz w:val="24"/>
          <w:lang w:val="en-US" w:eastAsia="zh-CN"/>
        </w:rPr>
        <w:t>详见第四章</w:t>
      </w:r>
    </w:p>
    <w:p>
      <w:pPr>
        <w:spacing w:line="360" w:lineRule="auto"/>
        <w:ind w:firstLine="480" w:firstLineChars="200"/>
        <w:rPr>
          <w:rFonts w:ascii="宋体" w:hAnsi="宋体"/>
          <w:sz w:val="24"/>
        </w:rPr>
      </w:pPr>
      <w:r>
        <w:rPr>
          <w:rFonts w:hint="eastAsia" w:ascii="宋体" w:hAnsi="宋体"/>
          <w:sz w:val="24"/>
        </w:rPr>
        <w:t>合同履行期限：</w:t>
      </w:r>
      <w:r>
        <w:rPr>
          <w:rFonts w:hint="eastAsia" w:ascii="宋体" w:hAnsi="宋体"/>
          <w:szCs w:val="21"/>
          <w:highlight w:val="none"/>
          <w:u w:val="none"/>
          <w:lang w:val="en-US" w:eastAsia="zh-CN"/>
        </w:rPr>
        <w:t>软件符合需求功能验收合格后1年</w:t>
      </w:r>
    </w:p>
    <w:p>
      <w:pPr>
        <w:pStyle w:val="3"/>
        <w:rPr>
          <w:rFonts w:ascii="宋体" w:hAnsi="宋体" w:cs="宋体"/>
          <w:b w:val="0"/>
          <w:szCs w:val="24"/>
        </w:rPr>
      </w:pPr>
      <w:bookmarkStart w:id="22" w:name="_Toc28359090"/>
      <w:bookmarkStart w:id="23" w:name="_Toc28359013"/>
      <w:bookmarkStart w:id="24" w:name="_Toc35393799"/>
      <w:bookmarkStart w:id="25" w:name="_Toc35393630"/>
      <w:r>
        <w:rPr>
          <w:rFonts w:hint="eastAsia" w:ascii="宋体" w:hAnsi="宋体" w:cs="宋体"/>
          <w:b w:val="0"/>
          <w:szCs w:val="24"/>
        </w:rPr>
        <w:t>二、申请人的资格要求：</w:t>
      </w:r>
      <w:bookmarkEnd w:id="22"/>
      <w:bookmarkEnd w:id="23"/>
      <w:bookmarkEnd w:id="24"/>
      <w:bookmarkEnd w:id="25"/>
    </w:p>
    <w:p>
      <w:pPr>
        <w:spacing w:line="360" w:lineRule="auto"/>
        <w:ind w:firstLine="480" w:firstLineChars="200"/>
        <w:rPr>
          <w:rFonts w:ascii="宋体" w:hAnsi="宋体"/>
          <w:sz w:val="24"/>
          <w:highlight w:val="none"/>
        </w:rPr>
      </w:pPr>
      <w:r>
        <w:rPr>
          <w:rFonts w:hint="eastAsia" w:ascii="宋体" w:hAnsi="宋体"/>
          <w:sz w:val="24"/>
        </w:rPr>
        <w:t>1. 满足《中华人民共和国政府采购法》第二十二条规定：</w:t>
      </w:r>
      <w:r>
        <w:rPr>
          <w:rFonts w:hint="eastAsia" w:ascii="宋体" w:hAnsi="宋体"/>
          <w:sz w:val="24"/>
          <w:u w:val="single"/>
        </w:rPr>
        <w:t>（1）有效的营业执照、（2）提供上年度（2022年度）经审计财务会计报告，或基本开户银行出具的资信证明、（3）提供投标截止时间前半年内任意一个月的依法缴纳税收证明、（4）提供投标截止时间前半年内任意一个月的社保缴纳证明、（5）提供无重大违法记录声明书；</w:t>
      </w:r>
    </w:p>
    <w:p>
      <w:pPr>
        <w:adjustRightInd w:val="0"/>
        <w:snapToGrid w:val="0"/>
        <w:spacing w:line="320" w:lineRule="exact"/>
        <w:rPr>
          <w:rFonts w:ascii="宋体" w:hAnsi="宋体"/>
          <w:szCs w:val="21"/>
          <w:highlight w:val="none"/>
        </w:rPr>
      </w:pPr>
      <w:bookmarkStart w:id="26" w:name="_Toc28359091"/>
      <w:bookmarkStart w:id="27" w:name="_Toc28359014"/>
      <w:r>
        <w:rPr>
          <w:rFonts w:ascii="宋体" w:hAnsi="宋体"/>
          <w:sz w:val="24"/>
          <w:highlight w:val="none"/>
        </w:rPr>
        <w:t>2</w:t>
      </w:r>
      <w:r>
        <w:rPr>
          <w:rFonts w:hint="eastAsia" w:ascii="宋体" w:hAnsi="宋体"/>
          <w:sz w:val="24"/>
          <w:highlight w:val="none"/>
        </w:rPr>
        <w:t>.落实政府采购政策需满足的资格要求：</w:t>
      </w:r>
      <w:r>
        <w:rPr>
          <w:rFonts w:hint="eastAsia" w:ascii="宋体" w:hAnsi="宋体"/>
          <w:sz w:val="24"/>
          <w:szCs w:val="21"/>
          <w:highlight w:val="none"/>
          <w:u w:val="single"/>
        </w:rPr>
        <w:t>本项目为</w:t>
      </w:r>
      <w:r>
        <w:rPr>
          <w:rFonts w:hint="eastAsia" w:ascii="宋体" w:hAnsi="宋体"/>
          <w:sz w:val="24"/>
          <w:szCs w:val="21"/>
          <w:highlight w:val="none"/>
          <w:u w:val="single"/>
          <w:lang w:val="en-US" w:eastAsia="zh-CN"/>
        </w:rPr>
        <w:t>非</w:t>
      </w:r>
      <w:r>
        <w:rPr>
          <w:rFonts w:hint="eastAsia" w:ascii="宋体" w:hAnsi="宋体"/>
          <w:sz w:val="24"/>
          <w:szCs w:val="21"/>
          <w:highlight w:val="none"/>
          <w:u w:val="single"/>
        </w:rPr>
        <w:t>专门面向中小企业采购的项目</w:t>
      </w:r>
      <w:r>
        <w:rPr>
          <w:rFonts w:hint="eastAsia" w:ascii="宋体" w:hAnsi="宋体"/>
          <w:sz w:val="24"/>
          <w:szCs w:val="21"/>
          <w:highlight w:val="none"/>
          <w:u w:val="single"/>
          <w:lang w:eastAsia="zh-CN"/>
        </w:rPr>
        <w:t>，</w:t>
      </w:r>
      <w:r>
        <w:rPr>
          <w:rFonts w:hint="eastAsia" w:ascii="宋体" w:hAnsi="宋体"/>
          <w:szCs w:val="21"/>
          <w:highlight w:val="none"/>
          <w:u w:val="single"/>
          <w:lang w:val="en-US" w:eastAsia="zh-CN"/>
        </w:rPr>
        <w:t>对符合规定的中小微企业报价给予10%的价格优惠</w:t>
      </w:r>
      <w:r>
        <w:rPr>
          <w:rFonts w:hint="eastAsia" w:ascii="宋体" w:hAnsi="宋体"/>
          <w:szCs w:val="21"/>
          <w:highlight w:val="none"/>
          <w:u w:val="single"/>
        </w:rPr>
        <w:t>；</w:t>
      </w:r>
    </w:p>
    <w:p>
      <w:pPr>
        <w:spacing w:line="360" w:lineRule="auto"/>
        <w:ind w:firstLine="480" w:firstLineChars="200"/>
        <w:rPr>
          <w:rFonts w:ascii="宋体" w:hAnsi="宋体"/>
          <w:sz w:val="24"/>
          <w:u w:val="single"/>
        </w:rPr>
      </w:pPr>
      <w:r>
        <w:rPr>
          <w:rFonts w:hint="eastAsia" w:ascii="宋体" w:hAnsi="宋体"/>
          <w:sz w:val="24"/>
        </w:rPr>
        <w:t>3.本项目的其他资格要求：</w:t>
      </w:r>
      <w:r>
        <w:rPr>
          <w:rFonts w:hint="eastAsia" w:ascii="宋体" w:hAnsi="宋体"/>
          <w:sz w:val="24"/>
          <w:u w:val="single"/>
        </w:rPr>
        <w:t>（1）受托为本采购项目整体或其中分项目的前期工作提供了整体设计、规范编制、或者项目管理、监理、检测等服务的供应商（投标人），不得参加本项目整体或相关分项目的投标；（</w:t>
      </w:r>
      <w:r>
        <w:rPr>
          <w:rFonts w:ascii="宋体" w:hAnsi="宋体"/>
          <w:sz w:val="24"/>
          <w:u w:val="single"/>
        </w:rPr>
        <w:t>2</w:t>
      </w:r>
      <w:r>
        <w:rPr>
          <w:rFonts w:hint="eastAsia" w:ascii="宋体" w:hAnsi="宋体"/>
          <w:sz w:val="24"/>
          <w:u w:val="single"/>
        </w:rPr>
        <w:t>）单位负责人为同一人或者存在直接控股、管理关系的不同投标人不得参加本项目同一包的投标；（</w:t>
      </w:r>
      <w:r>
        <w:rPr>
          <w:rFonts w:ascii="宋体" w:hAnsi="宋体"/>
          <w:sz w:val="24"/>
          <w:u w:val="single"/>
        </w:rPr>
        <w:t>3</w:t>
      </w:r>
      <w:r>
        <w:rPr>
          <w:rFonts w:hint="eastAsia" w:ascii="宋体" w:hAnsi="宋体"/>
          <w:sz w:val="24"/>
          <w:u w:val="single"/>
        </w:rPr>
        <w:t>）对列入失信被执行人、税收、政府采购、环境保护、知识产权等领域严重失信行为的主体将拒绝其参与本项目。</w:t>
      </w:r>
    </w:p>
    <w:bookmarkEnd w:id="26"/>
    <w:bookmarkEnd w:id="27"/>
    <w:p>
      <w:pPr>
        <w:pStyle w:val="3"/>
        <w:rPr>
          <w:rFonts w:ascii="宋体" w:hAnsi="宋体" w:cs="宋体"/>
          <w:b w:val="0"/>
          <w:szCs w:val="24"/>
        </w:rPr>
      </w:pPr>
      <w:bookmarkStart w:id="28" w:name="_Toc35393800"/>
      <w:bookmarkStart w:id="29" w:name="_Toc133163442"/>
      <w:bookmarkStart w:id="30" w:name="_Toc35393631"/>
      <w:r>
        <w:rPr>
          <w:rFonts w:hint="eastAsia" w:ascii="宋体" w:hAnsi="宋体" w:cs="宋体"/>
          <w:b w:val="0"/>
          <w:szCs w:val="24"/>
        </w:rPr>
        <w:t>三、获取采购文件</w:t>
      </w:r>
      <w:bookmarkEnd w:id="28"/>
      <w:bookmarkEnd w:id="29"/>
      <w:bookmarkEnd w:id="30"/>
    </w:p>
    <w:p>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u w:val="single"/>
        </w:rPr>
        <w:t>202</w:t>
      </w:r>
      <w:r>
        <w:rPr>
          <w:rFonts w:ascii="宋体" w:hAnsi="宋体" w:cs="宋体"/>
          <w:sz w:val="24"/>
          <w:u w:val="single"/>
        </w:rPr>
        <w:t>3</w:t>
      </w:r>
      <w:r>
        <w:rPr>
          <w:rFonts w:hint="eastAsia" w:ascii="宋体" w:hAnsi="宋体" w:cs="宋体"/>
          <w:sz w:val="24"/>
          <w:u w:val="single"/>
        </w:rPr>
        <w:t>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13</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w:t>
      </w:r>
      <w:r>
        <w:rPr>
          <w:rFonts w:ascii="宋体" w:hAnsi="宋体" w:cs="宋体"/>
          <w:sz w:val="24"/>
          <w:u w:val="single"/>
        </w:rPr>
        <w:t>3</w:t>
      </w:r>
      <w:r>
        <w:rPr>
          <w:rFonts w:hint="eastAsia" w:ascii="宋体" w:hAnsi="宋体" w:cs="宋体"/>
          <w:sz w:val="24"/>
          <w:u w:val="single"/>
        </w:rPr>
        <w:t>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rPr>
        <w:t>，每天上午</w:t>
      </w:r>
      <w:r>
        <w:rPr>
          <w:rFonts w:hint="eastAsia" w:ascii="宋体" w:hAnsi="宋体" w:cs="宋体"/>
          <w:sz w:val="24"/>
          <w:u w:val="single"/>
        </w:rPr>
        <w:t>10:00</w:t>
      </w:r>
      <w:r>
        <w:rPr>
          <w:rFonts w:hint="eastAsia" w:ascii="宋体" w:hAnsi="宋体" w:cs="宋体"/>
          <w:sz w:val="24"/>
        </w:rPr>
        <w:t>至</w:t>
      </w:r>
      <w:r>
        <w:rPr>
          <w:rFonts w:hint="eastAsia" w:ascii="宋体" w:hAnsi="宋体" w:cs="宋体"/>
          <w:sz w:val="24"/>
          <w:u w:val="single"/>
        </w:rPr>
        <w:t>14:00</w:t>
      </w:r>
      <w:r>
        <w:rPr>
          <w:rFonts w:hint="eastAsia" w:ascii="宋体" w:hAnsi="宋体" w:cs="宋体"/>
          <w:sz w:val="24"/>
        </w:rPr>
        <w:t>，下午</w:t>
      </w:r>
      <w:r>
        <w:rPr>
          <w:rFonts w:hint="eastAsia" w:ascii="宋体" w:hAnsi="宋体" w:cs="宋体"/>
          <w:sz w:val="24"/>
          <w:u w:val="single"/>
        </w:rPr>
        <w:t>15:30</w:t>
      </w:r>
      <w:r>
        <w:rPr>
          <w:rFonts w:hint="eastAsia" w:ascii="宋体" w:hAnsi="宋体" w:cs="宋体"/>
          <w:sz w:val="24"/>
        </w:rPr>
        <w:t>至</w:t>
      </w:r>
      <w:r>
        <w:rPr>
          <w:rFonts w:hint="eastAsia" w:ascii="宋体" w:hAnsi="宋体" w:cs="宋体"/>
          <w:sz w:val="24"/>
          <w:u w:val="single"/>
        </w:rPr>
        <w:t>19:30</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 ）；</w:t>
      </w:r>
    </w:p>
    <w:p>
      <w:pPr>
        <w:spacing w:line="360" w:lineRule="auto"/>
        <w:ind w:firstLine="540"/>
        <w:rPr>
          <w:rFonts w:ascii="宋体" w:hAnsi="宋体" w:cs="宋体"/>
          <w:sz w:val="24"/>
        </w:rPr>
      </w:pPr>
      <w:r>
        <w:rPr>
          <w:rFonts w:hint="eastAsia" w:ascii="宋体" w:hAnsi="宋体" w:cs="宋体"/>
          <w:sz w:val="24"/>
        </w:rPr>
        <w:t>地点：政采云平台线上获取</w:t>
      </w:r>
    </w:p>
    <w:p>
      <w:pPr>
        <w:spacing w:line="360" w:lineRule="auto"/>
        <w:ind w:firstLine="540"/>
        <w:rPr>
          <w:rFonts w:ascii="宋体" w:hAnsi="宋体" w:cs="宋体"/>
          <w:sz w:val="24"/>
        </w:rPr>
      </w:pPr>
      <w:r>
        <w:rPr>
          <w:rFonts w:hint="eastAsia" w:ascii="宋体" w:hAnsi="宋体" w:cs="宋体"/>
          <w:sz w:val="24"/>
        </w:rPr>
        <w:t>方式：供应商登录政采云平台https://www.zcygov.cn/在线申请获取采购文件（进入“项目采购”应用，在获取采购文件菜单中选择项目，申请获取采购文件）</w:t>
      </w:r>
    </w:p>
    <w:p>
      <w:pPr>
        <w:spacing w:line="360" w:lineRule="auto"/>
        <w:ind w:firstLine="540"/>
        <w:rPr>
          <w:rFonts w:ascii="宋体" w:hAnsi="宋体" w:cs="宋体"/>
          <w:sz w:val="24"/>
        </w:rPr>
      </w:pPr>
      <w:r>
        <w:rPr>
          <w:rFonts w:hint="eastAsia" w:ascii="宋体" w:hAnsi="宋体" w:cs="宋体"/>
          <w:sz w:val="24"/>
        </w:rPr>
        <w:t>售价（元）：0.00。</w:t>
      </w:r>
    </w:p>
    <w:p>
      <w:pPr>
        <w:pStyle w:val="3"/>
        <w:rPr>
          <w:rFonts w:ascii="宋体" w:hAnsi="宋体" w:cs="宋体"/>
          <w:b w:val="0"/>
          <w:szCs w:val="24"/>
        </w:rPr>
      </w:pPr>
      <w:bookmarkStart w:id="31" w:name="_Toc133163443"/>
      <w:r>
        <w:rPr>
          <w:rFonts w:hint="eastAsia" w:ascii="宋体" w:hAnsi="宋体" w:cs="宋体"/>
          <w:b w:val="0"/>
          <w:szCs w:val="24"/>
        </w:rPr>
        <w:t>四、响应文件提交</w:t>
      </w:r>
      <w:bookmarkEnd w:id="31"/>
    </w:p>
    <w:p>
      <w:pPr>
        <w:spacing w:line="360" w:lineRule="auto"/>
        <w:ind w:firstLine="480" w:firstLineChars="200"/>
        <w:rPr>
          <w:rFonts w:ascii="宋体" w:hAnsi="宋体" w:cs="宋体"/>
          <w:bCs/>
          <w:sz w:val="24"/>
        </w:rPr>
      </w:pPr>
      <w:r>
        <w:rPr>
          <w:rFonts w:hint="eastAsia" w:ascii="宋体" w:hAnsi="宋体" w:cs="宋体"/>
          <w:bCs/>
          <w:sz w:val="24"/>
        </w:rPr>
        <w:t>截止时间：2023年</w:t>
      </w:r>
      <w:r>
        <w:rPr>
          <w:rFonts w:hint="eastAsia" w:ascii="宋体" w:hAnsi="宋体" w:cs="宋体"/>
          <w:bCs/>
          <w:sz w:val="24"/>
          <w:lang w:val="en-US" w:eastAsia="zh-CN"/>
        </w:rPr>
        <w:t>12</w:t>
      </w:r>
      <w:r>
        <w:rPr>
          <w:rFonts w:hint="eastAsia" w:ascii="宋体" w:hAnsi="宋体" w:cs="宋体"/>
          <w:bCs/>
          <w:sz w:val="24"/>
        </w:rPr>
        <w:t>月</w:t>
      </w:r>
      <w:r>
        <w:rPr>
          <w:rFonts w:hint="eastAsia" w:ascii="宋体" w:hAnsi="宋体" w:cs="宋体"/>
          <w:bCs/>
          <w:sz w:val="24"/>
          <w:lang w:val="en-US" w:eastAsia="zh-CN"/>
        </w:rPr>
        <w:t>25</w:t>
      </w:r>
      <w:r>
        <w:rPr>
          <w:rFonts w:hint="eastAsia" w:ascii="宋体" w:hAnsi="宋体" w:cs="宋体"/>
          <w:bCs/>
          <w:sz w:val="24"/>
        </w:rPr>
        <w:t>日 11:00（北京时间）</w:t>
      </w:r>
    </w:p>
    <w:p>
      <w:pPr>
        <w:spacing w:line="360" w:lineRule="auto"/>
        <w:ind w:firstLine="480" w:firstLineChars="200"/>
        <w:rPr>
          <w:rFonts w:ascii="宋体" w:hAnsi="宋体" w:cs="宋体"/>
          <w:bCs/>
          <w:sz w:val="24"/>
        </w:rPr>
      </w:pPr>
      <w:r>
        <w:rPr>
          <w:rFonts w:hint="eastAsia" w:ascii="宋体" w:hAnsi="宋体" w:cs="宋体"/>
          <w:bCs/>
          <w:sz w:val="24"/>
        </w:rPr>
        <w:t>地点：请登录政采云投标客户端投标</w:t>
      </w:r>
    </w:p>
    <w:p>
      <w:pPr>
        <w:pStyle w:val="3"/>
        <w:rPr>
          <w:rFonts w:ascii="宋体" w:hAnsi="宋体" w:cs="宋体"/>
          <w:b w:val="0"/>
          <w:szCs w:val="24"/>
        </w:rPr>
      </w:pPr>
      <w:bookmarkStart w:id="32" w:name="_Toc133163444"/>
      <w:r>
        <w:rPr>
          <w:rFonts w:hint="eastAsia" w:ascii="宋体" w:hAnsi="宋体" w:cs="宋体"/>
          <w:b w:val="0"/>
          <w:szCs w:val="24"/>
        </w:rPr>
        <w:t>五、响应文件开启</w:t>
      </w:r>
      <w:bookmarkEnd w:id="32"/>
    </w:p>
    <w:p>
      <w:pPr>
        <w:spacing w:line="360" w:lineRule="auto"/>
        <w:ind w:firstLine="480" w:firstLineChars="200"/>
        <w:rPr>
          <w:rFonts w:ascii="宋体" w:hAnsi="宋体" w:cs="宋体"/>
          <w:bCs/>
          <w:sz w:val="24"/>
        </w:rPr>
      </w:pPr>
      <w:r>
        <w:rPr>
          <w:rFonts w:hint="eastAsia" w:ascii="宋体" w:hAnsi="宋体" w:cs="宋体"/>
          <w:bCs/>
          <w:sz w:val="24"/>
        </w:rPr>
        <w:t>开启时间：2023年</w:t>
      </w:r>
      <w:r>
        <w:rPr>
          <w:rFonts w:hint="eastAsia" w:ascii="宋体" w:hAnsi="宋体" w:cs="宋体"/>
          <w:bCs/>
          <w:sz w:val="24"/>
          <w:lang w:val="en-US" w:eastAsia="zh-CN"/>
        </w:rPr>
        <w:t>12</w:t>
      </w:r>
      <w:r>
        <w:rPr>
          <w:rFonts w:hint="eastAsia" w:ascii="宋体" w:hAnsi="宋体" w:cs="宋体"/>
          <w:bCs/>
          <w:sz w:val="24"/>
        </w:rPr>
        <w:t>月</w:t>
      </w:r>
      <w:r>
        <w:rPr>
          <w:rFonts w:hint="eastAsia" w:ascii="宋体" w:hAnsi="宋体" w:cs="宋体"/>
          <w:bCs/>
          <w:sz w:val="24"/>
          <w:lang w:val="en-US" w:eastAsia="zh-CN"/>
        </w:rPr>
        <w:t>25</w:t>
      </w:r>
      <w:r>
        <w:rPr>
          <w:rFonts w:hint="eastAsia" w:ascii="宋体" w:hAnsi="宋体" w:cs="宋体"/>
          <w:bCs/>
          <w:sz w:val="24"/>
        </w:rPr>
        <w:t>日 1</w:t>
      </w:r>
      <w:r>
        <w:rPr>
          <w:rFonts w:ascii="宋体" w:hAnsi="宋体" w:cs="宋体"/>
          <w:bCs/>
          <w:sz w:val="24"/>
        </w:rPr>
        <w:t>1</w:t>
      </w:r>
      <w:r>
        <w:rPr>
          <w:rFonts w:hint="eastAsia" w:ascii="宋体" w:hAnsi="宋体" w:cs="宋体"/>
          <w:bCs/>
          <w:sz w:val="24"/>
        </w:rPr>
        <w:t>:</w:t>
      </w:r>
      <w:r>
        <w:rPr>
          <w:rFonts w:ascii="宋体" w:hAnsi="宋体" w:cs="宋体"/>
          <w:bCs/>
          <w:sz w:val="24"/>
        </w:rPr>
        <w:t>0</w:t>
      </w:r>
      <w:r>
        <w:rPr>
          <w:rFonts w:hint="eastAsia" w:ascii="宋体" w:hAnsi="宋体" w:cs="宋体"/>
          <w:bCs/>
          <w:sz w:val="24"/>
        </w:rPr>
        <w:t>0 （北京时间）</w:t>
      </w:r>
    </w:p>
    <w:p>
      <w:pPr>
        <w:spacing w:line="360" w:lineRule="auto"/>
        <w:ind w:firstLine="480" w:firstLineChars="200"/>
        <w:rPr>
          <w:rFonts w:ascii="宋体" w:hAnsi="宋体" w:cs="宋体"/>
          <w:bCs/>
          <w:sz w:val="24"/>
        </w:rPr>
      </w:pPr>
      <w:r>
        <w:rPr>
          <w:rFonts w:hint="eastAsia" w:ascii="宋体" w:hAnsi="宋体" w:cs="宋体"/>
          <w:bCs/>
          <w:sz w:val="24"/>
        </w:rPr>
        <w:t>地点：政采云平台</w:t>
      </w:r>
    </w:p>
    <w:p>
      <w:pPr>
        <w:pStyle w:val="3"/>
        <w:rPr>
          <w:rFonts w:ascii="宋体" w:hAnsi="宋体" w:cs="宋体"/>
          <w:b w:val="0"/>
          <w:szCs w:val="24"/>
        </w:rPr>
      </w:pPr>
      <w:bookmarkStart w:id="33" w:name="_Toc133163445"/>
      <w:r>
        <w:rPr>
          <w:rFonts w:hint="eastAsia" w:ascii="宋体" w:hAnsi="宋体" w:cs="宋体"/>
          <w:b w:val="0"/>
          <w:szCs w:val="24"/>
        </w:rPr>
        <w:t>六、公告期限</w:t>
      </w:r>
      <w:bookmarkEnd w:id="33"/>
    </w:p>
    <w:p>
      <w:pPr>
        <w:spacing w:line="360" w:lineRule="auto"/>
        <w:ind w:firstLine="480" w:firstLineChars="200"/>
        <w:rPr>
          <w:rFonts w:ascii="宋体" w:hAnsi="宋体" w:cs="宋体"/>
          <w:bCs/>
          <w:sz w:val="24"/>
        </w:rPr>
      </w:pPr>
      <w:r>
        <w:rPr>
          <w:rFonts w:hint="eastAsia" w:ascii="宋体" w:hAnsi="宋体" w:cs="宋体"/>
          <w:bCs/>
          <w:sz w:val="24"/>
        </w:rPr>
        <w:t>自本公告发布之日起3个工作日。</w:t>
      </w:r>
    </w:p>
    <w:p>
      <w:pPr>
        <w:pStyle w:val="3"/>
        <w:rPr>
          <w:rFonts w:ascii="宋体" w:hAnsi="宋体" w:cs="宋体"/>
          <w:b w:val="0"/>
          <w:szCs w:val="24"/>
        </w:rPr>
      </w:pPr>
      <w:bookmarkStart w:id="34" w:name="_Toc133163446"/>
      <w:r>
        <w:rPr>
          <w:rFonts w:hint="eastAsia" w:ascii="宋体" w:hAnsi="宋体" w:cs="宋体"/>
          <w:b w:val="0"/>
          <w:szCs w:val="24"/>
        </w:rPr>
        <w:t>七、其他补充事宜</w:t>
      </w:r>
      <w:bookmarkEnd w:id="34"/>
    </w:p>
    <w:p>
      <w:pPr>
        <w:spacing w:line="360" w:lineRule="auto"/>
        <w:ind w:firstLine="480" w:firstLineChars="200"/>
        <w:rPr>
          <w:rFonts w:ascii="宋体" w:hAnsi="宋体" w:cs="宋体"/>
          <w:bCs/>
          <w:sz w:val="24"/>
        </w:rPr>
      </w:pPr>
      <w:r>
        <w:rPr>
          <w:rFonts w:hint="eastAsia" w:ascii="宋体" w:hAnsi="宋体" w:cs="宋体"/>
          <w:bCs/>
          <w:sz w:val="24"/>
        </w:rPr>
        <w:t>1、本项目实行网上投标，采用电子响应文件；</w:t>
      </w:r>
    </w:p>
    <w:p>
      <w:pPr>
        <w:spacing w:line="360" w:lineRule="auto"/>
        <w:ind w:firstLine="480" w:firstLineChars="200"/>
        <w:rPr>
          <w:rFonts w:ascii="宋体" w:hAnsi="宋体" w:cs="宋体"/>
          <w:bCs/>
          <w:sz w:val="24"/>
        </w:rPr>
      </w:pPr>
      <w:r>
        <w:rPr>
          <w:rFonts w:hint="eastAsia" w:ascii="宋体" w:hAnsi="宋体" w:cs="宋体"/>
          <w:bCs/>
          <w:sz w:val="24"/>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spacing w:line="360" w:lineRule="auto"/>
        <w:ind w:firstLine="480" w:firstLineChars="200"/>
        <w:rPr>
          <w:rFonts w:ascii="宋体" w:hAnsi="宋体" w:cs="宋体"/>
          <w:bCs/>
          <w:sz w:val="24"/>
        </w:rPr>
      </w:pPr>
      <w:r>
        <w:rPr>
          <w:rFonts w:hint="eastAsia" w:ascii="宋体" w:hAnsi="宋体" w:cs="宋体"/>
          <w:bCs/>
          <w:sz w:val="24"/>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ind w:firstLine="480" w:firstLineChars="200"/>
        <w:rPr>
          <w:rFonts w:ascii="宋体" w:hAnsi="宋体" w:cs="宋体"/>
          <w:bCs/>
          <w:sz w:val="24"/>
        </w:rPr>
      </w:pPr>
      <w:r>
        <w:rPr>
          <w:rFonts w:hint="eastAsia" w:ascii="宋体" w:hAnsi="宋体" w:cs="宋体"/>
          <w:bCs/>
          <w:sz w:val="24"/>
        </w:rPr>
        <w:t>4、供应商应当在磋商截止时间前，将生成的“电子加密响应文件”上传递交至“政府采购云平台”，磋商截止时间以后上传递交的响应文件将被“政府采购云平台”拒收。</w:t>
      </w:r>
    </w:p>
    <w:p>
      <w:pPr>
        <w:spacing w:line="360" w:lineRule="auto"/>
        <w:ind w:firstLine="480" w:firstLineChars="200"/>
        <w:rPr>
          <w:rFonts w:ascii="宋体" w:hAnsi="宋体" w:cs="宋体"/>
          <w:bCs/>
          <w:sz w:val="24"/>
        </w:rPr>
      </w:pPr>
      <w:r>
        <w:rPr>
          <w:rFonts w:hint="eastAsia" w:ascii="宋体" w:hAnsi="宋体" w:cs="宋体"/>
          <w:bCs/>
          <w:sz w:val="24"/>
        </w:rPr>
        <w:t>5、供应商在磋商前须提前配置好电脑浏览器（建议使用360 浏览器或谷歌浏览器），磋商时请使用制作加密电子响应文件的CA锁进行解密及报价确认。本项目响应文件解密时间定为30分钟内，如因自身原因导致无法正常解密，后果由供应商自行承担。</w:t>
      </w:r>
    </w:p>
    <w:p>
      <w:pPr>
        <w:spacing w:line="360" w:lineRule="auto"/>
        <w:ind w:firstLine="480" w:firstLineChars="200"/>
        <w:rPr>
          <w:rFonts w:ascii="宋体" w:hAnsi="宋体" w:cs="宋体"/>
          <w:bCs/>
          <w:sz w:val="24"/>
        </w:rPr>
      </w:pPr>
      <w:r>
        <w:rPr>
          <w:rFonts w:hint="eastAsia" w:ascii="宋体" w:hAnsi="宋体" w:cs="宋体"/>
          <w:bCs/>
          <w:sz w:val="24"/>
        </w:rPr>
        <w:t xml:space="preserve">6、供应商登录政采云平台，在磋商时间后30分钟内用“项目采购-开标评标”功能进行解密响应文件。若供应商在规定时间内（未按时解密的，视为无效磋商。解密与加密响应文件须使用同一个 CA。  </w:t>
      </w:r>
    </w:p>
    <w:p>
      <w:pPr>
        <w:spacing w:line="360" w:lineRule="auto"/>
        <w:ind w:firstLine="480" w:firstLineChars="200"/>
        <w:rPr>
          <w:rFonts w:ascii="宋体" w:hAnsi="宋体" w:cs="宋体"/>
          <w:bCs/>
          <w:sz w:val="24"/>
        </w:rPr>
      </w:pPr>
    </w:p>
    <w:p>
      <w:pPr>
        <w:pStyle w:val="3"/>
        <w:rPr>
          <w:rFonts w:ascii="宋体" w:hAnsi="宋体" w:cs="宋体"/>
        </w:rPr>
      </w:pPr>
      <w:bookmarkStart w:id="35" w:name="_Toc133163447"/>
      <w:r>
        <w:rPr>
          <w:rFonts w:hint="eastAsia" w:ascii="宋体" w:hAnsi="宋体" w:cs="宋体"/>
          <w:b w:val="0"/>
        </w:rPr>
        <w:t>八、对本次招标提出询问，请按以下方式联系</w:t>
      </w:r>
      <w:r>
        <w:rPr>
          <w:rFonts w:hint="eastAsia" w:ascii="宋体" w:hAnsi="宋体" w:cs="宋体"/>
        </w:rPr>
        <w:t>。</w:t>
      </w:r>
      <w:bookmarkEnd w:id="35"/>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lang w:val="en-US" w:eastAsia="zh-CN"/>
        </w:rPr>
        <w:t>采购人</w:t>
      </w:r>
      <w:r>
        <w:rPr>
          <w:rFonts w:hint="eastAsia" w:ascii="宋体" w:hAnsi="宋体" w:cs="宋体"/>
          <w:bCs/>
          <w:sz w:val="24"/>
        </w:rPr>
        <w:t>名称：</w:t>
      </w:r>
      <w:r>
        <w:rPr>
          <w:rFonts w:hint="eastAsia" w:ascii="宋体" w:hAnsi="宋体" w:cs="宋体"/>
          <w:bCs/>
          <w:sz w:val="24"/>
          <w:lang w:val="en-US" w:eastAsia="zh-CN"/>
        </w:rPr>
        <w:t>某单位</w:t>
      </w:r>
    </w:p>
    <w:p>
      <w:pPr>
        <w:spacing w:line="360" w:lineRule="auto"/>
        <w:ind w:firstLine="480" w:firstLineChars="200"/>
        <w:rPr>
          <w:rFonts w:ascii="宋体" w:hAnsi="宋体" w:cs="宋体"/>
          <w:bCs/>
          <w:sz w:val="24"/>
        </w:rPr>
      </w:pPr>
      <w:r>
        <w:rPr>
          <w:rFonts w:hint="eastAsia" w:ascii="宋体" w:hAnsi="宋体" w:cs="宋体"/>
          <w:bCs/>
          <w:sz w:val="24"/>
        </w:rPr>
        <w:t>地址：乌鲁木齐市新市区西环北路2221号</w:t>
      </w:r>
    </w:p>
    <w:p>
      <w:pPr>
        <w:spacing w:line="360" w:lineRule="auto"/>
        <w:ind w:firstLine="480" w:firstLineChars="200"/>
        <w:rPr>
          <w:rFonts w:ascii="宋体" w:hAnsi="宋体" w:cs="宋体"/>
          <w:bCs/>
          <w:sz w:val="24"/>
        </w:rPr>
      </w:pPr>
      <w:r>
        <w:rPr>
          <w:rFonts w:hint="eastAsia" w:ascii="宋体" w:hAnsi="宋体" w:cs="宋体"/>
          <w:bCs/>
          <w:sz w:val="24"/>
        </w:rPr>
        <w:t>项目联系人：</w:t>
      </w:r>
      <w:r>
        <w:rPr>
          <w:rFonts w:hint="eastAsia" w:ascii="宋体" w:hAnsi="宋体" w:cs="宋体"/>
          <w:bCs/>
          <w:sz w:val="24"/>
          <w:lang w:val="en-US" w:eastAsia="zh-CN"/>
        </w:rPr>
        <w:t>牟老师</w:t>
      </w:r>
      <w:r>
        <w:rPr>
          <w:rFonts w:hint="eastAsia" w:ascii="宋体" w:hAnsi="宋体" w:cs="宋体"/>
          <w:bCs/>
          <w:sz w:val="24"/>
        </w:rPr>
        <w:t xml:space="preserve"> </w:t>
      </w:r>
    </w:p>
    <w:p>
      <w:pPr>
        <w:spacing w:line="360" w:lineRule="auto"/>
        <w:ind w:firstLine="480" w:firstLineChars="200"/>
        <w:rPr>
          <w:rFonts w:hint="default" w:ascii="宋体" w:hAnsi="宋体" w:eastAsia="宋体" w:cs="宋体"/>
          <w:bCs/>
          <w:sz w:val="24"/>
          <w:lang w:val="en-US" w:eastAsia="zh-CN"/>
        </w:rPr>
      </w:pPr>
      <w:r>
        <w:rPr>
          <w:rFonts w:hint="eastAsia" w:ascii="宋体" w:hAnsi="宋体" w:cs="宋体"/>
          <w:bCs/>
          <w:sz w:val="24"/>
          <w:lang w:val="en-US" w:eastAsia="zh-CN"/>
        </w:rPr>
        <w:t>联系</w:t>
      </w:r>
      <w:r>
        <w:rPr>
          <w:rFonts w:hint="eastAsia" w:ascii="宋体" w:hAnsi="宋体" w:cs="宋体"/>
          <w:bCs/>
          <w:sz w:val="24"/>
        </w:rPr>
        <w:t>电话：</w:t>
      </w:r>
      <w:r>
        <w:rPr>
          <w:rFonts w:hint="eastAsia" w:ascii="宋体" w:hAnsi="宋体" w:cs="宋体"/>
          <w:bCs/>
          <w:sz w:val="24"/>
          <w:lang w:val="en-US" w:eastAsia="zh-CN"/>
        </w:rPr>
        <w:t>2384898</w:t>
      </w:r>
    </w:p>
    <w:p>
      <w:pPr>
        <w:spacing w:line="360" w:lineRule="auto"/>
        <w:ind w:firstLine="480" w:firstLineChars="200"/>
        <w:rPr>
          <w:rFonts w:ascii="宋体" w:hAnsi="宋体" w:cs="宋体"/>
          <w:bCs/>
          <w:sz w:val="24"/>
        </w:rPr>
      </w:pPr>
      <w:r>
        <w:rPr>
          <w:rFonts w:hint="eastAsia" w:ascii="宋体" w:hAnsi="宋体" w:cs="宋体"/>
          <w:bCs/>
          <w:sz w:val="24"/>
        </w:rPr>
        <w:t>采购代理机构信息</w:t>
      </w:r>
    </w:p>
    <w:p>
      <w:pPr>
        <w:spacing w:line="360" w:lineRule="auto"/>
        <w:ind w:firstLine="480" w:firstLineChars="200"/>
        <w:rPr>
          <w:rFonts w:ascii="宋体" w:hAnsi="宋体" w:cs="宋体"/>
          <w:bCs/>
          <w:sz w:val="24"/>
        </w:rPr>
      </w:pPr>
      <w:r>
        <w:rPr>
          <w:rFonts w:hint="eastAsia" w:ascii="宋体" w:hAnsi="宋体" w:cs="宋体"/>
          <w:bCs/>
          <w:sz w:val="24"/>
        </w:rPr>
        <w:t>名称：新疆若梵项目管理有限公司</w:t>
      </w:r>
    </w:p>
    <w:p>
      <w:pPr>
        <w:spacing w:line="360" w:lineRule="auto"/>
        <w:ind w:firstLine="480" w:firstLineChars="200"/>
        <w:rPr>
          <w:rFonts w:ascii="宋体" w:hAnsi="宋体" w:cs="宋体"/>
          <w:bCs/>
          <w:sz w:val="24"/>
        </w:rPr>
      </w:pPr>
      <w:r>
        <w:rPr>
          <w:rFonts w:hint="eastAsia" w:ascii="宋体" w:hAnsi="宋体" w:cs="宋体"/>
          <w:bCs/>
          <w:sz w:val="24"/>
        </w:rPr>
        <w:t>地址：新疆乌鲁木齐经济技术开发区（头屯河区）阿里山街299号办公楼1栋8层</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联系方式：0991-3774424、</w:t>
      </w:r>
      <w:r>
        <w:rPr>
          <w:rFonts w:hint="eastAsia" w:ascii="宋体" w:hAnsi="宋体" w:cs="宋体"/>
          <w:bCs/>
          <w:sz w:val="24"/>
          <w:lang w:eastAsia="zh-CN"/>
        </w:rPr>
        <w:t>18399678626</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ind w:firstLine="720" w:firstLineChars="300"/>
        <w:rPr>
          <w:rFonts w:ascii="宋体" w:hAnsi="宋体"/>
          <w:sz w:val="24"/>
          <w:u w:val="single"/>
        </w:rPr>
      </w:pPr>
    </w:p>
    <w:p>
      <w:pPr>
        <w:adjustRightInd w:val="0"/>
        <w:snapToGrid w:val="0"/>
        <w:spacing w:line="360" w:lineRule="auto"/>
        <w:ind w:firstLine="562" w:firstLineChars="200"/>
        <w:jc w:val="center"/>
        <w:rPr>
          <w:rFonts w:ascii="宋体" w:hAnsi="宋体"/>
          <w:szCs w:val="21"/>
        </w:rPr>
      </w:pPr>
      <w:bookmarkStart w:id="36" w:name="_Toc474770903"/>
      <w:r>
        <w:rPr>
          <w:rFonts w:ascii="宋体" w:hAnsi="宋体"/>
          <w:b/>
          <w:bCs/>
          <w:sz w:val="28"/>
          <w:szCs w:val="20"/>
        </w:rPr>
        <w:br w:type="page"/>
      </w:r>
      <w:r>
        <w:rPr>
          <w:rFonts w:hint="eastAsia" w:ascii="宋体" w:hAnsi="宋体"/>
          <w:b/>
          <w:bCs/>
          <w:sz w:val="28"/>
          <w:szCs w:val="20"/>
        </w:rPr>
        <w:t>第二章  磋商须知</w:t>
      </w:r>
      <w:bookmarkEnd w:id="15"/>
      <w:bookmarkEnd w:id="16"/>
      <w:bookmarkEnd w:id="36"/>
    </w:p>
    <w:p>
      <w:pPr>
        <w:pStyle w:val="3"/>
        <w:rPr>
          <w:rFonts w:ascii="宋体" w:hAnsi="宋体"/>
        </w:rPr>
      </w:pPr>
      <w:bookmarkStart w:id="37" w:name="_Toc474770904"/>
      <w:r>
        <w:rPr>
          <w:rFonts w:hint="eastAsia" w:ascii="宋体" w:hAnsi="宋体"/>
        </w:rPr>
        <w:t>磋商须知前附表</w:t>
      </w:r>
      <w:bookmarkEnd w:id="37"/>
    </w:p>
    <w:tbl>
      <w:tblPr>
        <w:tblStyle w:val="44"/>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778"/>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069" w:type="dxa"/>
            <w:vAlign w:val="center"/>
          </w:tcPr>
          <w:p>
            <w:pPr>
              <w:adjustRightInd w:val="0"/>
              <w:snapToGrid w:val="0"/>
              <w:spacing w:line="320" w:lineRule="exact"/>
              <w:jc w:val="center"/>
              <w:rPr>
                <w:rFonts w:ascii="宋体" w:hAnsi="宋体"/>
                <w:b/>
                <w:szCs w:val="21"/>
              </w:rPr>
            </w:pPr>
            <w:r>
              <w:rPr>
                <w:rFonts w:hint="eastAsia" w:ascii="宋体" w:hAnsi="宋体"/>
                <w:b/>
                <w:szCs w:val="21"/>
              </w:rPr>
              <w:t>条款号</w:t>
            </w:r>
          </w:p>
        </w:tc>
        <w:tc>
          <w:tcPr>
            <w:tcW w:w="2778" w:type="dxa"/>
            <w:vAlign w:val="center"/>
          </w:tcPr>
          <w:p>
            <w:pPr>
              <w:adjustRightInd w:val="0"/>
              <w:snapToGrid w:val="0"/>
              <w:spacing w:line="320" w:lineRule="exact"/>
              <w:jc w:val="center"/>
              <w:rPr>
                <w:rFonts w:ascii="宋体" w:hAnsi="宋体"/>
                <w:b/>
                <w:szCs w:val="21"/>
              </w:rPr>
            </w:pPr>
            <w:r>
              <w:rPr>
                <w:rFonts w:hint="eastAsia" w:ascii="宋体" w:hAnsi="宋体"/>
                <w:b/>
                <w:szCs w:val="21"/>
              </w:rPr>
              <w:t>条款名称</w:t>
            </w:r>
          </w:p>
        </w:tc>
        <w:tc>
          <w:tcPr>
            <w:tcW w:w="4242" w:type="dxa"/>
            <w:vAlign w:val="center"/>
          </w:tcPr>
          <w:p>
            <w:pPr>
              <w:adjustRightInd w:val="0"/>
              <w:snapToGrid w:val="0"/>
              <w:spacing w:line="320" w:lineRule="exact"/>
              <w:jc w:val="center"/>
              <w:rPr>
                <w:rFonts w:ascii="宋体" w:hAnsi="宋体"/>
                <w:b/>
                <w:szCs w:val="21"/>
              </w:rPr>
            </w:pPr>
            <w:r>
              <w:rPr>
                <w:rFonts w:hint="eastAsia" w:ascii="宋体" w:hAnsi="宋体"/>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vAlign w:val="center"/>
          </w:tcPr>
          <w:p>
            <w:pPr>
              <w:adjustRightInd w:val="0"/>
              <w:snapToGrid w:val="0"/>
              <w:spacing w:line="320" w:lineRule="exact"/>
              <w:rPr>
                <w:rFonts w:ascii="宋体" w:hAnsi="宋体"/>
                <w:szCs w:val="21"/>
              </w:rPr>
            </w:pPr>
            <w:r>
              <w:rPr>
                <w:rFonts w:hint="eastAsia" w:ascii="宋体" w:hAnsi="宋体"/>
                <w:b/>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项目名称</w:t>
            </w:r>
          </w:p>
        </w:tc>
        <w:tc>
          <w:tcPr>
            <w:tcW w:w="4242" w:type="dxa"/>
            <w:vAlign w:val="center"/>
          </w:tcPr>
          <w:p>
            <w:pPr>
              <w:adjustRightInd w:val="0"/>
              <w:snapToGrid w:val="0"/>
              <w:spacing w:line="320" w:lineRule="exact"/>
              <w:rPr>
                <w:rFonts w:ascii="宋体" w:hAnsi="宋体"/>
                <w:szCs w:val="21"/>
              </w:rPr>
            </w:pPr>
            <w:r>
              <w:rPr>
                <w:rFonts w:hint="eastAsia" w:ascii="宋体" w:hAnsi="宋体"/>
                <w:sz w:val="24"/>
                <w:lang w:eastAsia="zh-CN"/>
              </w:rPr>
              <w:t>某单位</w:t>
            </w:r>
            <w:r>
              <w:rPr>
                <w:rFonts w:hint="eastAsia" w:ascii="宋体" w:hAnsi="宋体"/>
                <w:sz w:val="24"/>
                <w:lang w:val="en-US" w:eastAsia="zh-CN"/>
              </w:rPr>
              <w:t>资产管理软件及相关设备采购</w:t>
            </w:r>
            <w:r>
              <w:rPr>
                <w:rFonts w:hint="eastAsia" w:ascii="宋体" w:hAnsi="宋体"/>
                <w:sz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第二章第1.2款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采购内容</w:t>
            </w:r>
          </w:p>
        </w:tc>
        <w:tc>
          <w:tcPr>
            <w:tcW w:w="4242" w:type="dxa"/>
            <w:vAlign w:val="center"/>
          </w:tcPr>
          <w:p>
            <w:pPr>
              <w:spacing w:line="320" w:lineRule="exact"/>
              <w:jc w:val="left"/>
              <w:rPr>
                <w:rFonts w:ascii="宋体" w:hAnsi="宋体"/>
                <w:szCs w:val="21"/>
              </w:rPr>
            </w:pPr>
            <w:r>
              <w:rPr>
                <w:rFonts w:hint="eastAsia" w:ascii="宋体" w:hAnsi="宋体"/>
                <w:szCs w:val="21"/>
              </w:rPr>
              <w:t>资产管理</w:t>
            </w:r>
            <w:r>
              <w:rPr>
                <w:rFonts w:hint="eastAsia" w:ascii="宋体" w:hAnsi="宋体"/>
                <w:szCs w:val="21"/>
                <w:lang w:val="en-US" w:eastAsia="zh-CN"/>
              </w:rPr>
              <w:t>软件（</w:t>
            </w:r>
            <w:r>
              <w:rPr>
                <w:rFonts w:hint="eastAsia" w:ascii="宋体" w:hAnsi="宋体"/>
                <w:szCs w:val="21"/>
              </w:rPr>
              <w:t>实现资产卡片管理、使用管理、变动管理、资产台账</w:t>
            </w:r>
            <w:r>
              <w:rPr>
                <w:rFonts w:hint="eastAsia" w:ascii="宋体" w:hAnsi="宋体"/>
                <w:szCs w:val="21"/>
                <w:lang w:eastAsia="zh-CN"/>
              </w:rPr>
              <w:t>、</w:t>
            </w:r>
            <w:r>
              <w:rPr>
                <w:rFonts w:hint="eastAsia" w:ascii="宋体" w:hAnsi="宋体"/>
                <w:szCs w:val="21"/>
                <w:lang w:val="en-US" w:eastAsia="zh-CN"/>
              </w:rPr>
              <w:t>图片库</w:t>
            </w:r>
            <w:r>
              <w:rPr>
                <w:rFonts w:hint="eastAsia" w:ascii="宋体" w:hAnsi="宋体"/>
                <w:szCs w:val="21"/>
              </w:rPr>
              <w:t>等功能</w:t>
            </w:r>
            <w:r>
              <w:rPr>
                <w:rFonts w:hint="eastAsia" w:ascii="宋体" w:hAnsi="宋体"/>
                <w:szCs w:val="21"/>
                <w:lang w:eastAsia="zh-CN"/>
              </w:rPr>
              <w:t>）；</w:t>
            </w:r>
            <w:r>
              <w:rPr>
                <w:rFonts w:hint="eastAsia" w:ascii="宋体" w:hAnsi="宋体"/>
                <w:szCs w:val="21"/>
                <w:lang w:val="en-US" w:eastAsia="zh-CN"/>
              </w:rPr>
              <w:t>配套中间件及硬件设备。卡片模板内容符合</w:t>
            </w:r>
            <w:r>
              <w:rPr>
                <w:rFonts w:hint="eastAsia" w:ascii="宋体" w:hAnsi="宋体"/>
                <w:szCs w:val="21"/>
              </w:rPr>
              <w:t>自治区机关事务管理平台资产管理系统</w:t>
            </w:r>
            <w:r>
              <w:rPr>
                <w:rFonts w:hint="eastAsia" w:ascii="宋体" w:hAnsi="宋体"/>
                <w:szCs w:val="21"/>
                <w:lang w:val="en-US" w:eastAsia="zh-CN"/>
              </w:rPr>
              <w:t>和自治区财政厅资产系统导入导出模板内容。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第二章第1.3款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采购方式</w:t>
            </w:r>
          </w:p>
        </w:tc>
        <w:tc>
          <w:tcPr>
            <w:tcW w:w="4242" w:type="dxa"/>
            <w:vAlign w:val="center"/>
          </w:tcPr>
          <w:p>
            <w:pPr>
              <w:spacing w:line="320" w:lineRule="exact"/>
              <w:jc w:val="left"/>
              <w:rPr>
                <w:rFonts w:ascii="宋体" w:hAnsi="宋体"/>
                <w:szCs w:val="21"/>
              </w:rPr>
            </w:pPr>
            <w:r>
              <w:rPr>
                <w:rFonts w:hint="eastAsia" w:ascii="宋体" w:hAnsi="宋体" w:cs="宋体"/>
                <w:kern w:val="0"/>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第二章第1.4款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项目地点</w:t>
            </w:r>
          </w:p>
        </w:tc>
        <w:tc>
          <w:tcPr>
            <w:tcW w:w="4242" w:type="dxa"/>
            <w:vAlign w:val="center"/>
          </w:tcPr>
          <w:p>
            <w:pPr>
              <w:spacing w:line="320" w:lineRule="exact"/>
              <w:jc w:val="left"/>
              <w:rPr>
                <w:rFonts w:ascii="宋体" w:hAnsi="宋体"/>
                <w:szCs w:val="21"/>
              </w:rPr>
            </w:pPr>
            <w:r>
              <w:rPr>
                <w:rFonts w:hint="eastAsia" w:ascii="宋体" w:hAnsi="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第二章第1.5款</w:t>
            </w:r>
          </w:p>
        </w:tc>
        <w:tc>
          <w:tcPr>
            <w:tcW w:w="2778" w:type="dxa"/>
            <w:vAlign w:val="center"/>
          </w:tcPr>
          <w:p>
            <w:pPr>
              <w:adjustRightInd w:val="0"/>
              <w:snapToGrid w:val="0"/>
              <w:spacing w:line="320" w:lineRule="exact"/>
              <w:rPr>
                <w:rFonts w:ascii="宋体" w:hAnsi="宋体"/>
                <w:szCs w:val="21"/>
                <w:highlight w:val="none"/>
              </w:rPr>
            </w:pPr>
            <w:r>
              <w:rPr>
                <w:rFonts w:hint="eastAsia" w:ascii="宋体" w:hAnsi="宋体"/>
                <w:szCs w:val="21"/>
                <w:highlight w:val="none"/>
              </w:rPr>
              <w:t>交货期</w:t>
            </w:r>
          </w:p>
        </w:tc>
        <w:tc>
          <w:tcPr>
            <w:tcW w:w="4242" w:type="dxa"/>
            <w:vAlign w:val="center"/>
          </w:tcPr>
          <w:p>
            <w:pPr>
              <w:spacing w:line="32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合同签订后15个工作日内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vAlign w:val="center"/>
          </w:tcPr>
          <w:p>
            <w:pPr>
              <w:adjustRightInd w:val="0"/>
              <w:snapToGrid w:val="0"/>
              <w:spacing w:line="320" w:lineRule="exact"/>
              <w:jc w:val="center"/>
              <w:rPr>
                <w:rFonts w:hint="eastAsia" w:ascii="宋体" w:hAnsi="宋体"/>
                <w:szCs w:val="21"/>
              </w:rPr>
            </w:pPr>
            <w:r>
              <w:rPr>
                <w:rFonts w:hint="eastAsia" w:ascii="宋体" w:hAnsi="宋体"/>
                <w:szCs w:val="21"/>
              </w:rPr>
              <w:t>第二章第1.</w:t>
            </w:r>
            <w:r>
              <w:rPr>
                <w:rFonts w:hint="eastAsia" w:ascii="宋体" w:hAnsi="宋体"/>
                <w:szCs w:val="21"/>
                <w:lang w:val="en-US" w:eastAsia="zh-CN"/>
              </w:rPr>
              <w:t>6</w:t>
            </w:r>
            <w:r>
              <w:rPr>
                <w:rFonts w:hint="eastAsia" w:ascii="宋体" w:hAnsi="宋体"/>
                <w:szCs w:val="21"/>
              </w:rPr>
              <w:t>款</w:t>
            </w:r>
          </w:p>
        </w:tc>
        <w:tc>
          <w:tcPr>
            <w:tcW w:w="2778" w:type="dxa"/>
            <w:vAlign w:val="center"/>
          </w:tcPr>
          <w:p>
            <w:pPr>
              <w:adjustRightInd w:val="0"/>
              <w:snapToGrid w:val="0"/>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合同履约期</w:t>
            </w:r>
          </w:p>
        </w:tc>
        <w:tc>
          <w:tcPr>
            <w:tcW w:w="4242" w:type="dxa"/>
            <w:vAlign w:val="center"/>
          </w:tcPr>
          <w:p>
            <w:pPr>
              <w:spacing w:line="400" w:lineRule="exact"/>
              <w:ind w:left="420" w:hanging="420"/>
              <w:rPr>
                <w:rFonts w:hint="default" w:ascii="宋体" w:hAnsi="宋体"/>
                <w:szCs w:val="21"/>
                <w:highlight w:val="none"/>
                <w:lang w:val="en-US"/>
              </w:rPr>
            </w:pPr>
            <w:r>
              <w:rPr>
                <w:rFonts w:hint="eastAsia" w:ascii="宋体" w:hAnsi="宋体"/>
                <w:szCs w:val="21"/>
                <w:highlight w:val="none"/>
                <w:u w:val="none"/>
                <w:lang w:val="en-US" w:eastAsia="zh-CN"/>
              </w:rPr>
              <w:t>软件符合需求功能验收合格后1年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第二章第2.1款</w:t>
            </w:r>
          </w:p>
        </w:tc>
        <w:tc>
          <w:tcPr>
            <w:tcW w:w="2778" w:type="dxa"/>
            <w:vAlign w:val="center"/>
          </w:tcPr>
          <w:p>
            <w:pPr>
              <w:adjustRightInd w:val="0"/>
              <w:snapToGrid w:val="0"/>
              <w:spacing w:line="400" w:lineRule="exact"/>
              <w:rPr>
                <w:rFonts w:ascii="宋体" w:hAnsi="宋体"/>
                <w:szCs w:val="21"/>
              </w:rPr>
            </w:pPr>
            <w:r>
              <w:rPr>
                <w:rFonts w:hint="eastAsia" w:ascii="宋体" w:hAnsi="宋体"/>
                <w:szCs w:val="21"/>
              </w:rPr>
              <w:t>采购人</w:t>
            </w:r>
          </w:p>
        </w:tc>
        <w:tc>
          <w:tcPr>
            <w:tcW w:w="4242" w:type="dxa"/>
            <w:vAlign w:val="center"/>
          </w:tcPr>
          <w:p>
            <w:pPr>
              <w:adjustRightInd w:val="0"/>
              <w:snapToGrid w:val="0"/>
              <w:spacing w:line="400" w:lineRule="exact"/>
              <w:rPr>
                <w:rFonts w:hint="eastAsia" w:ascii="宋体" w:hAnsi="宋体" w:eastAsia="宋体"/>
                <w:szCs w:val="21"/>
                <w:lang w:eastAsia="zh-CN"/>
              </w:rPr>
            </w:pPr>
            <w:r>
              <w:rPr>
                <w:rFonts w:hint="eastAsia" w:ascii="宋体" w:hAnsi="宋体"/>
                <w:szCs w:val="21"/>
              </w:rPr>
              <w:t>采购人：</w:t>
            </w:r>
            <w:r>
              <w:rPr>
                <w:rFonts w:hint="eastAsia" w:ascii="宋体" w:hAnsi="宋体"/>
                <w:szCs w:val="21"/>
                <w:lang w:val="en-US" w:eastAsia="zh-CN"/>
              </w:rPr>
              <w:t>某单位</w:t>
            </w:r>
          </w:p>
          <w:p>
            <w:pPr>
              <w:adjustRightInd w:val="0"/>
              <w:snapToGrid w:val="0"/>
              <w:spacing w:line="400" w:lineRule="exact"/>
              <w:rPr>
                <w:rFonts w:ascii="宋体" w:hAnsi="宋体"/>
                <w:szCs w:val="21"/>
              </w:rPr>
            </w:pPr>
            <w:r>
              <w:rPr>
                <w:rFonts w:hint="eastAsia" w:ascii="宋体" w:hAnsi="宋体"/>
                <w:szCs w:val="21"/>
              </w:rPr>
              <w:t>地址：乌鲁木齐市新市区西环北路2221号</w:t>
            </w:r>
          </w:p>
          <w:p>
            <w:pPr>
              <w:adjustRightInd w:val="0"/>
              <w:snapToGrid w:val="0"/>
              <w:spacing w:line="400" w:lineRule="exact"/>
              <w:rPr>
                <w:rFonts w:hint="eastAsia" w:ascii="宋体" w:hAnsi="宋体" w:eastAsia="宋体"/>
                <w:color w:val="000000"/>
                <w:szCs w:val="21"/>
                <w:lang w:eastAsia="zh-CN"/>
              </w:rPr>
            </w:pPr>
            <w:r>
              <w:rPr>
                <w:rFonts w:hint="eastAsia" w:ascii="宋体" w:hAnsi="宋体"/>
                <w:color w:val="000000"/>
                <w:szCs w:val="21"/>
              </w:rPr>
              <w:t>联系电话：</w:t>
            </w:r>
            <w:r>
              <w:rPr>
                <w:rFonts w:ascii="宋体" w:hAnsi="宋体"/>
                <w:color w:val="000000"/>
                <w:szCs w:val="21"/>
              </w:rPr>
              <w:t xml:space="preserve"> </w:t>
            </w:r>
            <w:r>
              <w:rPr>
                <w:rFonts w:hint="eastAsia" w:ascii="宋体" w:hAnsi="宋体"/>
                <w:color w:val="000000"/>
                <w:szCs w:val="21"/>
              </w:rPr>
              <w:t>0</w:t>
            </w:r>
            <w:r>
              <w:rPr>
                <w:rFonts w:ascii="宋体" w:hAnsi="宋体"/>
                <w:color w:val="000000"/>
                <w:szCs w:val="21"/>
              </w:rPr>
              <w:t>991-</w:t>
            </w:r>
            <w:r>
              <w:rPr>
                <w:rFonts w:hint="eastAsia" w:ascii="宋体" w:hAnsi="宋体"/>
                <w:color w:val="000000"/>
                <w:szCs w:val="21"/>
              </w:rPr>
              <w:t>238489</w:t>
            </w:r>
            <w:r>
              <w:rPr>
                <w:rFonts w:hint="eastAsia" w:ascii="宋体" w:hAnsi="宋体"/>
                <w:color w:val="000000"/>
                <w:szCs w:val="21"/>
                <w:lang w:val="en-US" w:eastAsia="zh-CN"/>
              </w:rPr>
              <w:t>8</w:t>
            </w:r>
          </w:p>
          <w:p>
            <w:pPr>
              <w:spacing w:line="400" w:lineRule="exact"/>
              <w:ind w:left="420" w:hanging="420"/>
              <w:rPr>
                <w:rFonts w:hint="eastAsia" w:ascii="宋体" w:hAnsi="宋体" w:eastAsia="宋体"/>
                <w:color w:val="000000"/>
                <w:szCs w:val="21"/>
                <w:lang w:eastAsia="zh-CN"/>
              </w:rPr>
            </w:pPr>
            <w:r>
              <w:rPr>
                <w:rFonts w:hint="eastAsia" w:ascii="宋体" w:hAnsi="宋体"/>
                <w:szCs w:val="21"/>
              </w:rPr>
              <w:t>联系人：牟</w:t>
            </w:r>
            <w:r>
              <w:rPr>
                <w:rFonts w:hint="eastAsia" w:ascii="宋体" w:hAnsi="宋体"/>
                <w:szCs w:val="21"/>
                <w:lang w:val="en-US" w:eastAsia="zh-CN"/>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第二章第2.2款</w:t>
            </w:r>
          </w:p>
        </w:tc>
        <w:tc>
          <w:tcPr>
            <w:tcW w:w="2778" w:type="dxa"/>
            <w:vAlign w:val="center"/>
          </w:tcPr>
          <w:p>
            <w:pPr>
              <w:adjustRightInd w:val="0"/>
              <w:snapToGrid w:val="0"/>
              <w:spacing w:line="400" w:lineRule="exact"/>
              <w:rPr>
                <w:rFonts w:ascii="宋体" w:hAnsi="宋体"/>
                <w:szCs w:val="21"/>
              </w:rPr>
            </w:pPr>
            <w:r>
              <w:rPr>
                <w:rFonts w:hint="eastAsia" w:ascii="宋体" w:hAnsi="宋体"/>
                <w:szCs w:val="21"/>
              </w:rPr>
              <w:t>采购代理机构</w:t>
            </w:r>
          </w:p>
        </w:tc>
        <w:tc>
          <w:tcPr>
            <w:tcW w:w="4242" w:type="dxa"/>
            <w:vAlign w:val="center"/>
          </w:tcPr>
          <w:p>
            <w:pPr>
              <w:adjustRightInd w:val="0"/>
              <w:snapToGrid w:val="0"/>
              <w:spacing w:line="400" w:lineRule="exact"/>
              <w:rPr>
                <w:rFonts w:ascii="宋体" w:hAnsi="宋体"/>
                <w:szCs w:val="21"/>
              </w:rPr>
            </w:pPr>
            <w:r>
              <w:rPr>
                <w:rFonts w:hint="eastAsia" w:ascii="宋体" w:hAnsi="宋体"/>
                <w:szCs w:val="21"/>
              </w:rPr>
              <w:t>名称：新疆若梵项目管理有限公司</w:t>
            </w:r>
          </w:p>
          <w:p>
            <w:pPr>
              <w:spacing w:line="400" w:lineRule="exact"/>
              <w:rPr>
                <w:rFonts w:ascii="宋体" w:hAnsi="宋体"/>
                <w:szCs w:val="21"/>
              </w:rPr>
            </w:pPr>
            <w:r>
              <w:rPr>
                <w:rFonts w:hint="eastAsia" w:ascii="宋体" w:hAnsi="宋体"/>
                <w:szCs w:val="21"/>
              </w:rPr>
              <w:t>地址：</w:t>
            </w:r>
            <w:r>
              <w:rPr>
                <w:rFonts w:hint="eastAsia" w:ascii="宋体" w:hAnsi="宋体" w:cs="宋体"/>
                <w:szCs w:val="21"/>
              </w:rPr>
              <w:t>新疆乌鲁木齐经济技术开发区（头屯河区）阿里山街299号办公楼1栋8层</w:t>
            </w:r>
          </w:p>
          <w:p>
            <w:pPr>
              <w:adjustRightInd w:val="0"/>
              <w:snapToGrid w:val="0"/>
              <w:spacing w:line="400" w:lineRule="exact"/>
              <w:rPr>
                <w:rFonts w:ascii="宋体" w:hAnsi="宋体"/>
                <w:szCs w:val="21"/>
              </w:rPr>
            </w:pPr>
            <w:r>
              <w:rPr>
                <w:rFonts w:hint="eastAsia" w:ascii="宋体" w:hAnsi="宋体"/>
                <w:szCs w:val="21"/>
              </w:rPr>
              <w:t>联系电话：</w:t>
            </w:r>
            <w:r>
              <w:rPr>
                <w:rFonts w:ascii="宋体" w:hAnsi="宋体"/>
                <w:szCs w:val="21"/>
              </w:rPr>
              <w:t xml:space="preserve"> </w:t>
            </w:r>
            <w:r>
              <w:rPr>
                <w:rFonts w:hint="eastAsia" w:ascii="宋体" w:hAnsi="宋体"/>
                <w:szCs w:val="21"/>
                <w:lang w:val="en-US" w:eastAsia="zh-CN"/>
              </w:rPr>
              <w:t>0991-3774424、18399678626</w:t>
            </w:r>
            <w:bookmarkStart w:id="96" w:name="_GoBack"/>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第二章第3.1款</w:t>
            </w:r>
          </w:p>
        </w:tc>
        <w:tc>
          <w:tcPr>
            <w:tcW w:w="2778" w:type="dxa"/>
            <w:vAlign w:val="center"/>
          </w:tcPr>
          <w:p>
            <w:pPr>
              <w:adjustRightInd w:val="0"/>
              <w:snapToGrid w:val="0"/>
              <w:spacing w:line="280" w:lineRule="exact"/>
              <w:rPr>
                <w:rFonts w:ascii="宋体" w:hAnsi="宋体"/>
                <w:szCs w:val="21"/>
              </w:rPr>
            </w:pPr>
            <w:r>
              <w:rPr>
                <w:rFonts w:hint="eastAsia" w:ascii="宋体" w:hAnsi="宋体"/>
                <w:bCs/>
                <w:szCs w:val="21"/>
              </w:rPr>
              <w:t>供应商</w:t>
            </w:r>
            <w:r>
              <w:rPr>
                <w:rFonts w:hint="eastAsia" w:ascii="宋体" w:hAnsi="宋体"/>
                <w:szCs w:val="21"/>
              </w:rPr>
              <w:t>资格条件</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1. 满足《中华人民共和国政府采购法》第二十二条规定：（1）有效的营业执照、（2）提供上年度（2022年度）财务会计报告，或基本开户银行出具的资信证明、（3）提供投标截止时间前半年内任意一个月的依法缴纳税收证明、（4）提供投标截止时间前半年内任意一个月的社保缴纳证明、（5）提供无重大违法记录声明书；</w:t>
            </w:r>
          </w:p>
          <w:p>
            <w:pPr>
              <w:adjustRightInd w:val="0"/>
              <w:snapToGrid w:val="0"/>
              <w:spacing w:line="320" w:lineRule="exact"/>
              <w:rPr>
                <w:rFonts w:ascii="宋体" w:hAnsi="宋体"/>
                <w:szCs w:val="21"/>
                <w:highlight w:val="none"/>
              </w:rPr>
            </w:pPr>
            <w:r>
              <w:rPr>
                <w:rFonts w:hint="eastAsia" w:ascii="宋体" w:hAnsi="宋体"/>
                <w:szCs w:val="21"/>
              </w:rPr>
              <w:t>2.落</w:t>
            </w:r>
            <w:r>
              <w:rPr>
                <w:rFonts w:hint="eastAsia" w:ascii="宋体" w:hAnsi="宋体"/>
                <w:szCs w:val="21"/>
                <w:highlight w:val="none"/>
              </w:rPr>
              <w:t>实政府采购政策需满足的资格要求：本项目为</w:t>
            </w:r>
            <w:r>
              <w:rPr>
                <w:rFonts w:hint="eastAsia" w:ascii="宋体" w:hAnsi="宋体"/>
                <w:szCs w:val="21"/>
                <w:highlight w:val="none"/>
                <w:lang w:val="en-US" w:eastAsia="zh-CN"/>
              </w:rPr>
              <w:t>非</w:t>
            </w:r>
            <w:r>
              <w:rPr>
                <w:rFonts w:hint="eastAsia" w:ascii="宋体" w:hAnsi="宋体"/>
                <w:szCs w:val="21"/>
                <w:highlight w:val="none"/>
              </w:rPr>
              <w:t>专门面向中小企业采购的项目,</w:t>
            </w:r>
            <w:r>
              <w:rPr>
                <w:rFonts w:hint="eastAsia" w:ascii="宋体" w:hAnsi="宋体"/>
                <w:szCs w:val="21"/>
                <w:highlight w:val="none"/>
                <w:lang w:val="en-US" w:eastAsia="zh-CN"/>
              </w:rPr>
              <w:t>对符合规定的中小微企业报价给予10%的价格优惠</w:t>
            </w:r>
            <w:r>
              <w:rPr>
                <w:rFonts w:hint="eastAsia" w:ascii="宋体" w:hAnsi="宋体"/>
                <w:szCs w:val="21"/>
                <w:highlight w:val="none"/>
              </w:rPr>
              <w:t>；</w:t>
            </w:r>
          </w:p>
          <w:p>
            <w:pPr>
              <w:adjustRightInd w:val="0"/>
              <w:snapToGrid w:val="0"/>
              <w:spacing w:line="320" w:lineRule="exact"/>
              <w:rPr>
                <w:rFonts w:ascii="宋体" w:hAnsi="宋体"/>
                <w:szCs w:val="21"/>
              </w:rPr>
            </w:pPr>
            <w:r>
              <w:rPr>
                <w:rFonts w:hint="eastAsia" w:ascii="宋体" w:hAnsi="宋体"/>
                <w:szCs w:val="21"/>
              </w:rPr>
              <w:t>3.本项目的其他资格要求：（1）受托为本采购项目整体或其中分项目的前期工作提供了整体设计、规范编制、或者项目管理、监理、检测等服务的供应商（投标人），不得参加本项目整体或相关分项目的投标；（2）单位负责人为同一人或者存在直接控股、管理关系的不同投标人不得参加本项目同一包的投标；（3）对列入失信被执行人、税收、政府采购、环境保护、知识产权等领域严重失信行为的主体将拒绝其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第二章第3.2款（4）</w:t>
            </w:r>
          </w:p>
        </w:tc>
        <w:tc>
          <w:tcPr>
            <w:tcW w:w="2778" w:type="dxa"/>
            <w:vAlign w:val="center"/>
          </w:tcPr>
          <w:p>
            <w:pPr>
              <w:adjustRightInd w:val="0"/>
              <w:snapToGrid w:val="0"/>
              <w:spacing w:line="280" w:lineRule="exact"/>
              <w:rPr>
                <w:rFonts w:ascii="宋体" w:hAnsi="宋体"/>
                <w:bCs/>
                <w:szCs w:val="21"/>
              </w:rPr>
            </w:pPr>
            <w:r>
              <w:rPr>
                <w:rFonts w:hint="eastAsia" w:ascii="宋体" w:hAnsi="宋体"/>
                <w:bCs/>
                <w:szCs w:val="21"/>
              </w:rPr>
              <w:t>信用查询时间</w:t>
            </w:r>
          </w:p>
        </w:tc>
        <w:tc>
          <w:tcPr>
            <w:tcW w:w="4242" w:type="dxa"/>
            <w:vAlign w:val="center"/>
          </w:tcPr>
          <w:p>
            <w:pPr>
              <w:adjustRightInd w:val="0"/>
              <w:snapToGrid w:val="0"/>
              <w:spacing w:line="280" w:lineRule="exact"/>
              <w:jc w:val="left"/>
              <w:rPr>
                <w:rFonts w:ascii="宋体" w:hAnsi="宋体"/>
                <w:szCs w:val="21"/>
              </w:rPr>
            </w:pPr>
            <w:r>
              <w:rPr>
                <w:rFonts w:hint="eastAsia" w:ascii="宋体" w:hAnsi="宋体"/>
                <w:szCs w:val="21"/>
              </w:rPr>
              <w:t>202</w:t>
            </w:r>
            <w:r>
              <w:rPr>
                <w:rFonts w:ascii="宋体" w:hAnsi="宋体"/>
                <w:szCs w:val="21"/>
              </w:rPr>
              <w:t>3</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日11时30分-13时30分(北京时间)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第二章第6.1款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联合体形式</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第二章第6.2（3）款</w:t>
            </w:r>
          </w:p>
        </w:tc>
        <w:tc>
          <w:tcPr>
            <w:tcW w:w="2778" w:type="dxa"/>
            <w:vAlign w:val="center"/>
          </w:tcPr>
          <w:p>
            <w:pPr>
              <w:spacing w:line="320" w:lineRule="exact"/>
              <w:rPr>
                <w:rFonts w:ascii="宋体" w:hAnsi="宋体"/>
                <w:szCs w:val="21"/>
              </w:rPr>
            </w:pPr>
            <w:r>
              <w:rPr>
                <w:rFonts w:hint="eastAsia" w:ascii="宋体" w:hAnsi="宋体"/>
                <w:szCs w:val="21"/>
              </w:rPr>
              <w:t>对联合体各方的要求</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第二章第7.1款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现场考察</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不组织，供应商自行对项目现场和其周围环境进行考察。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第二章第8.1款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进口产品</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069" w:type="dxa"/>
            <w:vMerge w:val="restart"/>
            <w:vAlign w:val="center"/>
          </w:tcPr>
          <w:p>
            <w:pPr>
              <w:adjustRightInd w:val="0"/>
              <w:snapToGrid w:val="0"/>
              <w:spacing w:line="320" w:lineRule="exact"/>
              <w:jc w:val="center"/>
              <w:rPr>
                <w:rFonts w:ascii="宋体" w:hAnsi="宋体"/>
                <w:szCs w:val="21"/>
              </w:rPr>
            </w:pPr>
            <w:r>
              <w:rPr>
                <w:rFonts w:hint="eastAsia" w:ascii="宋体" w:hAnsi="宋体"/>
                <w:szCs w:val="21"/>
              </w:rPr>
              <w:t>第二章第9.1款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节能、环保要求</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vAlign w:val="center"/>
          </w:tcPr>
          <w:p>
            <w:pPr>
              <w:adjustRightInd w:val="0"/>
              <w:snapToGrid w:val="0"/>
              <w:spacing w:line="320" w:lineRule="exact"/>
              <w:jc w:val="center"/>
              <w:rPr>
                <w:rFonts w:ascii="宋体" w:hAnsi="宋体"/>
                <w:szCs w:val="21"/>
              </w:rPr>
            </w:pP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政府采购</w:t>
            </w:r>
            <w:r>
              <w:rPr>
                <w:rFonts w:hint="eastAsia" w:ascii="宋体" w:hAnsi="宋体" w:cs="宋体"/>
                <w:bCs/>
                <w:kern w:val="0"/>
                <w:szCs w:val="21"/>
              </w:rPr>
              <w:t>支持</w:t>
            </w:r>
            <w:r>
              <w:rPr>
                <w:rFonts w:hint="eastAsia" w:ascii="宋体" w:hAnsi="宋体"/>
                <w:szCs w:val="21"/>
              </w:rPr>
              <w:t>中小企业发展</w:t>
            </w:r>
          </w:p>
        </w:tc>
        <w:tc>
          <w:tcPr>
            <w:tcW w:w="4242" w:type="dxa"/>
            <w:vAlign w:val="center"/>
          </w:tcPr>
          <w:p>
            <w:pPr>
              <w:adjustRightInd w:val="0"/>
              <w:snapToGrid w:val="0"/>
              <w:spacing w:line="320" w:lineRule="exact"/>
              <w:rPr>
                <w:rFonts w:ascii="宋体" w:hAnsi="宋体"/>
                <w:highlight w:val="none"/>
              </w:rPr>
            </w:pPr>
            <w:r>
              <w:rPr>
                <w:rFonts w:hint="eastAsia" w:ascii="宋体" w:hAnsi="宋体"/>
                <w:highlight w:val="none"/>
              </w:rPr>
              <w:t>1、</w:t>
            </w:r>
            <w:r>
              <w:rPr>
                <w:rFonts w:hint="eastAsia" w:ascii="宋体" w:hAnsi="宋体"/>
                <w:szCs w:val="21"/>
                <w:highlight w:val="none"/>
                <w:lang w:val="en-US" w:eastAsia="zh-CN"/>
              </w:rPr>
              <w:t>对符合规定的中小微企业报价给予10%的价格优惠</w:t>
            </w:r>
            <w:r>
              <w:rPr>
                <w:rFonts w:hint="eastAsia" w:ascii="宋体" w:hAnsi="宋体"/>
                <w:szCs w:val="21"/>
                <w:highlight w:val="none"/>
              </w:rPr>
              <w:t>；</w:t>
            </w:r>
          </w:p>
          <w:p>
            <w:pPr>
              <w:adjustRightInd w:val="0"/>
              <w:snapToGrid w:val="0"/>
              <w:spacing w:line="320" w:lineRule="exact"/>
              <w:rPr>
                <w:rFonts w:ascii="宋体" w:hAnsi="宋体"/>
                <w:szCs w:val="21"/>
              </w:rPr>
            </w:pPr>
            <w:r>
              <w:rPr>
                <w:rFonts w:hint="eastAsia" w:ascii="宋体" w:hAnsi="宋体"/>
              </w:rPr>
              <w:t>2、根据《关于印发中小企业划型标准规定的通知》(工信部联企业[2011]300号) 文件的规定，本项目所属行业：</w:t>
            </w:r>
            <w:r>
              <w:rPr>
                <w:rFonts w:hint="eastAsia" w:ascii="宋体" w:hAnsi="宋体"/>
                <w:u w:val="single"/>
                <w:lang w:val="en-US" w:eastAsia="zh-CN"/>
              </w:rPr>
              <w:t>软件和技术服务业</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vAlign w:val="center"/>
          </w:tcPr>
          <w:p>
            <w:pPr>
              <w:adjustRightInd w:val="0"/>
              <w:snapToGrid w:val="0"/>
              <w:spacing w:line="320" w:lineRule="exact"/>
              <w:rPr>
                <w:rFonts w:ascii="宋体" w:hAnsi="宋体"/>
                <w:b/>
                <w:szCs w:val="21"/>
              </w:rPr>
            </w:pPr>
            <w:r>
              <w:rPr>
                <w:rFonts w:hint="eastAsia" w:ascii="宋体" w:hAnsi="宋体"/>
                <w:b/>
                <w:szCs w:val="21"/>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第二章第10.3款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磋商文件的可能实质性变动内容</w:t>
            </w:r>
          </w:p>
        </w:tc>
        <w:tc>
          <w:tcPr>
            <w:tcW w:w="4242" w:type="dxa"/>
            <w:vAlign w:val="center"/>
          </w:tcPr>
          <w:p>
            <w:pPr>
              <w:adjustRightInd w:val="0"/>
              <w:snapToGrid w:val="0"/>
              <w:spacing w:line="320" w:lineRule="exact"/>
              <w:jc w:val="left"/>
              <w:rPr>
                <w:rFonts w:ascii="宋体" w:hAnsi="宋体"/>
                <w:szCs w:val="21"/>
              </w:rPr>
            </w:pPr>
            <w:r>
              <w:rPr>
                <w:rFonts w:hint="eastAsia" w:ascii="宋体" w:hAnsi="宋体"/>
                <w:szCs w:val="21"/>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第二章第11.1款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提交响应文件截止时间</w:t>
            </w:r>
          </w:p>
        </w:tc>
        <w:tc>
          <w:tcPr>
            <w:tcW w:w="4242" w:type="dxa"/>
            <w:vAlign w:val="center"/>
          </w:tcPr>
          <w:p>
            <w:pPr>
              <w:adjustRightInd w:val="0"/>
              <w:snapToGrid w:val="0"/>
              <w:spacing w:line="320" w:lineRule="exact"/>
              <w:jc w:val="left"/>
              <w:rPr>
                <w:rFonts w:ascii="宋体" w:hAnsi="宋体"/>
                <w:szCs w:val="21"/>
              </w:rPr>
            </w:pPr>
            <w:r>
              <w:rPr>
                <w:rFonts w:hint="eastAsia" w:ascii="宋体" w:hAnsi="宋体"/>
                <w:szCs w:val="21"/>
              </w:rPr>
              <w:t>202</w:t>
            </w:r>
            <w:r>
              <w:rPr>
                <w:rFonts w:ascii="宋体" w:hAnsi="宋体"/>
                <w:szCs w:val="21"/>
              </w:rPr>
              <w:t>3</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89" w:type="dxa"/>
            <w:gridSpan w:val="3"/>
            <w:vAlign w:val="center"/>
          </w:tcPr>
          <w:p>
            <w:pPr>
              <w:adjustRightInd w:val="0"/>
              <w:snapToGrid w:val="0"/>
              <w:spacing w:line="320" w:lineRule="exact"/>
              <w:rPr>
                <w:rFonts w:ascii="宋体" w:hAnsi="宋体"/>
                <w:szCs w:val="21"/>
              </w:rPr>
            </w:pPr>
            <w:r>
              <w:rPr>
                <w:rFonts w:hint="eastAsia" w:ascii="宋体" w:hAnsi="宋体"/>
                <w:b/>
                <w:szCs w:val="21"/>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第二章第15.5款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预算资金</w:t>
            </w:r>
          </w:p>
        </w:tc>
        <w:tc>
          <w:tcPr>
            <w:tcW w:w="4242" w:type="dxa"/>
            <w:vAlign w:val="center"/>
          </w:tcPr>
          <w:p>
            <w:pPr>
              <w:widowControl/>
              <w:spacing w:line="320" w:lineRule="exact"/>
              <w:jc w:val="left"/>
              <w:rPr>
                <w:rFonts w:ascii="宋体" w:hAnsi="宋体" w:cs="宋体"/>
                <w:kern w:val="0"/>
                <w:szCs w:val="21"/>
              </w:rPr>
            </w:pPr>
            <w:r>
              <w:rPr>
                <w:rFonts w:hint="eastAsia" w:ascii="宋体" w:hAnsi="宋体" w:cs="宋体"/>
                <w:kern w:val="0"/>
                <w:szCs w:val="21"/>
              </w:rPr>
              <w:t>预算金额：</w:t>
            </w:r>
            <w:r>
              <w:rPr>
                <w:rFonts w:hint="eastAsia" w:ascii="宋体" w:hAnsi="宋体" w:cs="宋体"/>
                <w:kern w:val="0"/>
                <w:szCs w:val="21"/>
                <w:lang w:val="en-US" w:eastAsia="zh-CN"/>
              </w:rPr>
              <w:t>70</w:t>
            </w:r>
            <w:r>
              <w:rPr>
                <w:rFonts w:hint="eastAsia" w:ascii="宋体" w:hAnsi="宋体" w:cs="宋体"/>
                <w:kern w:val="0"/>
                <w:szCs w:val="21"/>
              </w:rPr>
              <w:t>万元</w:t>
            </w:r>
          </w:p>
          <w:p>
            <w:pPr>
              <w:widowControl/>
              <w:spacing w:line="320" w:lineRule="exact"/>
              <w:jc w:val="left"/>
              <w:rPr>
                <w:rFonts w:ascii="宋体" w:hAnsi="宋体" w:cs="宋体"/>
                <w:kern w:val="0"/>
                <w:szCs w:val="21"/>
              </w:rPr>
            </w:pPr>
            <w:r>
              <w:rPr>
                <w:rFonts w:hint="eastAsia" w:ascii="宋体" w:hAnsi="宋体" w:cs="宋体"/>
                <w:kern w:val="0"/>
                <w:szCs w:val="21"/>
              </w:rPr>
              <w:t>最高限价：</w:t>
            </w:r>
            <w:r>
              <w:rPr>
                <w:rFonts w:hint="eastAsia" w:ascii="宋体" w:hAnsi="宋体" w:cs="宋体"/>
                <w:kern w:val="0"/>
                <w:szCs w:val="21"/>
                <w:lang w:val="en-US" w:eastAsia="zh-CN"/>
              </w:rPr>
              <w:t>70</w:t>
            </w:r>
            <w:r>
              <w:rPr>
                <w:rFonts w:hint="eastAsia" w:ascii="宋体" w:hAnsi="宋体" w:cs="宋体"/>
                <w:kern w:val="0"/>
                <w:szCs w:val="21"/>
              </w:rPr>
              <w:t>万元；</w:t>
            </w:r>
          </w:p>
          <w:p>
            <w:pPr>
              <w:widowControl/>
              <w:spacing w:line="320" w:lineRule="exact"/>
              <w:jc w:val="left"/>
              <w:rPr>
                <w:rFonts w:ascii="宋体" w:hAnsi="宋体" w:cs="宋体"/>
                <w:kern w:val="0"/>
                <w:szCs w:val="21"/>
              </w:rPr>
            </w:pPr>
            <w:r>
              <w:rPr>
                <w:rFonts w:hint="eastAsia" w:ascii="宋体" w:hAnsi="宋体" w:cs="宋体"/>
                <w:kern w:val="0"/>
                <w:szCs w:val="21"/>
              </w:rPr>
              <w:t>供应商的报价超过最高限价，其磋商响应将被认定为无效。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第二章第16.1.4款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业绩</w:t>
            </w:r>
          </w:p>
        </w:tc>
        <w:tc>
          <w:tcPr>
            <w:tcW w:w="4242" w:type="dxa"/>
            <w:vAlign w:val="center"/>
          </w:tcPr>
          <w:p>
            <w:pPr>
              <w:adjustRightInd w:val="0"/>
              <w:snapToGrid w:val="0"/>
              <w:spacing w:line="320" w:lineRule="exact"/>
              <w:jc w:val="left"/>
              <w:rPr>
                <w:rFonts w:ascii="宋体" w:hAnsi="宋体"/>
                <w:szCs w:val="21"/>
              </w:rPr>
            </w:pPr>
            <w:r>
              <w:rPr>
                <w:rFonts w:hint="eastAsia" w:ascii="宋体" w:hAnsi="宋体"/>
                <w:bCs/>
                <w:szCs w:val="21"/>
              </w:rPr>
              <w:t>近三年（20</w:t>
            </w:r>
            <w:r>
              <w:rPr>
                <w:rFonts w:ascii="宋体" w:hAnsi="宋体"/>
                <w:bCs/>
                <w:szCs w:val="21"/>
              </w:rPr>
              <w:t>20</w:t>
            </w:r>
            <w:r>
              <w:rPr>
                <w:rFonts w:hint="eastAsia" w:ascii="宋体" w:hAnsi="宋体"/>
                <w:bCs/>
                <w:szCs w:val="21"/>
              </w:rPr>
              <w:t>年</w:t>
            </w:r>
            <w:r>
              <w:rPr>
                <w:rFonts w:ascii="宋体" w:hAnsi="宋体"/>
                <w:bCs/>
                <w:szCs w:val="21"/>
              </w:rPr>
              <w:t>12</w:t>
            </w:r>
            <w:r>
              <w:rPr>
                <w:rFonts w:hint="eastAsia" w:ascii="宋体" w:hAnsi="宋体"/>
                <w:bCs/>
                <w:szCs w:val="21"/>
              </w:rPr>
              <w:t>月1日至今）类似项目业绩，须提供中标通知书/成交通知书及合同协议书复印件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第二章第17.1款</w:t>
            </w:r>
          </w:p>
        </w:tc>
        <w:tc>
          <w:tcPr>
            <w:tcW w:w="2778" w:type="dxa"/>
            <w:vAlign w:val="center"/>
          </w:tcPr>
          <w:p>
            <w:pPr>
              <w:adjustRightInd w:val="0"/>
              <w:snapToGrid w:val="0"/>
              <w:spacing w:line="320" w:lineRule="exact"/>
              <w:ind w:left="-533" w:leftChars="-254" w:firstLine="533" w:firstLineChars="254"/>
              <w:rPr>
                <w:rFonts w:ascii="宋体" w:hAnsi="宋体"/>
                <w:szCs w:val="21"/>
              </w:rPr>
            </w:pPr>
            <w:r>
              <w:rPr>
                <w:rFonts w:hint="eastAsia" w:ascii="宋体" w:hAnsi="宋体"/>
                <w:szCs w:val="21"/>
              </w:rPr>
              <w:t>磋商保证金</w:t>
            </w:r>
          </w:p>
        </w:tc>
        <w:tc>
          <w:tcPr>
            <w:tcW w:w="4242" w:type="dxa"/>
            <w:vAlign w:val="center"/>
          </w:tcPr>
          <w:p>
            <w:pPr>
              <w:adjustRightInd w:val="0"/>
              <w:snapToGrid w:val="0"/>
              <w:spacing w:line="320" w:lineRule="exact"/>
              <w:rPr>
                <w:rFonts w:ascii="宋体" w:hAnsi="宋体"/>
                <w:bCs/>
                <w:szCs w:val="21"/>
              </w:rPr>
            </w:pPr>
            <w:r>
              <w:rPr>
                <w:rFonts w:hint="eastAsia" w:ascii="宋体" w:hAnsi="宋体"/>
                <w:bCs/>
                <w:szCs w:val="21"/>
              </w:rPr>
              <w:t>1、金额：1</w:t>
            </w:r>
            <w:r>
              <w:rPr>
                <w:rFonts w:ascii="宋体" w:hAnsi="宋体"/>
                <w:bCs/>
                <w:szCs w:val="21"/>
              </w:rPr>
              <w:t>0</w:t>
            </w:r>
            <w:r>
              <w:rPr>
                <w:rFonts w:hint="eastAsia" w:ascii="宋体" w:hAnsi="宋体"/>
                <w:bCs/>
                <w:szCs w:val="21"/>
              </w:rPr>
              <w:t>000元</w:t>
            </w:r>
          </w:p>
          <w:p>
            <w:pPr>
              <w:spacing w:line="400" w:lineRule="exact"/>
              <w:ind w:left="420" w:hanging="420"/>
              <w:rPr>
                <w:rFonts w:ascii="宋体" w:hAnsi="宋体"/>
                <w:bCs/>
                <w:color w:val="000000"/>
                <w:szCs w:val="21"/>
              </w:rPr>
            </w:pPr>
            <w:r>
              <w:rPr>
                <w:rFonts w:hint="eastAsia" w:ascii="宋体" w:hAnsi="宋体"/>
                <w:bCs/>
                <w:color w:val="000000"/>
                <w:szCs w:val="21"/>
              </w:rPr>
              <w:t>2、形式：单位账户转账（须从其单位账户转出）；</w:t>
            </w:r>
          </w:p>
          <w:p>
            <w:pPr>
              <w:pStyle w:val="12"/>
              <w:snapToGrid w:val="0"/>
              <w:spacing w:line="400" w:lineRule="exact"/>
              <w:ind w:left="3" w:leftChars="-13" w:right="21" w:rightChars="10" w:hanging="30"/>
              <w:rPr>
                <w:rFonts w:hAnsi="宋体"/>
                <w:b/>
                <w:bCs/>
                <w:color w:val="000000"/>
                <w:sz w:val="21"/>
                <w:szCs w:val="21"/>
              </w:rPr>
            </w:pPr>
            <w:r>
              <w:rPr>
                <w:rFonts w:hint="eastAsia" w:hAnsi="宋体"/>
                <w:bCs/>
                <w:color w:val="000000"/>
                <w:sz w:val="21"/>
                <w:szCs w:val="21"/>
              </w:rPr>
              <w:t>3、投标人须在投标截止时间前由单位账户一次性汇入招标文件指定帐号（以到账时间为准），投标人须自行评估因异地、跨行、公休日等因素造成的投标保证金到账延迟风险，并承担相应责任。</w:t>
            </w:r>
          </w:p>
          <w:p>
            <w:pPr>
              <w:spacing w:line="400" w:lineRule="exact"/>
              <w:ind w:left="427" w:leftChars="10" w:right="21" w:rightChars="10" w:hanging="406"/>
              <w:rPr>
                <w:rFonts w:ascii="宋体" w:hAnsi="宋体" w:cs="Segoe UI Semibold"/>
                <w:b/>
                <w:color w:val="000000"/>
                <w:spacing w:val="-4"/>
                <w:szCs w:val="21"/>
              </w:rPr>
            </w:pPr>
            <w:r>
              <w:rPr>
                <w:rFonts w:hint="eastAsia" w:ascii="宋体" w:hAnsi="宋体" w:cs="Segoe UI Semibold"/>
                <w:b/>
                <w:color w:val="000000"/>
                <w:spacing w:val="-4"/>
                <w:szCs w:val="21"/>
              </w:rPr>
              <w:t>单位名称：新疆若梵项目管理有限公司</w:t>
            </w:r>
          </w:p>
          <w:p>
            <w:pPr>
              <w:spacing w:line="400" w:lineRule="exact"/>
              <w:ind w:left="427" w:leftChars="10" w:right="21" w:rightChars="10" w:hanging="406"/>
              <w:rPr>
                <w:rFonts w:ascii="宋体" w:hAnsi="宋体" w:cs="Segoe UI Semibold"/>
                <w:b/>
                <w:color w:val="000000"/>
                <w:spacing w:val="-4"/>
                <w:szCs w:val="21"/>
              </w:rPr>
            </w:pPr>
            <w:r>
              <w:rPr>
                <w:rFonts w:hint="eastAsia" w:ascii="宋体" w:hAnsi="宋体" w:cs="Segoe UI Semibold"/>
                <w:b/>
                <w:color w:val="000000"/>
                <w:spacing w:val="-4"/>
                <w:szCs w:val="21"/>
              </w:rPr>
              <w:t>开户行名称：中国银行股份有限公司乌鲁木齐市卫星路支行</w:t>
            </w:r>
          </w:p>
          <w:p>
            <w:pPr>
              <w:spacing w:line="400" w:lineRule="exact"/>
              <w:ind w:left="427" w:leftChars="10" w:right="21" w:rightChars="10" w:hanging="406"/>
              <w:rPr>
                <w:rFonts w:ascii="宋体" w:hAnsi="宋体" w:cs="Segoe UI Semibold"/>
                <w:b/>
                <w:color w:val="000000"/>
                <w:spacing w:val="-4"/>
                <w:szCs w:val="21"/>
              </w:rPr>
            </w:pPr>
            <w:r>
              <w:rPr>
                <w:rFonts w:hint="eastAsia" w:ascii="宋体" w:hAnsi="宋体" w:cs="Segoe UI Semibold"/>
                <w:b/>
                <w:color w:val="000000"/>
                <w:spacing w:val="-4"/>
                <w:szCs w:val="21"/>
              </w:rPr>
              <w:t>账号：</w:t>
            </w:r>
            <w:r>
              <w:rPr>
                <w:rFonts w:ascii="宋体" w:hAnsi="宋体" w:cs="Segoe UI Semibold"/>
                <w:b/>
                <w:color w:val="000000"/>
                <w:spacing w:val="-4"/>
                <w:szCs w:val="21"/>
              </w:rPr>
              <w:t>107685103564</w:t>
            </w:r>
          </w:p>
          <w:p>
            <w:pPr>
              <w:adjustRightInd w:val="0"/>
              <w:snapToGrid w:val="0"/>
              <w:spacing w:line="320" w:lineRule="exact"/>
              <w:rPr>
                <w:rFonts w:ascii="宋体" w:hAnsi="宋体"/>
                <w:bCs/>
                <w:szCs w:val="21"/>
              </w:rPr>
            </w:pPr>
            <w:r>
              <w:rPr>
                <w:rFonts w:hint="eastAsia" w:ascii="宋体" w:hAnsi="宋体"/>
                <w:bCs/>
                <w:color w:val="000000"/>
                <w:szCs w:val="21"/>
              </w:rPr>
              <w:t>其他要求</w:t>
            </w:r>
            <w:r>
              <w:rPr>
                <w:rFonts w:ascii="宋体" w:hAnsi="宋体"/>
                <w:bCs/>
                <w:color w:val="000000"/>
                <w:szCs w:val="21"/>
              </w:rPr>
              <w:t>：</w:t>
            </w:r>
            <w:r>
              <w:rPr>
                <w:rFonts w:hint="eastAsia" w:ascii="宋体" w:hAnsi="宋体"/>
                <w:bCs/>
                <w:color w:val="000000"/>
                <w:szCs w:val="21"/>
              </w:rPr>
              <w:t>投标人请自行查询是否到账,转账汇款时，请备注项目名称。投标人按上述要求递交投标保证金到帐后，可至代理机构处领取投标保证金收款收据。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第二章第18.1款</w:t>
            </w:r>
          </w:p>
        </w:tc>
        <w:tc>
          <w:tcPr>
            <w:tcW w:w="2778" w:type="dxa"/>
            <w:vAlign w:val="center"/>
          </w:tcPr>
          <w:p>
            <w:pPr>
              <w:adjustRightInd w:val="0"/>
              <w:snapToGrid w:val="0"/>
              <w:spacing w:line="320" w:lineRule="exact"/>
              <w:rPr>
                <w:rFonts w:ascii="宋体" w:hAnsi="宋体"/>
                <w:bCs/>
                <w:szCs w:val="21"/>
              </w:rPr>
            </w:pPr>
            <w:r>
              <w:rPr>
                <w:rFonts w:hint="eastAsia" w:ascii="宋体" w:hAnsi="宋体"/>
                <w:bCs/>
                <w:szCs w:val="21"/>
              </w:rPr>
              <w:t>磋商文件有效期</w:t>
            </w:r>
          </w:p>
        </w:tc>
        <w:tc>
          <w:tcPr>
            <w:tcW w:w="4242" w:type="dxa"/>
            <w:vAlign w:val="center"/>
          </w:tcPr>
          <w:p>
            <w:pPr>
              <w:adjustRightInd w:val="0"/>
              <w:snapToGrid w:val="0"/>
              <w:spacing w:line="320" w:lineRule="exact"/>
              <w:rPr>
                <w:rFonts w:ascii="宋体" w:hAnsi="宋体"/>
                <w:bCs/>
                <w:szCs w:val="21"/>
              </w:rPr>
            </w:pPr>
            <w:r>
              <w:rPr>
                <w:rFonts w:hint="eastAsia" w:ascii="宋体" w:hAnsi="宋体"/>
                <w:szCs w:val="21"/>
                <w:u w:val="single"/>
              </w:rPr>
              <w:t>90</w:t>
            </w:r>
            <w:r>
              <w:rPr>
                <w:rFonts w:hint="eastAsia" w:ascii="宋体" w:hAnsi="宋体"/>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第二章第19.1款</w:t>
            </w:r>
          </w:p>
        </w:tc>
        <w:tc>
          <w:tcPr>
            <w:tcW w:w="2778" w:type="dxa"/>
            <w:vAlign w:val="center"/>
          </w:tcPr>
          <w:p>
            <w:pPr>
              <w:adjustRightInd w:val="0"/>
              <w:snapToGrid w:val="0"/>
              <w:spacing w:line="320" w:lineRule="exact"/>
              <w:rPr>
                <w:rFonts w:ascii="宋体" w:hAnsi="宋体"/>
                <w:szCs w:val="21"/>
              </w:rPr>
            </w:pPr>
            <w:r>
              <w:rPr>
                <w:rFonts w:hint="eastAsia" w:ascii="宋体" w:hAnsi="宋体"/>
                <w:bCs/>
                <w:szCs w:val="21"/>
              </w:rPr>
              <w:t>响应文件</w:t>
            </w:r>
            <w:r>
              <w:rPr>
                <w:rFonts w:hint="eastAsia" w:ascii="宋体" w:hAnsi="宋体"/>
                <w:szCs w:val="21"/>
              </w:rPr>
              <w:t>份数</w:t>
            </w:r>
          </w:p>
        </w:tc>
        <w:tc>
          <w:tcPr>
            <w:tcW w:w="4242" w:type="dxa"/>
            <w:vAlign w:val="center"/>
          </w:tcPr>
          <w:p>
            <w:pPr>
              <w:adjustRightInd w:val="0"/>
              <w:snapToGrid w:val="0"/>
              <w:spacing w:line="320" w:lineRule="exact"/>
              <w:rPr>
                <w:rFonts w:ascii="宋体" w:hAnsi="宋体"/>
                <w:bCs/>
                <w:szCs w:val="21"/>
              </w:rPr>
            </w:pPr>
            <w:r>
              <w:rPr>
                <w:rFonts w:hint="eastAsia" w:ascii="宋体" w:hAnsi="宋体"/>
                <w:bCs/>
                <w:szCs w:val="21"/>
              </w:rPr>
              <w:t>加密的电子投标文件壹份(.jmbs格式)在政采云平台指定位置上传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vAlign w:val="center"/>
          </w:tcPr>
          <w:p>
            <w:pPr>
              <w:adjustRightInd w:val="0"/>
              <w:snapToGrid w:val="0"/>
              <w:spacing w:line="320" w:lineRule="exact"/>
              <w:rPr>
                <w:rFonts w:ascii="宋体" w:hAnsi="宋体"/>
                <w:b/>
                <w:bCs/>
                <w:szCs w:val="21"/>
              </w:rPr>
            </w:pPr>
            <w:r>
              <w:rPr>
                <w:rFonts w:hint="eastAsia" w:ascii="宋体" w:hAnsi="宋体"/>
                <w:b/>
                <w:szCs w:val="2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第二章第20.2款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封套上应载明的信息</w:t>
            </w:r>
          </w:p>
        </w:tc>
        <w:tc>
          <w:tcPr>
            <w:tcW w:w="4242" w:type="dxa"/>
            <w:vAlign w:val="center"/>
          </w:tcPr>
          <w:p>
            <w:pPr>
              <w:adjustRightInd w:val="0"/>
              <w:snapToGrid w:val="0"/>
              <w:spacing w:line="400" w:lineRule="exact"/>
              <w:jc w:val="left"/>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第二章第22.1款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磋商文件的递交地点</w:t>
            </w:r>
          </w:p>
        </w:tc>
        <w:tc>
          <w:tcPr>
            <w:tcW w:w="4242" w:type="dxa"/>
            <w:vAlign w:val="center"/>
          </w:tcPr>
          <w:p>
            <w:pPr>
              <w:adjustRightInd w:val="0"/>
              <w:snapToGrid w:val="0"/>
              <w:spacing w:line="400" w:lineRule="exact"/>
              <w:rPr>
                <w:rFonts w:ascii="宋体" w:hAnsi="宋体"/>
                <w:bCs/>
                <w:szCs w:val="21"/>
              </w:rPr>
            </w:pPr>
            <w:r>
              <w:rPr>
                <w:rFonts w:hint="eastAsia" w:ascii="宋体" w:hAnsi="宋体" w:cs="宋体"/>
                <w:kern w:val="0"/>
                <w:szCs w:val="21"/>
              </w:rPr>
              <w:t>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vAlign w:val="center"/>
          </w:tcPr>
          <w:p>
            <w:pPr>
              <w:adjustRightInd w:val="0"/>
              <w:snapToGrid w:val="0"/>
              <w:spacing w:line="320" w:lineRule="exact"/>
              <w:rPr>
                <w:rFonts w:ascii="宋体" w:hAnsi="宋体"/>
                <w:b/>
                <w:szCs w:val="21"/>
              </w:rPr>
            </w:pPr>
            <w:r>
              <w:rPr>
                <w:rFonts w:hint="eastAsia" w:ascii="宋体" w:hAnsi="宋体"/>
                <w:b/>
                <w:szCs w:val="21"/>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第二章第23.2款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磋商小组</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磋商小组构成：磋商小组由采购人代表和评审专家共3人以上单数组成，其中评审专家人数不得少于磋商小组成员总数的2/3。</w:t>
            </w:r>
          </w:p>
          <w:p>
            <w:pPr>
              <w:adjustRightInd w:val="0"/>
              <w:snapToGrid w:val="0"/>
              <w:spacing w:line="320" w:lineRule="exact"/>
              <w:rPr>
                <w:rFonts w:ascii="宋体" w:hAnsi="宋体"/>
                <w:szCs w:val="21"/>
              </w:rPr>
            </w:pPr>
            <w:r>
              <w:rPr>
                <w:rFonts w:hint="eastAsia" w:ascii="宋体" w:hAnsi="宋体"/>
                <w:szCs w:val="21"/>
              </w:rPr>
              <w:t>磋商小组确定方式：政采云专家库随机抽取。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第二章第29.1款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评审办法</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综合评分法</w:t>
            </w:r>
          </w:p>
        </w:tc>
      </w:tr>
      <w:tr>
        <w:tblPrEx>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29.3评分办法</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核心产品</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核心技术参数+商务需求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第二章第30.1款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推荐的成交候选人数量</w:t>
            </w:r>
          </w:p>
        </w:tc>
        <w:tc>
          <w:tcPr>
            <w:tcW w:w="4242" w:type="dxa"/>
            <w:vAlign w:val="center"/>
          </w:tcPr>
          <w:p>
            <w:pPr>
              <w:adjustRightInd w:val="0"/>
              <w:snapToGrid w:val="0"/>
              <w:spacing w:line="32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89" w:type="dxa"/>
            <w:gridSpan w:val="3"/>
            <w:vAlign w:val="center"/>
          </w:tcPr>
          <w:p>
            <w:pPr>
              <w:adjustRightInd w:val="0"/>
              <w:snapToGrid w:val="0"/>
              <w:spacing w:line="320" w:lineRule="exact"/>
              <w:rPr>
                <w:rFonts w:ascii="宋体" w:hAnsi="宋体"/>
                <w:b/>
                <w:szCs w:val="21"/>
              </w:rPr>
            </w:pPr>
            <w:r>
              <w:rPr>
                <w:rFonts w:hint="eastAsia" w:ascii="宋体" w:hAnsi="宋体"/>
                <w:b/>
                <w:szCs w:val="21"/>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第二章第35.1款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财政部门指定发布媒体</w:t>
            </w:r>
          </w:p>
        </w:tc>
        <w:tc>
          <w:tcPr>
            <w:tcW w:w="4242" w:type="dxa"/>
            <w:vAlign w:val="center"/>
          </w:tcPr>
          <w:p>
            <w:pPr>
              <w:adjustRightInd w:val="0"/>
              <w:snapToGrid w:val="0"/>
              <w:spacing w:line="320" w:lineRule="exact"/>
              <w:jc w:val="left"/>
              <w:rPr>
                <w:rFonts w:ascii="宋体" w:hAnsi="宋体" w:cs="宋体"/>
                <w:kern w:val="0"/>
                <w:szCs w:val="21"/>
              </w:rPr>
            </w:pPr>
            <w:r>
              <w:rPr>
                <w:rFonts w:hint="eastAsia" w:ascii="宋体" w:hAnsi="宋体"/>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第二章第37.3款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履约担保</w:t>
            </w:r>
          </w:p>
        </w:tc>
        <w:tc>
          <w:tcPr>
            <w:tcW w:w="4242" w:type="dxa"/>
            <w:vAlign w:val="center"/>
          </w:tcPr>
          <w:p>
            <w:pPr>
              <w:adjustRightInd w:val="0"/>
              <w:snapToGrid w:val="0"/>
              <w:spacing w:line="400" w:lineRule="exact"/>
              <w:jc w:val="left"/>
              <w:rPr>
                <w:rFonts w:ascii="宋体" w:hAnsi="宋体"/>
                <w:szCs w:val="21"/>
                <w:highlight w:val="none"/>
              </w:rPr>
            </w:pPr>
            <w:r>
              <w:rPr>
                <w:rFonts w:hint="eastAsia" w:ascii="宋体" w:hAnsi="宋体"/>
                <w:szCs w:val="21"/>
                <w:highlight w:val="none"/>
              </w:rPr>
              <w:t>履约银行保函：合同金额的</w:t>
            </w:r>
            <w:r>
              <w:rPr>
                <w:rFonts w:ascii="宋体" w:hAnsi="宋体"/>
                <w:szCs w:val="21"/>
                <w:highlight w:val="none"/>
              </w:rPr>
              <w:t>5</w:t>
            </w:r>
            <w:r>
              <w:rPr>
                <w:rFonts w:hint="eastAsia" w:ascii="宋体" w:hAnsi="宋体"/>
                <w:szCs w:val="21"/>
                <w:highlight w:val="none"/>
              </w:rPr>
              <w:t>%</w:t>
            </w:r>
          </w:p>
          <w:p>
            <w:pPr>
              <w:adjustRightInd w:val="0"/>
              <w:snapToGrid w:val="0"/>
              <w:spacing w:line="400" w:lineRule="exact"/>
              <w:jc w:val="left"/>
              <w:rPr>
                <w:rFonts w:ascii="宋体" w:hAnsi="宋体"/>
                <w:szCs w:val="21"/>
              </w:rPr>
            </w:pPr>
            <w:r>
              <w:rPr>
                <w:rFonts w:hint="eastAsia" w:ascii="宋体" w:hAnsi="宋体"/>
                <w:szCs w:val="21"/>
              </w:rPr>
              <w:t>成交供应商人收到成交通知书后（签订合同前）向采购人提交。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vAlign w:val="center"/>
          </w:tcPr>
          <w:p>
            <w:pPr>
              <w:adjustRightInd w:val="0"/>
              <w:snapToGrid w:val="0"/>
              <w:spacing w:line="32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第二章第39.1款</w:t>
            </w:r>
          </w:p>
        </w:tc>
        <w:tc>
          <w:tcPr>
            <w:tcW w:w="2778" w:type="dxa"/>
            <w:vAlign w:val="center"/>
          </w:tcPr>
          <w:p>
            <w:pPr>
              <w:adjustRightInd w:val="0"/>
              <w:snapToGrid w:val="0"/>
              <w:spacing w:line="320" w:lineRule="exact"/>
              <w:rPr>
                <w:rFonts w:ascii="宋体" w:hAnsi="宋体"/>
                <w:szCs w:val="21"/>
              </w:rPr>
            </w:pPr>
            <w:r>
              <w:rPr>
                <w:rFonts w:hint="eastAsia" w:ascii="宋体" w:hAnsi="宋体"/>
                <w:szCs w:val="21"/>
              </w:rPr>
              <w:t>代理服务费</w:t>
            </w:r>
          </w:p>
        </w:tc>
        <w:tc>
          <w:tcPr>
            <w:tcW w:w="4242" w:type="dxa"/>
            <w:vAlign w:val="center"/>
          </w:tcPr>
          <w:p>
            <w:pPr>
              <w:spacing w:line="400" w:lineRule="exact"/>
              <w:rPr>
                <w:rFonts w:ascii="宋体" w:hAnsi="宋体"/>
                <w:szCs w:val="21"/>
              </w:rPr>
            </w:pPr>
            <w:r>
              <w:rPr>
                <w:rFonts w:hint="eastAsia" w:ascii="宋体" w:hAnsi="宋体"/>
                <w:szCs w:val="21"/>
              </w:rPr>
              <w:t>招标代理</w:t>
            </w:r>
            <w:r>
              <w:rPr>
                <w:rFonts w:ascii="宋体" w:hAnsi="宋体"/>
                <w:szCs w:val="21"/>
              </w:rPr>
              <w:t>费</w:t>
            </w:r>
            <w:r>
              <w:rPr>
                <w:rFonts w:hint="eastAsia" w:ascii="宋体" w:hAnsi="宋体"/>
                <w:szCs w:val="21"/>
              </w:rPr>
              <w:t>由中标人支付，服务费金额参考国家发展计划委员会“计价格（2002）1980号”文件收取。</w:t>
            </w:r>
          </w:p>
          <w:p>
            <w:pPr>
              <w:spacing w:line="400" w:lineRule="exact"/>
              <w:rPr>
                <w:rFonts w:ascii="宋体" w:hAnsi="宋体"/>
                <w:szCs w:val="21"/>
              </w:rPr>
            </w:pPr>
            <w:r>
              <w:rPr>
                <w:rFonts w:hint="eastAsia" w:ascii="宋体" w:hAnsi="宋体"/>
                <w:szCs w:val="21"/>
              </w:rPr>
              <w:t>中标服务费账户信息：</w:t>
            </w:r>
          </w:p>
          <w:p>
            <w:pPr>
              <w:spacing w:line="400" w:lineRule="exact"/>
              <w:ind w:left="427" w:leftChars="10" w:right="21" w:rightChars="10" w:hanging="406"/>
              <w:rPr>
                <w:rFonts w:ascii="宋体" w:hAnsi="宋体" w:cs="Segoe UI Semibold"/>
                <w:b/>
                <w:color w:val="000000"/>
                <w:spacing w:val="-4"/>
                <w:szCs w:val="21"/>
              </w:rPr>
            </w:pPr>
            <w:r>
              <w:rPr>
                <w:rFonts w:hint="eastAsia" w:ascii="宋体" w:hAnsi="宋体" w:cs="Segoe UI Semibold"/>
                <w:b/>
                <w:color w:val="000000"/>
                <w:spacing w:val="-4"/>
                <w:szCs w:val="21"/>
              </w:rPr>
              <w:t>单位名称：新疆若梵项目管理有限公司</w:t>
            </w:r>
          </w:p>
          <w:p>
            <w:pPr>
              <w:spacing w:line="400" w:lineRule="exact"/>
              <w:ind w:left="427" w:leftChars="10" w:right="21" w:rightChars="10" w:hanging="406"/>
              <w:rPr>
                <w:rFonts w:ascii="宋体" w:hAnsi="宋体" w:cs="Segoe UI Semibold"/>
                <w:b/>
                <w:color w:val="000000"/>
                <w:spacing w:val="-4"/>
                <w:szCs w:val="21"/>
              </w:rPr>
            </w:pPr>
            <w:r>
              <w:rPr>
                <w:rFonts w:hint="eastAsia" w:ascii="宋体" w:hAnsi="宋体" w:cs="Segoe UI Semibold"/>
                <w:b/>
                <w:color w:val="000000"/>
                <w:spacing w:val="-4"/>
                <w:szCs w:val="21"/>
              </w:rPr>
              <w:t>开户行名称：中国银行股份有限公司乌鲁木齐市卫星路支行</w:t>
            </w:r>
          </w:p>
          <w:p>
            <w:pPr>
              <w:adjustRightInd w:val="0"/>
              <w:snapToGrid w:val="0"/>
              <w:spacing w:line="320" w:lineRule="exact"/>
              <w:rPr>
                <w:rFonts w:ascii="宋体" w:hAnsi="宋体"/>
                <w:szCs w:val="21"/>
              </w:rPr>
            </w:pPr>
            <w:r>
              <w:rPr>
                <w:rFonts w:hint="eastAsia" w:ascii="宋体" w:hAnsi="宋体" w:cs="Segoe UI Semibold"/>
                <w:b/>
                <w:color w:val="000000"/>
                <w:spacing w:val="-4"/>
                <w:szCs w:val="21"/>
              </w:rPr>
              <w:t>账号：</w:t>
            </w:r>
            <w:r>
              <w:rPr>
                <w:rFonts w:ascii="宋体" w:hAnsi="宋体" w:cs="Segoe UI Semibold"/>
                <w:b/>
                <w:color w:val="000000"/>
                <w:spacing w:val="-4"/>
                <w:szCs w:val="21"/>
              </w:rPr>
              <w:t>107685103564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069" w:type="dxa"/>
            <w:vAlign w:val="center"/>
          </w:tcPr>
          <w:p>
            <w:pPr>
              <w:adjustRightInd w:val="0"/>
              <w:snapToGrid w:val="0"/>
              <w:spacing w:line="320" w:lineRule="exact"/>
              <w:jc w:val="center"/>
              <w:rPr>
                <w:rFonts w:ascii="宋体" w:hAnsi="宋体"/>
                <w:szCs w:val="21"/>
              </w:rPr>
            </w:pPr>
            <w:r>
              <w:rPr>
                <w:rFonts w:hint="eastAsia" w:ascii="宋体" w:hAnsi="宋体"/>
                <w:szCs w:val="21"/>
              </w:rPr>
              <w:t>第二章第</w:t>
            </w:r>
            <w:r>
              <w:rPr>
                <w:rFonts w:ascii="宋体" w:hAnsi="宋体"/>
                <w:szCs w:val="21"/>
              </w:rPr>
              <w:t>40</w:t>
            </w:r>
            <w:r>
              <w:rPr>
                <w:rFonts w:hint="eastAsia" w:ascii="宋体" w:hAnsi="宋体"/>
                <w:szCs w:val="21"/>
              </w:rPr>
              <w:t>.1款</w:t>
            </w:r>
          </w:p>
        </w:tc>
        <w:tc>
          <w:tcPr>
            <w:tcW w:w="2778" w:type="dxa"/>
            <w:vAlign w:val="center"/>
          </w:tcPr>
          <w:p>
            <w:pPr>
              <w:adjustRightInd w:val="0"/>
              <w:snapToGrid w:val="0"/>
              <w:spacing w:line="400" w:lineRule="exact"/>
              <w:jc w:val="both"/>
              <w:rPr>
                <w:rFonts w:ascii="宋体" w:hAnsi="宋体"/>
                <w:szCs w:val="21"/>
              </w:rPr>
            </w:pPr>
            <w:r>
              <w:rPr>
                <w:rFonts w:hint="eastAsia" w:ascii="宋体" w:hAnsi="宋体"/>
                <w:szCs w:val="21"/>
              </w:rPr>
              <w:t>付款方式</w:t>
            </w:r>
          </w:p>
        </w:tc>
        <w:tc>
          <w:tcPr>
            <w:tcW w:w="4242" w:type="dxa"/>
            <w:vAlign w:val="center"/>
          </w:tcPr>
          <w:p>
            <w:pPr>
              <w:adjustRightInd w:val="0"/>
              <w:snapToGrid w:val="0"/>
              <w:spacing w:line="400" w:lineRule="exact"/>
              <w:rPr>
                <w:rFonts w:ascii="宋体" w:hAnsi="宋体"/>
                <w:szCs w:val="21"/>
                <w:highlight w:val="red"/>
              </w:rPr>
            </w:pPr>
            <w:r>
              <w:rPr>
                <w:rFonts w:hint="eastAsia" w:ascii="宋体" w:hAnsi="宋体"/>
                <w:szCs w:val="21"/>
              </w:rPr>
              <w:t>分期付款。</w:t>
            </w:r>
            <w:r>
              <w:rPr>
                <w:rFonts w:hint="eastAsia" w:ascii="宋体" w:hAnsi="宋体"/>
                <w:szCs w:val="21"/>
                <w:highlight w:val="none"/>
              </w:rPr>
              <w:t>合同签订后后7日内支付合同价款的</w:t>
            </w:r>
            <w:r>
              <w:rPr>
                <w:rFonts w:hint="eastAsia" w:ascii="宋体" w:hAnsi="宋体"/>
                <w:szCs w:val="21"/>
                <w:highlight w:val="none"/>
                <w:lang w:val="en-US" w:eastAsia="zh-CN"/>
              </w:rPr>
              <w:t>40</w:t>
            </w:r>
            <w:r>
              <w:rPr>
                <w:rFonts w:hint="eastAsia" w:ascii="宋体" w:hAnsi="宋体"/>
                <w:szCs w:val="21"/>
                <w:highlight w:val="none"/>
              </w:rPr>
              <w:t>%，货物运送到甲方指定地点安装调试完毕经甲方验收后支付合同价款的</w:t>
            </w:r>
            <w:r>
              <w:rPr>
                <w:rFonts w:hint="eastAsia" w:ascii="宋体" w:hAnsi="宋体"/>
                <w:szCs w:val="21"/>
                <w:highlight w:val="none"/>
                <w:lang w:val="en-US" w:eastAsia="zh-CN"/>
              </w:rPr>
              <w:t>3</w:t>
            </w:r>
            <w:r>
              <w:rPr>
                <w:rFonts w:hint="eastAsia" w:ascii="宋体" w:hAnsi="宋体"/>
                <w:szCs w:val="21"/>
                <w:highlight w:val="none"/>
              </w:rPr>
              <w:t>0%</w:t>
            </w:r>
            <w:r>
              <w:rPr>
                <w:rFonts w:hint="eastAsia" w:ascii="宋体" w:hAnsi="宋体"/>
                <w:szCs w:val="21"/>
                <w:highlight w:val="none"/>
                <w:lang w:eastAsia="zh-CN"/>
              </w:rPr>
              <w:t>，</w:t>
            </w:r>
            <w:r>
              <w:rPr>
                <w:rFonts w:hint="eastAsia" w:ascii="宋体" w:hAnsi="宋体"/>
                <w:szCs w:val="21"/>
                <w:highlight w:val="none"/>
                <w:lang w:val="en-US" w:eastAsia="zh-CN"/>
              </w:rPr>
              <w:t>软件符合需求功能验收合格支付合同价款30%</w:t>
            </w:r>
            <w:r>
              <w:rPr>
                <w:rFonts w:hint="eastAsia" w:ascii="宋体" w:hAnsi="宋体"/>
                <w:szCs w:val="21"/>
                <w:highlight w:val="none"/>
              </w:rPr>
              <w:t>。</w:t>
            </w:r>
          </w:p>
          <w:p>
            <w:pPr>
              <w:adjustRightInd w:val="0"/>
              <w:snapToGrid w:val="0"/>
              <w:spacing w:line="400" w:lineRule="exact"/>
              <w:rPr>
                <w:rFonts w:ascii="宋体" w:hAnsi="宋体"/>
                <w:szCs w:val="21"/>
              </w:rPr>
            </w:pPr>
            <w:r>
              <w:rPr>
                <w:rFonts w:hint="eastAsia" w:ascii="宋体" w:hAnsi="宋体"/>
                <w:szCs w:val="21"/>
              </w:rPr>
              <w:t>采购人付款时，供应商应提供发票。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089" w:type="dxa"/>
            <w:gridSpan w:val="3"/>
            <w:vAlign w:val="center"/>
          </w:tcPr>
          <w:p>
            <w:pPr>
              <w:adjustRightInd w:val="0"/>
              <w:snapToGrid w:val="0"/>
              <w:spacing w:line="320" w:lineRule="exact"/>
              <w:rPr>
                <w:rFonts w:ascii="宋体" w:hAnsi="宋体"/>
                <w:szCs w:val="21"/>
              </w:rPr>
            </w:pPr>
            <w:r>
              <w:rPr>
                <w:rFonts w:hint="eastAsia" w:ascii="宋体" w:hAnsi="宋体"/>
                <w:szCs w:val="21"/>
              </w:rPr>
              <w:t>除非另有特殊说明，若本磋商文件中引用了某一品牌、型号或生产供应商名称，均是指参照该品牌、型号或生产供应商的产品或服务，所引用的品牌、型号或生产供应商不构成对磋商的限制。若采用的外文术语与某一供应商或某一产品使用的术语相同，并非表示指定了该供应商或该产品。</w:t>
            </w:r>
          </w:p>
        </w:tc>
      </w:tr>
    </w:tbl>
    <w:p>
      <w:pPr>
        <w:pStyle w:val="3"/>
        <w:rPr>
          <w:rFonts w:ascii="宋体" w:hAnsi="宋体"/>
        </w:rPr>
      </w:pPr>
      <w:bookmarkStart w:id="38" w:name="_Toc420948007"/>
      <w:r>
        <w:rPr>
          <w:rFonts w:ascii="宋体" w:hAnsi="宋体"/>
        </w:rPr>
        <w:br w:type="page"/>
      </w:r>
      <w:bookmarkStart w:id="39" w:name="_Toc474770905"/>
      <w:r>
        <w:rPr>
          <w:rFonts w:hint="eastAsia" w:ascii="宋体" w:hAnsi="宋体"/>
        </w:rPr>
        <w:t>磋商须知正文</w:t>
      </w:r>
      <w:bookmarkEnd w:id="38"/>
      <w:bookmarkEnd w:id="39"/>
    </w:p>
    <w:p>
      <w:pPr>
        <w:pStyle w:val="3"/>
        <w:rPr>
          <w:rFonts w:ascii="宋体" w:hAnsi="宋体"/>
          <w:sz w:val="21"/>
          <w:szCs w:val="21"/>
        </w:rPr>
      </w:pPr>
      <w:bookmarkStart w:id="40" w:name="_Toc474770906"/>
      <w:bookmarkStart w:id="41" w:name="_Toc420948008"/>
      <w:r>
        <w:rPr>
          <w:rFonts w:hint="eastAsia" w:ascii="宋体" w:hAnsi="宋体"/>
          <w:sz w:val="21"/>
          <w:szCs w:val="21"/>
        </w:rPr>
        <w:t>一、总则</w:t>
      </w:r>
      <w:bookmarkEnd w:id="40"/>
    </w:p>
    <w:p>
      <w:pPr>
        <w:adjustRightInd w:val="0"/>
        <w:snapToGrid w:val="0"/>
        <w:spacing w:line="360" w:lineRule="auto"/>
        <w:rPr>
          <w:rFonts w:ascii="宋体" w:hAnsi="宋体"/>
          <w:b/>
          <w:bCs/>
          <w:szCs w:val="21"/>
        </w:rPr>
      </w:pPr>
      <w:r>
        <w:rPr>
          <w:rFonts w:hint="eastAsia" w:ascii="宋体" w:hAnsi="宋体"/>
          <w:b/>
          <w:bCs/>
          <w:szCs w:val="21"/>
        </w:rPr>
        <w:t>1. 项目概况</w:t>
      </w:r>
    </w:p>
    <w:p>
      <w:pPr>
        <w:adjustRightInd w:val="0"/>
        <w:snapToGrid w:val="0"/>
        <w:spacing w:line="360" w:lineRule="auto"/>
        <w:ind w:firstLine="420" w:firstLineChars="200"/>
        <w:rPr>
          <w:rFonts w:ascii="宋体" w:hAnsi="宋体"/>
          <w:szCs w:val="21"/>
        </w:rPr>
      </w:pPr>
      <w:r>
        <w:rPr>
          <w:rFonts w:hint="eastAsia" w:ascii="宋体" w:hAnsi="宋体"/>
          <w:szCs w:val="21"/>
        </w:rPr>
        <w:t>1.1项目名称：详见磋商须知前附表；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1.2采购内容：详见磋商须知前附表；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1.3采购方式：详见磋商须知前附表；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1.4交货地点：详见磋商须知前附表；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1.5交货（完工）期限：详见磋商须知前附表。</w:t>
      </w:r>
      <w:bookmarkEnd w:id="41"/>
    </w:p>
    <w:p>
      <w:pPr>
        <w:adjustRightInd w:val="0"/>
        <w:snapToGrid w:val="0"/>
        <w:spacing w:line="360" w:lineRule="auto"/>
        <w:rPr>
          <w:rFonts w:ascii="宋体" w:hAnsi="宋体"/>
          <w:b/>
          <w:bCs/>
          <w:szCs w:val="21"/>
        </w:rPr>
      </w:pPr>
      <w:r>
        <w:rPr>
          <w:rFonts w:hint="eastAsia" w:ascii="宋体" w:hAnsi="宋体"/>
          <w:b/>
          <w:bCs/>
          <w:szCs w:val="21"/>
        </w:rPr>
        <w:t>2. 定义</w:t>
      </w:r>
    </w:p>
    <w:p>
      <w:pPr>
        <w:adjustRightInd w:val="0"/>
        <w:snapToGrid w:val="0"/>
        <w:spacing w:line="360" w:lineRule="auto"/>
        <w:ind w:firstLine="420" w:firstLineChars="200"/>
        <w:rPr>
          <w:rFonts w:ascii="宋体" w:hAnsi="宋体"/>
          <w:szCs w:val="21"/>
        </w:rPr>
      </w:pPr>
      <w:r>
        <w:rPr>
          <w:rFonts w:hint="eastAsia" w:ascii="宋体" w:hAnsi="宋体"/>
          <w:szCs w:val="21"/>
        </w:rPr>
        <w:t>2.1 “采购人”是指依法进行政府采购的国家机关、事业单位、团体组织。本次政府采购的采购人名称、地址、电话、联系人见</w:t>
      </w:r>
      <w:r>
        <w:rPr>
          <w:rFonts w:hint="eastAsia" w:ascii="宋体" w:hAnsi="宋体"/>
          <w:b/>
          <w:szCs w:val="21"/>
        </w:rPr>
        <w:t>磋商须知前附表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2.2 “采购代理机构”是指接受采购人委托，代理采购项目的采购代理机构。</w:t>
      </w:r>
    </w:p>
    <w:p>
      <w:pPr>
        <w:adjustRightInd w:val="0"/>
        <w:snapToGrid w:val="0"/>
        <w:spacing w:line="360" w:lineRule="auto"/>
        <w:ind w:firstLine="420" w:firstLineChars="200"/>
        <w:rPr>
          <w:rFonts w:ascii="宋体" w:hAnsi="宋体"/>
          <w:szCs w:val="21"/>
        </w:rPr>
      </w:pPr>
      <w:r>
        <w:rPr>
          <w:rFonts w:hint="eastAsia" w:ascii="宋体" w:hAnsi="宋体"/>
          <w:szCs w:val="21"/>
        </w:rPr>
        <w:t>2.3 “供应商”是指响应磋商文件要求、参加竞争性磋商采购的法人、其他组织或者自然人。</w:t>
      </w:r>
    </w:p>
    <w:p>
      <w:pPr>
        <w:adjustRightInd w:val="0"/>
        <w:snapToGrid w:val="0"/>
        <w:spacing w:line="360" w:lineRule="auto"/>
        <w:ind w:firstLine="420" w:firstLineChars="200"/>
        <w:rPr>
          <w:rFonts w:ascii="宋体" w:hAnsi="宋体"/>
          <w:szCs w:val="21"/>
        </w:rPr>
      </w:pPr>
      <w:r>
        <w:rPr>
          <w:rFonts w:hint="eastAsia" w:ascii="宋体" w:hAnsi="宋体"/>
          <w:szCs w:val="21"/>
        </w:rPr>
        <w:t>2.4 “货物”是指各种形态和种类的物品，包括原材料、燃料、设备、产品等，详见《政府采购品目分类目录》(</w:t>
      </w:r>
      <w:r>
        <w:rPr>
          <w:rStyle w:val="47"/>
          <w:rFonts w:ascii="宋体" w:hAnsi="宋体"/>
          <w:b w:val="0"/>
          <w:szCs w:val="21"/>
        </w:rPr>
        <w:t>财库</w:t>
      </w:r>
      <w:r>
        <w:rPr>
          <w:rStyle w:val="47"/>
          <w:rFonts w:hint="eastAsia" w:ascii="宋体" w:hAnsi="宋体"/>
          <w:b w:val="0"/>
          <w:szCs w:val="21"/>
        </w:rPr>
        <w:t>[</w:t>
      </w:r>
      <w:r>
        <w:rPr>
          <w:rStyle w:val="47"/>
          <w:rFonts w:ascii="宋体" w:hAnsi="宋体"/>
          <w:b w:val="0"/>
          <w:szCs w:val="21"/>
        </w:rPr>
        <w:t>2013</w:t>
      </w:r>
      <w:r>
        <w:rPr>
          <w:rStyle w:val="47"/>
          <w:rFonts w:hint="eastAsia" w:ascii="宋体" w:hAnsi="宋体"/>
          <w:b w:val="0"/>
          <w:szCs w:val="21"/>
        </w:rPr>
        <w:t>]</w:t>
      </w:r>
      <w:r>
        <w:rPr>
          <w:rStyle w:val="47"/>
          <w:rFonts w:ascii="宋体" w:hAnsi="宋体"/>
          <w:b w:val="0"/>
          <w:szCs w:val="21"/>
        </w:rPr>
        <w:t>189号</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2.4.1采购信息安全产品的，应当采购经国家认证的信息安全产品；供应货物中的相关产品，供应商应提供由中国信息安全认证中心按国家标准认证颁发的有效认证证书。</w:t>
      </w:r>
    </w:p>
    <w:p>
      <w:pPr>
        <w:adjustRightInd w:val="0"/>
        <w:snapToGrid w:val="0"/>
        <w:spacing w:line="360" w:lineRule="auto"/>
        <w:ind w:firstLine="420" w:firstLineChars="200"/>
        <w:rPr>
          <w:rFonts w:ascii="宋体" w:hAnsi="宋体"/>
          <w:szCs w:val="21"/>
        </w:rPr>
      </w:pPr>
      <w:r>
        <w:rPr>
          <w:rFonts w:hint="eastAsia" w:ascii="宋体" w:hAnsi="宋体"/>
          <w:szCs w:val="21"/>
        </w:rPr>
        <w:t>2.5 “节能产品”或者“环保产品”是指财政部发布的《节能产品政府采购品目清单》或者《环境标志产品政府采购品目清单》的产品。</w:t>
      </w:r>
    </w:p>
    <w:p>
      <w:pPr>
        <w:adjustRightInd w:val="0"/>
        <w:snapToGrid w:val="0"/>
        <w:spacing w:line="360" w:lineRule="auto"/>
        <w:ind w:firstLine="420" w:firstLineChars="200"/>
        <w:rPr>
          <w:rFonts w:ascii="宋体" w:hAnsi="宋体"/>
          <w:szCs w:val="21"/>
        </w:rPr>
      </w:pPr>
      <w:r>
        <w:rPr>
          <w:rFonts w:hint="eastAsia" w:ascii="宋体" w:hAnsi="宋体"/>
          <w:szCs w:val="21"/>
        </w:rPr>
        <w:t>2.6 “进口产品”是指通过中国海关报关验放进入中国境内且产自关境外的产品，详见《关于政府采购进口产品管理有关问题的通知》(财库[2007]119号)。</w:t>
      </w:r>
    </w:p>
    <w:p>
      <w:pPr>
        <w:adjustRightInd w:val="0"/>
        <w:snapToGrid w:val="0"/>
        <w:spacing w:line="360" w:lineRule="auto"/>
        <w:ind w:firstLine="422"/>
        <w:rPr>
          <w:rFonts w:ascii="宋体" w:hAnsi="宋体" w:cs="宋体"/>
          <w:b/>
          <w:kern w:val="0"/>
          <w:szCs w:val="21"/>
        </w:rPr>
      </w:pPr>
      <w:r>
        <w:rPr>
          <w:rFonts w:hint="eastAsia" w:ascii="宋体" w:hAnsi="宋体" w:cs="宋体"/>
          <w:b/>
          <w:kern w:val="0"/>
          <w:szCs w:val="21"/>
        </w:rPr>
        <w:t>2.7偏离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2.7.2除法律、法规和规章规定外，磋商文件中用“拒绝”、“不接受”、“无效”、“不得”等文字规定或标注“★”符号的条款为实质性要求条款（即重要条款），对其中任何一条的负偏离，在评审时将其视为无效响应。未用上述文字规定或符号标注的条款为非实质性要求条款(即一般条款)。</w:t>
      </w:r>
    </w:p>
    <w:p>
      <w:pPr>
        <w:adjustRightInd w:val="0"/>
        <w:snapToGrid w:val="0"/>
        <w:spacing w:line="360" w:lineRule="auto"/>
        <w:ind w:firstLine="422"/>
        <w:rPr>
          <w:rFonts w:ascii="宋体" w:hAnsi="宋体" w:cs="宋体"/>
          <w:b/>
          <w:kern w:val="0"/>
          <w:szCs w:val="21"/>
        </w:rPr>
      </w:pPr>
      <w:r>
        <w:rPr>
          <w:rFonts w:hint="eastAsia" w:ascii="宋体" w:hAnsi="宋体" w:cs="宋体"/>
          <w:b/>
          <w:kern w:val="0"/>
          <w:szCs w:val="21"/>
        </w:rPr>
        <w:t>2.8特别说明</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2.8.1磋商响应供应商所使用的资格、信誉、荣誉、业绩与企业认证等必须为磋商单位法人所拥有。</w:t>
      </w:r>
    </w:p>
    <w:p>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2.8.2</w:t>
      </w:r>
      <w:r>
        <w:rPr>
          <w:rFonts w:hint="eastAsia" w:ascii="宋体" w:hAnsi="宋体"/>
          <w:szCs w:val="21"/>
        </w:rPr>
        <w:t>供应商</w:t>
      </w:r>
      <w:r>
        <w:rPr>
          <w:rFonts w:hint="eastAsia" w:ascii="宋体" w:hAnsi="宋体" w:cs="宋体"/>
          <w:kern w:val="0"/>
          <w:szCs w:val="21"/>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2.8.3供应商在磋商活动中提供任何虚假材料, 其响应文件无效并承担相应法律责任。</w:t>
      </w:r>
    </w:p>
    <w:p>
      <w:pPr>
        <w:adjustRightInd w:val="0"/>
        <w:snapToGrid w:val="0"/>
        <w:spacing w:line="360" w:lineRule="auto"/>
        <w:rPr>
          <w:rFonts w:ascii="宋体" w:hAnsi="宋体"/>
          <w:b/>
          <w:bCs/>
          <w:szCs w:val="21"/>
        </w:rPr>
      </w:pPr>
      <w:r>
        <w:rPr>
          <w:rFonts w:hint="eastAsia" w:ascii="宋体" w:hAnsi="宋体"/>
          <w:b/>
          <w:bCs/>
          <w:szCs w:val="21"/>
        </w:rPr>
        <w:t>3.供应商的资格要求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3.1 供应商应当符合</w:t>
      </w:r>
      <w:r>
        <w:rPr>
          <w:rFonts w:hint="eastAsia" w:ascii="宋体" w:hAnsi="宋体"/>
          <w:b/>
          <w:szCs w:val="21"/>
        </w:rPr>
        <w:t>磋商须知前附表</w:t>
      </w:r>
      <w:r>
        <w:rPr>
          <w:rFonts w:hint="eastAsia" w:ascii="宋体" w:hAnsi="宋体"/>
          <w:szCs w:val="21"/>
        </w:rPr>
        <w:t>中规定供应商资格条件。</w:t>
      </w:r>
    </w:p>
    <w:p>
      <w:pPr>
        <w:adjustRightInd w:val="0"/>
        <w:snapToGrid w:val="0"/>
        <w:spacing w:line="360" w:lineRule="auto"/>
        <w:ind w:firstLine="420" w:firstLineChars="200"/>
        <w:rPr>
          <w:rFonts w:ascii="宋体" w:hAnsi="宋体"/>
          <w:szCs w:val="21"/>
        </w:rPr>
      </w:pPr>
      <w:r>
        <w:rPr>
          <w:rFonts w:hint="eastAsia" w:ascii="宋体" w:hAnsi="宋体"/>
          <w:szCs w:val="21"/>
        </w:rPr>
        <w:t>3.2 供应商不得存在下列情形之一：</w:t>
      </w:r>
    </w:p>
    <w:p>
      <w:pPr>
        <w:adjustRightInd w:val="0"/>
        <w:snapToGrid w:val="0"/>
        <w:spacing w:line="360" w:lineRule="auto"/>
        <w:ind w:firstLine="420" w:firstLineChars="200"/>
        <w:rPr>
          <w:rFonts w:ascii="宋体" w:hAnsi="宋体"/>
          <w:szCs w:val="21"/>
        </w:rPr>
      </w:pPr>
      <w:r>
        <w:rPr>
          <w:rFonts w:hint="eastAsia" w:ascii="宋体" w:hAnsi="宋体"/>
          <w:szCs w:val="21"/>
        </w:rPr>
        <w:t>（l）与采购人、代理机构存在</w:t>
      </w:r>
      <w:r>
        <w:rPr>
          <w:rFonts w:hint="eastAsia" w:ascii="宋体" w:hAnsi="宋体"/>
          <w:bCs/>
          <w:szCs w:val="21"/>
        </w:rPr>
        <w:t>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ascii="宋体" w:hAnsi="宋体"/>
          <w:szCs w:val="21"/>
        </w:rPr>
      </w:pPr>
      <w:r>
        <w:rPr>
          <w:rFonts w:hint="eastAsia" w:ascii="宋体" w:hAnsi="宋体"/>
          <w:szCs w:val="21"/>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ascii="宋体" w:hAnsi="宋体"/>
          <w:szCs w:val="21"/>
        </w:rPr>
      </w:pPr>
      <w:r>
        <w:rPr>
          <w:rFonts w:hint="eastAsia" w:ascii="宋体" w:hAnsi="宋体"/>
          <w:szCs w:val="21"/>
        </w:rPr>
        <w:t>（4）供应商被列入失信被执行人、重大税收违法案件当事人名单、政府采购严重违法失信行为记录名单（处罚决定规定的时间和地域范围内）。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Pr>
          <w:rFonts w:hint="eastAsia" w:ascii="宋体" w:hAnsi="宋体"/>
          <w:b/>
          <w:szCs w:val="21"/>
        </w:rPr>
        <w:t>无效</w:t>
      </w:r>
      <w:r>
        <w:rPr>
          <w:rFonts w:hint="eastAsia" w:ascii="宋体" w:hAnsi="宋体"/>
          <w:szCs w:val="21"/>
        </w:rPr>
        <w:t>。以联合体形式参加磋商的，联合体任何成员存在以上不良信用记录的，联合体供应商将被认定为磋商</w:t>
      </w:r>
      <w:r>
        <w:rPr>
          <w:rFonts w:hint="eastAsia" w:ascii="宋体" w:hAnsi="宋体"/>
          <w:b/>
          <w:szCs w:val="21"/>
        </w:rPr>
        <w:t>无效</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采购人</w:t>
      </w:r>
      <w:r>
        <w:rPr>
          <w:rFonts w:ascii="宋体" w:hAnsi="宋体"/>
          <w:szCs w:val="21"/>
        </w:rPr>
        <w:t>或采购代理机构</w:t>
      </w:r>
      <w:r>
        <w:rPr>
          <w:rFonts w:hint="eastAsia" w:ascii="宋体" w:hAnsi="宋体"/>
          <w:szCs w:val="21"/>
        </w:rPr>
        <w:t>经办人将查询网页打印、签字并存档备查。供应商不良信用记录以采购人</w:t>
      </w:r>
      <w:r>
        <w:rPr>
          <w:rFonts w:ascii="宋体" w:hAnsi="宋体"/>
          <w:szCs w:val="21"/>
        </w:rPr>
        <w:t>或采购代理机构</w:t>
      </w:r>
      <w:r>
        <w:rPr>
          <w:rFonts w:hint="eastAsia" w:ascii="宋体" w:hAnsi="宋体"/>
          <w:szCs w:val="21"/>
        </w:rPr>
        <w:t>查询结果为准。供应商自行提供的与网站信息不一致的其他证明材料亦不作为资格审查依据。在本磋商</w:t>
      </w:r>
      <w:r>
        <w:rPr>
          <w:rFonts w:ascii="宋体" w:hAnsi="宋体"/>
          <w:szCs w:val="21"/>
        </w:rPr>
        <w:t>文件规定</w:t>
      </w:r>
      <w:r>
        <w:rPr>
          <w:rFonts w:hint="eastAsia" w:ascii="宋体" w:hAnsi="宋体"/>
          <w:szCs w:val="21"/>
        </w:rPr>
        <w:t>的查询时间之外，网站信息发生的任何变更均不作为资格审查依据。</w:t>
      </w:r>
    </w:p>
    <w:p>
      <w:pPr>
        <w:adjustRightInd w:val="0"/>
        <w:snapToGrid w:val="0"/>
        <w:spacing w:line="360" w:lineRule="auto"/>
        <w:ind w:firstLine="420" w:firstLineChars="200"/>
        <w:rPr>
          <w:rFonts w:ascii="宋体" w:hAnsi="宋体"/>
          <w:szCs w:val="21"/>
        </w:rPr>
      </w:pPr>
      <w:r>
        <w:rPr>
          <w:rFonts w:hint="eastAsia" w:ascii="宋体" w:hAnsi="宋体"/>
          <w:szCs w:val="21"/>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ascii="宋体" w:hAnsi="宋体"/>
          <w:b/>
          <w:bCs/>
          <w:szCs w:val="21"/>
        </w:rPr>
      </w:pPr>
      <w:r>
        <w:rPr>
          <w:rFonts w:hint="eastAsia" w:ascii="宋体" w:hAnsi="宋体"/>
          <w:b/>
          <w:bCs/>
          <w:szCs w:val="21"/>
        </w:rPr>
        <w:t xml:space="preserve">4. 费用和知识产权 </w:t>
      </w:r>
    </w:p>
    <w:p>
      <w:pPr>
        <w:adjustRightInd w:val="0"/>
        <w:snapToGrid w:val="0"/>
        <w:spacing w:line="360" w:lineRule="auto"/>
        <w:ind w:firstLine="420" w:firstLineChars="200"/>
        <w:rPr>
          <w:rFonts w:ascii="宋体" w:hAnsi="宋体"/>
          <w:szCs w:val="21"/>
        </w:rPr>
      </w:pPr>
      <w:r>
        <w:rPr>
          <w:rFonts w:hint="eastAsia" w:ascii="宋体" w:hAnsi="宋体"/>
          <w:szCs w:val="21"/>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ascii="宋体" w:hAnsi="宋体"/>
          <w:szCs w:val="21"/>
        </w:rPr>
      </w:pPr>
      <w:r>
        <w:rPr>
          <w:rFonts w:hint="eastAsia" w:ascii="宋体" w:hAnsi="宋体"/>
          <w:szCs w:val="21"/>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22"/>
        <w:adjustRightInd w:val="0"/>
        <w:snapToGrid w:val="0"/>
        <w:spacing w:line="360" w:lineRule="auto"/>
        <w:rPr>
          <w:rFonts w:ascii="宋体" w:hAnsi="宋体"/>
          <w:b/>
          <w:bCs/>
          <w:sz w:val="21"/>
          <w:szCs w:val="21"/>
        </w:rPr>
      </w:pPr>
      <w:r>
        <w:rPr>
          <w:rFonts w:hint="eastAsia" w:ascii="宋体" w:hAnsi="宋体"/>
          <w:b/>
          <w:sz w:val="21"/>
          <w:szCs w:val="21"/>
        </w:rPr>
        <w:t>5．</w:t>
      </w:r>
      <w:r>
        <w:rPr>
          <w:rFonts w:hint="eastAsia" w:ascii="宋体" w:hAnsi="宋体"/>
          <w:b/>
          <w:bCs/>
          <w:sz w:val="21"/>
          <w:szCs w:val="21"/>
        </w:rPr>
        <w:t>授权委托</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5.1供应商代表为供应商法定代表人的，应持有法定代表人身份证明。供应商代表不是供应商法定代表人的，应持有法定代表人授权书。</w:t>
      </w:r>
    </w:p>
    <w:p>
      <w:pPr>
        <w:pStyle w:val="22"/>
        <w:adjustRightInd w:val="0"/>
        <w:snapToGrid w:val="0"/>
        <w:spacing w:line="360" w:lineRule="auto"/>
        <w:rPr>
          <w:rFonts w:ascii="宋体" w:hAnsi="宋体"/>
          <w:b/>
          <w:sz w:val="21"/>
          <w:szCs w:val="21"/>
        </w:rPr>
      </w:pPr>
      <w:r>
        <w:rPr>
          <w:rFonts w:hint="eastAsia" w:ascii="宋体" w:hAnsi="宋体"/>
          <w:b/>
          <w:sz w:val="21"/>
          <w:szCs w:val="21"/>
        </w:rPr>
        <w:t>6．联合体形式</w:t>
      </w:r>
      <w:r>
        <w:rPr>
          <w:rFonts w:hint="eastAsia" w:ascii="宋体" w:hAnsi="宋体"/>
          <w:sz w:val="21"/>
          <w:szCs w:val="21"/>
        </w:rPr>
        <w:t xml:space="preserve"> </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6.1除</w:t>
      </w:r>
      <w:r>
        <w:rPr>
          <w:rFonts w:hint="eastAsia" w:ascii="宋体" w:hAnsi="宋体"/>
          <w:b/>
          <w:sz w:val="21"/>
          <w:szCs w:val="21"/>
        </w:rPr>
        <w:t>磋商须知前附表</w:t>
      </w:r>
      <w:r>
        <w:rPr>
          <w:rFonts w:hint="eastAsia" w:ascii="宋体" w:hAnsi="宋体"/>
          <w:sz w:val="21"/>
          <w:szCs w:val="21"/>
        </w:rPr>
        <w:t>中另有规定，本次磋商不接受为联合体形式的供应商。</w:t>
      </w:r>
    </w:p>
    <w:p>
      <w:pPr>
        <w:adjustRightInd w:val="0"/>
        <w:snapToGrid w:val="0"/>
        <w:spacing w:line="360" w:lineRule="auto"/>
        <w:ind w:firstLine="420" w:firstLineChars="200"/>
        <w:jc w:val="left"/>
        <w:rPr>
          <w:rFonts w:ascii="宋体" w:hAnsi="宋体"/>
          <w:szCs w:val="21"/>
        </w:rPr>
      </w:pPr>
      <w:r>
        <w:rPr>
          <w:rFonts w:hint="eastAsia" w:ascii="宋体" w:hAnsi="宋体"/>
          <w:szCs w:val="21"/>
        </w:rPr>
        <w:t>6.2供应商为联合体形式的，除应符合本章第3条规定外，还应遵守以下规定：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ascii="宋体" w:hAnsi="宋体"/>
          <w:szCs w:val="21"/>
        </w:rPr>
      </w:pPr>
      <w:r>
        <w:rPr>
          <w:rFonts w:hint="eastAsia" w:ascii="宋体" w:hAnsi="宋体"/>
          <w:szCs w:val="21"/>
        </w:rPr>
        <w:t>（2）联合体各方均应当符合本章第3.1</w:t>
      </w:r>
      <w:r>
        <w:rPr>
          <w:rFonts w:hint="eastAsia" w:ascii="宋体" w:hAnsi="宋体" w:cs="宋体"/>
          <w:kern w:val="0"/>
          <w:szCs w:val="21"/>
          <w:lang w:val="zh-CN"/>
        </w:rPr>
        <w:t>款</w:t>
      </w:r>
      <w:r>
        <w:rPr>
          <w:rFonts w:hint="eastAsia" w:ascii="宋体" w:hAnsi="宋体"/>
          <w:szCs w:val="21"/>
        </w:rPr>
        <w:t>规定的供应商基本资格条件；</w:t>
      </w:r>
    </w:p>
    <w:p>
      <w:pPr>
        <w:adjustRightInd w:val="0"/>
        <w:snapToGrid w:val="0"/>
        <w:spacing w:line="360" w:lineRule="auto"/>
        <w:ind w:firstLine="420" w:firstLineChars="200"/>
        <w:jc w:val="left"/>
        <w:rPr>
          <w:rFonts w:ascii="宋体" w:hAnsi="宋体"/>
          <w:szCs w:val="21"/>
        </w:rPr>
      </w:pPr>
      <w:r>
        <w:rPr>
          <w:rFonts w:hint="eastAsia" w:ascii="宋体" w:hAnsi="宋体"/>
          <w:szCs w:val="21"/>
        </w:rPr>
        <w:t>（3）除</w:t>
      </w:r>
      <w:r>
        <w:rPr>
          <w:rFonts w:hint="eastAsia" w:ascii="宋体" w:hAnsi="宋体"/>
          <w:b/>
          <w:szCs w:val="21"/>
        </w:rPr>
        <w:t>磋商须知前附表</w:t>
      </w:r>
      <w:r>
        <w:rPr>
          <w:rFonts w:hint="eastAsia" w:ascii="宋体" w:hAnsi="宋体"/>
          <w:szCs w:val="21"/>
        </w:rPr>
        <w:t>中另有规定，联合体各方中至少有一方应当符合本章第3.1</w:t>
      </w:r>
      <w:r>
        <w:rPr>
          <w:rFonts w:hint="eastAsia" w:ascii="宋体" w:hAnsi="宋体" w:cs="宋体"/>
          <w:kern w:val="0"/>
          <w:szCs w:val="21"/>
          <w:lang w:val="zh-CN"/>
        </w:rPr>
        <w:t>款</w:t>
      </w:r>
      <w:r>
        <w:rPr>
          <w:rFonts w:hint="eastAsia" w:ascii="宋体" w:hAnsi="宋体"/>
          <w:szCs w:val="21"/>
        </w:rPr>
        <w:t>规定的供应商特定资格条件；</w:t>
      </w:r>
    </w:p>
    <w:p>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szCs w:val="21"/>
        </w:rPr>
        <w:t>（4）</w:t>
      </w:r>
      <w:r>
        <w:rPr>
          <w:rFonts w:hint="eastAsia" w:ascii="宋体" w:hAnsi="宋体" w:cs="宋体"/>
          <w:kern w:val="0"/>
          <w:szCs w:val="21"/>
          <w:lang w:val="zh-CN"/>
        </w:rPr>
        <w:t>联合体各方不得再单独或与其他供应商组成新的联合体参加同一项目的采购活动。</w:t>
      </w:r>
    </w:p>
    <w:p>
      <w:pPr>
        <w:adjustRightInd w:val="0"/>
        <w:snapToGrid w:val="0"/>
        <w:spacing w:line="360" w:lineRule="auto"/>
        <w:rPr>
          <w:rFonts w:ascii="宋体" w:hAnsi="宋体"/>
          <w:b/>
          <w:szCs w:val="21"/>
        </w:rPr>
      </w:pPr>
      <w:r>
        <w:rPr>
          <w:rFonts w:hint="eastAsia" w:ascii="宋体" w:hAnsi="宋体"/>
          <w:b/>
          <w:szCs w:val="21"/>
        </w:rPr>
        <w:t>7.现场勘察</w:t>
      </w:r>
    </w:p>
    <w:p>
      <w:pPr>
        <w:adjustRightInd w:val="0"/>
        <w:snapToGrid w:val="0"/>
        <w:spacing w:line="360" w:lineRule="auto"/>
        <w:ind w:firstLine="420" w:firstLineChars="200"/>
        <w:rPr>
          <w:rFonts w:ascii="宋体" w:hAnsi="宋体"/>
          <w:szCs w:val="21"/>
        </w:rPr>
      </w:pPr>
      <w:r>
        <w:rPr>
          <w:rFonts w:hint="eastAsia" w:ascii="宋体" w:hAnsi="宋体"/>
          <w:szCs w:val="21"/>
        </w:rPr>
        <w:t>7.1供应商应按</w:t>
      </w:r>
      <w:r>
        <w:rPr>
          <w:rFonts w:hint="eastAsia" w:ascii="宋体" w:hAnsi="宋体"/>
          <w:b/>
          <w:szCs w:val="21"/>
        </w:rPr>
        <w:t>磋商须知前附表</w:t>
      </w:r>
      <w:r>
        <w:rPr>
          <w:rFonts w:hint="eastAsia" w:ascii="宋体" w:hAnsi="宋体"/>
          <w:szCs w:val="21"/>
        </w:rPr>
        <w:t>中规定对采购项目现场和周围环境的现场考察。</w:t>
      </w:r>
    </w:p>
    <w:p>
      <w:pPr>
        <w:adjustRightInd w:val="0"/>
        <w:snapToGrid w:val="0"/>
        <w:spacing w:line="360" w:lineRule="auto"/>
        <w:ind w:firstLine="420" w:firstLineChars="200"/>
        <w:rPr>
          <w:rFonts w:ascii="宋体" w:hAnsi="宋体"/>
          <w:szCs w:val="21"/>
        </w:rPr>
      </w:pPr>
      <w:r>
        <w:rPr>
          <w:rFonts w:hint="eastAsia" w:ascii="宋体" w:hAnsi="宋体"/>
          <w:szCs w:val="21"/>
        </w:rPr>
        <w:t>7.2考察现场的费用由供应商自己承担，考察期间所发生的人身伤害及财产损失由供应商自己负责。</w:t>
      </w:r>
    </w:p>
    <w:p>
      <w:pPr>
        <w:adjustRightInd w:val="0"/>
        <w:snapToGrid w:val="0"/>
        <w:spacing w:line="360" w:lineRule="auto"/>
        <w:ind w:firstLine="420" w:firstLineChars="200"/>
        <w:jc w:val="left"/>
        <w:rPr>
          <w:rFonts w:ascii="宋体" w:hAnsi="宋体"/>
          <w:b/>
          <w:szCs w:val="21"/>
        </w:rPr>
      </w:pPr>
      <w:r>
        <w:rPr>
          <w:rFonts w:hint="eastAsia" w:ascii="宋体" w:hAnsi="宋体"/>
          <w:szCs w:val="21"/>
        </w:rPr>
        <w:t>7.3采购人不对供应商据此而做出的推论、理解和结论负责。一旦成交，供应商不得以任何借口，而提出额外补偿，或延长合同期限的要求。</w:t>
      </w:r>
    </w:p>
    <w:p>
      <w:pPr>
        <w:adjustRightInd w:val="0"/>
        <w:snapToGrid w:val="0"/>
        <w:spacing w:line="360" w:lineRule="auto"/>
        <w:jc w:val="left"/>
        <w:rPr>
          <w:rFonts w:ascii="宋体" w:hAnsi="宋体"/>
          <w:b/>
          <w:szCs w:val="21"/>
        </w:rPr>
      </w:pPr>
      <w:r>
        <w:rPr>
          <w:rFonts w:hint="eastAsia" w:ascii="宋体" w:hAnsi="宋体"/>
          <w:b/>
          <w:szCs w:val="21"/>
        </w:rPr>
        <w:t>8.采购进口产品</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8.1除</w:t>
      </w:r>
      <w:r>
        <w:rPr>
          <w:rFonts w:hint="eastAsia" w:ascii="宋体" w:hAnsi="宋体"/>
          <w:b/>
          <w:szCs w:val="21"/>
        </w:rPr>
        <w:t>磋商须知前附表</w:t>
      </w:r>
      <w:r>
        <w:rPr>
          <w:rFonts w:hint="eastAsia" w:ascii="宋体" w:hAnsi="宋体"/>
          <w:szCs w:val="21"/>
        </w:rPr>
        <w:t>另有规定外，本项目拒绝</w:t>
      </w:r>
      <w:r>
        <w:rPr>
          <w:rFonts w:hint="eastAsia" w:ascii="宋体" w:hAnsi="宋体" w:cs="宋体"/>
          <w:kern w:val="0"/>
          <w:szCs w:val="21"/>
        </w:rPr>
        <w:t>进口产品参加</w:t>
      </w:r>
      <w:r>
        <w:rPr>
          <w:rFonts w:hint="eastAsia" w:ascii="宋体" w:hAnsi="宋体"/>
          <w:szCs w:val="21"/>
        </w:rPr>
        <w:t>采购活动</w:t>
      </w:r>
      <w:r>
        <w:rPr>
          <w:rFonts w:hint="eastAsia" w:ascii="宋体" w:hAnsi="宋体" w:cs="宋体"/>
          <w:kern w:val="0"/>
          <w:szCs w:val="21"/>
        </w:rPr>
        <w:t>。</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8.2</w:t>
      </w:r>
      <w:r>
        <w:rPr>
          <w:rFonts w:hint="eastAsia" w:ascii="宋体" w:hAnsi="宋体"/>
          <w:szCs w:val="21"/>
        </w:rPr>
        <w:t>本章第8.1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磋商文件要求</w:t>
      </w:r>
      <w:r>
        <w:rPr>
          <w:rFonts w:ascii="宋体" w:hAnsi="宋体" w:cs="宋体"/>
          <w:kern w:val="0"/>
          <w:szCs w:val="21"/>
        </w:rPr>
        <w:t>的国内产品参与。</w:t>
      </w:r>
    </w:p>
    <w:p>
      <w:pPr>
        <w:adjustRightInd w:val="0"/>
        <w:snapToGrid w:val="0"/>
        <w:spacing w:line="360" w:lineRule="auto"/>
        <w:jc w:val="left"/>
        <w:rPr>
          <w:rFonts w:ascii="宋体" w:hAnsi="宋体"/>
          <w:b/>
          <w:szCs w:val="21"/>
        </w:rPr>
      </w:pPr>
      <w:r>
        <w:rPr>
          <w:rFonts w:hint="eastAsia" w:ascii="宋体" w:hAnsi="宋体"/>
          <w:b/>
          <w:bCs/>
          <w:szCs w:val="21"/>
        </w:rPr>
        <w:t>9.</w:t>
      </w:r>
      <w:r>
        <w:rPr>
          <w:rFonts w:hint="eastAsia" w:ascii="宋体" w:hAnsi="宋体"/>
          <w:b/>
          <w:szCs w:val="21"/>
        </w:rPr>
        <w:t xml:space="preserve"> 政府采购政策支持</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9.1供应商符合</w:t>
      </w:r>
      <w:r>
        <w:rPr>
          <w:rFonts w:hint="eastAsia" w:ascii="宋体" w:hAnsi="宋体" w:cs="宋体"/>
          <w:bCs/>
          <w:kern w:val="0"/>
          <w:sz w:val="21"/>
          <w:szCs w:val="21"/>
        </w:rPr>
        <w:t>支持</w:t>
      </w:r>
      <w:r>
        <w:rPr>
          <w:rFonts w:hint="eastAsia" w:ascii="宋体" w:hAnsi="宋体"/>
          <w:sz w:val="21"/>
          <w:szCs w:val="21"/>
        </w:rPr>
        <w:t>中小企业发展优惠政策的，报价可以优惠扣除。本项目价格扣除比例见</w:t>
      </w:r>
      <w:r>
        <w:rPr>
          <w:rFonts w:hint="eastAsia" w:ascii="宋体" w:hAnsi="宋体"/>
          <w:b/>
          <w:sz w:val="21"/>
          <w:szCs w:val="21"/>
        </w:rPr>
        <w:t>磋商须知前附表</w:t>
      </w:r>
      <w:r>
        <w:rPr>
          <w:rFonts w:hint="eastAsia" w:ascii="宋体" w:hAnsi="宋体"/>
          <w:sz w:val="21"/>
          <w:szCs w:val="21"/>
        </w:rPr>
        <w:t>。专门面向中小企业采购的项目，不再享受价格扣除。</w:t>
      </w:r>
    </w:p>
    <w:p>
      <w:pPr>
        <w:spacing w:line="360" w:lineRule="auto"/>
        <w:ind w:firstLine="420" w:firstLineChars="200"/>
        <w:rPr>
          <w:rFonts w:ascii="宋体" w:hAnsi="宋体" w:cs="Courier New"/>
          <w:szCs w:val="21"/>
        </w:rPr>
      </w:pPr>
      <w:r>
        <w:rPr>
          <w:rFonts w:hint="eastAsia" w:ascii="宋体" w:hAnsi="宋体" w:cs="Courier New"/>
          <w:szCs w:val="21"/>
        </w:rPr>
        <w:t>9.2产品符合政府采购强制采购政策的，实行强制采购；符合政府采购优先采购政策的，产品享受节能产品、环境标志产品产品优惠(由供应商在报价文件中选择并填报，评审时进行价格、技术优惠)；供应商符合支持中小企业发展政策优惠的，可以与同时享受节能产品、环境标志产品产品优惠累加优惠。财政部门关于政府采购强制采购、优先采购的政策规定可在中国政府采购网(www.ccgp.gov.cn)查询。</w:t>
      </w:r>
    </w:p>
    <w:p>
      <w:pPr>
        <w:spacing w:line="360" w:lineRule="auto"/>
        <w:ind w:firstLine="420" w:firstLineChars="200"/>
        <w:rPr>
          <w:rFonts w:ascii="宋体" w:hAnsi="宋体" w:cs="Courier New"/>
          <w:szCs w:val="21"/>
        </w:rPr>
      </w:pPr>
      <w:r>
        <w:rPr>
          <w:rFonts w:hint="eastAsia" w:ascii="宋体" w:hAnsi="宋体" w:cs="Courier New"/>
          <w:szCs w:val="21"/>
        </w:rPr>
        <w:t>9.3同一项目中部分产品属于优先采购政策的，评审时只对该部分产品优惠加分。</w:t>
      </w:r>
    </w:p>
    <w:p>
      <w:pPr>
        <w:spacing w:line="360" w:lineRule="auto"/>
        <w:ind w:firstLine="420" w:firstLineChars="200"/>
        <w:rPr>
          <w:rFonts w:ascii="宋体" w:hAnsi="宋体" w:cs="Courier New"/>
          <w:szCs w:val="21"/>
        </w:rPr>
      </w:pPr>
      <w:r>
        <w:rPr>
          <w:rFonts w:hint="eastAsia" w:ascii="宋体" w:hAnsi="宋体" w:cs="Courier New"/>
          <w:szCs w:val="21"/>
        </w:rPr>
        <w:t>9.4为推进政府采购诚信体系建设，供应商在签署相关承诺，提供相关信息前，应认真阅读财政部门相关政策规定。</w:t>
      </w:r>
    </w:p>
    <w:p>
      <w:pPr>
        <w:spacing w:line="360" w:lineRule="auto"/>
        <w:ind w:firstLine="420" w:firstLineChars="200"/>
        <w:rPr>
          <w:rFonts w:ascii="宋体" w:hAnsi="宋体"/>
          <w:szCs w:val="21"/>
        </w:rPr>
      </w:pPr>
      <w:r>
        <w:rPr>
          <w:rFonts w:hint="eastAsia" w:ascii="宋体" w:hAnsi="宋体"/>
          <w:szCs w:val="21"/>
        </w:rPr>
        <w:t>9.5 中小企业在融资、磋商保证、履约保证等方面有需求的，可查询当地政府采购管理部门相关政策，通过专业化的担保途径解决。</w:t>
      </w:r>
    </w:p>
    <w:p>
      <w:pPr>
        <w:pStyle w:val="3"/>
        <w:rPr>
          <w:rFonts w:ascii="宋体" w:hAnsi="宋体"/>
          <w:sz w:val="21"/>
          <w:szCs w:val="21"/>
        </w:rPr>
      </w:pPr>
      <w:bookmarkStart w:id="42" w:name="_Toc420948009"/>
      <w:bookmarkStart w:id="43" w:name="_Toc474770907"/>
      <w:r>
        <w:rPr>
          <w:rFonts w:hint="eastAsia" w:ascii="宋体" w:hAnsi="宋体"/>
          <w:sz w:val="21"/>
          <w:szCs w:val="21"/>
        </w:rPr>
        <w:t>二、</w:t>
      </w:r>
      <w:bookmarkEnd w:id="42"/>
      <w:r>
        <w:rPr>
          <w:rFonts w:hint="eastAsia" w:ascii="宋体" w:hAnsi="宋体"/>
          <w:sz w:val="21"/>
          <w:szCs w:val="21"/>
        </w:rPr>
        <w:t>磋商文件</w:t>
      </w:r>
      <w:bookmarkEnd w:id="43"/>
    </w:p>
    <w:p>
      <w:pPr>
        <w:adjustRightInd w:val="0"/>
        <w:snapToGrid w:val="0"/>
        <w:spacing w:line="360" w:lineRule="auto"/>
        <w:rPr>
          <w:rFonts w:ascii="宋体" w:hAnsi="宋体"/>
          <w:b/>
          <w:bCs/>
          <w:szCs w:val="21"/>
        </w:rPr>
      </w:pPr>
      <w:r>
        <w:rPr>
          <w:rFonts w:hint="eastAsia" w:ascii="宋体" w:hAnsi="宋体"/>
          <w:b/>
          <w:bCs/>
          <w:szCs w:val="21"/>
        </w:rPr>
        <w:t>10．磋商文件的组成</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10.1 磋商文件由下列文件组成：</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第一章 竞争性磋商公告</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第二章 磋商须知</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第三章 采购合同格式条款</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第四章 采购需求</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第五章 响应文件格式</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10.2</w:t>
      </w:r>
      <w:r>
        <w:rPr>
          <w:rFonts w:hint="eastAsia" w:ascii="宋体" w:hAnsi="宋体"/>
          <w:bCs/>
          <w:sz w:val="21"/>
          <w:szCs w:val="21"/>
        </w:rPr>
        <w:t>本章第11.1</w:t>
      </w:r>
      <w:r>
        <w:rPr>
          <w:rFonts w:hint="eastAsia" w:ascii="宋体" w:hAnsi="宋体" w:cs="宋体"/>
          <w:kern w:val="0"/>
          <w:sz w:val="21"/>
          <w:szCs w:val="21"/>
          <w:lang w:val="zh-CN"/>
        </w:rPr>
        <w:t>款</w:t>
      </w:r>
      <w:r>
        <w:rPr>
          <w:rFonts w:hint="eastAsia" w:ascii="宋体" w:hAnsi="宋体"/>
          <w:bCs/>
          <w:sz w:val="21"/>
          <w:szCs w:val="21"/>
        </w:rPr>
        <w:t>规定的</w:t>
      </w:r>
      <w:r>
        <w:rPr>
          <w:rFonts w:hint="eastAsia" w:ascii="宋体" w:hAnsi="宋体" w:cs="宋体"/>
          <w:kern w:val="0"/>
          <w:sz w:val="21"/>
          <w:szCs w:val="21"/>
        </w:rPr>
        <w:t>提交</w:t>
      </w:r>
      <w:r>
        <w:rPr>
          <w:rFonts w:hint="eastAsia" w:ascii="宋体" w:hAnsi="宋体"/>
          <w:sz w:val="21"/>
          <w:szCs w:val="21"/>
        </w:rPr>
        <w:t>响应</w:t>
      </w:r>
      <w:r>
        <w:rPr>
          <w:rFonts w:hint="eastAsia" w:ascii="宋体" w:hAnsi="宋体" w:cs="宋体"/>
          <w:kern w:val="0"/>
          <w:sz w:val="21"/>
          <w:szCs w:val="21"/>
        </w:rPr>
        <w:t>文件截止时间前对</w:t>
      </w:r>
      <w:r>
        <w:rPr>
          <w:rFonts w:hint="eastAsia" w:ascii="宋体" w:hAnsi="宋体"/>
          <w:sz w:val="21"/>
          <w:szCs w:val="21"/>
        </w:rPr>
        <w:t>磋商</w:t>
      </w:r>
      <w:r>
        <w:rPr>
          <w:rFonts w:hint="eastAsia" w:ascii="宋体" w:hAnsi="宋体" w:cs="宋体"/>
          <w:kern w:val="0"/>
          <w:sz w:val="21"/>
          <w:szCs w:val="21"/>
        </w:rPr>
        <w:t>文件澄清或者修改内容，为</w:t>
      </w:r>
      <w:r>
        <w:rPr>
          <w:rFonts w:hint="eastAsia" w:ascii="宋体" w:hAnsi="宋体"/>
          <w:sz w:val="21"/>
          <w:szCs w:val="21"/>
        </w:rPr>
        <w:t>磋商</w:t>
      </w:r>
      <w:r>
        <w:rPr>
          <w:rFonts w:hint="eastAsia" w:ascii="宋体" w:hAnsi="宋体" w:cs="宋体"/>
          <w:kern w:val="0"/>
          <w:sz w:val="21"/>
          <w:szCs w:val="21"/>
        </w:rPr>
        <w:t>文件的组成部分。</w:t>
      </w:r>
    </w:p>
    <w:p>
      <w:pPr>
        <w:adjustRightInd w:val="0"/>
        <w:snapToGrid w:val="0"/>
        <w:spacing w:line="360" w:lineRule="auto"/>
        <w:ind w:firstLine="420" w:firstLineChars="200"/>
        <w:rPr>
          <w:rFonts w:ascii="宋体" w:hAnsi="宋体"/>
          <w:szCs w:val="21"/>
        </w:rPr>
      </w:pPr>
      <w:r>
        <w:rPr>
          <w:rFonts w:hint="eastAsia" w:ascii="宋体" w:hAnsi="宋体"/>
          <w:szCs w:val="21"/>
        </w:rPr>
        <w:t>10.3 磋商小组根据与供应商磋商情况可能实质性变动的内容，包括采购需求中的技术、服务要求以及合同条款，在</w:t>
      </w:r>
      <w:r>
        <w:rPr>
          <w:rFonts w:hint="eastAsia" w:ascii="宋体" w:hAnsi="宋体"/>
          <w:b/>
          <w:szCs w:val="21"/>
        </w:rPr>
        <w:t>磋商须知前附表</w:t>
      </w:r>
      <w:r>
        <w:rPr>
          <w:rFonts w:hint="eastAsia" w:ascii="宋体" w:hAnsi="宋体"/>
          <w:szCs w:val="21"/>
        </w:rPr>
        <w:t>中明确。</w:t>
      </w:r>
    </w:p>
    <w:p>
      <w:pPr>
        <w:adjustRightInd w:val="0"/>
        <w:snapToGrid w:val="0"/>
        <w:spacing w:line="360" w:lineRule="auto"/>
        <w:ind w:firstLine="420" w:firstLineChars="200"/>
        <w:rPr>
          <w:rFonts w:ascii="宋体" w:hAnsi="宋体"/>
          <w:szCs w:val="21"/>
        </w:rPr>
      </w:pPr>
      <w:r>
        <w:rPr>
          <w:rFonts w:hint="eastAsia" w:ascii="宋体" w:hAnsi="宋体"/>
          <w:szCs w:val="21"/>
        </w:rPr>
        <w:t>10.4供应商应仔细阅读磋商</w:t>
      </w:r>
      <w:r>
        <w:rPr>
          <w:rFonts w:hint="eastAsia" w:ascii="宋体" w:hAnsi="宋体"/>
          <w:bCs/>
          <w:szCs w:val="21"/>
        </w:rPr>
        <w:t>文件</w:t>
      </w:r>
      <w:r>
        <w:rPr>
          <w:rFonts w:hint="eastAsia" w:ascii="宋体" w:hAnsi="宋体"/>
          <w:szCs w:val="21"/>
        </w:rPr>
        <w:t>的全部内容，按照磋商</w:t>
      </w:r>
      <w:r>
        <w:rPr>
          <w:rFonts w:hint="eastAsia" w:ascii="宋体" w:hAnsi="宋体"/>
          <w:bCs/>
          <w:szCs w:val="21"/>
        </w:rPr>
        <w:t>文件</w:t>
      </w:r>
      <w:r>
        <w:rPr>
          <w:rFonts w:hint="eastAsia" w:ascii="宋体" w:hAnsi="宋体"/>
          <w:szCs w:val="21"/>
        </w:rPr>
        <w:t>要求编制响应文件。任何对磋商</w:t>
      </w:r>
      <w:r>
        <w:rPr>
          <w:rFonts w:hint="eastAsia" w:ascii="宋体" w:hAnsi="宋体"/>
          <w:bCs/>
          <w:szCs w:val="21"/>
        </w:rPr>
        <w:t>文件</w:t>
      </w:r>
      <w:r>
        <w:rPr>
          <w:rFonts w:hint="eastAsia" w:ascii="宋体" w:hAnsi="宋体"/>
          <w:szCs w:val="21"/>
        </w:rPr>
        <w:t>的忽略或误解不能作为响应文件存在缺陷或瑕疵的理由，其风险由供应商承担。</w:t>
      </w:r>
    </w:p>
    <w:p>
      <w:pPr>
        <w:pStyle w:val="22"/>
        <w:adjustRightInd w:val="0"/>
        <w:snapToGrid w:val="0"/>
        <w:spacing w:line="360" w:lineRule="auto"/>
        <w:rPr>
          <w:rFonts w:ascii="宋体" w:hAnsi="宋体"/>
          <w:sz w:val="21"/>
          <w:szCs w:val="21"/>
        </w:rPr>
      </w:pPr>
      <w:r>
        <w:rPr>
          <w:rFonts w:hint="eastAsia" w:ascii="宋体" w:hAnsi="宋体"/>
          <w:b/>
          <w:sz w:val="21"/>
          <w:szCs w:val="21"/>
        </w:rPr>
        <w:t>11.</w:t>
      </w:r>
      <w:r>
        <w:rPr>
          <w:rFonts w:hint="eastAsia" w:ascii="宋体" w:hAnsi="宋体" w:cs="宋体"/>
          <w:b/>
          <w:kern w:val="0"/>
          <w:sz w:val="21"/>
          <w:szCs w:val="21"/>
        </w:rPr>
        <w:t>提交响应文件</w:t>
      </w:r>
      <w:r>
        <w:rPr>
          <w:rFonts w:hint="eastAsia" w:ascii="宋体" w:hAnsi="宋体"/>
          <w:b/>
          <w:sz w:val="21"/>
          <w:szCs w:val="21"/>
        </w:rPr>
        <w:t>的</w:t>
      </w:r>
      <w:r>
        <w:rPr>
          <w:rFonts w:hint="eastAsia" w:ascii="宋体" w:hAnsi="宋体" w:cs="宋体"/>
          <w:b/>
          <w:kern w:val="0"/>
          <w:sz w:val="21"/>
          <w:szCs w:val="21"/>
        </w:rPr>
        <w:t>截止</w:t>
      </w:r>
      <w:r>
        <w:rPr>
          <w:rFonts w:hint="eastAsia" w:ascii="宋体" w:hAnsi="宋体"/>
          <w:b/>
          <w:sz w:val="21"/>
          <w:szCs w:val="21"/>
        </w:rPr>
        <w:t>时间</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11.1</w:t>
      </w:r>
      <w:r>
        <w:rPr>
          <w:rFonts w:hint="eastAsia" w:ascii="宋体" w:hAnsi="宋体" w:cs="宋体"/>
          <w:kern w:val="0"/>
          <w:sz w:val="21"/>
          <w:szCs w:val="21"/>
        </w:rPr>
        <w:t>供应商提交响应文件截止</w:t>
      </w:r>
      <w:r>
        <w:rPr>
          <w:rFonts w:hint="eastAsia" w:ascii="宋体" w:hAnsi="宋体"/>
          <w:sz w:val="21"/>
          <w:szCs w:val="21"/>
        </w:rPr>
        <w:t>时间见</w:t>
      </w:r>
      <w:r>
        <w:rPr>
          <w:rFonts w:hint="eastAsia" w:ascii="宋体" w:hAnsi="宋体"/>
          <w:b/>
          <w:sz w:val="21"/>
          <w:szCs w:val="21"/>
        </w:rPr>
        <w:t>磋商须知前附表</w:t>
      </w:r>
      <w:r>
        <w:rPr>
          <w:rFonts w:hint="eastAsia" w:ascii="宋体" w:hAnsi="宋体"/>
          <w:sz w:val="21"/>
          <w:szCs w:val="21"/>
        </w:rPr>
        <w:t>。</w:t>
      </w:r>
    </w:p>
    <w:p>
      <w:pPr>
        <w:adjustRightInd w:val="0"/>
        <w:snapToGrid w:val="0"/>
        <w:spacing w:line="360" w:lineRule="auto"/>
        <w:rPr>
          <w:rFonts w:ascii="宋体" w:hAnsi="宋体"/>
          <w:b/>
          <w:bCs/>
          <w:szCs w:val="21"/>
        </w:rPr>
      </w:pPr>
      <w:r>
        <w:rPr>
          <w:rFonts w:hint="eastAsia" w:ascii="宋体" w:hAnsi="宋体"/>
          <w:b/>
          <w:bCs/>
          <w:szCs w:val="21"/>
        </w:rPr>
        <w:t>12.</w:t>
      </w:r>
      <w:r>
        <w:rPr>
          <w:rFonts w:hint="eastAsia" w:ascii="宋体" w:hAnsi="宋体"/>
          <w:szCs w:val="21"/>
        </w:rPr>
        <w:t xml:space="preserve"> </w:t>
      </w:r>
      <w:r>
        <w:rPr>
          <w:rFonts w:hint="eastAsia" w:ascii="宋体" w:hAnsi="宋体"/>
          <w:b/>
          <w:bCs/>
          <w:szCs w:val="21"/>
        </w:rPr>
        <w:t>磋商文件的澄清</w:t>
      </w:r>
      <w:r>
        <w:rPr>
          <w:rFonts w:hint="eastAsia" w:ascii="宋体" w:hAnsi="宋体"/>
          <w:b/>
          <w:kern w:val="0"/>
          <w:szCs w:val="21"/>
          <w:lang w:val="zh-CN"/>
        </w:rPr>
        <w:t>或者</w:t>
      </w:r>
      <w:r>
        <w:rPr>
          <w:rFonts w:hint="eastAsia" w:ascii="宋体" w:hAnsi="宋体"/>
          <w:b/>
          <w:bCs/>
          <w:szCs w:val="21"/>
        </w:rPr>
        <w:t>修改</w:t>
      </w:r>
    </w:p>
    <w:p>
      <w:pPr>
        <w:adjustRightInd w:val="0"/>
        <w:snapToGrid w:val="0"/>
        <w:spacing w:line="360" w:lineRule="auto"/>
        <w:ind w:right="-105" w:rightChars="-50" w:firstLine="420" w:firstLineChars="200"/>
        <w:rPr>
          <w:rFonts w:ascii="宋体" w:hAnsi="宋体" w:cs="宋体"/>
          <w:kern w:val="0"/>
          <w:szCs w:val="21"/>
        </w:rPr>
      </w:pPr>
      <w:bookmarkStart w:id="44" w:name="_Toc420948010"/>
      <w:r>
        <w:rPr>
          <w:rFonts w:hint="eastAsia" w:ascii="宋体" w:hAnsi="宋体"/>
          <w:szCs w:val="21"/>
        </w:rPr>
        <w:t>12.1在</w:t>
      </w:r>
      <w:r>
        <w:rPr>
          <w:rFonts w:hint="eastAsia" w:ascii="宋体" w:hAnsi="宋体"/>
          <w:bCs/>
          <w:szCs w:val="21"/>
        </w:rPr>
        <w:t>本章第11.1</w:t>
      </w:r>
      <w:r>
        <w:rPr>
          <w:rFonts w:hint="eastAsia" w:ascii="宋体" w:hAnsi="宋体" w:cs="宋体"/>
          <w:kern w:val="0"/>
          <w:szCs w:val="21"/>
          <w:lang w:val="zh-CN"/>
        </w:rPr>
        <w:t>款</w:t>
      </w:r>
      <w:r>
        <w:rPr>
          <w:rFonts w:hint="eastAsia" w:ascii="宋体" w:hAnsi="宋体"/>
          <w:bCs/>
          <w:szCs w:val="21"/>
        </w:rPr>
        <w:t>规定的</w:t>
      </w:r>
      <w:r>
        <w:rPr>
          <w:rFonts w:hint="eastAsia" w:ascii="宋体" w:hAnsi="宋体" w:cs="宋体"/>
          <w:kern w:val="0"/>
          <w:szCs w:val="21"/>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szCs w:val="21"/>
        </w:rPr>
        <w:t>12.2</w:t>
      </w:r>
      <w:r>
        <w:rPr>
          <w:rFonts w:hint="eastAsia" w:ascii="宋体" w:hAnsi="宋体" w:cs="宋体"/>
          <w:kern w:val="0"/>
          <w:szCs w:val="21"/>
        </w:rPr>
        <w:t>澄清或者修改的内容可能影响响应文件编制的，采购人、采购代理机构或者磋商小组应当在</w:t>
      </w:r>
      <w:r>
        <w:rPr>
          <w:rFonts w:hint="eastAsia" w:ascii="宋体" w:hAnsi="宋体"/>
          <w:bCs/>
          <w:szCs w:val="21"/>
        </w:rPr>
        <w:t>本章第11.1</w:t>
      </w:r>
      <w:r>
        <w:rPr>
          <w:rFonts w:hint="eastAsia" w:ascii="宋体" w:hAnsi="宋体" w:cs="宋体"/>
          <w:kern w:val="0"/>
          <w:szCs w:val="21"/>
          <w:lang w:val="zh-CN"/>
        </w:rPr>
        <w:t>款</w:t>
      </w:r>
      <w:r>
        <w:rPr>
          <w:rFonts w:hint="eastAsia" w:ascii="宋体" w:hAnsi="宋体"/>
          <w:bCs/>
          <w:szCs w:val="21"/>
        </w:rPr>
        <w:t>规定的</w:t>
      </w:r>
      <w:r>
        <w:rPr>
          <w:rFonts w:hint="eastAsia" w:ascii="宋体" w:hAnsi="宋体" w:cs="宋体"/>
          <w:kern w:val="0"/>
          <w:szCs w:val="21"/>
        </w:rPr>
        <w:t>提交首次响应文件截止之日5日前，以书面形式通知所有接收采购文件的</w:t>
      </w:r>
      <w:r>
        <w:rPr>
          <w:rFonts w:hint="eastAsia" w:ascii="宋体" w:hAnsi="宋体"/>
          <w:szCs w:val="21"/>
        </w:rPr>
        <w:t>供应商</w:t>
      </w:r>
      <w:r>
        <w:rPr>
          <w:rFonts w:hint="eastAsia" w:ascii="宋体" w:hAnsi="宋体" w:cs="宋体"/>
          <w:kern w:val="0"/>
          <w:szCs w:val="21"/>
        </w:rPr>
        <w:t>，不足5日的，顺延</w:t>
      </w:r>
      <w:r>
        <w:rPr>
          <w:rFonts w:hint="eastAsia" w:ascii="宋体" w:hAnsi="宋体"/>
          <w:szCs w:val="21"/>
        </w:rPr>
        <w:t>供应商</w:t>
      </w:r>
      <w:r>
        <w:rPr>
          <w:rFonts w:hint="eastAsia" w:ascii="宋体" w:hAnsi="宋体" w:cs="宋体"/>
          <w:kern w:val="0"/>
          <w:szCs w:val="21"/>
        </w:rPr>
        <w:t>提交首次响应文件截止时间。</w:t>
      </w:r>
      <w:r>
        <w:rPr>
          <w:rFonts w:hint="eastAsia" w:ascii="宋体" w:hAnsi="宋体"/>
          <w:szCs w:val="21"/>
        </w:rPr>
        <w:t>澄清或者修改文件作为磋商文件的组成部分对供应商具有约束力。</w:t>
      </w:r>
    </w:p>
    <w:p>
      <w:pPr>
        <w:pStyle w:val="22"/>
        <w:adjustRightInd w:val="0"/>
        <w:snapToGrid w:val="0"/>
        <w:spacing w:line="360" w:lineRule="auto"/>
        <w:ind w:firstLine="420" w:firstLineChars="200"/>
        <w:rPr>
          <w:rFonts w:ascii="宋体" w:hAnsi="宋体" w:cs="宋体"/>
          <w:kern w:val="0"/>
          <w:sz w:val="21"/>
          <w:szCs w:val="21"/>
        </w:rPr>
      </w:pPr>
      <w:r>
        <w:rPr>
          <w:rFonts w:hint="eastAsia" w:ascii="宋体" w:hAnsi="宋体"/>
          <w:sz w:val="21"/>
          <w:szCs w:val="21"/>
        </w:rPr>
        <w:t>12.3</w:t>
      </w:r>
      <w:r>
        <w:rPr>
          <w:rFonts w:hint="eastAsia" w:ascii="宋体" w:hAnsi="宋体" w:cs="宋体"/>
          <w:kern w:val="0"/>
          <w:sz w:val="21"/>
          <w:szCs w:val="21"/>
        </w:rPr>
        <w:t>供应商认为磋商文件存在歧视性条款的，应在收到磋商文件之日或者磋商文件公告期限届满之日起7个工作日内以书面形式向本代理机构提出。</w:t>
      </w:r>
    </w:p>
    <w:p>
      <w:pPr>
        <w:pStyle w:val="3"/>
        <w:rPr>
          <w:rFonts w:ascii="宋体" w:hAnsi="宋体"/>
          <w:sz w:val="21"/>
          <w:szCs w:val="21"/>
        </w:rPr>
      </w:pPr>
      <w:bookmarkStart w:id="45" w:name="_Toc474770908"/>
      <w:r>
        <w:rPr>
          <w:rFonts w:hint="eastAsia" w:ascii="宋体" w:hAnsi="宋体"/>
          <w:sz w:val="21"/>
          <w:szCs w:val="21"/>
        </w:rPr>
        <w:t>三、响应文件</w:t>
      </w:r>
      <w:bookmarkEnd w:id="44"/>
      <w:bookmarkEnd w:id="45"/>
    </w:p>
    <w:p>
      <w:pPr>
        <w:adjustRightInd w:val="0"/>
        <w:snapToGrid w:val="0"/>
        <w:spacing w:line="360" w:lineRule="auto"/>
        <w:rPr>
          <w:rFonts w:ascii="宋体" w:hAnsi="宋体"/>
          <w:b/>
          <w:bCs/>
          <w:szCs w:val="21"/>
        </w:rPr>
      </w:pPr>
      <w:r>
        <w:rPr>
          <w:rFonts w:hint="eastAsia" w:ascii="宋体" w:hAnsi="宋体"/>
          <w:b/>
          <w:bCs/>
          <w:szCs w:val="21"/>
        </w:rPr>
        <w:t>13.一般要求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13.1 供应商应仔细阅读</w:t>
      </w:r>
      <w:r>
        <w:rPr>
          <w:rFonts w:hint="eastAsia" w:ascii="宋体" w:hAnsi="宋体"/>
          <w:szCs w:val="21"/>
        </w:rPr>
        <w:t>磋商</w:t>
      </w:r>
      <w:r>
        <w:rPr>
          <w:rFonts w:hint="eastAsia" w:ascii="宋体" w:hAnsi="宋体"/>
          <w:bCs/>
          <w:szCs w:val="21"/>
        </w:rPr>
        <w:t>文件的所有内容，按</w:t>
      </w:r>
      <w:r>
        <w:rPr>
          <w:rFonts w:hint="eastAsia" w:ascii="宋体" w:hAnsi="宋体"/>
          <w:szCs w:val="21"/>
        </w:rPr>
        <w:t>磋商</w:t>
      </w:r>
      <w:r>
        <w:rPr>
          <w:rFonts w:hint="eastAsia" w:ascii="宋体" w:hAnsi="宋体"/>
          <w:bCs/>
          <w:szCs w:val="21"/>
        </w:rPr>
        <w:t>文件的要求编制</w:t>
      </w:r>
      <w:r>
        <w:rPr>
          <w:rFonts w:hint="eastAsia" w:ascii="宋体" w:hAnsi="宋体"/>
          <w:szCs w:val="21"/>
        </w:rPr>
        <w:t>响应</w:t>
      </w:r>
      <w:r>
        <w:rPr>
          <w:rFonts w:hint="eastAsia" w:ascii="宋体" w:hAnsi="宋体"/>
          <w:bCs/>
          <w:szCs w:val="21"/>
        </w:rPr>
        <w:t>文件，并保证所提供的全部资料的真实性，以使其</w:t>
      </w:r>
      <w:r>
        <w:rPr>
          <w:rFonts w:hint="eastAsia" w:ascii="宋体" w:hAnsi="宋体"/>
          <w:szCs w:val="21"/>
        </w:rPr>
        <w:t>响应</w:t>
      </w:r>
      <w:r>
        <w:rPr>
          <w:rFonts w:hint="eastAsia" w:ascii="宋体" w:hAnsi="宋体"/>
          <w:bCs/>
          <w:szCs w:val="21"/>
        </w:rPr>
        <w:t>文件对</w:t>
      </w:r>
      <w:r>
        <w:rPr>
          <w:rFonts w:hint="eastAsia" w:ascii="宋体" w:hAnsi="宋体"/>
          <w:szCs w:val="21"/>
        </w:rPr>
        <w:t>磋商</w:t>
      </w:r>
      <w:r>
        <w:rPr>
          <w:rFonts w:hint="eastAsia" w:ascii="宋体" w:hAnsi="宋体"/>
          <w:bCs/>
          <w:szCs w:val="21"/>
        </w:rPr>
        <w:t>文件做出实质性的响应。</w:t>
      </w:r>
    </w:p>
    <w:p>
      <w:pPr>
        <w:adjustRightInd w:val="0"/>
        <w:snapToGrid w:val="0"/>
        <w:spacing w:line="360" w:lineRule="auto"/>
        <w:ind w:firstLine="420" w:firstLineChars="200"/>
        <w:rPr>
          <w:rFonts w:ascii="宋体" w:hAnsi="宋体"/>
          <w:bCs/>
          <w:szCs w:val="21"/>
        </w:rPr>
      </w:pPr>
      <w:r>
        <w:rPr>
          <w:rFonts w:hint="eastAsia" w:ascii="宋体" w:hAnsi="宋体"/>
          <w:bCs/>
          <w:szCs w:val="21"/>
        </w:rPr>
        <w:t xml:space="preserve">13.2 </w:t>
      </w:r>
      <w:r>
        <w:rPr>
          <w:rFonts w:hint="eastAsia" w:ascii="宋体" w:hAnsi="宋体"/>
          <w:szCs w:val="21"/>
        </w:rPr>
        <w:t>供应商提交的响应文件及供应商与采购人或代理机构就有关磋商的所有来往函电均使用中文。供应商可以提交其它语言的资料，但应附中文注释，在有差异时以中文为准。</w:t>
      </w:r>
    </w:p>
    <w:p>
      <w:pPr>
        <w:pStyle w:val="22"/>
        <w:adjustRightInd w:val="0"/>
        <w:snapToGrid w:val="0"/>
        <w:spacing w:line="360" w:lineRule="auto"/>
        <w:ind w:firstLine="420" w:firstLineChars="200"/>
        <w:rPr>
          <w:rFonts w:ascii="宋体" w:hAnsi="宋体"/>
          <w:sz w:val="21"/>
          <w:szCs w:val="21"/>
        </w:rPr>
      </w:pPr>
      <w:r>
        <w:rPr>
          <w:rFonts w:hint="eastAsia" w:ascii="宋体" w:hAnsi="宋体"/>
          <w:bCs/>
          <w:sz w:val="21"/>
          <w:szCs w:val="21"/>
        </w:rPr>
        <w:t xml:space="preserve">13.3 </w:t>
      </w:r>
      <w:r>
        <w:rPr>
          <w:rFonts w:hint="eastAsia" w:ascii="宋体" w:hAnsi="宋体"/>
          <w:sz w:val="21"/>
          <w:szCs w:val="21"/>
        </w:rPr>
        <w:t>计量单位应使用我国法定计量单位，未列明时应默认为我国法定计量单位。</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13.4 响应文件应采用书面形式，传真、电子邮件形式的响应文件概不接受。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13.5 供应商应按磋商文件中提供的响应文件格式填写。</w:t>
      </w:r>
    </w:p>
    <w:p>
      <w:pPr>
        <w:adjustRightInd w:val="0"/>
        <w:snapToGrid w:val="0"/>
        <w:spacing w:line="360" w:lineRule="auto"/>
        <w:rPr>
          <w:rFonts w:ascii="宋体" w:hAnsi="宋体"/>
          <w:b/>
          <w:bCs/>
          <w:szCs w:val="21"/>
        </w:rPr>
      </w:pPr>
      <w:r>
        <w:rPr>
          <w:rFonts w:hint="eastAsia" w:ascii="宋体" w:hAnsi="宋体"/>
          <w:b/>
          <w:bCs/>
          <w:szCs w:val="21"/>
        </w:rPr>
        <w:t>14.</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jc w:val="left"/>
        <w:rPr>
          <w:rFonts w:ascii="宋体" w:hAnsi="宋体"/>
          <w:szCs w:val="21"/>
        </w:rPr>
      </w:pPr>
      <w:bookmarkStart w:id="46" w:name="_Toc432175034"/>
      <w:bookmarkStart w:id="47" w:name="_Toc432242303"/>
      <w:bookmarkStart w:id="48" w:name="_Toc428285922"/>
      <w:bookmarkStart w:id="49" w:name="_Toc432175154"/>
      <w:bookmarkStart w:id="50" w:name="_Toc427862404"/>
      <w:bookmarkStart w:id="51" w:name="_Toc432242402"/>
      <w:bookmarkStart w:id="52" w:name="_Toc432175092"/>
      <w:bookmarkStart w:id="53" w:name="_Toc420948011"/>
      <w:r>
        <w:rPr>
          <w:rFonts w:hint="eastAsia" w:ascii="宋体" w:hAnsi="宋体"/>
          <w:szCs w:val="21"/>
        </w:rPr>
        <w:t>14.1 响应文件包括下列内容：</w:t>
      </w:r>
      <w:bookmarkEnd w:id="46"/>
      <w:bookmarkEnd w:id="47"/>
      <w:bookmarkEnd w:id="48"/>
      <w:bookmarkEnd w:id="49"/>
      <w:bookmarkEnd w:id="50"/>
      <w:bookmarkEnd w:id="51"/>
      <w:bookmarkEnd w:id="52"/>
      <w:bookmarkEnd w:id="53"/>
      <w:r>
        <w:rPr>
          <w:rFonts w:hint="eastAsia" w:ascii="宋体" w:hAnsi="宋体"/>
          <w:szCs w:val="21"/>
        </w:rPr>
        <w:t xml:space="preserve"> </w:t>
      </w:r>
    </w:p>
    <w:p>
      <w:pPr>
        <w:adjustRightInd w:val="0"/>
        <w:snapToGrid w:val="0"/>
        <w:spacing w:line="360" w:lineRule="auto"/>
        <w:ind w:firstLine="420" w:firstLineChars="200"/>
        <w:rPr>
          <w:rFonts w:ascii="宋体" w:hAnsi="宋体"/>
          <w:bCs/>
          <w:szCs w:val="21"/>
        </w:rPr>
      </w:pPr>
      <w:r>
        <w:rPr>
          <w:rFonts w:hint="eastAsia" w:ascii="宋体" w:hAnsi="宋体"/>
          <w:bCs/>
          <w:szCs w:val="21"/>
        </w:rPr>
        <w:t>（1）资格性自查表</w:t>
      </w:r>
    </w:p>
    <w:p>
      <w:pPr>
        <w:adjustRightInd w:val="0"/>
        <w:snapToGrid w:val="0"/>
        <w:spacing w:line="360" w:lineRule="auto"/>
        <w:ind w:firstLine="420" w:firstLineChars="200"/>
        <w:rPr>
          <w:rFonts w:ascii="宋体" w:hAnsi="宋体"/>
          <w:bCs/>
          <w:szCs w:val="21"/>
        </w:rPr>
      </w:pPr>
      <w:r>
        <w:rPr>
          <w:rFonts w:hint="eastAsia" w:ascii="宋体" w:hAnsi="宋体"/>
          <w:bCs/>
          <w:szCs w:val="21"/>
        </w:rPr>
        <w:t>（2）磋商函、磋商声明</w:t>
      </w:r>
    </w:p>
    <w:p>
      <w:pPr>
        <w:adjustRightInd w:val="0"/>
        <w:snapToGrid w:val="0"/>
        <w:spacing w:line="360" w:lineRule="auto"/>
        <w:ind w:firstLine="420" w:firstLineChars="200"/>
        <w:rPr>
          <w:rFonts w:ascii="宋体" w:hAnsi="宋体"/>
          <w:bCs/>
          <w:szCs w:val="21"/>
        </w:rPr>
      </w:pPr>
      <w:r>
        <w:rPr>
          <w:rFonts w:hint="eastAsia" w:ascii="宋体" w:hAnsi="宋体"/>
          <w:bCs/>
          <w:szCs w:val="21"/>
        </w:rPr>
        <w:t>（3）磋商保证金</w:t>
      </w:r>
    </w:p>
    <w:p>
      <w:pPr>
        <w:adjustRightInd w:val="0"/>
        <w:snapToGrid w:val="0"/>
        <w:spacing w:line="360" w:lineRule="auto"/>
        <w:ind w:firstLine="420" w:firstLineChars="200"/>
        <w:rPr>
          <w:rFonts w:ascii="宋体" w:hAnsi="宋体"/>
          <w:bCs/>
          <w:szCs w:val="21"/>
        </w:rPr>
      </w:pPr>
      <w:r>
        <w:rPr>
          <w:rFonts w:hint="eastAsia" w:ascii="宋体" w:hAnsi="宋体"/>
          <w:bCs/>
          <w:szCs w:val="21"/>
        </w:rPr>
        <w:t>（4）报价一览表及报价明细表</w:t>
      </w:r>
    </w:p>
    <w:p>
      <w:pPr>
        <w:adjustRightInd w:val="0"/>
        <w:snapToGrid w:val="0"/>
        <w:spacing w:line="360" w:lineRule="auto"/>
        <w:ind w:firstLine="420" w:firstLineChars="200"/>
        <w:rPr>
          <w:rFonts w:ascii="宋体" w:hAnsi="宋体"/>
          <w:bCs/>
          <w:szCs w:val="21"/>
        </w:rPr>
      </w:pPr>
      <w:r>
        <w:rPr>
          <w:rFonts w:hint="eastAsia" w:ascii="宋体" w:hAnsi="宋体"/>
          <w:bCs/>
          <w:szCs w:val="21"/>
        </w:rPr>
        <w:t>（5）供应商的资格审查材料</w:t>
      </w:r>
    </w:p>
    <w:p>
      <w:pPr>
        <w:adjustRightInd w:val="0"/>
        <w:snapToGrid w:val="0"/>
        <w:spacing w:line="360" w:lineRule="auto"/>
        <w:ind w:firstLine="420" w:firstLineChars="200"/>
        <w:rPr>
          <w:rFonts w:ascii="宋体" w:hAnsi="宋体"/>
          <w:bCs/>
          <w:szCs w:val="21"/>
        </w:rPr>
      </w:pPr>
      <w:r>
        <w:rPr>
          <w:rFonts w:hint="eastAsia" w:ascii="宋体" w:hAnsi="宋体"/>
          <w:bCs/>
          <w:szCs w:val="21"/>
        </w:rPr>
        <w:t>（6）货物说明</w:t>
      </w:r>
      <w:r>
        <w:rPr>
          <w:rFonts w:hint="eastAsia" w:ascii="宋体" w:hAnsi="宋体"/>
          <w:bCs/>
          <w:szCs w:val="21"/>
        </w:rPr>
        <w:tab/>
      </w:r>
    </w:p>
    <w:p>
      <w:pPr>
        <w:adjustRightInd w:val="0"/>
        <w:snapToGrid w:val="0"/>
        <w:spacing w:line="360" w:lineRule="auto"/>
        <w:ind w:firstLine="420" w:firstLineChars="200"/>
        <w:rPr>
          <w:rFonts w:ascii="宋体" w:hAnsi="宋体"/>
          <w:bCs/>
          <w:szCs w:val="21"/>
        </w:rPr>
      </w:pPr>
      <w:r>
        <w:rPr>
          <w:rFonts w:hint="eastAsia" w:ascii="宋体" w:hAnsi="宋体"/>
          <w:bCs/>
          <w:szCs w:val="21"/>
        </w:rPr>
        <w:t>（7）实施方案</w:t>
      </w:r>
      <w:r>
        <w:rPr>
          <w:rFonts w:hint="eastAsia" w:ascii="宋体" w:hAnsi="宋体"/>
          <w:bCs/>
          <w:szCs w:val="21"/>
        </w:rPr>
        <w:tab/>
      </w:r>
    </w:p>
    <w:p>
      <w:pPr>
        <w:adjustRightInd w:val="0"/>
        <w:snapToGrid w:val="0"/>
        <w:spacing w:line="360" w:lineRule="auto"/>
        <w:ind w:firstLine="420" w:firstLineChars="200"/>
        <w:rPr>
          <w:rFonts w:ascii="宋体" w:hAnsi="宋体"/>
          <w:bCs/>
          <w:szCs w:val="21"/>
        </w:rPr>
      </w:pPr>
      <w:r>
        <w:rPr>
          <w:rFonts w:hint="eastAsia" w:ascii="宋体" w:hAnsi="宋体"/>
          <w:bCs/>
          <w:szCs w:val="21"/>
        </w:rPr>
        <w:t>（8）偏离表</w:t>
      </w:r>
      <w:r>
        <w:rPr>
          <w:rFonts w:hint="eastAsia" w:ascii="宋体" w:hAnsi="宋体"/>
          <w:bCs/>
          <w:szCs w:val="21"/>
        </w:rPr>
        <w:tab/>
      </w:r>
    </w:p>
    <w:p>
      <w:pPr>
        <w:adjustRightInd w:val="0"/>
        <w:snapToGrid w:val="0"/>
        <w:spacing w:line="360" w:lineRule="auto"/>
        <w:ind w:firstLine="420" w:firstLineChars="200"/>
        <w:rPr>
          <w:rFonts w:ascii="宋体" w:hAnsi="宋体"/>
          <w:bCs/>
          <w:szCs w:val="21"/>
        </w:rPr>
      </w:pPr>
      <w:r>
        <w:rPr>
          <w:rFonts w:hint="eastAsia" w:ascii="宋体" w:hAnsi="宋体"/>
          <w:bCs/>
          <w:szCs w:val="21"/>
        </w:rPr>
        <w:t>（9）供应商认为需要提供的其它资料</w:t>
      </w:r>
      <w:r>
        <w:rPr>
          <w:rFonts w:hint="eastAsia" w:ascii="宋体" w:hAnsi="宋体"/>
          <w:bCs/>
          <w:szCs w:val="21"/>
        </w:rPr>
        <w:tab/>
      </w:r>
    </w:p>
    <w:p>
      <w:pPr>
        <w:adjustRightInd w:val="0"/>
        <w:snapToGrid w:val="0"/>
        <w:spacing w:line="360" w:lineRule="auto"/>
        <w:ind w:firstLine="420" w:firstLineChars="200"/>
        <w:rPr>
          <w:rFonts w:ascii="宋体" w:hAnsi="宋体"/>
          <w:szCs w:val="21"/>
        </w:rPr>
      </w:pPr>
      <w:r>
        <w:rPr>
          <w:rFonts w:hint="eastAsia" w:ascii="宋体" w:hAnsi="宋体"/>
          <w:szCs w:val="21"/>
        </w:rPr>
        <w:t>14.2根据《政府采购法》第四十二条的规定，供应商无论成交与否，其响应文件不予退还。</w:t>
      </w:r>
    </w:p>
    <w:p>
      <w:pPr>
        <w:adjustRightInd w:val="0"/>
        <w:snapToGrid w:val="0"/>
        <w:spacing w:line="360" w:lineRule="auto"/>
        <w:rPr>
          <w:rFonts w:ascii="宋体" w:hAnsi="宋体"/>
          <w:b/>
          <w:bCs/>
          <w:szCs w:val="21"/>
        </w:rPr>
      </w:pPr>
      <w:r>
        <w:rPr>
          <w:rFonts w:hint="eastAsia" w:ascii="宋体" w:hAnsi="宋体"/>
          <w:b/>
          <w:bCs/>
          <w:szCs w:val="21"/>
        </w:rPr>
        <w:t>15.报价</w:t>
      </w:r>
    </w:p>
    <w:p>
      <w:pPr>
        <w:adjustRightInd w:val="0"/>
        <w:snapToGrid w:val="0"/>
        <w:spacing w:line="360" w:lineRule="auto"/>
        <w:ind w:firstLine="420" w:firstLineChars="200"/>
        <w:rPr>
          <w:rFonts w:ascii="宋体" w:hAnsi="宋体"/>
          <w:szCs w:val="21"/>
        </w:rPr>
      </w:pPr>
      <w:r>
        <w:rPr>
          <w:rFonts w:hint="eastAsia" w:ascii="宋体" w:hAnsi="宋体"/>
          <w:szCs w:val="21"/>
        </w:rPr>
        <w:t>15.1供应商应当根据磋商文件要求和采购内容，以</w:t>
      </w:r>
      <w:r>
        <w:rPr>
          <w:rFonts w:hint="eastAsia" w:ascii="宋体" w:hAnsi="宋体"/>
          <w:bCs/>
          <w:szCs w:val="21"/>
        </w:rPr>
        <w:t>人民币</w:t>
      </w:r>
      <w:r>
        <w:rPr>
          <w:rFonts w:hint="eastAsia" w:ascii="宋体" w:hAnsi="宋体"/>
          <w:szCs w:val="21"/>
        </w:rPr>
        <w:t>报价，以元为单位，保留小数点后两位。</w:t>
      </w:r>
    </w:p>
    <w:p>
      <w:pPr>
        <w:pStyle w:val="111"/>
        <w:adjustRightInd w:val="0"/>
        <w:snapToGrid w:val="0"/>
        <w:spacing w:line="360" w:lineRule="auto"/>
        <w:ind w:firstLine="420" w:firstLineChars="200"/>
        <w:rPr>
          <w:rFonts w:ascii="宋体" w:hAnsi="宋体"/>
          <w:kern w:val="2"/>
        </w:rPr>
      </w:pPr>
      <w:r>
        <w:rPr>
          <w:rFonts w:hint="eastAsia" w:ascii="宋体" w:hAnsi="宋体"/>
          <w:kern w:val="2"/>
        </w:rPr>
        <w:t>15.2磋商报价是履行合同的最终价格，应包括为完成本项目招标范围内所有货物、包装运输、试验检测、装卸、保险、税金及其它附带服务的全部费用。供应商漏报的单价或每项单价报价中漏报、少报的费用，视为此项费用已包含在已标价货物的单价和合价中，中标后不予调整。</w:t>
      </w:r>
    </w:p>
    <w:p>
      <w:pPr>
        <w:pStyle w:val="111"/>
        <w:adjustRightInd w:val="0"/>
        <w:snapToGrid w:val="0"/>
        <w:spacing w:line="360" w:lineRule="auto"/>
        <w:ind w:firstLine="420" w:firstLineChars="200"/>
        <w:rPr>
          <w:rFonts w:ascii="宋体" w:hAnsi="宋体"/>
        </w:rPr>
      </w:pPr>
      <w:r>
        <w:rPr>
          <w:rFonts w:hint="eastAsia" w:ascii="宋体" w:hAnsi="宋体"/>
        </w:rPr>
        <w:t>15.3供应商应按第四章“采购需求”要求及第五章“响应文件格式”格式填写。供应商在</w:t>
      </w:r>
      <w:r>
        <w:rPr>
          <w:rFonts w:hint="eastAsia" w:ascii="宋体" w:hAnsi="宋体"/>
          <w:bCs/>
        </w:rPr>
        <w:t>本章第11.1</w:t>
      </w:r>
      <w:r>
        <w:rPr>
          <w:rFonts w:hint="eastAsia" w:ascii="宋体" w:hAnsi="宋体" w:cs="宋体"/>
          <w:lang w:val="zh-CN"/>
        </w:rPr>
        <w:t>款</w:t>
      </w:r>
      <w:r>
        <w:rPr>
          <w:rFonts w:hint="eastAsia" w:ascii="宋体" w:hAnsi="宋体"/>
          <w:bCs/>
        </w:rPr>
        <w:t>规定的</w:t>
      </w:r>
      <w:r>
        <w:rPr>
          <w:rFonts w:hint="eastAsia" w:ascii="宋体" w:hAnsi="宋体" w:cs="宋体"/>
        </w:rPr>
        <w:t>提交</w:t>
      </w:r>
      <w:r>
        <w:rPr>
          <w:rFonts w:hint="eastAsia" w:ascii="宋体" w:hAnsi="宋体"/>
        </w:rPr>
        <w:t>响应</w:t>
      </w:r>
      <w:r>
        <w:rPr>
          <w:rFonts w:hint="eastAsia" w:ascii="宋体" w:hAnsi="宋体" w:cs="宋体"/>
        </w:rPr>
        <w:t>文件截止之日前</w:t>
      </w:r>
      <w:r>
        <w:rPr>
          <w:rFonts w:hint="eastAsia" w:ascii="宋体" w:hAnsi="宋体"/>
        </w:rPr>
        <w:t>修改报价，应同时修改其按第五章要求填写的相应表格中的报价。此修改须符合本章第21.1款的有关要求。</w:t>
      </w:r>
    </w:p>
    <w:p>
      <w:pPr>
        <w:pStyle w:val="111"/>
        <w:adjustRightInd w:val="0"/>
        <w:snapToGrid w:val="0"/>
        <w:spacing w:line="360" w:lineRule="auto"/>
        <w:ind w:firstLine="420" w:firstLineChars="200"/>
        <w:rPr>
          <w:rFonts w:ascii="宋体" w:hAnsi="宋体"/>
        </w:rPr>
      </w:pPr>
      <w:r>
        <w:rPr>
          <w:rFonts w:hint="eastAsia" w:ascii="宋体" w:hAnsi="宋体"/>
        </w:rPr>
        <w:t>15.4响应文件中标明的价格在合同执行过程中是固定不变的，不得以任何理由予以变更。以可变动价格提交的报价将被认为是非实质响应而被拒绝。</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15.5</w:t>
      </w:r>
      <w:r>
        <w:rPr>
          <w:rFonts w:hint="eastAsia" w:ascii="宋体" w:hAnsi="宋体" w:cs="宋体"/>
          <w:kern w:val="0"/>
          <w:sz w:val="21"/>
          <w:szCs w:val="21"/>
          <w:lang w:val="zh-CN"/>
        </w:rPr>
        <w:t>供应商</w:t>
      </w:r>
      <w:r>
        <w:rPr>
          <w:rFonts w:hint="eastAsia" w:ascii="宋体" w:hAnsi="宋体"/>
          <w:sz w:val="21"/>
          <w:szCs w:val="21"/>
        </w:rPr>
        <w:t>的报价不得超过采购项目预算，采购项目预算或其计算方法见</w:t>
      </w:r>
      <w:r>
        <w:rPr>
          <w:rFonts w:hint="eastAsia" w:ascii="宋体" w:hAnsi="宋体"/>
          <w:b/>
          <w:sz w:val="21"/>
          <w:szCs w:val="21"/>
        </w:rPr>
        <w:t>磋商须知前附表</w:t>
      </w:r>
      <w:r>
        <w:rPr>
          <w:rFonts w:hint="eastAsia" w:ascii="宋体" w:hAnsi="宋体"/>
          <w:sz w:val="21"/>
          <w:szCs w:val="21"/>
        </w:rPr>
        <w:t>。</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15.6采购人不保证将合同授予最低报价的供应商。</w:t>
      </w:r>
    </w:p>
    <w:p>
      <w:pPr>
        <w:pStyle w:val="22"/>
        <w:adjustRightInd w:val="0"/>
        <w:snapToGrid w:val="0"/>
        <w:spacing w:line="360" w:lineRule="auto"/>
        <w:rPr>
          <w:rFonts w:ascii="宋体" w:hAnsi="宋体"/>
          <w:b/>
          <w:sz w:val="21"/>
          <w:szCs w:val="21"/>
        </w:rPr>
      </w:pPr>
      <w:r>
        <w:rPr>
          <w:rFonts w:hint="eastAsia" w:ascii="宋体" w:hAnsi="宋体"/>
          <w:b/>
          <w:sz w:val="21"/>
          <w:szCs w:val="21"/>
        </w:rPr>
        <w:t>16.符合磋商文件规定的证明文件</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16.1供应商</w:t>
      </w:r>
      <w:r>
        <w:rPr>
          <w:rFonts w:hint="eastAsia" w:ascii="宋体" w:hAnsi="宋体"/>
          <w:szCs w:val="21"/>
        </w:rPr>
        <w:t>符合磋商文件规定的资格证明文件</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lang w:val="zh-CN"/>
        </w:rPr>
        <w:t>16.1.1</w:t>
      </w:r>
      <w:r>
        <w:rPr>
          <w:rFonts w:hint="eastAsia" w:ascii="宋体" w:hAnsi="宋体"/>
          <w:szCs w:val="21"/>
        </w:rPr>
        <w:t>供应商应提供资格证明材料，以证实其各项条件能满足本章第3.1</w:t>
      </w:r>
      <w:r>
        <w:rPr>
          <w:rFonts w:hint="eastAsia" w:ascii="宋体" w:hAnsi="宋体" w:cs="宋体"/>
          <w:kern w:val="0"/>
          <w:szCs w:val="21"/>
          <w:lang w:val="zh-CN"/>
        </w:rPr>
        <w:t>款</w:t>
      </w:r>
      <w:r>
        <w:rPr>
          <w:rFonts w:hint="eastAsia" w:ascii="宋体" w:hAnsi="宋体"/>
          <w:szCs w:val="21"/>
        </w:rPr>
        <w:t>规定的供应商资格条件要求。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16.1.2</w:t>
      </w:r>
      <w:r>
        <w:rPr>
          <w:rFonts w:hint="eastAsia" w:ascii="宋体" w:hAnsi="宋体" w:cs="宋体"/>
          <w:kern w:val="0"/>
          <w:szCs w:val="21"/>
          <w:lang w:val="zh-CN"/>
        </w:rPr>
        <w:t>供应商</w:t>
      </w:r>
      <w:r>
        <w:rPr>
          <w:rFonts w:hint="eastAsia" w:ascii="宋体" w:hAnsi="宋体"/>
          <w:szCs w:val="21"/>
        </w:rPr>
        <w:t>为联合体形式的，则应提交联合体各方资格文件、联合体协议，否则将视为非实质而被拒绝。</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lang w:val="zh-CN"/>
        </w:rPr>
        <w:t>16.1.3</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止，供应商资格条件发生重大变化，影响或者可能影响资格条件的，供应商应更新或者补充提供的资格证明材料，以证实其各项条件仍能继续满足本章第3.1</w:t>
      </w:r>
      <w:r>
        <w:rPr>
          <w:rFonts w:hint="eastAsia" w:ascii="宋体" w:hAnsi="宋体" w:cs="宋体"/>
          <w:kern w:val="0"/>
          <w:szCs w:val="21"/>
          <w:lang w:val="zh-CN"/>
        </w:rPr>
        <w:t>款</w:t>
      </w:r>
      <w:r>
        <w:rPr>
          <w:rFonts w:hint="eastAsia" w:ascii="宋体" w:hAnsi="宋体"/>
          <w:szCs w:val="21"/>
        </w:rPr>
        <w:t>规定的供应商资格条件要求。</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16.1.4供应商应当提交符合竞争性磋商文件规定的业绩证明文件,该证明文件作为响应文件的一部分，业绩证明文件要求详见</w:t>
      </w:r>
      <w:r>
        <w:rPr>
          <w:rFonts w:hint="eastAsia" w:ascii="宋体" w:hAnsi="宋体" w:cs="宋体"/>
          <w:b/>
          <w:kern w:val="0"/>
          <w:szCs w:val="21"/>
        </w:rPr>
        <w:t>须知前附表</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16.2货物</w:t>
      </w:r>
      <w:r>
        <w:rPr>
          <w:rFonts w:hint="eastAsia" w:ascii="宋体" w:hAnsi="宋体"/>
          <w:szCs w:val="21"/>
        </w:rPr>
        <w:t>符合招标文件规定的资格证明文件</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16.2.1供应商应当提交其拟供的合同项下货物及其服务符合磋商文件规定的证明文件,该证明文件作为响应文件的一部分。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16.2.2供应商在货物说明一览表中应当说明货物的品牌型号、规格参数、制造商及原产地等，交货时应出具原产地证明及出厂合格证明。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16.2.3上述证明文件可以是文字资料、图纸和数据，并须提供：</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（1）货物主要性能和参数的详细说明； </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（2）对照磋商文件技术规格，逐条说明所提供货物和服务对磋商文件的技术规格条文的响应与偏离。对有具体参数要求的指标，供应商应提供具体参数值。</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（3）对照磋商文件技术规格，逐条说明所提供货物和服务对磋商文件的技术规格条文的响应与偏离。对有具体参数要求的指标，供应商应提供具体参数值。</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（4）供应商对加注星号（“</w:t>
      </w:r>
      <w:r>
        <w:rPr>
          <w:rFonts w:hint="eastAsia" w:ascii="宋体" w:hAnsi="宋体" w:cs="宋体"/>
          <w:b/>
          <w:kern w:val="0"/>
          <w:szCs w:val="21"/>
        </w:rPr>
        <w:t>★</w:t>
      </w:r>
      <w:r>
        <w:rPr>
          <w:rFonts w:hint="eastAsia" w:ascii="宋体" w:hAnsi="宋体" w:cs="宋体"/>
          <w:kern w:val="0"/>
          <w:szCs w:val="21"/>
        </w:rPr>
        <w:t>”）的重要技术条款或技术参数应当在响应文件中提供技术支持资料。技术支持资料以货物制造商公开发布的印刷资料或经国家机关认可的检测机构出具的检测报告为准。凡不符合上述要求的，将视为无效技术支持资料。若制造商公开发布的印刷资料与检测机构出具的检测报告不一致，以检测机构出具的检测报告为准。</w:t>
      </w:r>
    </w:p>
    <w:p>
      <w:pPr>
        <w:pStyle w:val="22"/>
        <w:adjustRightInd w:val="0"/>
        <w:snapToGrid w:val="0"/>
        <w:spacing w:line="360" w:lineRule="auto"/>
        <w:rPr>
          <w:rFonts w:ascii="宋体" w:hAnsi="宋体"/>
          <w:b/>
          <w:sz w:val="21"/>
          <w:szCs w:val="21"/>
        </w:rPr>
      </w:pPr>
      <w:r>
        <w:rPr>
          <w:rFonts w:hint="eastAsia" w:ascii="宋体" w:hAnsi="宋体"/>
          <w:b/>
          <w:sz w:val="21"/>
          <w:szCs w:val="21"/>
        </w:rPr>
        <w:t>17. 磋商保证金</w:t>
      </w:r>
    </w:p>
    <w:p>
      <w:pPr>
        <w:pStyle w:val="22"/>
        <w:adjustRightInd w:val="0"/>
        <w:snapToGrid w:val="0"/>
        <w:spacing w:line="360" w:lineRule="auto"/>
        <w:ind w:firstLine="420" w:firstLineChars="200"/>
        <w:rPr>
          <w:rFonts w:ascii="宋体" w:hAnsi="宋体"/>
          <w:bCs/>
          <w:sz w:val="21"/>
          <w:szCs w:val="21"/>
        </w:rPr>
      </w:pPr>
      <w:r>
        <w:rPr>
          <w:rFonts w:hint="eastAsia" w:ascii="宋体" w:hAnsi="宋体"/>
          <w:sz w:val="21"/>
          <w:szCs w:val="21"/>
        </w:rPr>
        <w:t>17.1</w:t>
      </w:r>
      <w:r>
        <w:rPr>
          <w:rFonts w:hint="eastAsia" w:ascii="宋体" w:hAnsi="宋体"/>
          <w:b/>
          <w:sz w:val="21"/>
          <w:szCs w:val="21"/>
        </w:rPr>
        <w:t>磋商须知前附表</w:t>
      </w:r>
      <w:r>
        <w:rPr>
          <w:rFonts w:hint="eastAsia" w:ascii="宋体" w:hAnsi="宋体"/>
          <w:sz w:val="21"/>
          <w:szCs w:val="21"/>
        </w:rPr>
        <w:t>规定提交磋商保证金的，应按</w:t>
      </w:r>
      <w:r>
        <w:rPr>
          <w:rFonts w:hint="eastAsia" w:ascii="宋体" w:hAnsi="宋体"/>
          <w:b/>
          <w:sz w:val="21"/>
          <w:szCs w:val="21"/>
        </w:rPr>
        <w:t>磋商须知前附表</w:t>
      </w:r>
      <w:r>
        <w:rPr>
          <w:rFonts w:hint="eastAsia" w:ascii="宋体" w:hAnsi="宋体"/>
          <w:sz w:val="21"/>
          <w:szCs w:val="21"/>
        </w:rPr>
        <w:t>规定的形式、金额，在本章第11.1</w:t>
      </w:r>
      <w:r>
        <w:rPr>
          <w:rFonts w:hint="eastAsia" w:ascii="宋体" w:hAnsi="宋体" w:cs="宋体"/>
          <w:kern w:val="0"/>
          <w:sz w:val="21"/>
          <w:szCs w:val="21"/>
          <w:lang w:val="zh-CN"/>
        </w:rPr>
        <w:t>款</w:t>
      </w:r>
      <w:r>
        <w:rPr>
          <w:rFonts w:hint="eastAsia" w:ascii="宋体" w:hAnsi="宋体"/>
          <w:sz w:val="21"/>
          <w:szCs w:val="21"/>
        </w:rPr>
        <w:t>规定的</w:t>
      </w:r>
      <w:r>
        <w:rPr>
          <w:rFonts w:hint="eastAsia" w:ascii="宋体" w:hAnsi="宋体" w:cs="宋体"/>
          <w:kern w:val="0"/>
          <w:sz w:val="21"/>
          <w:szCs w:val="21"/>
        </w:rPr>
        <w:t>提交</w:t>
      </w:r>
      <w:r>
        <w:rPr>
          <w:rFonts w:hint="eastAsia" w:ascii="宋体" w:hAnsi="宋体"/>
          <w:sz w:val="21"/>
          <w:szCs w:val="21"/>
        </w:rPr>
        <w:t>响应</w:t>
      </w:r>
      <w:r>
        <w:rPr>
          <w:rFonts w:hint="eastAsia" w:ascii="宋体" w:hAnsi="宋体" w:cs="宋体"/>
          <w:kern w:val="0"/>
          <w:sz w:val="21"/>
          <w:szCs w:val="21"/>
        </w:rPr>
        <w:t>文件截止时间</w:t>
      </w:r>
      <w:r>
        <w:rPr>
          <w:rFonts w:hint="eastAsia" w:ascii="宋体" w:hAnsi="宋体"/>
          <w:sz w:val="21"/>
          <w:szCs w:val="21"/>
        </w:rPr>
        <w:t>前，</w:t>
      </w:r>
      <w:r>
        <w:rPr>
          <w:rFonts w:hint="eastAsia" w:ascii="宋体" w:hAnsi="宋体"/>
          <w:bCs/>
          <w:sz w:val="21"/>
          <w:szCs w:val="21"/>
        </w:rPr>
        <w:t>提交磋商保证金</w:t>
      </w:r>
      <w:r>
        <w:rPr>
          <w:rFonts w:hint="eastAsia" w:ascii="宋体" w:hAnsi="宋体"/>
          <w:sz w:val="21"/>
          <w:szCs w:val="21"/>
        </w:rPr>
        <w:t>。</w:t>
      </w:r>
      <w:r>
        <w:rPr>
          <w:rFonts w:hint="eastAsia" w:ascii="宋体" w:hAnsi="宋体"/>
          <w:bCs/>
          <w:sz w:val="21"/>
          <w:szCs w:val="21"/>
        </w:rPr>
        <w:t>磋商保证金有效期应当与</w:t>
      </w:r>
      <w:r>
        <w:rPr>
          <w:rFonts w:hint="eastAsia" w:ascii="宋体" w:hAnsi="宋体"/>
          <w:sz w:val="21"/>
          <w:szCs w:val="21"/>
        </w:rPr>
        <w:t>本章第18.1</w:t>
      </w:r>
      <w:r>
        <w:rPr>
          <w:rFonts w:hint="eastAsia" w:ascii="宋体" w:hAnsi="宋体" w:cs="宋体"/>
          <w:kern w:val="0"/>
          <w:sz w:val="21"/>
          <w:szCs w:val="21"/>
          <w:lang w:val="zh-CN"/>
        </w:rPr>
        <w:t>款</w:t>
      </w:r>
      <w:r>
        <w:rPr>
          <w:rFonts w:hint="eastAsia" w:ascii="宋体" w:hAnsi="宋体"/>
          <w:sz w:val="21"/>
          <w:szCs w:val="21"/>
        </w:rPr>
        <w:t>规定的响应</w:t>
      </w:r>
      <w:r>
        <w:rPr>
          <w:rFonts w:hint="eastAsia" w:ascii="宋体" w:hAnsi="宋体"/>
          <w:bCs/>
          <w:sz w:val="21"/>
          <w:szCs w:val="21"/>
        </w:rPr>
        <w:t>文件有效期一致。</w:t>
      </w:r>
    </w:p>
    <w:p>
      <w:pPr>
        <w:adjustRightInd w:val="0"/>
        <w:snapToGrid w:val="0"/>
        <w:spacing w:line="360" w:lineRule="auto"/>
        <w:ind w:firstLine="420" w:firstLineChars="200"/>
        <w:rPr>
          <w:rFonts w:ascii="宋体" w:hAnsi="宋体"/>
          <w:b/>
          <w:szCs w:val="21"/>
        </w:rPr>
      </w:pPr>
      <w:r>
        <w:rPr>
          <w:rFonts w:hint="eastAsia" w:ascii="宋体" w:hAnsi="宋体"/>
          <w:szCs w:val="21"/>
        </w:rPr>
        <w:t>17.2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17.3 未按磋商文件规定提交磋商保证金的，</w:t>
      </w:r>
      <w:r>
        <w:rPr>
          <w:rFonts w:hint="eastAsia" w:ascii="宋体" w:hAnsi="宋体"/>
          <w:bCs/>
          <w:sz w:val="21"/>
          <w:szCs w:val="21"/>
        </w:rPr>
        <w:t>其</w:t>
      </w:r>
      <w:r>
        <w:rPr>
          <w:rFonts w:hint="eastAsia" w:ascii="宋体" w:hAnsi="宋体"/>
          <w:sz w:val="21"/>
          <w:szCs w:val="21"/>
        </w:rPr>
        <w:t>响应</w:t>
      </w:r>
      <w:r>
        <w:rPr>
          <w:rFonts w:hint="eastAsia" w:ascii="宋体" w:hAnsi="宋体"/>
          <w:bCs/>
          <w:sz w:val="21"/>
          <w:szCs w:val="21"/>
        </w:rPr>
        <w:t>文件无效</w:t>
      </w:r>
      <w:r>
        <w:rPr>
          <w:rFonts w:hint="eastAsia" w:ascii="宋体" w:hAnsi="宋体"/>
          <w:sz w:val="21"/>
          <w:szCs w:val="21"/>
        </w:rPr>
        <w:t>。</w:t>
      </w:r>
    </w:p>
    <w:p>
      <w:pPr>
        <w:pStyle w:val="22"/>
        <w:tabs>
          <w:tab w:val="left" w:pos="6300"/>
        </w:tabs>
        <w:adjustRightInd w:val="0"/>
        <w:snapToGrid w:val="0"/>
        <w:spacing w:line="360" w:lineRule="auto"/>
        <w:ind w:firstLine="420" w:firstLineChars="200"/>
        <w:rPr>
          <w:rFonts w:ascii="宋体" w:hAnsi="宋体"/>
          <w:sz w:val="21"/>
          <w:szCs w:val="21"/>
        </w:rPr>
      </w:pPr>
      <w:r>
        <w:rPr>
          <w:rFonts w:hint="eastAsia" w:ascii="宋体" w:hAnsi="宋体"/>
          <w:sz w:val="21"/>
          <w:szCs w:val="21"/>
        </w:rPr>
        <w:t>17.4代理机构在成交通知书发出后5个工作日内退还未成交供应商的磋商保证金；在采购合同签定后5个工作日内退还成交供应商的磋商保证金，但因供应商自身原因导致无法及时退还的除外。</w:t>
      </w:r>
    </w:p>
    <w:p>
      <w:pPr>
        <w:pStyle w:val="22"/>
        <w:adjustRightInd w:val="0"/>
        <w:snapToGrid w:val="0"/>
        <w:spacing w:line="360" w:lineRule="auto"/>
        <w:ind w:firstLine="420" w:firstLineChars="200"/>
        <w:rPr>
          <w:rFonts w:ascii="宋体" w:hAnsi="宋体"/>
          <w:kern w:val="0"/>
          <w:sz w:val="21"/>
          <w:szCs w:val="21"/>
        </w:rPr>
      </w:pPr>
      <w:r>
        <w:rPr>
          <w:rFonts w:hint="eastAsia" w:ascii="宋体" w:hAnsi="宋体"/>
          <w:sz w:val="21"/>
          <w:szCs w:val="21"/>
        </w:rPr>
        <w:t xml:space="preserve">17.5 </w:t>
      </w:r>
      <w:r>
        <w:rPr>
          <w:rFonts w:hint="eastAsia" w:ascii="宋体" w:hAnsi="宋体"/>
          <w:kern w:val="0"/>
          <w:sz w:val="21"/>
          <w:szCs w:val="21"/>
        </w:rPr>
        <w:t>有下列情形之一的，磋商保证金不予退还：</w:t>
      </w:r>
    </w:p>
    <w:p>
      <w:pPr>
        <w:pStyle w:val="22"/>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（1）供应商在提交响应文件截止时间后撤回响应文件的；</w:t>
      </w:r>
    </w:p>
    <w:p>
      <w:pPr>
        <w:pStyle w:val="22"/>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（2）供应商在响应文件中提供虚假材料的；</w:t>
      </w:r>
    </w:p>
    <w:p>
      <w:pPr>
        <w:pStyle w:val="22"/>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（3）除因不可抗力或磋商文件认可的情形以外，成交供应商不与采购人签订合同的；</w:t>
      </w:r>
    </w:p>
    <w:p>
      <w:pPr>
        <w:pStyle w:val="22"/>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（4）供应商与采购人、其他供应商或者采购代理机构恶意串通的；</w:t>
      </w:r>
    </w:p>
    <w:p>
      <w:pPr>
        <w:pStyle w:val="22"/>
        <w:adjustRightInd w:val="0"/>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（5）磋商文件规定的其他情形。</w:t>
      </w:r>
    </w:p>
    <w:p>
      <w:pPr>
        <w:pStyle w:val="22"/>
        <w:adjustRightInd w:val="0"/>
        <w:snapToGrid w:val="0"/>
        <w:spacing w:line="360" w:lineRule="auto"/>
        <w:ind w:left="-2" w:leftChars="-1"/>
        <w:rPr>
          <w:rFonts w:ascii="宋体" w:hAnsi="宋体"/>
          <w:b/>
          <w:bCs/>
          <w:sz w:val="21"/>
          <w:szCs w:val="21"/>
        </w:rPr>
      </w:pPr>
      <w:r>
        <w:rPr>
          <w:rFonts w:hint="eastAsia" w:ascii="宋体" w:hAnsi="宋体"/>
          <w:b/>
          <w:bCs/>
          <w:sz w:val="21"/>
          <w:szCs w:val="21"/>
        </w:rPr>
        <w:t>18.</w:t>
      </w:r>
      <w:r>
        <w:rPr>
          <w:rFonts w:hint="eastAsia" w:ascii="宋体" w:hAnsi="宋体"/>
          <w:sz w:val="21"/>
          <w:szCs w:val="21"/>
        </w:rPr>
        <w:t xml:space="preserve"> </w:t>
      </w:r>
      <w:r>
        <w:rPr>
          <w:rFonts w:hint="eastAsia" w:ascii="宋体" w:hAnsi="宋体"/>
          <w:b/>
          <w:sz w:val="21"/>
          <w:szCs w:val="21"/>
        </w:rPr>
        <w:t>响应文件有效期</w:t>
      </w:r>
    </w:p>
    <w:p>
      <w:pPr>
        <w:adjustRightInd w:val="0"/>
        <w:snapToGrid w:val="0"/>
        <w:spacing w:line="360" w:lineRule="auto"/>
        <w:ind w:firstLine="420" w:firstLineChars="200"/>
        <w:jc w:val="left"/>
        <w:rPr>
          <w:rFonts w:ascii="宋体" w:hAnsi="宋体"/>
          <w:szCs w:val="21"/>
        </w:rPr>
      </w:pPr>
      <w:r>
        <w:rPr>
          <w:rFonts w:hint="eastAsia" w:ascii="宋体" w:hAnsi="宋体"/>
          <w:szCs w:val="21"/>
        </w:rPr>
        <w:t>18.1响应文件有效期见</w:t>
      </w:r>
      <w:r>
        <w:rPr>
          <w:rFonts w:hint="eastAsia" w:ascii="宋体" w:hAnsi="宋体"/>
          <w:b/>
          <w:szCs w:val="21"/>
        </w:rPr>
        <w:t>磋商须知前附表</w:t>
      </w:r>
      <w:r>
        <w:rPr>
          <w:rFonts w:hint="eastAsia" w:ascii="宋体" w:hAnsi="宋体"/>
          <w:szCs w:val="21"/>
        </w:rPr>
        <w:t>，在此期间响应文件对供应商具有法律约束力，</w:t>
      </w:r>
      <w:r>
        <w:rPr>
          <w:rFonts w:hint="eastAsia" w:ascii="宋体" w:hAnsi="宋体" w:cs="Arial"/>
          <w:szCs w:val="21"/>
        </w:rPr>
        <w:t>从</w:t>
      </w:r>
      <w:r>
        <w:rPr>
          <w:rFonts w:hint="eastAsia" w:ascii="宋体" w:hAnsi="宋体"/>
          <w:szCs w:val="21"/>
        </w:rPr>
        <w:t>本章第11.1</w:t>
      </w:r>
      <w:r>
        <w:rPr>
          <w:rFonts w:hint="eastAsia" w:ascii="宋体" w:hAnsi="宋体" w:cs="宋体"/>
          <w:kern w:val="0"/>
          <w:szCs w:val="21"/>
          <w:lang w:val="zh-CN"/>
        </w:rPr>
        <w:t>款</w:t>
      </w:r>
      <w:r>
        <w:rPr>
          <w:rFonts w:hint="eastAsia" w:ascii="宋体" w:hAnsi="宋体"/>
          <w:szCs w:val="21"/>
        </w:rPr>
        <w:t>规定的</w:t>
      </w:r>
      <w:r>
        <w:rPr>
          <w:rFonts w:hint="eastAsia" w:ascii="宋体" w:hAnsi="宋体" w:cs="宋体"/>
          <w:kern w:val="0"/>
          <w:szCs w:val="21"/>
        </w:rPr>
        <w:t>提交</w:t>
      </w:r>
      <w:r>
        <w:rPr>
          <w:rFonts w:hint="eastAsia" w:ascii="宋体" w:hAnsi="宋体"/>
          <w:szCs w:val="21"/>
        </w:rPr>
        <w:t>响应文件</w:t>
      </w:r>
      <w:r>
        <w:rPr>
          <w:rFonts w:hint="eastAsia" w:ascii="宋体" w:hAnsi="宋体" w:cs="宋体"/>
          <w:kern w:val="0"/>
          <w:szCs w:val="21"/>
        </w:rPr>
        <w:t>截止时间</w:t>
      </w:r>
      <w:r>
        <w:rPr>
          <w:rFonts w:hint="eastAsia" w:ascii="宋体" w:hAnsi="宋体"/>
          <w:szCs w:val="21"/>
        </w:rPr>
        <w:t>之日</w:t>
      </w:r>
      <w:r>
        <w:rPr>
          <w:rFonts w:hint="eastAsia" w:ascii="宋体" w:hAnsi="宋体" w:cs="Arial"/>
          <w:szCs w:val="21"/>
        </w:rPr>
        <w:t>起计算。</w:t>
      </w:r>
      <w:r>
        <w:rPr>
          <w:rFonts w:hint="eastAsia" w:ascii="宋体" w:hAnsi="宋体"/>
          <w:szCs w:val="21"/>
        </w:rPr>
        <w:t>响应文件有效期不足的将被视为无效文件。</w:t>
      </w:r>
    </w:p>
    <w:p>
      <w:pPr>
        <w:adjustRightInd w:val="0"/>
        <w:snapToGrid w:val="0"/>
        <w:spacing w:line="360" w:lineRule="auto"/>
        <w:rPr>
          <w:rFonts w:ascii="宋体" w:hAnsi="宋体"/>
          <w:b/>
          <w:bCs/>
          <w:szCs w:val="21"/>
        </w:rPr>
      </w:pPr>
      <w:r>
        <w:rPr>
          <w:rFonts w:hint="eastAsia" w:ascii="宋体" w:hAnsi="宋体"/>
          <w:b/>
          <w:bCs/>
          <w:szCs w:val="21"/>
        </w:rPr>
        <w:t>19.</w:t>
      </w:r>
      <w:r>
        <w:rPr>
          <w:rFonts w:hint="eastAsia" w:ascii="宋体" w:hAnsi="宋体"/>
          <w:szCs w:val="21"/>
        </w:rPr>
        <w:t xml:space="preserve"> </w:t>
      </w:r>
      <w:r>
        <w:rPr>
          <w:rFonts w:hint="eastAsia" w:ascii="宋体" w:hAnsi="宋体"/>
          <w:b/>
          <w:bCs/>
          <w:szCs w:val="21"/>
        </w:rPr>
        <w:t>响应文件的签署及规定</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19.1电子响应文件使用政采云平台响应文件制作工具以及磋商文件要求进行制作编制。响应文件制作时，按照磋商文件中明确的响应文件目录和格式进行编制，保证目录清晰、内容完整。</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19.2电子响应文件须使用供应商电子公章及法定代表人的电子签名。若无电子签章和签名，则视为无效响应。</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19.3电子招投标文件具有法律效力，与其他形式的招投标文件在内容和格式上等同，若投标文件与招标文件要求不一致，其内容影响成交结果时，责任由供应商自行承担。供应商递交的电子响应文件因供应商自身原因而导致无法导入电子辅助评标系统，该响应文件视为无效响应文件，将导致其响应被拒绝。</w:t>
      </w:r>
    </w:p>
    <w:p>
      <w:pPr>
        <w:pStyle w:val="3"/>
        <w:rPr>
          <w:rFonts w:ascii="宋体" w:hAnsi="宋体"/>
          <w:sz w:val="21"/>
          <w:szCs w:val="21"/>
        </w:rPr>
      </w:pPr>
      <w:bookmarkStart w:id="54" w:name="_Toc474770909"/>
      <w:bookmarkStart w:id="55" w:name="_Toc420948012"/>
      <w:r>
        <w:rPr>
          <w:rFonts w:hint="eastAsia" w:ascii="宋体" w:hAnsi="宋体"/>
          <w:sz w:val="21"/>
          <w:szCs w:val="21"/>
        </w:rPr>
        <w:t>四、响应文件的递交</w:t>
      </w:r>
      <w:bookmarkEnd w:id="54"/>
      <w:bookmarkEnd w:id="55"/>
    </w:p>
    <w:p>
      <w:pPr>
        <w:adjustRightInd w:val="0"/>
        <w:snapToGrid w:val="0"/>
        <w:spacing w:line="360" w:lineRule="auto"/>
        <w:rPr>
          <w:rFonts w:ascii="宋体" w:hAnsi="宋体"/>
          <w:b/>
          <w:bCs/>
          <w:szCs w:val="21"/>
        </w:rPr>
      </w:pPr>
      <w:r>
        <w:rPr>
          <w:rFonts w:hint="eastAsia" w:ascii="宋体" w:hAnsi="宋体"/>
          <w:b/>
          <w:bCs/>
          <w:szCs w:val="21"/>
        </w:rPr>
        <w:t>20.</w:t>
      </w:r>
      <w:r>
        <w:rPr>
          <w:rFonts w:hint="eastAsia" w:ascii="宋体" w:hAnsi="宋体"/>
          <w:szCs w:val="21"/>
        </w:rPr>
        <w:t xml:space="preserve"> </w:t>
      </w:r>
      <w:r>
        <w:rPr>
          <w:rFonts w:hint="eastAsia" w:ascii="宋体" w:hAnsi="宋体"/>
          <w:b/>
          <w:szCs w:val="21"/>
        </w:rPr>
        <w:t>响应文件</w:t>
      </w:r>
      <w:r>
        <w:rPr>
          <w:rFonts w:hint="eastAsia" w:ascii="宋体" w:hAnsi="宋体"/>
          <w:b/>
          <w:bCs/>
          <w:szCs w:val="21"/>
        </w:rPr>
        <w:t>的密封和标记</w:t>
      </w:r>
    </w:p>
    <w:p>
      <w:pPr>
        <w:adjustRightInd w:val="0"/>
        <w:snapToGrid w:val="0"/>
        <w:spacing w:line="360" w:lineRule="auto"/>
        <w:ind w:firstLine="420" w:firstLineChars="200"/>
        <w:jc w:val="left"/>
        <w:rPr>
          <w:rFonts w:ascii="宋体" w:hAnsi="宋体"/>
          <w:szCs w:val="21"/>
        </w:rPr>
      </w:pPr>
      <w:r>
        <w:rPr>
          <w:rFonts w:hint="eastAsia" w:ascii="宋体" w:hAnsi="宋体"/>
          <w:szCs w:val="21"/>
        </w:rPr>
        <w:t>20.1加密的电子响应文件（.jmbs格式）应在响应文件递交截止时间前通过政采云平台上传完成。</w:t>
      </w:r>
    </w:p>
    <w:p>
      <w:pPr>
        <w:adjustRightInd w:val="0"/>
        <w:snapToGrid w:val="0"/>
        <w:spacing w:line="360" w:lineRule="auto"/>
        <w:ind w:firstLine="420" w:firstLineChars="200"/>
        <w:jc w:val="left"/>
        <w:rPr>
          <w:rFonts w:ascii="宋体" w:hAnsi="宋体"/>
          <w:szCs w:val="21"/>
        </w:rPr>
      </w:pPr>
      <w:r>
        <w:rPr>
          <w:rFonts w:hint="eastAsia" w:ascii="宋体" w:hAnsi="宋体"/>
          <w:szCs w:val="21"/>
        </w:rPr>
        <w:t>20.2逾期上传或者未上传指定地点的响应文件，采购人不予受理。</w:t>
      </w:r>
    </w:p>
    <w:p>
      <w:pPr>
        <w:adjustRightInd w:val="0"/>
        <w:snapToGrid w:val="0"/>
        <w:spacing w:line="360" w:lineRule="auto"/>
        <w:rPr>
          <w:rFonts w:ascii="宋体" w:hAnsi="宋体"/>
          <w:b/>
          <w:bCs/>
          <w:szCs w:val="21"/>
        </w:rPr>
      </w:pPr>
      <w:r>
        <w:rPr>
          <w:rFonts w:hint="eastAsia" w:ascii="宋体" w:hAnsi="宋体"/>
          <w:b/>
          <w:bCs/>
          <w:szCs w:val="21"/>
        </w:rPr>
        <w:t>21.</w:t>
      </w:r>
      <w:r>
        <w:rPr>
          <w:rFonts w:hint="eastAsia" w:ascii="宋体" w:hAnsi="宋体"/>
          <w:szCs w:val="21"/>
        </w:rPr>
        <w:t xml:space="preserve"> </w:t>
      </w:r>
      <w:r>
        <w:rPr>
          <w:rFonts w:hint="eastAsia" w:ascii="宋体" w:hAnsi="宋体"/>
          <w:b/>
          <w:bCs/>
          <w:szCs w:val="21"/>
        </w:rPr>
        <w:t>响应文件的</w:t>
      </w:r>
      <w:r>
        <w:rPr>
          <w:rFonts w:hint="eastAsia" w:ascii="宋体" w:hAnsi="宋体" w:cs="宋体"/>
          <w:b/>
          <w:kern w:val="0"/>
          <w:szCs w:val="21"/>
          <w:lang w:val="zh-CN"/>
        </w:rPr>
        <w:t>补充、修改或者撤回</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21.1供应商在本章第11.1款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adjustRightInd w:val="0"/>
        <w:snapToGrid w:val="0"/>
        <w:spacing w:line="360" w:lineRule="auto"/>
        <w:rPr>
          <w:rFonts w:ascii="宋体" w:hAnsi="宋体"/>
          <w:b/>
          <w:bCs/>
          <w:szCs w:val="21"/>
        </w:rPr>
      </w:pPr>
      <w:r>
        <w:rPr>
          <w:rFonts w:hint="eastAsia" w:ascii="宋体" w:hAnsi="宋体"/>
          <w:b/>
          <w:bCs/>
          <w:szCs w:val="21"/>
        </w:rPr>
        <w:t>22.</w:t>
      </w:r>
      <w:r>
        <w:rPr>
          <w:rFonts w:hint="eastAsia" w:ascii="宋体" w:hAnsi="宋体"/>
          <w:szCs w:val="21"/>
        </w:rPr>
        <w:t xml:space="preserve"> </w:t>
      </w:r>
      <w:r>
        <w:rPr>
          <w:rFonts w:hint="eastAsia" w:ascii="宋体" w:hAnsi="宋体"/>
          <w:b/>
          <w:bCs/>
          <w:szCs w:val="21"/>
        </w:rPr>
        <w:t>响应文件的递交与接收</w:t>
      </w:r>
    </w:p>
    <w:p>
      <w:pPr>
        <w:pStyle w:val="22"/>
        <w:adjustRightInd w:val="0"/>
        <w:snapToGrid w:val="0"/>
        <w:spacing w:line="360" w:lineRule="auto"/>
        <w:ind w:firstLine="420" w:firstLineChars="200"/>
        <w:rPr>
          <w:rFonts w:ascii="宋体" w:hAnsi="宋体"/>
          <w:sz w:val="21"/>
          <w:szCs w:val="21"/>
        </w:rPr>
      </w:pPr>
      <w:bookmarkStart w:id="56" w:name="_Toc474770910"/>
      <w:bookmarkStart w:id="57" w:name="_Toc420948013"/>
      <w:r>
        <w:rPr>
          <w:rFonts w:hint="eastAsia" w:ascii="宋体" w:hAnsi="宋体"/>
          <w:sz w:val="21"/>
          <w:szCs w:val="21"/>
        </w:rPr>
        <w:t>22.1 供应商应在本章第11.1款规定的提交响应文件截止时间前，将响应文件上传至平台。逾期上传或者未上传指定地点的响应文件，采购人不予受理。</w:t>
      </w:r>
    </w:p>
    <w:p>
      <w:pPr>
        <w:pStyle w:val="3"/>
        <w:rPr>
          <w:rFonts w:ascii="宋体" w:hAnsi="宋体"/>
          <w:sz w:val="21"/>
          <w:szCs w:val="21"/>
        </w:rPr>
      </w:pPr>
      <w:r>
        <w:rPr>
          <w:rFonts w:hint="eastAsia" w:ascii="宋体" w:hAnsi="宋体"/>
          <w:sz w:val="21"/>
          <w:szCs w:val="21"/>
        </w:rPr>
        <w:t>五、响应文件的评审</w:t>
      </w:r>
      <w:bookmarkEnd w:id="56"/>
      <w:bookmarkEnd w:id="57"/>
    </w:p>
    <w:p>
      <w:pPr>
        <w:tabs>
          <w:tab w:val="left" w:pos="0"/>
        </w:tabs>
        <w:adjustRightInd w:val="0"/>
        <w:snapToGrid w:val="0"/>
        <w:spacing w:line="360" w:lineRule="auto"/>
        <w:rPr>
          <w:rFonts w:ascii="宋体" w:hAnsi="宋体"/>
          <w:b/>
          <w:bCs/>
          <w:szCs w:val="21"/>
        </w:rPr>
      </w:pPr>
      <w:r>
        <w:rPr>
          <w:rFonts w:hint="eastAsia" w:ascii="宋体" w:hAnsi="宋体"/>
          <w:b/>
          <w:bCs/>
          <w:szCs w:val="21"/>
        </w:rPr>
        <w:t>23.</w:t>
      </w:r>
      <w:r>
        <w:rPr>
          <w:rFonts w:hint="eastAsia" w:ascii="宋体" w:hAnsi="宋体"/>
          <w:szCs w:val="21"/>
        </w:rPr>
        <w:t xml:space="preserve"> </w:t>
      </w:r>
      <w:r>
        <w:rPr>
          <w:rFonts w:hint="eastAsia" w:ascii="宋体" w:hAnsi="宋体"/>
          <w:b/>
          <w:bCs/>
          <w:szCs w:val="21"/>
        </w:rPr>
        <w:t>磋商程序</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cs="宋体"/>
          <w:kern w:val="0"/>
          <w:szCs w:val="21"/>
        </w:rPr>
        <w:t>23.1磋商程序：初步审查（资格性审查、符合性审查），澄清、磋商、综合评分、推荐候选供应商</w:t>
      </w:r>
      <w:r>
        <w:rPr>
          <w:rFonts w:hint="eastAsia" w:ascii="宋体" w:hAnsi="宋体"/>
          <w:bCs/>
          <w:szCs w:val="21"/>
        </w:rPr>
        <w:t>。</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ascii="宋体" w:hAnsi="宋体"/>
          <w:bCs/>
          <w:szCs w:val="21"/>
        </w:rPr>
      </w:pPr>
      <w:r>
        <w:rPr>
          <w:rFonts w:hint="eastAsia" w:ascii="宋体" w:hAnsi="宋体"/>
          <w:bCs/>
          <w:szCs w:val="21"/>
        </w:rPr>
        <w:t>23.2</w:t>
      </w:r>
      <w:r>
        <w:rPr>
          <w:rFonts w:hint="eastAsia" w:ascii="宋体" w:hAnsi="宋体" w:cs="宋体"/>
          <w:kern w:val="0"/>
          <w:szCs w:val="21"/>
        </w:rPr>
        <w:t>磋商按</w:t>
      </w:r>
      <w:r>
        <w:rPr>
          <w:rFonts w:hint="eastAsia" w:ascii="宋体" w:hAnsi="宋体"/>
          <w:szCs w:val="21"/>
        </w:rPr>
        <w:t>本章第28.1</w:t>
      </w:r>
      <w:r>
        <w:rPr>
          <w:rFonts w:hint="eastAsia" w:ascii="宋体" w:hAnsi="宋体" w:cs="宋体"/>
          <w:kern w:val="0"/>
          <w:szCs w:val="21"/>
          <w:lang w:val="zh-CN"/>
        </w:rPr>
        <w:t>款或者</w:t>
      </w:r>
      <w:r>
        <w:rPr>
          <w:rFonts w:hint="eastAsia" w:ascii="宋体" w:hAnsi="宋体"/>
          <w:szCs w:val="21"/>
        </w:rPr>
        <w:t>第28.2</w:t>
      </w:r>
      <w:r>
        <w:rPr>
          <w:rFonts w:hint="eastAsia" w:ascii="宋体" w:hAnsi="宋体" w:cs="宋体"/>
          <w:kern w:val="0"/>
          <w:szCs w:val="21"/>
          <w:lang w:val="zh-CN"/>
        </w:rPr>
        <w:t>款</w:t>
      </w:r>
      <w:r>
        <w:rPr>
          <w:rFonts w:hint="eastAsia" w:ascii="宋体" w:hAnsi="宋体"/>
          <w:szCs w:val="21"/>
        </w:rPr>
        <w:t>情形</w:t>
      </w:r>
      <w:r>
        <w:rPr>
          <w:rFonts w:hint="eastAsia" w:ascii="宋体" w:hAnsi="宋体"/>
          <w:bCs/>
          <w:szCs w:val="21"/>
        </w:rPr>
        <w:t>进行。</w:t>
      </w:r>
    </w:p>
    <w:p>
      <w:pPr>
        <w:tabs>
          <w:tab w:val="left" w:pos="0"/>
        </w:tabs>
        <w:adjustRightInd w:val="0"/>
        <w:snapToGrid w:val="0"/>
        <w:spacing w:line="360" w:lineRule="auto"/>
        <w:rPr>
          <w:rFonts w:ascii="宋体" w:hAnsi="宋体"/>
          <w:b/>
          <w:szCs w:val="21"/>
        </w:rPr>
      </w:pPr>
      <w:r>
        <w:rPr>
          <w:rFonts w:hint="eastAsia" w:ascii="宋体" w:hAnsi="宋体"/>
          <w:b/>
          <w:szCs w:val="21"/>
        </w:rPr>
        <w:t>24.初步审查</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24.1磋商小组对参加磋商的单位提交的</w:t>
      </w:r>
      <w:r>
        <w:rPr>
          <w:rFonts w:hint="eastAsia" w:ascii="宋体" w:hAnsi="宋体" w:cs="宋体"/>
          <w:kern w:val="0"/>
          <w:szCs w:val="21"/>
        </w:rPr>
        <w:t>首次响应文件进行初步审查。</w:t>
      </w:r>
      <w:r>
        <w:rPr>
          <w:rFonts w:hint="eastAsia" w:ascii="宋体" w:hAnsi="宋体"/>
          <w:bCs/>
          <w:szCs w:val="21"/>
        </w:rPr>
        <w:t>响应文件不符合资格性审查及符合性审查条件的，</w:t>
      </w:r>
      <w:r>
        <w:rPr>
          <w:rFonts w:hint="eastAsia" w:ascii="宋体" w:hAnsi="宋体" w:cs="宋体"/>
          <w:kern w:val="0"/>
          <w:szCs w:val="21"/>
          <w:lang w:val="zh-CN"/>
        </w:rPr>
        <w:t>其响应文件无效，</w:t>
      </w:r>
      <w:r>
        <w:rPr>
          <w:rFonts w:hint="eastAsia" w:ascii="宋体" w:hAnsi="宋体" w:cs="宋体"/>
          <w:kern w:val="0"/>
          <w:szCs w:val="21"/>
        </w:rPr>
        <w:t>磋商小组应当告知有关</w:t>
      </w:r>
      <w:r>
        <w:rPr>
          <w:rFonts w:hint="eastAsia" w:ascii="宋体" w:hAnsi="宋体"/>
          <w:szCs w:val="21"/>
        </w:rPr>
        <w:t>磋商单位</w:t>
      </w:r>
      <w:r>
        <w:rPr>
          <w:rFonts w:hint="eastAsia" w:ascii="宋体" w:hAnsi="宋体" w:cs="宋体"/>
          <w:kern w:val="0"/>
          <w:szCs w:val="21"/>
        </w:rPr>
        <w:t>。</w:t>
      </w:r>
    </w:p>
    <w:p>
      <w:pPr>
        <w:widowControl/>
        <w:adjustRightInd w:val="0"/>
        <w:snapToGrid w:val="0"/>
        <w:spacing w:line="360" w:lineRule="auto"/>
        <w:rPr>
          <w:rFonts w:ascii="宋体" w:hAnsi="宋体" w:cs="宋体"/>
          <w:b/>
          <w:kern w:val="0"/>
          <w:szCs w:val="21"/>
        </w:rPr>
      </w:pPr>
      <w:r>
        <w:rPr>
          <w:rFonts w:hint="eastAsia" w:ascii="宋体" w:hAnsi="宋体" w:cs="宋体"/>
          <w:b/>
          <w:kern w:val="0"/>
          <w:szCs w:val="21"/>
        </w:rPr>
        <w:t>25.资格审查</w:t>
      </w:r>
    </w:p>
    <w:p>
      <w:pPr>
        <w:adjustRightInd w:val="0"/>
        <w:snapToGrid w:val="0"/>
        <w:spacing w:line="360" w:lineRule="auto"/>
        <w:ind w:firstLine="420" w:firstLineChars="200"/>
        <w:jc w:val="left"/>
        <w:rPr>
          <w:rFonts w:ascii="宋体" w:hAnsi="宋体"/>
          <w:szCs w:val="21"/>
        </w:rPr>
      </w:pPr>
      <w:r>
        <w:rPr>
          <w:rFonts w:hint="eastAsia" w:ascii="宋体" w:hAnsi="宋体"/>
          <w:bCs/>
          <w:szCs w:val="21"/>
        </w:rPr>
        <w:t>25.1</w:t>
      </w:r>
      <w:r>
        <w:rPr>
          <w:rFonts w:hint="eastAsia" w:ascii="宋体" w:hAnsi="宋体"/>
          <w:szCs w:val="21"/>
        </w:rPr>
        <w:t>资格性检查。依据法律法规和磋商文件的规定，对响应文件中的资格证明进行审查，以确定供应商是否具备磋商资格。</w:t>
      </w:r>
    </w:p>
    <w:p>
      <w:pPr>
        <w:adjustRightInd w:val="0"/>
        <w:snapToGrid w:val="0"/>
        <w:spacing w:line="360" w:lineRule="auto"/>
        <w:ind w:firstLine="420" w:firstLineChars="200"/>
        <w:jc w:val="left"/>
        <w:rPr>
          <w:rFonts w:ascii="宋体" w:hAnsi="宋体"/>
          <w:szCs w:val="21"/>
        </w:rPr>
      </w:pPr>
    </w:p>
    <w:tbl>
      <w:tblPr>
        <w:tblStyle w:val="4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6605"/>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w:t>
            </w:r>
          </w:p>
        </w:tc>
        <w:tc>
          <w:tcPr>
            <w:tcW w:w="73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ascii="宋体" w:hAnsi="宋体"/>
                <w:b/>
                <w:szCs w:val="21"/>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资格性检查</w:t>
            </w:r>
          </w:p>
        </w:tc>
        <w:tc>
          <w:tcPr>
            <w:tcW w:w="66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1、符合《中华人民共和国政府采购法》第二十二条规定：</w:t>
            </w:r>
          </w:p>
          <w:p>
            <w:pPr>
              <w:spacing w:line="400" w:lineRule="exact"/>
              <w:rPr>
                <w:rFonts w:ascii="宋体" w:hAnsi="宋体"/>
                <w:szCs w:val="21"/>
              </w:rPr>
            </w:pPr>
            <w:r>
              <w:rPr>
                <w:rFonts w:hint="eastAsia" w:ascii="宋体" w:hAnsi="宋体"/>
                <w:szCs w:val="21"/>
              </w:rPr>
              <w:t>（1）有效的营业执照；</w:t>
            </w:r>
          </w:p>
          <w:p>
            <w:pPr>
              <w:spacing w:line="400" w:lineRule="exact"/>
              <w:rPr>
                <w:rFonts w:ascii="宋体" w:hAnsi="宋体"/>
                <w:szCs w:val="21"/>
              </w:rPr>
            </w:pPr>
            <w:r>
              <w:rPr>
                <w:rFonts w:hint="eastAsia" w:ascii="宋体" w:hAnsi="宋体"/>
                <w:szCs w:val="21"/>
              </w:rPr>
              <w:t>（2）提供上年度（2022年度）经审计财务会计报告，或基本开户银行出具的资信证明；</w:t>
            </w:r>
          </w:p>
          <w:p>
            <w:pPr>
              <w:spacing w:line="400" w:lineRule="exact"/>
              <w:rPr>
                <w:rFonts w:ascii="宋体" w:hAnsi="宋体"/>
                <w:szCs w:val="21"/>
              </w:rPr>
            </w:pPr>
            <w:r>
              <w:rPr>
                <w:rFonts w:hint="eastAsia" w:ascii="宋体" w:hAnsi="宋体"/>
                <w:szCs w:val="21"/>
              </w:rPr>
              <w:t>（3）提供投标截止时间前半年内任意一个月的依法缴纳税收证明；</w:t>
            </w:r>
          </w:p>
          <w:p>
            <w:pPr>
              <w:spacing w:line="400" w:lineRule="exact"/>
              <w:rPr>
                <w:rFonts w:ascii="宋体" w:hAnsi="宋体"/>
                <w:szCs w:val="21"/>
              </w:rPr>
            </w:pPr>
            <w:r>
              <w:rPr>
                <w:rFonts w:hint="eastAsia" w:ascii="宋体" w:hAnsi="宋体"/>
                <w:szCs w:val="21"/>
              </w:rPr>
              <w:t>（4）提供投标截止时间前半年内任意一个月的社保缴纳证明；</w:t>
            </w:r>
          </w:p>
          <w:p>
            <w:pPr>
              <w:spacing w:line="400" w:lineRule="exact"/>
              <w:rPr>
                <w:rFonts w:ascii="宋体" w:hAnsi="宋体"/>
                <w:szCs w:val="21"/>
              </w:rPr>
            </w:pPr>
            <w:r>
              <w:rPr>
                <w:rFonts w:hint="eastAsia" w:ascii="宋体" w:hAnsi="宋体"/>
                <w:szCs w:val="21"/>
              </w:rPr>
              <w:t>（5）提供无重大违法记录声明书</w:t>
            </w:r>
          </w:p>
        </w:tc>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磋商</w:t>
            </w:r>
          </w:p>
          <w:p>
            <w:pPr>
              <w:spacing w:line="400" w:lineRule="exact"/>
              <w:jc w:val="center"/>
              <w:rPr>
                <w:rFonts w:ascii="宋体" w:hAnsi="宋体"/>
                <w:szCs w:val="21"/>
              </w:rPr>
            </w:pPr>
            <w:r>
              <w:rPr>
                <w:rFonts w:ascii="宋体" w:hAnsi="宋体"/>
                <w:szCs w:val="21"/>
              </w:rPr>
              <w:t>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top w:val="single" w:color="auto" w:sz="4" w:space="0"/>
              <w:right w:val="single" w:color="auto" w:sz="4" w:space="0"/>
            </w:tcBorders>
            <w:vAlign w:val="center"/>
          </w:tcPr>
          <w:p>
            <w:pPr>
              <w:spacing w:line="400" w:lineRule="exact"/>
              <w:jc w:val="center"/>
              <w:rPr>
                <w:rFonts w:ascii="宋体" w:hAnsi="宋体"/>
                <w:szCs w:val="21"/>
              </w:rPr>
            </w:pPr>
          </w:p>
        </w:tc>
        <w:tc>
          <w:tcPr>
            <w:tcW w:w="66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cs="宋体"/>
                <w:kern w:val="0"/>
                <w:szCs w:val="21"/>
              </w:rPr>
              <w:t>2、供应商不存在第二章磋商须知3.2项规定。</w:t>
            </w:r>
          </w:p>
        </w:tc>
        <w:tc>
          <w:tcPr>
            <w:tcW w:w="709" w:type="dxa"/>
            <w:vMerge w:val="continue"/>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结论</w:t>
            </w:r>
          </w:p>
        </w:tc>
        <w:tc>
          <w:tcPr>
            <w:tcW w:w="66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是否通过审查，进入下一阶段</w:t>
            </w:r>
          </w:p>
        </w:tc>
        <w:tc>
          <w:tcPr>
            <w:tcW w:w="709" w:type="dxa"/>
            <w:tcBorders>
              <w:left w:val="single" w:color="auto" w:sz="4" w:space="0"/>
              <w:bottom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vAlign w:val="center"/>
          </w:tcPr>
          <w:p>
            <w:pPr>
              <w:tabs>
                <w:tab w:val="left" w:pos="0"/>
              </w:tabs>
              <w:adjustRightInd w:val="0"/>
              <w:snapToGrid w:val="0"/>
              <w:spacing w:line="320" w:lineRule="exact"/>
              <w:ind w:firstLine="422" w:firstLineChars="200"/>
              <w:rPr>
                <w:rFonts w:ascii="宋体" w:hAnsi="宋体"/>
                <w:b/>
                <w:szCs w:val="21"/>
              </w:rPr>
            </w:pPr>
            <w:r>
              <w:rPr>
                <w:rFonts w:hint="eastAsia" w:ascii="宋体" w:hAnsi="宋体"/>
                <w:b/>
                <w:szCs w:val="21"/>
              </w:rPr>
              <w:t>1）“是否通过并进入下一阶段评审”一栏应写“通过”或“不通过”。</w:t>
            </w:r>
          </w:p>
          <w:p>
            <w:pPr>
              <w:tabs>
                <w:tab w:val="left" w:pos="0"/>
              </w:tabs>
              <w:adjustRightInd w:val="0"/>
              <w:snapToGrid w:val="0"/>
              <w:spacing w:line="320" w:lineRule="exact"/>
              <w:ind w:firstLine="422" w:firstLineChars="200"/>
              <w:rPr>
                <w:rFonts w:ascii="宋体" w:hAnsi="宋体"/>
                <w:b/>
                <w:szCs w:val="21"/>
              </w:rPr>
            </w:pPr>
            <w:r>
              <w:rPr>
                <w:rFonts w:hint="eastAsia" w:ascii="宋体" w:hAnsi="宋体"/>
                <w:b/>
                <w:szCs w:val="21"/>
              </w:rPr>
              <w:t>2）出现一个“×”的结论为“不通过”。表中全部为“√”，同意进入下一阶段评审。</w:t>
            </w:r>
          </w:p>
          <w:p>
            <w:pPr>
              <w:spacing w:line="400" w:lineRule="exact"/>
              <w:ind w:firstLine="422" w:firstLineChars="200"/>
              <w:rPr>
                <w:rFonts w:ascii="宋体" w:hAnsi="宋体"/>
                <w:szCs w:val="21"/>
              </w:rPr>
            </w:pPr>
            <w:r>
              <w:rPr>
                <w:rFonts w:hint="eastAsia" w:ascii="宋体" w:hAnsi="宋体"/>
                <w:b/>
                <w:szCs w:val="21"/>
              </w:rPr>
              <w:t>3）若审查组成员意见不一致时，则按少数服从多数的原则，由全部成员投票决定该供应商是否通过审查，进入下一阶段评审。</w:t>
            </w:r>
          </w:p>
        </w:tc>
      </w:tr>
    </w:tbl>
    <w:p>
      <w:pPr>
        <w:pStyle w:val="22"/>
        <w:adjustRightInd w:val="0"/>
        <w:snapToGrid w:val="0"/>
        <w:spacing w:line="360" w:lineRule="auto"/>
        <w:rPr>
          <w:rFonts w:ascii="宋体" w:hAnsi="宋体" w:cs="宋体"/>
          <w:b/>
          <w:kern w:val="0"/>
          <w:sz w:val="21"/>
          <w:szCs w:val="21"/>
        </w:rPr>
      </w:pPr>
      <w:r>
        <w:rPr>
          <w:rFonts w:hint="eastAsia" w:ascii="宋体" w:hAnsi="宋体" w:cs="宋体"/>
          <w:b/>
          <w:kern w:val="0"/>
          <w:sz w:val="21"/>
          <w:szCs w:val="21"/>
        </w:rPr>
        <w:t>26.符合性审查</w:t>
      </w:r>
    </w:p>
    <w:p>
      <w:pPr>
        <w:pStyle w:val="22"/>
        <w:adjustRightInd w:val="0"/>
        <w:snapToGrid w:val="0"/>
        <w:spacing w:line="360" w:lineRule="auto"/>
        <w:ind w:firstLine="420" w:firstLineChars="200"/>
        <w:rPr>
          <w:rFonts w:ascii="宋体" w:hAnsi="宋体" w:cs="Arial"/>
          <w:kern w:val="0"/>
          <w:sz w:val="21"/>
          <w:szCs w:val="21"/>
          <w:u w:val="single"/>
        </w:rPr>
      </w:pPr>
      <w:r>
        <w:rPr>
          <w:rFonts w:hint="eastAsia" w:ascii="宋体" w:hAnsi="宋体" w:cs="宋体"/>
          <w:kern w:val="0"/>
          <w:sz w:val="21"/>
          <w:szCs w:val="21"/>
        </w:rPr>
        <w:t>26.1</w:t>
      </w:r>
      <w:r>
        <w:rPr>
          <w:rFonts w:hint="eastAsia" w:ascii="宋体" w:hAnsi="宋体"/>
          <w:sz w:val="21"/>
          <w:szCs w:val="21"/>
        </w:rPr>
        <w:t xml:space="preserve">依据磋商文件的规定，从响应文件的有效性、完整性和对磋商文件的响应程度进行审查，以确定是否对磋商文件的实质性要求作出响应 </w:t>
      </w:r>
      <w:r>
        <w:rPr>
          <w:rFonts w:hint="eastAsia" w:ascii="宋体" w:hAnsi="宋体" w:cs="宋体"/>
          <w:kern w:val="0"/>
          <w:sz w:val="21"/>
          <w:szCs w:val="21"/>
        </w:rPr>
        <w:t>(包括首次</w:t>
      </w:r>
      <w:r>
        <w:rPr>
          <w:rFonts w:hint="eastAsia" w:ascii="宋体" w:hAnsi="宋体"/>
          <w:sz w:val="21"/>
          <w:szCs w:val="21"/>
        </w:rPr>
        <w:t>提交的</w:t>
      </w:r>
      <w:r>
        <w:rPr>
          <w:rFonts w:hint="eastAsia" w:ascii="宋体" w:hAnsi="宋体" w:cs="宋体"/>
          <w:kern w:val="0"/>
          <w:sz w:val="21"/>
          <w:szCs w:val="21"/>
        </w:rPr>
        <w:t>响应文件、重新提交的响应文件)。</w:t>
      </w:r>
    </w:p>
    <w:tbl>
      <w:tblPr>
        <w:tblStyle w:val="4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6710"/>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5" w:type="dxa"/>
            <w:tcBorders>
              <w:top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w:t>
            </w:r>
          </w:p>
        </w:tc>
        <w:tc>
          <w:tcPr>
            <w:tcW w:w="74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ascii="宋体" w:hAnsi="宋体"/>
                <w:b/>
                <w:szCs w:val="21"/>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restart"/>
            <w:tcBorders>
              <w:top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符合性检查</w:t>
            </w: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1、响应文件按照招标文件规定的内容、格式填写，字迹清晰可辨</w:t>
            </w:r>
          </w:p>
        </w:tc>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磋商</w:t>
            </w:r>
          </w:p>
          <w:p>
            <w:pPr>
              <w:spacing w:line="400" w:lineRule="exact"/>
              <w:jc w:val="center"/>
              <w:rPr>
                <w:rFonts w:ascii="宋体" w:hAnsi="宋体"/>
                <w:szCs w:val="21"/>
              </w:rPr>
            </w:pPr>
            <w:r>
              <w:rPr>
                <w:rFonts w:ascii="宋体" w:hAnsi="宋体"/>
                <w:szCs w:val="21"/>
              </w:rPr>
              <w:t>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vAlign w:val="center"/>
          </w:tcPr>
          <w:p>
            <w:pPr>
              <w:spacing w:line="400" w:lineRule="exact"/>
              <w:jc w:val="center"/>
              <w:rPr>
                <w:rFonts w:ascii="宋体" w:hAnsi="宋体"/>
                <w:szCs w:val="21"/>
              </w:rPr>
            </w:pPr>
          </w:p>
        </w:tc>
        <w:tc>
          <w:tcPr>
            <w:tcW w:w="671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szCs w:val="21"/>
              </w:rPr>
              <w:t>2、响应文件提供法定代表人授权委托书或提供法定代表人身份证明</w:t>
            </w:r>
          </w:p>
        </w:tc>
        <w:tc>
          <w:tcPr>
            <w:tcW w:w="709" w:type="dxa"/>
            <w:vMerge w:val="continue"/>
            <w:tcBorders>
              <w:left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vAlign w:val="center"/>
          </w:tcPr>
          <w:p>
            <w:pPr>
              <w:spacing w:line="400" w:lineRule="exact"/>
              <w:jc w:val="center"/>
              <w:rPr>
                <w:rFonts w:ascii="宋体" w:hAnsi="宋体"/>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3、响应文件上法定代表人或其授权代理人的签字或盖章、供应商的单位章齐全符合招标文件规定</w:t>
            </w:r>
          </w:p>
        </w:tc>
        <w:tc>
          <w:tcPr>
            <w:tcW w:w="709" w:type="dxa"/>
            <w:vMerge w:val="continue"/>
            <w:tcBorders>
              <w:left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vAlign w:val="center"/>
          </w:tcPr>
          <w:p>
            <w:pPr>
              <w:spacing w:line="400" w:lineRule="exact"/>
              <w:jc w:val="center"/>
              <w:rPr>
                <w:rFonts w:ascii="宋体" w:hAnsi="宋体"/>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4、按规定交纳磋商保证金</w:t>
            </w:r>
          </w:p>
        </w:tc>
        <w:tc>
          <w:tcPr>
            <w:tcW w:w="709" w:type="dxa"/>
            <w:vMerge w:val="continue"/>
            <w:tcBorders>
              <w:left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vAlign w:val="center"/>
          </w:tcPr>
          <w:p>
            <w:pPr>
              <w:spacing w:line="400" w:lineRule="exact"/>
              <w:jc w:val="center"/>
              <w:rPr>
                <w:rFonts w:ascii="宋体" w:hAnsi="宋体"/>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5、响应文件承诺响应有效期满足招标文件要求</w:t>
            </w:r>
          </w:p>
        </w:tc>
        <w:tc>
          <w:tcPr>
            <w:tcW w:w="709" w:type="dxa"/>
            <w:vMerge w:val="continue"/>
            <w:tcBorders>
              <w:left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vAlign w:val="center"/>
          </w:tcPr>
          <w:p>
            <w:pPr>
              <w:spacing w:line="400" w:lineRule="exact"/>
              <w:jc w:val="center"/>
              <w:rPr>
                <w:rFonts w:ascii="宋体" w:hAnsi="宋体"/>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6、磋商报价具有唯一性，未超过采购项目预算</w:t>
            </w:r>
          </w:p>
        </w:tc>
        <w:tc>
          <w:tcPr>
            <w:tcW w:w="709" w:type="dxa"/>
            <w:vMerge w:val="continue"/>
            <w:tcBorders>
              <w:left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vAlign w:val="center"/>
          </w:tcPr>
          <w:p>
            <w:pPr>
              <w:spacing w:line="400" w:lineRule="exact"/>
              <w:jc w:val="center"/>
              <w:rPr>
                <w:rFonts w:ascii="宋体" w:hAnsi="宋体"/>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7、响应文件未附有招标人不能接受的条件或不符合招标文件的其他要求</w:t>
            </w:r>
          </w:p>
        </w:tc>
        <w:tc>
          <w:tcPr>
            <w:tcW w:w="709" w:type="dxa"/>
            <w:vMerge w:val="continue"/>
            <w:tcBorders>
              <w:left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vAlign w:val="center"/>
          </w:tcPr>
          <w:p>
            <w:pPr>
              <w:spacing w:line="400" w:lineRule="exact"/>
              <w:jc w:val="center"/>
              <w:rPr>
                <w:rFonts w:ascii="宋体" w:hAnsi="宋体"/>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8、符合国家、行业技术标准的要求</w:t>
            </w:r>
          </w:p>
        </w:tc>
        <w:tc>
          <w:tcPr>
            <w:tcW w:w="709" w:type="dxa"/>
            <w:vMerge w:val="continue"/>
            <w:tcBorders>
              <w:left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tcBorders>
              <w:top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结论</w:t>
            </w:r>
          </w:p>
        </w:tc>
        <w:tc>
          <w:tcPr>
            <w:tcW w:w="671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是否通过审查，进入下一阶段</w:t>
            </w:r>
          </w:p>
        </w:tc>
        <w:tc>
          <w:tcPr>
            <w:tcW w:w="709"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vAlign w:val="center"/>
          </w:tcPr>
          <w:p>
            <w:pPr>
              <w:tabs>
                <w:tab w:val="left" w:pos="0"/>
              </w:tabs>
              <w:adjustRightInd w:val="0"/>
              <w:snapToGrid w:val="0"/>
              <w:spacing w:line="320" w:lineRule="exact"/>
              <w:ind w:firstLine="422" w:firstLineChars="200"/>
              <w:rPr>
                <w:rFonts w:ascii="宋体" w:hAnsi="宋体"/>
                <w:b/>
                <w:szCs w:val="21"/>
              </w:rPr>
            </w:pPr>
            <w:r>
              <w:rPr>
                <w:rFonts w:hint="eastAsia" w:ascii="宋体" w:hAnsi="宋体"/>
                <w:b/>
                <w:szCs w:val="21"/>
              </w:rPr>
              <w:t>1）“是否通过并进入下一阶段评审”一栏应写“通过”或“不通过”。</w:t>
            </w:r>
          </w:p>
          <w:p>
            <w:pPr>
              <w:tabs>
                <w:tab w:val="left" w:pos="0"/>
              </w:tabs>
              <w:adjustRightInd w:val="0"/>
              <w:snapToGrid w:val="0"/>
              <w:spacing w:line="320" w:lineRule="exact"/>
              <w:ind w:firstLine="422" w:firstLineChars="200"/>
              <w:rPr>
                <w:rFonts w:ascii="宋体" w:hAnsi="宋体"/>
                <w:b/>
                <w:szCs w:val="21"/>
              </w:rPr>
            </w:pPr>
            <w:r>
              <w:rPr>
                <w:rFonts w:hint="eastAsia" w:ascii="宋体" w:hAnsi="宋体"/>
                <w:b/>
                <w:szCs w:val="21"/>
              </w:rPr>
              <w:t>2）出现一个“×”的结论为“不通过”。表中全部为“√”，同意进入下一阶段评审。</w:t>
            </w:r>
          </w:p>
          <w:p>
            <w:pPr>
              <w:spacing w:line="400" w:lineRule="exact"/>
              <w:ind w:firstLine="422" w:firstLineChars="200"/>
              <w:rPr>
                <w:rFonts w:ascii="宋体" w:hAnsi="宋体"/>
                <w:szCs w:val="21"/>
              </w:rPr>
            </w:pPr>
            <w:r>
              <w:rPr>
                <w:rFonts w:hint="eastAsia" w:ascii="宋体" w:hAnsi="宋体"/>
                <w:b/>
                <w:szCs w:val="21"/>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ascii="宋体" w:hAnsi="宋体" w:cs="宋体"/>
          <w:b/>
          <w:kern w:val="0"/>
          <w:szCs w:val="21"/>
        </w:rPr>
      </w:pPr>
      <w:r>
        <w:rPr>
          <w:rFonts w:hint="eastAsia" w:ascii="宋体" w:hAnsi="宋体" w:cs="宋体"/>
          <w:b/>
          <w:kern w:val="0"/>
          <w:szCs w:val="21"/>
        </w:rPr>
        <w:t>27.澄清</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27.1 磋商小组在对响应文件(包括首次响应文件、重新提交的响应文件)的有效性、完整性和对磋商文件的响应程度进行审查时，可以要求</w:t>
      </w:r>
      <w:r>
        <w:rPr>
          <w:rFonts w:hint="eastAsia" w:ascii="宋体" w:hAnsi="宋体"/>
          <w:szCs w:val="21"/>
        </w:rPr>
        <w:t>供应商</w:t>
      </w:r>
      <w:r>
        <w:rPr>
          <w:rFonts w:hint="eastAsia" w:ascii="宋体" w:hAnsi="宋体" w:cs="宋体"/>
          <w:kern w:val="0"/>
          <w:szCs w:val="21"/>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szCs w:val="21"/>
        </w:rPr>
        <w:t>供应商</w:t>
      </w:r>
      <w:r>
        <w:rPr>
          <w:rFonts w:hint="eastAsia" w:ascii="宋体" w:hAnsi="宋体" w:cs="宋体"/>
          <w:kern w:val="0"/>
          <w:szCs w:val="21"/>
        </w:rPr>
        <w:t>的澄清、说明或者更正应当采用书面形式，由其法定代表人或其委托代理人签字，</w:t>
      </w:r>
      <w:r>
        <w:rPr>
          <w:rFonts w:hint="eastAsia" w:ascii="宋体" w:hAnsi="宋体"/>
          <w:szCs w:val="21"/>
        </w:rPr>
        <w:t>供应商</w:t>
      </w:r>
      <w:r>
        <w:rPr>
          <w:rFonts w:hint="eastAsia" w:ascii="宋体" w:hAnsi="宋体" w:cs="宋体"/>
          <w:kern w:val="0"/>
          <w:szCs w:val="21"/>
        </w:rPr>
        <w:t>的澄清、说明或者更正不得超出响应文件的范围或者改变响应文件的实质性内容。</w:t>
      </w:r>
    </w:p>
    <w:p>
      <w:pPr>
        <w:widowControl/>
        <w:adjustRightInd w:val="0"/>
        <w:snapToGrid w:val="0"/>
        <w:spacing w:line="360" w:lineRule="auto"/>
        <w:ind w:firstLine="420"/>
        <w:jc w:val="left"/>
        <w:rPr>
          <w:rFonts w:ascii="宋体" w:hAnsi="宋体" w:cs="宋体"/>
          <w:b/>
          <w:kern w:val="0"/>
          <w:szCs w:val="21"/>
        </w:rPr>
      </w:pPr>
      <w:r>
        <w:rPr>
          <w:rFonts w:hint="eastAsia" w:ascii="宋体" w:hAnsi="宋体" w:cs="宋体"/>
          <w:kern w:val="0"/>
          <w:szCs w:val="21"/>
        </w:rPr>
        <w:t>27.2 报价计算错误修正的原则：报价</w:t>
      </w:r>
      <w:r>
        <w:rPr>
          <w:rFonts w:hint="eastAsia" w:ascii="宋体" w:hAnsi="宋体" w:cs="Arial"/>
          <w:kern w:val="0"/>
          <w:szCs w:val="21"/>
        </w:rPr>
        <w:t>的大写金额和小写金额不一致的，以大写金额为准；</w:t>
      </w:r>
      <w:r>
        <w:rPr>
          <w:rFonts w:hint="eastAsia" w:ascii="宋体" w:hAnsi="宋体"/>
          <w:szCs w:val="21"/>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kern w:val="0"/>
          <w:szCs w:val="21"/>
        </w:rPr>
        <w:t>。</w:t>
      </w:r>
    </w:p>
    <w:p>
      <w:pPr>
        <w:widowControl/>
        <w:adjustRightInd w:val="0"/>
        <w:snapToGrid w:val="0"/>
        <w:spacing w:line="360" w:lineRule="auto"/>
        <w:jc w:val="left"/>
        <w:rPr>
          <w:rFonts w:ascii="宋体" w:hAnsi="宋体" w:cs="宋体"/>
          <w:kern w:val="0"/>
          <w:szCs w:val="21"/>
        </w:rPr>
      </w:pPr>
      <w:r>
        <w:rPr>
          <w:rFonts w:hint="eastAsia" w:ascii="宋体" w:hAnsi="宋体" w:cs="宋体"/>
          <w:b/>
          <w:kern w:val="0"/>
          <w:szCs w:val="21"/>
        </w:rPr>
        <w:t>28. 磋商</w:t>
      </w:r>
    </w:p>
    <w:p>
      <w:pPr>
        <w:widowControl/>
        <w:adjustRightInd w:val="0"/>
        <w:snapToGrid w:val="0"/>
        <w:spacing w:line="360" w:lineRule="auto"/>
        <w:ind w:firstLine="420"/>
        <w:jc w:val="left"/>
        <w:rPr>
          <w:rFonts w:ascii="宋体" w:hAnsi="宋体"/>
          <w:bCs/>
          <w:szCs w:val="21"/>
        </w:rPr>
      </w:pPr>
      <w:r>
        <w:rPr>
          <w:rFonts w:hint="eastAsia" w:ascii="宋体" w:hAnsi="宋体"/>
          <w:bCs/>
          <w:szCs w:val="21"/>
        </w:rPr>
        <w:t>28.1</w:t>
      </w:r>
      <w:r>
        <w:rPr>
          <w:rFonts w:hint="eastAsia" w:ascii="宋体" w:hAnsi="宋体" w:cs="宋体"/>
          <w:kern w:val="0"/>
          <w:szCs w:val="21"/>
        </w:rPr>
        <w:t>符合性审查结束后</w:t>
      </w:r>
      <w:r>
        <w:rPr>
          <w:rFonts w:hint="eastAsia" w:ascii="宋体" w:hAnsi="宋体"/>
          <w:bCs/>
          <w:szCs w:val="21"/>
        </w:rPr>
        <w:t>，如有需要，</w:t>
      </w:r>
      <w:r>
        <w:rPr>
          <w:rFonts w:hint="eastAsia" w:ascii="宋体" w:hAnsi="宋体" w:cs="宋体"/>
          <w:kern w:val="0"/>
          <w:szCs w:val="21"/>
        </w:rPr>
        <w:t>磋商小组所有成员集中与单一</w:t>
      </w:r>
      <w:r>
        <w:rPr>
          <w:rFonts w:hint="eastAsia" w:ascii="宋体" w:hAnsi="宋体"/>
          <w:szCs w:val="21"/>
        </w:rPr>
        <w:t>供应商</w:t>
      </w:r>
      <w:r>
        <w:rPr>
          <w:rFonts w:hint="eastAsia" w:ascii="宋体" w:hAnsi="宋体" w:cs="宋体"/>
          <w:kern w:val="0"/>
          <w:szCs w:val="21"/>
        </w:rPr>
        <w:t>分别进行磋商，并给予所有参加磋商的供应商平等的磋商机会。</w:t>
      </w:r>
      <w:r>
        <w:rPr>
          <w:rFonts w:hint="eastAsia" w:ascii="宋体" w:hAnsi="宋体"/>
          <w:szCs w:val="21"/>
        </w:rPr>
        <w:t>供应商</w:t>
      </w:r>
      <w:r>
        <w:rPr>
          <w:rFonts w:hint="eastAsia" w:ascii="宋体" w:hAnsi="宋体" w:cs="宋体"/>
          <w:kern w:val="0"/>
          <w:szCs w:val="21"/>
        </w:rPr>
        <w:t>应派其法定代表人或委托代理人参加磋商。</w:t>
      </w:r>
    </w:p>
    <w:p>
      <w:pPr>
        <w:widowControl/>
        <w:adjustRightInd w:val="0"/>
        <w:snapToGrid w:val="0"/>
        <w:spacing w:line="360" w:lineRule="auto"/>
        <w:ind w:firstLine="420"/>
        <w:jc w:val="left"/>
        <w:rPr>
          <w:rFonts w:ascii="宋体" w:hAnsi="宋体" w:cs="宋体"/>
          <w:kern w:val="0"/>
          <w:szCs w:val="21"/>
          <w:lang w:val="zh-CN"/>
        </w:rPr>
      </w:pPr>
      <w:r>
        <w:rPr>
          <w:rFonts w:hint="eastAsia" w:ascii="宋体" w:hAnsi="宋体" w:cs="宋体"/>
          <w:kern w:val="0"/>
          <w:szCs w:val="21"/>
        </w:rPr>
        <w:t>28.2对于未明确磋商文件实质性变动内容，或者磋商文件明确了可能发生实质性变动内容，但在磋商过程中，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磋商文件无需发生实质性变动的，直接与实质性响应磋商文件要求的</w:t>
      </w:r>
      <w:r>
        <w:rPr>
          <w:rFonts w:hint="eastAsia" w:ascii="宋体" w:hAnsi="宋体"/>
          <w:szCs w:val="21"/>
        </w:rPr>
        <w:t>供应商</w:t>
      </w:r>
      <w:r>
        <w:rPr>
          <w:rFonts w:hint="eastAsia" w:ascii="宋体" w:hAnsi="宋体" w:cs="宋体"/>
          <w:kern w:val="0"/>
          <w:szCs w:val="21"/>
        </w:rPr>
        <w:t>就价格组织多轮磋商。</w:t>
      </w:r>
    </w:p>
    <w:p>
      <w:pPr>
        <w:widowControl/>
        <w:adjustRightInd w:val="0"/>
        <w:snapToGrid w:val="0"/>
        <w:spacing w:line="360" w:lineRule="auto"/>
        <w:ind w:firstLine="420"/>
        <w:jc w:val="left"/>
        <w:rPr>
          <w:rFonts w:ascii="宋体" w:hAnsi="宋体"/>
          <w:bCs/>
          <w:szCs w:val="21"/>
        </w:rPr>
      </w:pPr>
      <w:r>
        <w:rPr>
          <w:rFonts w:hint="eastAsia" w:ascii="宋体" w:hAnsi="宋体" w:cs="宋体"/>
          <w:kern w:val="0"/>
          <w:szCs w:val="21"/>
        </w:rPr>
        <w:t>28.3</w:t>
      </w:r>
      <w:r>
        <w:rPr>
          <w:rFonts w:hint="eastAsia" w:ascii="宋体" w:hAnsi="宋体"/>
          <w:bCs/>
          <w:szCs w:val="21"/>
        </w:rPr>
        <w:t>在每一轮磋商中，磋商小组</w:t>
      </w:r>
      <w:r>
        <w:rPr>
          <w:rFonts w:hint="eastAsia" w:ascii="宋体" w:hAnsi="宋体" w:cs="宋体"/>
          <w:kern w:val="0"/>
          <w:szCs w:val="21"/>
        </w:rPr>
        <w:t>可以</w:t>
      </w:r>
      <w:r>
        <w:rPr>
          <w:rFonts w:hint="eastAsia" w:ascii="宋体" w:hAnsi="宋体" w:cs="Arial"/>
          <w:kern w:val="0"/>
          <w:szCs w:val="21"/>
        </w:rPr>
        <w:t>根据</w:t>
      </w:r>
      <w:r>
        <w:rPr>
          <w:rFonts w:hint="eastAsia" w:ascii="宋体" w:hAnsi="宋体" w:cs="宋体"/>
          <w:kern w:val="0"/>
          <w:szCs w:val="21"/>
        </w:rPr>
        <w:t>磋商文件规定和磋商情况，</w:t>
      </w:r>
      <w:r>
        <w:rPr>
          <w:rFonts w:hint="eastAsia" w:ascii="宋体" w:hAnsi="宋体"/>
          <w:bCs/>
          <w:szCs w:val="21"/>
        </w:rPr>
        <w:t>对磋商文件的</w:t>
      </w:r>
      <w:r>
        <w:rPr>
          <w:rFonts w:hint="eastAsia" w:ascii="宋体" w:hAnsi="宋体" w:cs="宋体"/>
          <w:kern w:val="0"/>
          <w:szCs w:val="21"/>
        </w:rPr>
        <w:t>采购需求中的技术、服务要求以及合同草案条款</w:t>
      </w:r>
      <w:r>
        <w:rPr>
          <w:rFonts w:hint="eastAsia" w:ascii="宋体" w:hAnsi="宋体"/>
          <w:bCs/>
          <w:szCs w:val="21"/>
        </w:rPr>
        <w:t>作实质性变动(磋商文件的实质性变动内容为磋商文件的组成部分)，并以书面形式要求</w:t>
      </w:r>
      <w:r>
        <w:rPr>
          <w:rFonts w:hint="eastAsia" w:ascii="宋体" w:hAnsi="宋体" w:cs="宋体"/>
          <w:kern w:val="0"/>
          <w:szCs w:val="21"/>
        </w:rPr>
        <w:t>符合性审查合格</w:t>
      </w:r>
      <w:r>
        <w:rPr>
          <w:rFonts w:hint="eastAsia" w:ascii="宋体" w:hAnsi="宋体"/>
          <w:bCs/>
          <w:szCs w:val="21"/>
        </w:rPr>
        <w:t>的</w:t>
      </w:r>
      <w:r>
        <w:rPr>
          <w:rFonts w:hint="eastAsia" w:ascii="宋体" w:hAnsi="宋体"/>
          <w:szCs w:val="21"/>
        </w:rPr>
        <w:t>供应商</w:t>
      </w:r>
      <w:r>
        <w:rPr>
          <w:rFonts w:hint="eastAsia" w:ascii="宋体" w:hAnsi="宋体"/>
          <w:bCs/>
          <w:szCs w:val="21"/>
        </w:rPr>
        <w:t>，在规定的</w:t>
      </w:r>
      <w:r>
        <w:rPr>
          <w:rFonts w:hint="eastAsia" w:ascii="宋体" w:hAnsi="宋体" w:cs="宋体"/>
          <w:kern w:val="0"/>
          <w:szCs w:val="21"/>
        </w:rPr>
        <w:t>截止时间前</w:t>
      </w:r>
      <w:r>
        <w:rPr>
          <w:rFonts w:hint="eastAsia" w:ascii="宋体" w:hAnsi="宋体"/>
          <w:bCs/>
          <w:szCs w:val="21"/>
        </w:rPr>
        <w:t>重</w:t>
      </w:r>
      <w:r>
        <w:rPr>
          <w:rFonts w:hint="eastAsia" w:ascii="宋体" w:hAnsi="宋体" w:cs="宋体"/>
          <w:kern w:val="0"/>
          <w:szCs w:val="21"/>
        </w:rPr>
        <w:t>新提交响应文件</w:t>
      </w:r>
      <w:r>
        <w:rPr>
          <w:rFonts w:hint="eastAsia" w:ascii="宋体" w:hAnsi="宋体"/>
          <w:bCs/>
          <w:szCs w:val="21"/>
        </w:rPr>
        <w:t>。</w:t>
      </w:r>
    </w:p>
    <w:p>
      <w:pPr>
        <w:widowControl/>
        <w:adjustRightInd w:val="0"/>
        <w:snapToGrid w:val="0"/>
        <w:spacing w:line="360" w:lineRule="auto"/>
        <w:ind w:firstLine="420"/>
        <w:jc w:val="left"/>
        <w:rPr>
          <w:rFonts w:ascii="宋体" w:hAnsi="宋体" w:cs="宋体"/>
          <w:kern w:val="0"/>
          <w:szCs w:val="21"/>
        </w:rPr>
      </w:pPr>
      <w:r>
        <w:rPr>
          <w:rFonts w:hint="eastAsia" w:ascii="宋体" w:hAnsi="宋体"/>
          <w:bCs/>
          <w:szCs w:val="21"/>
        </w:rPr>
        <w:t>28.4</w:t>
      </w:r>
      <w:r>
        <w:rPr>
          <w:rFonts w:hint="eastAsia" w:ascii="宋体" w:hAnsi="宋体" w:cs="宋体"/>
          <w:kern w:val="0"/>
          <w:szCs w:val="21"/>
        </w:rPr>
        <w:t>磋商小组应当</w:t>
      </w:r>
      <w:r>
        <w:rPr>
          <w:rFonts w:hint="eastAsia" w:ascii="宋体" w:hAnsi="宋体"/>
          <w:szCs w:val="21"/>
        </w:rPr>
        <w:t>根据本章第26.2</w:t>
      </w:r>
      <w:r>
        <w:rPr>
          <w:rFonts w:hint="eastAsia" w:ascii="宋体" w:hAnsi="宋体" w:cs="宋体"/>
          <w:kern w:val="0"/>
          <w:szCs w:val="21"/>
          <w:lang w:val="zh-CN"/>
        </w:rPr>
        <w:t>款</w:t>
      </w:r>
      <w:r>
        <w:rPr>
          <w:rFonts w:hint="eastAsia" w:ascii="宋体" w:hAnsi="宋体" w:cs="宋体"/>
          <w:kern w:val="0"/>
          <w:szCs w:val="21"/>
        </w:rPr>
        <w:t>对</w:t>
      </w:r>
      <w:r>
        <w:rPr>
          <w:rFonts w:hint="eastAsia" w:ascii="宋体" w:hAnsi="宋体"/>
          <w:szCs w:val="21"/>
        </w:rPr>
        <w:t>供应商</w:t>
      </w:r>
      <w:r>
        <w:rPr>
          <w:rFonts w:hint="eastAsia" w:ascii="宋体" w:hAnsi="宋体" w:cs="宋体"/>
          <w:kern w:val="0"/>
          <w:szCs w:val="21"/>
        </w:rPr>
        <w:t>重新提交的响应文件进行符合性审查。</w:t>
      </w:r>
      <w:r>
        <w:rPr>
          <w:rFonts w:hint="eastAsia" w:ascii="宋体" w:hAnsi="宋体"/>
          <w:szCs w:val="21"/>
        </w:rPr>
        <w:t>供应商</w:t>
      </w:r>
      <w:r>
        <w:rPr>
          <w:rFonts w:hint="eastAsia" w:ascii="宋体" w:hAnsi="宋体" w:cs="宋体"/>
          <w:kern w:val="0"/>
          <w:szCs w:val="21"/>
        </w:rPr>
        <w:t>重新提交的响应文件未通过符合性审查的，不得进入下一轮磋商，也不得要求提交最后报价。</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ascii="宋体" w:hAnsi="宋体"/>
          <w:bCs/>
          <w:szCs w:val="21"/>
        </w:rPr>
      </w:pPr>
      <w:r>
        <w:rPr>
          <w:rFonts w:hint="eastAsia" w:ascii="宋体" w:hAnsi="宋体"/>
          <w:bCs/>
          <w:szCs w:val="21"/>
        </w:rPr>
        <w:t>28.5</w:t>
      </w:r>
      <w:r>
        <w:rPr>
          <w:rFonts w:hint="eastAsia" w:ascii="宋体" w:hAnsi="宋体"/>
          <w:szCs w:val="21"/>
        </w:rPr>
        <w:t xml:space="preserve"> </w:t>
      </w:r>
      <w:r>
        <w:rPr>
          <w:rFonts w:hint="eastAsia" w:ascii="宋体" w:hAnsi="宋体"/>
          <w:bCs/>
          <w:szCs w:val="21"/>
        </w:rPr>
        <w:t>重</w:t>
      </w:r>
      <w:r>
        <w:rPr>
          <w:rFonts w:hint="eastAsia" w:ascii="宋体" w:hAnsi="宋体" w:cs="宋体"/>
          <w:kern w:val="0"/>
          <w:szCs w:val="21"/>
        </w:rPr>
        <w:t>新提交的响应文件</w:t>
      </w:r>
      <w:r>
        <w:rPr>
          <w:rFonts w:hint="eastAsia" w:ascii="宋体" w:hAnsi="宋体"/>
          <w:szCs w:val="21"/>
        </w:rPr>
        <w:t>或者报价应按</w:t>
      </w:r>
      <w:r>
        <w:rPr>
          <w:rFonts w:hint="eastAsia" w:ascii="宋体" w:hAnsi="宋体" w:cs="宋体"/>
          <w:kern w:val="0"/>
          <w:szCs w:val="21"/>
        </w:rPr>
        <w:t>本章第</w:t>
      </w:r>
      <w:r>
        <w:rPr>
          <w:rFonts w:hint="eastAsia" w:ascii="宋体" w:hAnsi="宋体"/>
          <w:szCs w:val="21"/>
        </w:rPr>
        <w:t>19.3</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由其法定代表人或其委托代理人签字或者加盖供应商单位章，在规定时间内线上提交</w:t>
      </w:r>
      <w:r>
        <w:rPr>
          <w:rFonts w:hint="eastAsia" w:ascii="宋体" w:hAnsi="宋体"/>
          <w:bCs/>
          <w:szCs w:val="21"/>
        </w:rPr>
        <w:t>。</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28.6提交首次响应文件的磋商单位，在提交最后报价之前，可以根据磋商情况退出磋商，并书面通知采购代理机构或者磋商小组。</w:t>
      </w:r>
      <w:r>
        <w:rPr>
          <w:rFonts w:hint="eastAsia" w:ascii="宋体" w:hAnsi="宋体"/>
          <w:szCs w:val="21"/>
        </w:rPr>
        <w:t>该通知由</w:t>
      </w:r>
      <w:r>
        <w:rPr>
          <w:rFonts w:hint="eastAsia" w:ascii="宋体" w:hAnsi="宋体" w:cs="宋体"/>
          <w:kern w:val="0"/>
          <w:szCs w:val="21"/>
        </w:rPr>
        <w:t>供应商</w:t>
      </w:r>
      <w:r>
        <w:rPr>
          <w:rFonts w:hint="eastAsia" w:ascii="宋体" w:hAnsi="宋体"/>
          <w:szCs w:val="21"/>
        </w:rPr>
        <w:t>法定代表人或其委托代理人签字。</w:t>
      </w:r>
      <w:r>
        <w:rPr>
          <w:rFonts w:hint="eastAsia" w:ascii="宋体" w:hAnsi="宋体" w:cs="宋体"/>
          <w:kern w:val="0"/>
          <w:szCs w:val="21"/>
        </w:rPr>
        <w:t>采购代理机构按本章第</w:t>
      </w:r>
      <w:r>
        <w:rPr>
          <w:rFonts w:hint="eastAsia" w:ascii="宋体" w:hAnsi="宋体"/>
          <w:szCs w:val="21"/>
        </w:rPr>
        <w:t>17.4</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退还退供应商的磋商保证金。</w:t>
      </w:r>
    </w:p>
    <w:p>
      <w:pPr>
        <w:widowControl/>
        <w:adjustRightInd w:val="0"/>
        <w:snapToGrid w:val="0"/>
        <w:spacing w:line="360" w:lineRule="auto"/>
        <w:ind w:firstLine="420"/>
        <w:jc w:val="left"/>
        <w:rPr>
          <w:rFonts w:ascii="宋体" w:hAnsi="宋体" w:cs="宋体"/>
          <w:kern w:val="0"/>
          <w:szCs w:val="21"/>
        </w:rPr>
      </w:pPr>
      <w:r>
        <w:rPr>
          <w:rFonts w:hint="eastAsia" w:ascii="宋体" w:hAnsi="宋体"/>
          <w:bCs/>
          <w:szCs w:val="21"/>
        </w:rPr>
        <w:t>28.7</w:t>
      </w:r>
      <w:r>
        <w:rPr>
          <w:rFonts w:hint="eastAsia" w:ascii="宋体" w:hAnsi="宋体" w:cs="宋体"/>
          <w:kern w:val="0"/>
          <w:szCs w:val="21"/>
        </w:rPr>
        <w:t>提交首次响应文件的供应商，未按规定时间提交最后报价的，所造成的的后果由供应商自行承担。</w:t>
      </w:r>
    </w:p>
    <w:p>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29.综合评分</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kern w:val="0"/>
          <w:szCs w:val="21"/>
        </w:rPr>
        <w:t>29.1经磋商确定</w:t>
      </w:r>
      <w:r>
        <w:rPr>
          <w:rFonts w:hint="eastAsia" w:ascii="宋体" w:hAnsi="宋体" w:cs="宋体"/>
          <w:bCs/>
          <w:kern w:val="0"/>
          <w:szCs w:val="21"/>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29.2评审时，磋商小组各成员应当独立对每个有效响应的文件进行评价、打分，然后汇总每个供应商每项评分因素的得分。</w:t>
      </w:r>
    </w:p>
    <w:p>
      <w:pPr>
        <w:adjustRightInd w:val="0"/>
        <w:snapToGrid w:val="0"/>
        <w:spacing w:line="360" w:lineRule="auto"/>
        <w:ind w:firstLine="422" w:firstLineChars="200"/>
        <w:rPr>
          <w:rFonts w:ascii="宋体" w:hAnsi="宋体" w:cs="宋体"/>
          <w:kern w:val="0"/>
          <w:szCs w:val="21"/>
        </w:rPr>
      </w:pPr>
      <w:r>
        <w:rPr>
          <w:rFonts w:hint="eastAsia" w:ascii="宋体" w:hAnsi="宋体"/>
          <w:b/>
          <w:kern w:val="0"/>
          <w:szCs w:val="21"/>
        </w:rPr>
        <w:t>供应商最终得分=最终价格评分A+B+C</w:t>
      </w:r>
      <w:r>
        <w:rPr>
          <w:rFonts w:hint="eastAsia" w:ascii="宋体" w:hAnsi="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29.3评分办法：综合评分法</w:t>
      </w:r>
    </w:p>
    <w:tbl>
      <w:tblPr>
        <w:tblStyle w:val="44"/>
        <w:tblpPr w:leftFromText="180" w:rightFromText="180" w:vertAnchor="text" w:horzAnchor="page" w:tblpX="1375" w:tblpY="715"/>
        <w:tblOverlap w:val="never"/>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41"/>
        <w:gridCol w:w="633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44" w:type="pct"/>
            <w:noWrap w:val="0"/>
            <w:vAlign w:val="center"/>
          </w:tcPr>
          <w:p>
            <w:pPr>
              <w:widowControl/>
              <w:ind w:right="-185" w:rightChars="-88"/>
              <w:rPr>
                <w:rFonts w:hint="eastAsia" w:ascii="微软雅黑" w:hAnsi="微软雅黑" w:eastAsia="微软雅黑" w:cs="微软雅黑"/>
                <w:b/>
                <w:bCs/>
                <w:kern w:val="0"/>
                <w:szCs w:val="21"/>
              </w:rPr>
            </w:pPr>
            <w:r>
              <w:rPr>
                <w:rFonts w:hint="eastAsia" w:ascii="微软雅黑" w:hAnsi="微软雅黑" w:eastAsia="微软雅黑" w:cs="微软雅黑"/>
                <w:b/>
                <w:bCs/>
                <w:kern w:val="0"/>
                <w:szCs w:val="21"/>
              </w:rPr>
              <w:t>序号</w:t>
            </w:r>
          </w:p>
        </w:tc>
        <w:tc>
          <w:tcPr>
            <w:tcW w:w="495" w:type="pct"/>
            <w:noWrap w:val="0"/>
            <w:vAlign w:val="center"/>
          </w:tcPr>
          <w:p>
            <w:pPr>
              <w:widowControl/>
              <w:ind w:right="-124" w:rightChars="-59"/>
              <w:rPr>
                <w:rFonts w:hint="eastAsia" w:ascii="微软雅黑" w:hAnsi="微软雅黑" w:eastAsia="微软雅黑" w:cs="微软雅黑"/>
                <w:b/>
                <w:bCs/>
                <w:kern w:val="0"/>
                <w:szCs w:val="21"/>
                <w:lang w:val="en-US" w:eastAsia="zh-CN"/>
              </w:rPr>
            </w:pPr>
            <w:r>
              <w:rPr>
                <w:rFonts w:hint="eastAsia" w:ascii="微软雅黑" w:hAnsi="微软雅黑" w:eastAsia="微软雅黑" w:cs="微软雅黑"/>
                <w:b/>
                <w:bCs/>
                <w:kern w:val="0"/>
                <w:szCs w:val="21"/>
                <w:lang w:val="en-US" w:eastAsia="zh-CN"/>
              </w:rPr>
              <w:t>评分项</w:t>
            </w:r>
          </w:p>
        </w:tc>
        <w:tc>
          <w:tcPr>
            <w:tcW w:w="3734" w:type="pct"/>
            <w:noWrap w:val="0"/>
            <w:vAlign w:val="center"/>
          </w:tcPr>
          <w:p>
            <w:pPr>
              <w:widowControl/>
              <w:jc w:val="center"/>
              <w:rPr>
                <w:rFonts w:hint="eastAsia" w:ascii="微软雅黑" w:hAnsi="微软雅黑" w:eastAsia="微软雅黑" w:cs="微软雅黑"/>
                <w:b/>
                <w:bCs/>
                <w:kern w:val="0"/>
                <w:szCs w:val="21"/>
              </w:rPr>
            </w:pPr>
            <w:r>
              <w:rPr>
                <w:rFonts w:hint="eastAsia" w:ascii="微软雅黑" w:hAnsi="微软雅黑" w:eastAsia="微软雅黑" w:cs="微软雅黑"/>
                <w:b/>
                <w:bCs/>
                <w:kern w:val="0"/>
                <w:szCs w:val="21"/>
              </w:rPr>
              <w:t>评分细则</w:t>
            </w:r>
          </w:p>
        </w:tc>
        <w:tc>
          <w:tcPr>
            <w:tcW w:w="424" w:type="pct"/>
            <w:noWrap w:val="0"/>
            <w:vAlign w:val="center"/>
          </w:tcPr>
          <w:p>
            <w:pPr>
              <w:widowControl/>
              <w:ind w:right="-124" w:rightChars="-59"/>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pct"/>
            <w:noWrap w:val="0"/>
            <w:vAlign w:val="center"/>
          </w:tcPr>
          <w:p>
            <w:pPr>
              <w:widowControl/>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1</w:t>
            </w:r>
          </w:p>
        </w:tc>
        <w:tc>
          <w:tcPr>
            <w:tcW w:w="495" w:type="pct"/>
            <w:noWrap w:val="0"/>
            <w:vAlign w:val="center"/>
          </w:tcPr>
          <w:p>
            <w:pPr>
              <w:widowControl/>
              <w:ind w:right="-124" w:rightChars="-59"/>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价格</w:t>
            </w:r>
          </w:p>
        </w:tc>
        <w:tc>
          <w:tcPr>
            <w:tcW w:w="3734" w:type="pct"/>
            <w:noWrap w:val="0"/>
            <w:vAlign w:val="center"/>
          </w:tcPr>
          <w:p>
            <w:pPr>
              <w:keepNext w:val="0"/>
              <w:keepLines w:val="0"/>
              <w:widowControl/>
              <w:suppressLineNumbers w:val="0"/>
              <w:shd w:val="clear" w:color="auto" w:fill="FFFFFF"/>
              <w:spacing w:before="0" w:beforeAutospacing="0" w:after="0" w:afterAutospacing="0" w:line="440" w:lineRule="atLeast"/>
              <w:ind w:left="0" w:right="0" w:firstLine="0"/>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以各有效供应商的最后报价为基准计算：</w:t>
            </w:r>
          </w:p>
          <w:p>
            <w:pPr>
              <w:keepNext w:val="0"/>
              <w:keepLines w:val="0"/>
              <w:widowControl/>
              <w:suppressLineNumbers w:val="0"/>
              <w:shd w:val="clear" w:color="auto" w:fill="FFFFFF"/>
              <w:spacing w:before="0" w:beforeAutospacing="0" w:after="0" w:afterAutospacing="0" w:line="440" w:lineRule="atLeast"/>
              <w:ind w:left="0" w:right="0" w:firstLine="0"/>
              <w:jc w:val="left"/>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基准价：满足招标文件要求且价格最低的最后报价为基准价， 其价格分为满分。其他供应商的价格分统一按照下列公式计算：</w:t>
            </w:r>
          </w:p>
          <w:p>
            <w:pPr>
              <w:keepNext w:val="0"/>
              <w:keepLines w:val="0"/>
              <w:widowControl/>
              <w:suppressLineNumbers w:val="0"/>
              <w:shd w:val="clear" w:color="auto" w:fill="FFFFFF"/>
              <w:spacing w:before="0" w:beforeAutospacing="0" w:after="0" w:afterAutospacing="0" w:line="440" w:lineRule="atLeast"/>
              <w:ind w:left="0" w:right="0" w:firstLine="0"/>
              <w:jc w:val="left"/>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报价得分</w:t>
            </w:r>
            <w:r>
              <w:rPr>
                <w:rFonts w:hint="eastAsia" w:ascii="微软雅黑" w:hAnsi="微软雅黑" w:eastAsia="微软雅黑" w:cs="微软雅黑"/>
                <w:kern w:val="0"/>
                <w:sz w:val="21"/>
                <w:szCs w:val="21"/>
                <w:highlight w:val="none"/>
                <w:lang w:val="en-US" w:eastAsia="zh-CN" w:bidi="ar-SA"/>
              </w:rPr>
              <w:t>=(基准价／最后报价)×30</w:t>
            </w:r>
            <w:r>
              <w:rPr>
                <w:rFonts w:hint="eastAsia" w:ascii="微软雅黑" w:hAnsi="微软雅黑" w:eastAsia="微软雅黑" w:cs="微软雅黑"/>
                <w:kern w:val="0"/>
                <w:sz w:val="21"/>
                <w:szCs w:val="21"/>
                <w:lang w:val="en-US" w:eastAsia="zh-CN" w:bidi="ar-SA"/>
              </w:rPr>
              <w:t>注：对中小企业、残疾人企业、监狱企业的价格给予10%的价格评审扣除，用扣除后的价格参与评审。（符合要求的需提供声明函，中标后提供企业相关情况以备核查）</w:t>
            </w:r>
          </w:p>
          <w:p>
            <w:pPr>
              <w:widowControl/>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highlight w:val="yellow"/>
                <w:lang w:val="en-US" w:eastAsia="zh-CN" w:bidi="ar-SA"/>
              </w:rPr>
              <w:t>评标委员会认为供应商的报价低于其他通过符合性审查供应商平均报价的30%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微软雅黑" w:hAnsi="微软雅黑" w:eastAsia="微软雅黑" w:cs="微软雅黑"/>
                <w:kern w:val="0"/>
                <w:sz w:val="21"/>
                <w:szCs w:val="21"/>
                <w:lang w:val="en-US" w:eastAsia="zh-CN" w:bidi="ar-SA"/>
              </w:rPr>
              <w:cr/>
            </w:r>
          </w:p>
        </w:tc>
        <w:tc>
          <w:tcPr>
            <w:tcW w:w="424" w:type="pct"/>
            <w:noWrap w:val="0"/>
            <w:vAlign w:val="center"/>
          </w:tcPr>
          <w:p>
            <w:pPr>
              <w:widowControl/>
              <w:ind w:right="-124" w:rightChars="-59"/>
              <w:jc w:val="center"/>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pct"/>
            <w:noWrap w:val="0"/>
            <w:vAlign w:val="center"/>
          </w:tcPr>
          <w:p>
            <w:pPr>
              <w:widowControl/>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2</w:t>
            </w:r>
          </w:p>
        </w:tc>
        <w:tc>
          <w:tcPr>
            <w:tcW w:w="495" w:type="pct"/>
            <w:noWrap w:val="0"/>
            <w:vAlign w:val="center"/>
          </w:tcPr>
          <w:p>
            <w:pPr>
              <w:widowControl/>
              <w:ind w:left="-122" w:leftChars="-58" w:right="-124" w:rightChars="-59"/>
              <w:jc w:val="center"/>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企业资质</w:t>
            </w:r>
          </w:p>
        </w:tc>
        <w:tc>
          <w:tcPr>
            <w:tcW w:w="3734" w:type="pct"/>
            <w:noWrap w:val="0"/>
            <w:vAlign w:val="center"/>
          </w:tcPr>
          <w:p>
            <w:pPr>
              <w:pStyle w:val="41"/>
              <w:keepNext w:val="0"/>
              <w:keepLines w:val="0"/>
              <w:widowControl/>
              <w:suppressLineNumbers w:val="0"/>
              <w:shd w:val="clear" w:color="auto" w:fill="FFFFFF"/>
              <w:spacing w:before="0" w:beforeAutospacing="0" w:after="0" w:afterAutospacing="0" w:line="420" w:lineRule="atLeast"/>
              <w:ind w:left="65" w:right="0" w:firstLine="0"/>
              <w:jc w:val="both"/>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1、供应商具有ISO9001质量管理体系认证、 ISO27001 信息安全管理体系认证、、ISO20000信息技术服务管理体系认证的，每个得1分，满分3分。</w:t>
            </w:r>
          </w:p>
          <w:p>
            <w:pPr>
              <w:pStyle w:val="41"/>
              <w:keepNext w:val="0"/>
              <w:keepLines w:val="0"/>
              <w:widowControl/>
              <w:suppressLineNumbers w:val="0"/>
              <w:shd w:val="clear" w:color="auto" w:fill="FFFFFF"/>
              <w:spacing w:before="0" w:beforeAutospacing="0" w:after="0" w:afterAutospacing="0" w:line="420" w:lineRule="atLeast"/>
              <w:ind w:left="65" w:right="0" w:firstLine="0"/>
              <w:jc w:val="both"/>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2、供应商具有CMMI能力成熟度等级证书的：CMMI3及以下的不得分，CMMI4的得2分，CMMI5的得5分。</w:t>
            </w:r>
          </w:p>
          <w:p>
            <w:pPr>
              <w:pStyle w:val="41"/>
              <w:keepNext w:val="0"/>
              <w:keepLines w:val="0"/>
              <w:widowControl/>
              <w:suppressLineNumbers w:val="0"/>
              <w:shd w:val="clear" w:color="auto" w:fill="FFFFFF"/>
              <w:spacing w:before="0" w:beforeAutospacing="0" w:after="0" w:afterAutospacing="0" w:line="420" w:lineRule="atLeast"/>
              <w:ind w:left="65" w:right="0" w:firstLine="0"/>
              <w:jc w:val="both"/>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3</w:t>
            </w:r>
            <w:r>
              <w:rPr>
                <w:rFonts w:hint="eastAsia" w:ascii="微软雅黑" w:hAnsi="微软雅黑" w:eastAsia="微软雅黑" w:cs="微软雅黑"/>
                <w:kern w:val="0"/>
                <w:sz w:val="21"/>
                <w:szCs w:val="21"/>
                <w:highlight w:val="none"/>
                <w:lang w:val="en-US" w:eastAsia="zh-CN" w:bidi="ar-SA"/>
              </w:rPr>
              <w:t>、供应商或软件开发商取</w:t>
            </w:r>
            <w:r>
              <w:rPr>
                <w:rFonts w:hint="eastAsia" w:ascii="微软雅黑" w:hAnsi="微软雅黑" w:eastAsia="微软雅黑" w:cs="微软雅黑"/>
                <w:kern w:val="0"/>
                <w:sz w:val="21"/>
                <w:szCs w:val="21"/>
                <w:lang w:val="en-US" w:eastAsia="zh-CN" w:bidi="ar-SA"/>
              </w:rPr>
              <w:t>得中华人民共和国知识产权局颁发的相关的专利，每个得1分，满分4分。</w:t>
            </w:r>
          </w:p>
          <w:p>
            <w:pPr>
              <w:rPr>
                <w:rFonts w:hint="eastAsia" w:ascii="微软雅黑" w:hAnsi="微软雅黑" w:eastAsia="微软雅黑" w:cs="微软雅黑"/>
                <w:bCs/>
                <w:kern w:val="0"/>
                <w:szCs w:val="21"/>
              </w:rPr>
            </w:pPr>
            <w:r>
              <w:rPr>
                <w:rFonts w:hint="eastAsia" w:ascii="微软雅黑" w:hAnsi="微软雅黑" w:eastAsia="微软雅黑" w:cs="微软雅黑"/>
                <w:kern w:val="0"/>
                <w:sz w:val="21"/>
                <w:szCs w:val="21"/>
                <w:lang w:val="en-US" w:eastAsia="zh-CN" w:bidi="ar-SA"/>
              </w:rPr>
              <w:t>（需提供证书复印件加盖公章，附在响应文件正副本中，否则不予计分。）</w:t>
            </w:r>
          </w:p>
        </w:tc>
        <w:tc>
          <w:tcPr>
            <w:tcW w:w="424" w:type="pct"/>
            <w:noWrap w:val="0"/>
            <w:vAlign w:val="center"/>
          </w:tcPr>
          <w:p>
            <w:pPr>
              <w:keepNext w:val="0"/>
              <w:keepLines w:val="0"/>
              <w:widowControl/>
              <w:suppressLineNumbers w:val="0"/>
              <w:shd w:val="clear" w:color="auto" w:fill="FFFFFF"/>
              <w:spacing w:before="0" w:beforeAutospacing="0" w:after="0" w:afterAutospacing="0" w:line="440" w:lineRule="atLeast"/>
              <w:ind w:left="0" w:right="0" w:firstLine="0"/>
              <w:jc w:val="center"/>
              <w:rPr>
                <w:rFonts w:hint="default" w:ascii="微软雅黑" w:hAnsi="微软雅黑" w:eastAsia="微软雅黑" w:cs="微软雅黑"/>
                <w:bCs/>
                <w:kern w:val="0"/>
                <w:szCs w:val="21"/>
                <w:lang w:val="en-US" w:eastAsia="zh-CN"/>
              </w:rPr>
            </w:pPr>
            <w:r>
              <w:rPr>
                <w:rFonts w:hint="eastAsia" w:ascii="微软雅黑" w:hAnsi="微软雅黑" w:eastAsia="微软雅黑" w:cs="微软雅黑"/>
                <w:bCs/>
                <w:kern w:val="0"/>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44" w:type="pct"/>
            <w:noWrap w:val="0"/>
            <w:vAlign w:val="center"/>
          </w:tcPr>
          <w:p>
            <w:pPr>
              <w:widowControl/>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3</w:t>
            </w:r>
          </w:p>
        </w:tc>
        <w:tc>
          <w:tcPr>
            <w:tcW w:w="495" w:type="pct"/>
            <w:noWrap w:val="0"/>
            <w:vAlign w:val="center"/>
          </w:tcPr>
          <w:p>
            <w:pPr>
              <w:ind w:left="-122" w:leftChars="-58" w:right="-124" w:rightChars="-59"/>
              <w:jc w:val="center"/>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val="en-US" w:eastAsia="zh-CN"/>
              </w:rPr>
              <w:t>业绩</w:t>
            </w:r>
          </w:p>
        </w:tc>
        <w:tc>
          <w:tcPr>
            <w:tcW w:w="3734" w:type="pct"/>
            <w:noWrap w:val="0"/>
            <w:vAlign w:val="center"/>
          </w:tcPr>
          <w:p>
            <w:pPr>
              <w:pStyle w:val="41"/>
              <w:keepNext w:val="0"/>
              <w:keepLines w:val="0"/>
              <w:widowControl/>
              <w:suppressLineNumbers w:val="0"/>
              <w:shd w:val="clear" w:color="auto" w:fill="FFFFFF"/>
              <w:spacing w:before="0" w:beforeAutospacing="0" w:after="0" w:afterAutospacing="0" w:line="420" w:lineRule="atLeast"/>
              <w:ind w:left="65" w:right="0" w:firstLine="0"/>
              <w:jc w:val="both"/>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供应商提供2021年以来承担同类项目合同，每有一个得2分，满分10分。</w:t>
            </w:r>
          </w:p>
          <w:p>
            <w:pPr>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（需在响应文件中提供合同建设内容及合同签署页复印件，并加盖单位公章，未提供或不符合要求的不得分。）</w:t>
            </w:r>
          </w:p>
        </w:tc>
        <w:tc>
          <w:tcPr>
            <w:tcW w:w="424" w:type="pct"/>
            <w:noWrap w:val="0"/>
            <w:vAlign w:val="center"/>
          </w:tcPr>
          <w:p>
            <w:pPr>
              <w:jc w:val="center"/>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4" w:type="pct"/>
            <w:shd w:val="clear" w:color="auto" w:fill="auto"/>
            <w:noWrap w:val="0"/>
            <w:vAlign w:val="center"/>
          </w:tcPr>
          <w:p>
            <w:pPr>
              <w:widowControl/>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4</w:t>
            </w:r>
          </w:p>
        </w:tc>
        <w:tc>
          <w:tcPr>
            <w:tcW w:w="495" w:type="pct"/>
            <w:shd w:val="clear" w:color="auto" w:fill="auto"/>
            <w:noWrap w:val="0"/>
            <w:vAlign w:val="center"/>
          </w:tcPr>
          <w:p>
            <w:pPr>
              <w:widowControl/>
              <w:ind w:left="-122" w:leftChars="-58" w:right="-124" w:rightChars="-59"/>
              <w:jc w:val="center"/>
              <w:rPr>
                <w:rFonts w:hint="default" w:ascii="微软雅黑" w:hAnsi="微软雅黑" w:eastAsia="微软雅黑" w:cs="微软雅黑"/>
                <w:kern w:val="0"/>
                <w:szCs w:val="21"/>
                <w:lang w:val="en-US"/>
              </w:rPr>
            </w:pPr>
            <w:r>
              <w:rPr>
                <w:rFonts w:hint="eastAsia" w:ascii="微软雅黑" w:hAnsi="微软雅黑" w:eastAsia="微软雅黑" w:cs="微软雅黑"/>
                <w:kern w:val="0"/>
                <w:szCs w:val="21"/>
                <w:lang w:val="en-US" w:eastAsia="zh-CN"/>
              </w:rPr>
              <w:t>项目人员</w:t>
            </w:r>
          </w:p>
        </w:tc>
        <w:tc>
          <w:tcPr>
            <w:tcW w:w="3734" w:type="pct"/>
            <w:shd w:val="clear" w:color="000000" w:fill="FFFFFF"/>
            <w:noWrap w:val="0"/>
            <w:vAlign w:val="center"/>
          </w:tcPr>
          <w:p>
            <w:pPr>
              <w:pStyle w:val="41"/>
              <w:keepNext w:val="0"/>
              <w:keepLines w:val="0"/>
              <w:widowControl/>
              <w:suppressLineNumbers w:val="0"/>
              <w:shd w:val="clear" w:color="auto" w:fill="FFFFFF"/>
              <w:spacing w:before="0" w:beforeAutospacing="0" w:after="0" w:afterAutospacing="0" w:line="420" w:lineRule="atLeast"/>
              <w:ind w:left="65" w:right="0" w:firstLine="0"/>
              <w:jc w:val="both"/>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除项目负责人和驻采购人现场项目经理外，供应商拟投入本项目的其他团队人员中具有计算机与应用高级工程师（由省/市高级专业技术资格评审委员会颁发）、信息系统项目管理师（由国家人力资源和社会保障部或工业和信息化部颁发）、软件设计师、高级软件测试工程师（由工业和信息化部颁发）等，每提供1人（同1人有多个证书不能重复计分）加2分，满分8分。</w:t>
            </w:r>
          </w:p>
          <w:p>
            <w:pPr>
              <w:keepNext w:val="0"/>
              <w:keepLines w:val="0"/>
              <w:widowControl/>
              <w:suppressLineNumbers w:val="0"/>
              <w:shd w:val="clear" w:color="auto" w:fill="FFFFFF"/>
              <w:spacing w:before="0" w:beforeAutospacing="0" w:after="0" w:afterAutospacing="0" w:line="440" w:lineRule="atLeast"/>
              <w:ind w:left="0" w:right="0" w:firstLine="0"/>
              <w:jc w:val="left"/>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（需在响应文件中提供上述项目人员的花名册、资质证书、身份证及近三个月供应商为其缴纳的社保证明材料复印件并加盖单位公章，未提供或不符合要求的不得分。）</w:t>
            </w:r>
          </w:p>
          <w:p>
            <w:pPr>
              <w:widowControl/>
              <w:rPr>
                <w:rFonts w:hint="eastAsia" w:ascii="微软雅黑" w:hAnsi="微软雅黑" w:eastAsia="微软雅黑" w:cs="微软雅黑"/>
                <w:kern w:val="0"/>
                <w:szCs w:val="21"/>
              </w:rPr>
            </w:pPr>
          </w:p>
        </w:tc>
        <w:tc>
          <w:tcPr>
            <w:tcW w:w="424" w:type="pct"/>
            <w:shd w:val="clear" w:color="000000" w:fill="FFFFFF"/>
            <w:noWrap w:val="0"/>
            <w:vAlign w:val="center"/>
          </w:tcPr>
          <w:p>
            <w:pPr>
              <w:widowControl/>
              <w:jc w:val="center"/>
              <w:rPr>
                <w:rFonts w:hint="default"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4" w:type="pct"/>
            <w:shd w:val="clear" w:color="auto" w:fill="auto"/>
            <w:noWrap w:val="0"/>
            <w:vAlign w:val="center"/>
          </w:tcPr>
          <w:p>
            <w:pPr>
              <w:widowControl/>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5</w:t>
            </w:r>
          </w:p>
        </w:tc>
        <w:tc>
          <w:tcPr>
            <w:tcW w:w="495" w:type="pct"/>
            <w:shd w:val="clear" w:color="auto" w:fill="auto"/>
            <w:noWrap w:val="0"/>
            <w:vAlign w:val="center"/>
          </w:tcPr>
          <w:p>
            <w:pPr>
              <w:widowControl/>
              <w:ind w:left="-122" w:leftChars="-58" w:right="-124" w:rightChars="-59"/>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Cs w:val="21"/>
                <w:highlight w:val="none"/>
                <w:lang w:val="en-US" w:eastAsia="zh-CN"/>
              </w:rPr>
              <w:t>售后服务</w:t>
            </w:r>
          </w:p>
        </w:tc>
        <w:tc>
          <w:tcPr>
            <w:tcW w:w="3734" w:type="pct"/>
            <w:shd w:val="clear" w:color="000000" w:fill="FFFFFF"/>
            <w:noWrap w:val="0"/>
            <w:vAlign w:val="center"/>
          </w:tcPr>
          <w:p>
            <w:pPr>
              <w:rPr>
                <w:rFonts w:hint="default" w:ascii="微软雅黑" w:hAnsi="微软雅黑" w:eastAsia="微软雅黑" w:cs="宋体"/>
                <w:kern w:val="0"/>
                <w:sz w:val="21"/>
                <w:szCs w:val="21"/>
                <w:highlight w:val="none"/>
                <w:lang w:val="en-US" w:eastAsia="zh-CN" w:bidi="ar-SA"/>
              </w:rPr>
            </w:pPr>
            <w:r>
              <w:rPr>
                <w:rFonts w:hint="eastAsia" w:ascii="微软雅黑" w:hAnsi="微软雅黑" w:eastAsia="微软雅黑" w:cs="宋体"/>
                <w:kern w:val="0"/>
                <w:szCs w:val="21"/>
                <w:highlight w:val="none"/>
              </w:rPr>
              <w:t>提供售后服务方案，</w:t>
            </w:r>
            <w:r>
              <w:rPr>
                <w:rFonts w:ascii="微软雅黑" w:hAnsi="微软雅黑" w:eastAsia="微软雅黑" w:cs="宋体"/>
                <w:kern w:val="0"/>
                <w:szCs w:val="21"/>
                <w:highlight w:val="none"/>
              </w:rPr>
              <w:t>提供</w:t>
            </w:r>
            <w:r>
              <w:rPr>
                <w:rFonts w:hint="eastAsia" w:ascii="微软雅黑" w:hAnsi="微软雅黑" w:eastAsia="微软雅黑" w:cs="宋体"/>
                <w:kern w:val="0"/>
                <w:szCs w:val="21"/>
                <w:highlight w:val="none"/>
              </w:rPr>
              <w:t>技术支持和维护能力、服务承诺</w:t>
            </w:r>
            <w:r>
              <w:rPr>
                <w:rFonts w:hint="eastAsia" w:ascii="微软雅黑" w:hAnsi="微软雅黑" w:eastAsia="微软雅黑" w:cs="宋体"/>
                <w:b w:val="0"/>
                <w:bCs w:val="0"/>
                <w:kern w:val="0"/>
                <w:szCs w:val="21"/>
                <w:highlight w:val="none"/>
                <w:u w:val="none"/>
                <w:lang w:val="en-US" w:eastAsia="zh-CN"/>
              </w:rPr>
              <w:t>问</w:t>
            </w:r>
            <w:r>
              <w:rPr>
                <w:rFonts w:hint="eastAsia" w:ascii="微软雅黑" w:hAnsi="微软雅黑" w:eastAsia="微软雅黑" w:cs="宋体"/>
                <w:kern w:val="0"/>
                <w:szCs w:val="21"/>
                <w:highlight w:val="none"/>
                <w:u w:val="none"/>
                <w:lang w:val="en-US" w:eastAsia="zh-CN"/>
              </w:rPr>
              <w:t>题响应处理时间在24小时内</w:t>
            </w:r>
            <w:r>
              <w:rPr>
                <w:rFonts w:hint="eastAsia" w:ascii="微软雅黑" w:hAnsi="微软雅黑" w:eastAsia="微软雅黑" w:cs="宋体"/>
                <w:kern w:val="0"/>
                <w:szCs w:val="21"/>
                <w:highlight w:val="none"/>
              </w:rPr>
              <w:t>、服务保障措施等，得</w:t>
            </w:r>
            <w:r>
              <w:rPr>
                <w:rFonts w:hint="eastAsia" w:ascii="微软雅黑" w:hAnsi="微软雅黑" w:eastAsia="微软雅黑" w:cs="宋体"/>
                <w:kern w:val="0"/>
                <w:szCs w:val="21"/>
                <w:highlight w:val="none"/>
                <w:lang w:val="en-US" w:eastAsia="zh-CN"/>
              </w:rPr>
              <w:t>8</w:t>
            </w:r>
            <w:r>
              <w:rPr>
                <w:rFonts w:hint="eastAsia" w:ascii="微软雅黑" w:hAnsi="微软雅黑" w:eastAsia="微软雅黑" w:cs="宋体"/>
                <w:kern w:val="0"/>
                <w:szCs w:val="21"/>
                <w:highlight w:val="none"/>
              </w:rPr>
              <w:t>分。根据所提供的方案的针对性、科学性、合理性、完整性等进行评定，每有一处缺陷或不足之处减</w:t>
            </w:r>
            <w:r>
              <w:rPr>
                <w:rFonts w:hint="eastAsia" w:ascii="微软雅黑" w:hAnsi="微软雅黑" w:eastAsia="微软雅黑" w:cs="宋体"/>
                <w:kern w:val="0"/>
                <w:szCs w:val="21"/>
                <w:highlight w:val="none"/>
                <w:lang w:val="en-US" w:eastAsia="zh-CN"/>
              </w:rPr>
              <w:t>1</w:t>
            </w:r>
            <w:r>
              <w:rPr>
                <w:rFonts w:hint="eastAsia" w:ascii="微软雅黑" w:hAnsi="微软雅黑" w:eastAsia="微软雅黑" w:cs="宋体"/>
                <w:kern w:val="0"/>
                <w:szCs w:val="21"/>
                <w:highlight w:val="none"/>
              </w:rPr>
              <w:t>分，减完为止</w:t>
            </w:r>
            <w:r>
              <w:rPr>
                <w:rFonts w:hint="eastAsia" w:ascii="微软雅黑" w:hAnsi="微软雅黑" w:eastAsia="微软雅黑" w:cs="宋体"/>
                <w:kern w:val="0"/>
                <w:szCs w:val="21"/>
                <w:highlight w:val="none"/>
                <w:lang w:eastAsia="zh-CN"/>
              </w:rPr>
              <w:t>。</w:t>
            </w:r>
          </w:p>
        </w:tc>
        <w:tc>
          <w:tcPr>
            <w:tcW w:w="424" w:type="pct"/>
            <w:shd w:val="clear" w:color="000000" w:fill="FFFFFF"/>
            <w:noWrap w:val="0"/>
            <w:vAlign w:val="center"/>
          </w:tcPr>
          <w:p>
            <w:pPr>
              <w:widowControl/>
              <w:jc w:val="center"/>
              <w:rPr>
                <w:rFonts w:hint="default" w:ascii="微软雅黑" w:hAnsi="微软雅黑" w:eastAsia="微软雅黑" w:cs="微软雅黑"/>
                <w:kern w:val="0"/>
                <w:szCs w:val="21"/>
                <w:highlight w:val="cyan"/>
                <w:lang w:val="en-US" w:eastAsia="zh-CN"/>
              </w:rPr>
            </w:pPr>
            <w:r>
              <w:rPr>
                <w:rFonts w:hint="eastAsia" w:ascii="微软雅黑" w:hAnsi="微软雅黑" w:eastAsia="微软雅黑" w:cs="微软雅黑"/>
                <w:kern w:val="0"/>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344" w:type="pct"/>
            <w:shd w:val="clear" w:color="auto" w:fill="auto"/>
            <w:noWrap w:val="0"/>
            <w:vAlign w:val="center"/>
          </w:tcPr>
          <w:p>
            <w:pPr>
              <w:widowControl/>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6</w:t>
            </w:r>
          </w:p>
        </w:tc>
        <w:tc>
          <w:tcPr>
            <w:tcW w:w="495" w:type="pct"/>
            <w:shd w:val="clear" w:color="auto" w:fill="auto"/>
            <w:noWrap w:val="0"/>
            <w:vAlign w:val="center"/>
          </w:tcPr>
          <w:p>
            <w:pPr>
              <w:widowControl/>
              <w:ind w:left="-122" w:leftChars="-58" w:right="-124" w:rightChars="-59"/>
              <w:jc w:val="center"/>
              <w:rPr>
                <w:rFonts w:hint="default"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供应商承诺</w:t>
            </w:r>
          </w:p>
        </w:tc>
        <w:tc>
          <w:tcPr>
            <w:tcW w:w="3734" w:type="pct"/>
            <w:shd w:val="clear" w:color="000000" w:fill="FFFFFF"/>
            <w:noWrap w:val="0"/>
            <w:vAlign w:val="center"/>
          </w:tcPr>
          <w:p>
            <w:pPr>
              <w:rPr>
                <w:rFonts w:hint="default" w:ascii="微软雅黑" w:hAnsi="微软雅黑" w:eastAsia="微软雅黑" w:cs="微软雅黑"/>
                <w:kern w:val="0"/>
                <w:szCs w:val="21"/>
                <w:highlight w:val="none"/>
                <w:lang w:val="en-US" w:eastAsia="zh-CN"/>
              </w:rPr>
            </w:pPr>
            <w:r>
              <w:rPr>
                <w:rFonts w:hint="eastAsia" w:ascii="微软雅黑" w:hAnsi="微软雅黑" w:eastAsia="微软雅黑" w:cs="微软雅黑"/>
                <w:kern w:val="0"/>
                <w:szCs w:val="21"/>
                <w:highlight w:val="none"/>
                <w:lang w:val="en-US" w:eastAsia="zh-CN"/>
              </w:rPr>
              <w:t>承诺投入</w:t>
            </w:r>
            <w:r>
              <w:rPr>
                <w:rFonts w:hint="eastAsia" w:ascii="微软雅黑" w:hAnsi="微软雅黑" w:eastAsia="微软雅黑" w:cs="微软雅黑"/>
                <w:b w:val="0"/>
                <w:bCs w:val="0"/>
                <w:kern w:val="0"/>
                <w:szCs w:val="21"/>
                <w:highlight w:val="none"/>
                <w:lang w:val="en-US" w:eastAsia="zh-CN"/>
              </w:rPr>
              <w:t>软件产品与硬件产品适配</w:t>
            </w:r>
            <w:r>
              <w:rPr>
                <w:rFonts w:hint="eastAsia" w:ascii="微软雅黑" w:hAnsi="微软雅黑" w:eastAsia="微软雅黑" w:cs="微软雅黑"/>
                <w:kern w:val="0"/>
                <w:szCs w:val="21"/>
                <w:highlight w:val="none"/>
                <w:lang w:val="en-US" w:eastAsia="zh-CN"/>
              </w:rPr>
              <w:t>的得3分；承诺可对需要二次开发的软件免费修改的得3分；承诺软件验收前至少提供1人驻场服务的得2分；承诺软件验收后提供2小时内现场服务的得2分；所提供资产管理软件为最新版本得2分。</w:t>
            </w:r>
          </w:p>
        </w:tc>
        <w:tc>
          <w:tcPr>
            <w:tcW w:w="424" w:type="pct"/>
            <w:shd w:val="clear" w:color="000000" w:fill="FFFFFF"/>
            <w:noWrap w:val="0"/>
            <w:vAlign w:val="center"/>
          </w:tcPr>
          <w:p>
            <w:pPr>
              <w:widowControl/>
              <w:jc w:val="center"/>
              <w:rPr>
                <w:rFonts w:hint="default" w:ascii="微软雅黑" w:hAnsi="微软雅黑" w:eastAsia="微软雅黑" w:cs="微软雅黑"/>
                <w:kern w:val="0"/>
                <w:szCs w:val="21"/>
                <w:highlight w:val="none"/>
                <w:lang w:val="en-US" w:eastAsia="zh-CN"/>
              </w:rPr>
            </w:pPr>
            <w:r>
              <w:rPr>
                <w:rFonts w:hint="eastAsia" w:ascii="微软雅黑" w:hAnsi="微软雅黑" w:eastAsia="微软雅黑" w:cs="微软雅黑"/>
                <w:kern w:val="0"/>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44" w:type="pct"/>
            <w:noWrap w:val="0"/>
            <w:vAlign w:val="center"/>
          </w:tcPr>
          <w:p>
            <w:pPr>
              <w:widowControl/>
              <w:jc w:val="center"/>
              <w:rPr>
                <w:rFonts w:hint="eastAsia" w:ascii="微软雅黑" w:hAnsi="微软雅黑" w:eastAsia="微软雅黑" w:cs="微软雅黑"/>
                <w:kern w:val="0"/>
                <w:szCs w:val="21"/>
              </w:rPr>
            </w:pPr>
          </w:p>
          <w:p>
            <w:pPr>
              <w:widowControl/>
              <w:jc w:val="center"/>
              <w:rPr>
                <w:rFonts w:hint="eastAsia" w:ascii="微软雅黑" w:hAnsi="微软雅黑" w:eastAsia="微软雅黑" w:cs="微软雅黑"/>
                <w:kern w:val="0"/>
                <w:szCs w:val="21"/>
              </w:rPr>
            </w:pPr>
          </w:p>
          <w:p>
            <w:pPr>
              <w:widowControl/>
              <w:jc w:val="center"/>
              <w:rPr>
                <w:rFonts w:hint="eastAsia" w:ascii="微软雅黑" w:hAnsi="微软雅黑" w:eastAsia="微软雅黑" w:cs="微软雅黑"/>
                <w:kern w:val="0"/>
                <w:szCs w:val="21"/>
              </w:rPr>
            </w:pPr>
          </w:p>
          <w:p>
            <w:pPr>
              <w:widowControl/>
              <w:jc w:val="center"/>
              <w:rPr>
                <w:rFonts w:hint="eastAsia" w:ascii="微软雅黑" w:hAnsi="微软雅黑" w:eastAsia="微软雅黑" w:cs="微软雅黑"/>
                <w:kern w:val="0"/>
                <w:szCs w:val="21"/>
              </w:rPr>
            </w:pPr>
          </w:p>
          <w:p>
            <w:pPr>
              <w:widowControl/>
              <w:jc w:val="center"/>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val="en-US" w:eastAsia="zh-CN"/>
              </w:rPr>
              <w:t>7</w:t>
            </w:r>
          </w:p>
        </w:tc>
        <w:tc>
          <w:tcPr>
            <w:tcW w:w="495" w:type="pct"/>
            <w:noWrap w:val="0"/>
            <w:vAlign w:val="center"/>
          </w:tcPr>
          <w:p>
            <w:pPr>
              <w:widowControl/>
              <w:ind w:left="-122" w:leftChars="-58" w:right="-124" w:rightChars="-59"/>
              <w:jc w:val="center"/>
              <w:rPr>
                <w:rFonts w:hint="default"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需求响应性</w:t>
            </w:r>
          </w:p>
        </w:tc>
        <w:tc>
          <w:tcPr>
            <w:tcW w:w="3734" w:type="pct"/>
            <w:noWrap w:val="0"/>
            <w:vAlign w:val="center"/>
          </w:tcPr>
          <w:p>
            <w:pPr>
              <w:jc w:val="left"/>
              <w:rPr>
                <w:rFonts w:hint="eastAsia" w:ascii="微软雅黑" w:hAnsi="微软雅黑" w:eastAsia="微软雅黑" w:cs="微软雅黑"/>
                <w:b/>
                <w:bCs/>
                <w:kern w:val="0"/>
                <w:szCs w:val="21"/>
              </w:rPr>
            </w:pPr>
            <w:r>
              <w:rPr>
                <w:rFonts w:hint="eastAsia" w:ascii="微软雅黑" w:hAnsi="微软雅黑" w:eastAsia="微软雅黑" w:cs="宋体"/>
                <w:kern w:val="0"/>
                <w:szCs w:val="21"/>
                <w:lang w:val="en-US" w:eastAsia="zh-CN"/>
              </w:rPr>
              <w:t>对</w:t>
            </w:r>
            <w:r>
              <w:rPr>
                <w:rFonts w:hint="eastAsia" w:ascii="微软雅黑" w:hAnsi="微软雅黑" w:eastAsia="微软雅黑" w:cs="宋体"/>
                <w:kern w:val="0"/>
                <w:szCs w:val="21"/>
              </w:rPr>
              <w:t>资产管理系统建设项目需求</w:t>
            </w:r>
            <w:r>
              <w:rPr>
                <w:rFonts w:hint="eastAsia" w:ascii="微软雅黑" w:hAnsi="微软雅黑" w:eastAsia="微软雅黑" w:cs="宋体"/>
                <w:kern w:val="0"/>
                <w:szCs w:val="21"/>
                <w:lang w:val="en-US" w:eastAsia="zh-CN"/>
              </w:rPr>
              <w:t>在</w:t>
            </w:r>
            <w:r>
              <w:rPr>
                <w:rFonts w:hint="eastAsia" w:ascii="微软雅黑" w:hAnsi="微软雅黑" w:eastAsia="微软雅黑" w:cs="宋体"/>
                <w:kern w:val="0"/>
                <w:szCs w:val="21"/>
              </w:rPr>
              <w:t>服务内容理解</w:t>
            </w:r>
            <w:r>
              <w:rPr>
                <w:rFonts w:hint="eastAsia" w:ascii="微软雅黑" w:hAnsi="微软雅黑" w:eastAsia="微软雅黑" w:cs="宋体"/>
                <w:kern w:val="0"/>
                <w:szCs w:val="21"/>
                <w:lang w:eastAsia="zh-CN"/>
              </w:rPr>
              <w:t>、</w:t>
            </w:r>
            <w:r>
              <w:rPr>
                <w:rFonts w:hint="eastAsia" w:ascii="微软雅黑" w:hAnsi="微软雅黑" w:eastAsia="微软雅黑" w:cs="宋体"/>
                <w:kern w:val="0"/>
                <w:szCs w:val="21"/>
              </w:rPr>
              <w:t>需求分析、计划开展</w:t>
            </w:r>
            <w:r>
              <w:rPr>
                <w:rFonts w:hint="eastAsia" w:ascii="微软雅黑" w:hAnsi="微软雅黑" w:eastAsia="微软雅黑" w:cs="宋体"/>
                <w:kern w:val="0"/>
                <w:szCs w:val="21"/>
                <w:lang w:eastAsia="zh-CN"/>
              </w:rPr>
              <w:t>、</w:t>
            </w:r>
            <w:r>
              <w:rPr>
                <w:rFonts w:hint="eastAsia" w:ascii="微软雅黑" w:hAnsi="微软雅黑" w:eastAsia="微软雅黑" w:cs="宋体"/>
                <w:kern w:val="0"/>
                <w:szCs w:val="21"/>
              </w:rPr>
              <w:t>服务实施方案</w:t>
            </w:r>
            <w:r>
              <w:rPr>
                <w:rFonts w:hint="eastAsia" w:ascii="微软雅黑" w:hAnsi="微软雅黑" w:eastAsia="微软雅黑" w:cs="宋体"/>
                <w:kern w:val="0"/>
                <w:szCs w:val="21"/>
                <w:lang w:eastAsia="zh-CN"/>
              </w:rPr>
              <w:t>、</w:t>
            </w:r>
            <w:r>
              <w:rPr>
                <w:rFonts w:hint="eastAsia" w:ascii="微软雅黑" w:hAnsi="微软雅黑" w:eastAsia="微软雅黑" w:cs="宋体"/>
                <w:kern w:val="0"/>
                <w:szCs w:val="21"/>
              </w:rPr>
              <w:t>措施目标的整体规划与思路</w:t>
            </w:r>
            <w:r>
              <w:rPr>
                <w:rFonts w:hint="eastAsia" w:ascii="微软雅黑" w:hAnsi="微软雅黑" w:eastAsia="微软雅黑" w:cs="宋体"/>
                <w:kern w:val="0"/>
                <w:szCs w:val="21"/>
                <w:lang w:val="en-US" w:eastAsia="zh-CN"/>
              </w:rPr>
              <w:t>有</w:t>
            </w:r>
            <w:r>
              <w:rPr>
                <w:rFonts w:hint="eastAsia" w:ascii="微软雅黑" w:hAnsi="微软雅黑" w:eastAsia="微软雅黑" w:cs="宋体"/>
                <w:kern w:val="0"/>
                <w:szCs w:val="21"/>
              </w:rPr>
              <w:t>针对性</w:t>
            </w:r>
            <w:r>
              <w:rPr>
                <w:rFonts w:hint="eastAsia" w:ascii="微软雅黑" w:hAnsi="微软雅黑" w:eastAsia="微软雅黑" w:cs="宋体"/>
                <w:kern w:val="0"/>
                <w:szCs w:val="21"/>
                <w:lang w:eastAsia="zh-CN"/>
              </w:rPr>
              <w:t>，</w:t>
            </w:r>
            <w:r>
              <w:rPr>
                <w:rFonts w:hint="eastAsia" w:ascii="微软雅黑" w:hAnsi="微软雅黑" w:eastAsia="微软雅黑" w:cs="宋体"/>
                <w:kern w:val="0"/>
                <w:szCs w:val="21"/>
              </w:rPr>
              <w:t>科学合理、符合项目实际情况可行，得5分。根据内容完整性、合理性、实用性、思路清晰等进行评定，每有一处缺陷或不足之处减0.5分，减完为止；</w:t>
            </w:r>
          </w:p>
        </w:tc>
        <w:tc>
          <w:tcPr>
            <w:tcW w:w="424" w:type="pct"/>
            <w:noWrap w:val="0"/>
            <w:vAlign w:val="center"/>
          </w:tcPr>
          <w:p>
            <w:pPr>
              <w:widowControl/>
              <w:jc w:val="center"/>
              <w:rPr>
                <w:rFonts w:hint="eastAsia" w:ascii="微软雅黑" w:hAnsi="微软雅黑" w:eastAsia="微软雅黑" w:cs="宋体"/>
                <w:szCs w:val="21"/>
                <w:lang w:val="en-US" w:eastAsia="zh-CN"/>
              </w:rPr>
            </w:pPr>
            <w:r>
              <w:rPr>
                <w:rFonts w:hint="eastAsia" w:ascii="微软雅黑" w:hAnsi="微软雅黑" w:eastAsia="微软雅黑" w:cs="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344" w:type="pct"/>
            <w:noWrap w:val="0"/>
            <w:vAlign w:val="center"/>
          </w:tcPr>
          <w:p>
            <w:pPr>
              <w:widowControl/>
              <w:jc w:val="left"/>
              <w:rPr>
                <w:rFonts w:hint="eastAsia" w:ascii="微软雅黑" w:hAnsi="微软雅黑" w:eastAsia="微软雅黑" w:cs="微软雅黑"/>
                <w:kern w:val="0"/>
                <w:szCs w:val="21"/>
                <w:lang w:val="en-US" w:eastAsia="zh-CN"/>
              </w:rPr>
            </w:pPr>
            <w:r>
              <w:rPr>
                <w:rFonts w:hint="eastAsia" w:ascii="微软雅黑" w:hAnsi="微软雅黑" w:eastAsia="微软雅黑" w:cs="微软雅黑"/>
                <w:kern w:val="0"/>
                <w:szCs w:val="21"/>
                <w:lang w:val="en-US" w:eastAsia="zh-CN"/>
              </w:rPr>
              <w:t>8</w:t>
            </w:r>
          </w:p>
        </w:tc>
        <w:tc>
          <w:tcPr>
            <w:tcW w:w="495" w:type="pct"/>
            <w:noWrap w:val="0"/>
            <w:vAlign w:val="center"/>
          </w:tcPr>
          <w:p>
            <w:pPr>
              <w:spacing w:line="440" w:lineRule="exact"/>
              <w:jc w:val="center"/>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val="en-US" w:eastAsia="zh-CN"/>
              </w:rPr>
              <w:t>演示</w:t>
            </w:r>
          </w:p>
        </w:tc>
        <w:tc>
          <w:tcPr>
            <w:tcW w:w="3734" w:type="pct"/>
            <w:noWrap w:val="0"/>
            <w:vAlign w:val="top"/>
          </w:tcPr>
          <w:p>
            <w:pPr>
              <w:jc w:val="left"/>
              <w:rPr>
                <w:rFonts w:hint="default" w:ascii="微软雅黑" w:hAnsi="微软雅黑" w:eastAsia="微软雅黑" w:cs="宋体"/>
                <w:kern w:val="0"/>
                <w:szCs w:val="21"/>
                <w:highlight w:val="none"/>
                <w:lang w:val="en-US"/>
              </w:rPr>
            </w:pPr>
            <w:r>
              <w:rPr>
                <w:rFonts w:hint="eastAsia" w:ascii="微软雅黑" w:hAnsi="微软雅黑" w:eastAsia="微软雅黑" w:cs="宋体"/>
                <w:kern w:val="0"/>
                <w:szCs w:val="21"/>
                <w:highlight w:val="none"/>
                <w:lang w:val="en-US" w:eastAsia="zh-CN"/>
              </w:rPr>
              <w:t>提供时间控制在15分钟内演示视频，演示以下功能（所演示的软件应与拟投入软件一致）：</w:t>
            </w:r>
          </w:p>
          <w:p>
            <w:pPr>
              <w:jc w:val="left"/>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lang w:val="en-US" w:eastAsia="zh-CN"/>
              </w:rPr>
              <w:t>1、</w:t>
            </w:r>
            <w:r>
              <w:rPr>
                <w:rFonts w:hint="eastAsia" w:ascii="微软雅黑" w:hAnsi="微软雅黑" w:eastAsia="微软雅黑" w:cs="宋体"/>
                <w:kern w:val="0"/>
                <w:szCs w:val="21"/>
                <w:highlight w:val="none"/>
              </w:rPr>
              <w:t>卡片管理功能</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4分</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rPr>
              <w:t>：（1）资产卡片拆分</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rPr>
              <w:t>原卡片数量1拆分为N个卡片</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rPr>
              <w:t>；（</w:t>
            </w:r>
            <w:r>
              <w:rPr>
                <w:rFonts w:hint="eastAsia" w:ascii="微软雅黑" w:hAnsi="微软雅黑" w:eastAsia="微软雅黑" w:cs="宋体"/>
                <w:kern w:val="0"/>
                <w:szCs w:val="21"/>
                <w:highlight w:val="none"/>
                <w:lang w:val="en-US" w:eastAsia="zh-CN"/>
              </w:rPr>
              <w:t>2</w:t>
            </w:r>
            <w:r>
              <w:rPr>
                <w:rFonts w:hint="eastAsia" w:ascii="微软雅黑" w:hAnsi="微软雅黑" w:eastAsia="微软雅黑" w:cs="宋体"/>
                <w:kern w:val="0"/>
                <w:szCs w:val="21"/>
                <w:highlight w:val="none"/>
              </w:rPr>
              <w:t>）资产</w:t>
            </w:r>
            <w:r>
              <w:rPr>
                <w:rFonts w:hint="eastAsia" w:ascii="微软雅黑" w:hAnsi="微软雅黑" w:eastAsia="微软雅黑" w:cs="宋体"/>
                <w:kern w:val="0"/>
                <w:szCs w:val="21"/>
                <w:highlight w:val="none"/>
                <w:lang w:val="en-US" w:eastAsia="zh-CN"/>
              </w:rPr>
              <w:t>折旧</w:t>
            </w:r>
            <w:r>
              <w:rPr>
                <w:rFonts w:hint="eastAsia" w:ascii="微软雅黑" w:hAnsi="微软雅黑" w:eastAsia="微软雅黑" w:cs="宋体"/>
                <w:kern w:val="0"/>
                <w:szCs w:val="21"/>
                <w:highlight w:val="none"/>
              </w:rPr>
              <w:t>到期提醒。满足1项得</w:t>
            </w:r>
            <w:r>
              <w:rPr>
                <w:rFonts w:hint="eastAsia" w:ascii="微软雅黑" w:hAnsi="微软雅黑" w:eastAsia="微软雅黑" w:cs="宋体"/>
                <w:kern w:val="0"/>
                <w:szCs w:val="21"/>
                <w:highlight w:val="none"/>
                <w:lang w:val="en-US" w:eastAsia="zh-CN"/>
              </w:rPr>
              <w:t>2</w:t>
            </w:r>
            <w:r>
              <w:rPr>
                <w:rFonts w:hint="eastAsia" w:ascii="微软雅黑" w:hAnsi="微软雅黑" w:eastAsia="微软雅黑" w:cs="宋体"/>
                <w:kern w:val="0"/>
                <w:szCs w:val="21"/>
                <w:highlight w:val="none"/>
              </w:rPr>
              <w:t>分，满分</w:t>
            </w:r>
            <w:r>
              <w:rPr>
                <w:rFonts w:hint="eastAsia" w:ascii="微软雅黑" w:hAnsi="微软雅黑" w:eastAsia="微软雅黑" w:cs="宋体"/>
                <w:kern w:val="0"/>
                <w:szCs w:val="21"/>
                <w:highlight w:val="none"/>
                <w:lang w:val="en-US" w:eastAsia="zh-CN"/>
              </w:rPr>
              <w:t>4</w:t>
            </w:r>
            <w:r>
              <w:rPr>
                <w:rFonts w:hint="eastAsia" w:ascii="微软雅黑" w:hAnsi="微软雅黑" w:eastAsia="微软雅黑" w:cs="宋体"/>
                <w:kern w:val="0"/>
                <w:szCs w:val="21"/>
                <w:highlight w:val="none"/>
              </w:rPr>
              <w:t>分。</w:t>
            </w:r>
          </w:p>
          <w:p>
            <w:pPr>
              <w:jc w:val="left"/>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lang w:val="en-US" w:eastAsia="zh-CN"/>
              </w:rPr>
              <w:t>2</w:t>
            </w:r>
            <w:r>
              <w:rPr>
                <w:rFonts w:hint="eastAsia" w:ascii="微软雅黑" w:hAnsi="微软雅黑" w:eastAsia="微软雅黑" w:cs="宋体"/>
                <w:kern w:val="0"/>
                <w:szCs w:val="21"/>
                <w:highlight w:val="none"/>
              </w:rPr>
              <w:t>、资产折旧功能</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2分</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rPr>
              <w:t>：（1）</w:t>
            </w:r>
            <w:r>
              <w:rPr>
                <w:rFonts w:hint="eastAsia" w:ascii="微软雅黑" w:hAnsi="微软雅黑" w:eastAsia="微软雅黑" w:cs="宋体"/>
                <w:kern w:val="0"/>
                <w:szCs w:val="21"/>
                <w:highlight w:val="none"/>
                <w:lang w:val="en-US" w:eastAsia="zh-CN"/>
              </w:rPr>
              <w:t>可设置</w:t>
            </w:r>
            <w:r>
              <w:rPr>
                <w:rFonts w:hint="eastAsia" w:ascii="微软雅黑" w:hAnsi="微软雅黑" w:eastAsia="微软雅黑" w:cs="宋体"/>
                <w:kern w:val="0"/>
                <w:szCs w:val="21"/>
                <w:highlight w:val="none"/>
              </w:rPr>
              <w:t>资产折旧</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无形资产</w:t>
            </w:r>
            <w:r>
              <w:rPr>
                <w:rFonts w:hint="eastAsia" w:ascii="微软雅黑" w:hAnsi="微软雅黑" w:eastAsia="微软雅黑" w:cs="宋体"/>
                <w:kern w:val="0"/>
                <w:szCs w:val="21"/>
                <w:highlight w:val="none"/>
              </w:rPr>
              <w:t>摊销；（2）月度结转。满足1项得1分，满分2分。</w:t>
            </w:r>
          </w:p>
          <w:p>
            <w:pPr>
              <w:jc w:val="left"/>
              <w:rPr>
                <w:rFonts w:hint="default" w:ascii="微软雅黑" w:hAnsi="微软雅黑" w:eastAsia="微软雅黑" w:cs="宋体"/>
                <w:kern w:val="0"/>
                <w:szCs w:val="21"/>
                <w:highlight w:val="none"/>
                <w:lang w:val="en-US" w:eastAsia="zh-CN"/>
              </w:rPr>
            </w:pPr>
            <w:r>
              <w:rPr>
                <w:rFonts w:hint="eastAsia" w:ascii="微软雅黑" w:hAnsi="微软雅黑" w:eastAsia="微软雅黑" w:cs="宋体"/>
                <w:kern w:val="0"/>
                <w:szCs w:val="21"/>
                <w:highlight w:val="none"/>
                <w:lang w:val="en-US" w:eastAsia="zh-CN"/>
              </w:rPr>
              <w:t>3</w:t>
            </w:r>
            <w:r>
              <w:rPr>
                <w:rFonts w:hint="eastAsia" w:ascii="微软雅黑" w:hAnsi="微软雅黑" w:eastAsia="微软雅黑" w:cs="宋体"/>
                <w:kern w:val="0"/>
                <w:szCs w:val="21"/>
                <w:highlight w:val="none"/>
              </w:rPr>
              <w:t>、资产盘点功能</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3分</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rPr>
              <w:t>：（1）</w:t>
            </w:r>
            <w:r>
              <w:rPr>
                <w:rFonts w:hint="eastAsia" w:ascii="微软雅黑" w:hAnsi="微软雅黑" w:eastAsia="微软雅黑" w:cs="宋体"/>
                <w:kern w:val="0"/>
                <w:szCs w:val="21"/>
                <w:highlight w:val="none"/>
                <w:lang w:val="en-US" w:eastAsia="zh-CN"/>
              </w:rPr>
              <w:t>系统</w:t>
            </w:r>
            <w:r>
              <w:rPr>
                <w:rFonts w:hint="eastAsia" w:ascii="微软雅黑" w:hAnsi="微软雅黑" w:eastAsia="微软雅黑" w:cs="宋体"/>
                <w:kern w:val="0"/>
                <w:szCs w:val="21"/>
                <w:highlight w:val="none"/>
              </w:rPr>
              <w:t>盘点方案新增</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可按照资产品目、所在部门、存放地点</w:t>
            </w:r>
            <w:r>
              <w:rPr>
                <w:rFonts w:hint="eastAsia" w:ascii="微软雅黑" w:hAnsi="微软雅黑" w:eastAsia="微软雅黑" w:cs="宋体"/>
                <w:kern w:val="0"/>
                <w:szCs w:val="21"/>
                <w:highlight w:val="none"/>
              </w:rPr>
              <w:t>、</w:t>
            </w:r>
            <w:r>
              <w:rPr>
                <w:rFonts w:hint="eastAsia" w:ascii="微软雅黑" w:hAnsi="微软雅黑" w:eastAsia="微软雅黑" w:cs="宋体"/>
                <w:kern w:val="0"/>
                <w:szCs w:val="21"/>
                <w:highlight w:val="none"/>
                <w:lang w:val="en-US" w:eastAsia="zh-CN"/>
              </w:rPr>
              <w:t>剩余折旧月份设置方案，满足得1分，每多一个设置项目得0.2分，此项最多得2分；（2）盘点更新记录可查询，满足得1分。</w:t>
            </w:r>
          </w:p>
          <w:p>
            <w:pPr>
              <w:jc w:val="left"/>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lang w:val="en-US" w:eastAsia="zh-CN"/>
              </w:rPr>
              <w:t>4</w:t>
            </w:r>
            <w:r>
              <w:rPr>
                <w:rFonts w:hint="eastAsia" w:ascii="微软雅黑" w:hAnsi="微软雅黑" w:eastAsia="微软雅黑" w:cs="宋体"/>
                <w:kern w:val="0"/>
                <w:szCs w:val="21"/>
                <w:highlight w:val="none"/>
              </w:rPr>
              <w:t>、</w:t>
            </w:r>
            <w:r>
              <w:rPr>
                <w:rFonts w:hint="eastAsia" w:ascii="微软雅黑" w:hAnsi="微软雅黑" w:eastAsia="微软雅黑" w:cs="宋体"/>
                <w:kern w:val="0"/>
                <w:szCs w:val="21"/>
                <w:highlight w:val="none"/>
                <w:lang w:val="en-US" w:eastAsia="zh-CN"/>
              </w:rPr>
              <w:t>查询、统计</w:t>
            </w:r>
            <w:r>
              <w:rPr>
                <w:rFonts w:hint="eastAsia" w:ascii="微软雅黑" w:hAnsi="微软雅黑" w:eastAsia="微软雅黑" w:cs="宋体"/>
                <w:kern w:val="0"/>
                <w:szCs w:val="21"/>
                <w:highlight w:val="none"/>
              </w:rPr>
              <w:t>功能</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4分</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rPr>
              <w:t>：（1）</w:t>
            </w:r>
            <w:r>
              <w:rPr>
                <w:rFonts w:hint="eastAsia" w:ascii="微软雅黑" w:hAnsi="微软雅黑" w:eastAsia="微软雅黑" w:cs="宋体"/>
                <w:kern w:val="0"/>
                <w:szCs w:val="21"/>
                <w:highlight w:val="none"/>
                <w:lang w:val="en-US" w:eastAsia="zh-CN"/>
              </w:rPr>
              <w:t>可根据图片进行分类查询</w:t>
            </w:r>
            <w:r>
              <w:rPr>
                <w:rFonts w:hint="eastAsia" w:ascii="微软雅黑" w:hAnsi="微软雅黑" w:eastAsia="微软雅黑" w:cs="宋体"/>
                <w:kern w:val="0"/>
                <w:szCs w:val="21"/>
                <w:highlight w:val="none"/>
              </w:rPr>
              <w:t>；（2）已处置资产</w:t>
            </w:r>
            <w:r>
              <w:rPr>
                <w:rFonts w:hint="eastAsia" w:ascii="微软雅黑" w:hAnsi="微软雅黑" w:eastAsia="微软雅黑" w:cs="宋体"/>
                <w:kern w:val="0"/>
                <w:szCs w:val="21"/>
                <w:highlight w:val="none"/>
                <w:lang w:val="en-US" w:eastAsia="zh-CN"/>
              </w:rPr>
              <w:t>查询。</w:t>
            </w:r>
            <w:r>
              <w:rPr>
                <w:rFonts w:hint="eastAsia" w:ascii="微软雅黑" w:hAnsi="微软雅黑" w:eastAsia="微软雅黑" w:cs="宋体"/>
                <w:kern w:val="0"/>
                <w:szCs w:val="21"/>
                <w:highlight w:val="none"/>
              </w:rPr>
              <w:t>满足1项得</w:t>
            </w:r>
            <w:r>
              <w:rPr>
                <w:rFonts w:hint="eastAsia" w:ascii="微软雅黑" w:hAnsi="微软雅黑" w:eastAsia="微软雅黑" w:cs="宋体"/>
                <w:kern w:val="0"/>
                <w:szCs w:val="21"/>
                <w:highlight w:val="none"/>
                <w:lang w:val="en-US" w:eastAsia="zh-CN"/>
              </w:rPr>
              <w:t>2</w:t>
            </w:r>
            <w:r>
              <w:rPr>
                <w:rFonts w:hint="eastAsia" w:ascii="微软雅黑" w:hAnsi="微软雅黑" w:eastAsia="微软雅黑" w:cs="宋体"/>
                <w:kern w:val="0"/>
                <w:szCs w:val="21"/>
                <w:highlight w:val="none"/>
              </w:rPr>
              <w:t>分，满分</w:t>
            </w:r>
            <w:r>
              <w:rPr>
                <w:rFonts w:hint="eastAsia" w:ascii="微软雅黑" w:hAnsi="微软雅黑" w:eastAsia="微软雅黑" w:cs="宋体"/>
                <w:kern w:val="0"/>
                <w:szCs w:val="21"/>
                <w:highlight w:val="none"/>
                <w:lang w:val="en-US" w:eastAsia="zh-CN"/>
              </w:rPr>
              <w:t>4</w:t>
            </w:r>
            <w:r>
              <w:rPr>
                <w:rFonts w:hint="eastAsia" w:ascii="微软雅黑" w:hAnsi="微软雅黑" w:eastAsia="微软雅黑" w:cs="宋体"/>
                <w:kern w:val="0"/>
                <w:szCs w:val="21"/>
                <w:highlight w:val="none"/>
              </w:rPr>
              <w:t>分。</w:t>
            </w:r>
          </w:p>
          <w:p>
            <w:pPr>
              <w:jc w:val="left"/>
              <w:rPr>
                <w:rFonts w:hint="eastAsia" w:ascii="微软雅黑" w:hAnsi="微软雅黑" w:eastAsia="微软雅黑" w:cs="宋体"/>
                <w:kern w:val="0"/>
                <w:szCs w:val="21"/>
                <w:highlight w:val="none"/>
                <w:lang w:val="en-US" w:eastAsia="zh-CN"/>
              </w:rPr>
            </w:pPr>
            <w:r>
              <w:rPr>
                <w:rFonts w:hint="eastAsia" w:ascii="微软雅黑" w:hAnsi="微软雅黑" w:eastAsia="微软雅黑" w:cs="宋体"/>
                <w:kern w:val="0"/>
                <w:szCs w:val="21"/>
                <w:highlight w:val="none"/>
                <w:lang w:val="en-US" w:eastAsia="zh-CN"/>
              </w:rPr>
              <w:t>5、</w:t>
            </w:r>
            <w:r>
              <w:rPr>
                <w:rFonts w:hint="eastAsia" w:ascii="微软雅黑" w:hAnsi="微软雅黑" w:eastAsia="微软雅黑" w:cs="宋体"/>
                <w:kern w:val="0"/>
                <w:szCs w:val="21"/>
                <w:highlight w:val="none"/>
              </w:rPr>
              <w:t>资产管理流程的编制</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1分</w:t>
            </w:r>
            <w:r>
              <w:rPr>
                <w:rFonts w:hint="eastAsia" w:ascii="微软雅黑" w:hAnsi="微软雅黑" w:eastAsia="微软雅黑" w:cs="宋体"/>
                <w:kern w:val="0"/>
                <w:szCs w:val="21"/>
                <w:highlight w:val="none"/>
                <w:lang w:eastAsia="zh-CN"/>
              </w:rPr>
              <w:t>）。</w:t>
            </w:r>
            <w:r>
              <w:rPr>
                <w:rFonts w:hint="eastAsia" w:ascii="微软雅黑" w:hAnsi="微软雅黑" w:eastAsia="微软雅黑" w:cs="宋体"/>
                <w:kern w:val="0"/>
                <w:szCs w:val="21"/>
                <w:highlight w:val="none"/>
                <w:lang w:val="en-US" w:eastAsia="zh-CN"/>
              </w:rPr>
              <w:t>流程图可视化，可清晰明确地看到流程内容、判断条件、控制设置。</w:t>
            </w:r>
            <w:r>
              <w:rPr>
                <w:rFonts w:hint="eastAsia" w:ascii="微软雅黑" w:hAnsi="微软雅黑" w:eastAsia="微软雅黑" w:cs="宋体"/>
                <w:kern w:val="0"/>
                <w:szCs w:val="21"/>
                <w:highlight w:val="none"/>
              </w:rPr>
              <w:t>满足1项得1分</w:t>
            </w:r>
            <w:r>
              <w:rPr>
                <w:rFonts w:hint="eastAsia" w:ascii="微软雅黑" w:hAnsi="微软雅黑" w:eastAsia="微软雅黑" w:cs="宋体"/>
                <w:kern w:val="0"/>
                <w:szCs w:val="21"/>
                <w:highlight w:val="none"/>
                <w:lang w:eastAsia="zh-CN"/>
              </w:rPr>
              <w:t>。</w:t>
            </w:r>
          </w:p>
          <w:p>
            <w:pPr>
              <w:jc w:val="left"/>
              <w:rPr>
                <w:rFonts w:hint="default" w:ascii="微软雅黑" w:hAnsi="微软雅黑" w:eastAsia="微软雅黑" w:cs="宋体"/>
                <w:kern w:val="0"/>
                <w:szCs w:val="21"/>
                <w:highlight w:val="none"/>
                <w:lang w:val="en-US" w:eastAsia="zh-CN"/>
              </w:rPr>
            </w:pPr>
            <w:r>
              <w:rPr>
                <w:rFonts w:hint="eastAsia" w:ascii="微软雅黑" w:hAnsi="微软雅黑" w:eastAsia="微软雅黑" w:cs="宋体"/>
                <w:kern w:val="0"/>
                <w:szCs w:val="21"/>
                <w:highlight w:val="none"/>
                <w:lang w:val="en-US" w:eastAsia="zh-CN"/>
              </w:rPr>
              <w:t>6、</w:t>
            </w:r>
            <w:r>
              <w:rPr>
                <w:rFonts w:hint="eastAsia" w:ascii="微软雅黑" w:hAnsi="微软雅黑" w:eastAsia="微软雅黑" w:cs="宋体"/>
                <w:kern w:val="0"/>
                <w:szCs w:val="21"/>
                <w:highlight w:val="none"/>
              </w:rPr>
              <w:t>演示</w:t>
            </w:r>
            <w:r>
              <w:rPr>
                <w:rFonts w:hint="eastAsia" w:ascii="微软雅黑" w:hAnsi="微软雅黑" w:eastAsia="微软雅黑" w:cs="宋体"/>
                <w:kern w:val="0"/>
                <w:szCs w:val="21"/>
                <w:highlight w:val="none"/>
                <w:lang w:val="en-US" w:eastAsia="zh-CN"/>
              </w:rPr>
              <w:t>视频在规定时间内，</w:t>
            </w:r>
            <w:r>
              <w:rPr>
                <w:rFonts w:hint="eastAsia" w:ascii="微软雅黑" w:hAnsi="微软雅黑" w:eastAsia="微软雅黑" w:cs="宋体"/>
                <w:kern w:val="0"/>
                <w:szCs w:val="21"/>
                <w:highlight w:val="none"/>
              </w:rPr>
              <w:t>讲述清晰流畅。满足得</w:t>
            </w:r>
            <w:r>
              <w:rPr>
                <w:rFonts w:hint="eastAsia" w:ascii="微软雅黑" w:hAnsi="微软雅黑" w:eastAsia="微软雅黑" w:cs="宋体"/>
                <w:kern w:val="0"/>
                <w:szCs w:val="21"/>
                <w:highlight w:val="none"/>
                <w:lang w:val="en-US" w:eastAsia="zh-CN"/>
              </w:rPr>
              <w:t>1</w:t>
            </w:r>
            <w:r>
              <w:rPr>
                <w:rFonts w:hint="eastAsia" w:ascii="微软雅黑" w:hAnsi="微软雅黑" w:eastAsia="微软雅黑" w:cs="宋体"/>
                <w:kern w:val="0"/>
                <w:szCs w:val="21"/>
                <w:highlight w:val="none"/>
              </w:rPr>
              <w:t>分，不满足不得分。</w:t>
            </w:r>
          </w:p>
        </w:tc>
        <w:tc>
          <w:tcPr>
            <w:tcW w:w="424" w:type="pct"/>
            <w:noWrap w:val="0"/>
            <w:vAlign w:val="center"/>
          </w:tcPr>
          <w:p>
            <w:pPr>
              <w:jc w:val="center"/>
              <w:rPr>
                <w:rFonts w:hint="default"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44" w:type="pct"/>
            <w:noWrap w:val="0"/>
            <w:vAlign w:val="center"/>
          </w:tcPr>
          <w:p>
            <w:pPr>
              <w:widowControl/>
              <w:jc w:val="center"/>
              <w:rPr>
                <w:rFonts w:hint="default" w:ascii="微软雅黑" w:hAnsi="微软雅黑" w:eastAsia="微软雅黑" w:cs="微软雅黑"/>
                <w:kern w:val="0"/>
                <w:szCs w:val="21"/>
                <w:lang w:val="en-US" w:eastAsia="zh-CN"/>
              </w:rPr>
            </w:pPr>
          </w:p>
        </w:tc>
        <w:tc>
          <w:tcPr>
            <w:tcW w:w="4230" w:type="pct"/>
            <w:gridSpan w:val="2"/>
            <w:noWrap w:val="0"/>
            <w:vAlign w:val="center"/>
          </w:tcPr>
          <w:p>
            <w:pPr>
              <w:jc w:val="center"/>
              <w:rPr>
                <w:rFonts w:hint="default"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总  分</w:t>
            </w:r>
          </w:p>
        </w:tc>
        <w:tc>
          <w:tcPr>
            <w:tcW w:w="424" w:type="pct"/>
            <w:noWrap w:val="0"/>
            <w:vAlign w:val="center"/>
          </w:tcPr>
          <w:p>
            <w:pPr>
              <w:jc w:val="center"/>
              <w:rPr>
                <w:rFonts w:hint="default" w:ascii="微软雅黑" w:hAnsi="微软雅黑" w:eastAsia="微软雅黑" w:cs="宋体"/>
                <w:kern w:val="0"/>
                <w:szCs w:val="21"/>
                <w:lang w:val="en-US" w:eastAsia="zh-CN"/>
              </w:rPr>
            </w:pPr>
            <w:r>
              <w:rPr>
                <w:rFonts w:hint="eastAsia" w:ascii="微软雅黑" w:hAnsi="微软雅黑" w:eastAsia="微软雅黑" w:cs="宋体"/>
                <w:kern w:val="0"/>
                <w:szCs w:val="21"/>
                <w:lang w:val="en-US" w:eastAsia="zh-CN"/>
              </w:rPr>
              <w:t>100</w:t>
            </w:r>
          </w:p>
        </w:tc>
      </w:tr>
    </w:tbl>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r>
        <w:rPr>
          <w:rFonts w:ascii="宋体" w:hAnsi="宋体"/>
          <w:b/>
          <w:bCs/>
          <w:szCs w:val="21"/>
        </w:rPr>
        <w:t>同品牌</w:t>
      </w:r>
      <w:r>
        <w:rPr>
          <w:rFonts w:hint="eastAsia" w:ascii="宋体" w:hAnsi="宋体"/>
          <w:b/>
          <w:bCs/>
          <w:szCs w:val="21"/>
        </w:rPr>
        <w:t>同型号处理</w:t>
      </w:r>
      <w:r>
        <w:rPr>
          <w:rFonts w:ascii="宋体" w:hAnsi="宋体"/>
          <w:b/>
          <w:bCs/>
          <w:szCs w:val="21"/>
        </w:rPr>
        <w:t>办法</w:t>
      </w:r>
      <w:r>
        <w:rPr>
          <w:rFonts w:hint="eastAsia" w:ascii="宋体" w:hAnsi="宋体"/>
          <w:b/>
          <w:bCs/>
          <w:szCs w:val="21"/>
        </w:rPr>
        <w:t>：</w:t>
      </w:r>
    </w:p>
    <w:p>
      <w:pPr>
        <w:rPr>
          <w:rFonts w:ascii="宋体" w:hAnsi="宋体" w:cs="宋体"/>
          <w:b/>
          <w:kern w:val="0"/>
          <w:szCs w:val="21"/>
        </w:rPr>
      </w:pPr>
      <w:r>
        <w:rPr>
          <w:rFonts w:hint="eastAsia" w:ascii="宋体" w:hAnsi="宋体" w:cs="宋体"/>
          <w:color w:val="000000"/>
          <w:kern w:val="0"/>
          <w:szCs w:val="21"/>
          <w:lang w:bidi="ar"/>
        </w:rPr>
        <w:t>技术参数中品牌型号项均不做硬性限制，可提供等于或高于同档次产品。</w:t>
      </w:r>
      <w:r>
        <w:rPr>
          <w:rFonts w:hint="eastAsia" w:ascii="宋体" w:hAnsi="宋体" w:cs="宋体"/>
          <w:kern w:val="0"/>
          <w:szCs w:val="21"/>
        </w:rPr>
        <w:t>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本项目核心设备为详见</w:t>
      </w:r>
      <w:r>
        <w:rPr>
          <w:rFonts w:hint="eastAsia" w:ascii="宋体" w:hAnsi="宋体" w:cs="宋体"/>
          <w:b/>
          <w:kern w:val="0"/>
          <w:szCs w:val="21"/>
        </w:rPr>
        <w:t>磋商设备表。</w:t>
      </w:r>
    </w:p>
    <w:p>
      <w:pPr>
        <w:rPr>
          <w:rFonts w:ascii="宋体" w:hAnsi="宋体" w:cs="宋体"/>
          <w:b/>
          <w:kern w:val="0"/>
          <w:szCs w:val="21"/>
        </w:rPr>
      </w:pPr>
    </w:p>
    <w:p>
      <w:pPr>
        <w:widowControl/>
        <w:jc w:val="left"/>
        <w:rPr>
          <w:rFonts w:ascii="宋体" w:hAnsi="宋体" w:cs="宋体"/>
          <w:b/>
          <w:kern w:val="0"/>
          <w:szCs w:val="21"/>
        </w:rPr>
      </w:pPr>
      <w:r>
        <w:rPr>
          <w:rFonts w:ascii="宋体" w:hAnsi="宋体" w:cs="宋体"/>
          <w:b/>
          <w:kern w:val="0"/>
          <w:szCs w:val="21"/>
        </w:rPr>
        <w:br w:type="page"/>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30.提出成交候选人</w:t>
      </w:r>
    </w:p>
    <w:p>
      <w:pPr>
        <w:widowControl/>
        <w:adjustRightInd w:val="0"/>
        <w:snapToGrid w:val="0"/>
        <w:spacing w:line="360" w:lineRule="auto"/>
        <w:ind w:firstLine="420" w:firstLineChars="200"/>
        <w:jc w:val="left"/>
        <w:rPr>
          <w:rFonts w:ascii="宋体" w:hAnsi="宋体"/>
          <w:bCs/>
          <w:szCs w:val="21"/>
        </w:rPr>
      </w:pPr>
      <w:r>
        <w:rPr>
          <w:rFonts w:hint="eastAsia" w:ascii="宋体" w:hAnsi="宋体"/>
          <w:bCs/>
          <w:szCs w:val="21"/>
        </w:rPr>
        <w:t>30.1</w:t>
      </w:r>
      <w:r>
        <w:rPr>
          <w:rFonts w:hint="eastAsia" w:ascii="宋体" w:hAnsi="宋体" w:cs="宋体"/>
          <w:kern w:val="0"/>
          <w:szCs w:val="21"/>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ind w:firstLine="422" w:firstLineChars="200"/>
        <w:rPr>
          <w:rFonts w:ascii="宋体" w:hAnsi="宋体"/>
          <w:b/>
          <w:bCs/>
          <w:szCs w:val="21"/>
        </w:rPr>
      </w:pPr>
      <w:r>
        <w:rPr>
          <w:rFonts w:hint="eastAsia" w:ascii="宋体" w:hAnsi="宋体"/>
          <w:b/>
          <w:bCs/>
          <w:szCs w:val="21"/>
        </w:rPr>
        <w:t>31.确定成交单位</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31.1采购代理机构应当在评审结束后2个工作日内将评审报告送采购人确认。</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31.2采购人应当在收到评审报告后5个工作日内，从评审报告提出的成交候选人中，按照排序由高到低的原则确定成交单位，也可以书面授权磋商小组直接确定成交单位。</w:t>
      </w:r>
    </w:p>
    <w:p>
      <w:pPr>
        <w:pStyle w:val="22"/>
        <w:adjustRightInd w:val="0"/>
        <w:snapToGrid w:val="0"/>
        <w:spacing w:line="360" w:lineRule="auto"/>
        <w:ind w:left="632" w:hanging="632" w:hangingChars="300"/>
        <w:rPr>
          <w:rFonts w:ascii="宋体" w:hAnsi="宋体"/>
          <w:b/>
          <w:sz w:val="21"/>
          <w:szCs w:val="21"/>
        </w:rPr>
      </w:pPr>
      <w:r>
        <w:rPr>
          <w:rFonts w:hint="eastAsia" w:ascii="宋体" w:hAnsi="宋体"/>
          <w:b/>
          <w:sz w:val="21"/>
          <w:szCs w:val="21"/>
        </w:rPr>
        <w:t>32.</w:t>
      </w:r>
      <w:r>
        <w:rPr>
          <w:rFonts w:hint="eastAsia" w:ascii="宋体" w:hAnsi="宋体"/>
          <w:sz w:val="21"/>
          <w:szCs w:val="21"/>
        </w:rPr>
        <w:t xml:space="preserve"> </w:t>
      </w:r>
      <w:r>
        <w:rPr>
          <w:rFonts w:hint="eastAsia" w:ascii="宋体" w:hAnsi="宋体"/>
          <w:b/>
          <w:sz w:val="21"/>
          <w:szCs w:val="21"/>
        </w:rPr>
        <w:t>终止竞争性磋商采购</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bCs/>
          <w:szCs w:val="21"/>
        </w:rPr>
        <w:t>32.1</w:t>
      </w:r>
      <w:r>
        <w:rPr>
          <w:rFonts w:hint="eastAsia" w:ascii="宋体" w:hAnsi="宋体" w:cs="宋体"/>
          <w:kern w:val="0"/>
          <w:szCs w:val="21"/>
        </w:rPr>
        <w:t>出现下列情形之一的，采购人或者采购代理机构应当终止竞争性磋商采购活动，</w:t>
      </w:r>
      <w:r>
        <w:rPr>
          <w:rFonts w:hint="eastAsia" w:ascii="宋体" w:hAnsi="宋体"/>
          <w:szCs w:val="21"/>
        </w:rPr>
        <w:t>在财政部门指定的媒体上</w:t>
      </w:r>
      <w:r>
        <w:rPr>
          <w:rFonts w:hint="eastAsia" w:ascii="宋体" w:hAnsi="宋体" w:cs="宋体"/>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（1）因情况变化，不再符合规定的竞争性磋商采购方式适用情形的；</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pPr>
        <w:widowControl/>
        <w:adjustRightInd w:val="0"/>
        <w:snapToGrid w:val="0"/>
        <w:spacing w:line="360" w:lineRule="auto"/>
        <w:ind w:firstLine="420"/>
        <w:jc w:val="left"/>
        <w:rPr>
          <w:rFonts w:ascii="宋体" w:hAnsi="宋体"/>
          <w:b/>
          <w:bCs/>
          <w:szCs w:val="21"/>
        </w:rPr>
      </w:pPr>
      <w:r>
        <w:rPr>
          <w:rFonts w:hint="eastAsia" w:ascii="宋体" w:hAnsi="宋体" w:cs="宋体"/>
          <w:kern w:val="0"/>
          <w:szCs w:val="21"/>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33．重新评审</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ascii="宋体" w:hAnsi="宋体"/>
          <w:b/>
          <w:bCs/>
          <w:szCs w:val="21"/>
        </w:rPr>
      </w:pPr>
      <w:r>
        <w:rPr>
          <w:rFonts w:hint="eastAsia" w:ascii="宋体" w:hAnsi="宋体"/>
          <w:b/>
          <w:bCs/>
          <w:szCs w:val="21"/>
        </w:rPr>
        <w:t>34.保密及串通行为</w:t>
      </w:r>
    </w:p>
    <w:p>
      <w:pPr>
        <w:adjustRightInd w:val="0"/>
        <w:snapToGrid w:val="0"/>
        <w:spacing w:line="360" w:lineRule="auto"/>
        <w:ind w:firstLine="420" w:firstLineChars="200"/>
        <w:rPr>
          <w:rFonts w:ascii="宋体" w:hAnsi="宋体"/>
          <w:szCs w:val="21"/>
        </w:rPr>
      </w:pPr>
      <w:r>
        <w:rPr>
          <w:rFonts w:hint="eastAsia" w:ascii="宋体" w:hAnsi="宋体"/>
          <w:szCs w:val="21"/>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ascii="宋体" w:hAnsi="宋体"/>
          <w:szCs w:val="21"/>
        </w:rPr>
      </w:pPr>
      <w:r>
        <w:rPr>
          <w:rFonts w:hint="eastAsia" w:ascii="宋体" w:hAnsi="宋体"/>
          <w:szCs w:val="21"/>
        </w:rPr>
        <w:t>34.2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或者磋商小组成员行贿或者提供其他不正当利益；不得提供虚假材料谋取成交；不得以任何方式干扰、影响采购工作。</w:t>
      </w:r>
    </w:p>
    <w:p>
      <w:pPr>
        <w:pStyle w:val="41"/>
        <w:adjustRightInd w:val="0"/>
        <w:snapToGrid w:val="0"/>
        <w:spacing w:before="0" w:beforeAutospacing="0" w:after="0" w:afterAutospacing="0" w:line="360" w:lineRule="auto"/>
        <w:ind w:firstLine="420" w:firstLineChars="200"/>
        <w:rPr>
          <w:sz w:val="21"/>
          <w:szCs w:val="21"/>
          <w:lang w:val="zh-CN"/>
        </w:rPr>
      </w:pPr>
      <w:r>
        <w:rPr>
          <w:rFonts w:hint="eastAsia" w:cs="Arial"/>
          <w:sz w:val="21"/>
          <w:szCs w:val="21"/>
        </w:rPr>
        <w:t>34.3</w:t>
      </w:r>
      <w:r>
        <w:rPr>
          <w:rFonts w:cs="Arial"/>
          <w:sz w:val="21"/>
          <w:szCs w:val="21"/>
        </w:rPr>
        <w:t>有下列情形之一的，</w:t>
      </w:r>
      <w:r>
        <w:rPr>
          <w:sz w:val="21"/>
          <w:szCs w:val="21"/>
          <w:lang w:val="zh-CN"/>
        </w:rPr>
        <w:t>属于恶意串通，</w:t>
      </w:r>
      <w:r>
        <w:rPr>
          <w:sz w:val="21"/>
          <w:szCs w:val="21"/>
        </w:rPr>
        <w:t>成交无效，并</w:t>
      </w:r>
      <w:r>
        <w:rPr>
          <w:sz w:val="21"/>
          <w:szCs w:val="21"/>
          <w:lang w:val="zh-CN"/>
        </w:rPr>
        <w:t>依照《政府采购法》第七十七条的规定追究法律责任：</w:t>
      </w:r>
    </w:p>
    <w:p>
      <w:pPr>
        <w:adjustRightInd w:val="0"/>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kern w:val="0"/>
          <w:szCs w:val="21"/>
        </w:rPr>
        <w:t>供应商</w:t>
      </w:r>
      <w:r>
        <w:rPr>
          <w:rFonts w:hint="eastAsia" w:ascii="宋体" w:hAnsi="宋体"/>
          <w:szCs w:val="21"/>
        </w:rPr>
        <w:t>直接或者间接从</w:t>
      </w:r>
      <w:r>
        <w:rPr>
          <w:rFonts w:hint="eastAsia" w:ascii="宋体" w:hAnsi="宋体"/>
          <w:bCs/>
          <w:szCs w:val="21"/>
        </w:rPr>
        <w:t>采购人、采购代理机构</w:t>
      </w:r>
      <w:r>
        <w:rPr>
          <w:rFonts w:hint="eastAsia" w:ascii="宋体" w:hAnsi="宋体"/>
          <w:szCs w:val="21"/>
        </w:rPr>
        <w:t>获得其他</w:t>
      </w:r>
      <w:r>
        <w:rPr>
          <w:rFonts w:hint="eastAsia" w:ascii="宋体" w:hAnsi="宋体" w:cs="宋体"/>
          <w:kern w:val="0"/>
          <w:szCs w:val="21"/>
        </w:rPr>
        <w:t>供应商</w:t>
      </w:r>
      <w:r>
        <w:rPr>
          <w:rFonts w:hint="eastAsia" w:ascii="宋体" w:hAnsi="宋体"/>
          <w:szCs w:val="21"/>
        </w:rPr>
        <w:t>的相应情况，并修改其响应文件的；</w:t>
      </w:r>
    </w:p>
    <w:p>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bCs/>
          <w:szCs w:val="21"/>
        </w:rPr>
        <w:t>采购人、采购代理机构</w:t>
      </w:r>
      <w:r>
        <w:rPr>
          <w:rFonts w:hint="eastAsia" w:ascii="宋体" w:hAnsi="宋体"/>
          <w:szCs w:val="21"/>
        </w:rPr>
        <w:t>授意</w:t>
      </w:r>
      <w:r>
        <w:rPr>
          <w:rFonts w:hint="eastAsia" w:ascii="宋体" w:hAnsi="宋体" w:cs="宋体"/>
          <w:kern w:val="0"/>
          <w:szCs w:val="21"/>
        </w:rPr>
        <w:t>供应商</w:t>
      </w:r>
      <w:r>
        <w:rPr>
          <w:rFonts w:hint="eastAsia" w:ascii="宋体" w:hAnsi="宋体"/>
          <w:szCs w:val="21"/>
        </w:rPr>
        <w:t>撤换、修改响应文件的；</w:t>
      </w:r>
    </w:p>
    <w:p>
      <w:pPr>
        <w:adjustRightInd w:val="0"/>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cs="宋体"/>
          <w:kern w:val="0"/>
          <w:szCs w:val="21"/>
        </w:rPr>
        <w:t>供应商</w:t>
      </w:r>
      <w:r>
        <w:rPr>
          <w:rFonts w:hint="eastAsia" w:ascii="宋体" w:hAnsi="宋体"/>
          <w:szCs w:val="21"/>
        </w:rPr>
        <w:t>之间协商技术方案、合同条款以及报价等响应文件实质性内容的；</w:t>
      </w:r>
    </w:p>
    <w:p>
      <w:pPr>
        <w:adjustRightInd w:val="0"/>
        <w:snapToGrid w:val="0"/>
        <w:spacing w:line="360" w:lineRule="auto"/>
        <w:ind w:firstLine="420" w:firstLineChars="200"/>
        <w:rPr>
          <w:rFonts w:ascii="宋体" w:hAnsi="宋体"/>
          <w:szCs w:val="21"/>
        </w:rPr>
      </w:pPr>
      <w:r>
        <w:rPr>
          <w:rFonts w:hint="eastAsia" w:ascii="宋体" w:hAnsi="宋体"/>
          <w:szCs w:val="21"/>
        </w:rPr>
        <w:t>（4）属于同一集团、协会、商会等组织成员的</w:t>
      </w:r>
      <w:r>
        <w:rPr>
          <w:rFonts w:hint="eastAsia" w:ascii="宋体" w:hAnsi="宋体" w:cs="宋体"/>
          <w:kern w:val="0"/>
          <w:szCs w:val="21"/>
        </w:rPr>
        <w:t>供应商</w:t>
      </w:r>
      <w:r>
        <w:rPr>
          <w:rFonts w:hint="eastAsia" w:ascii="宋体" w:hAnsi="宋体"/>
          <w:szCs w:val="21"/>
        </w:rPr>
        <w:t>按照该组织要求协同参加竞争性磋商政府采购活动的；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rPr>
        <w:t>供应商</w:t>
      </w:r>
      <w:r>
        <w:rPr>
          <w:rFonts w:hint="eastAsia" w:ascii="宋体" w:hAnsi="宋体"/>
          <w:szCs w:val="21"/>
        </w:rPr>
        <w:t>之间事先约定由某一特定</w:t>
      </w:r>
      <w:r>
        <w:rPr>
          <w:rFonts w:hint="eastAsia" w:ascii="宋体" w:hAnsi="宋体" w:cs="宋体"/>
          <w:kern w:val="0"/>
          <w:szCs w:val="21"/>
        </w:rPr>
        <w:t>供应商</w:t>
      </w:r>
      <w:r>
        <w:rPr>
          <w:rFonts w:hint="eastAsia" w:ascii="宋体" w:hAnsi="宋体"/>
          <w:szCs w:val="21"/>
        </w:rPr>
        <w:t>成交的；</w:t>
      </w:r>
    </w:p>
    <w:p>
      <w:pPr>
        <w:adjustRightInd w:val="0"/>
        <w:snapToGrid w:val="0"/>
        <w:spacing w:line="360" w:lineRule="auto"/>
        <w:ind w:firstLine="420" w:firstLineChars="200"/>
        <w:rPr>
          <w:rFonts w:ascii="宋体" w:hAnsi="宋体"/>
          <w:szCs w:val="21"/>
        </w:rPr>
      </w:pPr>
      <w:r>
        <w:rPr>
          <w:rFonts w:hint="eastAsia" w:ascii="宋体" w:hAnsi="宋体"/>
          <w:szCs w:val="21"/>
        </w:rPr>
        <w:t>（6）</w:t>
      </w:r>
      <w:r>
        <w:rPr>
          <w:rFonts w:hint="eastAsia" w:ascii="宋体" w:hAnsi="宋体" w:cs="宋体"/>
          <w:kern w:val="0"/>
          <w:szCs w:val="21"/>
        </w:rPr>
        <w:t>供应商</w:t>
      </w:r>
      <w:r>
        <w:rPr>
          <w:rFonts w:hint="eastAsia" w:ascii="宋体" w:hAnsi="宋体"/>
          <w:szCs w:val="21"/>
        </w:rPr>
        <w:t>之间商定部分</w:t>
      </w:r>
      <w:r>
        <w:rPr>
          <w:rFonts w:hint="eastAsia" w:ascii="宋体" w:hAnsi="宋体" w:cs="宋体"/>
          <w:kern w:val="0"/>
          <w:szCs w:val="21"/>
        </w:rPr>
        <w:t>供应商</w:t>
      </w:r>
      <w:r>
        <w:rPr>
          <w:rFonts w:hint="eastAsia" w:ascii="宋体" w:hAnsi="宋体"/>
          <w:szCs w:val="21"/>
        </w:rPr>
        <w:t>放弃提交响应文件或者退出磋商或者放弃成交的；</w:t>
      </w:r>
    </w:p>
    <w:p>
      <w:pPr>
        <w:adjustRightInd w:val="0"/>
        <w:snapToGrid w:val="0"/>
        <w:spacing w:line="360" w:lineRule="auto"/>
        <w:ind w:firstLine="420" w:firstLineChars="200"/>
        <w:rPr>
          <w:rFonts w:ascii="宋体" w:hAnsi="宋体"/>
          <w:b/>
          <w:szCs w:val="21"/>
        </w:rPr>
      </w:pPr>
      <w:r>
        <w:rPr>
          <w:rFonts w:hint="eastAsia" w:ascii="宋体" w:hAnsi="宋体"/>
          <w:szCs w:val="21"/>
        </w:rPr>
        <w:t>（7）</w:t>
      </w:r>
      <w:r>
        <w:rPr>
          <w:rFonts w:hint="eastAsia" w:ascii="宋体" w:hAnsi="宋体" w:cs="宋体"/>
          <w:kern w:val="0"/>
          <w:szCs w:val="21"/>
        </w:rPr>
        <w:t>供应商</w:t>
      </w:r>
      <w:r>
        <w:rPr>
          <w:rFonts w:hint="eastAsia" w:ascii="宋体" w:hAnsi="宋体"/>
          <w:szCs w:val="21"/>
        </w:rPr>
        <w:t>与</w:t>
      </w:r>
      <w:r>
        <w:rPr>
          <w:rFonts w:hint="eastAsia" w:ascii="宋体" w:hAnsi="宋体"/>
          <w:bCs/>
          <w:szCs w:val="21"/>
        </w:rPr>
        <w:t>采购人、采购代理机构以及</w:t>
      </w:r>
      <w:r>
        <w:rPr>
          <w:rFonts w:hint="eastAsia" w:ascii="宋体" w:hAnsi="宋体"/>
          <w:szCs w:val="21"/>
        </w:rPr>
        <w:t>磋商小组成员之间、</w:t>
      </w:r>
      <w:r>
        <w:rPr>
          <w:rFonts w:hint="eastAsia" w:ascii="宋体" w:hAnsi="宋体" w:cs="宋体"/>
          <w:kern w:val="0"/>
          <w:szCs w:val="21"/>
        </w:rPr>
        <w:t>供应商</w:t>
      </w:r>
      <w:r>
        <w:rPr>
          <w:rFonts w:hint="eastAsia" w:ascii="宋体" w:hAnsi="宋体"/>
          <w:szCs w:val="21"/>
        </w:rPr>
        <w:t>相互之间，为谋求特定</w:t>
      </w:r>
      <w:r>
        <w:rPr>
          <w:rFonts w:hint="eastAsia" w:ascii="宋体" w:hAnsi="宋体" w:cs="宋体"/>
          <w:kern w:val="0"/>
          <w:szCs w:val="21"/>
        </w:rPr>
        <w:t>供应商</w:t>
      </w:r>
      <w:r>
        <w:rPr>
          <w:rFonts w:hint="eastAsia" w:ascii="宋体" w:hAnsi="宋体"/>
          <w:szCs w:val="21"/>
        </w:rPr>
        <w:t>成交或者排斥其他</w:t>
      </w:r>
      <w:r>
        <w:rPr>
          <w:rFonts w:hint="eastAsia" w:ascii="宋体" w:hAnsi="宋体" w:cs="宋体"/>
          <w:kern w:val="0"/>
          <w:szCs w:val="21"/>
        </w:rPr>
        <w:t>供应商</w:t>
      </w:r>
      <w:r>
        <w:rPr>
          <w:rFonts w:hint="eastAsia" w:ascii="宋体" w:hAnsi="宋体"/>
          <w:szCs w:val="21"/>
        </w:rPr>
        <w:t>的其他串通行为的。</w:t>
      </w:r>
    </w:p>
    <w:p>
      <w:pPr>
        <w:adjustRightInd w:val="0"/>
        <w:snapToGrid w:val="0"/>
        <w:spacing w:line="360" w:lineRule="auto"/>
        <w:ind w:firstLine="420" w:firstLineChars="200"/>
        <w:rPr>
          <w:rFonts w:ascii="宋体" w:hAnsi="宋体"/>
          <w:szCs w:val="21"/>
        </w:rPr>
      </w:pPr>
      <w:r>
        <w:rPr>
          <w:rFonts w:ascii="宋体" w:hAnsi="宋体" w:cs="Arial"/>
          <w:szCs w:val="21"/>
        </w:rPr>
        <w:t>（</w:t>
      </w:r>
      <w:r>
        <w:rPr>
          <w:rFonts w:hint="eastAsia" w:ascii="宋体" w:hAnsi="宋体" w:cs="Arial"/>
          <w:szCs w:val="21"/>
        </w:rPr>
        <w:t>8</w:t>
      </w:r>
      <w:r>
        <w:rPr>
          <w:rFonts w:ascii="宋体" w:hAnsi="宋体" w:cs="Arial"/>
          <w:szCs w:val="21"/>
        </w:rPr>
        <w:t>）</w:t>
      </w:r>
      <w:r>
        <w:rPr>
          <w:rFonts w:ascii="宋体" w:hAnsi="宋体"/>
          <w:szCs w:val="21"/>
        </w:rPr>
        <w:t>法律、行政法规或规章规定的其他串通行为。</w:t>
      </w:r>
    </w:p>
    <w:p>
      <w:pPr>
        <w:pStyle w:val="3"/>
        <w:rPr>
          <w:rFonts w:ascii="宋体" w:hAnsi="宋体"/>
          <w:sz w:val="21"/>
          <w:szCs w:val="21"/>
        </w:rPr>
      </w:pPr>
      <w:bookmarkStart w:id="58" w:name="_Toc474770911"/>
      <w:r>
        <w:rPr>
          <w:rFonts w:hint="eastAsia" w:ascii="宋体" w:hAnsi="宋体"/>
          <w:sz w:val="21"/>
          <w:szCs w:val="21"/>
        </w:rPr>
        <w:t>六、成交结果信息公布与授予合同</w:t>
      </w:r>
      <w:bookmarkEnd w:id="58"/>
    </w:p>
    <w:p>
      <w:pPr>
        <w:adjustRightInd w:val="0"/>
        <w:snapToGrid w:val="0"/>
        <w:spacing w:line="360" w:lineRule="auto"/>
        <w:rPr>
          <w:rFonts w:ascii="宋体" w:hAnsi="宋体"/>
          <w:b/>
          <w:bCs/>
          <w:szCs w:val="21"/>
        </w:rPr>
      </w:pPr>
      <w:r>
        <w:rPr>
          <w:rFonts w:hint="eastAsia" w:ascii="宋体" w:hAnsi="宋体"/>
          <w:b/>
          <w:bCs/>
          <w:szCs w:val="21"/>
        </w:rPr>
        <w:t>35.成交信息的公布</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35.1成交供应商确定后2个工作日内，采购人或者采购代理机构应将成交结果信息在</w:t>
      </w:r>
      <w:r>
        <w:rPr>
          <w:rFonts w:hint="eastAsia" w:ascii="宋体" w:hAnsi="宋体"/>
          <w:b/>
          <w:sz w:val="21"/>
          <w:szCs w:val="21"/>
        </w:rPr>
        <w:t>磋商须知前附表</w:t>
      </w:r>
      <w:r>
        <w:rPr>
          <w:rFonts w:hint="eastAsia" w:ascii="宋体" w:hAnsi="宋体"/>
          <w:sz w:val="21"/>
          <w:szCs w:val="21"/>
        </w:rPr>
        <w:t>指定的媒体上公布。</w:t>
      </w:r>
    </w:p>
    <w:p>
      <w:pPr>
        <w:adjustRightInd w:val="0"/>
        <w:snapToGrid w:val="0"/>
        <w:spacing w:line="360" w:lineRule="auto"/>
        <w:rPr>
          <w:rFonts w:ascii="宋体" w:hAnsi="宋体"/>
          <w:b/>
          <w:bCs/>
          <w:szCs w:val="21"/>
        </w:rPr>
      </w:pPr>
      <w:r>
        <w:rPr>
          <w:rFonts w:hint="eastAsia" w:ascii="宋体" w:hAnsi="宋体"/>
          <w:b/>
          <w:bCs/>
          <w:szCs w:val="21"/>
        </w:rPr>
        <w:t>36.询问及质疑</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ascii="宋体" w:hAnsi="宋体"/>
          <w:b/>
          <w:bCs/>
          <w:szCs w:val="21"/>
        </w:rPr>
      </w:pPr>
      <w:r>
        <w:rPr>
          <w:rFonts w:hint="eastAsia" w:ascii="宋体" w:hAnsi="宋体"/>
          <w:b/>
          <w:bCs/>
          <w:szCs w:val="21"/>
        </w:rPr>
        <w:t>37.成交通知</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37.1成交单位确定后，采购人或采购代理机构将以书面形式向成交</w:t>
      </w:r>
      <w:r>
        <w:rPr>
          <w:rFonts w:hint="eastAsia" w:ascii="宋体" w:hAnsi="宋体" w:cs="宋体"/>
          <w:kern w:val="0"/>
          <w:sz w:val="21"/>
          <w:szCs w:val="21"/>
        </w:rPr>
        <w:t>单位</w:t>
      </w:r>
      <w:r>
        <w:rPr>
          <w:rFonts w:hint="eastAsia" w:ascii="宋体" w:hAnsi="宋体"/>
          <w:sz w:val="21"/>
          <w:szCs w:val="21"/>
        </w:rPr>
        <w:t>发出成交通知书。成交通知书对采购人和成交单位具有同等法律效力。</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ascii="宋体" w:hAnsi="宋体"/>
          <w:szCs w:val="21"/>
        </w:rPr>
      </w:pPr>
      <w:r>
        <w:rPr>
          <w:rFonts w:hint="eastAsia" w:ascii="宋体" w:hAnsi="宋体" w:cs="宋体"/>
          <w:kern w:val="0"/>
          <w:szCs w:val="21"/>
        </w:rPr>
        <w:t xml:space="preserve">37.3 </w:t>
      </w:r>
      <w:r>
        <w:rPr>
          <w:rFonts w:hint="eastAsia" w:ascii="宋体" w:hAnsi="宋体"/>
          <w:szCs w:val="21"/>
        </w:rPr>
        <w:t>成交单位在收到采购代理机构的成交通知书后10日内，应按照</w:t>
      </w:r>
      <w:r>
        <w:rPr>
          <w:rFonts w:hint="eastAsia" w:ascii="宋体" w:hAnsi="宋体"/>
          <w:b/>
          <w:szCs w:val="21"/>
        </w:rPr>
        <w:t>磋商须知前附表</w:t>
      </w:r>
      <w:r>
        <w:rPr>
          <w:rFonts w:hint="eastAsia" w:ascii="宋体" w:hAnsi="宋体"/>
          <w:szCs w:val="21"/>
        </w:rPr>
        <w:t>的规定，向采购人提交履约担保。</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37.4 成交单位</w:t>
      </w:r>
      <w:r>
        <w:rPr>
          <w:rFonts w:hint="eastAsia" w:ascii="宋体" w:hAnsi="宋体"/>
          <w:spacing w:val="4"/>
          <w:sz w:val="21"/>
          <w:szCs w:val="21"/>
        </w:rPr>
        <w:t>没有按照本章第37.3</w:t>
      </w:r>
      <w:r>
        <w:rPr>
          <w:rFonts w:hint="eastAsia" w:ascii="宋体" w:hAnsi="宋体" w:cs="宋体"/>
          <w:kern w:val="0"/>
          <w:sz w:val="21"/>
          <w:szCs w:val="21"/>
          <w:lang w:val="zh-CN"/>
        </w:rPr>
        <w:t>款</w:t>
      </w:r>
      <w:r>
        <w:rPr>
          <w:rFonts w:hint="eastAsia" w:ascii="宋体" w:hAnsi="宋体"/>
          <w:spacing w:val="4"/>
          <w:sz w:val="21"/>
          <w:szCs w:val="21"/>
        </w:rPr>
        <w:t>规定</w:t>
      </w:r>
      <w:r>
        <w:rPr>
          <w:rFonts w:hint="eastAsia" w:ascii="宋体" w:hAnsi="宋体"/>
          <w:sz w:val="21"/>
          <w:szCs w:val="21"/>
        </w:rPr>
        <w:t>提交履约担保的</w:t>
      </w:r>
      <w:r>
        <w:rPr>
          <w:rFonts w:hint="eastAsia" w:ascii="宋体" w:hAnsi="宋体"/>
          <w:spacing w:val="4"/>
          <w:sz w:val="21"/>
          <w:szCs w:val="21"/>
        </w:rPr>
        <w:t>，视为放弃</w:t>
      </w:r>
      <w:r>
        <w:rPr>
          <w:rFonts w:hint="eastAsia" w:ascii="宋体" w:hAnsi="宋体"/>
          <w:sz w:val="21"/>
          <w:szCs w:val="21"/>
        </w:rPr>
        <w:t>成交资格</w:t>
      </w:r>
      <w:r>
        <w:rPr>
          <w:rFonts w:hint="eastAsia" w:ascii="宋体" w:hAnsi="宋体"/>
          <w:spacing w:val="4"/>
          <w:sz w:val="21"/>
          <w:szCs w:val="21"/>
        </w:rPr>
        <w:t>，</w:t>
      </w:r>
      <w:r>
        <w:rPr>
          <w:rFonts w:hint="eastAsia" w:ascii="宋体" w:hAnsi="宋体"/>
          <w:spacing w:val="2"/>
          <w:sz w:val="21"/>
          <w:szCs w:val="21"/>
        </w:rPr>
        <w:t>其磋商保证金不予退还。</w:t>
      </w:r>
    </w:p>
    <w:p>
      <w:pPr>
        <w:adjustRightInd w:val="0"/>
        <w:snapToGrid w:val="0"/>
        <w:spacing w:line="360" w:lineRule="auto"/>
        <w:rPr>
          <w:rFonts w:ascii="宋体" w:hAnsi="宋体"/>
          <w:b/>
          <w:bCs/>
          <w:szCs w:val="21"/>
        </w:rPr>
      </w:pPr>
      <w:r>
        <w:rPr>
          <w:rFonts w:hint="eastAsia" w:ascii="宋体" w:hAnsi="宋体"/>
          <w:b/>
          <w:bCs/>
          <w:szCs w:val="21"/>
        </w:rPr>
        <w:t>38.签订合同</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38.1 磋商文件、成交单位的响应文件及其补充的响应文件等均为签订政府采购合同的依据。</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38.2 成交单位应当在成交通知书发出之日起30日内与采购人签订政府采购合同。</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38.3 成交单位应当按照合同约定履行义务。成交单位不得向他人转让成交项目，也不得将成交项目分包后分别向他人转让。</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38.4 成交单位有下列情形之一的，责令限期改正，情节严重的，列入不良行为记录名单，在1至3年内禁止参加政府采购活动，并予以通报：</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（一）成交后无正当理由不与采购人签订合同的；</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（二）未按照采购文件确定的事项签订政府采购合同，或者与采购人另行订立背离合同实质性内容的协议的；</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（三）拒绝履行合同义务的；</w:t>
      </w:r>
    </w:p>
    <w:p>
      <w:pPr>
        <w:pStyle w:val="22"/>
        <w:adjustRightInd w:val="0"/>
        <w:snapToGrid w:val="0"/>
        <w:spacing w:line="360" w:lineRule="auto"/>
        <w:ind w:firstLine="420" w:firstLineChars="200"/>
        <w:rPr>
          <w:rFonts w:ascii="宋体" w:hAnsi="宋体" w:cs="宋体"/>
          <w:kern w:val="0"/>
          <w:sz w:val="21"/>
          <w:szCs w:val="21"/>
        </w:rPr>
      </w:pPr>
      <w:r>
        <w:rPr>
          <w:rFonts w:hint="eastAsia" w:ascii="宋体" w:hAnsi="宋体"/>
          <w:sz w:val="21"/>
          <w:szCs w:val="21"/>
        </w:rPr>
        <w:t>（四）</w:t>
      </w:r>
      <w:r>
        <w:rPr>
          <w:rFonts w:hint="eastAsia" w:ascii="宋体" w:hAnsi="宋体" w:cs="宋体"/>
          <w:kern w:val="0"/>
          <w:sz w:val="21"/>
          <w:szCs w:val="21"/>
        </w:rPr>
        <w:t>违反法律、规章、规范性文件规定的。</w:t>
      </w:r>
    </w:p>
    <w:p>
      <w:pPr>
        <w:pStyle w:val="3"/>
        <w:rPr>
          <w:rFonts w:ascii="宋体" w:hAnsi="宋体"/>
          <w:sz w:val="21"/>
          <w:szCs w:val="21"/>
        </w:rPr>
      </w:pPr>
      <w:bookmarkStart w:id="59" w:name="_Toc425613608"/>
      <w:bookmarkStart w:id="60" w:name="_Toc474770912"/>
      <w:r>
        <w:rPr>
          <w:rFonts w:hint="eastAsia" w:ascii="宋体" w:hAnsi="宋体"/>
          <w:sz w:val="21"/>
          <w:szCs w:val="21"/>
        </w:rPr>
        <w:t>七、其他规定</w:t>
      </w:r>
      <w:bookmarkEnd w:id="59"/>
      <w:bookmarkEnd w:id="60"/>
    </w:p>
    <w:p>
      <w:pPr>
        <w:adjustRightInd w:val="0"/>
        <w:snapToGrid w:val="0"/>
        <w:spacing w:line="360" w:lineRule="auto"/>
        <w:jc w:val="left"/>
        <w:rPr>
          <w:rFonts w:ascii="宋体" w:hAnsi="宋体"/>
          <w:b/>
          <w:szCs w:val="21"/>
        </w:rPr>
      </w:pPr>
      <w:r>
        <w:rPr>
          <w:rFonts w:hint="eastAsia" w:ascii="宋体" w:hAnsi="宋体"/>
          <w:b/>
          <w:szCs w:val="21"/>
        </w:rPr>
        <w:t>39.采购代理服务费</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39.1采购代理机构应按</w:t>
      </w:r>
      <w:r>
        <w:rPr>
          <w:rFonts w:hint="eastAsia" w:ascii="宋体" w:hAnsi="宋体"/>
          <w:b/>
          <w:szCs w:val="21"/>
        </w:rPr>
        <w:t>磋商须知前附表</w:t>
      </w:r>
      <w:r>
        <w:rPr>
          <w:rFonts w:hint="eastAsia" w:ascii="宋体" w:hAnsi="宋体"/>
          <w:szCs w:val="21"/>
        </w:rPr>
        <w:t>规定收取采购代理服务费。</w:t>
      </w:r>
    </w:p>
    <w:p>
      <w:pPr>
        <w:tabs>
          <w:tab w:val="left" w:pos="420"/>
          <w:tab w:val="left" w:pos="7560"/>
          <w:tab w:val="left" w:pos="7740"/>
          <w:tab w:val="left" w:pos="7920"/>
        </w:tabs>
        <w:adjustRightInd w:val="0"/>
        <w:snapToGrid w:val="0"/>
        <w:spacing w:line="360" w:lineRule="auto"/>
        <w:rPr>
          <w:rFonts w:ascii="宋体" w:hAnsi="宋体"/>
          <w:b/>
          <w:szCs w:val="21"/>
        </w:rPr>
      </w:pPr>
      <w:r>
        <w:rPr>
          <w:rFonts w:hint="eastAsia" w:ascii="宋体" w:hAnsi="宋体"/>
          <w:b/>
          <w:szCs w:val="21"/>
        </w:rPr>
        <w:t>40. 其他规定</w:t>
      </w:r>
    </w:p>
    <w:p>
      <w:pPr>
        <w:spacing w:line="360" w:lineRule="auto"/>
        <w:ind w:firstLine="420" w:firstLineChars="200"/>
        <w:rPr>
          <w:rFonts w:ascii="宋体" w:hAnsi="宋体" w:cs="仿宋_GB2312"/>
          <w:szCs w:val="21"/>
        </w:rPr>
      </w:pPr>
      <w:r>
        <w:rPr>
          <w:rFonts w:hint="eastAsia" w:ascii="宋体" w:hAnsi="宋体"/>
          <w:szCs w:val="21"/>
        </w:rPr>
        <w:t>40.1磋商文件的其他规定见</w:t>
      </w:r>
      <w:r>
        <w:rPr>
          <w:rFonts w:hint="eastAsia" w:ascii="宋体" w:hAnsi="宋体"/>
          <w:b/>
          <w:szCs w:val="21"/>
        </w:rPr>
        <w:t>磋商须知前附表</w:t>
      </w:r>
      <w:r>
        <w:rPr>
          <w:rFonts w:hint="eastAsia" w:ascii="宋体" w:hAnsi="宋体"/>
          <w:szCs w:val="21"/>
        </w:rPr>
        <w:t>。</w:t>
      </w:r>
    </w:p>
    <w:p>
      <w:pPr>
        <w:pStyle w:val="2"/>
        <w:rPr>
          <w:rFonts w:hint="default" w:ascii="宋体" w:hAnsi="宋体" w:eastAsia="宋体"/>
          <w:lang w:val="en-US" w:eastAsia="zh-CN"/>
        </w:rPr>
      </w:pPr>
      <w:r>
        <w:rPr>
          <w:rFonts w:ascii="宋体" w:hAnsi="宋体" w:cs="仿宋_GB2312"/>
          <w:szCs w:val="21"/>
        </w:rPr>
        <w:br w:type="page"/>
      </w:r>
      <w:bookmarkStart w:id="61" w:name="_Toc433113176"/>
      <w:bookmarkStart w:id="62" w:name="_Toc420948016"/>
      <w:bookmarkStart w:id="63" w:name="_Toc474770913"/>
      <w:r>
        <w:rPr>
          <w:rFonts w:hint="eastAsia" w:ascii="宋体" w:hAnsi="宋体" w:eastAsia="宋体" w:cs="Times New Roman"/>
          <w:b/>
          <w:bCs/>
          <w:kern w:val="2"/>
          <w:sz w:val="28"/>
          <w:szCs w:val="20"/>
          <w:lang w:val="en-US" w:eastAsia="zh-CN" w:bidi="ar-SA"/>
        </w:rPr>
        <w:t xml:space="preserve">第三章  </w:t>
      </w:r>
      <w:bookmarkEnd w:id="61"/>
      <w:bookmarkEnd w:id="62"/>
      <w:bookmarkEnd w:id="63"/>
      <w:r>
        <w:rPr>
          <w:rFonts w:hint="eastAsia" w:ascii="宋体" w:hAnsi="宋体" w:eastAsia="宋体" w:cs="Times New Roman"/>
          <w:b/>
          <w:bCs/>
          <w:kern w:val="2"/>
          <w:sz w:val="28"/>
          <w:szCs w:val="20"/>
          <w:lang w:val="en-US" w:eastAsia="zh-CN" w:bidi="ar-SA"/>
        </w:rPr>
        <w:t>拟签订的合同文本</w:t>
      </w:r>
    </w:p>
    <w:p>
      <w:pPr>
        <w:adjustRightInd w:val="0"/>
        <w:snapToGrid w:val="0"/>
        <w:spacing w:before="120" w:beforeLines="50" w:line="360" w:lineRule="auto"/>
        <w:jc w:val="center"/>
        <w:rPr>
          <w:rFonts w:ascii="宋体" w:hAnsi="宋体"/>
          <w:b/>
          <w:bCs/>
          <w:sz w:val="32"/>
          <w:szCs w:val="32"/>
        </w:rPr>
      </w:pPr>
      <w:bookmarkStart w:id="64" w:name="_Toc420948017"/>
      <w:bookmarkStart w:id="65" w:name="_Toc433187361"/>
    </w:p>
    <w:p>
      <w:pPr>
        <w:adjustRightInd w:val="0"/>
        <w:snapToGrid w:val="0"/>
        <w:spacing w:before="120" w:beforeLines="50" w:line="360" w:lineRule="auto"/>
        <w:jc w:val="center"/>
        <w:rPr>
          <w:rFonts w:ascii="宋体" w:hAnsi="宋体"/>
          <w:b/>
          <w:sz w:val="32"/>
          <w:szCs w:val="32"/>
        </w:rPr>
      </w:pPr>
    </w:p>
    <w:p>
      <w:pPr>
        <w:adjustRightInd w:val="0"/>
        <w:snapToGrid w:val="0"/>
        <w:spacing w:line="360" w:lineRule="auto"/>
        <w:rPr>
          <w:rFonts w:ascii="宋体" w:hAnsi="宋体"/>
          <w:szCs w:val="21"/>
        </w:rPr>
      </w:pPr>
      <w:r>
        <w:rPr>
          <w:rFonts w:hint="eastAsia" w:ascii="宋体" w:hAnsi="宋体"/>
          <w:szCs w:val="21"/>
        </w:rPr>
        <w:t>采购人（全称）：</w:t>
      </w:r>
      <w:r>
        <w:rPr>
          <w:rFonts w:hint="eastAsia" w:ascii="宋体" w:hAnsi="宋体"/>
          <w:szCs w:val="21"/>
          <w:u w:val="single"/>
        </w:rPr>
        <w:t xml:space="preserve">                             </w:t>
      </w:r>
      <w:r>
        <w:rPr>
          <w:rFonts w:hint="eastAsia" w:ascii="宋体" w:hAnsi="宋体"/>
          <w:szCs w:val="21"/>
        </w:rPr>
        <w:t>（甲方）</w:t>
      </w:r>
    </w:p>
    <w:p>
      <w:pPr>
        <w:adjustRightInd w:val="0"/>
        <w:snapToGrid w:val="0"/>
        <w:spacing w:line="360" w:lineRule="auto"/>
        <w:rPr>
          <w:rFonts w:ascii="宋体" w:hAnsi="宋体"/>
          <w:szCs w:val="21"/>
        </w:rPr>
      </w:pPr>
      <w:r>
        <w:rPr>
          <w:rFonts w:hint="eastAsia" w:ascii="宋体" w:hAnsi="宋体"/>
          <w:szCs w:val="21"/>
        </w:rPr>
        <w:t>供应商（全称）：</w:t>
      </w:r>
      <w:r>
        <w:rPr>
          <w:rFonts w:hint="eastAsia" w:ascii="宋体" w:hAnsi="宋体"/>
          <w:szCs w:val="21"/>
          <w:u w:val="single"/>
        </w:rPr>
        <w:t xml:space="preserve">                             </w:t>
      </w:r>
      <w:r>
        <w:rPr>
          <w:rFonts w:hint="eastAsia" w:ascii="宋体" w:hAnsi="宋体"/>
          <w:szCs w:val="21"/>
        </w:rPr>
        <w:t>（乙方）</w:t>
      </w:r>
    </w:p>
    <w:p>
      <w:pPr>
        <w:pStyle w:val="18"/>
        <w:adjustRightInd w:val="0"/>
        <w:snapToGrid w:val="0"/>
        <w:spacing w:after="0" w:line="360" w:lineRule="auto"/>
        <w:rPr>
          <w:rFonts w:ascii="宋体" w:hAnsi="宋体"/>
          <w:szCs w:val="21"/>
        </w:rPr>
      </w:pPr>
    </w:p>
    <w:p>
      <w:pPr>
        <w:pStyle w:val="18"/>
        <w:adjustRightInd w:val="0"/>
        <w:snapToGrid w:val="0"/>
        <w:spacing w:after="0" w:line="360" w:lineRule="auto"/>
        <w:ind w:left="0" w:leftChars="0" w:firstLine="420" w:firstLineChars="200"/>
        <w:rPr>
          <w:rFonts w:ascii="宋体" w:hAnsi="宋体"/>
          <w:szCs w:val="21"/>
        </w:rPr>
      </w:pPr>
      <w:r>
        <w:rPr>
          <w:rFonts w:hint="eastAsia" w:ascii="宋体" w:hAnsi="宋体"/>
          <w:szCs w:val="21"/>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22" w:firstLineChars="200"/>
        <w:rPr>
          <w:rFonts w:ascii="宋体" w:hAnsi="宋体"/>
          <w:b/>
          <w:szCs w:val="21"/>
        </w:rPr>
      </w:pPr>
      <w:r>
        <w:rPr>
          <w:rFonts w:hint="eastAsia" w:ascii="宋体" w:hAnsi="宋体"/>
          <w:b/>
          <w:szCs w:val="21"/>
        </w:rPr>
        <w:t>1.项目信息</w:t>
      </w:r>
    </w:p>
    <w:p>
      <w:pPr>
        <w:pStyle w:val="18"/>
        <w:adjustRightInd w:val="0"/>
        <w:snapToGrid w:val="0"/>
        <w:spacing w:after="0" w:line="360" w:lineRule="auto"/>
        <w:rPr>
          <w:rFonts w:ascii="宋体" w:hAnsi="宋体"/>
          <w:szCs w:val="21"/>
        </w:rPr>
      </w:pPr>
      <w:r>
        <w:rPr>
          <w:rFonts w:hint="eastAsia" w:ascii="宋体" w:hAnsi="宋体"/>
          <w:szCs w:val="21"/>
        </w:rPr>
        <w:t>（1）采购项目名称：</w:t>
      </w:r>
      <w:r>
        <w:rPr>
          <w:rFonts w:ascii="宋体" w:hAnsi="宋体"/>
          <w:szCs w:val="21"/>
          <w:u w:val="single"/>
        </w:rPr>
        <w:t xml:space="preserve">                                          </w:t>
      </w:r>
    </w:p>
    <w:p>
      <w:pPr>
        <w:pStyle w:val="18"/>
        <w:adjustRightInd w:val="0"/>
        <w:snapToGrid w:val="0"/>
        <w:spacing w:after="0" w:line="360" w:lineRule="auto"/>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ascii="宋体" w:hAnsi="宋体"/>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（3）项目内容：</w:t>
      </w:r>
      <w:r>
        <w:rPr>
          <w:rFonts w:hint="eastAsia" w:ascii="宋体" w:hAnsi="宋体"/>
          <w:szCs w:val="21"/>
          <w:u w:val="single"/>
        </w:rPr>
        <w:t xml:space="preserve">                             </w:t>
      </w:r>
    </w:p>
    <w:p>
      <w:pPr>
        <w:spacing w:line="360" w:lineRule="auto"/>
        <w:ind w:firstLine="413" w:firstLineChars="196"/>
        <w:rPr>
          <w:rFonts w:ascii="宋体" w:hAnsi="宋体"/>
          <w:b/>
          <w:szCs w:val="21"/>
        </w:rPr>
      </w:pPr>
      <w:bookmarkStart w:id="66" w:name="_Toc86481557"/>
      <w:r>
        <w:rPr>
          <w:rFonts w:hint="eastAsia" w:ascii="宋体" w:hAnsi="宋体"/>
          <w:b/>
          <w:szCs w:val="21"/>
        </w:rPr>
        <w:t>2、</w:t>
      </w:r>
      <w:bookmarkEnd w:id="66"/>
      <w:r>
        <w:rPr>
          <w:rFonts w:hint="eastAsia" w:ascii="宋体" w:hAnsi="宋体"/>
          <w:b/>
          <w:szCs w:val="21"/>
        </w:rPr>
        <w:t>产品名称、型号、数量、金额</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97"/>
        <w:gridCol w:w="1327"/>
        <w:gridCol w:w="1377"/>
        <w:gridCol w:w="780"/>
        <w:gridCol w:w="688"/>
        <w:gridCol w:w="128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792" w:type="dxa"/>
            <w:vAlign w:val="center"/>
          </w:tcPr>
          <w:p>
            <w:pPr>
              <w:tabs>
                <w:tab w:val="left" w:pos="432"/>
              </w:tabs>
              <w:spacing w:line="400" w:lineRule="exact"/>
              <w:ind w:left="-208" w:leftChars="-99"/>
              <w:jc w:val="center"/>
              <w:rPr>
                <w:rFonts w:ascii="宋体" w:hAnsi="宋体"/>
                <w:szCs w:val="21"/>
              </w:rPr>
            </w:pPr>
            <w:r>
              <w:rPr>
                <w:rFonts w:hint="eastAsia" w:ascii="宋体" w:hAnsi="宋体"/>
                <w:szCs w:val="21"/>
              </w:rPr>
              <w:t xml:space="preserve">  序号</w:t>
            </w:r>
          </w:p>
        </w:tc>
        <w:tc>
          <w:tcPr>
            <w:tcW w:w="1297" w:type="dxa"/>
            <w:vAlign w:val="center"/>
          </w:tcPr>
          <w:p>
            <w:pPr>
              <w:tabs>
                <w:tab w:val="left" w:pos="0"/>
                <w:tab w:val="left" w:pos="540"/>
              </w:tabs>
              <w:spacing w:line="400" w:lineRule="exact"/>
              <w:jc w:val="center"/>
              <w:rPr>
                <w:rFonts w:ascii="宋体" w:hAnsi="宋体"/>
                <w:szCs w:val="21"/>
              </w:rPr>
            </w:pPr>
            <w:r>
              <w:rPr>
                <w:rFonts w:hint="eastAsia" w:ascii="宋体" w:hAnsi="宋体"/>
                <w:szCs w:val="21"/>
              </w:rPr>
              <w:t>设备名称</w:t>
            </w:r>
          </w:p>
        </w:tc>
        <w:tc>
          <w:tcPr>
            <w:tcW w:w="1327" w:type="dxa"/>
            <w:vAlign w:val="center"/>
          </w:tcPr>
          <w:p>
            <w:pPr>
              <w:tabs>
                <w:tab w:val="left" w:pos="0"/>
                <w:tab w:val="left" w:pos="540"/>
              </w:tabs>
              <w:spacing w:line="400" w:lineRule="exact"/>
              <w:jc w:val="center"/>
              <w:rPr>
                <w:rFonts w:ascii="宋体" w:hAnsi="宋体"/>
                <w:szCs w:val="21"/>
              </w:rPr>
            </w:pPr>
            <w:r>
              <w:rPr>
                <w:rFonts w:hint="eastAsia" w:ascii="宋体" w:hAnsi="宋体"/>
                <w:szCs w:val="21"/>
              </w:rPr>
              <w:t>规格、型号</w:t>
            </w:r>
          </w:p>
        </w:tc>
        <w:tc>
          <w:tcPr>
            <w:tcW w:w="1377" w:type="dxa"/>
            <w:vAlign w:val="center"/>
          </w:tcPr>
          <w:p>
            <w:pPr>
              <w:tabs>
                <w:tab w:val="left" w:pos="0"/>
                <w:tab w:val="left" w:pos="540"/>
              </w:tabs>
              <w:spacing w:line="400" w:lineRule="exact"/>
              <w:jc w:val="center"/>
              <w:rPr>
                <w:rFonts w:ascii="宋体" w:hAnsi="宋体"/>
                <w:szCs w:val="21"/>
              </w:rPr>
            </w:pPr>
            <w:r>
              <w:rPr>
                <w:rFonts w:hint="eastAsia" w:ascii="宋体" w:hAnsi="宋体"/>
                <w:szCs w:val="21"/>
              </w:rPr>
              <w:t>厂家、产地</w:t>
            </w:r>
          </w:p>
        </w:tc>
        <w:tc>
          <w:tcPr>
            <w:tcW w:w="780" w:type="dxa"/>
            <w:vAlign w:val="center"/>
          </w:tcPr>
          <w:p>
            <w:pPr>
              <w:tabs>
                <w:tab w:val="left" w:pos="0"/>
                <w:tab w:val="left" w:pos="540"/>
              </w:tabs>
              <w:spacing w:line="400" w:lineRule="exact"/>
              <w:jc w:val="center"/>
              <w:rPr>
                <w:rFonts w:ascii="宋体" w:hAnsi="宋体"/>
                <w:szCs w:val="21"/>
              </w:rPr>
            </w:pPr>
            <w:r>
              <w:rPr>
                <w:rFonts w:hint="eastAsia" w:ascii="宋体" w:hAnsi="宋体"/>
                <w:szCs w:val="21"/>
              </w:rPr>
              <w:t>单位</w:t>
            </w:r>
          </w:p>
        </w:tc>
        <w:tc>
          <w:tcPr>
            <w:tcW w:w="688" w:type="dxa"/>
            <w:vAlign w:val="center"/>
          </w:tcPr>
          <w:p>
            <w:pPr>
              <w:tabs>
                <w:tab w:val="left" w:pos="0"/>
                <w:tab w:val="left" w:pos="540"/>
              </w:tabs>
              <w:spacing w:line="400" w:lineRule="exact"/>
              <w:jc w:val="center"/>
              <w:rPr>
                <w:rFonts w:ascii="宋体" w:hAnsi="宋体"/>
                <w:szCs w:val="21"/>
              </w:rPr>
            </w:pPr>
            <w:r>
              <w:rPr>
                <w:rFonts w:hint="eastAsia" w:ascii="宋体" w:hAnsi="宋体"/>
                <w:szCs w:val="21"/>
              </w:rPr>
              <w:t>数量</w:t>
            </w:r>
          </w:p>
        </w:tc>
        <w:tc>
          <w:tcPr>
            <w:tcW w:w="1285" w:type="dxa"/>
            <w:vAlign w:val="center"/>
          </w:tcPr>
          <w:p>
            <w:pPr>
              <w:tabs>
                <w:tab w:val="left" w:pos="0"/>
                <w:tab w:val="left" w:pos="540"/>
              </w:tabs>
              <w:spacing w:line="400" w:lineRule="exact"/>
              <w:jc w:val="center"/>
              <w:rPr>
                <w:rFonts w:ascii="宋体" w:hAnsi="宋体"/>
                <w:szCs w:val="21"/>
              </w:rPr>
            </w:pPr>
            <w:r>
              <w:rPr>
                <w:rFonts w:hint="eastAsia" w:ascii="宋体" w:hAnsi="宋体"/>
                <w:szCs w:val="21"/>
              </w:rPr>
              <w:t>单价（元）</w:t>
            </w:r>
          </w:p>
        </w:tc>
        <w:tc>
          <w:tcPr>
            <w:tcW w:w="1170" w:type="dxa"/>
            <w:vAlign w:val="center"/>
          </w:tcPr>
          <w:p>
            <w:pPr>
              <w:tabs>
                <w:tab w:val="left" w:pos="0"/>
                <w:tab w:val="left" w:pos="540"/>
              </w:tabs>
              <w:spacing w:line="400" w:lineRule="exact"/>
              <w:jc w:val="center"/>
              <w:rPr>
                <w:rFonts w:ascii="宋体" w:hAnsi="宋体"/>
                <w:szCs w:val="21"/>
              </w:rPr>
            </w:pPr>
            <w:r>
              <w:rPr>
                <w:rFonts w:hint="eastAsia" w:ascii="宋体" w:hAnsi="宋体"/>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792" w:type="dxa"/>
          </w:tcPr>
          <w:p>
            <w:pPr>
              <w:tabs>
                <w:tab w:val="left" w:pos="0"/>
                <w:tab w:val="left" w:pos="540"/>
              </w:tabs>
              <w:spacing w:line="400" w:lineRule="exact"/>
              <w:jc w:val="center"/>
              <w:rPr>
                <w:rFonts w:ascii="宋体" w:hAnsi="宋体"/>
                <w:szCs w:val="21"/>
              </w:rPr>
            </w:pPr>
          </w:p>
        </w:tc>
        <w:tc>
          <w:tcPr>
            <w:tcW w:w="1297" w:type="dxa"/>
          </w:tcPr>
          <w:p>
            <w:pPr>
              <w:tabs>
                <w:tab w:val="left" w:pos="0"/>
                <w:tab w:val="left" w:pos="540"/>
              </w:tabs>
              <w:spacing w:line="400" w:lineRule="exact"/>
              <w:jc w:val="center"/>
              <w:rPr>
                <w:rFonts w:ascii="宋体" w:hAnsi="宋体"/>
                <w:szCs w:val="21"/>
              </w:rPr>
            </w:pPr>
          </w:p>
        </w:tc>
        <w:tc>
          <w:tcPr>
            <w:tcW w:w="1327" w:type="dxa"/>
          </w:tcPr>
          <w:p>
            <w:pPr>
              <w:spacing w:line="400" w:lineRule="exact"/>
              <w:rPr>
                <w:rFonts w:ascii="宋体" w:hAnsi="宋体"/>
                <w:szCs w:val="21"/>
              </w:rPr>
            </w:pPr>
          </w:p>
        </w:tc>
        <w:tc>
          <w:tcPr>
            <w:tcW w:w="1377" w:type="dxa"/>
          </w:tcPr>
          <w:p>
            <w:pPr>
              <w:tabs>
                <w:tab w:val="left" w:pos="0"/>
                <w:tab w:val="left" w:pos="540"/>
              </w:tabs>
              <w:spacing w:line="400" w:lineRule="exact"/>
              <w:jc w:val="center"/>
              <w:rPr>
                <w:rFonts w:ascii="宋体" w:hAnsi="宋体"/>
                <w:szCs w:val="21"/>
              </w:rPr>
            </w:pPr>
          </w:p>
        </w:tc>
        <w:tc>
          <w:tcPr>
            <w:tcW w:w="780" w:type="dxa"/>
          </w:tcPr>
          <w:p>
            <w:pPr>
              <w:tabs>
                <w:tab w:val="left" w:pos="0"/>
                <w:tab w:val="left" w:pos="540"/>
              </w:tabs>
              <w:spacing w:line="400" w:lineRule="exact"/>
              <w:jc w:val="center"/>
              <w:rPr>
                <w:rFonts w:ascii="宋体" w:hAnsi="宋体"/>
                <w:szCs w:val="21"/>
              </w:rPr>
            </w:pPr>
          </w:p>
        </w:tc>
        <w:tc>
          <w:tcPr>
            <w:tcW w:w="688" w:type="dxa"/>
          </w:tcPr>
          <w:p>
            <w:pPr>
              <w:tabs>
                <w:tab w:val="left" w:pos="0"/>
                <w:tab w:val="left" w:pos="540"/>
              </w:tabs>
              <w:spacing w:line="400" w:lineRule="exact"/>
              <w:jc w:val="center"/>
              <w:rPr>
                <w:rFonts w:ascii="宋体" w:hAnsi="宋体"/>
                <w:szCs w:val="21"/>
              </w:rPr>
            </w:pPr>
          </w:p>
        </w:tc>
        <w:tc>
          <w:tcPr>
            <w:tcW w:w="1285" w:type="dxa"/>
          </w:tcPr>
          <w:p>
            <w:pPr>
              <w:tabs>
                <w:tab w:val="left" w:pos="0"/>
                <w:tab w:val="left" w:pos="540"/>
              </w:tabs>
              <w:spacing w:line="400" w:lineRule="exact"/>
              <w:jc w:val="center"/>
              <w:rPr>
                <w:rFonts w:ascii="宋体" w:hAnsi="宋体"/>
                <w:szCs w:val="21"/>
              </w:rPr>
            </w:pPr>
          </w:p>
        </w:tc>
        <w:tc>
          <w:tcPr>
            <w:tcW w:w="1170" w:type="dxa"/>
          </w:tcPr>
          <w:p>
            <w:pPr>
              <w:tabs>
                <w:tab w:val="left" w:pos="0"/>
                <w:tab w:val="left" w:pos="540"/>
              </w:tabs>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716" w:type="dxa"/>
            <w:gridSpan w:val="8"/>
            <w:vAlign w:val="center"/>
          </w:tcPr>
          <w:p>
            <w:pPr>
              <w:tabs>
                <w:tab w:val="left" w:pos="-809"/>
                <w:tab w:val="left" w:pos="540"/>
              </w:tabs>
              <w:spacing w:line="400" w:lineRule="exact"/>
              <w:rPr>
                <w:rFonts w:ascii="宋体" w:hAnsi="宋体"/>
                <w:szCs w:val="21"/>
              </w:rPr>
            </w:pPr>
            <w:r>
              <w:rPr>
                <w:rFonts w:hint="eastAsia" w:ascii="宋体" w:hAnsi="宋体"/>
                <w:szCs w:val="21"/>
              </w:rPr>
              <w:t>合计：总金额，大写（人民币）：</w:t>
            </w:r>
            <w:r>
              <w:rPr>
                <w:rFonts w:hint="eastAsia" w:ascii="宋体" w:hAnsi="宋体"/>
                <w:bCs/>
                <w:szCs w:val="21"/>
                <w:u w:val="single"/>
              </w:rPr>
              <w:t xml:space="preserve">                              </w:t>
            </w:r>
            <w:r>
              <w:rPr>
                <w:rFonts w:hint="eastAsia" w:ascii="宋体" w:hAnsi="宋体"/>
                <w:szCs w:val="21"/>
              </w:rPr>
              <w:t xml:space="preserve">元整                                                                         </w:t>
            </w:r>
          </w:p>
          <w:p>
            <w:pPr>
              <w:tabs>
                <w:tab w:val="left" w:pos="-809"/>
                <w:tab w:val="left" w:pos="540"/>
              </w:tabs>
              <w:spacing w:line="400" w:lineRule="exact"/>
              <w:rPr>
                <w:rFonts w:ascii="宋体" w:hAnsi="宋体"/>
                <w:szCs w:val="21"/>
              </w:rPr>
            </w:pPr>
            <w:r>
              <w:rPr>
                <w:rFonts w:hint="eastAsia" w:ascii="宋体" w:hAnsi="宋体"/>
                <w:szCs w:val="21"/>
              </w:rPr>
              <w:t>（含运输费、保险费、税费、检测试验费、增值税、仓储费、安装费、操作方面的培训费、调试费、保修期内的维修所需的备件费以及上门服务等所有相关费用）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16" w:type="dxa"/>
            <w:gridSpan w:val="8"/>
            <w:vAlign w:val="center"/>
          </w:tcPr>
          <w:p>
            <w:pPr>
              <w:tabs>
                <w:tab w:val="left" w:pos="0"/>
                <w:tab w:val="left" w:pos="540"/>
                <w:tab w:val="left" w:pos="9042"/>
              </w:tabs>
              <w:spacing w:line="400" w:lineRule="exact"/>
              <w:rPr>
                <w:rFonts w:ascii="宋体" w:hAnsi="宋体"/>
                <w:szCs w:val="21"/>
              </w:rPr>
            </w:pPr>
            <w:r>
              <w:rPr>
                <w:rFonts w:hint="eastAsia" w:ascii="宋体" w:hAnsi="宋体"/>
                <w:szCs w:val="21"/>
              </w:rPr>
              <w:t xml:space="preserve">备注： </w:t>
            </w:r>
          </w:p>
        </w:tc>
      </w:tr>
    </w:tbl>
    <w:p>
      <w:pPr>
        <w:spacing w:line="460" w:lineRule="exact"/>
        <w:ind w:firstLine="413" w:firstLineChars="196"/>
        <w:rPr>
          <w:rFonts w:ascii="宋体" w:hAnsi="宋体"/>
          <w:b/>
          <w:szCs w:val="21"/>
        </w:rPr>
      </w:pPr>
    </w:p>
    <w:p>
      <w:pPr>
        <w:adjustRightInd w:val="0"/>
        <w:snapToGrid w:val="0"/>
        <w:spacing w:line="360" w:lineRule="auto"/>
        <w:ind w:firstLine="422" w:firstLineChars="200"/>
        <w:rPr>
          <w:rFonts w:ascii="宋体" w:hAnsi="宋体"/>
          <w:b/>
          <w:szCs w:val="21"/>
        </w:rPr>
      </w:pPr>
      <w:r>
        <w:rPr>
          <w:rFonts w:hint="eastAsia" w:ascii="宋体" w:hAnsi="宋体"/>
          <w:b/>
          <w:szCs w:val="21"/>
        </w:rPr>
        <w:t>3.合同金额</w:t>
      </w:r>
    </w:p>
    <w:p>
      <w:pPr>
        <w:adjustRightInd w:val="0"/>
        <w:snapToGrid w:val="0"/>
        <w:spacing w:line="360" w:lineRule="auto"/>
        <w:ind w:firstLine="420" w:firstLineChars="200"/>
        <w:rPr>
          <w:rFonts w:ascii="宋体" w:hAnsi="宋体"/>
          <w:szCs w:val="21"/>
          <w:u w:val="single"/>
        </w:rPr>
      </w:pPr>
      <w:r>
        <w:rPr>
          <w:rFonts w:hint="eastAsia" w:ascii="宋体" w:hAnsi="宋体"/>
          <w:szCs w:val="21"/>
        </w:rPr>
        <w:t>3.1合同总价：</w:t>
      </w:r>
      <w:r>
        <w:rPr>
          <w:rFonts w:hint="eastAsia" w:ascii="宋体" w:hAnsi="宋体"/>
          <w:szCs w:val="21"/>
          <w:u w:val="single"/>
        </w:rPr>
        <w:t xml:space="preserve">（人民币）大写                （¥        ）。           </w:t>
      </w:r>
    </w:p>
    <w:p>
      <w:pPr>
        <w:adjustRightInd w:val="0"/>
        <w:snapToGrid w:val="0"/>
        <w:spacing w:line="360" w:lineRule="auto"/>
        <w:ind w:firstLine="420" w:firstLineChars="200"/>
        <w:rPr>
          <w:rFonts w:ascii="宋体" w:hAnsi="宋体"/>
          <w:szCs w:val="21"/>
        </w:rPr>
      </w:pPr>
      <w:r>
        <w:rPr>
          <w:rFonts w:hint="eastAsia" w:ascii="宋体" w:hAnsi="宋体"/>
          <w:szCs w:val="21"/>
        </w:rPr>
        <w:t>3.2本合同价为固定总价。</w:t>
      </w:r>
    </w:p>
    <w:p>
      <w:pPr>
        <w:adjustRightInd w:val="0"/>
        <w:snapToGrid w:val="0"/>
        <w:spacing w:line="360" w:lineRule="auto"/>
        <w:ind w:firstLine="422" w:firstLineChars="200"/>
        <w:rPr>
          <w:rFonts w:ascii="宋体" w:hAnsi="宋体"/>
          <w:b/>
          <w:szCs w:val="21"/>
        </w:rPr>
      </w:pPr>
      <w:r>
        <w:rPr>
          <w:rFonts w:hint="eastAsia" w:ascii="宋体" w:hAnsi="宋体"/>
          <w:b/>
          <w:szCs w:val="21"/>
        </w:rPr>
        <w:t xml:space="preserve">4.履行合同的时间、地点及方式 </w:t>
      </w:r>
    </w:p>
    <w:p>
      <w:pPr>
        <w:adjustRightInd w:val="0"/>
        <w:snapToGrid w:val="0"/>
        <w:spacing w:line="360" w:lineRule="auto"/>
        <w:ind w:firstLine="420" w:firstLineChars="200"/>
        <w:rPr>
          <w:rFonts w:ascii="宋体" w:hAnsi="宋体"/>
          <w:szCs w:val="21"/>
          <w:u w:val="single"/>
        </w:rPr>
      </w:pPr>
      <w:r>
        <w:rPr>
          <w:rFonts w:hint="eastAsia" w:ascii="宋体" w:hAnsi="宋体"/>
          <w:szCs w:val="21"/>
          <w:lang w:val="en-US" w:eastAsia="zh-CN"/>
        </w:rPr>
        <w:t>合同内软件、硬件</w:t>
      </w:r>
      <w:r>
        <w:rPr>
          <w:rFonts w:hint="eastAsia" w:ascii="宋体" w:hAnsi="宋体"/>
          <w:szCs w:val="21"/>
        </w:rPr>
        <w:t>交货时间</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u w:val="single"/>
          <w:lang w:val="en-US" w:eastAsia="zh-CN"/>
        </w:rPr>
        <w:t>合同签订后15个工作日内</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交货地点：</w:t>
      </w:r>
      <w:r>
        <w:rPr>
          <w:rFonts w:hint="eastAsia" w:ascii="宋体" w:hAnsi="宋体"/>
          <w:szCs w:val="21"/>
          <w:u w:val="single"/>
        </w:rPr>
        <w:t xml:space="preserve">   </w:t>
      </w:r>
      <w:r>
        <w:rPr>
          <w:rFonts w:hint="eastAsia" w:ascii="宋体" w:hAnsi="宋体"/>
          <w:szCs w:val="21"/>
          <w:u w:val="single"/>
          <w:lang w:val="en-US" w:eastAsia="zh-CN"/>
        </w:rPr>
        <w:t>甲方指定</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交货方式：</w:t>
      </w:r>
      <w:r>
        <w:rPr>
          <w:rFonts w:hint="eastAsia" w:ascii="宋体" w:hAnsi="宋体"/>
          <w:szCs w:val="21"/>
          <w:u w:val="single"/>
        </w:rPr>
        <w:t xml:space="preserve">    </w:t>
      </w:r>
      <w:r>
        <w:rPr>
          <w:rFonts w:hint="eastAsia" w:ascii="宋体" w:hAnsi="宋体"/>
          <w:szCs w:val="21"/>
          <w:u w:val="single"/>
          <w:lang w:val="en-US" w:eastAsia="zh-CN"/>
        </w:rPr>
        <w:t>甲方指定</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lang w:val="en-US" w:eastAsia="zh-CN"/>
        </w:rPr>
        <w:t>合同履约期</w:t>
      </w:r>
      <w:r>
        <w:rPr>
          <w:rFonts w:hint="eastAsia" w:ascii="宋体" w:hAnsi="宋体"/>
          <w:szCs w:val="21"/>
        </w:rPr>
        <w:t xml:space="preserve"> </w:t>
      </w:r>
      <w:r>
        <w:rPr>
          <w:rFonts w:hint="eastAsia" w:ascii="宋体" w:hAnsi="宋体"/>
          <w:szCs w:val="21"/>
          <w:lang w:eastAsia="zh-CN"/>
        </w:rPr>
        <w:t>：</w:t>
      </w:r>
      <w:r>
        <w:rPr>
          <w:rFonts w:hint="eastAsia" w:ascii="宋体" w:hAnsi="宋体"/>
          <w:szCs w:val="21"/>
          <w:highlight w:val="none"/>
          <w:u w:val="single"/>
          <w:lang w:val="en-US" w:eastAsia="zh-CN"/>
        </w:rPr>
        <w:t>软件符合需求功能验收合格后一年。</w:t>
      </w:r>
      <w:r>
        <w:rPr>
          <w:rFonts w:hint="eastAsia" w:ascii="宋体" w:hAnsi="宋体"/>
          <w:szCs w:val="21"/>
        </w:rPr>
        <w:t xml:space="preserve">         </w:t>
      </w:r>
    </w:p>
    <w:p>
      <w:pPr>
        <w:adjustRightInd w:val="0"/>
        <w:snapToGrid w:val="0"/>
        <w:spacing w:line="360" w:lineRule="auto"/>
        <w:ind w:firstLine="422" w:firstLineChars="200"/>
        <w:rPr>
          <w:rFonts w:ascii="宋体" w:hAnsi="宋体"/>
          <w:b/>
          <w:szCs w:val="21"/>
        </w:rPr>
      </w:pPr>
      <w:r>
        <w:rPr>
          <w:rFonts w:hint="eastAsia" w:ascii="宋体" w:hAnsi="宋体"/>
          <w:b/>
          <w:szCs w:val="21"/>
        </w:rPr>
        <w:t>5.付款方式：</w:t>
      </w:r>
    </w:p>
    <w:p>
      <w:pPr>
        <w:adjustRightInd w:val="0"/>
        <w:snapToGrid w:val="0"/>
        <w:spacing w:line="400" w:lineRule="exact"/>
        <w:rPr>
          <w:rFonts w:ascii="宋体" w:hAnsi="宋体"/>
          <w:szCs w:val="21"/>
          <w:highlight w:val="red"/>
        </w:rPr>
      </w:pPr>
      <w:r>
        <w:rPr>
          <w:rFonts w:hint="eastAsia" w:ascii="宋体" w:hAnsi="宋体"/>
          <w:szCs w:val="21"/>
          <w:highlight w:val="none"/>
          <w:u w:val="single"/>
        </w:rPr>
        <w:t>合同签订后后7日内支付合同价款的</w:t>
      </w:r>
      <w:r>
        <w:rPr>
          <w:rFonts w:hint="eastAsia" w:ascii="宋体" w:hAnsi="宋体"/>
          <w:szCs w:val="21"/>
          <w:highlight w:val="none"/>
          <w:u w:val="single"/>
          <w:lang w:val="en-US" w:eastAsia="zh-CN"/>
        </w:rPr>
        <w:t>40</w:t>
      </w:r>
      <w:r>
        <w:rPr>
          <w:rFonts w:hint="eastAsia" w:ascii="宋体" w:hAnsi="宋体"/>
          <w:szCs w:val="21"/>
          <w:highlight w:val="none"/>
          <w:u w:val="single"/>
        </w:rPr>
        <w:t>%，货物运送到甲方指定地点安装调试完毕经甲方验收后支付合同价款的</w:t>
      </w:r>
      <w:r>
        <w:rPr>
          <w:rFonts w:hint="eastAsia" w:ascii="宋体" w:hAnsi="宋体"/>
          <w:szCs w:val="21"/>
          <w:highlight w:val="none"/>
          <w:u w:val="single"/>
          <w:lang w:val="en-US" w:eastAsia="zh-CN"/>
        </w:rPr>
        <w:t>3</w:t>
      </w:r>
      <w:r>
        <w:rPr>
          <w:rFonts w:hint="eastAsia" w:ascii="宋体" w:hAnsi="宋体"/>
          <w:szCs w:val="21"/>
          <w:highlight w:val="none"/>
          <w:u w:val="single"/>
        </w:rPr>
        <w:t>0%</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软件符合需求功能验收合格支付合同价款30%</w:t>
      </w:r>
      <w:r>
        <w:rPr>
          <w:rFonts w:hint="eastAsia" w:ascii="宋体" w:hAnsi="宋体"/>
          <w:szCs w:val="21"/>
          <w:highlight w:val="none"/>
          <w:u w:val="single"/>
        </w:rPr>
        <w:t>。</w:t>
      </w:r>
    </w:p>
    <w:p>
      <w:pPr>
        <w:adjustRightInd w:val="0"/>
        <w:snapToGrid w:val="0"/>
        <w:spacing w:line="360" w:lineRule="auto"/>
        <w:ind w:firstLine="422" w:firstLineChars="200"/>
        <w:rPr>
          <w:rFonts w:ascii="宋体" w:hAnsi="宋体"/>
          <w:b/>
          <w:szCs w:val="21"/>
        </w:rPr>
      </w:pPr>
      <w:r>
        <w:rPr>
          <w:rFonts w:hint="eastAsia" w:ascii="宋体" w:hAnsi="宋体"/>
          <w:b/>
          <w:szCs w:val="21"/>
        </w:rPr>
        <w:t>6.解决合同纠纷方式</w:t>
      </w:r>
    </w:p>
    <w:p>
      <w:pPr>
        <w:adjustRightInd w:val="0"/>
        <w:snapToGrid w:val="0"/>
        <w:spacing w:line="360" w:lineRule="auto"/>
        <w:ind w:firstLine="420" w:firstLineChars="200"/>
        <w:rPr>
          <w:rFonts w:ascii="宋体" w:hAnsi="宋体"/>
          <w:szCs w:val="21"/>
        </w:rPr>
      </w:pPr>
      <w:r>
        <w:rPr>
          <w:rFonts w:hint="eastAsia" w:ascii="宋体" w:hAnsi="宋体"/>
          <w:szCs w:val="21"/>
        </w:rPr>
        <w:t>首先通过双方协商解决，协商解决不成，则通过以下途径之一解决纠纷：</w:t>
      </w:r>
    </w:p>
    <w:p>
      <w:pPr>
        <w:adjustRightInd w:val="0"/>
        <w:snapToGrid w:val="0"/>
        <w:spacing w:line="360" w:lineRule="auto"/>
        <w:ind w:firstLine="840" w:firstLineChars="400"/>
        <w:rPr>
          <w:rFonts w:ascii="宋体" w:hAnsi="宋体"/>
          <w:szCs w:val="21"/>
        </w:rPr>
      </w:pPr>
      <w:r>
        <w:rPr>
          <w:rFonts w:hint="eastAsia" w:ascii="宋体" w:hAnsi="宋体"/>
          <w:szCs w:val="21"/>
        </w:rPr>
        <w:t xml:space="preserve">□ 提请仲裁       </w:t>
      </w:r>
      <w:r>
        <w:rPr>
          <w:rFonts w:hint="eastAsia" w:ascii="宋体" w:hAnsi="宋体"/>
          <w:szCs w:val="21"/>
          <w:lang w:eastAsia="zh-CN"/>
        </w:rPr>
        <w:t>☑</w:t>
      </w:r>
      <w:r>
        <w:rPr>
          <w:rFonts w:hint="eastAsia" w:ascii="宋体" w:hAnsi="宋体"/>
          <w:szCs w:val="21"/>
        </w:rPr>
        <w:t xml:space="preserve"> 向人民法院提起诉讼</w:t>
      </w:r>
    </w:p>
    <w:p>
      <w:pPr>
        <w:adjustRightInd w:val="0"/>
        <w:snapToGrid w:val="0"/>
        <w:spacing w:line="360" w:lineRule="auto"/>
        <w:ind w:firstLine="422" w:firstLineChars="200"/>
        <w:rPr>
          <w:rFonts w:ascii="宋体" w:hAnsi="宋体"/>
          <w:b/>
          <w:szCs w:val="21"/>
        </w:rPr>
      </w:pPr>
      <w:r>
        <w:rPr>
          <w:rFonts w:hint="eastAsia" w:ascii="宋体" w:hAnsi="宋体"/>
          <w:b/>
          <w:szCs w:val="21"/>
        </w:rPr>
        <w:t>7.组成合同的文件</w:t>
      </w:r>
    </w:p>
    <w:p>
      <w:pPr>
        <w:adjustRightInd w:val="0"/>
        <w:snapToGrid w:val="0"/>
        <w:spacing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ascii="宋体" w:hAnsi="宋体"/>
          <w:szCs w:val="21"/>
        </w:rPr>
      </w:pPr>
      <w:r>
        <w:rPr>
          <w:rFonts w:hint="eastAsia" w:ascii="宋体" w:hAnsi="宋体"/>
          <w:szCs w:val="21"/>
        </w:rPr>
        <w:t>（1）在采购或合同履行过程中乙方作出的承诺以及双方协商达成的变更或补充协议</w:t>
      </w:r>
    </w:p>
    <w:p>
      <w:pPr>
        <w:adjustRightInd w:val="0"/>
        <w:snapToGrid w:val="0"/>
        <w:spacing w:line="360" w:lineRule="auto"/>
        <w:ind w:firstLine="420" w:firstLineChars="200"/>
        <w:rPr>
          <w:rFonts w:ascii="宋体" w:hAnsi="宋体"/>
          <w:szCs w:val="21"/>
        </w:rPr>
      </w:pPr>
      <w:r>
        <w:rPr>
          <w:rFonts w:hint="eastAsia" w:ascii="宋体" w:hAnsi="宋体"/>
          <w:szCs w:val="21"/>
        </w:rPr>
        <w:t>（2）成交通知书</w:t>
      </w:r>
    </w:p>
    <w:p>
      <w:pPr>
        <w:adjustRightInd w:val="0"/>
        <w:snapToGrid w:val="0"/>
        <w:spacing w:line="360" w:lineRule="auto"/>
        <w:ind w:firstLine="420" w:firstLineChars="200"/>
        <w:rPr>
          <w:rFonts w:ascii="宋体" w:hAnsi="宋体"/>
          <w:szCs w:val="21"/>
        </w:rPr>
      </w:pPr>
      <w:r>
        <w:rPr>
          <w:rFonts w:hint="eastAsia" w:ascii="宋体" w:hAnsi="宋体"/>
          <w:szCs w:val="21"/>
        </w:rPr>
        <w:t>（3）响应文件</w:t>
      </w:r>
    </w:p>
    <w:p>
      <w:pPr>
        <w:adjustRightInd w:val="0"/>
        <w:snapToGrid w:val="0"/>
        <w:spacing w:line="360" w:lineRule="auto"/>
        <w:ind w:firstLine="420" w:firstLineChars="200"/>
        <w:rPr>
          <w:rFonts w:ascii="宋体" w:hAnsi="宋体"/>
          <w:szCs w:val="21"/>
        </w:rPr>
      </w:pPr>
      <w:r>
        <w:rPr>
          <w:rFonts w:hint="eastAsia" w:ascii="宋体" w:hAnsi="宋体"/>
          <w:szCs w:val="21"/>
        </w:rPr>
        <w:t>（4）政府采购合同格式条款及其附件</w:t>
      </w:r>
    </w:p>
    <w:p>
      <w:pPr>
        <w:adjustRightInd w:val="0"/>
        <w:snapToGrid w:val="0"/>
        <w:spacing w:line="360" w:lineRule="auto"/>
        <w:ind w:firstLine="420" w:firstLineChars="200"/>
        <w:rPr>
          <w:rFonts w:ascii="宋体" w:hAnsi="宋体"/>
          <w:szCs w:val="21"/>
        </w:rPr>
      </w:pPr>
      <w:r>
        <w:rPr>
          <w:rFonts w:hint="eastAsia" w:ascii="宋体" w:hAnsi="宋体"/>
          <w:szCs w:val="21"/>
        </w:rPr>
        <w:t>（5）专用合同条款</w:t>
      </w:r>
    </w:p>
    <w:p>
      <w:pPr>
        <w:adjustRightInd w:val="0"/>
        <w:snapToGrid w:val="0"/>
        <w:spacing w:line="360" w:lineRule="auto"/>
        <w:ind w:firstLine="420" w:firstLineChars="200"/>
        <w:rPr>
          <w:rFonts w:ascii="宋体" w:hAnsi="宋体"/>
          <w:szCs w:val="21"/>
        </w:rPr>
      </w:pPr>
      <w:r>
        <w:rPr>
          <w:rFonts w:hint="eastAsia" w:ascii="宋体" w:hAnsi="宋体"/>
          <w:szCs w:val="21"/>
        </w:rPr>
        <w:t>（6）通用合同条款（如果有）</w:t>
      </w:r>
    </w:p>
    <w:p>
      <w:pPr>
        <w:adjustRightInd w:val="0"/>
        <w:snapToGrid w:val="0"/>
        <w:spacing w:line="360" w:lineRule="auto"/>
        <w:ind w:firstLine="420" w:firstLineChars="200"/>
        <w:rPr>
          <w:rFonts w:ascii="宋体" w:hAnsi="宋体"/>
          <w:szCs w:val="21"/>
        </w:rPr>
      </w:pPr>
      <w:r>
        <w:rPr>
          <w:rFonts w:hint="eastAsia" w:ascii="宋体" w:hAnsi="宋体"/>
          <w:szCs w:val="21"/>
        </w:rPr>
        <w:t>（7）标准、规范及有关技术文件，图纸。</w:t>
      </w:r>
    </w:p>
    <w:p>
      <w:pPr>
        <w:adjustRightInd w:val="0"/>
        <w:snapToGrid w:val="0"/>
        <w:spacing w:line="360" w:lineRule="auto"/>
        <w:ind w:firstLine="420" w:firstLineChars="200"/>
        <w:rPr>
          <w:rFonts w:ascii="宋体" w:hAnsi="宋体"/>
          <w:szCs w:val="21"/>
        </w:rPr>
      </w:pPr>
      <w:r>
        <w:rPr>
          <w:rFonts w:hint="eastAsia" w:ascii="宋体" w:hAnsi="宋体"/>
          <w:szCs w:val="21"/>
        </w:rPr>
        <w:t>（8）其他合同文件。</w:t>
      </w:r>
    </w:p>
    <w:p>
      <w:pPr>
        <w:adjustRightInd w:val="0"/>
        <w:snapToGrid w:val="0"/>
        <w:spacing w:line="360" w:lineRule="auto"/>
        <w:ind w:firstLine="310" w:firstLineChars="147"/>
        <w:rPr>
          <w:rFonts w:ascii="宋体" w:hAnsi="宋体"/>
          <w:b/>
          <w:szCs w:val="21"/>
        </w:rPr>
      </w:pPr>
      <w:r>
        <w:rPr>
          <w:rFonts w:hint="eastAsia" w:ascii="宋体" w:hAnsi="宋体"/>
          <w:b/>
          <w:szCs w:val="21"/>
        </w:rPr>
        <w:t>8.合同生效</w:t>
      </w:r>
    </w:p>
    <w:p>
      <w:pPr>
        <w:adjustRightInd w:val="0"/>
        <w:snapToGrid w:val="0"/>
        <w:spacing w:line="360" w:lineRule="auto"/>
        <w:ind w:firstLine="420" w:firstLineChars="200"/>
        <w:rPr>
          <w:rFonts w:ascii="宋体" w:hAnsi="宋体"/>
          <w:szCs w:val="21"/>
        </w:rPr>
      </w:pPr>
      <w:r>
        <w:rPr>
          <w:rFonts w:hint="eastAsia" w:ascii="宋体" w:hAnsi="宋体"/>
          <w:szCs w:val="21"/>
        </w:rPr>
        <w:t>本合同自</w:t>
      </w:r>
      <w:r>
        <w:rPr>
          <w:rFonts w:hint="eastAsia" w:ascii="宋体" w:hAnsi="宋体"/>
          <w:szCs w:val="21"/>
          <w:lang w:val="en-US" w:eastAsia="zh-CN"/>
        </w:rPr>
        <w:t>合</w:t>
      </w:r>
      <w:r>
        <w:rPr>
          <w:rFonts w:hint="eastAsia" w:ascii="宋体" w:hAnsi="宋体"/>
          <w:szCs w:val="21"/>
          <w:u w:val="single"/>
          <w:lang w:val="en-US" w:eastAsia="zh-CN"/>
        </w:rPr>
        <w:t>同签订之日起</w:t>
      </w:r>
      <w:r>
        <w:rPr>
          <w:rFonts w:hint="eastAsia" w:ascii="宋体" w:hAnsi="宋体"/>
          <w:szCs w:val="21"/>
          <w:u w:val="single"/>
        </w:rPr>
        <w:t xml:space="preserve"> </w:t>
      </w:r>
      <w:r>
        <w:rPr>
          <w:rFonts w:hint="eastAsia" w:ascii="宋体" w:hAnsi="宋体"/>
          <w:szCs w:val="21"/>
        </w:rPr>
        <w:t>生效。</w:t>
      </w:r>
    </w:p>
    <w:p>
      <w:pPr>
        <w:adjustRightInd w:val="0"/>
        <w:snapToGrid w:val="0"/>
        <w:spacing w:line="360" w:lineRule="auto"/>
        <w:ind w:firstLine="310" w:firstLineChars="147"/>
        <w:rPr>
          <w:rFonts w:ascii="宋体" w:hAnsi="宋体"/>
          <w:b/>
          <w:szCs w:val="21"/>
        </w:rPr>
      </w:pPr>
      <w:r>
        <w:rPr>
          <w:rFonts w:hint="eastAsia" w:ascii="宋体" w:hAnsi="宋体"/>
          <w:b/>
          <w:szCs w:val="21"/>
        </w:rPr>
        <w:t>9.合同份数</w:t>
      </w:r>
    </w:p>
    <w:p>
      <w:pPr>
        <w:adjustRightInd w:val="0"/>
        <w:snapToGrid w:val="0"/>
        <w:spacing w:line="360"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u w:val="single"/>
          <w:lang w:val="en-US" w:eastAsia="zh-CN"/>
        </w:rPr>
        <w:t>六</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甲      方：（公章）                     乙      方：（公章）            </w:t>
      </w:r>
    </w:p>
    <w:p>
      <w:pPr>
        <w:adjustRightInd w:val="0"/>
        <w:snapToGrid w:val="0"/>
        <w:spacing w:line="360" w:lineRule="auto"/>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                                    开 户 银 行：</w:t>
      </w:r>
      <w:r>
        <w:rPr>
          <w:rFonts w:hint="eastAsia" w:ascii="宋体" w:hAnsi="宋体"/>
          <w:szCs w:val="21"/>
          <w:u w:val="single"/>
        </w:rPr>
        <w:t xml:space="preserve">                   </w:t>
      </w:r>
    </w:p>
    <w:p>
      <w:pPr>
        <w:snapToGrid w:val="0"/>
        <w:spacing w:line="360" w:lineRule="auto"/>
        <w:jc w:val="center"/>
        <w:rPr>
          <w:rFonts w:ascii="宋体" w:hAnsi="宋体"/>
          <w:b/>
          <w:szCs w:val="21"/>
        </w:rPr>
      </w:pPr>
      <w:r>
        <w:rPr>
          <w:rFonts w:hint="eastAsia" w:ascii="宋体" w:hAnsi="宋体"/>
          <w:szCs w:val="21"/>
        </w:rPr>
        <w:t xml:space="preserve">              帐       号：</w:t>
      </w:r>
      <w:r>
        <w:rPr>
          <w:rFonts w:hint="eastAsia" w:ascii="宋体" w:hAnsi="宋体"/>
          <w:szCs w:val="21"/>
          <w:u w:val="single"/>
        </w:rPr>
        <w:t xml:space="preserve">                 </w:t>
      </w:r>
    </w:p>
    <w:p>
      <w:pPr>
        <w:snapToGrid w:val="0"/>
        <w:spacing w:line="360" w:lineRule="auto"/>
        <w:jc w:val="center"/>
        <w:rPr>
          <w:rFonts w:ascii="宋体" w:hAnsi="宋体"/>
          <w:b/>
          <w:szCs w:val="21"/>
        </w:rPr>
      </w:pPr>
    </w:p>
    <w:p>
      <w:pPr>
        <w:pStyle w:val="2"/>
        <w:rPr>
          <w:rFonts w:ascii="宋体" w:hAnsi="宋体"/>
          <w:b w:val="0"/>
          <w:szCs w:val="28"/>
        </w:rPr>
      </w:pPr>
      <w:r>
        <w:rPr>
          <w:rFonts w:hint="eastAsia"/>
          <w:b/>
          <w:bCs/>
          <w:lang w:val="en-US" w:eastAsia="zh-CN"/>
        </w:rPr>
        <w:t>以最终签订的合同为准。</w:t>
      </w:r>
      <w:r>
        <w:rPr>
          <w:rFonts w:ascii="宋体" w:hAnsi="宋体"/>
          <w:b/>
          <w:szCs w:val="21"/>
        </w:rPr>
        <w:br w:type="page"/>
      </w:r>
    </w:p>
    <w:p/>
    <w:p/>
    <w:p>
      <w:pPr>
        <w:pStyle w:val="2"/>
        <w:rPr>
          <w:rFonts w:hint="eastAsia" w:ascii="宋体" w:hAnsi="宋体" w:eastAsia="宋体" w:cs="Times New Roman"/>
          <w:b/>
          <w:bCs/>
          <w:kern w:val="2"/>
          <w:sz w:val="28"/>
          <w:szCs w:val="20"/>
          <w:lang w:val="en-US" w:eastAsia="zh-CN" w:bidi="ar-SA"/>
        </w:rPr>
      </w:pPr>
      <w:bookmarkStart w:id="67" w:name="_Toc474770917"/>
      <w:bookmarkStart w:id="68" w:name="_Toc420948021"/>
      <w:bookmarkStart w:id="69" w:name="_Toc433113177"/>
      <w:bookmarkStart w:id="70" w:name="_Hlk152233998"/>
      <w:r>
        <w:rPr>
          <w:rFonts w:hint="eastAsia" w:ascii="宋体" w:hAnsi="宋体" w:eastAsia="宋体" w:cs="Times New Roman"/>
          <w:b/>
          <w:bCs/>
          <w:kern w:val="2"/>
          <w:sz w:val="28"/>
          <w:szCs w:val="20"/>
          <w:lang w:val="en-US" w:eastAsia="zh-CN" w:bidi="ar-SA"/>
        </w:rPr>
        <w:t>第四章  采购需求</w:t>
      </w:r>
      <w:bookmarkEnd w:id="67"/>
      <w:bookmarkEnd w:id="68"/>
      <w:bookmarkEnd w:id="69"/>
    </w:p>
    <w:p>
      <w:pPr>
        <w:adjustRightInd w:val="0"/>
        <w:snapToGrid w:val="0"/>
        <w:spacing w:line="360" w:lineRule="auto"/>
        <w:ind w:firstLine="480"/>
        <w:rPr>
          <w:rFonts w:ascii="宋体" w:hAnsi="宋体"/>
          <w:b/>
        </w:rPr>
      </w:pPr>
    </w:p>
    <w:p>
      <w:pPr>
        <w:ind w:firstLine="600" w:firstLineChars="200"/>
        <w:rPr>
          <w:rFonts w:hint="eastAsia"/>
          <w:sz w:val="30"/>
          <w:szCs w:val="30"/>
          <w:lang w:val="en-US" w:eastAsia="zh-CN"/>
        </w:rPr>
      </w:pPr>
      <w:r>
        <w:rPr>
          <w:rFonts w:hint="eastAsia"/>
          <w:sz w:val="30"/>
          <w:szCs w:val="30"/>
          <w:lang w:val="en-US" w:eastAsia="zh-CN"/>
        </w:rPr>
        <w:t>一、</w:t>
      </w:r>
      <w:r>
        <w:rPr>
          <w:rFonts w:hint="eastAsia"/>
          <w:sz w:val="30"/>
          <w:szCs w:val="30"/>
        </w:rPr>
        <w:t>资产管理</w:t>
      </w:r>
      <w:r>
        <w:rPr>
          <w:rFonts w:hint="eastAsia"/>
          <w:sz w:val="30"/>
          <w:szCs w:val="30"/>
          <w:lang w:val="en-US" w:eastAsia="zh-CN"/>
        </w:rPr>
        <w:t>软件（</w:t>
      </w:r>
      <w:r>
        <w:rPr>
          <w:rFonts w:hint="eastAsia"/>
          <w:sz w:val="30"/>
          <w:szCs w:val="30"/>
        </w:rPr>
        <w:t>实现资产卡片管理、使用管理、变动管理、资产台账</w:t>
      </w:r>
      <w:r>
        <w:rPr>
          <w:rFonts w:hint="eastAsia"/>
          <w:sz w:val="30"/>
          <w:szCs w:val="30"/>
          <w:lang w:eastAsia="zh-CN"/>
        </w:rPr>
        <w:t>、</w:t>
      </w:r>
      <w:r>
        <w:rPr>
          <w:rFonts w:hint="eastAsia"/>
          <w:sz w:val="30"/>
          <w:szCs w:val="30"/>
          <w:lang w:val="en-US" w:eastAsia="zh-CN"/>
        </w:rPr>
        <w:t>图片库</w:t>
      </w:r>
      <w:r>
        <w:rPr>
          <w:rFonts w:hint="eastAsia"/>
          <w:sz w:val="30"/>
          <w:szCs w:val="30"/>
        </w:rPr>
        <w:t>等功能</w:t>
      </w:r>
      <w:r>
        <w:rPr>
          <w:rFonts w:hint="eastAsia"/>
          <w:sz w:val="30"/>
          <w:szCs w:val="30"/>
          <w:lang w:eastAsia="zh-CN"/>
        </w:rPr>
        <w:t>）；</w:t>
      </w:r>
      <w:r>
        <w:rPr>
          <w:rFonts w:hint="eastAsia"/>
          <w:sz w:val="30"/>
          <w:szCs w:val="30"/>
          <w:lang w:val="en-US" w:eastAsia="zh-CN"/>
        </w:rPr>
        <w:t>配套中间件及硬件设备。卡片模板内容符合</w:t>
      </w:r>
      <w:r>
        <w:rPr>
          <w:rFonts w:hint="eastAsia"/>
          <w:sz w:val="30"/>
          <w:szCs w:val="30"/>
        </w:rPr>
        <w:t>自治区机关事务管理平台资产管理系统</w:t>
      </w:r>
      <w:r>
        <w:rPr>
          <w:rFonts w:hint="eastAsia"/>
          <w:sz w:val="30"/>
          <w:szCs w:val="30"/>
          <w:lang w:val="en-US" w:eastAsia="zh-CN"/>
        </w:rPr>
        <w:t>和自治区财政厅资产系统导入导出模板内容。</w:t>
      </w:r>
    </w:p>
    <w:p>
      <w:pPr>
        <w:ind w:firstLine="600" w:firstLineChars="200"/>
        <w:rPr>
          <w:rFonts w:hint="eastAsia"/>
          <w:sz w:val="30"/>
          <w:szCs w:val="30"/>
          <w:lang w:val="en-US" w:eastAsia="zh-CN"/>
        </w:rPr>
      </w:pPr>
      <w:r>
        <w:rPr>
          <w:rFonts w:hint="eastAsia"/>
          <w:sz w:val="30"/>
          <w:szCs w:val="30"/>
          <w:lang w:val="en-US" w:eastAsia="zh-CN"/>
        </w:rPr>
        <w:t>二、智能盘点设备（含软件）及约2万个</w:t>
      </w:r>
      <w:r>
        <w:rPr>
          <w:rFonts w:hint="eastAsia"/>
          <w:sz w:val="30"/>
          <w:szCs w:val="30"/>
        </w:rPr>
        <w:t>RFID芯片</w:t>
      </w:r>
      <w:r>
        <w:rPr>
          <w:rFonts w:hint="eastAsia"/>
          <w:sz w:val="30"/>
          <w:szCs w:val="30"/>
          <w:lang w:val="en-US" w:eastAsia="zh-CN"/>
        </w:rPr>
        <w:t>固定资产标签。</w:t>
      </w:r>
    </w:p>
    <w:p>
      <w:pPr>
        <w:ind w:firstLine="420"/>
        <w:rPr>
          <w:rFonts w:hint="eastAsia"/>
          <w:sz w:val="30"/>
          <w:szCs w:val="30"/>
          <w:lang w:val="en-US" w:eastAsia="zh-CN"/>
        </w:rPr>
      </w:pPr>
      <w:r>
        <w:rPr>
          <w:rFonts w:hint="eastAsia"/>
          <w:sz w:val="30"/>
          <w:szCs w:val="30"/>
          <w:lang w:val="en-US" w:eastAsia="zh-CN"/>
        </w:rPr>
        <w:t>产品配置清单</w:t>
      </w:r>
    </w:p>
    <w:tbl>
      <w:tblPr>
        <w:tblStyle w:val="44"/>
        <w:tblW w:w="8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3330"/>
        <w:gridCol w:w="168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38" w:type="dxa"/>
            <w:noWrap w:val="0"/>
            <w:vAlign w:val="center"/>
          </w:tcPr>
          <w:p>
            <w:pPr>
              <w:spacing w:line="360" w:lineRule="auto"/>
              <w:jc w:val="center"/>
              <w:rPr>
                <w:rFonts w:ascii="宋体" w:hAnsi="宋体" w:cs="仿宋_GB2312"/>
                <w:color w:val="000000"/>
                <w:sz w:val="24"/>
                <w:szCs w:val="24"/>
              </w:rPr>
            </w:pPr>
            <w:r>
              <w:rPr>
                <w:rFonts w:hint="eastAsia" w:ascii="宋体" w:hAnsi="宋体" w:cs="仿宋_GB2312"/>
                <w:color w:val="000000"/>
                <w:sz w:val="24"/>
                <w:szCs w:val="24"/>
              </w:rPr>
              <w:t>序号</w:t>
            </w:r>
          </w:p>
        </w:tc>
        <w:tc>
          <w:tcPr>
            <w:tcW w:w="3330" w:type="dxa"/>
            <w:noWrap w:val="0"/>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名称</w:t>
            </w:r>
          </w:p>
        </w:tc>
        <w:tc>
          <w:tcPr>
            <w:tcW w:w="1680" w:type="dxa"/>
            <w:noWrap w:val="0"/>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单位</w:t>
            </w:r>
          </w:p>
        </w:tc>
        <w:tc>
          <w:tcPr>
            <w:tcW w:w="1575" w:type="dxa"/>
            <w:noWrap w:val="0"/>
            <w:vAlign w:val="center"/>
          </w:tcPr>
          <w:p>
            <w:pPr>
              <w:spacing w:line="360" w:lineRule="auto"/>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38" w:type="dxa"/>
            <w:noWrap w:val="0"/>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1</w:t>
            </w:r>
          </w:p>
        </w:tc>
        <w:tc>
          <w:tcPr>
            <w:tcW w:w="3330" w:type="dxa"/>
            <w:noWrap w:val="0"/>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资产管理系统</w:t>
            </w:r>
          </w:p>
        </w:tc>
        <w:tc>
          <w:tcPr>
            <w:tcW w:w="1680" w:type="dxa"/>
            <w:noWrap/>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套</w:t>
            </w:r>
          </w:p>
        </w:tc>
        <w:tc>
          <w:tcPr>
            <w:tcW w:w="1575" w:type="dxa"/>
            <w:noWrap/>
            <w:vAlign w:val="center"/>
          </w:tcPr>
          <w:p>
            <w:pPr>
              <w:spacing w:line="360" w:lineRule="auto"/>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8" w:type="dxa"/>
            <w:noWrap w:val="0"/>
            <w:vAlign w:val="center"/>
          </w:tcPr>
          <w:p>
            <w:pPr>
              <w:spacing w:line="360" w:lineRule="auto"/>
              <w:jc w:val="center"/>
              <w:rPr>
                <w:rFonts w:hint="eastAsia" w:ascii="宋体" w:hAnsi="宋体" w:eastAsia="宋体" w:cs="仿宋_GB2312"/>
                <w:color w:val="000000"/>
                <w:sz w:val="24"/>
                <w:szCs w:val="24"/>
                <w:lang w:eastAsia="zh-CN"/>
              </w:rPr>
            </w:pPr>
            <w:r>
              <w:rPr>
                <w:rFonts w:hint="eastAsia" w:ascii="宋体" w:hAnsi="宋体" w:cs="仿宋_GB2312"/>
                <w:color w:val="000000"/>
                <w:sz w:val="24"/>
                <w:szCs w:val="24"/>
                <w:lang w:val="en-US" w:eastAsia="zh-CN"/>
              </w:rPr>
              <w:t>2</w:t>
            </w:r>
          </w:p>
        </w:tc>
        <w:tc>
          <w:tcPr>
            <w:tcW w:w="3330" w:type="dxa"/>
            <w:noWrap w:val="0"/>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RFID条码打印机</w:t>
            </w:r>
          </w:p>
        </w:tc>
        <w:tc>
          <w:tcPr>
            <w:tcW w:w="1680" w:type="dxa"/>
            <w:noWrap/>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台</w:t>
            </w:r>
          </w:p>
        </w:tc>
        <w:tc>
          <w:tcPr>
            <w:tcW w:w="1575" w:type="dxa"/>
            <w:noWrap/>
            <w:vAlign w:val="center"/>
          </w:tcPr>
          <w:p>
            <w:pPr>
              <w:spacing w:line="360" w:lineRule="auto"/>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38" w:type="dxa"/>
            <w:noWrap w:val="0"/>
            <w:vAlign w:val="center"/>
          </w:tcPr>
          <w:p>
            <w:pPr>
              <w:spacing w:line="360" w:lineRule="auto"/>
              <w:jc w:val="center"/>
              <w:rPr>
                <w:rFonts w:hint="eastAsia" w:ascii="宋体" w:hAnsi="宋体" w:eastAsia="宋体" w:cs="仿宋_GB2312"/>
                <w:color w:val="000000"/>
                <w:sz w:val="24"/>
                <w:szCs w:val="24"/>
                <w:lang w:val="en-US" w:eastAsia="zh-CN"/>
              </w:rPr>
            </w:pPr>
            <w:r>
              <w:rPr>
                <w:rFonts w:hint="eastAsia" w:ascii="宋体" w:hAnsi="宋体" w:cs="仿宋_GB2312"/>
                <w:color w:val="000000"/>
                <w:sz w:val="24"/>
                <w:szCs w:val="24"/>
                <w:lang w:val="en-US" w:eastAsia="zh-CN"/>
              </w:rPr>
              <w:t>3</w:t>
            </w:r>
          </w:p>
        </w:tc>
        <w:tc>
          <w:tcPr>
            <w:tcW w:w="3330" w:type="dxa"/>
            <w:noWrap w:val="0"/>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超高频RFID手持终端</w:t>
            </w:r>
          </w:p>
        </w:tc>
        <w:tc>
          <w:tcPr>
            <w:tcW w:w="1680" w:type="dxa"/>
            <w:noWrap/>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台</w:t>
            </w:r>
          </w:p>
        </w:tc>
        <w:tc>
          <w:tcPr>
            <w:tcW w:w="1575" w:type="dxa"/>
            <w:noWrap/>
            <w:vAlign w:val="center"/>
          </w:tcPr>
          <w:p>
            <w:pPr>
              <w:spacing w:line="360" w:lineRule="auto"/>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8" w:type="dxa"/>
            <w:noWrap w:val="0"/>
            <w:vAlign w:val="center"/>
          </w:tcPr>
          <w:p>
            <w:pPr>
              <w:spacing w:line="360" w:lineRule="auto"/>
              <w:jc w:val="center"/>
              <w:rPr>
                <w:rFonts w:hint="eastAsia" w:ascii="宋体" w:hAnsi="宋体" w:cs="仿宋_GB2312"/>
                <w:color w:val="000000"/>
                <w:sz w:val="24"/>
                <w:szCs w:val="24"/>
                <w:lang w:val="en-US" w:eastAsia="zh-CN"/>
              </w:rPr>
            </w:pPr>
            <w:r>
              <w:rPr>
                <w:rFonts w:hint="eastAsia" w:ascii="宋体" w:hAnsi="宋体" w:cs="仿宋_GB2312"/>
                <w:color w:val="000000"/>
                <w:sz w:val="24"/>
                <w:szCs w:val="24"/>
                <w:lang w:val="en-US" w:eastAsia="zh-CN"/>
              </w:rPr>
              <w:t>4</w:t>
            </w:r>
          </w:p>
        </w:tc>
        <w:tc>
          <w:tcPr>
            <w:tcW w:w="3330" w:type="dxa"/>
            <w:noWrap w:val="0"/>
            <w:vAlign w:val="center"/>
          </w:tcPr>
          <w:p>
            <w:pPr>
              <w:spacing w:line="360" w:lineRule="auto"/>
              <w:jc w:val="center"/>
              <w:rPr>
                <w:rFonts w:hint="eastAsia" w:ascii="宋体" w:hAnsi="宋体" w:cs="仿宋_GB2312"/>
                <w:color w:val="000000"/>
                <w:sz w:val="24"/>
                <w:szCs w:val="24"/>
                <w:lang w:val="en-US" w:eastAsia="zh-CN"/>
              </w:rPr>
            </w:pPr>
            <w:r>
              <w:rPr>
                <w:rFonts w:hint="eastAsia" w:ascii="宋体" w:hAnsi="宋体" w:cs="仿宋_GB2312"/>
                <w:color w:val="000000"/>
                <w:sz w:val="24"/>
                <w:szCs w:val="24"/>
              </w:rPr>
              <w:t>RFID标签（无源）</w:t>
            </w:r>
          </w:p>
        </w:tc>
        <w:tc>
          <w:tcPr>
            <w:tcW w:w="1680" w:type="dxa"/>
            <w:noWrap/>
            <w:vAlign w:val="center"/>
          </w:tcPr>
          <w:p>
            <w:pPr>
              <w:spacing w:line="360" w:lineRule="auto"/>
              <w:jc w:val="center"/>
              <w:rPr>
                <w:rFonts w:hint="eastAsia" w:ascii="宋体" w:hAnsi="宋体" w:cs="仿宋_GB2312"/>
                <w:color w:val="000000"/>
                <w:sz w:val="24"/>
                <w:szCs w:val="24"/>
                <w:lang w:val="en-US" w:eastAsia="zh-CN"/>
              </w:rPr>
            </w:pPr>
            <w:r>
              <w:rPr>
                <w:rFonts w:hint="eastAsia" w:ascii="宋体" w:hAnsi="宋体" w:cs="仿宋_GB2312"/>
                <w:color w:val="000000"/>
                <w:sz w:val="24"/>
                <w:szCs w:val="24"/>
                <w:lang w:val="en-US" w:eastAsia="zh-CN"/>
              </w:rPr>
              <w:t>张</w:t>
            </w:r>
          </w:p>
        </w:tc>
        <w:tc>
          <w:tcPr>
            <w:tcW w:w="1575" w:type="dxa"/>
            <w:noWrap/>
            <w:vAlign w:val="center"/>
          </w:tcPr>
          <w:p>
            <w:pPr>
              <w:spacing w:line="360" w:lineRule="auto"/>
              <w:jc w:val="center"/>
              <w:rPr>
                <w:rFonts w:hint="eastAsia" w:ascii="宋体" w:hAnsi="宋体" w:cs="仿宋_GB2312"/>
                <w:color w:val="000000"/>
                <w:sz w:val="24"/>
                <w:szCs w:val="24"/>
                <w:lang w:val="en-US" w:eastAsia="zh-CN"/>
              </w:rPr>
            </w:pPr>
            <w:r>
              <w:rPr>
                <w:rFonts w:hint="eastAsia" w:ascii="宋体" w:hAnsi="宋体" w:cs="仿宋_GB2312"/>
                <w:color w:val="000000"/>
                <w:sz w:val="24"/>
                <w:szCs w:val="24"/>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8" w:type="dxa"/>
            <w:noWrap w:val="0"/>
            <w:vAlign w:val="center"/>
          </w:tcPr>
          <w:p>
            <w:pPr>
              <w:spacing w:line="360" w:lineRule="auto"/>
              <w:jc w:val="center"/>
              <w:rPr>
                <w:rFonts w:hint="eastAsia" w:ascii="宋体" w:hAnsi="宋体" w:cs="仿宋_GB2312"/>
                <w:color w:val="000000"/>
                <w:sz w:val="24"/>
                <w:szCs w:val="24"/>
                <w:lang w:val="en-US" w:eastAsia="zh-CN"/>
              </w:rPr>
            </w:pPr>
            <w:r>
              <w:rPr>
                <w:rFonts w:hint="eastAsia" w:ascii="宋体" w:hAnsi="宋体" w:cs="仿宋_GB2312"/>
                <w:color w:val="000000"/>
                <w:sz w:val="24"/>
                <w:szCs w:val="24"/>
                <w:lang w:val="en-US" w:eastAsia="zh-CN"/>
              </w:rPr>
              <w:t>5</w:t>
            </w:r>
          </w:p>
        </w:tc>
        <w:tc>
          <w:tcPr>
            <w:tcW w:w="3330" w:type="dxa"/>
            <w:noWrap w:val="0"/>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服务器</w:t>
            </w:r>
          </w:p>
        </w:tc>
        <w:tc>
          <w:tcPr>
            <w:tcW w:w="1680" w:type="dxa"/>
            <w:noWrap/>
            <w:vAlign w:val="center"/>
          </w:tcPr>
          <w:p>
            <w:pPr>
              <w:spacing w:line="360" w:lineRule="auto"/>
              <w:jc w:val="center"/>
              <w:rPr>
                <w:rFonts w:hint="eastAsia" w:ascii="宋体" w:hAnsi="宋体" w:cs="仿宋_GB2312"/>
                <w:color w:val="000000"/>
                <w:sz w:val="24"/>
                <w:szCs w:val="24"/>
              </w:rPr>
            </w:pPr>
            <w:r>
              <w:rPr>
                <w:rFonts w:hint="eastAsia" w:ascii="宋体" w:hAnsi="宋体" w:cs="仿宋_GB2312"/>
                <w:color w:val="000000"/>
                <w:sz w:val="24"/>
                <w:szCs w:val="24"/>
              </w:rPr>
              <w:t>台</w:t>
            </w:r>
          </w:p>
        </w:tc>
        <w:tc>
          <w:tcPr>
            <w:tcW w:w="1575" w:type="dxa"/>
            <w:noWrap/>
            <w:vAlign w:val="center"/>
          </w:tcPr>
          <w:p>
            <w:pPr>
              <w:spacing w:line="360" w:lineRule="auto"/>
              <w:jc w:val="center"/>
              <w:rPr>
                <w:rFonts w:hint="eastAsia" w:ascii="宋体" w:hAnsi="宋体" w:cs="仿宋_GB2312"/>
                <w:color w:val="000000"/>
                <w:sz w:val="24"/>
                <w:szCs w:val="24"/>
                <w:lang w:val="en-US" w:eastAsia="zh-CN"/>
              </w:rPr>
            </w:pPr>
            <w:r>
              <w:rPr>
                <w:rFonts w:hint="eastAsia" w:ascii="宋体" w:hAnsi="宋体" w:cs="仿宋_GB2312"/>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8" w:type="dxa"/>
            <w:noWrap w:val="0"/>
            <w:vAlign w:val="center"/>
          </w:tcPr>
          <w:p>
            <w:pPr>
              <w:spacing w:line="360" w:lineRule="auto"/>
              <w:jc w:val="center"/>
              <w:rPr>
                <w:rFonts w:hint="default" w:ascii="宋体" w:hAnsi="宋体" w:cs="仿宋_GB2312"/>
                <w:color w:val="000000"/>
                <w:sz w:val="24"/>
                <w:szCs w:val="24"/>
                <w:lang w:val="en-US" w:eastAsia="zh-CN"/>
              </w:rPr>
            </w:pPr>
            <w:r>
              <w:rPr>
                <w:rFonts w:hint="eastAsia" w:ascii="宋体" w:hAnsi="宋体" w:cs="仿宋_GB2312"/>
                <w:color w:val="000000"/>
                <w:sz w:val="24"/>
                <w:szCs w:val="24"/>
                <w:lang w:val="en-US" w:eastAsia="zh-CN"/>
              </w:rPr>
              <w:t>6</w:t>
            </w:r>
          </w:p>
        </w:tc>
        <w:tc>
          <w:tcPr>
            <w:tcW w:w="3330" w:type="dxa"/>
            <w:noWrap w:val="0"/>
            <w:vAlign w:val="center"/>
          </w:tcPr>
          <w:p>
            <w:pPr>
              <w:spacing w:line="360" w:lineRule="auto"/>
              <w:jc w:val="center"/>
              <w:rPr>
                <w:rFonts w:hint="default" w:ascii="宋体" w:hAnsi="宋体" w:eastAsia="宋体" w:cs="仿宋_GB2312"/>
                <w:color w:val="000000"/>
                <w:sz w:val="24"/>
                <w:szCs w:val="24"/>
                <w:lang w:val="en-US" w:eastAsia="zh-CN"/>
              </w:rPr>
            </w:pPr>
            <w:r>
              <w:rPr>
                <w:rFonts w:hint="eastAsia" w:ascii="宋体" w:hAnsi="宋体" w:cs="仿宋_GB2312"/>
                <w:color w:val="000000"/>
                <w:sz w:val="24"/>
                <w:szCs w:val="24"/>
                <w:lang w:val="en-US" w:eastAsia="zh-CN"/>
              </w:rPr>
              <w:t>系统管理桌面终端</w:t>
            </w:r>
          </w:p>
        </w:tc>
        <w:tc>
          <w:tcPr>
            <w:tcW w:w="1680" w:type="dxa"/>
            <w:noWrap/>
            <w:vAlign w:val="center"/>
          </w:tcPr>
          <w:p>
            <w:pPr>
              <w:spacing w:line="360" w:lineRule="auto"/>
              <w:jc w:val="center"/>
              <w:rPr>
                <w:rFonts w:hint="eastAsia" w:ascii="宋体" w:hAnsi="宋体" w:eastAsia="宋体" w:cs="仿宋_GB2312"/>
                <w:color w:val="000000"/>
                <w:sz w:val="24"/>
                <w:szCs w:val="24"/>
                <w:lang w:val="en-US" w:eastAsia="zh-CN"/>
              </w:rPr>
            </w:pPr>
            <w:r>
              <w:rPr>
                <w:rFonts w:hint="eastAsia" w:ascii="宋体" w:hAnsi="宋体" w:cs="仿宋_GB2312"/>
                <w:color w:val="000000"/>
                <w:sz w:val="24"/>
                <w:szCs w:val="24"/>
                <w:lang w:val="en-US" w:eastAsia="zh-CN"/>
              </w:rPr>
              <w:t>台</w:t>
            </w:r>
          </w:p>
        </w:tc>
        <w:tc>
          <w:tcPr>
            <w:tcW w:w="1575" w:type="dxa"/>
            <w:noWrap/>
            <w:vAlign w:val="center"/>
          </w:tcPr>
          <w:p>
            <w:pPr>
              <w:spacing w:line="360" w:lineRule="auto"/>
              <w:jc w:val="center"/>
              <w:rPr>
                <w:rFonts w:hint="eastAsia" w:ascii="宋体" w:hAnsi="宋体" w:eastAsia="宋体" w:cs="仿宋_GB2312"/>
                <w:color w:val="000000"/>
                <w:sz w:val="24"/>
                <w:szCs w:val="24"/>
                <w:lang w:val="en-US" w:eastAsia="zh-CN"/>
              </w:rPr>
            </w:pPr>
            <w:r>
              <w:rPr>
                <w:rFonts w:hint="eastAsia" w:ascii="宋体" w:hAnsi="宋体" w:cs="仿宋_GB2312"/>
                <w:color w:val="000000"/>
                <w:sz w:val="24"/>
                <w:szCs w:val="24"/>
                <w:lang w:val="en-US" w:eastAsia="zh-CN"/>
              </w:rPr>
              <w:t>1</w:t>
            </w:r>
          </w:p>
        </w:tc>
      </w:tr>
    </w:tbl>
    <w:p>
      <w:pPr>
        <w:ind w:firstLine="420" w:firstLineChars="200"/>
        <w:rPr>
          <w:rFonts w:hint="eastAsia"/>
          <w:lang w:val="en-US" w:eastAsia="zh-CN"/>
        </w:rPr>
      </w:pPr>
    </w:p>
    <w:p>
      <w:pPr>
        <w:ind w:firstLine="600" w:firstLineChars="200"/>
        <w:rPr>
          <w:rFonts w:hint="eastAsia"/>
          <w:sz w:val="30"/>
          <w:szCs w:val="30"/>
          <w:lang w:val="en-US" w:eastAsia="zh-CN"/>
        </w:rPr>
      </w:pPr>
      <w:r>
        <w:rPr>
          <w:rFonts w:hint="eastAsia"/>
          <w:sz w:val="30"/>
          <w:szCs w:val="30"/>
          <w:lang w:val="en-US" w:eastAsia="zh-CN"/>
        </w:rPr>
        <w:t>基本情况</w:t>
      </w:r>
    </w:p>
    <w:p>
      <w:pPr>
        <w:ind w:firstLine="600" w:firstLineChars="200"/>
        <w:rPr>
          <w:rFonts w:hint="eastAsia"/>
          <w:sz w:val="30"/>
          <w:szCs w:val="30"/>
          <w:lang w:val="en-US" w:eastAsia="zh-CN"/>
        </w:rPr>
      </w:pPr>
      <w:r>
        <w:rPr>
          <w:rFonts w:hint="eastAsia"/>
          <w:sz w:val="30"/>
          <w:szCs w:val="30"/>
        </w:rPr>
        <w:t>基于</w:t>
      </w:r>
      <w:r>
        <w:rPr>
          <w:rFonts w:hint="eastAsia"/>
          <w:sz w:val="30"/>
          <w:szCs w:val="30"/>
          <w:lang w:val="en-US" w:eastAsia="zh-CN"/>
        </w:rPr>
        <w:t>单位内网环境</w:t>
      </w:r>
      <w:r>
        <w:rPr>
          <w:rFonts w:hint="eastAsia"/>
          <w:sz w:val="30"/>
          <w:szCs w:val="30"/>
        </w:rPr>
        <w:t>，</w:t>
      </w:r>
      <w:r>
        <w:rPr>
          <w:rFonts w:hint="eastAsia"/>
          <w:sz w:val="30"/>
          <w:szCs w:val="30"/>
          <w:lang w:val="en-US" w:eastAsia="zh-CN"/>
        </w:rPr>
        <w:t>布设资产管理软件及国产化通用软硬件</w:t>
      </w:r>
      <w:r>
        <w:rPr>
          <w:rFonts w:hint="eastAsia"/>
          <w:sz w:val="30"/>
          <w:szCs w:val="30"/>
        </w:rPr>
        <w:t>支撑环境</w:t>
      </w:r>
      <w:r>
        <w:rPr>
          <w:rFonts w:hint="eastAsia"/>
          <w:sz w:val="30"/>
          <w:szCs w:val="30"/>
          <w:lang w:eastAsia="zh-CN"/>
        </w:rPr>
        <w:t>，</w:t>
      </w:r>
      <w:r>
        <w:rPr>
          <w:rFonts w:hint="eastAsia"/>
          <w:sz w:val="30"/>
          <w:szCs w:val="30"/>
          <w:lang w:val="en-US" w:eastAsia="zh-CN"/>
        </w:rPr>
        <w:t>配套智能化盘点设备，包含后期系统与其他资产系统对接的接口开发服务</w:t>
      </w:r>
      <w:r>
        <w:rPr>
          <w:rFonts w:hint="eastAsia"/>
          <w:sz w:val="30"/>
          <w:szCs w:val="30"/>
        </w:rPr>
        <w:t>。</w:t>
      </w:r>
    </w:p>
    <w:p>
      <w:pPr>
        <w:ind w:firstLine="600" w:firstLineChars="200"/>
        <w:rPr>
          <w:rFonts w:hint="eastAsia"/>
          <w:sz w:val="30"/>
          <w:szCs w:val="30"/>
        </w:rPr>
      </w:pPr>
      <w:r>
        <w:rPr>
          <w:rFonts w:hint="eastAsia"/>
          <w:sz w:val="30"/>
          <w:szCs w:val="30"/>
        </w:rPr>
        <w:t>建设要求</w:t>
      </w:r>
    </w:p>
    <w:p>
      <w:pPr>
        <w:ind w:firstLine="600" w:firstLineChars="200"/>
        <w:rPr>
          <w:rFonts w:hint="eastAsia"/>
          <w:sz w:val="30"/>
          <w:szCs w:val="30"/>
          <w:lang w:val="en-US" w:eastAsia="zh-CN"/>
        </w:rPr>
      </w:pPr>
      <w:r>
        <w:rPr>
          <w:rFonts w:hint="eastAsia"/>
          <w:sz w:val="30"/>
          <w:szCs w:val="30"/>
          <w:lang w:val="en-US" w:eastAsia="zh-CN"/>
        </w:rPr>
        <w:t>一、整体需求</w:t>
      </w:r>
    </w:p>
    <w:p>
      <w:pPr>
        <w:ind w:firstLine="600" w:firstLineChars="200"/>
        <w:rPr>
          <w:rFonts w:hint="default"/>
          <w:sz w:val="30"/>
          <w:szCs w:val="30"/>
          <w:lang w:val="en-US" w:eastAsia="zh-CN"/>
        </w:rPr>
      </w:pPr>
      <w:r>
        <w:rPr>
          <w:rFonts w:hint="eastAsia"/>
          <w:sz w:val="30"/>
          <w:szCs w:val="30"/>
        </w:rPr>
        <w:t>资产管理系统以资产的全生命周期管理为核心，实现资产归口部门、财务部门、使用部门等各个部门的信息共享。在传统资产管理软件的功能的基础上，结合资产数字化定位管理</w:t>
      </w:r>
      <w:r>
        <w:rPr>
          <w:rFonts w:hint="eastAsia"/>
          <w:sz w:val="30"/>
          <w:szCs w:val="30"/>
          <w:lang w:val="en-US" w:eastAsia="zh-CN"/>
        </w:rPr>
        <w:t>实现单位内部资产管理智能化、精细化目标。系统满足不少于100个</w:t>
      </w:r>
      <w:r>
        <w:rPr>
          <w:rFonts w:hint="eastAsia"/>
          <w:sz w:val="30"/>
          <w:szCs w:val="30"/>
        </w:rPr>
        <w:t>用户同时运行</w:t>
      </w:r>
      <w:r>
        <w:rPr>
          <w:rFonts w:hint="eastAsia"/>
          <w:sz w:val="30"/>
          <w:szCs w:val="30"/>
          <w:lang w:eastAsia="zh-CN"/>
        </w:rPr>
        <w:t>。</w:t>
      </w:r>
      <w:r>
        <w:rPr>
          <w:rFonts w:hint="eastAsia"/>
          <w:sz w:val="30"/>
          <w:szCs w:val="30"/>
          <w:lang w:val="en-US" w:eastAsia="zh-CN"/>
        </w:rPr>
        <w:t>主要包括：</w:t>
      </w:r>
    </w:p>
    <w:p>
      <w:pPr>
        <w:ind w:firstLine="600" w:firstLineChars="200"/>
        <w:rPr>
          <w:rFonts w:hint="eastAsia"/>
          <w:sz w:val="30"/>
          <w:szCs w:val="30"/>
          <w:lang w:val="en-US" w:eastAsia="zh-CN"/>
        </w:rPr>
      </w:pPr>
      <w:r>
        <w:rPr>
          <w:rFonts w:hint="eastAsia"/>
          <w:sz w:val="30"/>
          <w:szCs w:val="30"/>
          <w:lang w:val="en-US" w:eastAsia="zh-CN"/>
        </w:rPr>
        <w:t>（一）全生命周期管理。包括资产信息管理，资产分类管理，部门管理，位置管理，资产盘点管理，以及资产的入库、领用、借还、调拨、维修、处置等资产变动管理，支持多责任主体管理资产。对低值易耗品仅就实物量进行管理。</w:t>
      </w:r>
    </w:p>
    <w:p>
      <w:pPr>
        <w:ind w:firstLine="600" w:firstLineChars="200"/>
        <w:rPr>
          <w:rFonts w:hint="eastAsia"/>
          <w:sz w:val="30"/>
          <w:szCs w:val="30"/>
          <w:lang w:val="en-US" w:eastAsia="zh-CN"/>
        </w:rPr>
      </w:pPr>
      <w:r>
        <w:rPr>
          <w:rFonts w:hint="eastAsia"/>
          <w:sz w:val="30"/>
          <w:szCs w:val="30"/>
          <w:lang w:val="en-US" w:eastAsia="zh-CN"/>
        </w:rPr>
        <w:t>（二）配置管理。按资产配置标准衡量实物资产配置情况，监控资产是否超标准配置，包括总量、人均数量等；</w:t>
      </w:r>
    </w:p>
    <w:p>
      <w:pPr>
        <w:ind w:firstLine="600" w:firstLineChars="200"/>
        <w:rPr>
          <w:rFonts w:hint="eastAsia"/>
          <w:sz w:val="30"/>
          <w:szCs w:val="30"/>
          <w:lang w:val="en-US" w:eastAsia="zh-CN"/>
        </w:rPr>
      </w:pPr>
      <w:r>
        <w:rPr>
          <w:rFonts w:hint="eastAsia"/>
          <w:sz w:val="30"/>
          <w:szCs w:val="30"/>
          <w:lang w:val="en-US" w:eastAsia="zh-CN"/>
        </w:rPr>
        <w:t>（三）资产盘点。固定资产实现智能盘点。离线状态下，使用手持终端结合管理系统自定义盘点单，在无网络环境下对已使用RFID芯片贴标的实物资产进行快速盘点。</w:t>
      </w:r>
    </w:p>
    <w:p>
      <w:pPr>
        <w:ind w:firstLine="600" w:firstLineChars="200"/>
        <w:rPr>
          <w:rFonts w:hint="eastAsia"/>
          <w:sz w:val="30"/>
          <w:szCs w:val="30"/>
          <w:lang w:val="en-US" w:eastAsia="zh-CN"/>
        </w:rPr>
      </w:pPr>
      <w:r>
        <w:rPr>
          <w:rFonts w:hint="eastAsia"/>
          <w:sz w:val="30"/>
          <w:szCs w:val="30"/>
          <w:lang w:val="en-US" w:eastAsia="zh-CN"/>
        </w:rPr>
        <w:t>（四）统计报表。提供多维度大数据的统计和分析功能，图型化设计丰富，为资产的合理配置和使用提供有效的决策依据，提高资产使用率。</w:t>
      </w:r>
    </w:p>
    <w:p>
      <w:pPr>
        <w:ind w:firstLine="600" w:firstLineChars="200"/>
        <w:rPr>
          <w:rFonts w:hint="default"/>
          <w:sz w:val="30"/>
          <w:szCs w:val="30"/>
          <w:lang w:val="en-US" w:eastAsia="zh-CN"/>
        </w:rPr>
      </w:pPr>
      <w:r>
        <w:rPr>
          <w:rFonts w:hint="eastAsia"/>
          <w:sz w:val="30"/>
          <w:szCs w:val="30"/>
          <w:lang w:val="en-US" w:eastAsia="zh-CN"/>
        </w:rPr>
        <w:t>二、资产管理软件</w:t>
      </w:r>
      <w:r>
        <w:rPr>
          <w:rFonts w:hint="eastAsia"/>
          <w:sz w:val="30"/>
          <w:szCs w:val="30"/>
        </w:rPr>
        <w:t>技术要求</w:t>
      </w:r>
      <w:r>
        <w:rPr>
          <w:rFonts w:hint="eastAsia"/>
          <w:sz w:val="30"/>
          <w:szCs w:val="30"/>
          <w:lang w:val="en-US" w:eastAsia="zh-CN"/>
        </w:rPr>
        <w:t>及功能</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一）</w:t>
      </w:r>
      <w:r>
        <w:rPr>
          <w:rFonts w:hint="eastAsia"/>
          <w:sz w:val="30"/>
          <w:szCs w:val="30"/>
        </w:rPr>
        <w:t>技术要求：</w:t>
      </w:r>
    </w:p>
    <w:p>
      <w:pPr>
        <w:ind w:firstLine="600" w:firstLineChars="200"/>
        <w:rPr>
          <w:rFonts w:hint="eastAsia"/>
          <w:sz w:val="30"/>
          <w:szCs w:val="30"/>
        </w:rPr>
      </w:pPr>
      <w:r>
        <w:rPr>
          <w:rFonts w:hint="eastAsia"/>
          <w:sz w:val="30"/>
          <w:szCs w:val="30"/>
          <w:lang w:val="en-US" w:eastAsia="zh-CN"/>
        </w:rPr>
        <w:t>1.</w:t>
      </w:r>
      <w:r>
        <w:rPr>
          <w:rFonts w:hint="eastAsia"/>
          <w:sz w:val="30"/>
          <w:szCs w:val="30"/>
        </w:rPr>
        <w:t>技术风险控制：要求供应商有软件实施建设能力并有丰富的</w:t>
      </w:r>
      <w:r>
        <w:rPr>
          <w:rFonts w:hint="eastAsia"/>
          <w:sz w:val="30"/>
          <w:szCs w:val="30"/>
          <w:lang w:val="en-US" w:eastAsia="zh-CN"/>
        </w:rPr>
        <w:t>资产</w:t>
      </w:r>
      <w:r>
        <w:rPr>
          <w:rFonts w:hint="eastAsia"/>
          <w:sz w:val="30"/>
          <w:szCs w:val="30"/>
        </w:rPr>
        <w:t>管理经验。技术方案中能够充分理解系统建设中存在的各种风险，并对规避这些建设风险作出论述。</w:t>
      </w:r>
    </w:p>
    <w:p>
      <w:pPr>
        <w:ind w:firstLine="600" w:firstLineChars="200"/>
        <w:rPr>
          <w:rFonts w:hint="eastAsia"/>
          <w:i/>
          <w:iCs/>
          <w:sz w:val="30"/>
          <w:szCs w:val="30"/>
          <w:u w:val="single"/>
        </w:rPr>
      </w:pPr>
      <w:r>
        <w:rPr>
          <w:rFonts w:hint="eastAsia"/>
          <w:i/>
          <w:iCs/>
          <w:sz w:val="30"/>
          <w:szCs w:val="30"/>
          <w:u w:val="single"/>
          <w:lang w:val="en-US" w:eastAsia="zh-CN"/>
        </w:rPr>
        <w:t>2.</w:t>
      </w:r>
      <w:r>
        <w:rPr>
          <w:rFonts w:hint="eastAsia"/>
          <w:i/>
          <w:iCs/>
          <w:sz w:val="30"/>
          <w:szCs w:val="30"/>
          <w:u w:val="single"/>
        </w:rPr>
        <w:t>系统架构：系统各模块需采用同一技术架构，在统一的底层基础平台上设计，均需采用B/S技术架构实现。能实</w:t>
      </w:r>
      <w:r>
        <w:rPr>
          <w:rFonts w:hint="eastAsia"/>
          <w:i/>
          <w:iCs/>
          <w:sz w:val="30"/>
          <w:szCs w:val="30"/>
          <w:u w:val="single"/>
          <w:lang w:val="en-US" w:eastAsia="zh-CN"/>
        </w:rPr>
        <w:t>单位网络</w:t>
      </w:r>
      <w:r>
        <w:rPr>
          <w:rFonts w:hint="eastAsia"/>
          <w:i/>
          <w:iCs/>
          <w:sz w:val="30"/>
          <w:szCs w:val="30"/>
          <w:u w:val="single"/>
        </w:rPr>
        <w:t>应用，根据权限分配，有权限使用增、删、改、阅，基础信息共享。</w:t>
      </w:r>
    </w:p>
    <w:p>
      <w:pPr>
        <w:ind w:firstLine="600" w:firstLineChars="200"/>
        <w:rPr>
          <w:rFonts w:hint="eastAsia"/>
          <w:sz w:val="30"/>
          <w:szCs w:val="30"/>
        </w:rPr>
      </w:pPr>
      <w:r>
        <w:rPr>
          <w:rFonts w:hint="eastAsia"/>
          <w:sz w:val="30"/>
          <w:szCs w:val="30"/>
          <w:lang w:val="en-US" w:eastAsia="zh-CN"/>
        </w:rPr>
        <w:t>3.</w:t>
      </w:r>
      <w:r>
        <w:rPr>
          <w:rFonts w:hint="eastAsia"/>
          <w:sz w:val="30"/>
          <w:szCs w:val="30"/>
        </w:rPr>
        <w:t>先进性：系统要利用一些现行的、技术成熟的开发工具来辅助完成系统建设。</w:t>
      </w:r>
    </w:p>
    <w:p>
      <w:pPr>
        <w:ind w:firstLine="600" w:firstLineChars="200"/>
        <w:rPr>
          <w:rFonts w:hint="eastAsia"/>
          <w:sz w:val="30"/>
          <w:szCs w:val="30"/>
        </w:rPr>
      </w:pPr>
      <w:r>
        <w:rPr>
          <w:rFonts w:hint="eastAsia"/>
          <w:sz w:val="30"/>
          <w:szCs w:val="30"/>
          <w:lang w:val="en-US" w:eastAsia="zh-CN"/>
        </w:rPr>
        <w:t>4.</w:t>
      </w:r>
      <w:r>
        <w:rPr>
          <w:rFonts w:hint="eastAsia"/>
          <w:sz w:val="30"/>
          <w:szCs w:val="30"/>
        </w:rPr>
        <w:t>健壮性：系统稳定可靠，保证每周7天24小时不间断正常运行，性能可靠，易于维护。</w:t>
      </w:r>
    </w:p>
    <w:p>
      <w:pPr>
        <w:ind w:firstLine="600" w:firstLineChars="200"/>
        <w:rPr>
          <w:rFonts w:hint="eastAsia" w:eastAsia="宋体"/>
          <w:i/>
          <w:iCs/>
          <w:sz w:val="30"/>
          <w:szCs w:val="30"/>
          <w:u w:val="single"/>
          <w:lang w:val="en-US" w:eastAsia="zh-CN"/>
        </w:rPr>
      </w:pPr>
      <w:r>
        <w:rPr>
          <w:rFonts w:hint="eastAsia"/>
          <w:i/>
          <w:iCs/>
          <w:sz w:val="30"/>
          <w:szCs w:val="30"/>
          <w:u w:val="single"/>
          <w:lang w:val="en-US" w:eastAsia="zh-CN"/>
        </w:rPr>
        <w:t>5.</w:t>
      </w:r>
      <w:r>
        <w:rPr>
          <w:rFonts w:hint="eastAsia"/>
          <w:i/>
          <w:iCs/>
          <w:sz w:val="30"/>
          <w:szCs w:val="30"/>
          <w:u w:val="single"/>
        </w:rPr>
        <w:t>安全性：提供完整的权限管理和数据安全管理措施</w:t>
      </w:r>
      <w:r>
        <w:rPr>
          <w:rFonts w:hint="eastAsia"/>
          <w:i/>
          <w:iCs/>
          <w:sz w:val="30"/>
          <w:szCs w:val="30"/>
          <w:u w:val="single"/>
          <w:lang w:eastAsia="zh-CN"/>
        </w:rPr>
        <w:t>，</w:t>
      </w:r>
      <w:r>
        <w:rPr>
          <w:rFonts w:hint="eastAsia"/>
          <w:i/>
          <w:iCs/>
          <w:sz w:val="30"/>
          <w:szCs w:val="30"/>
          <w:u w:val="single"/>
          <w:lang w:val="en-US" w:eastAsia="zh-CN"/>
        </w:rPr>
        <w:t>提供代码审计报告（第三方或本单位出具均可）。</w:t>
      </w:r>
    </w:p>
    <w:p>
      <w:pPr>
        <w:ind w:firstLine="600" w:firstLineChars="200"/>
        <w:rPr>
          <w:rFonts w:hint="eastAsia"/>
          <w:sz w:val="30"/>
          <w:szCs w:val="30"/>
        </w:rPr>
      </w:pPr>
      <w:r>
        <w:rPr>
          <w:rFonts w:hint="eastAsia"/>
          <w:sz w:val="30"/>
          <w:szCs w:val="30"/>
          <w:lang w:val="en-US" w:eastAsia="zh-CN"/>
        </w:rPr>
        <w:t>6.</w:t>
      </w:r>
      <w:r>
        <w:rPr>
          <w:rFonts w:hint="eastAsia"/>
          <w:sz w:val="30"/>
          <w:szCs w:val="30"/>
        </w:rPr>
        <w:t>响应速度快：一线工作站高峰期操作系统时无等待感觉，查询操作进行预处理以加快查询速度。额定用户同时运行时不能出现堵塞现象。</w:t>
      </w:r>
    </w:p>
    <w:p>
      <w:pPr>
        <w:ind w:firstLine="600" w:firstLineChars="200"/>
        <w:rPr>
          <w:rFonts w:hint="eastAsia"/>
          <w:sz w:val="30"/>
          <w:szCs w:val="30"/>
        </w:rPr>
      </w:pPr>
      <w:r>
        <w:rPr>
          <w:rFonts w:hint="eastAsia"/>
          <w:sz w:val="30"/>
          <w:szCs w:val="30"/>
          <w:lang w:val="en-US" w:eastAsia="zh-CN"/>
        </w:rPr>
        <w:t>7.</w:t>
      </w:r>
      <w:r>
        <w:rPr>
          <w:rFonts w:hint="eastAsia"/>
          <w:sz w:val="30"/>
          <w:szCs w:val="30"/>
        </w:rPr>
        <w:t>灵活性、可维护性：系统可根据单位的具体工作流程定制、重组和改造，并为单位提供定制和改造的客户化工具。为适应将来的发展，系统应具有良好的可裁减性、可扩充性和可移植性；系统的安装卸载需要简单方便，可管理性、可维护性强；软件设计模块化、组件化，并提供配置模块和客户化工具。系统需求及流程变化、操作方式变化、机构人员变化、空间地点变化(移动用户、分布式)、操作系统环境变化无影响。</w:t>
      </w:r>
    </w:p>
    <w:p>
      <w:pPr>
        <w:ind w:firstLine="600" w:firstLineChars="200"/>
        <w:rPr>
          <w:rFonts w:hint="eastAsia"/>
          <w:i/>
          <w:iCs/>
          <w:sz w:val="30"/>
          <w:szCs w:val="30"/>
          <w:u w:val="single"/>
        </w:rPr>
      </w:pPr>
      <w:r>
        <w:rPr>
          <w:rFonts w:hint="eastAsia"/>
          <w:i/>
          <w:iCs/>
          <w:sz w:val="30"/>
          <w:szCs w:val="30"/>
          <w:u w:val="single"/>
          <w:lang w:val="en-US" w:eastAsia="zh-CN"/>
        </w:rPr>
        <w:t>8.</w:t>
      </w:r>
      <w:r>
        <w:rPr>
          <w:rFonts w:hint="eastAsia"/>
          <w:i/>
          <w:iCs/>
          <w:sz w:val="30"/>
          <w:szCs w:val="30"/>
          <w:u w:val="single"/>
        </w:rPr>
        <w:t>扩展性：采用开放式的系统软件平台、模块化的应用软件结构，确保系统可灵活地扩充其业务功能，采购人如需连接其他系统的，供应商</w:t>
      </w:r>
      <w:r>
        <w:rPr>
          <w:rFonts w:hint="eastAsia"/>
          <w:i/>
          <w:iCs/>
          <w:sz w:val="30"/>
          <w:szCs w:val="30"/>
          <w:u w:val="single"/>
          <w:lang w:val="en-US" w:eastAsia="zh-CN"/>
        </w:rPr>
        <w:t>能够免费</w:t>
      </w:r>
      <w:r>
        <w:rPr>
          <w:rFonts w:hint="eastAsia"/>
          <w:i/>
          <w:iCs/>
          <w:sz w:val="30"/>
          <w:szCs w:val="30"/>
          <w:u w:val="single"/>
        </w:rPr>
        <w:t>提供相关技术接口和进行技术配合。</w:t>
      </w:r>
    </w:p>
    <w:p>
      <w:pPr>
        <w:ind w:firstLine="600" w:firstLineChars="200"/>
        <w:rPr>
          <w:rFonts w:hint="default"/>
          <w:sz w:val="30"/>
          <w:szCs w:val="30"/>
          <w:lang w:val="en-US"/>
        </w:rPr>
      </w:pPr>
      <w:r>
        <w:rPr>
          <w:rFonts w:hint="eastAsia"/>
          <w:sz w:val="30"/>
          <w:szCs w:val="30"/>
          <w:lang w:val="en-US" w:eastAsia="zh-CN"/>
        </w:rPr>
        <w:t>（二）功能基础</w:t>
      </w:r>
    </w:p>
    <w:p>
      <w:pPr>
        <w:ind w:firstLine="600" w:firstLineChars="200"/>
        <w:rPr>
          <w:rFonts w:hint="eastAsia"/>
          <w:sz w:val="30"/>
          <w:szCs w:val="30"/>
        </w:rPr>
      </w:pPr>
      <w:r>
        <w:rPr>
          <w:rFonts w:hint="eastAsia"/>
          <w:i/>
          <w:iCs/>
          <w:sz w:val="30"/>
          <w:szCs w:val="30"/>
          <w:u w:val="single"/>
          <w:lang w:val="en-US" w:eastAsia="zh-CN"/>
        </w:rPr>
        <w:t>1.</w:t>
      </w:r>
      <w:r>
        <w:rPr>
          <w:rFonts w:hint="eastAsia"/>
          <w:i/>
          <w:iCs/>
          <w:sz w:val="30"/>
          <w:szCs w:val="30"/>
          <w:u w:val="single"/>
        </w:rPr>
        <w:t>根据单位需要定义管控事项、归口部门、流程等内容，有效灵活满足不同</w:t>
      </w:r>
      <w:r>
        <w:rPr>
          <w:rFonts w:hint="eastAsia"/>
          <w:i/>
          <w:iCs/>
          <w:sz w:val="30"/>
          <w:szCs w:val="30"/>
          <w:u w:val="single"/>
          <w:lang w:val="en-US" w:eastAsia="zh-CN"/>
        </w:rPr>
        <w:t>部门</w:t>
      </w:r>
      <w:r>
        <w:rPr>
          <w:rFonts w:hint="eastAsia"/>
          <w:i/>
          <w:iCs/>
          <w:sz w:val="30"/>
          <w:szCs w:val="30"/>
          <w:u w:val="single"/>
        </w:rPr>
        <w:t>管理需求。</w:t>
      </w:r>
      <w:r>
        <w:rPr>
          <w:rFonts w:hint="eastAsia"/>
          <w:sz w:val="30"/>
          <w:szCs w:val="30"/>
        </w:rPr>
        <w:t xml:space="preserve"> </w:t>
      </w:r>
    </w:p>
    <w:p>
      <w:pPr>
        <w:ind w:firstLine="600" w:firstLineChars="200"/>
        <w:rPr>
          <w:rFonts w:hint="eastAsia"/>
          <w:sz w:val="30"/>
          <w:szCs w:val="30"/>
        </w:rPr>
      </w:pPr>
      <w:r>
        <w:rPr>
          <w:rFonts w:hint="eastAsia"/>
          <w:sz w:val="30"/>
          <w:szCs w:val="30"/>
          <w:lang w:val="en-US" w:eastAsia="zh-CN"/>
        </w:rPr>
        <w:t>2.</w:t>
      </w:r>
      <w:r>
        <w:rPr>
          <w:rFonts w:hint="eastAsia"/>
          <w:sz w:val="30"/>
          <w:szCs w:val="30"/>
        </w:rPr>
        <w:t xml:space="preserve">系统需提供多种安全管理机制：数据权限可以控制用户看到的数据范围；功能权限可以控制用户看到功能内容；操作权限可以控制用户能够使用的操作。按实际操作要求设置多种类型的预警、拦截功能。可以对用户进行禁用、使用日志查看、锁定用户等安全管理措施。 </w:t>
      </w:r>
    </w:p>
    <w:p>
      <w:pPr>
        <w:ind w:firstLine="600" w:firstLineChars="200"/>
        <w:rPr>
          <w:rFonts w:hint="eastAsia"/>
          <w:sz w:val="30"/>
          <w:szCs w:val="30"/>
        </w:rPr>
      </w:pPr>
      <w:r>
        <w:rPr>
          <w:rFonts w:hint="eastAsia"/>
          <w:sz w:val="30"/>
          <w:szCs w:val="30"/>
          <w:lang w:val="en-US" w:eastAsia="zh-CN"/>
        </w:rPr>
        <w:t>3.</w:t>
      </w:r>
      <w:r>
        <w:rPr>
          <w:rFonts w:hint="eastAsia"/>
          <w:sz w:val="30"/>
          <w:szCs w:val="30"/>
        </w:rPr>
        <w:t>能够灵活扩展业务需求，平台提供业务对象快速构建系统功能。</w:t>
      </w:r>
    </w:p>
    <w:p>
      <w:pPr>
        <w:ind w:firstLine="600" w:firstLineChars="200"/>
        <w:rPr>
          <w:rFonts w:hint="eastAsia"/>
          <w:sz w:val="30"/>
          <w:szCs w:val="30"/>
        </w:rPr>
      </w:pPr>
      <w:r>
        <w:rPr>
          <w:rFonts w:hint="eastAsia"/>
          <w:sz w:val="30"/>
          <w:szCs w:val="30"/>
          <w:lang w:val="en-US" w:eastAsia="zh-CN"/>
        </w:rPr>
        <w:t>4.</w:t>
      </w:r>
      <w:r>
        <w:rPr>
          <w:rFonts w:hint="eastAsia"/>
          <w:sz w:val="30"/>
          <w:szCs w:val="30"/>
        </w:rPr>
        <w:t>系统需能够支持工作流引擎，为业务流程提供可视化的配置。</w:t>
      </w:r>
    </w:p>
    <w:p>
      <w:pPr>
        <w:ind w:firstLine="600" w:firstLineChars="200"/>
        <w:rPr>
          <w:rFonts w:hint="eastAsia"/>
          <w:sz w:val="30"/>
          <w:szCs w:val="30"/>
        </w:rPr>
      </w:pPr>
      <w:r>
        <w:rPr>
          <w:rFonts w:hint="eastAsia"/>
          <w:sz w:val="30"/>
          <w:szCs w:val="30"/>
          <w:lang w:val="en-US" w:eastAsia="zh-CN"/>
        </w:rPr>
        <w:t>5.</w:t>
      </w:r>
      <w:r>
        <w:rPr>
          <w:rFonts w:hint="eastAsia"/>
          <w:sz w:val="30"/>
          <w:szCs w:val="30"/>
        </w:rPr>
        <w:t>系统平台能够实现权限集中控制，既包含常规的权限策略配置，又能提供不同业务需求的权限策略规则的定义能力。</w:t>
      </w:r>
    </w:p>
    <w:p>
      <w:pPr>
        <w:ind w:firstLine="600" w:firstLineChars="200"/>
        <w:rPr>
          <w:rFonts w:hint="eastAsia"/>
          <w:sz w:val="30"/>
          <w:szCs w:val="30"/>
          <w:lang w:val="en-US" w:eastAsia="zh-CN"/>
        </w:rPr>
      </w:pPr>
      <w:r>
        <w:rPr>
          <w:rFonts w:hint="eastAsia"/>
          <w:sz w:val="30"/>
          <w:szCs w:val="30"/>
          <w:lang w:eastAsia="zh-CN"/>
        </w:rPr>
        <w:t>（</w:t>
      </w:r>
      <w:r>
        <w:rPr>
          <w:rFonts w:hint="eastAsia"/>
          <w:sz w:val="30"/>
          <w:szCs w:val="30"/>
          <w:lang w:val="en-US" w:eastAsia="zh-CN"/>
        </w:rPr>
        <w:t>三）</w:t>
      </w:r>
      <w:r>
        <w:rPr>
          <w:rFonts w:hint="eastAsia"/>
          <w:sz w:val="30"/>
          <w:szCs w:val="30"/>
        </w:rPr>
        <w:t>功能</w:t>
      </w:r>
      <w:r>
        <w:rPr>
          <w:rFonts w:hint="eastAsia"/>
          <w:sz w:val="30"/>
          <w:szCs w:val="30"/>
          <w:lang w:val="en-US" w:eastAsia="zh-CN"/>
        </w:rPr>
        <w:t>概述</w:t>
      </w:r>
    </w:p>
    <w:p>
      <w:pPr>
        <w:ind w:firstLine="600" w:firstLineChars="200"/>
        <w:rPr>
          <w:rFonts w:hint="eastAsia"/>
          <w:sz w:val="30"/>
          <w:szCs w:val="30"/>
        </w:rPr>
      </w:pPr>
      <w:r>
        <w:rPr>
          <w:rFonts w:hint="eastAsia"/>
          <w:sz w:val="30"/>
          <w:szCs w:val="30"/>
          <w:lang w:val="en-US" w:eastAsia="zh-CN"/>
        </w:rPr>
        <w:t>1.</w:t>
      </w:r>
      <w:r>
        <w:rPr>
          <w:rFonts w:hint="eastAsia"/>
          <w:sz w:val="30"/>
          <w:szCs w:val="30"/>
        </w:rPr>
        <w:t>基础资料管理</w:t>
      </w:r>
    </w:p>
    <w:p>
      <w:pPr>
        <w:ind w:firstLine="600" w:firstLineChars="200"/>
        <w:rPr>
          <w:rFonts w:hint="eastAsia"/>
          <w:sz w:val="30"/>
          <w:szCs w:val="30"/>
        </w:rPr>
      </w:pPr>
      <w:r>
        <w:rPr>
          <w:rFonts w:hint="eastAsia"/>
          <w:sz w:val="30"/>
          <w:szCs w:val="30"/>
          <w:lang w:val="en-US" w:eastAsia="zh-CN"/>
        </w:rPr>
        <w:t>（1）</w:t>
      </w:r>
      <w:r>
        <w:rPr>
          <w:rFonts w:hint="eastAsia"/>
          <w:sz w:val="30"/>
          <w:szCs w:val="30"/>
        </w:rPr>
        <w:t>资产分类</w:t>
      </w:r>
    </w:p>
    <w:p>
      <w:pPr>
        <w:ind w:firstLine="600" w:firstLineChars="200"/>
        <w:rPr>
          <w:rFonts w:hint="eastAsia"/>
          <w:sz w:val="30"/>
          <w:szCs w:val="30"/>
        </w:rPr>
      </w:pPr>
      <w:r>
        <w:rPr>
          <w:rFonts w:hint="eastAsia"/>
          <w:sz w:val="30"/>
          <w:szCs w:val="30"/>
        </w:rPr>
        <w:t>管理资产八大类：土地房屋及构筑物、通用设备、专用设备、车辆、图书档案、文物、家具用具装具及动植物、无形资产；</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2）</w:t>
      </w:r>
      <w:r>
        <w:rPr>
          <w:rFonts w:hint="eastAsia"/>
          <w:sz w:val="30"/>
          <w:szCs w:val="30"/>
        </w:rPr>
        <w:t>资产字典</w:t>
      </w:r>
    </w:p>
    <w:p>
      <w:pPr>
        <w:ind w:firstLine="600" w:firstLineChars="200"/>
        <w:rPr>
          <w:rFonts w:hint="eastAsia"/>
          <w:sz w:val="30"/>
          <w:szCs w:val="30"/>
        </w:rPr>
      </w:pPr>
      <w:r>
        <w:rPr>
          <w:rFonts w:hint="eastAsia"/>
          <w:sz w:val="30"/>
          <w:szCs w:val="30"/>
        </w:rPr>
        <w:t>管理资产分类，可按国标码分类管理，也可以根据管理需要自由定义分类管理（映射到国标码）；</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3）</w:t>
      </w:r>
      <w:r>
        <w:rPr>
          <w:rFonts w:hint="eastAsia"/>
          <w:sz w:val="30"/>
          <w:szCs w:val="30"/>
        </w:rPr>
        <w:t>配置基础数据</w:t>
      </w:r>
    </w:p>
    <w:p>
      <w:pPr>
        <w:ind w:firstLine="600" w:firstLineChars="200"/>
        <w:rPr>
          <w:rFonts w:hint="eastAsia"/>
          <w:sz w:val="30"/>
          <w:szCs w:val="30"/>
        </w:rPr>
      </w:pPr>
      <w:r>
        <w:rPr>
          <w:rFonts w:hint="eastAsia"/>
          <w:sz w:val="30"/>
          <w:szCs w:val="30"/>
        </w:rPr>
        <w:t>灵活配置核算对象以及控制方式</w:t>
      </w:r>
      <w:r>
        <w:rPr>
          <w:rFonts w:hint="eastAsia"/>
          <w:sz w:val="30"/>
          <w:szCs w:val="30"/>
          <w:lang w:eastAsia="zh-CN"/>
        </w:rPr>
        <w:t>。</w:t>
      </w:r>
      <w:r>
        <w:rPr>
          <w:rFonts w:hint="eastAsia"/>
          <w:sz w:val="30"/>
          <w:szCs w:val="30"/>
        </w:rPr>
        <w:t>控制方式，如：办公室数、人员级别人数、编制人数、实有人数、房间面积、房间类型等等。</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4）</w:t>
      </w:r>
      <w:r>
        <w:rPr>
          <w:rFonts w:hint="eastAsia"/>
          <w:sz w:val="30"/>
          <w:szCs w:val="30"/>
        </w:rPr>
        <w:t>资产标准配置</w:t>
      </w:r>
    </w:p>
    <w:p>
      <w:pPr>
        <w:ind w:firstLine="600" w:firstLineChars="200"/>
        <w:rPr>
          <w:rFonts w:hint="eastAsia"/>
          <w:sz w:val="30"/>
          <w:szCs w:val="30"/>
        </w:rPr>
      </w:pPr>
      <w:r>
        <w:rPr>
          <w:rFonts w:hint="eastAsia"/>
          <w:sz w:val="30"/>
          <w:szCs w:val="30"/>
        </w:rPr>
        <w:t>多种资产配置标准管控，包括是否控价、单价上限、数量关系、取整方式、固定附加数、是否总量控制、总量上限；</w:t>
      </w:r>
    </w:p>
    <w:p>
      <w:pPr>
        <w:ind w:firstLine="600" w:firstLineChars="200"/>
        <w:rPr>
          <w:rFonts w:hint="eastAsia"/>
          <w:sz w:val="30"/>
          <w:szCs w:val="30"/>
          <w:lang w:val="en-US" w:eastAsia="zh-CN"/>
        </w:rPr>
      </w:pPr>
      <w:r>
        <w:rPr>
          <w:rFonts w:hint="eastAsia"/>
          <w:sz w:val="30"/>
          <w:szCs w:val="30"/>
          <w:lang w:val="en-US" w:eastAsia="zh-CN"/>
        </w:rPr>
        <w:t>（5）资产图片库</w:t>
      </w:r>
    </w:p>
    <w:p>
      <w:pPr>
        <w:ind w:firstLine="600" w:firstLineChars="200"/>
        <w:rPr>
          <w:rFonts w:hint="eastAsia"/>
          <w:sz w:val="30"/>
          <w:szCs w:val="30"/>
          <w:lang w:val="en-US" w:eastAsia="zh-CN"/>
        </w:rPr>
      </w:pPr>
      <w:r>
        <w:rPr>
          <w:rFonts w:hint="eastAsia"/>
          <w:sz w:val="30"/>
          <w:szCs w:val="30"/>
          <w:lang w:val="en-US" w:eastAsia="zh-CN"/>
        </w:rPr>
        <w:t>对名称相近，仅通过规格型号无法具体对应的实物资产通过增加图片信息方式进行区别，例如家具、器具等资产。</w:t>
      </w:r>
    </w:p>
    <w:p>
      <w:pPr>
        <w:ind w:firstLine="600" w:firstLineChars="200"/>
        <w:rPr>
          <w:rFonts w:hint="eastAsia"/>
          <w:sz w:val="30"/>
          <w:szCs w:val="30"/>
        </w:rPr>
      </w:pPr>
      <w:r>
        <w:rPr>
          <w:rFonts w:hint="eastAsia"/>
          <w:sz w:val="30"/>
          <w:szCs w:val="30"/>
          <w:lang w:val="en-US" w:eastAsia="zh-CN"/>
        </w:rPr>
        <w:t>2.</w:t>
      </w:r>
      <w:r>
        <w:rPr>
          <w:rFonts w:hint="eastAsia"/>
          <w:sz w:val="30"/>
          <w:szCs w:val="30"/>
        </w:rPr>
        <w:t>卡片管理</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1）</w:t>
      </w:r>
      <w:r>
        <w:rPr>
          <w:rFonts w:hint="eastAsia"/>
          <w:sz w:val="30"/>
          <w:szCs w:val="30"/>
        </w:rPr>
        <w:t>资产卡片管理（固定资产、无形资产）</w:t>
      </w:r>
    </w:p>
    <w:p>
      <w:pPr>
        <w:ind w:firstLine="600" w:firstLineChars="200"/>
        <w:rPr>
          <w:rFonts w:hint="eastAsia"/>
          <w:sz w:val="30"/>
          <w:szCs w:val="30"/>
        </w:rPr>
      </w:pPr>
      <w:r>
        <w:rPr>
          <w:rFonts w:hint="eastAsia"/>
          <w:sz w:val="30"/>
          <w:szCs w:val="30"/>
        </w:rPr>
        <w:t>维护管理卡片信息，主要包括：基本信息、财务信息、</w:t>
      </w:r>
      <w:r>
        <w:rPr>
          <w:rFonts w:hint="eastAsia"/>
          <w:sz w:val="30"/>
          <w:szCs w:val="30"/>
          <w:lang w:val="en-US" w:eastAsia="zh-CN"/>
        </w:rPr>
        <w:t>固定资产实物图片信息，实现使用人、管理部门、财务部门等多责任主体对同一张卡片信息不同类数据分别进行维护。</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2）</w:t>
      </w:r>
      <w:r>
        <w:rPr>
          <w:rFonts w:hint="eastAsia"/>
          <w:sz w:val="30"/>
          <w:szCs w:val="30"/>
        </w:rPr>
        <w:t>资产卡片拆分</w:t>
      </w:r>
    </w:p>
    <w:p>
      <w:pPr>
        <w:ind w:firstLine="600" w:firstLineChars="200"/>
        <w:rPr>
          <w:rFonts w:hint="eastAsia"/>
          <w:sz w:val="30"/>
          <w:szCs w:val="30"/>
        </w:rPr>
      </w:pPr>
      <w:r>
        <w:rPr>
          <w:rFonts w:hint="eastAsia"/>
          <w:sz w:val="30"/>
          <w:szCs w:val="30"/>
        </w:rPr>
        <w:t>根据资产管理需要将原有资产进行拆分或拆解，从原卡片数量N拆分为N个卡片，</w:t>
      </w:r>
      <w:r>
        <w:rPr>
          <w:rFonts w:hint="eastAsia"/>
          <w:sz w:val="30"/>
          <w:szCs w:val="30"/>
          <w:lang w:val="en-US" w:eastAsia="zh-CN"/>
        </w:rPr>
        <w:t>或</w:t>
      </w:r>
      <w:r>
        <w:rPr>
          <w:rFonts w:hint="eastAsia"/>
          <w:sz w:val="30"/>
          <w:szCs w:val="30"/>
        </w:rPr>
        <w:t>从原卡片数量1拆分为N个卡片。</w:t>
      </w:r>
    </w:p>
    <w:p>
      <w:pPr>
        <w:ind w:firstLine="600" w:firstLineChars="200"/>
        <w:rPr>
          <w:rFonts w:hint="eastAsia"/>
          <w:sz w:val="30"/>
          <w:szCs w:val="30"/>
          <w:lang w:val="en-US" w:eastAsia="zh-CN"/>
        </w:rPr>
      </w:pPr>
      <w:r>
        <w:rPr>
          <w:rFonts w:hint="eastAsia"/>
          <w:sz w:val="30"/>
          <w:szCs w:val="30"/>
          <w:lang w:eastAsia="zh-CN"/>
        </w:rPr>
        <w:t>（</w:t>
      </w:r>
      <w:r>
        <w:rPr>
          <w:rFonts w:hint="eastAsia"/>
          <w:sz w:val="30"/>
          <w:szCs w:val="30"/>
          <w:lang w:val="en-US" w:eastAsia="zh-CN"/>
        </w:rPr>
        <w:t>3）资产到期提醒</w:t>
      </w:r>
    </w:p>
    <w:p>
      <w:pPr>
        <w:ind w:firstLine="600" w:firstLineChars="200"/>
        <w:rPr>
          <w:rFonts w:hint="default"/>
          <w:sz w:val="30"/>
          <w:szCs w:val="30"/>
          <w:lang w:val="en-US" w:eastAsia="zh-CN"/>
        </w:rPr>
      </w:pPr>
      <w:r>
        <w:rPr>
          <w:rFonts w:hint="eastAsia"/>
          <w:sz w:val="30"/>
          <w:szCs w:val="30"/>
          <w:lang w:val="en-US" w:eastAsia="zh-CN"/>
        </w:rPr>
        <w:t>对达到或即将（自定义时限）达到折旧年限资产进行到期提醒。</w:t>
      </w:r>
    </w:p>
    <w:p>
      <w:pPr>
        <w:ind w:firstLine="600" w:firstLineChars="200"/>
        <w:rPr>
          <w:rFonts w:hint="eastAsia"/>
          <w:sz w:val="30"/>
          <w:szCs w:val="30"/>
          <w:lang w:val="en-US" w:eastAsia="zh-CN"/>
        </w:rPr>
      </w:pPr>
      <w:r>
        <w:rPr>
          <w:rFonts w:hint="eastAsia"/>
          <w:sz w:val="30"/>
          <w:szCs w:val="30"/>
          <w:lang w:val="en-US" w:eastAsia="zh-CN"/>
        </w:rPr>
        <w:t>3.流程管理</w:t>
      </w:r>
    </w:p>
    <w:p>
      <w:pPr>
        <w:ind w:firstLine="600" w:firstLineChars="200"/>
        <w:rPr>
          <w:rFonts w:hint="eastAsia"/>
          <w:sz w:val="30"/>
          <w:szCs w:val="30"/>
          <w:lang w:val="en-US" w:eastAsia="zh-CN"/>
        </w:rPr>
      </w:pPr>
      <w:r>
        <w:rPr>
          <w:rFonts w:hint="eastAsia"/>
          <w:sz w:val="30"/>
          <w:szCs w:val="30"/>
          <w:lang w:val="en-US" w:eastAsia="zh-CN"/>
        </w:rPr>
        <w:t>（1）资产配置申请。</w:t>
      </w:r>
    </w:p>
    <w:p>
      <w:pPr>
        <w:ind w:firstLine="600" w:firstLineChars="200"/>
        <w:rPr>
          <w:rFonts w:hint="eastAsia"/>
          <w:sz w:val="30"/>
          <w:szCs w:val="30"/>
          <w:lang w:val="en-US" w:eastAsia="zh-CN"/>
        </w:rPr>
      </w:pPr>
      <w:r>
        <w:rPr>
          <w:rFonts w:hint="eastAsia"/>
          <w:sz w:val="30"/>
          <w:szCs w:val="30"/>
          <w:lang w:val="en-US" w:eastAsia="zh-CN"/>
        </w:rPr>
        <w:t>部门对通用资产提出资产配置申请，管理部门负责统筹资产购置。</w:t>
      </w:r>
    </w:p>
    <w:p>
      <w:pPr>
        <w:ind w:firstLine="600" w:firstLineChars="200"/>
        <w:rPr>
          <w:rFonts w:hint="eastAsia"/>
          <w:sz w:val="30"/>
          <w:szCs w:val="30"/>
          <w:lang w:val="en-US" w:eastAsia="zh-CN"/>
        </w:rPr>
      </w:pPr>
      <w:r>
        <w:rPr>
          <w:rFonts w:hint="eastAsia"/>
          <w:sz w:val="30"/>
          <w:szCs w:val="30"/>
          <w:lang w:val="en-US" w:eastAsia="zh-CN"/>
        </w:rPr>
        <w:t>资产新增、配发或</w:t>
      </w:r>
      <w:r>
        <w:rPr>
          <w:rFonts w:hint="eastAsia"/>
          <w:sz w:val="30"/>
          <w:szCs w:val="30"/>
        </w:rPr>
        <w:t>领用</w:t>
      </w:r>
      <w:r>
        <w:rPr>
          <w:rFonts w:hint="eastAsia"/>
          <w:sz w:val="30"/>
          <w:szCs w:val="30"/>
          <w:lang w:val="en-US" w:eastAsia="zh-CN"/>
        </w:rPr>
        <w:t>。</w:t>
      </w:r>
    </w:p>
    <w:p>
      <w:pPr>
        <w:ind w:firstLine="600" w:firstLineChars="200"/>
        <w:rPr>
          <w:rFonts w:hint="eastAsia"/>
          <w:sz w:val="30"/>
          <w:szCs w:val="30"/>
        </w:rPr>
      </w:pPr>
      <w:r>
        <w:rPr>
          <w:rFonts w:hint="eastAsia"/>
          <w:sz w:val="30"/>
          <w:szCs w:val="30"/>
          <w:lang w:val="en-US" w:eastAsia="zh-CN"/>
        </w:rPr>
        <w:t>涉及使用人、各部门、管理部门、财务部门等多责任主体，包括资产增加、审核、验收环节。分配到个人的资产需要个人确认，进行个人资产日常管理</w:t>
      </w:r>
      <w:r>
        <w:rPr>
          <w:rFonts w:hint="eastAsia"/>
          <w:sz w:val="30"/>
          <w:szCs w:val="30"/>
        </w:rPr>
        <w:t>。</w:t>
      </w:r>
    </w:p>
    <w:p>
      <w:pPr>
        <w:ind w:firstLine="600" w:firstLineChars="200"/>
        <w:rPr>
          <w:rFonts w:hint="default"/>
          <w:sz w:val="30"/>
          <w:szCs w:val="30"/>
          <w:lang w:val="en-US" w:eastAsia="zh-CN"/>
        </w:rPr>
      </w:pPr>
      <w:r>
        <w:rPr>
          <w:rFonts w:hint="eastAsia"/>
          <w:sz w:val="30"/>
          <w:szCs w:val="30"/>
          <w:lang w:val="en-US" w:eastAsia="zh-CN"/>
        </w:rPr>
        <w:t>对低值易耗品的新增、配发或</w:t>
      </w:r>
      <w:r>
        <w:rPr>
          <w:rFonts w:hint="eastAsia"/>
          <w:sz w:val="30"/>
          <w:szCs w:val="30"/>
        </w:rPr>
        <w:t>领用</w:t>
      </w:r>
      <w:r>
        <w:rPr>
          <w:rFonts w:hint="eastAsia"/>
          <w:sz w:val="30"/>
          <w:szCs w:val="30"/>
          <w:lang w:val="en-US" w:eastAsia="zh-CN"/>
        </w:rPr>
        <w:t>仅就实物量进行管理。流程涉及各部门和管理部门。</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3）</w:t>
      </w:r>
      <w:r>
        <w:rPr>
          <w:rFonts w:hint="eastAsia"/>
          <w:sz w:val="30"/>
          <w:szCs w:val="30"/>
        </w:rPr>
        <w:t>资产</w:t>
      </w:r>
      <w:r>
        <w:rPr>
          <w:rFonts w:hint="eastAsia"/>
          <w:sz w:val="30"/>
          <w:szCs w:val="30"/>
          <w:lang w:val="en-US" w:eastAsia="zh-CN"/>
        </w:rPr>
        <w:t>调剂、</w:t>
      </w:r>
      <w:r>
        <w:rPr>
          <w:rFonts w:hint="eastAsia"/>
          <w:sz w:val="30"/>
          <w:szCs w:val="30"/>
        </w:rPr>
        <w:t>调拨</w:t>
      </w:r>
    </w:p>
    <w:p>
      <w:pPr>
        <w:ind w:firstLine="600" w:firstLineChars="200"/>
        <w:rPr>
          <w:rFonts w:hint="eastAsia"/>
          <w:sz w:val="30"/>
          <w:szCs w:val="30"/>
        </w:rPr>
      </w:pPr>
      <w:r>
        <w:rPr>
          <w:rFonts w:hint="eastAsia"/>
          <w:sz w:val="30"/>
          <w:szCs w:val="30"/>
          <w:lang w:val="en-US" w:eastAsia="zh-CN"/>
        </w:rPr>
        <w:t>归口管理部门发起</w:t>
      </w:r>
      <w:r>
        <w:rPr>
          <w:rFonts w:hint="eastAsia"/>
          <w:sz w:val="30"/>
          <w:szCs w:val="30"/>
        </w:rPr>
        <w:t>资产</w:t>
      </w:r>
      <w:r>
        <w:rPr>
          <w:rFonts w:hint="eastAsia"/>
          <w:sz w:val="30"/>
          <w:szCs w:val="30"/>
          <w:lang w:val="en-US" w:eastAsia="zh-CN"/>
        </w:rPr>
        <w:t>调剂或</w:t>
      </w:r>
      <w:r>
        <w:rPr>
          <w:rFonts w:hint="eastAsia"/>
          <w:sz w:val="30"/>
          <w:szCs w:val="30"/>
        </w:rPr>
        <w:t>调拨，</w:t>
      </w:r>
      <w:r>
        <w:rPr>
          <w:rFonts w:hint="eastAsia"/>
          <w:sz w:val="30"/>
          <w:szCs w:val="30"/>
          <w:lang w:val="en-US" w:eastAsia="zh-CN"/>
        </w:rPr>
        <w:t>各部门在时限内完成实务调拨并维护</w:t>
      </w:r>
      <w:r>
        <w:rPr>
          <w:rFonts w:hint="eastAsia"/>
          <w:sz w:val="30"/>
          <w:szCs w:val="30"/>
        </w:rPr>
        <w:t>变更资产</w:t>
      </w:r>
      <w:r>
        <w:rPr>
          <w:rFonts w:hint="eastAsia"/>
          <w:sz w:val="30"/>
          <w:szCs w:val="30"/>
          <w:lang w:val="en-US" w:eastAsia="zh-CN"/>
        </w:rPr>
        <w:t>信息</w:t>
      </w:r>
      <w:r>
        <w:rPr>
          <w:rFonts w:hint="eastAsia"/>
          <w:sz w:val="30"/>
          <w:szCs w:val="30"/>
        </w:rPr>
        <w:t>。</w:t>
      </w:r>
    </w:p>
    <w:p>
      <w:pPr>
        <w:ind w:firstLine="600" w:firstLineChars="200"/>
        <w:rPr>
          <w:rFonts w:hint="eastAsia"/>
          <w:sz w:val="30"/>
          <w:szCs w:val="30"/>
        </w:rPr>
      </w:pPr>
      <w:r>
        <w:rPr>
          <w:rFonts w:hint="eastAsia"/>
          <w:sz w:val="30"/>
          <w:szCs w:val="30"/>
        </w:rPr>
        <w:t>（</w:t>
      </w:r>
      <w:r>
        <w:rPr>
          <w:rFonts w:hint="eastAsia"/>
          <w:sz w:val="30"/>
          <w:szCs w:val="30"/>
          <w:lang w:val="en-US" w:eastAsia="zh-CN"/>
        </w:rPr>
        <w:t>4</w:t>
      </w:r>
      <w:r>
        <w:rPr>
          <w:rFonts w:hint="eastAsia"/>
          <w:sz w:val="30"/>
          <w:szCs w:val="30"/>
        </w:rPr>
        <w:t>）资产</w:t>
      </w:r>
      <w:r>
        <w:rPr>
          <w:rFonts w:hint="eastAsia"/>
          <w:sz w:val="30"/>
          <w:szCs w:val="30"/>
          <w:lang w:val="en-US" w:eastAsia="zh-CN"/>
        </w:rPr>
        <w:t>内部</w:t>
      </w:r>
      <w:r>
        <w:rPr>
          <w:rFonts w:hint="eastAsia"/>
          <w:sz w:val="30"/>
          <w:szCs w:val="30"/>
        </w:rPr>
        <w:t>出借、归还</w:t>
      </w:r>
    </w:p>
    <w:p>
      <w:pPr>
        <w:ind w:firstLine="600" w:firstLineChars="200"/>
        <w:rPr>
          <w:rFonts w:hint="eastAsia"/>
          <w:sz w:val="30"/>
          <w:szCs w:val="30"/>
        </w:rPr>
      </w:pPr>
      <w:r>
        <w:rPr>
          <w:rFonts w:hint="eastAsia"/>
          <w:sz w:val="30"/>
          <w:szCs w:val="30"/>
        </w:rPr>
        <w:t>管理资产</w:t>
      </w:r>
      <w:r>
        <w:rPr>
          <w:rFonts w:hint="eastAsia"/>
          <w:sz w:val="30"/>
          <w:szCs w:val="30"/>
          <w:lang w:val="en-US" w:eastAsia="zh-CN"/>
        </w:rPr>
        <w:t>在部门间</w:t>
      </w:r>
      <w:r>
        <w:rPr>
          <w:rFonts w:hint="eastAsia"/>
          <w:sz w:val="30"/>
          <w:szCs w:val="30"/>
        </w:rPr>
        <w:t>出借</w:t>
      </w:r>
      <w:r>
        <w:rPr>
          <w:rFonts w:hint="eastAsia"/>
          <w:sz w:val="30"/>
          <w:szCs w:val="30"/>
          <w:lang w:eastAsia="zh-CN"/>
        </w:rPr>
        <w:t>、</w:t>
      </w:r>
      <w:r>
        <w:rPr>
          <w:rFonts w:hint="eastAsia"/>
          <w:sz w:val="30"/>
          <w:szCs w:val="30"/>
          <w:lang w:val="en-US" w:eastAsia="zh-CN"/>
        </w:rPr>
        <w:t>归还，均需通过归口管理部门审核</w:t>
      </w:r>
      <w:r>
        <w:rPr>
          <w:rFonts w:hint="eastAsia"/>
          <w:sz w:val="30"/>
          <w:szCs w:val="30"/>
        </w:rPr>
        <w:t>。</w:t>
      </w:r>
    </w:p>
    <w:p>
      <w:pPr>
        <w:ind w:firstLine="600" w:firstLineChars="200"/>
        <w:rPr>
          <w:rFonts w:hint="eastAsia"/>
          <w:sz w:val="30"/>
          <w:szCs w:val="30"/>
        </w:rPr>
      </w:pPr>
      <w:r>
        <w:rPr>
          <w:rFonts w:hint="eastAsia"/>
          <w:sz w:val="30"/>
          <w:szCs w:val="30"/>
        </w:rPr>
        <w:t>（</w:t>
      </w:r>
      <w:r>
        <w:rPr>
          <w:rFonts w:hint="eastAsia"/>
          <w:sz w:val="30"/>
          <w:szCs w:val="30"/>
          <w:lang w:val="en-US" w:eastAsia="zh-CN"/>
        </w:rPr>
        <w:t>5</w:t>
      </w:r>
      <w:r>
        <w:rPr>
          <w:rFonts w:hint="eastAsia"/>
          <w:sz w:val="30"/>
          <w:szCs w:val="30"/>
        </w:rPr>
        <w:t>）资产</w:t>
      </w:r>
      <w:r>
        <w:rPr>
          <w:rFonts w:hint="eastAsia"/>
          <w:sz w:val="30"/>
          <w:szCs w:val="30"/>
          <w:lang w:val="en-US" w:eastAsia="zh-CN"/>
        </w:rPr>
        <w:t>维修、</w:t>
      </w:r>
      <w:r>
        <w:rPr>
          <w:rFonts w:hint="eastAsia"/>
          <w:sz w:val="30"/>
          <w:szCs w:val="30"/>
        </w:rPr>
        <w:t>处置</w:t>
      </w:r>
    </w:p>
    <w:p>
      <w:pPr>
        <w:ind w:firstLine="600" w:firstLineChars="200"/>
        <w:rPr>
          <w:rFonts w:hint="eastAsia"/>
          <w:sz w:val="30"/>
          <w:szCs w:val="30"/>
        </w:rPr>
      </w:pPr>
      <w:r>
        <w:rPr>
          <w:rFonts w:hint="eastAsia"/>
          <w:sz w:val="30"/>
          <w:szCs w:val="30"/>
          <w:lang w:val="en-US" w:eastAsia="zh-CN"/>
        </w:rPr>
        <w:t>对符合资产维修、处置条件的</w:t>
      </w:r>
      <w:r>
        <w:rPr>
          <w:rFonts w:hint="eastAsia"/>
          <w:sz w:val="30"/>
          <w:szCs w:val="30"/>
        </w:rPr>
        <w:t>资产</w:t>
      </w:r>
      <w:r>
        <w:rPr>
          <w:rFonts w:hint="eastAsia"/>
          <w:sz w:val="30"/>
          <w:szCs w:val="30"/>
          <w:lang w:eastAsia="zh-CN"/>
        </w:rPr>
        <w:t>，</w:t>
      </w:r>
      <w:r>
        <w:rPr>
          <w:rFonts w:hint="eastAsia"/>
          <w:sz w:val="30"/>
          <w:szCs w:val="30"/>
          <w:lang w:val="en-US" w:eastAsia="zh-CN"/>
        </w:rPr>
        <w:t>部门提出</w:t>
      </w:r>
      <w:r>
        <w:rPr>
          <w:rFonts w:hint="eastAsia"/>
          <w:sz w:val="30"/>
          <w:szCs w:val="30"/>
        </w:rPr>
        <w:t>申请，</w:t>
      </w:r>
      <w:r>
        <w:rPr>
          <w:rFonts w:hint="eastAsia"/>
          <w:sz w:val="30"/>
          <w:szCs w:val="30"/>
          <w:lang w:val="en-US" w:eastAsia="zh-CN"/>
        </w:rPr>
        <w:t>资产归口管理部门负责协调安排资产维修和</w:t>
      </w:r>
      <w:r>
        <w:rPr>
          <w:rFonts w:hint="eastAsia"/>
          <w:sz w:val="30"/>
          <w:szCs w:val="30"/>
        </w:rPr>
        <w:t>资产处置。</w:t>
      </w:r>
    </w:p>
    <w:p>
      <w:pPr>
        <w:ind w:firstLine="600" w:firstLineChars="200"/>
        <w:rPr>
          <w:rFonts w:hint="eastAsia"/>
          <w:sz w:val="30"/>
          <w:szCs w:val="30"/>
        </w:rPr>
      </w:pPr>
      <w:r>
        <w:rPr>
          <w:rFonts w:hint="eastAsia"/>
          <w:sz w:val="30"/>
          <w:szCs w:val="30"/>
          <w:lang w:val="en-US" w:eastAsia="zh-CN"/>
        </w:rPr>
        <w:t>（6）资产盘点</w:t>
      </w:r>
    </w:p>
    <w:p>
      <w:pPr>
        <w:ind w:firstLine="600" w:firstLineChars="200"/>
        <w:rPr>
          <w:rFonts w:hint="eastAsia"/>
          <w:sz w:val="30"/>
          <w:szCs w:val="30"/>
          <w:lang w:val="en-US" w:eastAsia="zh-CN"/>
        </w:rPr>
      </w:pPr>
      <w:r>
        <w:rPr>
          <w:rFonts w:hint="eastAsia"/>
          <w:sz w:val="30"/>
          <w:szCs w:val="30"/>
        </w:rPr>
        <w:t>盘点方案</w:t>
      </w:r>
      <w:r>
        <w:rPr>
          <w:rFonts w:hint="eastAsia"/>
          <w:sz w:val="30"/>
          <w:szCs w:val="30"/>
          <w:lang w:val="en-US" w:eastAsia="zh-CN"/>
        </w:rPr>
        <w:t>可</w:t>
      </w:r>
      <w:r>
        <w:rPr>
          <w:rFonts w:hint="eastAsia"/>
          <w:sz w:val="30"/>
          <w:szCs w:val="30"/>
        </w:rPr>
        <w:t>灵活设置</w:t>
      </w:r>
      <w:r>
        <w:rPr>
          <w:rFonts w:hint="eastAsia"/>
          <w:sz w:val="30"/>
          <w:szCs w:val="30"/>
          <w:lang w:eastAsia="zh-CN"/>
        </w:rPr>
        <w:t>。</w:t>
      </w:r>
      <w:r>
        <w:rPr>
          <w:rFonts w:hint="eastAsia"/>
          <w:sz w:val="30"/>
          <w:szCs w:val="30"/>
          <w:lang w:val="en-US" w:eastAsia="zh-CN"/>
        </w:rPr>
        <w:t>对</w:t>
      </w:r>
      <w:r>
        <w:rPr>
          <w:rFonts w:hint="eastAsia"/>
          <w:sz w:val="30"/>
          <w:szCs w:val="30"/>
        </w:rPr>
        <w:t>使用状态、存放地点、使用部门、使用人</w:t>
      </w:r>
      <w:r>
        <w:rPr>
          <w:rFonts w:hint="eastAsia"/>
          <w:sz w:val="30"/>
          <w:szCs w:val="30"/>
          <w:lang w:val="en-US" w:eastAsia="zh-CN"/>
        </w:rPr>
        <w:t>等</w:t>
      </w:r>
      <w:r>
        <w:rPr>
          <w:rFonts w:hint="eastAsia"/>
          <w:sz w:val="30"/>
          <w:szCs w:val="30"/>
        </w:rPr>
        <w:t>存在变化的盘点结果</w:t>
      </w:r>
      <w:r>
        <w:rPr>
          <w:rFonts w:hint="eastAsia"/>
          <w:sz w:val="30"/>
          <w:szCs w:val="30"/>
          <w:lang w:val="en-US" w:eastAsia="zh-CN"/>
        </w:rPr>
        <w:t>进行</w:t>
      </w:r>
      <w:r>
        <w:rPr>
          <w:rFonts w:hint="eastAsia"/>
          <w:sz w:val="30"/>
          <w:szCs w:val="30"/>
        </w:rPr>
        <w:t>更新</w:t>
      </w:r>
      <w:r>
        <w:rPr>
          <w:rFonts w:hint="eastAsia"/>
          <w:sz w:val="30"/>
          <w:szCs w:val="30"/>
          <w:lang w:eastAsia="zh-CN"/>
        </w:rPr>
        <w:t>，</w:t>
      </w:r>
      <w:r>
        <w:rPr>
          <w:rFonts w:hint="eastAsia"/>
          <w:sz w:val="30"/>
          <w:szCs w:val="30"/>
          <w:lang w:val="en-US" w:eastAsia="zh-CN"/>
        </w:rPr>
        <w:t>更新记录可查询。资产盘盈可选</w:t>
      </w:r>
      <w:r>
        <w:rPr>
          <w:rFonts w:hint="eastAsia"/>
          <w:sz w:val="30"/>
          <w:szCs w:val="30"/>
        </w:rPr>
        <w:t>自动生成资产卡片</w:t>
      </w:r>
      <w:r>
        <w:rPr>
          <w:rFonts w:hint="eastAsia"/>
          <w:sz w:val="30"/>
          <w:szCs w:val="30"/>
          <w:lang w:val="en-US" w:eastAsia="zh-CN"/>
        </w:rPr>
        <w:t>、盘亏可选</w:t>
      </w:r>
      <w:r>
        <w:rPr>
          <w:rFonts w:hint="eastAsia"/>
          <w:sz w:val="30"/>
          <w:szCs w:val="30"/>
        </w:rPr>
        <w:t>自动生成资产处置单</w:t>
      </w:r>
      <w:r>
        <w:rPr>
          <w:rFonts w:hint="eastAsia"/>
          <w:sz w:val="30"/>
          <w:szCs w:val="30"/>
          <w:lang w:eastAsia="zh-CN"/>
        </w:rPr>
        <w:t>。</w:t>
      </w:r>
    </w:p>
    <w:p>
      <w:pPr>
        <w:ind w:firstLine="600" w:firstLineChars="200"/>
        <w:rPr>
          <w:rFonts w:hint="eastAsia"/>
          <w:sz w:val="30"/>
          <w:szCs w:val="30"/>
          <w:lang w:val="en-US" w:eastAsia="zh-CN"/>
        </w:rPr>
      </w:pPr>
      <w:bookmarkStart w:id="71" w:name="_Toc520709254"/>
      <w:bookmarkStart w:id="72" w:name="_Toc390719111"/>
      <w:bookmarkStart w:id="73" w:name="_Toc454081979"/>
      <w:bookmarkStart w:id="74" w:name="_Toc390719256"/>
      <w:r>
        <w:rPr>
          <w:rFonts w:hint="eastAsia"/>
          <w:sz w:val="30"/>
          <w:szCs w:val="30"/>
          <w:lang w:val="en-US" w:eastAsia="zh-CN"/>
        </w:rPr>
        <w:t>4.其他功能</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1）</w:t>
      </w:r>
      <w:r>
        <w:rPr>
          <w:rFonts w:hint="eastAsia"/>
          <w:sz w:val="30"/>
          <w:szCs w:val="30"/>
        </w:rPr>
        <w:t>资产折旧</w:t>
      </w:r>
      <w:bookmarkEnd w:id="71"/>
      <w:bookmarkEnd w:id="72"/>
      <w:bookmarkEnd w:id="73"/>
      <w:bookmarkEnd w:id="74"/>
    </w:p>
    <w:p>
      <w:pPr>
        <w:ind w:firstLine="600" w:firstLineChars="200"/>
        <w:rPr>
          <w:rFonts w:hint="eastAsia"/>
          <w:sz w:val="30"/>
          <w:szCs w:val="30"/>
        </w:rPr>
      </w:pPr>
      <w:r>
        <w:rPr>
          <w:rFonts w:hint="eastAsia"/>
          <w:sz w:val="30"/>
          <w:szCs w:val="30"/>
        </w:rPr>
        <w:t>可按原值</w:t>
      </w:r>
      <w:r>
        <w:rPr>
          <w:rFonts w:hint="eastAsia"/>
          <w:sz w:val="30"/>
          <w:szCs w:val="30"/>
          <w:lang w:val="en-US" w:eastAsia="zh-CN"/>
        </w:rPr>
        <w:t>管理</w:t>
      </w:r>
      <w:r>
        <w:rPr>
          <w:rFonts w:hint="eastAsia"/>
          <w:sz w:val="30"/>
          <w:szCs w:val="30"/>
          <w:lang w:eastAsia="zh-CN"/>
        </w:rPr>
        <w:t>，</w:t>
      </w:r>
      <w:r>
        <w:rPr>
          <w:rFonts w:hint="eastAsia"/>
          <w:sz w:val="30"/>
          <w:szCs w:val="30"/>
          <w:lang w:val="en-US" w:eastAsia="zh-CN"/>
        </w:rPr>
        <w:t>也可按折旧、摊销进行管理，反映净值、已计提月份</w:t>
      </w:r>
      <w:r>
        <w:rPr>
          <w:rFonts w:hint="eastAsia"/>
          <w:sz w:val="30"/>
          <w:szCs w:val="30"/>
          <w:lang w:eastAsia="zh-CN"/>
        </w:rPr>
        <w:t>；</w:t>
      </w:r>
      <w:r>
        <w:rPr>
          <w:rFonts w:hint="eastAsia"/>
          <w:sz w:val="30"/>
          <w:szCs w:val="30"/>
        </w:rPr>
        <w:t>可以选择某件资产或某类资产计提折旧或不计提折旧</w:t>
      </w:r>
      <w:r>
        <w:rPr>
          <w:rFonts w:hint="eastAsia"/>
          <w:sz w:val="30"/>
          <w:szCs w:val="30"/>
          <w:lang w:eastAsia="zh-CN"/>
        </w:rPr>
        <w:t>；</w:t>
      </w:r>
      <w:r>
        <w:rPr>
          <w:rFonts w:hint="eastAsia"/>
          <w:sz w:val="30"/>
          <w:szCs w:val="30"/>
        </w:rPr>
        <w:t>不同资产可以自由选择折旧算法，自动生成折旧账表。系统</w:t>
      </w:r>
      <w:r>
        <w:rPr>
          <w:rFonts w:hint="eastAsia"/>
          <w:sz w:val="30"/>
          <w:szCs w:val="30"/>
          <w:lang w:val="en-US" w:eastAsia="zh-CN"/>
        </w:rPr>
        <w:t>至少设置</w:t>
      </w:r>
      <w:r>
        <w:rPr>
          <w:rFonts w:hint="eastAsia"/>
          <w:sz w:val="30"/>
          <w:szCs w:val="30"/>
        </w:rPr>
        <w:t>平均年限法。</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2）</w:t>
      </w:r>
      <w:r>
        <w:rPr>
          <w:rFonts w:hint="eastAsia"/>
          <w:sz w:val="30"/>
          <w:szCs w:val="30"/>
        </w:rPr>
        <w:t>查询功能</w:t>
      </w:r>
    </w:p>
    <w:p>
      <w:pPr>
        <w:ind w:firstLine="600" w:firstLineChars="200"/>
        <w:rPr>
          <w:rFonts w:hint="eastAsia"/>
          <w:sz w:val="30"/>
          <w:szCs w:val="30"/>
        </w:rPr>
      </w:pPr>
      <w:r>
        <w:rPr>
          <w:rFonts w:hint="eastAsia"/>
          <w:sz w:val="30"/>
          <w:szCs w:val="30"/>
        </w:rPr>
        <w:t>查询功能，</w:t>
      </w:r>
      <w:r>
        <w:rPr>
          <w:rFonts w:hint="eastAsia"/>
          <w:sz w:val="30"/>
          <w:szCs w:val="30"/>
          <w:lang w:val="en-US" w:eastAsia="zh-CN"/>
        </w:rPr>
        <w:t>支持通过</w:t>
      </w:r>
      <w:r>
        <w:rPr>
          <w:rFonts w:hint="eastAsia"/>
          <w:sz w:val="30"/>
          <w:szCs w:val="30"/>
        </w:rPr>
        <w:t>验收单、处置单等单据查询</w:t>
      </w:r>
      <w:r>
        <w:rPr>
          <w:rFonts w:hint="eastAsia"/>
          <w:sz w:val="30"/>
          <w:szCs w:val="30"/>
          <w:lang w:eastAsia="zh-CN"/>
        </w:rPr>
        <w:t>；</w:t>
      </w:r>
      <w:r>
        <w:rPr>
          <w:rFonts w:hint="eastAsia"/>
          <w:sz w:val="30"/>
          <w:szCs w:val="30"/>
          <w:lang w:val="en-US" w:eastAsia="zh-CN"/>
        </w:rPr>
        <w:t>支持</w:t>
      </w:r>
      <w:r>
        <w:rPr>
          <w:rFonts w:hint="eastAsia"/>
          <w:sz w:val="30"/>
          <w:szCs w:val="30"/>
        </w:rPr>
        <w:t>资产</w:t>
      </w:r>
      <w:r>
        <w:rPr>
          <w:rFonts w:hint="eastAsia"/>
          <w:sz w:val="30"/>
          <w:szCs w:val="30"/>
          <w:lang w:val="en-US" w:eastAsia="zh-CN"/>
        </w:rPr>
        <w:t>卡片</w:t>
      </w:r>
      <w:r>
        <w:rPr>
          <w:rFonts w:hint="eastAsia"/>
          <w:sz w:val="30"/>
          <w:szCs w:val="30"/>
        </w:rPr>
        <w:t>信息</w:t>
      </w:r>
      <w:r>
        <w:rPr>
          <w:rFonts w:hint="eastAsia"/>
          <w:sz w:val="30"/>
          <w:szCs w:val="30"/>
          <w:lang w:val="en-US" w:eastAsia="zh-CN"/>
        </w:rPr>
        <w:t>项目多</w:t>
      </w:r>
      <w:r>
        <w:rPr>
          <w:rFonts w:hint="eastAsia"/>
          <w:sz w:val="30"/>
          <w:szCs w:val="30"/>
        </w:rPr>
        <w:t>条件</w:t>
      </w:r>
      <w:r>
        <w:rPr>
          <w:rFonts w:hint="eastAsia"/>
          <w:sz w:val="30"/>
          <w:szCs w:val="30"/>
          <w:lang w:val="en-US" w:eastAsia="zh-CN"/>
        </w:rPr>
        <w:t>或自定义条件</w:t>
      </w:r>
      <w:r>
        <w:rPr>
          <w:rFonts w:hint="eastAsia"/>
          <w:sz w:val="30"/>
          <w:szCs w:val="30"/>
        </w:rPr>
        <w:t>查询</w:t>
      </w:r>
      <w:r>
        <w:rPr>
          <w:rFonts w:hint="eastAsia"/>
          <w:sz w:val="30"/>
          <w:szCs w:val="30"/>
          <w:lang w:eastAsia="zh-CN"/>
        </w:rPr>
        <w:t>；</w:t>
      </w:r>
      <w:r>
        <w:rPr>
          <w:rFonts w:hint="eastAsia"/>
          <w:sz w:val="30"/>
          <w:szCs w:val="30"/>
          <w:lang w:val="en-US" w:eastAsia="zh-CN"/>
        </w:rPr>
        <w:t>支持图片查询；同时可</w:t>
      </w:r>
      <w:r>
        <w:rPr>
          <w:rFonts w:hint="eastAsia"/>
          <w:sz w:val="30"/>
          <w:szCs w:val="30"/>
        </w:rPr>
        <w:t>按照部门、人员、地点、资产分类</w:t>
      </w:r>
      <w:r>
        <w:rPr>
          <w:rFonts w:hint="eastAsia"/>
          <w:sz w:val="30"/>
          <w:szCs w:val="30"/>
          <w:lang w:val="en-US" w:eastAsia="zh-CN"/>
        </w:rPr>
        <w:t>进行</w:t>
      </w:r>
      <w:r>
        <w:rPr>
          <w:rFonts w:hint="eastAsia"/>
          <w:sz w:val="30"/>
          <w:szCs w:val="30"/>
        </w:rPr>
        <w:t>汇总查询</w:t>
      </w:r>
      <w:r>
        <w:rPr>
          <w:rFonts w:hint="eastAsia"/>
          <w:sz w:val="30"/>
          <w:szCs w:val="30"/>
          <w:lang w:val="en-US" w:eastAsia="zh-CN"/>
        </w:rPr>
        <w:t>及多节点查询</w:t>
      </w:r>
      <w:r>
        <w:rPr>
          <w:rFonts w:hint="eastAsia"/>
          <w:sz w:val="30"/>
          <w:szCs w:val="30"/>
        </w:rPr>
        <w:t>。</w:t>
      </w: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3）</w:t>
      </w:r>
      <w:r>
        <w:rPr>
          <w:rFonts w:hint="eastAsia"/>
          <w:sz w:val="30"/>
          <w:szCs w:val="30"/>
        </w:rPr>
        <w:t>统计分析功能</w:t>
      </w:r>
    </w:p>
    <w:p>
      <w:pPr>
        <w:ind w:firstLine="600" w:firstLineChars="200"/>
        <w:rPr>
          <w:rFonts w:hint="eastAsia"/>
          <w:sz w:val="30"/>
          <w:szCs w:val="30"/>
        </w:rPr>
      </w:pPr>
      <w:r>
        <w:rPr>
          <w:rFonts w:hint="eastAsia"/>
          <w:sz w:val="30"/>
          <w:szCs w:val="30"/>
        </w:rPr>
        <w:t>统计分析往年或当前年资产信息的统计分析，根据日常业务变化情况统计出各种报表或者图表。</w:t>
      </w:r>
    </w:p>
    <w:p>
      <w:pPr>
        <w:ind w:firstLine="600" w:firstLineChars="200"/>
        <w:rPr>
          <w:rFonts w:hint="eastAsia"/>
          <w:sz w:val="30"/>
          <w:szCs w:val="30"/>
          <w:lang w:val="en-US" w:eastAsia="zh-CN"/>
        </w:rPr>
      </w:pPr>
      <w:r>
        <w:rPr>
          <w:rFonts w:hint="eastAsia"/>
          <w:sz w:val="30"/>
          <w:szCs w:val="30"/>
          <w:lang w:eastAsia="zh-CN"/>
        </w:rPr>
        <w:t>（</w:t>
      </w:r>
      <w:r>
        <w:rPr>
          <w:rFonts w:hint="eastAsia"/>
          <w:sz w:val="30"/>
          <w:szCs w:val="30"/>
          <w:lang w:val="en-US" w:eastAsia="zh-CN"/>
        </w:rPr>
        <w:t>4）</w:t>
      </w:r>
      <w:r>
        <w:rPr>
          <w:rFonts w:hint="eastAsia"/>
          <w:sz w:val="30"/>
          <w:szCs w:val="30"/>
        </w:rPr>
        <w:t>基础设置和系统</w:t>
      </w:r>
      <w:r>
        <w:rPr>
          <w:rFonts w:hint="eastAsia"/>
          <w:sz w:val="30"/>
          <w:szCs w:val="30"/>
          <w:lang w:val="en-US" w:eastAsia="zh-CN"/>
        </w:rPr>
        <w:t>设置</w:t>
      </w:r>
    </w:p>
    <w:p>
      <w:pPr>
        <w:ind w:firstLine="600" w:firstLineChars="200"/>
        <w:rPr>
          <w:rFonts w:hint="eastAsia"/>
          <w:sz w:val="30"/>
          <w:szCs w:val="30"/>
          <w:lang w:val="en-US" w:eastAsia="zh-CN"/>
        </w:rPr>
      </w:pPr>
      <w:r>
        <w:rPr>
          <w:rFonts w:hint="eastAsia"/>
          <w:sz w:val="30"/>
          <w:szCs w:val="30"/>
        </w:rPr>
        <w:t>包含部门机构设置，人员信息设置，存放地点设置，基础数据导入，登录帐号设置，修改密码等功能。系统设置</w:t>
      </w:r>
      <w:r>
        <w:rPr>
          <w:rFonts w:hint="eastAsia"/>
          <w:sz w:val="30"/>
          <w:szCs w:val="30"/>
          <w:lang w:val="en-US" w:eastAsia="zh-CN"/>
        </w:rPr>
        <w:t>包含</w:t>
      </w:r>
      <w:r>
        <w:rPr>
          <w:rFonts w:hint="eastAsia"/>
          <w:sz w:val="30"/>
          <w:szCs w:val="30"/>
        </w:rPr>
        <w:t>管理权限和操作权限</w:t>
      </w:r>
      <w:r>
        <w:rPr>
          <w:rFonts w:hint="eastAsia"/>
          <w:sz w:val="30"/>
          <w:szCs w:val="30"/>
          <w:lang w:val="en-US" w:eastAsia="zh-CN"/>
        </w:rPr>
        <w:t>分配、</w:t>
      </w:r>
      <w:r>
        <w:rPr>
          <w:rFonts w:hint="eastAsia"/>
          <w:sz w:val="30"/>
          <w:szCs w:val="30"/>
        </w:rPr>
        <w:t>数据备份</w:t>
      </w:r>
      <w:r>
        <w:rPr>
          <w:rFonts w:hint="eastAsia"/>
          <w:sz w:val="30"/>
          <w:szCs w:val="30"/>
          <w:lang w:eastAsia="zh-CN"/>
        </w:rPr>
        <w:t>、</w:t>
      </w:r>
      <w:r>
        <w:rPr>
          <w:rFonts w:hint="eastAsia"/>
          <w:sz w:val="30"/>
          <w:szCs w:val="30"/>
        </w:rPr>
        <w:t>系统操作日志</w:t>
      </w:r>
      <w:r>
        <w:rPr>
          <w:rFonts w:hint="eastAsia"/>
          <w:sz w:val="30"/>
          <w:szCs w:val="30"/>
          <w:lang w:val="en-US" w:eastAsia="zh-CN"/>
        </w:rPr>
        <w:t>等功能。</w:t>
      </w:r>
    </w:p>
    <w:p>
      <w:pPr>
        <w:ind w:firstLine="600" w:firstLineChars="200"/>
        <w:rPr>
          <w:rFonts w:hint="eastAsia"/>
          <w:sz w:val="30"/>
          <w:szCs w:val="30"/>
          <w:lang w:val="en-US" w:eastAsia="zh-CN"/>
        </w:rPr>
      </w:pPr>
    </w:p>
    <w:p>
      <w:pPr>
        <w:ind w:firstLine="600" w:firstLineChars="200"/>
        <w:rPr>
          <w:rFonts w:hint="eastAsia"/>
          <w:sz w:val="30"/>
          <w:szCs w:val="30"/>
          <w:lang w:val="en-US" w:eastAsia="zh-CN"/>
        </w:rPr>
      </w:pPr>
      <w:r>
        <w:rPr>
          <w:rFonts w:hint="eastAsia"/>
          <w:sz w:val="30"/>
          <w:szCs w:val="30"/>
          <w:lang w:val="en-US" w:eastAsia="zh-CN"/>
        </w:rPr>
        <w:t>三、硬件参数及功能</w:t>
      </w:r>
    </w:p>
    <w:p>
      <w:pPr>
        <w:ind w:firstLine="600" w:firstLineChars="200"/>
        <w:rPr>
          <w:rFonts w:hint="eastAsia"/>
          <w:sz w:val="30"/>
          <w:szCs w:val="30"/>
          <w:lang w:eastAsia="zh-CN"/>
        </w:rPr>
      </w:pP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一）</w:t>
      </w:r>
      <w:r>
        <w:rPr>
          <w:rFonts w:hint="eastAsia"/>
          <w:sz w:val="30"/>
          <w:szCs w:val="30"/>
        </w:rPr>
        <w:t>RFID条码打印机</w:t>
      </w:r>
    </w:p>
    <w:p>
      <w:pPr>
        <w:ind w:firstLine="600" w:firstLineChars="200"/>
        <w:rPr>
          <w:rFonts w:hint="eastAsia"/>
          <w:sz w:val="30"/>
          <w:szCs w:val="30"/>
        </w:rPr>
      </w:pPr>
      <w:r>
        <w:rPr>
          <w:rFonts w:hint="eastAsia"/>
          <w:sz w:val="30"/>
          <w:szCs w:val="30"/>
        </w:rPr>
        <w:t>直接通过资产系统打印RFID条码</w:t>
      </w:r>
    </w:p>
    <w:tbl>
      <w:tblPr>
        <w:tblStyle w:val="44"/>
        <w:tblW w:w="8547"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
        <w:gridCol w:w="1960"/>
        <w:gridCol w:w="14"/>
        <w:gridCol w:w="6557"/>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434"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分辨率</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default"/>
                <w:i/>
                <w:iCs/>
                <w:sz w:val="24"/>
                <w:szCs w:val="24"/>
                <w:u w:val="single"/>
              </w:rPr>
              <w:t>≥</w:t>
            </w:r>
            <w:r>
              <w:rPr>
                <w:rFonts w:hint="eastAsia"/>
                <w:i/>
                <w:iCs/>
                <w:sz w:val="24"/>
                <w:szCs w:val="24"/>
                <w:u w:val="single"/>
              </w:rPr>
              <w:t>300dpi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269"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rPr>
                <w:rFonts w:hint="eastAsia"/>
                <w:i/>
                <w:iCs/>
                <w:sz w:val="24"/>
                <w:szCs w:val="24"/>
                <w:u w:val="single"/>
              </w:rPr>
            </w:pPr>
            <w:r>
              <w:rPr>
                <w:rFonts w:hint="eastAsia"/>
                <w:i/>
                <w:iCs/>
                <w:sz w:val="24"/>
                <w:szCs w:val="24"/>
                <w:u w:val="single"/>
              </w:rPr>
              <w:t>最大打印速度</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default"/>
                <w:i/>
                <w:iCs/>
                <w:sz w:val="24"/>
                <w:szCs w:val="24"/>
                <w:u w:val="single"/>
              </w:rPr>
              <w:t>≥</w:t>
            </w:r>
            <w:r>
              <w:rPr>
                <w:rFonts w:hint="eastAsia"/>
                <w:i/>
                <w:iCs/>
                <w:sz w:val="24"/>
                <w:szCs w:val="24"/>
                <w:u w:val="single"/>
              </w:rPr>
              <w:t>8ips(203.2mm/s)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299"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rPr>
                <w:rFonts w:hint="eastAsia"/>
                <w:i/>
                <w:iCs/>
                <w:sz w:val="24"/>
                <w:szCs w:val="24"/>
                <w:u w:val="single"/>
              </w:rPr>
            </w:pPr>
            <w:r>
              <w:rPr>
                <w:rFonts w:hint="eastAsia"/>
                <w:i/>
                <w:iCs/>
                <w:sz w:val="24"/>
                <w:szCs w:val="24"/>
                <w:u w:val="single"/>
              </w:rPr>
              <w:t>最大打印宽度</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rPr>
              <w:t>4.17"(106mm)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329"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rPr>
                <w:rFonts w:hint="eastAsia"/>
                <w:i/>
                <w:iCs/>
                <w:sz w:val="24"/>
                <w:szCs w:val="24"/>
                <w:u w:val="single"/>
              </w:rPr>
            </w:pPr>
            <w:r>
              <w:rPr>
                <w:rFonts w:hint="eastAsia"/>
                <w:i/>
                <w:iCs/>
                <w:sz w:val="24"/>
                <w:szCs w:val="24"/>
                <w:u w:val="single"/>
              </w:rPr>
              <w:t>最大打印长度</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rPr>
              <w:t>79"(2000mm)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269"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HEAT等级</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rPr>
              <w:t>I级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239"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标签卷尺寸</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lang w:val="en-US" w:eastAsia="zh-CN"/>
              </w:rPr>
            </w:pPr>
            <w:r>
              <w:rPr>
                <w:rFonts w:hint="eastAsia"/>
                <w:i/>
                <w:iCs/>
                <w:sz w:val="24"/>
                <w:szCs w:val="24"/>
                <w:u w:val="single"/>
                <w:lang w:val="en-US" w:eastAsia="zh-CN"/>
              </w:rPr>
              <w:t>符合</w:t>
            </w:r>
            <w:r>
              <w:rPr>
                <w:rFonts w:hint="eastAsia"/>
                <w:i/>
                <w:iCs/>
                <w:sz w:val="24"/>
                <w:szCs w:val="24"/>
                <w:u w:val="single"/>
              </w:rPr>
              <w:t>RFID标签（无源）</w:t>
            </w:r>
            <w:r>
              <w:rPr>
                <w:rFonts w:hint="eastAsia"/>
                <w:i/>
                <w:iCs/>
                <w:sz w:val="24"/>
                <w:szCs w:val="24"/>
                <w:u w:val="single"/>
                <w:lang w:val="en-US" w:eastAsia="zh-CN"/>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344"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磁带卷尺寸</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lang w:val="en-US" w:eastAsia="zh-CN"/>
              </w:rPr>
              <w:t>符合</w:t>
            </w:r>
            <w:r>
              <w:rPr>
                <w:rFonts w:hint="eastAsia"/>
                <w:i/>
                <w:iCs/>
                <w:sz w:val="24"/>
                <w:szCs w:val="24"/>
                <w:u w:val="single"/>
              </w:rPr>
              <w:t>RFID标签（无源）</w:t>
            </w:r>
            <w:r>
              <w:rPr>
                <w:rFonts w:hint="eastAsia"/>
                <w:i/>
                <w:iCs/>
                <w:sz w:val="24"/>
                <w:szCs w:val="24"/>
                <w:u w:val="single"/>
                <w:lang w:val="en-US" w:eastAsia="zh-CN"/>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404"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RFID功能</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lang w:val="en-US" w:eastAsia="zh-CN"/>
              </w:rPr>
              <w:t>符合</w:t>
            </w:r>
            <w:r>
              <w:rPr>
                <w:rFonts w:hint="eastAsia"/>
                <w:i/>
                <w:iCs/>
                <w:sz w:val="24"/>
                <w:szCs w:val="24"/>
                <w:u w:val="single"/>
              </w:rPr>
              <w:t>集成的UHF读写器/编码器(EPC Class1 Gen2/ISO-18000-6C)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254"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内存</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default"/>
                <w:i/>
                <w:iCs/>
                <w:sz w:val="24"/>
                <w:szCs w:val="24"/>
                <w:u w:val="single"/>
              </w:rPr>
              <w:t>≥</w:t>
            </w:r>
            <w:r>
              <w:rPr>
                <w:rFonts w:hint="eastAsia"/>
                <w:i/>
                <w:iCs/>
                <w:sz w:val="24"/>
                <w:szCs w:val="24"/>
                <w:u w:val="single"/>
              </w:rPr>
              <w:t xml:space="preserve">8MB FLASH ROM, </w:t>
            </w:r>
            <w:r>
              <w:rPr>
                <w:rFonts w:hint="default"/>
                <w:i/>
                <w:iCs/>
                <w:sz w:val="24"/>
                <w:szCs w:val="24"/>
                <w:u w:val="single"/>
              </w:rPr>
              <w:t>≥</w:t>
            </w:r>
            <w:r>
              <w:rPr>
                <w:rFonts w:hint="eastAsia"/>
                <w:i/>
                <w:iCs/>
                <w:sz w:val="24"/>
                <w:szCs w:val="24"/>
                <w:u w:val="single"/>
              </w:rPr>
              <w:t>16MB SDRAM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8" w:type="dxa"/>
          <w:trHeight w:val="374" w:hRule="atLeast"/>
        </w:trPr>
        <w:tc>
          <w:tcPr>
            <w:tcW w:w="1974"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标签厚度</w:t>
            </w:r>
          </w:p>
        </w:tc>
        <w:tc>
          <w:tcPr>
            <w:tcW w:w="6565"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lang w:val="en-US" w:eastAsia="zh-CN"/>
              </w:rPr>
              <w:t>符合</w:t>
            </w:r>
            <w:r>
              <w:rPr>
                <w:rFonts w:hint="eastAsia"/>
                <w:i/>
                <w:iCs/>
                <w:sz w:val="24"/>
                <w:szCs w:val="24"/>
                <w:u w:val="single"/>
              </w:rPr>
              <w:t>RFID标签（无源）</w:t>
            </w:r>
            <w:r>
              <w:rPr>
                <w:rFonts w:hint="eastAsia"/>
                <w:i/>
                <w:iCs/>
                <w:sz w:val="24"/>
                <w:szCs w:val="24"/>
                <w:u w:val="single"/>
                <w:lang w:val="en-US" w:eastAsia="zh-CN"/>
              </w:rPr>
              <w:t>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After w:val="1"/>
          <w:wAfter w:w="8" w:type="dxa"/>
          <w:trHeight w:val="308" w:hRule="atLeast"/>
          <w:jc w:val="center"/>
        </w:trPr>
        <w:tc>
          <w:tcPr>
            <w:tcW w:w="1968"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文字打印</w:t>
            </w:r>
          </w:p>
        </w:tc>
        <w:tc>
          <w:tcPr>
            <w:tcW w:w="6571"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lang w:val="en-US" w:eastAsia="zh-CN"/>
              </w:rPr>
              <w:t>支持中英文打印，</w:t>
            </w:r>
            <w:r>
              <w:rPr>
                <w:rFonts w:hint="eastAsia"/>
                <w:i/>
                <w:iCs/>
                <w:sz w:val="24"/>
                <w:szCs w:val="24"/>
                <w:u w:val="single"/>
              </w:rPr>
              <w:t>可下载矢量字库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After w:val="1"/>
          <w:wAfter w:w="8" w:type="dxa"/>
          <w:jc w:val="center"/>
        </w:trPr>
        <w:tc>
          <w:tcPr>
            <w:tcW w:w="1968"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内置条码</w:t>
            </w:r>
          </w:p>
        </w:tc>
        <w:tc>
          <w:tcPr>
            <w:tcW w:w="6571"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rPr>
              <w:t>Code 39, Code 93, Code 128/subset A,B,C, Codabar, Interleave 2 of 5, UPC A/E 2 and 5 add-on, EAN-13/8/128, UCC-128等条形码；</w:t>
            </w:r>
            <w:r>
              <w:rPr>
                <w:rFonts w:hint="eastAsia"/>
                <w:i/>
                <w:iCs/>
                <w:sz w:val="24"/>
                <w:szCs w:val="24"/>
                <w:u w:val="single"/>
              </w:rPr>
              <w:br w:type="textWrapping"/>
            </w:r>
            <w:r>
              <w:rPr>
                <w:rFonts w:hint="eastAsia"/>
                <w:i/>
                <w:iCs/>
                <w:sz w:val="24"/>
                <w:szCs w:val="24"/>
                <w:u w:val="single"/>
              </w:rPr>
              <w:t>MaxiCode, PDF417, Data matrix，QR等二维码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After w:val="1"/>
          <w:wAfter w:w="8" w:type="dxa"/>
          <w:trHeight w:val="831" w:hRule="atLeast"/>
          <w:jc w:val="center"/>
        </w:trPr>
        <w:tc>
          <w:tcPr>
            <w:tcW w:w="1968"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pPr>
              <w:ind w:firstLine="480" w:firstLineChars="200"/>
              <w:rPr>
                <w:rFonts w:hint="eastAsia"/>
                <w:i/>
                <w:iCs/>
                <w:sz w:val="24"/>
                <w:szCs w:val="24"/>
                <w:u w:val="single"/>
              </w:rPr>
            </w:pPr>
            <w:r>
              <w:rPr>
                <w:rFonts w:hint="eastAsia"/>
                <w:i/>
                <w:iCs/>
                <w:sz w:val="24"/>
                <w:szCs w:val="24"/>
                <w:u w:val="single"/>
              </w:rPr>
              <w:t>接口</w:t>
            </w:r>
          </w:p>
        </w:tc>
        <w:tc>
          <w:tcPr>
            <w:tcW w:w="6571"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i/>
                <w:iCs/>
                <w:sz w:val="24"/>
                <w:szCs w:val="24"/>
                <w:u w:val="single"/>
              </w:rPr>
            </w:pPr>
            <w:r>
              <w:rPr>
                <w:rFonts w:hint="eastAsia"/>
                <w:i/>
                <w:iCs/>
                <w:sz w:val="24"/>
                <w:szCs w:val="24"/>
                <w:u w:val="single"/>
                <w:lang w:val="en-US" w:eastAsia="zh-CN"/>
              </w:rPr>
              <w:t>至少支持</w:t>
            </w:r>
            <w:r>
              <w:rPr>
                <w:rFonts w:hint="eastAsia"/>
                <w:i/>
                <w:iCs/>
                <w:sz w:val="24"/>
                <w:szCs w:val="24"/>
                <w:u w:val="single"/>
              </w:rPr>
              <w:t>RS-232 串口，10/100M-bit以太网口， USB DEVICE接口，USB HOST接口，Centronics并口</w:t>
            </w:r>
          </w:p>
        </w:tc>
      </w:tr>
    </w:tbl>
    <w:p>
      <w:pPr>
        <w:ind w:firstLine="600" w:firstLineChars="200"/>
        <w:rPr>
          <w:rFonts w:hint="eastAsia"/>
          <w:sz w:val="30"/>
          <w:szCs w:val="30"/>
          <w:lang w:eastAsia="zh-CN"/>
        </w:rPr>
      </w:pP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二）</w:t>
      </w:r>
      <w:r>
        <w:rPr>
          <w:rFonts w:hint="eastAsia"/>
          <w:sz w:val="30"/>
          <w:szCs w:val="30"/>
        </w:rPr>
        <w:t>超高频RFID手持终端</w:t>
      </w:r>
    </w:p>
    <w:p>
      <w:pPr>
        <w:ind w:firstLine="600" w:firstLineChars="200"/>
        <w:rPr>
          <w:rFonts w:hint="eastAsia"/>
          <w:sz w:val="30"/>
          <w:szCs w:val="30"/>
          <w:lang w:eastAsia="zh-CN"/>
        </w:rPr>
      </w:pPr>
      <w:r>
        <w:rPr>
          <w:rFonts w:hint="eastAsia"/>
          <w:sz w:val="30"/>
          <w:szCs w:val="30"/>
          <w:lang w:val="en-US" w:eastAsia="zh-CN"/>
        </w:rPr>
        <w:t>用于</w:t>
      </w:r>
      <w:r>
        <w:rPr>
          <w:rFonts w:hint="eastAsia"/>
          <w:sz w:val="30"/>
          <w:szCs w:val="30"/>
        </w:rPr>
        <w:t>采集条形码或二维码信息，内含清查系统，可进行导出导入清查数据，与资产系统平滑对接</w:t>
      </w:r>
      <w:r>
        <w:rPr>
          <w:rFonts w:hint="eastAsia"/>
          <w:sz w:val="30"/>
          <w:szCs w:val="30"/>
          <w:lang w:eastAsia="zh-CN"/>
        </w:rPr>
        <w:t>，</w:t>
      </w:r>
      <w:r>
        <w:rPr>
          <w:rFonts w:hint="eastAsia"/>
          <w:sz w:val="30"/>
          <w:szCs w:val="30"/>
          <w:lang w:val="en-US" w:eastAsia="zh-CN"/>
        </w:rPr>
        <w:t>通过</w:t>
      </w:r>
      <w:r>
        <w:rPr>
          <w:rFonts w:hint="eastAsia"/>
          <w:sz w:val="30"/>
          <w:szCs w:val="30"/>
        </w:rPr>
        <w:t>数据对比，生成清查结果，实现清查信息化</w:t>
      </w:r>
      <w:r>
        <w:rPr>
          <w:rFonts w:hint="eastAsia"/>
          <w:sz w:val="30"/>
          <w:szCs w:val="30"/>
          <w:lang w:eastAsia="zh-CN"/>
        </w:rPr>
        <w:t>。</w:t>
      </w:r>
    </w:p>
    <w:tbl>
      <w:tblPr>
        <w:tblStyle w:val="44"/>
        <w:tblW w:w="4998" w:type="pct"/>
        <w:tblInd w:w="0" w:type="dxa"/>
        <w:tblLayout w:type="fixed"/>
        <w:tblCellMar>
          <w:top w:w="0" w:type="dxa"/>
          <w:left w:w="108" w:type="dxa"/>
          <w:bottom w:w="0" w:type="dxa"/>
          <w:right w:w="108" w:type="dxa"/>
        </w:tblCellMar>
      </w:tblPr>
      <w:tblGrid>
        <w:gridCol w:w="1974"/>
        <w:gridCol w:w="6551"/>
      </w:tblGrid>
      <w:tr>
        <w:tblPrEx>
          <w:tblCellMar>
            <w:top w:w="0" w:type="dxa"/>
            <w:left w:w="108" w:type="dxa"/>
            <w:bottom w:w="0" w:type="dxa"/>
            <w:right w:w="108" w:type="dxa"/>
          </w:tblCellMar>
        </w:tblPrEx>
        <w:trPr>
          <w:trHeight w:val="9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操作系统</w:t>
            </w:r>
          </w:p>
        </w:tc>
        <w:tc>
          <w:tcPr>
            <w:tcW w:w="3842"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default"/>
                <w:i/>
                <w:iCs/>
                <w:sz w:val="24"/>
                <w:szCs w:val="24"/>
                <w:u w:val="single"/>
                <w:lang w:val="en-US" w:eastAsia="zh-CN"/>
              </w:rPr>
            </w:pPr>
            <w:r>
              <w:rPr>
                <w:rFonts w:hint="eastAsia"/>
                <w:i/>
                <w:iCs/>
                <w:sz w:val="24"/>
                <w:szCs w:val="24"/>
                <w:u w:val="single"/>
                <w:lang w:val="en-US" w:eastAsia="zh-CN"/>
              </w:rPr>
              <w:t>支持不限于</w:t>
            </w:r>
            <w:r>
              <w:rPr>
                <w:rFonts w:hint="eastAsia"/>
                <w:i/>
                <w:iCs/>
                <w:sz w:val="24"/>
                <w:szCs w:val="24"/>
                <w:u w:val="single"/>
              </w:rPr>
              <w:t>Android</w:t>
            </w:r>
            <w:r>
              <w:rPr>
                <w:rFonts w:hint="eastAsia"/>
                <w:i/>
                <w:iCs/>
                <w:sz w:val="24"/>
                <w:szCs w:val="24"/>
                <w:u w:val="single"/>
                <w:lang w:eastAsia="zh-CN"/>
              </w:rPr>
              <w:t>、</w:t>
            </w:r>
            <w:r>
              <w:rPr>
                <w:rFonts w:hint="eastAsia"/>
                <w:i/>
                <w:iCs/>
                <w:sz w:val="24"/>
                <w:szCs w:val="24"/>
                <w:u w:val="single"/>
                <w:lang w:val="en-US" w:eastAsia="zh-CN"/>
              </w:rPr>
              <w:t>鸿蒙系统等</w:t>
            </w:r>
          </w:p>
        </w:tc>
      </w:tr>
      <w:tr>
        <w:tblPrEx>
          <w:tblCellMar>
            <w:top w:w="0" w:type="dxa"/>
            <w:left w:w="108" w:type="dxa"/>
            <w:bottom w:w="0" w:type="dxa"/>
            <w:right w:w="108" w:type="dxa"/>
          </w:tblCellMar>
        </w:tblPrEx>
        <w:trPr>
          <w:trHeight w:val="206"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处理器</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 xml:space="preserve">八核1.8G以上 </w:t>
            </w:r>
          </w:p>
        </w:tc>
      </w:tr>
      <w:tr>
        <w:tblPrEx>
          <w:tblCellMar>
            <w:top w:w="0" w:type="dxa"/>
            <w:left w:w="108" w:type="dxa"/>
            <w:bottom w:w="0" w:type="dxa"/>
            <w:right w:w="108" w:type="dxa"/>
          </w:tblCellMar>
        </w:tblPrEx>
        <w:trPr>
          <w:trHeight w:val="416"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内存</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ROM：</w:t>
            </w:r>
            <w:r>
              <w:rPr>
                <w:rFonts w:hint="default"/>
                <w:i/>
                <w:iCs/>
                <w:sz w:val="24"/>
                <w:szCs w:val="24"/>
                <w:u w:val="single"/>
              </w:rPr>
              <w:t>≥</w:t>
            </w:r>
            <w:r>
              <w:rPr>
                <w:rFonts w:hint="eastAsia"/>
                <w:i/>
                <w:iCs/>
                <w:sz w:val="24"/>
                <w:szCs w:val="24"/>
                <w:u w:val="single"/>
              </w:rPr>
              <w:t>64GB/128GB，RAM：</w:t>
            </w:r>
            <w:r>
              <w:rPr>
                <w:rFonts w:hint="default"/>
                <w:i/>
                <w:iCs/>
                <w:sz w:val="24"/>
                <w:szCs w:val="24"/>
                <w:u w:val="single"/>
              </w:rPr>
              <w:t>≥</w:t>
            </w:r>
            <w:r>
              <w:rPr>
                <w:rFonts w:hint="eastAsia"/>
                <w:i/>
                <w:iCs/>
                <w:sz w:val="24"/>
                <w:szCs w:val="24"/>
                <w:u w:val="single"/>
              </w:rPr>
              <w:t>4GB/6GB</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 xml:space="preserve">显示屏幕 </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default"/>
                <w:i/>
                <w:iCs/>
                <w:sz w:val="24"/>
                <w:szCs w:val="24"/>
                <w:u w:val="single"/>
              </w:rPr>
              <w:t>≥</w:t>
            </w:r>
            <w:r>
              <w:rPr>
                <w:rFonts w:hint="eastAsia"/>
                <w:i/>
                <w:iCs/>
                <w:sz w:val="24"/>
                <w:szCs w:val="24"/>
                <w:u w:val="single"/>
              </w:rPr>
              <w:t xml:space="preserve">5.7" </w:t>
            </w:r>
            <w:r>
              <w:rPr>
                <w:rFonts w:hint="eastAsia"/>
                <w:i/>
                <w:iCs/>
                <w:sz w:val="24"/>
                <w:szCs w:val="24"/>
                <w:u w:val="single"/>
                <w:lang w:eastAsia="zh-CN"/>
              </w:rPr>
              <w:t>、</w:t>
            </w:r>
            <w:r>
              <w:rPr>
                <w:rFonts w:hint="default"/>
                <w:i/>
                <w:iCs/>
                <w:sz w:val="24"/>
                <w:szCs w:val="24"/>
                <w:u w:val="single"/>
              </w:rPr>
              <w:t>≥</w:t>
            </w:r>
            <w:r>
              <w:rPr>
                <w:rFonts w:hint="eastAsia"/>
                <w:i/>
                <w:iCs/>
                <w:sz w:val="24"/>
                <w:szCs w:val="24"/>
                <w:u w:val="single"/>
              </w:rPr>
              <w:t xml:space="preserve">2160×1080 </w:t>
            </w:r>
          </w:p>
        </w:tc>
      </w:tr>
      <w:tr>
        <w:tblPrEx>
          <w:tblCellMar>
            <w:top w:w="0" w:type="dxa"/>
            <w:left w:w="108" w:type="dxa"/>
            <w:bottom w:w="0" w:type="dxa"/>
            <w:right w:w="108" w:type="dxa"/>
          </w:tblCellMar>
        </w:tblPrEx>
        <w:trPr>
          <w:trHeight w:val="1241"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 xml:space="preserve">摄像头 </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后置</w:t>
            </w:r>
            <w:r>
              <w:rPr>
                <w:rFonts w:hint="eastAsia"/>
                <w:i/>
                <w:iCs/>
                <w:sz w:val="24"/>
                <w:szCs w:val="24"/>
                <w:u w:val="single"/>
                <w:lang w:val="en-US" w:eastAsia="zh-CN"/>
              </w:rPr>
              <w:t>不低于</w:t>
            </w:r>
            <w:r>
              <w:rPr>
                <w:rFonts w:hint="eastAsia"/>
                <w:i/>
                <w:iCs/>
                <w:sz w:val="24"/>
                <w:szCs w:val="24"/>
                <w:u w:val="single"/>
              </w:rPr>
              <w:t>1300W自动对焦摄像头</w:t>
            </w:r>
            <w:r>
              <w:rPr>
                <w:rFonts w:hint="eastAsia"/>
                <w:i/>
                <w:iCs/>
                <w:sz w:val="24"/>
                <w:szCs w:val="24"/>
                <w:u w:val="single"/>
              </w:rPr>
              <w:br w:type="textWrapping"/>
            </w:r>
            <w:r>
              <w:rPr>
                <w:rFonts w:hint="eastAsia"/>
                <w:i/>
                <w:iCs/>
                <w:sz w:val="24"/>
                <w:szCs w:val="24"/>
                <w:u w:val="single"/>
              </w:rPr>
              <w:t>支持手电筒模式</w:t>
            </w:r>
            <w:r>
              <w:rPr>
                <w:rFonts w:hint="eastAsia"/>
                <w:i/>
                <w:iCs/>
                <w:sz w:val="24"/>
                <w:szCs w:val="24"/>
                <w:u w:val="single"/>
              </w:rPr>
              <w:br w:type="textWrapping"/>
            </w:r>
            <w:r>
              <w:rPr>
                <w:rFonts w:hint="eastAsia"/>
                <w:i/>
                <w:iCs/>
                <w:sz w:val="24"/>
                <w:szCs w:val="24"/>
                <w:u w:val="single"/>
              </w:rPr>
              <w:t>前置</w:t>
            </w:r>
            <w:r>
              <w:rPr>
                <w:rFonts w:hint="eastAsia"/>
                <w:i/>
                <w:iCs/>
                <w:sz w:val="24"/>
                <w:szCs w:val="24"/>
                <w:u w:val="single"/>
                <w:lang w:val="en-US" w:eastAsia="zh-CN"/>
              </w:rPr>
              <w:t>不低于</w:t>
            </w:r>
            <w:r>
              <w:rPr>
                <w:rFonts w:hint="eastAsia"/>
                <w:i/>
                <w:iCs/>
                <w:sz w:val="24"/>
                <w:szCs w:val="24"/>
                <w:u w:val="single"/>
              </w:rPr>
              <w:t>500W像素定焦摄像头</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 xml:space="preserve">电池续航 </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 xml:space="preserve">正常使用8小时以上， 待机&gt;300小时 </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 xml:space="preserve">电池容量 </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 xml:space="preserve">3.85V </w:t>
            </w:r>
            <w:r>
              <w:rPr>
                <w:rFonts w:hint="default"/>
                <w:i/>
                <w:iCs/>
                <w:sz w:val="24"/>
                <w:szCs w:val="24"/>
                <w:u w:val="single"/>
              </w:rPr>
              <w:t>≥</w:t>
            </w:r>
            <w:r>
              <w:rPr>
                <w:rFonts w:hint="eastAsia"/>
                <w:i/>
                <w:iCs/>
                <w:sz w:val="24"/>
                <w:szCs w:val="24"/>
                <w:u w:val="single"/>
              </w:rPr>
              <w:t>9000mAh可充电锂电</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外置接口</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lang w:val="en-US" w:eastAsia="zh-CN"/>
              </w:rPr>
              <w:t>支持</w:t>
            </w:r>
            <w:r>
              <w:rPr>
                <w:rFonts w:hint="eastAsia"/>
                <w:i/>
                <w:iCs/>
                <w:sz w:val="24"/>
                <w:szCs w:val="24"/>
                <w:u w:val="single"/>
              </w:rPr>
              <w:t>工业级TYPE-C接口充电</w:t>
            </w:r>
            <w:r>
              <w:rPr>
                <w:rFonts w:hint="eastAsia"/>
                <w:i/>
                <w:iCs/>
                <w:sz w:val="24"/>
                <w:szCs w:val="24"/>
                <w:u w:val="single"/>
                <w:lang w:val="en-US" w:eastAsia="zh-CN"/>
              </w:rPr>
              <w:t>及</w:t>
            </w:r>
            <w:r>
              <w:rPr>
                <w:rFonts w:hint="eastAsia"/>
                <w:i/>
                <w:iCs/>
                <w:sz w:val="24"/>
                <w:szCs w:val="24"/>
                <w:u w:val="single"/>
              </w:rPr>
              <w:t xml:space="preserve">数据接口 </w:t>
            </w:r>
          </w:p>
          <w:p>
            <w:pPr>
              <w:ind w:firstLine="480" w:firstLineChars="200"/>
              <w:rPr>
                <w:rFonts w:hint="eastAsia"/>
                <w:i/>
                <w:iCs/>
                <w:sz w:val="24"/>
                <w:szCs w:val="24"/>
                <w:u w:val="single"/>
              </w:rPr>
            </w:pPr>
            <w:r>
              <w:rPr>
                <w:rFonts w:hint="eastAsia"/>
                <w:i/>
                <w:iCs/>
                <w:sz w:val="24"/>
                <w:szCs w:val="24"/>
                <w:u w:val="single"/>
              </w:rPr>
              <w:t>MicroSD/TF卡槽</w:t>
            </w:r>
            <w:r>
              <w:rPr>
                <w:rFonts w:hint="default"/>
                <w:i/>
                <w:iCs/>
                <w:sz w:val="24"/>
                <w:szCs w:val="24"/>
                <w:u w:val="single"/>
              </w:rPr>
              <w:t>≥</w:t>
            </w:r>
            <w:r>
              <w:rPr>
                <w:rFonts w:hint="eastAsia"/>
                <w:i/>
                <w:iCs/>
                <w:sz w:val="24"/>
                <w:szCs w:val="24"/>
                <w:u w:val="single"/>
              </w:rPr>
              <w:t xml:space="preserve">1个 </w:t>
            </w:r>
          </w:p>
          <w:p>
            <w:pPr>
              <w:ind w:firstLine="480" w:firstLineChars="200"/>
              <w:rPr>
                <w:rFonts w:hint="eastAsia"/>
                <w:i/>
                <w:iCs/>
                <w:sz w:val="24"/>
                <w:szCs w:val="24"/>
                <w:u w:val="single"/>
              </w:rPr>
            </w:pPr>
            <w:r>
              <w:rPr>
                <w:rFonts w:hint="eastAsia"/>
                <w:i/>
                <w:iCs/>
                <w:sz w:val="24"/>
                <w:szCs w:val="24"/>
                <w:u w:val="single"/>
              </w:rPr>
              <w:t>PSAM卡插槽</w:t>
            </w:r>
            <w:r>
              <w:rPr>
                <w:rFonts w:hint="default"/>
                <w:i/>
                <w:iCs/>
                <w:sz w:val="24"/>
                <w:szCs w:val="24"/>
                <w:u w:val="single"/>
              </w:rPr>
              <w:t>≥</w:t>
            </w:r>
            <w:r>
              <w:rPr>
                <w:rFonts w:hint="eastAsia"/>
                <w:i/>
                <w:iCs/>
                <w:sz w:val="24"/>
                <w:szCs w:val="24"/>
                <w:u w:val="single"/>
              </w:rPr>
              <w:t xml:space="preserve">1个 </w:t>
            </w:r>
          </w:p>
          <w:p>
            <w:pPr>
              <w:ind w:firstLine="480" w:firstLineChars="200"/>
              <w:rPr>
                <w:rFonts w:hint="eastAsia"/>
                <w:i/>
                <w:iCs/>
                <w:sz w:val="24"/>
                <w:szCs w:val="24"/>
                <w:u w:val="single"/>
              </w:rPr>
            </w:pPr>
            <w:r>
              <w:rPr>
                <w:rFonts w:hint="eastAsia"/>
                <w:i/>
                <w:iCs/>
                <w:sz w:val="24"/>
                <w:szCs w:val="24"/>
                <w:u w:val="single"/>
                <w:lang w:val="en-US" w:eastAsia="zh-CN"/>
              </w:rPr>
              <w:t>配备</w:t>
            </w:r>
            <w:r>
              <w:rPr>
                <w:rFonts w:hint="eastAsia"/>
                <w:i/>
                <w:iCs/>
                <w:sz w:val="24"/>
                <w:szCs w:val="24"/>
                <w:u w:val="single"/>
              </w:rPr>
              <w:t>双充数据底座：支持同时给设备以及1块电池进行充电</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 xml:space="preserve">防护等级 </w:t>
            </w:r>
          </w:p>
        </w:tc>
        <w:tc>
          <w:tcPr>
            <w:tcW w:w="3842"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default"/>
                <w:i/>
                <w:iCs/>
                <w:sz w:val="24"/>
                <w:szCs w:val="24"/>
                <w:u w:val="single"/>
              </w:rPr>
              <w:t>≥</w:t>
            </w:r>
            <w:r>
              <w:rPr>
                <w:rFonts w:hint="eastAsia"/>
                <w:i/>
                <w:iCs/>
                <w:sz w:val="24"/>
                <w:szCs w:val="24"/>
                <w:u w:val="single"/>
              </w:rPr>
              <w:t>IP65工业防护等级</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 xml:space="preserve">条码扫描 </w:t>
            </w:r>
          </w:p>
          <w:p>
            <w:pPr>
              <w:ind w:firstLine="480" w:firstLineChars="200"/>
              <w:rPr>
                <w:rFonts w:hint="eastAsia"/>
                <w:i/>
                <w:iCs/>
                <w:sz w:val="24"/>
                <w:szCs w:val="24"/>
                <w:u w:val="single"/>
              </w:rPr>
            </w:pP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2D影像式扫描</w:t>
            </w:r>
          </w:p>
          <w:p>
            <w:pPr>
              <w:ind w:firstLine="480" w:firstLineChars="200"/>
              <w:rPr>
                <w:rFonts w:hint="eastAsia"/>
                <w:i/>
                <w:iCs/>
                <w:sz w:val="24"/>
                <w:szCs w:val="24"/>
                <w:u w:val="single"/>
              </w:rPr>
            </w:pPr>
            <w:r>
              <w:rPr>
                <w:rFonts w:hint="eastAsia"/>
                <w:i/>
                <w:iCs/>
                <w:sz w:val="24"/>
                <w:szCs w:val="24"/>
                <w:u w:val="single"/>
              </w:rPr>
              <w:t xml:space="preserve">扫描精度：2D（≥ 5 mil） </w:t>
            </w:r>
          </w:p>
          <w:p>
            <w:pPr>
              <w:ind w:firstLine="480" w:firstLineChars="200"/>
              <w:rPr>
                <w:rFonts w:hint="eastAsia"/>
                <w:i/>
                <w:iCs/>
                <w:sz w:val="24"/>
                <w:szCs w:val="24"/>
                <w:u w:val="single"/>
              </w:rPr>
            </w:pPr>
            <w:r>
              <w:rPr>
                <w:rFonts w:hint="eastAsia"/>
                <w:i/>
                <w:iCs/>
                <w:sz w:val="24"/>
                <w:szCs w:val="24"/>
                <w:u w:val="single"/>
              </w:rPr>
              <w:t xml:space="preserve">扫描距离：3cm-70cm（视不同条码密度及码制而定） </w:t>
            </w:r>
          </w:p>
          <w:p>
            <w:pPr>
              <w:ind w:firstLine="480" w:firstLineChars="200"/>
              <w:rPr>
                <w:rFonts w:hint="eastAsia"/>
                <w:i/>
                <w:iCs/>
                <w:sz w:val="24"/>
                <w:szCs w:val="24"/>
                <w:u w:val="single"/>
              </w:rPr>
            </w:pPr>
            <w:r>
              <w:rPr>
                <w:rFonts w:hint="eastAsia"/>
                <w:i/>
                <w:iCs/>
                <w:sz w:val="24"/>
                <w:szCs w:val="24"/>
                <w:u w:val="single"/>
              </w:rPr>
              <w:t xml:space="preserve">UPC/EAN，Code128，Code39，Code93，Code11，Interleaved 2 of 5，Discrete 2 of 5，Chinese 2 of 5，Codabar，MSI，RSS 等；PDF417，MicroPDF417，Composite，RSS，TLC-39，Data matrix，QR code， </w:t>
            </w:r>
          </w:p>
          <w:p>
            <w:pPr>
              <w:ind w:firstLine="480" w:firstLineChars="200"/>
              <w:rPr>
                <w:rFonts w:hint="eastAsia"/>
                <w:i/>
                <w:iCs/>
                <w:sz w:val="24"/>
                <w:szCs w:val="24"/>
                <w:u w:val="single"/>
              </w:rPr>
            </w:pPr>
            <w:r>
              <w:rPr>
                <w:rFonts w:hint="eastAsia"/>
                <w:i/>
                <w:iCs/>
                <w:sz w:val="24"/>
                <w:szCs w:val="24"/>
                <w:u w:val="single"/>
              </w:rPr>
              <w:t xml:space="preserve">Micro QR code，Aztec，Postal Codes：US PostNet；US Planet；UK Postal；Japan Postal Dutch Postal（KIX）等 </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RFID</w:t>
            </w:r>
          </w:p>
          <w:p>
            <w:pPr>
              <w:ind w:firstLine="480" w:firstLineChars="200"/>
              <w:rPr>
                <w:rFonts w:hint="eastAsia"/>
                <w:i/>
                <w:iCs/>
                <w:sz w:val="24"/>
                <w:szCs w:val="24"/>
                <w:u w:val="single"/>
              </w:rPr>
            </w:pP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 xml:space="preserve">工作频段：840～960MHz（按所需频段定制） </w:t>
            </w:r>
          </w:p>
          <w:p>
            <w:pPr>
              <w:ind w:firstLine="480" w:firstLineChars="200"/>
              <w:rPr>
                <w:rFonts w:hint="eastAsia"/>
                <w:i/>
                <w:iCs/>
                <w:sz w:val="24"/>
                <w:szCs w:val="24"/>
                <w:u w:val="single"/>
              </w:rPr>
            </w:pPr>
            <w:r>
              <w:rPr>
                <w:rFonts w:hint="eastAsia"/>
                <w:i/>
                <w:iCs/>
                <w:sz w:val="24"/>
                <w:szCs w:val="24"/>
                <w:u w:val="single"/>
              </w:rPr>
              <w:t xml:space="preserve">协议标准：ISO18000-6C/6B EPC C1 Gen2 </w:t>
            </w:r>
          </w:p>
          <w:p>
            <w:pPr>
              <w:ind w:firstLine="480" w:firstLineChars="200"/>
              <w:rPr>
                <w:rFonts w:hint="eastAsia"/>
                <w:i/>
                <w:iCs/>
                <w:sz w:val="24"/>
                <w:szCs w:val="24"/>
                <w:u w:val="single"/>
              </w:rPr>
            </w:pPr>
            <w:r>
              <w:rPr>
                <w:rFonts w:hint="eastAsia"/>
                <w:i/>
                <w:iCs/>
                <w:sz w:val="24"/>
                <w:szCs w:val="24"/>
                <w:u w:val="single"/>
              </w:rPr>
              <w:t xml:space="preserve">天线增益：5dBi圆极化天线 </w:t>
            </w:r>
          </w:p>
          <w:p>
            <w:pPr>
              <w:ind w:firstLine="480" w:firstLineChars="200"/>
              <w:rPr>
                <w:rFonts w:hint="eastAsia"/>
                <w:i/>
                <w:iCs/>
                <w:sz w:val="24"/>
                <w:szCs w:val="24"/>
                <w:u w:val="single"/>
              </w:rPr>
            </w:pPr>
            <w:r>
              <w:rPr>
                <w:rFonts w:hint="eastAsia"/>
                <w:i/>
                <w:iCs/>
                <w:sz w:val="24"/>
                <w:szCs w:val="24"/>
                <w:u w:val="single"/>
              </w:rPr>
              <w:t xml:space="preserve">输出功率：3–30dBm可调 </w:t>
            </w:r>
          </w:p>
          <w:p>
            <w:pPr>
              <w:ind w:firstLine="480" w:firstLineChars="200"/>
              <w:rPr>
                <w:rFonts w:hint="eastAsia"/>
                <w:i/>
                <w:iCs/>
                <w:sz w:val="24"/>
                <w:szCs w:val="24"/>
                <w:u w:val="single"/>
              </w:rPr>
            </w:pPr>
            <w:r>
              <w:rPr>
                <w:rFonts w:hint="eastAsia"/>
                <w:i/>
                <w:iCs/>
                <w:sz w:val="24"/>
                <w:szCs w:val="24"/>
                <w:u w:val="single"/>
              </w:rPr>
              <w:t xml:space="preserve">识别距离：空旷环境，H47标签&gt;15m（不同标签、环境距离不一样） </w:t>
            </w:r>
          </w:p>
          <w:p>
            <w:pPr>
              <w:ind w:firstLine="480" w:firstLineChars="200"/>
              <w:rPr>
                <w:rFonts w:hint="eastAsia"/>
                <w:i/>
                <w:iCs/>
                <w:sz w:val="24"/>
                <w:szCs w:val="24"/>
                <w:u w:val="single"/>
              </w:rPr>
            </w:pPr>
            <w:r>
              <w:rPr>
                <w:rFonts w:hint="eastAsia"/>
                <w:i/>
                <w:iCs/>
                <w:sz w:val="24"/>
                <w:szCs w:val="24"/>
                <w:u w:val="single"/>
              </w:rPr>
              <w:t xml:space="preserve">群读速度：≥1000张/5秒 </w:t>
            </w:r>
          </w:p>
        </w:tc>
      </w:tr>
      <w:tr>
        <w:tblPrEx>
          <w:tblCellMar>
            <w:top w:w="0" w:type="dxa"/>
            <w:left w:w="108" w:type="dxa"/>
            <w:bottom w:w="0" w:type="dxa"/>
            <w:right w:w="108" w:type="dxa"/>
          </w:tblCellMar>
        </w:tblPrEx>
        <w:trPr>
          <w:trHeight w:val="560" w:hRule="atLeast"/>
        </w:trPr>
        <w:tc>
          <w:tcPr>
            <w:tcW w:w="1157"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 xml:space="preserve">认证 </w:t>
            </w:r>
          </w:p>
        </w:tc>
        <w:tc>
          <w:tcPr>
            <w:tcW w:w="3842"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 xml:space="preserve">CCC认证，ISO9001认证 </w:t>
            </w:r>
          </w:p>
        </w:tc>
      </w:tr>
    </w:tbl>
    <w:p>
      <w:pPr>
        <w:ind w:firstLine="600" w:firstLineChars="200"/>
        <w:rPr>
          <w:rFonts w:hint="eastAsia"/>
          <w:sz w:val="30"/>
          <w:szCs w:val="30"/>
          <w:lang w:eastAsia="zh-CN"/>
        </w:rPr>
      </w:pP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三）</w:t>
      </w:r>
      <w:r>
        <w:rPr>
          <w:rFonts w:hint="eastAsia"/>
          <w:sz w:val="30"/>
          <w:szCs w:val="30"/>
        </w:rPr>
        <w:t>耗材</w:t>
      </w:r>
    </w:p>
    <w:p>
      <w:pPr>
        <w:ind w:firstLine="600" w:firstLineChars="200"/>
        <w:rPr>
          <w:rFonts w:hint="eastAsia"/>
          <w:sz w:val="30"/>
          <w:szCs w:val="30"/>
          <w:highlight w:val="none"/>
          <w:lang w:eastAsia="zh-CN"/>
        </w:rPr>
      </w:pPr>
      <w:r>
        <w:rPr>
          <w:rFonts w:hint="eastAsia"/>
          <w:sz w:val="30"/>
          <w:szCs w:val="30"/>
          <w:highlight w:val="none"/>
        </w:rPr>
        <w:t>柔性抗金属标签（无源） 柔性非抗金属标签（无源）</w:t>
      </w:r>
      <w:r>
        <w:rPr>
          <w:rFonts w:hint="eastAsia"/>
          <w:sz w:val="30"/>
          <w:szCs w:val="30"/>
          <w:highlight w:val="none"/>
          <w:lang w:val="en-US" w:eastAsia="zh-CN"/>
        </w:rPr>
        <w:t>合计</w:t>
      </w:r>
      <w:r>
        <w:rPr>
          <w:rFonts w:hint="eastAsia"/>
          <w:sz w:val="30"/>
          <w:szCs w:val="30"/>
          <w:highlight w:val="none"/>
        </w:rPr>
        <w:t>不少于</w:t>
      </w:r>
      <w:r>
        <w:rPr>
          <w:rFonts w:hint="eastAsia"/>
          <w:sz w:val="30"/>
          <w:szCs w:val="30"/>
          <w:highlight w:val="none"/>
          <w:lang w:val="en-US" w:eastAsia="zh-CN"/>
        </w:rPr>
        <w:t>2</w:t>
      </w:r>
      <w:r>
        <w:rPr>
          <w:rFonts w:hint="eastAsia"/>
          <w:sz w:val="30"/>
          <w:szCs w:val="30"/>
          <w:highlight w:val="none"/>
        </w:rPr>
        <w:t>0000张</w:t>
      </w:r>
      <w:r>
        <w:rPr>
          <w:rFonts w:hint="eastAsia"/>
          <w:sz w:val="30"/>
          <w:szCs w:val="30"/>
          <w:highlight w:val="none"/>
          <w:lang w:eastAsia="zh-CN"/>
        </w:rPr>
        <w:t>。</w:t>
      </w:r>
    </w:p>
    <w:tbl>
      <w:tblPr>
        <w:tblStyle w:val="44"/>
        <w:tblW w:w="4998" w:type="pct"/>
        <w:tblInd w:w="0" w:type="dxa"/>
        <w:tblLayout w:type="autofit"/>
        <w:tblCellMar>
          <w:top w:w="0" w:type="dxa"/>
          <w:left w:w="108" w:type="dxa"/>
          <w:bottom w:w="0" w:type="dxa"/>
          <w:right w:w="108" w:type="dxa"/>
        </w:tblCellMar>
      </w:tblPr>
      <w:tblGrid>
        <w:gridCol w:w="1943"/>
        <w:gridCol w:w="3401"/>
        <w:gridCol w:w="3184"/>
      </w:tblGrid>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产品名称</w:t>
            </w:r>
          </w:p>
        </w:tc>
        <w:tc>
          <w:tcPr>
            <w:tcW w:w="1758"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柔性抗金属标签（无源）</w:t>
            </w:r>
          </w:p>
        </w:tc>
        <w:tc>
          <w:tcPr>
            <w:tcW w:w="2085"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柔性非抗金属标签（无源）</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标签尺寸(mm)</w:t>
            </w:r>
          </w:p>
        </w:tc>
        <w:tc>
          <w:tcPr>
            <w:tcW w:w="1758"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66x44x1.25（mm）</w:t>
            </w:r>
          </w:p>
        </w:tc>
        <w:tc>
          <w:tcPr>
            <w:tcW w:w="2085"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66x44x0.15（mm）</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面材</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PET</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PET</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芯片</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Impinj MR6P</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Impinj MR6P</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EPC容量</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128bit（可读写）</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128bit（可读写）</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数据保留</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≥1</w:t>
            </w:r>
            <w:r>
              <w:rPr>
                <w:rFonts w:hint="eastAsia"/>
                <w:i/>
                <w:iCs/>
                <w:sz w:val="24"/>
                <w:szCs w:val="24"/>
                <w:u w:val="single"/>
                <w:lang w:val="en-US" w:eastAsia="zh-CN"/>
              </w:rPr>
              <w:t>0</w:t>
            </w:r>
            <w:r>
              <w:rPr>
                <w:rFonts w:hint="eastAsia"/>
                <w:i/>
                <w:iCs/>
                <w:sz w:val="24"/>
                <w:szCs w:val="24"/>
                <w:u w:val="single"/>
              </w:rPr>
              <w:t>年</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≥1</w:t>
            </w:r>
            <w:r>
              <w:rPr>
                <w:rFonts w:hint="eastAsia"/>
                <w:i/>
                <w:iCs/>
                <w:sz w:val="24"/>
                <w:szCs w:val="24"/>
                <w:u w:val="single"/>
                <w:lang w:val="en-US" w:eastAsia="zh-CN"/>
              </w:rPr>
              <w:t>0</w:t>
            </w:r>
            <w:r>
              <w:rPr>
                <w:rFonts w:hint="eastAsia"/>
                <w:i/>
                <w:iCs/>
                <w:sz w:val="24"/>
                <w:szCs w:val="24"/>
                <w:u w:val="single"/>
              </w:rPr>
              <w:t>年</w:t>
            </w:r>
          </w:p>
        </w:tc>
      </w:tr>
      <w:tr>
        <w:tblPrEx>
          <w:tblCellMar>
            <w:top w:w="0" w:type="dxa"/>
            <w:left w:w="108" w:type="dxa"/>
            <w:bottom w:w="0" w:type="dxa"/>
            <w:right w:w="108" w:type="dxa"/>
          </w:tblCellMar>
        </w:tblPrEx>
        <w:trPr>
          <w:trHeight w:val="9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读写次数</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&gt;10万次</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&gt;10万次</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支持协议</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ISO 18000-6C</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ISO 18000-6C</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工作温度</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-20℃ 至 +80℃</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-20℃ 至 +80℃</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rPr>
                <w:rFonts w:hint="eastAsia"/>
                <w:i/>
                <w:iCs/>
                <w:sz w:val="24"/>
                <w:szCs w:val="24"/>
                <w:u w:val="single"/>
              </w:rPr>
            </w:pPr>
            <w:r>
              <w:rPr>
                <w:rFonts w:hint="eastAsia"/>
                <w:i/>
                <w:iCs/>
                <w:sz w:val="24"/>
                <w:szCs w:val="24"/>
                <w:u w:val="single"/>
              </w:rPr>
              <w:t>工作频率（国内）</w:t>
            </w:r>
          </w:p>
        </w:tc>
        <w:tc>
          <w:tcPr>
            <w:tcW w:w="1758"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840-960MHZ</w:t>
            </w:r>
          </w:p>
        </w:tc>
        <w:tc>
          <w:tcPr>
            <w:tcW w:w="2085"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840-960MHZ</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rPr>
              <w:t>稳定距离</w:t>
            </w:r>
          </w:p>
        </w:tc>
        <w:tc>
          <w:tcPr>
            <w:tcW w:w="1758"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&gt;5M（与环境及读写器有关）</w:t>
            </w:r>
          </w:p>
        </w:tc>
        <w:tc>
          <w:tcPr>
            <w:tcW w:w="2085"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rPr>
              <w:t>&gt;5M</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ind w:firstLine="480" w:firstLineChars="200"/>
              <w:rPr>
                <w:rFonts w:hint="eastAsia"/>
                <w:i/>
                <w:iCs/>
                <w:sz w:val="24"/>
                <w:szCs w:val="24"/>
                <w:u w:val="single"/>
              </w:rPr>
            </w:pPr>
            <w:r>
              <w:rPr>
                <w:rFonts w:hint="eastAsia"/>
                <w:i/>
                <w:iCs/>
                <w:sz w:val="24"/>
                <w:szCs w:val="24"/>
                <w:u w:val="single"/>
              </w:rPr>
              <w:t>主要应用场景</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仪器设备等含金属类资产表面</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rPr>
              <w:t>塑料、木质家具等不含金属类资产表面</w:t>
            </w:r>
          </w:p>
        </w:tc>
      </w:tr>
      <w:tr>
        <w:tblPrEx>
          <w:tblCellMar>
            <w:top w:w="0" w:type="dxa"/>
            <w:left w:w="108" w:type="dxa"/>
            <w:bottom w:w="0" w:type="dxa"/>
            <w:right w:w="108" w:type="dxa"/>
          </w:tblCellMar>
        </w:tblPrEx>
        <w:trPr>
          <w:trHeight w:val="560" w:hRule="atLeast"/>
        </w:trPr>
        <w:tc>
          <w:tcPr>
            <w:tcW w:w="1156" w:type="pct"/>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ind w:firstLine="480" w:firstLineChars="200"/>
              <w:rPr>
                <w:rFonts w:hint="eastAsia"/>
                <w:i/>
                <w:iCs/>
                <w:sz w:val="24"/>
                <w:szCs w:val="24"/>
                <w:u w:val="single"/>
                <w:lang w:val="en-US" w:eastAsia="zh-CN"/>
              </w:rPr>
            </w:pPr>
            <w:r>
              <w:rPr>
                <w:rFonts w:hint="eastAsia"/>
                <w:i/>
                <w:iCs/>
                <w:sz w:val="24"/>
                <w:szCs w:val="24"/>
                <w:u w:val="single"/>
                <w:lang w:val="en-US" w:eastAsia="zh-CN"/>
              </w:rPr>
              <w:t>安装方式</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eastAsia="zh-CN"/>
              </w:rPr>
            </w:pPr>
            <w:r>
              <w:rPr>
                <w:rFonts w:hint="eastAsia"/>
                <w:i/>
                <w:iCs/>
                <w:sz w:val="24"/>
                <w:szCs w:val="24"/>
                <w:u w:val="single"/>
                <w:lang w:val="en-US" w:eastAsia="zh-CN"/>
              </w:rPr>
              <w:t>符合3M背胶</w:t>
            </w:r>
          </w:p>
        </w:tc>
        <w:tc>
          <w:tcPr>
            <w:tcW w:w="2085"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rPr>
            </w:pPr>
            <w:r>
              <w:rPr>
                <w:rFonts w:hint="eastAsia"/>
                <w:i/>
                <w:iCs/>
                <w:sz w:val="24"/>
                <w:szCs w:val="24"/>
                <w:u w:val="single"/>
                <w:lang w:val="en-US" w:eastAsia="zh-CN"/>
              </w:rPr>
              <w:t>符合3M背胶</w:t>
            </w:r>
          </w:p>
        </w:tc>
      </w:tr>
    </w:tbl>
    <w:p>
      <w:pPr>
        <w:ind w:firstLine="600" w:firstLineChars="200"/>
        <w:rPr>
          <w:rFonts w:hint="eastAsia"/>
          <w:sz w:val="30"/>
          <w:szCs w:val="30"/>
          <w:lang w:eastAsia="zh-CN"/>
        </w:rPr>
      </w:pPr>
    </w:p>
    <w:p>
      <w:pPr>
        <w:ind w:firstLine="600" w:firstLineChars="200"/>
        <w:rPr>
          <w:rFonts w:hint="eastAsia"/>
          <w:sz w:val="30"/>
          <w:szCs w:val="30"/>
        </w:rPr>
      </w:pPr>
      <w:r>
        <w:rPr>
          <w:rFonts w:hint="eastAsia"/>
          <w:sz w:val="30"/>
          <w:szCs w:val="30"/>
          <w:lang w:eastAsia="zh-CN"/>
        </w:rPr>
        <w:t>（</w:t>
      </w:r>
      <w:r>
        <w:rPr>
          <w:rFonts w:hint="eastAsia"/>
          <w:sz w:val="30"/>
          <w:szCs w:val="30"/>
          <w:lang w:val="en-US" w:eastAsia="zh-CN"/>
        </w:rPr>
        <w:t>四）</w:t>
      </w:r>
      <w:r>
        <w:rPr>
          <w:rFonts w:hint="eastAsia"/>
          <w:sz w:val="30"/>
          <w:szCs w:val="30"/>
        </w:rPr>
        <w:t>服务器</w:t>
      </w:r>
    </w:p>
    <w:p>
      <w:pPr>
        <w:ind w:firstLine="600" w:firstLineChars="200"/>
        <w:rPr>
          <w:rFonts w:hint="eastAsia"/>
          <w:sz w:val="30"/>
          <w:szCs w:val="30"/>
          <w:lang w:val="en-US" w:eastAsia="zh-CN"/>
        </w:rPr>
      </w:pPr>
      <w:r>
        <w:rPr>
          <w:rFonts w:hint="eastAsia"/>
          <w:sz w:val="30"/>
          <w:szCs w:val="30"/>
          <w:lang w:val="en-US" w:eastAsia="zh-CN"/>
        </w:rPr>
        <w:t>国产化通用服务器要求：</w:t>
      </w:r>
    </w:p>
    <w:tbl>
      <w:tblPr>
        <w:tblStyle w:val="44"/>
        <w:tblW w:w="5000" w:type="pct"/>
        <w:tblInd w:w="0" w:type="dxa"/>
        <w:tblLayout w:type="autofit"/>
        <w:tblCellMar>
          <w:top w:w="0" w:type="dxa"/>
          <w:left w:w="108" w:type="dxa"/>
          <w:bottom w:w="0" w:type="dxa"/>
          <w:right w:w="108" w:type="dxa"/>
        </w:tblCellMar>
      </w:tblPr>
      <w:tblGrid>
        <w:gridCol w:w="3386"/>
        <w:gridCol w:w="5142"/>
      </w:tblGrid>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操作系统</w:t>
            </w:r>
          </w:p>
        </w:tc>
        <w:tc>
          <w:tcPr>
            <w:tcW w:w="3014"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lang w:val="en-US" w:eastAsia="zh-CN"/>
              </w:rPr>
              <w:t>国产化服务器操作系统</w:t>
            </w:r>
          </w:p>
        </w:tc>
      </w:tr>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default"/>
                <w:i/>
                <w:iCs/>
                <w:sz w:val="24"/>
                <w:szCs w:val="24"/>
                <w:u w:val="single"/>
                <w:lang w:val="en-US" w:eastAsia="zh-CN"/>
              </w:rPr>
            </w:pPr>
            <w:r>
              <w:rPr>
                <w:rFonts w:hint="eastAsia"/>
                <w:i/>
                <w:iCs/>
                <w:sz w:val="24"/>
                <w:szCs w:val="24"/>
                <w:u w:val="single"/>
                <w:lang w:val="en-US" w:eastAsia="zh-CN"/>
              </w:rPr>
              <w:t>外形</w:t>
            </w:r>
          </w:p>
        </w:tc>
        <w:tc>
          <w:tcPr>
            <w:tcW w:w="3014"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default"/>
                <w:i/>
                <w:iCs/>
                <w:sz w:val="24"/>
                <w:szCs w:val="24"/>
                <w:u w:val="single"/>
                <w:lang w:val="en-US" w:eastAsia="zh-CN"/>
              </w:rPr>
            </w:pPr>
            <w:r>
              <w:rPr>
                <w:rFonts w:hint="eastAsia"/>
                <w:i/>
                <w:iCs/>
                <w:sz w:val="24"/>
                <w:szCs w:val="24"/>
                <w:u w:val="single"/>
                <w:lang w:val="en-US" w:eastAsia="zh-CN"/>
              </w:rPr>
              <w:t>2U机架式服务器</w:t>
            </w:r>
          </w:p>
        </w:tc>
      </w:tr>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cpu</w:t>
            </w:r>
            <w:r>
              <w:rPr>
                <w:rFonts w:hint="eastAsia"/>
                <w:i/>
                <w:iCs/>
                <w:sz w:val="24"/>
                <w:szCs w:val="24"/>
                <w:u w:val="single"/>
                <w:lang w:val="en-US" w:eastAsia="zh-CN"/>
              </w:rPr>
              <w:tab/>
            </w:r>
          </w:p>
        </w:tc>
        <w:tc>
          <w:tcPr>
            <w:tcW w:w="3014"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default"/>
                <w:i/>
                <w:iCs/>
                <w:sz w:val="24"/>
                <w:szCs w:val="24"/>
                <w:u w:val="single"/>
                <w:lang w:val="en-US"/>
              </w:rPr>
            </w:pPr>
            <w:r>
              <w:rPr>
                <w:rFonts w:hint="eastAsia"/>
                <w:i/>
                <w:iCs/>
                <w:sz w:val="24"/>
                <w:szCs w:val="24"/>
                <w:u w:val="single"/>
                <w:lang w:val="en-US" w:eastAsia="zh-CN"/>
              </w:rPr>
              <w:t>核心数≥64核、主频≥2.2Ghz</w:t>
            </w:r>
          </w:p>
        </w:tc>
      </w:tr>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内存</w:t>
            </w:r>
          </w:p>
        </w:tc>
        <w:tc>
          <w:tcPr>
            <w:tcW w:w="3014"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rPr>
            </w:pPr>
            <w:r>
              <w:rPr>
                <w:rFonts w:hint="eastAsia"/>
                <w:i/>
                <w:iCs/>
                <w:sz w:val="24"/>
                <w:szCs w:val="24"/>
                <w:u w:val="single"/>
                <w:lang w:val="en-US" w:eastAsia="zh-CN"/>
              </w:rPr>
              <w:t>内存容量≥64G，可扩展最大容量192G（12个内存插槽）</w:t>
            </w:r>
          </w:p>
        </w:tc>
      </w:tr>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系统硬盘</w:t>
            </w:r>
          </w:p>
        </w:tc>
        <w:tc>
          <w:tcPr>
            <w:tcW w:w="3014"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i/>
                <w:iCs/>
                <w:sz w:val="24"/>
                <w:szCs w:val="24"/>
                <w:u w:val="single"/>
                <w:lang w:val="en-US" w:eastAsia="zh-CN"/>
              </w:rPr>
            </w:pPr>
            <w:r>
              <w:rPr>
                <w:rFonts w:hint="eastAsia"/>
                <w:i/>
                <w:iCs/>
                <w:sz w:val="24"/>
                <w:szCs w:val="24"/>
                <w:u w:val="single"/>
                <w:lang w:val="en-US" w:eastAsia="zh-CN"/>
              </w:rPr>
              <w:t>配置固态硬盘≥2T，SAS硬盘≥8T，支持热插拔；</w:t>
            </w:r>
          </w:p>
          <w:p>
            <w:pPr>
              <w:ind w:firstLine="480" w:firstLineChars="200"/>
              <w:rPr>
                <w:rFonts w:hint="default"/>
                <w:i/>
                <w:iCs/>
                <w:sz w:val="24"/>
                <w:szCs w:val="24"/>
                <w:u w:val="single"/>
                <w:lang w:val="en-US" w:eastAsia="zh-CN"/>
              </w:rPr>
            </w:pPr>
            <w:r>
              <w:rPr>
                <w:rFonts w:hint="eastAsia"/>
                <w:i/>
                <w:iCs/>
                <w:sz w:val="24"/>
                <w:szCs w:val="24"/>
                <w:u w:val="single"/>
                <w:lang w:val="en-US" w:eastAsia="zh-CN"/>
              </w:rPr>
              <w:t>具备主流磁盘阵列管理能力。</w:t>
            </w:r>
          </w:p>
        </w:tc>
      </w:tr>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网卡</w:t>
            </w:r>
          </w:p>
        </w:tc>
        <w:tc>
          <w:tcPr>
            <w:tcW w:w="3014"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eastAsia="zh-CN"/>
              </w:rPr>
            </w:pPr>
            <w:r>
              <w:rPr>
                <w:rFonts w:hint="eastAsia"/>
                <w:i/>
                <w:iCs/>
                <w:sz w:val="24"/>
                <w:szCs w:val="24"/>
                <w:u w:val="single"/>
                <w:lang w:val="en-US" w:eastAsia="zh-CN"/>
              </w:rPr>
              <w:t>板载千兆电口≥2，万兆光口≥2</w:t>
            </w:r>
          </w:p>
        </w:tc>
      </w:tr>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lang w:val="en-US" w:eastAsia="zh-CN"/>
              </w:rPr>
            </w:pPr>
            <w:r>
              <w:rPr>
                <w:rFonts w:hint="eastAsia"/>
                <w:i/>
                <w:iCs/>
                <w:sz w:val="24"/>
                <w:szCs w:val="24"/>
                <w:u w:val="single"/>
                <w:lang w:val="en-US" w:eastAsia="zh-CN"/>
              </w:rPr>
              <w:t>电源</w:t>
            </w:r>
          </w:p>
        </w:tc>
        <w:tc>
          <w:tcPr>
            <w:tcW w:w="3014"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eastAsia="zh-CN"/>
              </w:rPr>
            </w:pPr>
            <w:r>
              <w:rPr>
                <w:rFonts w:hint="eastAsia"/>
                <w:i/>
                <w:iCs/>
                <w:sz w:val="24"/>
                <w:szCs w:val="24"/>
                <w:u w:val="single"/>
                <w:lang w:val="en-US" w:eastAsia="zh-CN"/>
              </w:rPr>
              <w:t>冗余电源</w:t>
            </w:r>
          </w:p>
        </w:tc>
      </w:tr>
      <w:tr>
        <w:tblPrEx>
          <w:tblCellMar>
            <w:top w:w="0" w:type="dxa"/>
            <w:left w:w="108" w:type="dxa"/>
            <w:bottom w:w="0" w:type="dxa"/>
            <w:right w:w="108" w:type="dxa"/>
          </w:tblCellMar>
        </w:tblPrEx>
        <w:trPr>
          <w:trHeight w:val="560" w:hRule="atLeast"/>
        </w:trPr>
        <w:tc>
          <w:tcPr>
            <w:tcW w:w="1985"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数据库</w:t>
            </w:r>
          </w:p>
        </w:tc>
        <w:tc>
          <w:tcPr>
            <w:tcW w:w="3014"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rPr>
            </w:pPr>
            <w:r>
              <w:rPr>
                <w:rFonts w:hint="eastAsia"/>
                <w:i/>
                <w:iCs/>
                <w:sz w:val="24"/>
                <w:szCs w:val="24"/>
                <w:u w:val="single"/>
                <w:lang w:val="en-US" w:eastAsia="zh-CN"/>
              </w:rPr>
              <w:t>国产化数据库</w:t>
            </w:r>
          </w:p>
        </w:tc>
      </w:tr>
    </w:tbl>
    <w:p>
      <w:pPr>
        <w:ind w:firstLine="600" w:firstLineChars="200"/>
        <w:rPr>
          <w:rFonts w:hint="eastAsia"/>
          <w:sz w:val="30"/>
          <w:szCs w:val="30"/>
          <w:lang w:val="en-US" w:eastAsia="zh-CN"/>
        </w:rPr>
      </w:pPr>
    </w:p>
    <w:p>
      <w:pPr>
        <w:ind w:firstLine="600" w:firstLineChars="200"/>
        <w:rPr>
          <w:rFonts w:hint="eastAsia"/>
          <w:sz w:val="30"/>
          <w:szCs w:val="30"/>
          <w:lang w:val="en-US" w:eastAsia="zh-CN"/>
        </w:rPr>
      </w:pPr>
      <w:r>
        <w:rPr>
          <w:rFonts w:hint="eastAsia"/>
          <w:sz w:val="30"/>
          <w:szCs w:val="30"/>
          <w:lang w:val="en-US" w:eastAsia="zh-CN"/>
        </w:rPr>
        <w:t>（五）系统管理终端</w:t>
      </w:r>
    </w:p>
    <w:p>
      <w:pPr>
        <w:ind w:firstLine="600" w:firstLineChars="200"/>
        <w:rPr>
          <w:rFonts w:hint="default"/>
          <w:sz w:val="30"/>
          <w:szCs w:val="30"/>
          <w:lang w:val="en-US" w:eastAsia="zh-CN"/>
        </w:rPr>
      </w:pPr>
      <w:r>
        <w:rPr>
          <w:rFonts w:hint="eastAsia"/>
          <w:sz w:val="30"/>
          <w:szCs w:val="30"/>
          <w:lang w:val="en-US" w:eastAsia="zh-CN"/>
        </w:rPr>
        <w:t>国产化通用桌面终端要求：</w:t>
      </w:r>
    </w:p>
    <w:tbl>
      <w:tblPr>
        <w:tblStyle w:val="44"/>
        <w:tblW w:w="5000" w:type="pct"/>
        <w:tblInd w:w="0" w:type="dxa"/>
        <w:tblLayout w:type="autofit"/>
        <w:tblCellMar>
          <w:top w:w="0" w:type="dxa"/>
          <w:left w:w="108" w:type="dxa"/>
          <w:bottom w:w="0" w:type="dxa"/>
          <w:right w:w="108" w:type="dxa"/>
        </w:tblCellMar>
      </w:tblPr>
      <w:tblGrid>
        <w:gridCol w:w="3388"/>
        <w:gridCol w:w="5140"/>
      </w:tblGrid>
      <w:tr>
        <w:tblPrEx>
          <w:tblCellMar>
            <w:top w:w="0" w:type="dxa"/>
            <w:left w:w="108" w:type="dxa"/>
            <w:bottom w:w="0" w:type="dxa"/>
            <w:right w:w="108" w:type="dxa"/>
          </w:tblCellMar>
        </w:tblPrEx>
        <w:trPr>
          <w:trHeight w:val="560" w:hRule="atLeast"/>
        </w:trPr>
        <w:tc>
          <w:tcPr>
            <w:tcW w:w="198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操作系统</w:t>
            </w:r>
          </w:p>
        </w:tc>
        <w:tc>
          <w:tcPr>
            <w:tcW w:w="3013"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eastAsia"/>
                <w:i/>
                <w:iCs/>
                <w:sz w:val="24"/>
                <w:szCs w:val="24"/>
                <w:u w:val="single"/>
              </w:rPr>
            </w:pPr>
            <w:r>
              <w:rPr>
                <w:rFonts w:hint="eastAsia"/>
                <w:i/>
                <w:iCs/>
                <w:sz w:val="24"/>
                <w:szCs w:val="24"/>
                <w:u w:val="single"/>
                <w:lang w:val="en-US" w:eastAsia="zh-CN"/>
              </w:rPr>
              <w:t>国产化操作系统</w:t>
            </w:r>
          </w:p>
        </w:tc>
      </w:tr>
      <w:tr>
        <w:tblPrEx>
          <w:tblCellMar>
            <w:top w:w="0" w:type="dxa"/>
            <w:left w:w="108" w:type="dxa"/>
            <w:bottom w:w="0" w:type="dxa"/>
            <w:right w:w="108" w:type="dxa"/>
          </w:tblCellMar>
        </w:tblPrEx>
        <w:trPr>
          <w:trHeight w:val="560" w:hRule="atLeast"/>
        </w:trPr>
        <w:tc>
          <w:tcPr>
            <w:tcW w:w="198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cpu</w:t>
            </w:r>
            <w:r>
              <w:rPr>
                <w:rFonts w:hint="eastAsia"/>
                <w:i/>
                <w:iCs/>
                <w:sz w:val="24"/>
                <w:szCs w:val="24"/>
                <w:u w:val="single"/>
                <w:lang w:val="en-US" w:eastAsia="zh-CN"/>
              </w:rPr>
              <w:tab/>
            </w:r>
          </w:p>
        </w:tc>
        <w:tc>
          <w:tcPr>
            <w:tcW w:w="3013" w:type="pct"/>
            <w:tcBorders>
              <w:top w:val="single" w:color="000000" w:sz="4" w:space="0"/>
              <w:left w:val="single" w:color="000000" w:sz="4" w:space="0"/>
              <w:bottom w:val="single" w:color="000000" w:sz="4" w:space="0"/>
              <w:right w:val="single" w:color="000000" w:sz="4" w:space="0"/>
            </w:tcBorders>
            <w:noWrap/>
            <w:vAlign w:val="center"/>
          </w:tcPr>
          <w:p>
            <w:pPr>
              <w:ind w:firstLine="480" w:firstLineChars="200"/>
              <w:rPr>
                <w:rFonts w:hint="default"/>
                <w:i/>
                <w:iCs/>
                <w:sz w:val="24"/>
                <w:szCs w:val="24"/>
                <w:u w:val="single"/>
                <w:lang w:val="en-US"/>
              </w:rPr>
            </w:pPr>
            <w:r>
              <w:rPr>
                <w:rFonts w:hint="eastAsia"/>
                <w:i/>
                <w:iCs/>
                <w:sz w:val="24"/>
                <w:szCs w:val="24"/>
                <w:u w:val="single"/>
                <w:lang w:val="en-US" w:eastAsia="zh-CN"/>
              </w:rPr>
              <w:t>核心数≥8核、主频≥2.2Ghz</w:t>
            </w:r>
          </w:p>
        </w:tc>
      </w:tr>
      <w:tr>
        <w:tblPrEx>
          <w:tblCellMar>
            <w:top w:w="0" w:type="dxa"/>
            <w:left w:w="108" w:type="dxa"/>
            <w:bottom w:w="0" w:type="dxa"/>
            <w:right w:w="108" w:type="dxa"/>
          </w:tblCellMar>
        </w:tblPrEx>
        <w:trPr>
          <w:trHeight w:val="560" w:hRule="atLeast"/>
        </w:trPr>
        <w:tc>
          <w:tcPr>
            <w:tcW w:w="198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内存</w:t>
            </w:r>
          </w:p>
        </w:tc>
        <w:tc>
          <w:tcPr>
            <w:tcW w:w="3013"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rPr>
            </w:pPr>
            <w:r>
              <w:rPr>
                <w:rFonts w:hint="eastAsia"/>
                <w:i/>
                <w:iCs/>
                <w:sz w:val="24"/>
                <w:szCs w:val="24"/>
                <w:u w:val="single"/>
                <w:lang w:val="en-US" w:eastAsia="zh-CN"/>
              </w:rPr>
              <w:t>内存容量≥16G，可扩展最大容量64G（4个内存插槽）</w:t>
            </w:r>
          </w:p>
        </w:tc>
      </w:tr>
      <w:tr>
        <w:tblPrEx>
          <w:tblCellMar>
            <w:top w:w="0" w:type="dxa"/>
            <w:left w:w="108" w:type="dxa"/>
            <w:bottom w:w="0" w:type="dxa"/>
            <w:right w:w="108" w:type="dxa"/>
          </w:tblCellMar>
        </w:tblPrEx>
        <w:trPr>
          <w:trHeight w:val="560" w:hRule="atLeast"/>
        </w:trPr>
        <w:tc>
          <w:tcPr>
            <w:tcW w:w="198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系统硬盘</w:t>
            </w:r>
          </w:p>
        </w:tc>
        <w:tc>
          <w:tcPr>
            <w:tcW w:w="3013"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rPr>
            </w:pPr>
            <w:r>
              <w:rPr>
                <w:rFonts w:hint="eastAsia"/>
                <w:i/>
                <w:iCs/>
                <w:sz w:val="24"/>
                <w:szCs w:val="24"/>
                <w:u w:val="single"/>
                <w:lang w:val="en-US" w:eastAsia="zh-CN"/>
              </w:rPr>
              <w:t>配置固态硬盘≥1T，HDD硬盘≥2T</w:t>
            </w:r>
          </w:p>
        </w:tc>
      </w:tr>
      <w:tr>
        <w:tblPrEx>
          <w:tblCellMar>
            <w:top w:w="0" w:type="dxa"/>
            <w:left w:w="108" w:type="dxa"/>
            <w:bottom w:w="0" w:type="dxa"/>
            <w:right w:w="108" w:type="dxa"/>
          </w:tblCellMar>
        </w:tblPrEx>
        <w:trPr>
          <w:trHeight w:val="560" w:hRule="atLeast"/>
        </w:trPr>
        <w:tc>
          <w:tcPr>
            <w:tcW w:w="1986" w:type="pct"/>
            <w:tcBorders>
              <w:top w:val="single" w:color="000000" w:sz="4" w:space="0"/>
              <w:left w:val="single" w:color="000000" w:sz="4" w:space="0"/>
              <w:bottom w:val="single" w:color="000000" w:sz="4" w:space="0"/>
              <w:right w:val="single" w:color="000000" w:sz="4" w:space="0"/>
            </w:tcBorders>
            <w:shd w:val="clear" w:color="auto" w:fill="EEECE1"/>
            <w:noWrap/>
            <w:vAlign w:val="center"/>
          </w:tcPr>
          <w:p>
            <w:pPr>
              <w:ind w:firstLine="480" w:firstLineChars="200"/>
              <w:rPr>
                <w:rFonts w:hint="eastAsia"/>
                <w:i/>
                <w:iCs/>
                <w:sz w:val="24"/>
                <w:szCs w:val="24"/>
                <w:u w:val="single"/>
              </w:rPr>
            </w:pPr>
            <w:r>
              <w:rPr>
                <w:rFonts w:hint="eastAsia"/>
                <w:i/>
                <w:iCs/>
                <w:sz w:val="24"/>
                <w:szCs w:val="24"/>
                <w:u w:val="single"/>
                <w:lang w:val="en-US" w:eastAsia="zh-CN"/>
              </w:rPr>
              <w:t>网卡</w:t>
            </w:r>
          </w:p>
        </w:tc>
        <w:tc>
          <w:tcPr>
            <w:tcW w:w="3013" w:type="pct"/>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default"/>
                <w:i/>
                <w:iCs/>
                <w:sz w:val="24"/>
                <w:szCs w:val="24"/>
                <w:u w:val="single"/>
                <w:lang w:val="en-US" w:eastAsia="zh-CN"/>
              </w:rPr>
            </w:pPr>
            <w:r>
              <w:rPr>
                <w:rFonts w:hint="eastAsia"/>
                <w:i/>
                <w:iCs/>
                <w:sz w:val="24"/>
                <w:szCs w:val="24"/>
                <w:u w:val="single"/>
                <w:lang w:val="en-US" w:eastAsia="zh-CN"/>
              </w:rPr>
              <w:t>千兆电口≥1</w:t>
            </w:r>
          </w:p>
        </w:tc>
      </w:tr>
    </w:tbl>
    <w:p>
      <w:pPr>
        <w:numPr>
          <w:ilvl w:val="0"/>
          <w:numId w:val="0"/>
        </w:numPr>
        <w:rPr>
          <w:rFonts w:hint="default"/>
          <w:lang w:val="en-US" w:eastAsia="zh-CN"/>
        </w:rPr>
      </w:pPr>
    </w:p>
    <w:p>
      <w:pPr>
        <w:ind w:firstLine="420"/>
        <w:rPr>
          <w:rFonts w:hint="eastAsia"/>
          <w:lang w:val="en-US" w:eastAsia="zh-CN"/>
        </w:rPr>
      </w:pPr>
    </w:p>
    <w:p>
      <w:pPr>
        <w:rPr>
          <w:rFonts w:hint="eastAsia"/>
          <w:lang w:val="en-US" w:eastAsia="zh-CN"/>
        </w:rPr>
      </w:pPr>
    </w:p>
    <w:p>
      <w:pPr>
        <w:rPr>
          <w:rFonts w:hint="eastAsia"/>
          <w:lang w:val="en-US" w:eastAsia="zh-CN"/>
        </w:rPr>
      </w:pPr>
    </w:p>
    <w:p>
      <w:pPr>
        <w:jc w:val="center"/>
        <w:rPr>
          <w:b/>
          <w:bCs/>
          <w:color w:val="FF0000"/>
          <w:sz w:val="32"/>
          <w:szCs w:val="40"/>
          <w:highlight w:val="cyan"/>
        </w:rPr>
      </w:pPr>
    </w:p>
    <w:p>
      <w:pPr>
        <w:pStyle w:val="2"/>
        <w:rPr>
          <w:rFonts w:ascii="宋体" w:hAnsi="宋体"/>
          <w:b w:val="0"/>
          <w:szCs w:val="28"/>
        </w:rPr>
      </w:pPr>
      <w:r>
        <w:rPr>
          <w:rFonts w:ascii="宋体" w:hAnsi="宋体"/>
          <w:b w:val="0"/>
          <w:szCs w:val="28"/>
        </w:rPr>
        <w:br w:type="page"/>
      </w:r>
      <w:bookmarkEnd w:id="64"/>
      <w:bookmarkEnd w:id="65"/>
      <w:bookmarkEnd w:id="70"/>
      <w:bookmarkStart w:id="75" w:name="_Toc420948022"/>
      <w:bookmarkStart w:id="76" w:name="_Toc433113178"/>
      <w:bookmarkStart w:id="77" w:name="_Toc474770918"/>
    </w:p>
    <w:p>
      <w:pPr>
        <w:pStyle w:val="2"/>
        <w:rPr>
          <w:rFonts w:ascii="宋体" w:hAnsi="宋体"/>
          <w:b w:val="0"/>
          <w:szCs w:val="28"/>
        </w:rPr>
      </w:pPr>
    </w:p>
    <w:p>
      <w:pPr>
        <w:pStyle w:val="2"/>
        <w:rPr>
          <w:rFonts w:hint="eastAsia" w:ascii="宋体" w:hAnsi="宋体" w:eastAsia="宋体" w:cs="Times New Roman"/>
          <w:b/>
          <w:bCs/>
          <w:kern w:val="2"/>
          <w:sz w:val="28"/>
          <w:szCs w:val="20"/>
          <w:lang w:val="en-US" w:eastAsia="zh-CN" w:bidi="ar-SA"/>
        </w:rPr>
      </w:pPr>
      <w:r>
        <w:rPr>
          <w:rFonts w:hint="eastAsia" w:ascii="宋体" w:hAnsi="宋体" w:eastAsia="宋体" w:cs="Times New Roman"/>
          <w:b/>
          <w:bCs/>
          <w:kern w:val="2"/>
          <w:sz w:val="28"/>
          <w:szCs w:val="20"/>
          <w:lang w:val="en-US" w:eastAsia="zh-CN" w:bidi="ar-SA"/>
        </w:rPr>
        <w:t>第五章  响应文件</w:t>
      </w:r>
      <w:bookmarkEnd w:id="75"/>
      <w:bookmarkEnd w:id="76"/>
      <w:r>
        <w:rPr>
          <w:rFonts w:hint="eastAsia" w:ascii="宋体" w:hAnsi="宋体" w:eastAsia="宋体" w:cs="Times New Roman"/>
          <w:b/>
          <w:bCs/>
          <w:kern w:val="2"/>
          <w:sz w:val="28"/>
          <w:szCs w:val="20"/>
          <w:lang w:val="en-US" w:eastAsia="zh-CN" w:bidi="ar-SA"/>
        </w:rPr>
        <w:t>格式</w:t>
      </w:r>
      <w:bookmarkEnd w:id="77"/>
    </w:p>
    <w:p>
      <w:pPr>
        <w:adjustRightInd w:val="0"/>
        <w:snapToGrid w:val="0"/>
        <w:spacing w:line="400" w:lineRule="atLeast"/>
        <w:jc w:val="center"/>
        <w:rPr>
          <w:rFonts w:ascii="宋体" w:hAnsi="宋体"/>
          <w:bCs/>
          <w:sz w:val="52"/>
          <w:szCs w:val="52"/>
        </w:rPr>
      </w:pPr>
    </w:p>
    <w:p>
      <w:pPr>
        <w:adjustRightInd w:val="0"/>
        <w:snapToGrid w:val="0"/>
        <w:spacing w:line="400" w:lineRule="atLeast"/>
        <w:jc w:val="center"/>
        <w:rPr>
          <w:rFonts w:hint="eastAsia" w:ascii="宋体" w:hAnsi="宋体" w:eastAsia="宋体" w:cs="Times New Roman"/>
          <w:b/>
          <w:bCs/>
          <w:kern w:val="2"/>
          <w:sz w:val="28"/>
          <w:szCs w:val="20"/>
          <w:lang w:val="en-US" w:eastAsia="zh-CN" w:bidi="ar-SA"/>
        </w:rPr>
      </w:pPr>
    </w:p>
    <w:p>
      <w:pPr>
        <w:adjustRightInd w:val="0"/>
        <w:snapToGrid w:val="0"/>
        <w:spacing w:line="400" w:lineRule="atLeast"/>
        <w:jc w:val="center"/>
        <w:rPr>
          <w:rFonts w:ascii="宋体" w:hAnsi="宋体"/>
          <w:bCs/>
          <w:sz w:val="48"/>
          <w:szCs w:val="48"/>
        </w:rPr>
      </w:pPr>
      <w:r>
        <w:rPr>
          <w:rFonts w:hint="eastAsia" w:ascii="宋体" w:hAnsi="宋体"/>
          <w:bCs/>
          <w:sz w:val="48"/>
          <w:szCs w:val="48"/>
        </w:rPr>
        <w:t>响 应 文 件</w:t>
      </w:r>
    </w:p>
    <w:p>
      <w:pPr>
        <w:snapToGrid w:val="0"/>
        <w:spacing w:before="120" w:beforeLines="50" w:after="50"/>
        <w:jc w:val="center"/>
        <w:rPr>
          <w:rFonts w:ascii="宋体" w:hAnsi="宋体"/>
          <w:b/>
          <w:bCs/>
          <w:sz w:val="28"/>
          <w:szCs w:val="28"/>
        </w:rPr>
      </w:pPr>
      <w:r>
        <w:rPr>
          <w:rFonts w:hint="eastAsia" w:ascii="宋体" w:hAnsi="宋体"/>
          <w:b/>
          <w:bCs/>
          <w:sz w:val="28"/>
          <w:szCs w:val="28"/>
        </w:rPr>
        <w:t>（正本/副本）</w:t>
      </w:r>
    </w:p>
    <w:p>
      <w:pPr>
        <w:snapToGrid w:val="0"/>
        <w:spacing w:before="120" w:beforeLines="50" w:after="50"/>
        <w:jc w:val="center"/>
        <w:rPr>
          <w:rFonts w:ascii="宋体" w:hAnsi="宋体"/>
          <w:b/>
          <w:bCs/>
          <w:sz w:val="28"/>
          <w:szCs w:val="28"/>
        </w:rPr>
      </w:pPr>
    </w:p>
    <w:p>
      <w:pPr>
        <w:spacing w:before="240" w:beforeLines="100"/>
        <w:jc w:val="center"/>
        <w:rPr>
          <w:rFonts w:ascii="宋体" w:hAnsi="宋体"/>
          <w:b/>
          <w:bCs/>
          <w:sz w:val="28"/>
          <w:szCs w:val="28"/>
        </w:rPr>
      </w:pPr>
    </w:p>
    <w:p>
      <w:pPr>
        <w:spacing w:before="240" w:beforeLines="100"/>
        <w:jc w:val="center"/>
        <w:rPr>
          <w:rFonts w:ascii="宋体" w:hAnsi="宋体"/>
          <w:b/>
          <w:sz w:val="44"/>
          <w:szCs w:val="44"/>
        </w:rPr>
      </w:pPr>
    </w:p>
    <w:p>
      <w:pPr>
        <w:rPr>
          <w:rFonts w:ascii="宋体" w:hAnsi="宋体"/>
          <w:sz w:val="28"/>
          <w:szCs w:val="28"/>
        </w:rPr>
      </w:pPr>
    </w:p>
    <w:p>
      <w:pPr>
        <w:snapToGrid w:val="0"/>
        <w:spacing w:before="240" w:beforeLines="100" w:after="240" w:afterLines="100" w:line="360" w:lineRule="auto"/>
        <w:ind w:firstLine="993" w:firstLineChars="412"/>
        <w:rPr>
          <w:rFonts w:ascii="宋体" w:hAnsi="宋体"/>
          <w:b/>
          <w:bCs/>
          <w:sz w:val="24"/>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pPr>
        <w:snapToGrid w:val="0"/>
        <w:spacing w:before="240" w:beforeLines="100" w:after="240" w:afterLines="100" w:line="360" w:lineRule="auto"/>
        <w:ind w:firstLine="985" w:firstLineChars="409"/>
        <w:rPr>
          <w:rFonts w:ascii="宋体" w:hAnsi="宋体"/>
          <w:b/>
          <w:bCs/>
          <w:sz w:val="24"/>
        </w:rPr>
      </w:pPr>
      <w:r>
        <w:rPr>
          <w:rFonts w:hint="eastAsia" w:ascii="宋体" w:hAnsi="宋体"/>
          <w:b/>
          <w:bCs/>
          <w:sz w:val="24"/>
        </w:rPr>
        <w:t>项目编号：</w:t>
      </w:r>
      <w:r>
        <w:rPr>
          <w:rFonts w:hint="eastAsia" w:ascii="宋体" w:hAnsi="宋体"/>
          <w:b/>
          <w:bCs/>
          <w:sz w:val="24"/>
          <w:u w:val="single"/>
        </w:rPr>
        <w:t xml:space="preserve">                                  </w:t>
      </w:r>
      <w:r>
        <w:rPr>
          <w:rFonts w:ascii="宋体" w:hAnsi="宋体"/>
          <w:b/>
          <w:bCs/>
          <w:sz w:val="24"/>
        </w:rPr>
        <w:t xml:space="preserve"> </w:t>
      </w:r>
      <w:r>
        <w:rPr>
          <w:rFonts w:hint="eastAsia" w:ascii="宋体" w:hAnsi="宋体"/>
          <w:b/>
          <w:bCs/>
          <w:sz w:val="24"/>
        </w:rPr>
        <w:t xml:space="preserve">    </w:t>
      </w:r>
    </w:p>
    <w:p>
      <w:pPr>
        <w:snapToGrid w:val="0"/>
        <w:spacing w:before="240" w:beforeLines="100" w:after="240" w:afterLines="100" w:line="360" w:lineRule="auto"/>
        <w:ind w:firstLine="985" w:firstLineChars="409"/>
        <w:rPr>
          <w:rFonts w:ascii="宋体" w:hAnsi="宋体"/>
          <w:b/>
          <w:bCs/>
          <w:sz w:val="24"/>
          <w:u w:val="single"/>
        </w:rPr>
      </w:pPr>
      <w:r>
        <w:rPr>
          <w:rFonts w:hint="eastAsia" w:ascii="宋体" w:hAnsi="宋体"/>
          <w:b/>
          <w:bCs/>
          <w:sz w:val="24"/>
        </w:rPr>
        <w:t>磋商内容：</w:t>
      </w:r>
      <w:r>
        <w:rPr>
          <w:rFonts w:hint="eastAsia" w:ascii="宋体" w:hAnsi="宋体"/>
          <w:b/>
          <w:bCs/>
          <w:sz w:val="24"/>
          <w:u w:val="single"/>
        </w:rPr>
        <w:t xml:space="preserve">                                       </w:t>
      </w:r>
    </w:p>
    <w:p>
      <w:pPr>
        <w:pStyle w:val="12"/>
        <w:snapToGrid w:val="0"/>
        <w:spacing w:before="240" w:beforeLines="100" w:after="240" w:afterLines="100" w:line="360" w:lineRule="auto"/>
        <w:ind w:firstLine="981" w:firstLineChars="407"/>
        <w:rPr>
          <w:rFonts w:ascii="宋体" w:hAnsi="宋体"/>
          <w:b/>
          <w:bCs/>
          <w:sz w:val="24"/>
          <w:szCs w:val="24"/>
        </w:rPr>
      </w:pPr>
      <w:r>
        <w:rPr>
          <w:rFonts w:hint="eastAsia" w:ascii="宋体" w:hAnsi="宋体"/>
          <w:b/>
          <w:bCs/>
          <w:sz w:val="24"/>
          <w:szCs w:val="24"/>
        </w:rPr>
        <w:t>供应商名称：</w:t>
      </w:r>
      <w:r>
        <w:rPr>
          <w:rFonts w:hint="eastAsia" w:ascii="宋体" w:hAnsi="宋体"/>
          <w:b/>
          <w:bCs/>
          <w:sz w:val="24"/>
          <w:szCs w:val="24"/>
          <w:u w:val="single"/>
        </w:rPr>
        <w:t xml:space="preserve">                         （</w:t>
      </w:r>
      <w:r>
        <w:rPr>
          <w:rFonts w:hint="eastAsia" w:ascii="宋体" w:hAnsi="宋体"/>
          <w:b/>
          <w:bCs/>
          <w:sz w:val="24"/>
          <w:szCs w:val="24"/>
        </w:rPr>
        <w:t>加盖公章）</w:t>
      </w:r>
    </w:p>
    <w:p>
      <w:pPr>
        <w:pStyle w:val="12"/>
        <w:snapToGrid w:val="0"/>
        <w:spacing w:before="240" w:beforeLines="100" w:after="240" w:afterLines="100" w:line="360" w:lineRule="auto"/>
        <w:ind w:firstLine="985" w:firstLineChars="409"/>
        <w:rPr>
          <w:rFonts w:ascii="宋体" w:hAnsi="宋体"/>
          <w:b/>
          <w:bCs/>
          <w:sz w:val="24"/>
          <w:szCs w:val="24"/>
          <w:u w:val="single"/>
        </w:rPr>
      </w:pPr>
      <w:r>
        <w:rPr>
          <w:rFonts w:hint="eastAsia" w:ascii="宋体" w:hAnsi="宋体"/>
          <w:b/>
          <w:bCs/>
          <w:sz w:val="24"/>
          <w:szCs w:val="24"/>
        </w:rPr>
        <w:t>供应商地址：</w:t>
      </w:r>
      <w:r>
        <w:rPr>
          <w:rFonts w:hint="eastAsia" w:ascii="宋体" w:hAnsi="宋体"/>
          <w:b/>
          <w:bCs/>
          <w:sz w:val="24"/>
          <w:szCs w:val="24"/>
          <w:u w:val="single"/>
        </w:rPr>
        <w:t xml:space="preserve">                                     </w:t>
      </w:r>
    </w:p>
    <w:p>
      <w:pPr>
        <w:pStyle w:val="12"/>
        <w:snapToGrid w:val="0"/>
        <w:spacing w:before="240" w:beforeLines="100" w:after="240" w:afterLines="100" w:line="360" w:lineRule="auto"/>
        <w:ind w:firstLine="985" w:firstLineChars="409"/>
        <w:rPr>
          <w:rFonts w:ascii="宋体" w:hAnsi="宋体"/>
          <w:b/>
          <w:bCs/>
          <w:sz w:val="24"/>
          <w:szCs w:val="24"/>
          <w:u w:val="single"/>
        </w:rPr>
      </w:pPr>
      <w:r>
        <w:rPr>
          <w:rFonts w:hint="eastAsia" w:ascii="宋体" w:hAnsi="宋体"/>
          <w:b/>
          <w:bCs/>
          <w:sz w:val="24"/>
          <w:szCs w:val="24"/>
        </w:rPr>
        <w:t>联系人：</w:t>
      </w:r>
      <w:r>
        <w:rPr>
          <w:rFonts w:hint="eastAsia" w:ascii="宋体" w:hAnsi="宋体"/>
          <w:b/>
          <w:bCs/>
          <w:sz w:val="24"/>
          <w:szCs w:val="24"/>
          <w:u w:val="single"/>
        </w:rPr>
        <w:t xml:space="preserve">                  </w:t>
      </w:r>
      <w:r>
        <w:rPr>
          <w:rFonts w:hint="eastAsia" w:ascii="宋体" w:hAnsi="宋体"/>
          <w:b/>
          <w:bCs/>
          <w:sz w:val="24"/>
          <w:szCs w:val="24"/>
        </w:rPr>
        <w:t>电话:</w:t>
      </w:r>
      <w:r>
        <w:rPr>
          <w:rFonts w:hint="eastAsia" w:ascii="宋体" w:hAnsi="宋体"/>
          <w:b/>
          <w:bCs/>
          <w:sz w:val="24"/>
          <w:szCs w:val="24"/>
          <w:u w:val="single"/>
        </w:rPr>
        <w:t xml:space="preserve">                  </w:t>
      </w:r>
    </w:p>
    <w:p>
      <w:pPr>
        <w:snapToGrid w:val="0"/>
        <w:spacing w:before="120" w:beforeLines="50" w:after="50"/>
        <w:ind w:firstLine="628" w:firstLineChars="262"/>
        <w:rPr>
          <w:rFonts w:ascii="宋体" w:hAnsi="宋体"/>
          <w:bCs/>
          <w:sz w:val="24"/>
        </w:rPr>
      </w:pPr>
    </w:p>
    <w:p>
      <w:pPr>
        <w:autoSpaceDE w:val="0"/>
        <w:autoSpaceDN w:val="0"/>
        <w:adjustRightInd w:val="0"/>
        <w:snapToGrid w:val="0"/>
        <w:spacing w:before="120" w:beforeLines="50" w:after="120" w:afterLines="50" w:line="360" w:lineRule="auto"/>
        <w:jc w:val="center"/>
        <w:rPr>
          <w:rFonts w:ascii="宋体" w:hAnsi="宋体"/>
          <w:b/>
          <w:sz w:val="32"/>
          <w:szCs w:val="32"/>
        </w:rPr>
      </w:pPr>
      <w:r>
        <w:rPr>
          <w:rFonts w:hint="eastAsia" w:ascii="宋体" w:hAnsi="宋体"/>
          <w:bCs/>
          <w:vanish/>
          <w:sz w:val="24"/>
        </w:rPr>
        <w:t>：容aobiao</w:t>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hint="eastAsia" w:ascii="宋体" w:hAnsi="宋体"/>
          <w:bCs/>
          <w:vanish/>
          <w:sz w:val="24"/>
        </w:rPr>
        <w:pgNum/>
      </w:r>
      <w:r>
        <w:rPr>
          <w:rFonts w:ascii="宋体" w:hAnsi="宋体"/>
          <w:bCs/>
          <w:sz w:val="24"/>
        </w:rPr>
        <w:t xml:space="preserve">     </w:t>
      </w:r>
      <w:bookmarkStart w:id="78" w:name="_Toc437365891"/>
      <w:bookmarkStart w:id="79" w:name="_Toc430714682"/>
      <w:bookmarkStart w:id="80" w:name="_Toc437359752"/>
      <w:bookmarkStart w:id="81" w:name="_Toc437365964"/>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bookmarkEnd w:id="78"/>
      <w:bookmarkEnd w:id="79"/>
      <w:bookmarkEnd w:id="80"/>
      <w:bookmarkEnd w:id="81"/>
    </w:p>
    <w:p>
      <w:pPr>
        <w:spacing w:line="360" w:lineRule="exact"/>
        <w:rPr>
          <w:rFonts w:ascii="宋体" w:hAnsi="宋体"/>
        </w:rPr>
      </w:pPr>
    </w:p>
    <w:p>
      <w:pPr>
        <w:rPr>
          <w:rFonts w:ascii="宋体" w:hAnsi="宋体"/>
        </w:rPr>
      </w:pPr>
      <w:r>
        <w:rPr>
          <w:rFonts w:ascii="宋体" w:hAnsi="宋体"/>
        </w:rPr>
        <w:br w:type="page"/>
      </w:r>
    </w:p>
    <w:p>
      <w:pPr>
        <w:adjustRightInd w:val="0"/>
        <w:snapToGrid w:val="0"/>
        <w:spacing w:line="360" w:lineRule="auto"/>
        <w:jc w:val="left"/>
        <w:rPr>
          <w:rFonts w:ascii="宋体" w:hAnsi="宋体"/>
          <w:b/>
          <w:szCs w:val="21"/>
        </w:rPr>
      </w:pPr>
    </w:p>
    <w:p>
      <w:pPr>
        <w:adjustRightInd w:val="0"/>
        <w:snapToGrid w:val="0"/>
        <w:spacing w:line="360" w:lineRule="auto"/>
        <w:jc w:val="left"/>
        <w:rPr>
          <w:rFonts w:ascii="宋体" w:hAnsi="宋体"/>
          <w:b/>
          <w:szCs w:val="21"/>
        </w:rPr>
      </w:pPr>
      <w:r>
        <w:rPr>
          <w:rFonts w:hint="eastAsia" w:ascii="宋体" w:hAnsi="宋体"/>
          <w:b/>
          <w:szCs w:val="21"/>
        </w:rPr>
        <w:t>一、资格性自查表</w:t>
      </w:r>
    </w:p>
    <w:p>
      <w:pPr>
        <w:adjustRightInd w:val="0"/>
        <w:snapToGrid w:val="0"/>
        <w:spacing w:line="360" w:lineRule="auto"/>
        <w:jc w:val="left"/>
        <w:rPr>
          <w:rFonts w:ascii="宋体" w:hAnsi="宋体"/>
          <w:b/>
          <w:szCs w:val="21"/>
        </w:rPr>
      </w:pPr>
      <w:r>
        <w:rPr>
          <w:rFonts w:hint="eastAsia" w:ascii="宋体" w:hAnsi="宋体"/>
          <w:b/>
          <w:szCs w:val="21"/>
        </w:rPr>
        <w:t>二、磋商函、磋商声明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附件1：法定代表人身份证明(法定代表人参加磋商)</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附件2：法定代表人授权书(委托代理人参加磋商)</w:t>
      </w:r>
    </w:p>
    <w:p>
      <w:pPr>
        <w:adjustRightInd w:val="0"/>
        <w:snapToGrid w:val="0"/>
        <w:spacing w:line="360" w:lineRule="auto"/>
        <w:jc w:val="left"/>
        <w:rPr>
          <w:rFonts w:ascii="宋体" w:hAnsi="宋体"/>
          <w:b/>
          <w:szCs w:val="21"/>
        </w:rPr>
      </w:pPr>
      <w:r>
        <w:rPr>
          <w:rFonts w:hint="eastAsia" w:ascii="宋体" w:hAnsi="宋体"/>
          <w:b/>
          <w:szCs w:val="21"/>
        </w:rPr>
        <w:t>三、磋商保证金</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附件3：磋商保证金；</w:t>
      </w:r>
    </w:p>
    <w:p>
      <w:pPr>
        <w:pStyle w:val="22"/>
        <w:adjustRightInd w:val="0"/>
        <w:snapToGrid w:val="0"/>
        <w:spacing w:line="360" w:lineRule="auto"/>
        <w:rPr>
          <w:rFonts w:ascii="宋体" w:hAnsi="宋体"/>
          <w:b/>
          <w:sz w:val="21"/>
          <w:szCs w:val="21"/>
        </w:rPr>
      </w:pPr>
      <w:r>
        <w:rPr>
          <w:rFonts w:hint="eastAsia" w:ascii="宋体" w:hAnsi="宋体"/>
          <w:b/>
          <w:sz w:val="21"/>
          <w:szCs w:val="21"/>
        </w:rPr>
        <w:t>四</w:t>
      </w:r>
      <w:r>
        <w:rPr>
          <w:rFonts w:hint="eastAsia" w:ascii="宋体" w:hAnsi="宋体"/>
          <w:sz w:val="21"/>
          <w:szCs w:val="21"/>
        </w:rPr>
        <w:t>、</w:t>
      </w:r>
      <w:r>
        <w:rPr>
          <w:rFonts w:hint="eastAsia" w:ascii="宋体" w:hAnsi="宋体"/>
          <w:b/>
          <w:sz w:val="21"/>
          <w:szCs w:val="21"/>
        </w:rPr>
        <w:t>报价一览表及报价明细表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附件4：报价一览表</w:t>
      </w:r>
    </w:p>
    <w:p>
      <w:pPr>
        <w:adjustRightInd w:val="0"/>
        <w:snapToGrid w:val="0"/>
        <w:spacing w:line="360" w:lineRule="auto"/>
        <w:ind w:firstLine="420" w:firstLineChars="200"/>
        <w:jc w:val="left"/>
        <w:rPr>
          <w:rFonts w:ascii="宋体" w:hAnsi="宋体"/>
          <w:bCs/>
          <w:szCs w:val="21"/>
        </w:rPr>
      </w:pPr>
      <w:r>
        <w:rPr>
          <w:rFonts w:hint="eastAsia" w:ascii="宋体" w:hAnsi="宋体"/>
          <w:szCs w:val="21"/>
        </w:rPr>
        <w:t>附件5：</w:t>
      </w:r>
      <w:r>
        <w:rPr>
          <w:rFonts w:hint="eastAsia" w:ascii="宋体" w:hAnsi="宋体"/>
          <w:bCs/>
          <w:szCs w:val="21"/>
        </w:rPr>
        <w:t>报价明细表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附件6：节能、环境标志产品证明材料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附件7-1：中小企业声明函</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附件7-2：监狱企业声明函</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附件7-3：残疾人福利性单位声明函</w:t>
      </w:r>
    </w:p>
    <w:p>
      <w:pPr>
        <w:adjustRightInd w:val="0"/>
        <w:snapToGrid w:val="0"/>
        <w:spacing w:line="360" w:lineRule="auto"/>
        <w:jc w:val="left"/>
        <w:rPr>
          <w:rFonts w:ascii="宋体" w:hAnsi="宋体"/>
          <w:b/>
          <w:szCs w:val="21"/>
        </w:rPr>
      </w:pPr>
      <w:r>
        <w:rPr>
          <w:rFonts w:hint="eastAsia" w:ascii="宋体" w:hAnsi="宋体"/>
          <w:b/>
          <w:szCs w:val="21"/>
        </w:rPr>
        <w:t>五、供应商的资格审查材料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附件8：供应商基本情况表</w:t>
      </w:r>
    </w:p>
    <w:p>
      <w:pPr>
        <w:adjustRightInd w:val="0"/>
        <w:snapToGrid w:val="0"/>
        <w:spacing w:line="360" w:lineRule="auto"/>
        <w:ind w:firstLine="420" w:firstLineChars="200"/>
        <w:rPr>
          <w:rFonts w:ascii="宋体" w:hAnsi="宋体"/>
          <w:szCs w:val="21"/>
        </w:rPr>
      </w:pPr>
      <w:r>
        <w:rPr>
          <w:rFonts w:hint="eastAsia" w:ascii="宋体" w:hAnsi="宋体"/>
          <w:szCs w:val="21"/>
        </w:rPr>
        <w:t>附件9：具备履行合同所必需的设备和专业技术能力的承诺</w:t>
      </w:r>
    </w:p>
    <w:p>
      <w:pPr>
        <w:adjustRightInd w:val="0"/>
        <w:snapToGrid w:val="0"/>
        <w:spacing w:line="360" w:lineRule="auto"/>
        <w:ind w:firstLine="420" w:firstLineChars="200"/>
        <w:rPr>
          <w:rFonts w:ascii="宋体" w:hAnsi="宋体"/>
          <w:szCs w:val="21"/>
        </w:rPr>
      </w:pPr>
      <w:r>
        <w:rPr>
          <w:rFonts w:hint="eastAsia" w:ascii="宋体" w:hAnsi="宋体"/>
          <w:szCs w:val="21"/>
        </w:rPr>
        <w:t>附件10：无重大违法记录声明书</w:t>
      </w:r>
    </w:p>
    <w:p>
      <w:pPr>
        <w:adjustRightInd w:val="0"/>
        <w:snapToGrid w:val="0"/>
        <w:spacing w:line="360" w:lineRule="auto"/>
        <w:ind w:firstLine="420" w:firstLineChars="200"/>
        <w:rPr>
          <w:rFonts w:ascii="宋体" w:hAnsi="宋体"/>
          <w:szCs w:val="21"/>
        </w:rPr>
      </w:pPr>
      <w:r>
        <w:rPr>
          <w:rFonts w:hint="eastAsia" w:ascii="宋体" w:hAnsi="宋体"/>
          <w:szCs w:val="21"/>
        </w:rPr>
        <w:t>附件11：信用记录</w:t>
      </w:r>
    </w:p>
    <w:p>
      <w:pPr>
        <w:adjustRightInd w:val="0"/>
        <w:snapToGrid w:val="0"/>
        <w:spacing w:line="360" w:lineRule="auto"/>
        <w:rPr>
          <w:rFonts w:ascii="宋体" w:hAnsi="宋体"/>
          <w:b/>
          <w:szCs w:val="21"/>
        </w:rPr>
      </w:pPr>
      <w:r>
        <w:rPr>
          <w:rFonts w:hint="eastAsia" w:ascii="宋体" w:hAnsi="宋体"/>
          <w:b/>
          <w:szCs w:val="21"/>
        </w:rPr>
        <w:t>六、货物说明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附件12：</w:t>
      </w:r>
      <w:r>
        <w:rPr>
          <w:rFonts w:hint="eastAsia" w:ascii="宋体" w:hAnsi="宋体"/>
          <w:szCs w:val="21"/>
          <w:highlight w:val="lightGray"/>
          <w:lang w:val="en-US" w:eastAsia="zh-CN"/>
        </w:rPr>
        <w:t>技术需求</w:t>
      </w:r>
      <w:r>
        <w:rPr>
          <w:rFonts w:hint="eastAsia" w:ascii="宋体" w:hAnsi="宋体"/>
          <w:szCs w:val="21"/>
          <w:highlight w:val="lightGray"/>
        </w:rPr>
        <w:t>逐条应答表</w:t>
      </w:r>
    </w:p>
    <w:p>
      <w:pPr>
        <w:adjustRightInd w:val="0"/>
        <w:snapToGrid w:val="0"/>
        <w:spacing w:line="360" w:lineRule="auto"/>
        <w:jc w:val="left"/>
        <w:rPr>
          <w:rFonts w:ascii="宋体" w:hAnsi="宋体"/>
          <w:b/>
          <w:szCs w:val="21"/>
        </w:rPr>
      </w:pPr>
      <w:r>
        <w:rPr>
          <w:rFonts w:hint="eastAsia" w:ascii="宋体" w:hAnsi="宋体"/>
          <w:b/>
          <w:szCs w:val="21"/>
        </w:rPr>
        <w:t>七、实施方案</w:t>
      </w:r>
    </w:p>
    <w:p>
      <w:pPr>
        <w:adjustRightInd w:val="0"/>
        <w:snapToGrid w:val="0"/>
        <w:spacing w:line="360" w:lineRule="auto"/>
        <w:ind w:firstLine="435"/>
        <w:jc w:val="left"/>
        <w:rPr>
          <w:rFonts w:ascii="宋体" w:hAnsi="宋体"/>
          <w:szCs w:val="21"/>
        </w:rPr>
      </w:pPr>
      <w:r>
        <w:rPr>
          <w:rFonts w:hint="eastAsia" w:ascii="宋体" w:hAnsi="宋体"/>
          <w:szCs w:val="21"/>
        </w:rPr>
        <w:t>附件13：拟投入本项目的人员及设备一览表</w:t>
      </w:r>
    </w:p>
    <w:p>
      <w:pPr>
        <w:adjustRightInd w:val="0"/>
        <w:snapToGrid w:val="0"/>
        <w:spacing w:line="360" w:lineRule="auto"/>
        <w:ind w:firstLine="435"/>
        <w:jc w:val="left"/>
        <w:rPr>
          <w:rFonts w:ascii="宋体" w:hAnsi="宋体"/>
          <w:szCs w:val="21"/>
        </w:rPr>
      </w:pPr>
      <w:r>
        <w:rPr>
          <w:rFonts w:hint="eastAsia" w:ascii="宋体" w:hAnsi="宋体"/>
          <w:szCs w:val="21"/>
        </w:rPr>
        <w:t>附件14：服务附表</w:t>
      </w:r>
    </w:p>
    <w:p>
      <w:pPr>
        <w:adjustRightInd w:val="0"/>
        <w:snapToGrid w:val="0"/>
        <w:spacing w:line="360" w:lineRule="auto"/>
        <w:jc w:val="left"/>
        <w:rPr>
          <w:rFonts w:ascii="宋体" w:hAnsi="宋体"/>
          <w:szCs w:val="21"/>
        </w:rPr>
      </w:pPr>
      <w:r>
        <w:rPr>
          <w:rFonts w:hint="eastAsia" w:ascii="宋体" w:hAnsi="宋体"/>
          <w:b/>
          <w:szCs w:val="21"/>
        </w:rPr>
        <w:t>八、商务响应/偏离表</w:t>
      </w:r>
    </w:p>
    <w:p>
      <w:pPr>
        <w:adjustRightInd w:val="0"/>
        <w:snapToGrid w:val="0"/>
        <w:spacing w:line="360" w:lineRule="auto"/>
        <w:jc w:val="left"/>
        <w:rPr>
          <w:rFonts w:ascii="宋体" w:hAnsi="宋体"/>
          <w:b/>
          <w:szCs w:val="21"/>
        </w:rPr>
      </w:pPr>
      <w:r>
        <w:rPr>
          <w:rFonts w:hint="eastAsia" w:ascii="宋体" w:hAnsi="宋体"/>
          <w:b/>
          <w:szCs w:val="21"/>
        </w:rPr>
        <w:t>九、供应商认为需提供的其它资料</w:t>
      </w:r>
    </w:p>
    <w:p>
      <w:pPr>
        <w:adjustRightInd w:val="0"/>
        <w:snapToGrid w:val="0"/>
        <w:spacing w:line="360" w:lineRule="auto"/>
        <w:rPr>
          <w:rFonts w:ascii="宋体" w:hAnsi="宋体"/>
          <w:b/>
          <w:szCs w:val="21"/>
        </w:rPr>
      </w:pPr>
    </w:p>
    <w:p>
      <w:pPr>
        <w:adjustRightInd w:val="0"/>
        <w:snapToGrid w:val="0"/>
        <w:spacing w:line="360" w:lineRule="auto"/>
        <w:rPr>
          <w:rFonts w:ascii="宋体" w:hAnsi="宋体"/>
          <w:b/>
          <w:szCs w:val="21"/>
        </w:rPr>
      </w:pPr>
    </w:p>
    <w:p>
      <w:pPr>
        <w:adjustRightInd w:val="0"/>
        <w:snapToGrid w:val="0"/>
        <w:spacing w:line="360" w:lineRule="auto"/>
        <w:rPr>
          <w:rFonts w:ascii="宋体" w:hAnsi="宋体"/>
          <w:b/>
        </w:rPr>
      </w:pPr>
      <w:r>
        <w:rPr>
          <w:rFonts w:ascii="宋体" w:hAnsi="宋体"/>
          <w:b/>
          <w:szCs w:val="21"/>
        </w:rPr>
        <w:br w:type="page"/>
      </w:r>
    </w:p>
    <w:p>
      <w:pPr>
        <w:spacing w:line="400" w:lineRule="exact"/>
        <w:jc w:val="center"/>
        <w:outlineLvl w:val="1"/>
        <w:rPr>
          <w:rFonts w:ascii="宋体" w:hAnsi="宋体" w:cs="宋体"/>
          <w:b/>
          <w:sz w:val="24"/>
        </w:rPr>
      </w:pPr>
      <w:bookmarkStart w:id="82" w:name="_Toc474770919"/>
      <w:bookmarkStart w:id="83" w:name="_Toc433187366"/>
      <w:r>
        <w:rPr>
          <w:rFonts w:hint="eastAsia" w:ascii="宋体" w:hAnsi="宋体" w:cs="宋体"/>
          <w:b/>
          <w:sz w:val="24"/>
        </w:rPr>
        <w:t>一、资格性自查表</w:t>
      </w:r>
      <w:bookmarkEnd w:id="82"/>
    </w:p>
    <w:p>
      <w:pPr>
        <w:spacing w:line="400" w:lineRule="exact"/>
        <w:rPr>
          <w:rFonts w:ascii="宋体" w:hAnsi="宋体"/>
          <w:b/>
        </w:rPr>
      </w:pPr>
    </w:p>
    <w:tbl>
      <w:tblPr>
        <w:tblStyle w:val="4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序号</w:t>
            </w:r>
          </w:p>
        </w:tc>
        <w:tc>
          <w:tcPr>
            <w:tcW w:w="5231" w:type="dxa"/>
            <w:vAlign w:val="center"/>
          </w:tcPr>
          <w:p>
            <w:pPr>
              <w:topLinePunct/>
              <w:spacing w:line="440" w:lineRule="exact"/>
              <w:jc w:val="center"/>
              <w:rPr>
                <w:rFonts w:ascii="宋体" w:hAnsi="宋体"/>
                <w:szCs w:val="21"/>
              </w:rPr>
            </w:pPr>
            <w:r>
              <w:rPr>
                <w:rFonts w:hint="eastAsia" w:ascii="宋体" w:hAnsi="宋体"/>
                <w:szCs w:val="21"/>
              </w:rPr>
              <w:t>审查因素</w:t>
            </w:r>
          </w:p>
        </w:tc>
        <w:tc>
          <w:tcPr>
            <w:tcW w:w="1999" w:type="dxa"/>
            <w:vAlign w:val="center"/>
          </w:tcPr>
          <w:p>
            <w:pPr>
              <w:topLinePunct/>
              <w:spacing w:line="440" w:lineRule="exact"/>
              <w:jc w:val="center"/>
              <w:rPr>
                <w:rFonts w:ascii="宋体" w:hAnsi="宋体"/>
                <w:szCs w:val="21"/>
              </w:rPr>
            </w:pPr>
            <w:r>
              <w:rPr>
                <w:rFonts w:hint="eastAsia" w:ascii="宋体" w:hAnsi="宋体"/>
                <w:szCs w:val="21"/>
              </w:rPr>
              <w:t>响应文件中</w:t>
            </w:r>
          </w:p>
          <w:p>
            <w:pPr>
              <w:topLinePunct/>
              <w:spacing w:line="440" w:lineRule="exact"/>
              <w:jc w:val="center"/>
              <w:rPr>
                <w:rFonts w:ascii="宋体" w:hAnsi="宋体"/>
                <w:szCs w:val="21"/>
              </w:rPr>
            </w:pPr>
            <w:r>
              <w:rPr>
                <w:rFonts w:hint="eastAsia" w:ascii="宋体" w:hAnsi="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1</w:t>
            </w:r>
          </w:p>
        </w:tc>
        <w:tc>
          <w:tcPr>
            <w:tcW w:w="5231" w:type="dxa"/>
            <w:vAlign w:val="center"/>
          </w:tcPr>
          <w:p>
            <w:pPr>
              <w:topLinePunct/>
              <w:spacing w:line="440" w:lineRule="exact"/>
              <w:rPr>
                <w:rFonts w:ascii="宋体" w:hAnsi="宋体"/>
                <w:szCs w:val="21"/>
              </w:rPr>
            </w:pPr>
            <w:r>
              <w:rPr>
                <w:rFonts w:hint="eastAsia" w:ascii="宋体" w:hAnsi="宋体"/>
                <w:szCs w:val="21"/>
              </w:rPr>
              <w:t>有效的营业执照</w:t>
            </w:r>
          </w:p>
        </w:tc>
        <w:tc>
          <w:tcPr>
            <w:tcW w:w="199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2</w:t>
            </w:r>
          </w:p>
        </w:tc>
        <w:tc>
          <w:tcPr>
            <w:tcW w:w="5231" w:type="dxa"/>
            <w:vAlign w:val="center"/>
          </w:tcPr>
          <w:p>
            <w:pPr>
              <w:topLinePunct/>
              <w:spacing w:line="440" w:lineRule="exact"/>
              <w:rPr>
                <w:rFonts w:ascii="宋体" w:hAnsi="宋体"/>
                <w:szCs w:val="21"/>
              </w:rPr>
            </w:pPr>
            <w:r>
              <w:rPr>
                <w:rFonts w:hint="eastAsia" w:ascii="宋体" w:hAnsi="宋体"/>
                <w:szCs w:val="21"/>
              </w:rPr>
              <w:t>经审计财务会计报告（202</w:t>
            </w:r>
            <w:r>
              <w:rPr>
                <w:rFonts w:ascii="宋体" w:hAnsi="宋体"/>
                <w:szCs w:val="21"/>
              </w:rPr>
              <w:t>2</w:t>
            </w:r>
            <w:r>
              <w:rPr>
                <w:rFonts w:hint="eastAsia" w:ascii="宋体" w:hAnsi="宋体"/>
                <w:szCs w:val="21"/>
              </w:rPr>
              <w:t>年），或基本开户银行出具的资信证明</w:t>
            </w:r>
          </w:p>
        </w:tc>
        <w:tc>
          <w:tcPr>
            <w:tcW w:w="199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3</w:t>
            </w:r>
          </w:p>
        </w:tc>
        <w:tc>
          <w:tcPr>
            <w:tcW w:w="5231" w:type="dxa"/>
            <w:vAlign w:val="center"/>
          </w:tcPr>
          <w:p>
            <w:pPr>
              <w:topLinePunct/>
              <w:spacing w:line="440" w:lineRule="exact"/>
              <w:rPr>
                <w:rFonts w:ascii="宋体" w:hAnsi="宋体"/>
                <w:szCs w:val="21"/>
              </w:rPr>
            </w:pPr>
            <w:r>
              <w:rPr>
                <w:rFonts w:hint="eastAsia" w:ascii="宋体" w:hAnsi="宋体"/>
                <w:szCs w:val="21"/>
              </w:rPr>
              <w:t>提供投标截止时间前半年内任意一个月的依法缴纳税收证明</w:t>
            </w:r>
          </w:p>
        </w:tc>
        <w:tc>
          <w:tcPr>
            <w:tcW w:w="199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4</w:t>
            </w:r>
          </w:p>
        </w:tc>
        <w:tc>
          <w:tcPr>
            <w:tcW w:w="5231" w:type="dxa"/>
            <w:vAlign w:val="center"/>
          </w:tcPr>
          <w:p>
            <w:pPr>
              <w:topLinePunct/>
              <w:spacing w:line="440" w:lineRule="exact"/>
              <w:rPr>
                <w:rFonts w:ascii="宋体" w:hAnsi="宋体"/>
                <w:szCs w:val="21"/>
              </w:rPr>
            </w:pPr>
            <w:r>
              <w:rPr>
                <w:rFonts w:hint="eastAsia" w:ascii="宋体" w:hAnsi="宋体"/>
                <w:szCs w:val="21"/>
              </w:rPr>
              <w:t>提供投标截止时间前半年内任意一个月的社保缴纳证明</w:t>
            </w:r>
          </w:p>
        </w:tc>
        <w:tc>
          <w:tcPr>
            <w:tcW w:w="199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5</w:t>
            </w:r>
          </w:p>
        </w:tc>
        <w:tc>
          <w:tcPr>
            <w:tcW w:w="5231" w:type="dxa"/>
            <w:vAlign w:val="center"/>
          </w:tcPr>
          <w:p>
            <w:pPr>
              <w:widowControl/>
              <w:spacing w:line="440" w:lineRule="exact"/>
              <w:jc w:val="left"/>
              <w:rPr>
                <w:rFonts w:ascii="宋体" w:hAnsi="宋体" w:cs="宋体"/>
                <w:kern w:val="0"/>
                <w:szCs w:val="21"/>
              </w:rPr>
            </w:pPr>
            <w:r>
              <w:rPr>
                <w:rFonts w:hint="eastAsia" w:ascii="宋体" w:hAnsi="宋体"/>
                <w:szCs w:val="21"/>
              </w:rPr>
              <w:t>无重大违法记录声明书</w:t>
            </w:r>
          </w:p>
        </w:tc>
        <w:tc>
          <w:tcPr>
            <w:tcW w:w="199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6</w:t>
            </w:r>
          </w:p>
        </w:tc>
        <w:tc>
          <w:tcPr>
            <w:tcW w:w="5231" w:type="dxa"/>
            <w:vAlign w:val="center"/>
          </w:tcPr>
          <w:p>
            <w:pPr>
              <w:widowControl/>
              <w:spacing w:line="440" w:lineRule="exact"/>
              <w:jc w:val="left"/>
              <w:rPr>
                <w:rFonts w:ascii="宋体" w:hAnsi="宋体" w:cs="宋体"/>
                <w:b/>
                <w:kern w:val="0"/>
                <w:szCs w:val="21"/>
              </w:rPr>
            </w:pPr>
            <w:r>
              <w:rPr>
                <w:rFonts w:hint="eastAsia" w:ascii="宋体" w:hAnsi="宋体"/>
                <w:szCs w:val="21"/>
              </w:rPr>
              <w:t>保证金缴纳凭证</w:t>
            </w:r>
          </w:p>
        </w:tc>
        <w:tc>
          <w:tcPr>
            <w:tcW w:w="1999"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7</w:t>
            </w:r>
          </w:p>
        </w:tc>
        <w:tc>
          <w:tcPr>
            <w:tcW w:w="5231" w:type="dxa"/>
            <w:vAlign w:val="center"/>
          </w:tcPr>
          <w:p>
            <w:pPr>
              <w:widowControl/>
              <w:spacing w:line="440" w:lineRule="exact"/>
              <w:jc w:val="left"/>
              <w:rPr>
                <w:rFonts w:ascii="宋体" w:hAnsi="宋体"/>
                <w:szCs w:val="21"/>
              </w:rPr>
            </w:pPr>
            <w:r>
              <w:rPr>
                <w:rFonts w:hint="eastAsia" w:ascii="宋体" w:hAnsi="宋体"/>
                <w:szCs w:val="21"/>
              </w:rPr>
              <w:t>中小企业声明函</w:t>
            </w:r>
          </w:p>
        </w:tc>
        <w:tc>
          <w:tcPr>
            <w:tcW w:w="1999" w:type="dxa"/>
            <w:vAlign w:val="center"/>
          </w:tcPr>
          <w:p>
            <w:pPr>
              <w:topLinePunct/>
              <w:spacing w:line="440" w:lineRule="exact"/>
              <w:jc w:val="center"/>
              <w:rPr>
                <w:rFonts w:ascii="宋体" w:hAnsi="宋体"/>
                <w:szCs w:val="21"/>
              </w:rPr>
            </w:pPr>
          </w:p>
        </w:tc>
      </w:tr>
    </w:tbl>
    <w:p>
      <w:pPr>
        <w:pStyle w:val="3"/>
        <w:jc w:val="center"/>
        <w:rPr>
          <w:rFonts w:ascii="宋体" w:hAnsi="宋体"/>
        </w:rPr>
      </w:pPr>
    </w:p>
    <w:p>
      <w:pPr>
        <w:pStyle w:val="3"/>
        <w:jc w:val="center"/>
        <w:rPr>
          <w:rFonts w:ascii="宋体" w:hAnsi="宋体"/>
        </w:rPr>
      </w:pPr>
      <w:r>
        <w:rPr>
          <w:rFonts w:ascii="宋体" w:hAnsi="宋体"/>
        </w:rPr>
        <w:br w:type="page"/>
      </w:r>
      <w:bookmarkStart w:id="84" w:name="_Toc474770920"/>
      <w:r>
        <w:rPr>
          <w:rFonts w:hint="eastAsia" w:ascii="宋体" w:hAnsi="宋体"/>
        </w:rPr>
        <w:t>二、磋商函</w:t>
      </w:r>
      <w:bookmarkEnd w:id="83"/>
      <w:bookmarkEnd w:id="84"/>
    </w:p>
    <w:p>
      <w:pPr>
        <w:adjustRightInd w:val="0"/>
        <w:snapToGrid w:val="0"/>
        <w:spacing w:line="360" w:lineRule="auto"/>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(采购人或代理机构)：</w:t>
      </w:r>
    </w:p>
    <w:p>
      <w:pPr>
        <w:adjustRightInd w:val="0"/>
        <w:snapToGrid w:val="0"/>
        <w:spacing w:line="360" w:lineRule="auto"/>
        <w:ind w:firstLine="420" w:firstLineChars="200"/>
        <w:rPr>
          <w:rFonts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项目名称)的磋商文件（项目编号：</w:t>
      </w:r>
      <w:r>
        <w:rPr>
          <w:rFonts w:hint="eastAsia" w:ascii="宋体" w:hAnsi="宋体"/>
          <w:szCs w:val="21"/>
          <w:u w:val="single"/>
        </w:rPr>
        <w:t xml:space="preserve">           </w:t>
      </w:r>
      <w:r>
        <w:rPr>
          <w:rFonts w:hint="eastAsia" w:ascii="宋体" w:hAnsi="宋体"/>
          <w:szCs w:val="21"/>
        </w:rPr>
        <w:t>）的全部内容，知悉参加磋商的风险，我方承诺接受磋商文件的全部条款且无任何异议。</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一、我方同意在磋商文件中规定的提交响应文件截止时间起</w:t>
      </w:r>
      <w:r>
        <w:rPr>
          <w:rFonts w:hint="eastAsia" w:ascii="宋体" w:hAnsi="宋体"/>
          <w:sz w:val="21"/>
          <w:szCs w:val="21"/>
          <w:u w:val="single"/>
        </w:rPr>
        <w:t xml:space="preserve">    </w:t>
      </w:r>
      <w:r>
        <w:rPr>
          <w:rFonts w:hint="eastAsia" w:ascii="宋体" w:hAnsi="宋体"/>
          <w:sz w:val="21"/>
          <w:szCs w:val="21"/>
        </w:rPr>
        <w:t>日内(响应文件有效期)遵守本响应文件中的承诺且在此期限期满之前均具有法律约束力。</w:t>
      </w:r>
    </w:p>
    <w:p>
      <w:pPr>
        <w:pStyle w:val="22"/>
        <w:adjustRightInd w:val="0"/>
        <w:snapToGrid w:val="0"/>
        <w:spacing w:line="360" w:lineRule="auto"/>
        <w:ind w:firstLine="420" w:firstLineChars="200"/>
        <w:rPr>
          <w:rFonts w:ascii="宋体" w:hAnsi="宋体"/>
          <w:bCs/>
          <w:sz w:val="21"/>
          <w:szCs w:val="21"/>
        </w:rPr>
      </w:pPr>
      <w:r>
        <w:rPr>
          <w:rFonts w:hint="eastAsia" w:ascii="宋体" w:hAnsi="宋体"/>
          <w:sz w:val="21"/>
          <w:szCs w:val="21"/>
        </w:rPr>
        <w:t>二、我方提交加密的电子响应文件（.jmbs格式）</w:t>
      </w:r>
      <w:r>
        <w:rPr>
          <w:rFonts w:hint="eastAsia" w:ascii="宋体" w:hAnsi="宋体"/>
          <w:sz w:val="21"/>
          <w:szCs w:val="21"/>
          <w:u w:val="single"/>
        </w:rPr>
        <w:t xml:space="preserve">     </w:t>
      </w:r>
      <w:r>
        <w:rPr>
          <w:rFonts w:hint="eastAsia" w:ascii="宋体" w:hAnsi="宋体"/>
          <w:sz w:val="21"/>
          <w:szCs w:val="21"/>
        </w:rPr>
        <w:t>份，并保证响应文件提供的数据和材料是真实、准确的。否则，愿承担《政府采购法》</w:t>
      </w:r>
      <w:r>
        <w:rPr>
          <w:rFonts w:hint="eastAsia" w:ascii="宋体" w:hAnsi="宋体"/>
          <w:bCs/>
          <w:sz w:val="21"/>
          <w:szCs w:val="21"/>
        </w:rPr>
        <w:t>第七十七条规定的法律责任。</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三、我方愿意向贵方提供任何与本项采购有关的数据、情况和技术资料。若贵方需要，我方愿意提供我方作出的一切承诺的证明材料。</w:t>
      </w:r>
    </w:p>
    <w:p>
      <w:pPr>
        <w:pStyle w:val="22"/>
        <w:adjustRightInd w:val="0"/>
        <w:snapToGrid w:val="0"/>
        <w:spacing w:line="360" w:lineRule="auto"/>
        <w:ind w:firstLine="420" w:firstLineChars="200"/>
        <w:rPr>
          <w:rFonts w:ascii="宋体" w:hAnsi="宋体"/>
          <w:sz w:val="21"/>
          <w:szCs w:val="21"/>
        </w:rPr>
      </w:pPr>
      <w:r>
        <w:rPr>
          <w:rFonts w:hint="eastAsia" w:ascii="宋体" w:hAnsi="宋体"/>
          <w:sz w:val="21"/>
          <w:szCs w:val="21"/>
        </w:rPr>
        <w:t>四、我方承诺遵守《政府采购法》的有关规定，保证在获得成交资格后，按照磋商文件确定的事项签订政府采购合同，履行双方所签订的合同，并承担合同规定的责任和义务。</w:t>
      </w:r>
    </w:p>
    <w:p>
      <w:pPr>
        <w:pStyle w:val="22"/>
        <w:adjustRightInd w:val="0"/>
        <w:snapToGrid w:val="0"/>
        <w:spacing w:line="360" w:lineRule="auto"/>
        <w:ind w:firstLine="420" w:firstLineChars="200"/>
        <w:rPr>
          <w:rFonts w:ascii="宋体" w:hAnsi="宋体"/>
          <w:sz w:val="21"/>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szCs w:val="21"/>
        </w:rPr>
      </w:pPr>
      <w:r>
        <w:rPr>
          <w:rFonts w:hint="eastAsia" w:ascii="宋体" w:hAnsi="宋体"/>
          <w:bCs/>
          <w:szCs w:val="21"/>
        </w:rPr>
        <w:t>附件1：</w:t>
      </w:r>
      <w:r>
        <w:rPr>
          <w:rFonts w:hint="eastAsia" w:ascii="宋体" w:hAnsi="宋体"/>
          <w:szCs w:val="21"/>
        </w:rPr>
        <w:t>法定代表人身份证明(法定代表人参加磋商)</w:t>
      </w:r>
    </w:p>
    <w:p>
      <w:pPr>
        <w:adjustRightInd w:val="0"/>
        <w:snapToGrid w:val="0"/>
        <w:spacing w:line="360" w:lineRule="auto"/>
        <w:ind w:right="24"/>
        <w:rPr>
          <w:rFonts w:ascii="宋体" w:hAnsi="宋体"/>
          <w:szCs w:val="21"/>
        </w:rPr>
      </w:pPr>
      <w:r>
        <w:rPr>
          <w:rFonts w:hint="eastAsia" w:ascii="宋体" w:hAnsi="宋体"/>
          <w:bCs/>
          <w:szCs w:val="21"/>
        </w:rPr>
        <w:t>附件2</w:t>
      </w:r>
      <w:r>
        <w:rPr>
          <w:rFonts w:hint="eastAsia" w:ascii="宋体" w:hAnsi="宋体"/>
          <w:szCs w:val="21"/>
        </w:rPr>
        <w:t>：法定代表人授权书(委托代理人参加磋商)</w:t>
      </w:r>
    </w:p>
    <w:p>
      <w:pPr>
        <w:pStyle w:val="22"/>
        <w:adjustRightInd w:val="0"/>
        <w:snapToGrid w:val="0"/>
        <w:spacing w:line="360" w:lineRule="auto"/>
        <w:rPr>
          <w:rFonts w:ascii="宋体" w:hAnsi="宋体"/>
        </w:rPr>
      </w:pPr>
    </w:p>
    <w:p>
      <w:pPr>
        <w:pStyle w:val="22"/>
        <w:adjustRightInd w:val="0"/>
        <w:snapToGrid w:val="0"/>
        <w:spacing w:line="360" w:lineRule="auto"/>
        <w:rPr>
          <w:rFonts w:ascii="宋体" w:hAnsi="宋体"/>
          <w:sz w:val="22"/>
        </w:rPr>
      </w:pPr>
    </w:p>
    <w:p>
      <w:pPr>
        <w:pStyle w:val="22"/>
        <w:adjustRightInd w:val="0"/>
        <w:snapToGrid w:val="0"/>
        <w:spacing w:line="360" w:lineRule="auto"/>
        <w:rPr>
          <w:rFonts w:ascii="宋体" w:hAnsi="宋体"/>
          <w:sz w:val="22"/>
        </w:rPr>
      </w:pPr>
      <w:r>
        <w:rPr>
          <w:rFonts w:hint="eastAsia" w:ascii="宋体" w:hAnsi="宋体"/>
          <w:sz w:val="22"/>
        </w:rPr>
        <w:t>供应商名称(盖单位章)：</w:t>
      </w:r>
    </w:p>
    <w:p>
      <w:pPr>
        <w:adjustRightInd w:val="0"/>
        <w:snapToGrid w:val="0"/>
        <w:spacing w:line="360" w:lineRule="auto"/>
        <w:rPr>
          <w:rFonts w:ascii="宋体" w:hAnsi="宋体"/>
          <w:szCs w:val="21"/>
        </w:rPr>
      </w:pPr>
      <w:r>
        <w:rPr>
          <w:rFonts w:hint="eastAsia" w:ascii="宋体" w:hAnsi="宋体"/>
          <w:szCs w:val="21"/>
        </w:rPr>
        <w:t>法定代表人或其委托代理人 (签字或盖章)：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before="120" w:beforeLines="50" w:line="360" w:lineRule="auto"/>
        <w:jc w:val="center"/>
        <w:rPr>
          <w:rFonts w:ascii="宋体" w:hAnsi="宋体"/>
          <w:b/>
          <w:sz w:val="24"/>
        </w:rPr>
      </w:pPr>
      <w:r>
        <w:rPr>
          <w:rFonts w:ascii="宋体" w:hAnsi="宋体"/>
          <w:bCs/>
          <w:sz w:val="28"/>
          <w:szCs w:val="28"/>
        </w:rPr>
        <w:br w:type="page"/>
      </w:r>
      <w:r>
        <w:rPr>
          <w:rFonts w:hint="eastAsia" w:ascii="宋体" w:hAnsi="宋体"/>
          <w:b/>
          <w:sz w:val="24"/>
        </w:rPr>
        <w:t>磋商声明</w:t>
      </w: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（供应商名称）已认真阅读</w:t>
      </w:r>
      <w:r>
        <w:rPr>
          <w:rFonts w:hint="eastAsia" w:ascii="宋体" w:hAnsi="宋体" w:cs="宋体"/>
          <w:kern w:val="0"/>
          <w:szCs w:val="21"/>
        </w:rPr>
        <w:t>《中华人民共和国政府采购法》、《中华人民共和国政府采购法实施条例》及</w:t>
      </w:r>
      <w:r>
        <w:rPr>
          <w:rFonts w:hint="eastAsia" w:ascii="宋体" w:hAnsi="宋体"/>
        </w:rPr>
        <w:t>磋商</w:t>
      </w:r>
      <w:r>
        <w:rPr>
          <w:rFonts w:hint="eastAsia" w:ascii="宋体" w:hAnsi="宋体" w:cs="宋体"/>
          <w:kern w:val="0"/>
          <w:szCs w:val="21"/>
        </w:rPr>
        <w:t>文件[项目名称：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rPr>
        <w:t>项目</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 xml:space="preserve"> ]相关内容，知悉供应商参加政府采购活动应当具备的条件。此次按</w:t>
      </w:r>
      <w:r>
        <w:rPr>
          <w:rFonts w:hint="eastAsia" w:ascii="宋体" w:hAnsi="宋体"/>
        </w:rPr>
        <w:t>磋商</w:t>
      </w:r>
      <w:r>
        <w:rPr>
          <w:rFonts w:hint="eastAsia" w:ascii="宋体" w:hAnsi="宋体"/>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一、我方在此声明： </w:t>
      </w:r>
    </w:p>
    <w:p>
      <w:pPr>
        <w:adjustRightInd w:val="0"/>
        <w:snapToGrid w:val="0"/>
        <w:spacing w:line="360" w:lineRule="auto"/>
        <w:ind w:firstLine="420" w:firstLineChars="200"/>
        <w:rPr>
          <w:rFonts w:ascii="宋体" w:hAnsi="宋体"/>
          <w:szCs w:val="21"/>
        </w:rPr>
      </w:pPr>
      <w:r>
        <w:rPr>
          <w:rFonts w:hint="eastAsia" w:ascii="宋体" w:hAnsi="宋体"/>
          <w:szCs w:val="21"/>
        </w:rPr>
        <w:t>（一）我方与采购人或代理机构不存在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ascii="宋体" w:hAnsi="宋体"/>
          <w:szCs w:val="21"/>
        </w:rPr>
      </w:pPr>
      <w:r>
        <w:rPr>
          <w:rFonts w:hint="eastAsia" w:ascii="宋体" w:hAnsi="宋体"/>
          <w:szCs w:val="21"/>
        </w:rPr>
        <w:t>（三）我方未为本项目前期准备提供设计或技术服务。</w:t>
      </w:r>
    </w:p>
    <w:p>
      <w:pPr>
        <w:adjustRightInd w:val="0"/>
        <w:snapToGrid w:val="0"/>
        <w:spacing w:line="360" w:lineRule="auto"/>
        <w:ind w:firstLine="420" w:firstLineChars="200"/>
        <w:rPr>
          <w:rFonts w:ascii="宋体" w:hAnsi="宋体"/>
          <w:szCs w:val="21"/>
        </w:rPr>
      </w:pPr>
      <w:r>
        <w:rPr>
          <w:rFonts w:hint="eastAsia" w:ascii="宋体" w:hAnsi="宋体"/>
          <w:szCs w:val="21"/>
        </w:rPr>
        <w:t>二、我方承诺</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 参加政府采购近三年内：</w:t>
      </w:r>
    </w:p>
    <w:p>
      <w:pPr>
        <w:adjustRightInd w:val="0"/>
        <w:snapToGrid w:val="0"/>
        <w:spacing w:line="360" w:lineRule="auto"/>
        <w:ind w:left="1" w:firstLine="420" w:firstLineChars="200"/>
        <w:rPr>
          <w:rFonts w:ascii="宋体" w:hAnsi="宋体"/>
          <w:szCs w:val="21"/>
        </w:rPr>
      </w:pPr>
      <w:r>
        <w:rPr>
          <w:rFonts w:hint="eastAsia" w:ascii="宋体" w:hAnsi="宋体"/>
          <w:bCs/>
          <w:szCs w:val="21"/>
        </w:rPr>
        <w:t>（一）我方</w:t>
      </w:r>
      <w:r>
        <w:rPr>
          <w:rFonts w:hint="eastAsia" w:ascii="宋体" w:hAnsi="宋体"/>
          <w:szCs w:val="21"/>
        </w:rPr>
        <w:t>依法缴纳了各项税费及各项社会保障资金，没有偷税、漏税及欠缴行为。</w:t>
      </w:r>
    </w:p>
    <w:p>
      <w:pPr>
        <w:adjustRightInd w:val="0"/>
        <w:snapToGrid w:val="0"/>
        <w:spacing w:line="360" w:lineRule="auto"/>
        <w:ind w:firstLine="420" w:firstLineChars="200"/>
        <w:rPr>
          <w:rFonts w:ascii="宋体" w:hAnsi="宋体"/>
          <w:bCs/>
          <w:szCs w:val="21"/>
        </w:rPr>
      </w:pPr>
      <w:r>
        <w:rPr>
          <w:rFonts w:hint="eastAsia" w:ascii="宋体" w:hAnsi="宋体"/>
          <w:bCs/>
          <w:szCs w:val="21"/>
        </w:rPr>
        <w:t>（二）我方在经营活动中没有存在下列重大违法记录：</w:t>
      </w:r>
    </w:p>
    <w:p>
      <w:pPr>
        <w:adjustRightInd w:val="0"/>
        <w:snapToGrid w:val="0"/>
        <w:spacing w:line="360" w:lineRule="auto"/>
        <w:ind w:firstLine="420" w:firstLineChars="200"/>
        <w:rPr>
          <w:rFonts w:ascii="宋体" w:hAnsi="宋体"/>
          <w:bCs/>
          <w:szCs w:val="21"/>
        </w:rPr>
      </w:pPr>
      <w:r>
        <w:rPr>
          <w:rFonts w:hint="eastAsia" w:ascii="宋体" w:hAnsi="宋体"/>
          <w:bCs/>
          <w:szCs w:val="21"/>
        </w:rPr>
        <w:t>1、受到刑事处罚；</w:t>
      </w:r>
    </w:p>
    <w:p>
      <w:pPr>
        <w:adjustRightInd w:val="0"/>
        <w:snapToGrid w:val="0"/>
        <w:spacing w:line="360" w:lineRule="auto"/>
        <w:ind w:firstLine="420" w:firstLineChars="200"/>
        <w:rPr>
          <w:rFonts w:ascii="宋体" w:hAnsi="宋体"/>
          <w:bCs/>
          <w:szCs w:val="21"/>
        </w:rPr>
      </w:pPr>
      <w:r>
        <w:rPr>
          <w:rFonts w:hint="eastAsia" w:ascii="宋体" w:hAnsi="宋体"/>
          <w:bCs/>
          <w:szCs w:val="21"/>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2723" w:firstLineChars="1297"/>
        <w:rPr>
          <w:rFonts w:ascii="宋体" w:hAnsi="宋体"/>
          <w:szCs w:val="21"/>
        </w:rPr>
      </w:pPr>
    </w:p>
    <w:p>
      <w:pPr>
        <w:spacing w:line="360" w:lineRule="auto"/>
        <w:ind w:firstLine="3502" w:firstLineChars="1668"/>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spacing w:line="360" w:lineRule="auto"/>
        <w:ind w:firstLine="3502" w:firstLineChars="1668"/>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spacing w:line="360" w:lineRule="auto"/>
        <w:ind w:firstLine="3502" w:firstLineChars="1668"/>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Cs w:val="21"/>
        </w:rPr>
        <w:sectPr>
          <w:headerReference r:id="rId3" w:type="default"/>
          <w:footerReference r:id="rId4" w:type="default"/>
          <w:pgSz w:w="11906" w:h="16838"/>
          <w:pgMar w:top="1440" w:right="1797" w:bottom="1440" w:left="1797" w:header="851" w:footer="992" w:gutter="0"/>
          <w:cols w:space="720" w:num="1"/>
          <w:docGrid w:linePitch="312" w:charSpace="0"/>
        </w:sectPr>
      </w:pPr>
    </w:p>
    <w:p>
      <w:pPr>
        <w:adjustRightInd w:val="0"/>
        <w:snapToGrid w:val="0"/>
        <w:spacing w:line="360" w:lineRule="auto"/>
        <w:ind w:right="24"/>
        <w:rPr>
          <w:rFonts w:ascii="宋体" w:hAnsi="宋体"/>
          <w:bCs/>
          <w:sz w:val="24"/>
        </w:rPr>
      </w:pPr>
      <w:r>
        <w:rPr>
          <w:rFonts w:hint="eastAsia" w:ascii="宋体" w:hAnsi="宋体"/>
          <w:bCs/>
          <w:sz w:val="24"/>
        </w:rPr>
        <w:t>附件1</w:t>
      </w:r>
    </w:p>
    <w:p>
      <w:pPr>
        <w:adjustRightInd w:val="0"/>
        <w:snapToGrid w:val="0"/>
        <w:spacing w:line="360" w:lineRule="auto"/>
        <w:ind w:right="24"/>
        <w:jc w:val="center"/>
        <w:rPr>
          <w:rFonts w:ascii="宋体" w:hAnsi="宋体"/>
          <w:b/>
          <w:sz w:val="24"/>
        </w:rPr>
      </w:pPr>
      <w:r>
        <w:rPr>
          <w:rFonts w:hint="eastAsia" w:ascii="宋体" w:hAnsi="宋体"/>
          <w:b/>
          <w:sz w:val="24"/>
        </w:rPr>
        <w:t>法定代表人身份证明(法定代表人参加磋商)</w:t>
      </w:r>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附：法定代表人身份证复印件</w:t>
      </w:r>
    </w:p>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20" w:beforeLines="50" w:line="360" w:lineRule="auto"/>
        <w:rPr>
          <w:rFonts w:ascii="宋体" w:hAnsi="宋体"/>
          <w:szCs w:val="21"/>
        </w:rPr>
      </w:pPr>
    </w:p>
    <w:p>
      <w:pPr>
        <w:adjustRightInd w:val="0"/>
        <w:snapToGrid w:val="0"/>
        <w:spacing w:before="120" w:beforeLines="50" w:line="360" w:lineRule="auto"/>
        <w:rPr>
          <w:rFonts w:ascii="宋体" w:hAnsi="宋体"/>
          <w:szCs w:val="21"/>
        </w:rPr>
      </w:pPr>
    </w:p>
    <w:p>
      <w:pPr>
        <w:adjustRightInd w:val="0"/>
        <w:snapToGrid w:val="0"/>
        <w:spacing w:line="360" w:lineRule="auto"/>
        <w:rPr>
          <w:rFonts w:ascii="宋体" w:hAnsi="宋体"/>
          <w:szCs w:val="21"/>
        </w:rPr>
        <w:sectPr>
          <w:pgSz w:w="11906" w:h="16838"/>
          <w:pgMar w:top="1440" w:right="1797" w:bottom="1440" w:left="1797" w:header="851" w:footer="992" w:gutter="0"/>
          <w:cols w:space="720" w:num="1"/>
          <w:docGrid w:linePitch="312" w:charSpace="0"/>
        </w:sectPr>
      </w:pPr>
    </w:p>
    <w:p>
      <w:pPr>
        <w:adjustRightInd w:val="0"/>
        <w:snapToGrid w:val="0"/>
        <w:spacing w:before="120" w:beforeLines="50" w:line="360" w:lineRule="auto"/>
        <w:rPr>
          <w:rFonts w:ascii="宋体" w:hAnsi="宋体"/>
          <w:sz w:val="24"/>
        </w:rPr>
      </w:pPr>
      <w:r>
        <w:rPr>
          <w:rFonts w:hint="eastAsia" w:ascii="宋体" w:hAnsi="宋体"/>
          <w:bCs/>
          <w:sz w:val="24"/>
        </w:rPr>
        <w:t>附件2</w:t>
      </w:r>
    </w:p>
    <w:p>
      <w:pPr>
        <w:adjustRightInd w:val="0"/>
        <w:snapToGrid w:val="0"/>
        <w:spacing w:line="360" w:lineRule="auto"/>
        <w:ind w:right="24"/>
        <w:jc w:val="center"/>
        <w:rPr>
          <w:rFonts w:ascii="宋体" w:hAnsi="宋体"/>
          <w:b/>
          <w:sz w:val="24"/>
        </w:rPr>
      </w:pPr>
      <w:r>
        <w:rPr>
          <w:rFonts w:hint="eastAsia" w:ascii="宋体" w:hAnsi="宋体"/>
          <w:b/>
          <w:sz w:val="24"/>
        </w:rPr>
        <w:t>法定代表人授权书(委托代理人参加磋商)</w:t>
      </w:r>
    </w:p>
    <w:p>
      <w:pPr>
        <w:adjustRightInd w:val="0"/>
        <w:snapToGrid w:val="0"/>
        <w:spacing w:line="360" w:lineRule="auto"/>
        <w:jc w:val="center"/>
        <w:rPr>
          <w:rFonts w:ascii="宋体" w:hAnsi="宋体"/>
          <w:b/>
          <w:sz w:val="28"/>
          <w:szCs w:val="28"/>
        </w:rPr>
      </w:pP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w:t>
      </w:r>
      <w:r>
        <w:rPr>
          <w:rFonts w:hint="eastAsia" w:ascii="宋体" w:hAnsi="宋体"/>
        </w:rPr>
        <w:t>响应文件</w:t>
      </w:r>
      <w:r>
        <w:rPr>
          <w:rFonts w:hint="eastAsia" w:ascii="宋体" w:hAnsi="宋体" w:cs="宋体"/>
          <w:kern w:val="0"/>
          <w:szCs w:val="21"/>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日生效，特此声明。</w:t>
      </w: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r>
        <w:rPr>
          <w:rFonts w:hint="eastAsia" w:ascii="宋体" w:hAnsi="宋体"/>
          <w:szCs w:val="21"/>
        </w:rPr>
        <w:t>附：法定代表人身份证复印件</w:t>
      </w:r>
    </w:p>
    <w:p>
      <w:pPr>
        <w:adjustRightInd w:val="0"/>
        <w:snapToGrid w:val="0"/>
        <w:spacing w:before="120" w:beforeLines="50" w:line="360" w:lineRule="auto"/>
        <w:ind w:firstLine="420" w:firstLineChars="200"/>
        <w:rPr>
          <w:rFonts w:ascii="宋体" w:hAnsi="宋体"/>
          <w:szCs w:val="21"/>
        </w:rPr>
      </w:pPr>
    </w:p>
    <w:p>
      <w:pPr>
        <w:adjustRightInd w:val="0"/>
        <w:snapToGrid w:val="0"/>
        <w:spacing w:before="120" w:beforeLines="50" w:line="360" w:lineRule="auto"/>
        <w:ind w:firstLine="420" w:firstLineChars="200"/>
        <w:rPr>
          <w:rFonts w:ascii="宋体" w:hAnsi="宋体"/>
          <w:szCs w:val="21"/>
        </w:rPr>
      </w:pPr>
      <w:r>
        <w:rPr>
          <w:rFonts w:hint="eastAsia" w:ascii="宋体" w:hAnsi="宋体"/>
          <w:szCs w:val="21"/>
        </w:rPr>
        <w:t>附：委托代理人身份证复印件</w:t>
      </w:r>
    </w:p>
    <w:p>
      <w:pPr>
        <w:adjustRightInd w:val="0"/>
        <w:snapToGrid w:val="0"/>
        <w:spacing w:before="120" w:beforeLines="50" w:line="360" w:lineRule="auto"/>
        <w:ind w:firstLine="420" w:firstLineChars="20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委托代理人（签字或盖章）：</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ascii="宋体" w:hAnsi="宋体"/>
          <w:b/>
        </w:rPr>
      </w:pPr>
    </w:p>
    <w:p>
      <w:pPr>
        <w:spacing w:line="360" w:lineRule="exact"/>
        <w:rPr>
          <w:rFonts w:ascii="宋体" w:hAnsi="宋体"/>
          <w:b/>
        </w:rPr>
      </w:pPr>
    </w:p>
    <w:p>
      <w:pPr>
        <w:spacing w:line="360" w:lineRule="exact"/>
        <w:rPr>
          <w:rFonts w:ascii="宋体" w:hAnsi="宋体"/>
          <w:b/>
        </w:rPr>
      </w:pPr>
    </w:p>
    <w:p>
      <w:pPr>
        <w:spacing w:line="360" w:lineRule="exact"/>
        <w:rPr>
          <w:rFonts w:ascii="宋体" w:hAnsi="宋体"/>
          <w:b/>
        </w:rPr>
      </w:pPr>
    </w:p>
    <w:p>
      <w:pPr>
        <w:spacing w:line="360" w:lineRule="exact"/>
        <w:rPr>
          <w:rFonts w:ascii="宋体" w:hAnsi="宋体"/>
          <w:b/>
        </w:rPr>
      </w:pPr>
      <w:r>
        <w:rPr>
          <w:rFonts w:ascii="宋体" w:hAnsi="宋体"/>
        </w:rPr>
        <w:br w:type="page"/>
      </w:r>
    </w:p>
    <w:p>
      <w:pPr>
        <w:pStyle w:val="3"/>
        <w:jc w:val="center"/>
        <w:rPr>
          <w:rFonts w:ascii="宋体" w:hAnsi="宋体"/>
          <w:sz w:val="28"/>
          <w:szCs w:val="28"/>
        </w:rPr>
      </w:pPr>
      <w:bookmarkStart w:id="85" w:name="_Toc433187367"/>
      <w:bookmarkStart w:id="86" w:name="_Toc474770921"/>
      <w:r>
        <w:rPr>
          <w:rFonts w:hint="eastAsia" w:ascii="宋体" w:hAnsi="宋体"/>
          <w:sz w:val="28"/>
          <w:szCs w:val="28"/>
        </w:rPr>
        <w:t>三、</w:t>
      </w:r>
      <w:bookmarkEnd w:id="85"/>
      <w:r>
        <w:rPr>
          <w:rFonts w:hint="eastAsia" w:ascii="宋体" w:hAnsi="宋体"/>
          <w:sz w:val="28"/>
          <w:szCs w:val="28"/>
        </w:rPr>
        <w:t>磋商保证金</w:t>
      </w:r>
      <w:bookmarkEnd w:id="86"/>
    </w:p>
    <w:p>
      <w:pPr>
        <w:spacing w:line="480" w:lineRule="exact"/>
        <w:rPr>
          <w:rFonts w:ascii="宋体" w:hAnsi="宋体"/>
          <w:sz w:val="24"/>
        </w:rPr>
      </w:pPr>
      <w:r>
        <w:rPr>
          <w:rFonts w:hint="eastAsia" w:ascii="宋体" w:hAnsi="宋体"/>
          <w:sz w:val="24"/>
        </w:rPr>
        <w:t>附件3：</w:t>
      </w:r>
    </w:p>
    <w:p>
      <w:pPr>
        <w:spacing w:line="480" w:lineRule="exact"/>
        <w:jc w:val="center"/>
        <w:rPr>
          <w:rFonts w:ascii="宋体" w:hAnsi="宋体"/>
          <w:b/>
          <w:bCs/>
          <w:sz w:val="24"/>
        </w:rPr>
      </w:pPr>
      <w:r>
        <w:rPr>
          <w:rFonts w:hint="eastAsia" w:ascii="宋体" w:hAnsi="宋体"/>
          <w:b/>
          <w:bCs/>
          <w:sz w:val="24"/>
        </w:rPr>
        <w:t>磋商保证金缴纳凭证</w:t>
      </w:r>
    </w:p>
    <w:p>
      <w:pPr>
        <w:spacing w:line="480" w:lineRule="exact"/>
        <w:jc w:val="center"/>
        <w:rPr>
          <w:rFonts w:ascii="宋体" w:hAnsi="宋体"/>
          <w:b/>
          <w:bCs/>
          <w:sz w:val="28"/>
          <w:szCs w:val="28"/>
        </w:rPr>
      </w:pPr>
    </w:p>
    <w:p>
      <w:pPr>
        <w:spacing w:line="480" w:lineRule="exact"/>
        <w:jc w:val="center"/>
        <w:rPr>
          <w:rFonts w:ascii="宋体" w:hAnsi="宋体"/>
          <w:b/>
          <w:bCs/>
          <w:sz w:val="28"/>
          <w:szCs w:val="28"/>
        </w:rPr>
      </w:pPr>
    </w:p>
    <w:p>
      <w:pPr>
        <w:spacing w:line="480" w:lineRule="exact"/>
        <w:rPr>
          <w:rFonts w:ascii="宋体" w:hAnsi="宋体"/>
          <w:b/>
          <w:bCs/>
          <w:sz w:val="28"/>
          <w:szCs w:val="28"/>
        </w:rPr>
      </w:pPr>
    </w:p>
    <w:p>
      <w:pPr>
        <w:shd w:val="clear" w:color="auto" w:fill="FFFFFF"/>
        <w:adjustRightInd w:val="0"/>
        <w:snapToGrid w:val="0"/>
        <w:spacing w:line="360" w:lineRule="auto"/>
        <w:ind w:firstLine="413" w:firstLineChars="196"/>
        <w:rPr>
          <w:rFonts w:ascii="宋体" w:hAnsi="宋体"/>
          <w:b/>
          <w:szCs w:val="21"/>
        </w:rPr>
      </w:pPr>
    </w:p>
    <w:p>
      <w:pPr>
        <w:pStyle w:val="3"/>
        <w:jc w:val="center"/>
        <w:rPr>
          <w:rFonts w:ascii="宋体" w:hAnsi="宋体"/>
          <w:sz w:val="28"/>
          <w:szCs w:val="28"/>
        </w:rPr>
      </w:pPr>
      <w:r>
        <w:rPr>
          <w:rFonts w:ascii="宋体" w:hAnsi="宋体"/>
        </w:rPr>
        <w:br w:type="page"/>
      </w:r>
      <w:bookmarkStart w:id="87" w:name="_Toc474770922"/>
      <w:bookmarkStart w:id="88" w:name="_Toc433187368"/>
      <w:r>
        <w:rPr>
          <w:rFonts w:hint="eastAsia" w:ascii="宋体" w:hAnsi="宋体"/>
          <w:sz w:val="28"/>
          <w:szCs w:val="28"/>
        </w:rPr>
        <w:t>四、报价一览表及报价明细表</w:t>
      </w:r>
      <w:bookmarkEnd w:id="87"/>
    </w:p>
    <w:p>
      <w:pPr>
        <w:rPr>
          <w:rFonts w:ascii="宋体" w:hAnsi="宋体"/>
        </w:rPr>
      </w:pPr>
    </w:p>
    <w:p>
      <w:pPr>
        <w:rPr>
          <w:rFonts w:ascii="宋体" w:hAnsi="宋体"/>
          <w:sz w:val="24"/>
        </w:rPr>
      </w:pPr>
    </w:p>
    <w:p>
      <w:pPr>
        <w:rPr>
          <w:rFonts w:ascii="宋体" w:hAnsi="宋体"/>
          <w:sz w:val="24"/>
        </w:rPr>
      </w:pPr>
      <w:r>
        <w:rPr>
          <w:rFonts w:hint="eastAsia" w:ascii="宋体" w:hAnsi="宋体"/>
          <w:sz w:val="24"/>
        </w:rPr>
        <w:t xml:space="preserve">附件4    </w:t>
      </w:r>
    </w:p>
    <w:p>
      <w:pPr>
        <w:adjustRightInd w:val="0"/>
        <w:snapToGrid w:val="0"/>
        <w:jc w:val="center"/>
        <w:rPr>
          <w:rFonts w:ascii="宋体" w:hAnsi="宋体"/>
          <w:b/>
          <w:sz w:val="28"/>
          <w:szCs w:val="28"/>
        </w:rPr>
      </w:pPr>
      <w:r>
        <w:rPr>
          <w:rFonts w:hint="eastAsia" w:ascii="宋体" w:hAnsi="宋体"/>
          <w:b/>
          <w:bCs/>
          <w:sz w:val="28"/>
          <w:szCs w:val="28"/>
        </w:rPr>
        <w:t>报价一览表</w:t>
      </w:r>
    </w:p>
    <w:p>
      <w:pPr>
        <w:spacing w:line="360" w:lineRule="exact"/>
        <w:jc w:val="left"/>
        <w:rPr>
          <w:rFonts w:ascii="宋体" w:hAnsi="宋体"/>
          <w:b/>
        </w:rPr>
      </w:pPr>
    </w:p>
    <w:p>
      <w:pPr>
        <w:spacing w:line="360" w:lineRule="exact"/>
        <w:jc w:val="left"/>
        <w:rPr>
          <w:rFonts w:ascii="宋体" w:hAnsi="宋体"/>
          <w:sz w:val="24"/>
        </w:rPr>
      </w:pPr>
      <w:r>
        <w:rPr>
          <w:rFonts w:hint="eastAsia" w:ascii="宋体" w:hAnsi="宋体"/>
          <w:b/>
        </w:rPr>
        <w:t xml:space="preserve">项目名称：                                                                                    项目编号：      </w:t>
      </w:r>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序号</w:t>
            </w:r>
          </w:p>
        </w:tc>
        <w:tc>
          <w:tcPr>
            <w:tcW w:w="6495"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内容</w:t>
            </w: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供应商名称</w:t>
            </w:r>
          </w:p>
        </w:tc>
        <w:tc>
          <w:tcPr>
            <w:tcW w:w="4668"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报价总价</w:t>
            </w:r>
          </w:p>
        </w:tc>
        <w:tc>
          <w:tcPr>
            <w:tcW w:w="466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 xml:space="preserve">大写：           </w:t>
            </w:r>
          </w:p>
          <w:p>
            <w:pPr>
              <w:snapToGrid w:val="0"/>
              <w:spacing w:line="400" w:lineRule="exact"/>
              <w:rPr>
                <w:rFonts w:ascii="宋体" w:hAnsi="宋体"/>
                <w:szCs w:val="21"/>
              </w:rPr>
            </w:pPr>
            <w:r>
              <w:rPr>
                <w:rFonts w:hint="eastAsia" w:ascii="宋体" w:hAnsi="宋体"/>
                <w:szCs w:val="21"/>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3</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u w:val="single"/>
              </w:rPr>
            </w:pPr>
            <w:r>
              <w:rPr>
                <w:rFonts w:hint="eastAsia" w:ascii="宋体" w:hAnsi="宋体"/>
                <w:szCs w:val="21"/>
              </w:rPr>
              <w:t>交货期</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szCs w:val="21"/>
                <w:lang w:val="en-US" w:eastAsia="zh-CN"/>
              </w:rPr>
            </w:pPr>
            <w:r>
              <w:rPr>
                <w:rFonts w:hint="eastAsia" w:ascii="宋体" w:hAnsi="宋体"/>
                <w:szCs w:val="21"/>
                <w:lang w:val="en-US" w:eastAsia="zh-CN"/>
              </w:rPr>
              <w:t>合同签订后15个工作日内</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4</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其他事项声明</w:t>
            </w:r>
          </w:p>
        </w:tc>
        <w:tc>
          <w:tcPr>
            <w:tcW w:w="4668"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szCs w:val="21"/>
              </w:rPr>
            </w:pPr>
            <w:r>
              <w:rPr>
                <w:rFonts w:hint="eastAsia" w:ascii="宋体" w:hAnsi="宋体"/>
                <w:szCs w:val="21"/>
                <w:highlight w:val="none"/>
                <w:u w:val="none"/>
                <w:lang w:val="en-US" w:eastAsia="zh-CN"/>
              </w:rPr>
              <w:t>合同履约期：软件符合需求功能验收合格后1年。</w:t>
            </w:r>
          </w:p>
        </w:tc>
        <w:tc>
          <w:tcPr>
            <w:tcW w:w="1299"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szCs w:val="21"/>
              </w:rPr>
            </w:pP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b/>
          <w:szCs w:val="21"/>
        </w:rPr>
        <w:t>须附详细的报价明细表，报价明细表中总金额和此表中首次磋商报价一致。</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szCs w:val="21"/>
        </w:rPr>
        <w:sectPr>
          <w:pgSz w:w="11906" w:h="16838"/>
          <w:pgMar w:top="1440" w:right="1797" w:bottom="1440" w:left="1797" w:header="851" w:footer="992"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ascii="宋体" w:hAnsi="宋体"/>
          <w:b/>
          <w:sz w:val="30"/>
          <w:szCs w:val="30"/>
        </w:rPr>
      </w:pPr>
      <w:r>
        <w:rPr>
          <w:rFonts w:hint="eastAsia" w:ascii="宋体" w:hAnsi="宋体"/>
          <w:sz w:val="24"/>
        </w:rPr>
        <w:t xml:space="preserve">附件5  </w:t>
      </w:r>
    </w:p>
    <w:p>
      <w:pPr>
        <w:adjustRightInd w:val="0"/>
        <w:snapToGrid w:val="0"/>
        <w:jc w:val="center"/>
        <w:rPr>
          <w:rFonts w:ascii="宋体" w:hAnsi="宋体"/>
          <w:b/>
          <w:sz w:val="24"/>
        </w:rPr>
      </w:pPr>
      <w:r>
        <w:rPr>
          <w:rFonts w:hint="eastAsia" w:ascii="宋体" w:hAnsi="宋体"/>
          <w:b/>
          <w:sz w:val="24"/>
        </w:rPr>
        <w:t xml:space="preserve">报价明细表 </w:t>
      </w:r>
    </w:p>
    <w:p>
      <w:pPr>
        <w:spacing w:line="360" w:lineRule="exact"/>
        <w:ind w:firstLine="211" w:firstLineChars="100"/>
        <w:rPr>
          <w:rFonts w:ascii="宋体" w:hAnsi="宋体"/>
          <w:b/>
        </w:rPr>
      </w:pPr>
    </w:p>
    <w:p>
      <w:pPr>
        <w:spacing w:line="360" w:lineRule="exact"/>
        <w:jc w:val="left"/>
        <w:rPr>
          <w:rFonts w:ascii="宋体" w:hAnsi="宋体"/>
          <w:b/>
        </w:rPr>
      </w:pPr>
      <w:r>
        <w:rPr>
          <w:rFonts w:hint="eastAsia" w:ascii="宋体" w:hAnsi="宋体"/>
          <w:b/>
        </w:rPr>
        <w:t xml:space="preserve">项目名称：                                                        </w:t>
      </w:r>
    </w:p>
    <w:p>
      <w:pPr>
        <w:spacing w:line="360" w:lineRule="exact"/>
        <w:jc w:val="left"/>
        <w:rPr>
          <w:rFonts w:ascii="宋体" w:hAnsi="宋体"/>
          <w:b/>
        </w:rPr>
      </w:pPr>
      <w:r>
        <w:rPr>
          <w:rFonts w:hint="eastAsia" w:ascii="宋体" w:hAnsi="宋体"/>
          <w:b/>
        </w:rPr>
        <w:t>项目编号：                                                 金额单位：元</w:t>
      </w:r>
    </w:p>
    <w:tbl>
      <w:tblPr>
        <w:tblStyle w:val="44"/>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4"/>
        <w:gridCol w:w="1875"/>
        <w:gridCol w:w="825"/>
        <w:gridCol w:w="705"/>
        <w:gridCol w:w="690"/>
        <w:gridCol w:w="675"/>
        <w:gridCol w:w="726"/>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序号</w:t>
            </w:r>
          </w:p>
        </w:tc>
        <w:tc>
          <w:tcPr>
            <w:tcW w:w="187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货物名称</w:t>
            </w:r>
          </w:p>
        </w:tc>
        <w:tc>
          <w:tcPr>
            <w:tcW w:w="825" w:type="dxa"/>
            <w:tcBorders>
              <w:top w:val="single" w:color="auto" w:sz="4" w:space="0"/>
              <w:left w:val="single" w:color="auto" w:sz="4" w:space="0"/>
              <w:bottom w:val="single" w:color="auto" w:sz="4" w:space="0"/>
              <w:right w:val="single" w:color="auto" w:sz="4" w:space="0"/>
            </w:tcBorders>
            <w:vAlign w:val="center"/>
          </w:tcPr>
          <w:p>
            <w:pPr>
              <w:pStyle w:val="220"/>
              <w:snapToGrid w:val="0"/>
              <w:spacing w:before="50" w:after="50" w:line="240" w:lineRule="auto"/>
              <w:rPr>
                <w:rFonts w:ascii="宋体" w:hAnsi="宋体" w:eastAsia="宋体"/>
                <w:spacing w:val="0"/>
                <w:kern w:val="2"/>
                <w:sz w:val="21"/>
                <w:szCs w:val="21"/>
              </w:rPr>
            </w:pPr>
            <w:r>
              <w:rPr>
                <w:rFonts w:hint="eastAsia" w:ascii="宋体" w:hAnsi="宋体" w:eastAsia="宋体"/>
                <w:spacing w:val="0"/>
                <w:kern w:val="2"/>
                <w:sz w:val="21"/>
                <w:szCs w:val="21"/>
              </w:rPr>
              <w:t>单位</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数量</w:t>
            </w:r>
          </w:p>
        </w:tc>
        <w:tc>
          <w:tcPr>
            <w:tcW w:w="6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单价</w:t>
            </w:r>
          </w:p>
        </w:tc>
        <w:tc>
          <w:tcPr>
            <w:tcW w:w="67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zCs w:val="21"/>
                <w:lang w:eastAsia="zh-CN"/>
              </w:rPr>
            </w:pPr>
            <w:r>
              <w:rPr>
                <w:rFonts w:hint="eastAsia" w:ascii="宋体" w:hAnsi="宋体"/>
                <w:szCs w:val="21"/>
                <w:lang w:val="en-US" w:eastAsia="zh-CN"/>
              </w:rPr>
              <w:t>小计</w:t>
            </w:r>
          </w:p>
        </w:tc>
        <w:tc>
          <w:tcPr>
            <w:tcW w:w="72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ind w:left="-323" w:leftChars="-154" w:firstLine="323" w:firstLineChars="154"/>
              <w:jc w:val="center"/>
              <w:rPr>
                <w:rFonts w:ascii="宋体" w:hAnsi="宋体"/>
                <w:szCs w:val="21"/>
              </w:rPr>
            </w:pPr>
            <w:r>
              <w:rPr>
                <w:rFonts w:ascii="宋体" w:hAnsi="宋体"/>
                <w:szCs w:val="21"/>
              </w:rPr>
              <w:t>品牌</w:t>
            </w:r>
          </w:p>
        </w:tc>
        <w:tc>
          <w:tcPr>
            <w:tcW w:w="7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规格型号</w:t>
            </w:r>
          </w:p>
        </w:tc>
        <w:tc>
          <w:tcPr>
            <w:tcW w:w="106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原产地及</w:t>
            </w:r>
          </w:p>
          <w:p>
            <w:pPr>
              <w:tabs>
                <w:tab w:val="left" w:pos="1418"/>
              </w:tabs>
              <w:snapToGrid w:val="0"/>
              <w:spacing w:before="50" w:after="50"/>
              <w:jc w:val="center"/>
              <w:rPr>
                <w:rFonts w:ascii="宋体" w:hAnsi="宋体"/>
                <w:szCs w:val="21"/>
              </w:rPr>
            </w:pPr>
            <w:r>
              <w:rPr>
                <w:rFonts w:hint="eastAsia" w:ascii="宋体" w:hAnsi="宋体"/>
                <w:szCs w:val="21"/>
              </w:rPr>
              <w:t>生产厂家</w:t>
            </w:r>
          </w:p>
        </w:tc>
        <w:tc>
          <w:tcPr>
            <w:tcW w:w="7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cs="仿宋_GB2312"/>
                <w:color w:val="000000"/>
                <w:sz w:val="18"/>
                <w:szCs w:val="18"/>
              </w:rPr>
              <w:t>1</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cs="仿宋_GB2312"/>
                <w:color w:val="000000"/>
                <w:sz w:val="18"/>
                <w:szCs w:val="18"/>
              </w:rPr>
              <w:t>资产管理系统</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cs="仿宋_GB2312"/>
                <w:color w:val="000000"/>
                <w:sz w:val="18"/>
                <w:szCs w:val="18"/>
              </w:rPr>
              <w:t>套</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18"/>
                <w:szCs w:val="18"/>
              </w:rPr>
            </w:pPr>
            <w:r>
              <w:rPr>
                <w:rFonts w:hint="eastAsia" w:ascii="宋体" w:hAnsi="宋体" w:cs="仿宋_GB2312"/>
                <w:color w:val="000000"/>
                <w:sz w:val="18"/>
                <w:szCs w:val="18"/>
              </w:rPr>
              <w:t>1</w:t>
            </w: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2</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RFID条码打印机</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台</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1</w:t>
            </w: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3</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超高频RFID手持终端</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台</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4</w:t>
            </w: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4</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RFID标签（无源）</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张</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20000</w:t>
            </w: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5</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服务器</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台</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rPr>
              <w:t>2</w:t>
            </w: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6</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系统管理桌面终端</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台</w:t>
            </w:r>
          </w:p>
        </w:tc>
        <w:tc>
          <w:tcPr>
            <w:tcW w:w="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000000"/>
                <w:kern w:val="2"/>
                <w:sz w:val="18"/>
                <w:szCs w:val="18"/>
                <w:lang w:val="en-US" w:eastAsia="zh-CN" w:bidi="ar-SA"/>
              </w:rPr>
            </w:pPr>
            <w:r>
              <w:rPr>
                <w:rFonts w:hint="eastAsia" w:ascii="宋体" w:hAnsi="宋体" w:cs="仿宋_GB2312"/>
                <w:color w:val="000000"/>
                <w:sz w:val="18"/>
                <w:szCs w:val="18"/>
                <w:lang w:val="en-US" w:eastAsia="zh-CN"/>
              </w:rPr>
              <w:t>1</w:t>
            </w: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8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r>
              <w:rPr>
                <w:rFonts w:ascii="宋体" w:hAnsi="宋体"/>
                <w:szCs w:val="21"/>
              </w:rPr>
              <w:t>……</w:t>
            </w: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0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4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8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0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67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9" w:type="dxa"/>
            <w:gridSpan w:val="2"/>
            <w:vMerge w:val="restart"/>
            <w:tcBorders>
              <w:top w:val="single" w:color="auto" w:sz="4" w:space="0"/>
              <w:left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报价</w:t>
            </w:r>
          </w:p>
        </w:tc>
        <w:tc>
          <w:tcPr>
            <w:tcW w:w="6149"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rFonts w:ascii="宋体" w:hAnsi="宋体"/>
                <w:szCs w:val="21"/>
              </w:rPr>
            </w:pPr>
            <w:r>
              <w:rPr>
                <w:rFonts w:hint="eastAsia" w:ascii="宋体" w:hAnsi="宋体"/>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19" w:type="dxa"/>
            <w:gridSpan w:val="2"/>
            <w:vMerge w:val="continue"/>
            <w:tcBorders>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6149"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rFonts w:ascii="宋体" w:hAnsi="宋体"/>
                <w:szCs w:val="21"/>
              </w:rPr>
            </w:pPr>
            <w:r>
              <w:rPr>
                <w:rFonts w:hint="eastAsia" w:ascii="宋体" w:hAnsi="宋体"/>
                <w:szCs w:val="21"/>
              </w:rPr>
              <w:t>（小写）</w:t>
            </w:r>
          </w:p>
        </w:tc>
      </w:tr>
    </w:tbl>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r>
        <w:rPr>
          <w:rFonts w:hint="eastAsia" w:ascii="宋体" w:hAnsi="宋体"/>
          <w:szCs w:val="21"/>
        </w:rPr>
        <w:t>注：1、供应商可在此表后附其报价详细说明。</w:t>
      </w:r>
    </w:p>
    <w:p>
      <w:pPr>
        <w:adjustRightInd w:val="0"/>
        <w:snapToGrid w:val="0"/>
        <w:spacing w:line="360" w:lineRule="auto"/>
        <w:ind w:left="-88" w:leftChars="-42"/>
        <w:rPr>
          <w:rFonts w:ascii="宋体" w:hAnsi="宋体"/>
          <w:b/>
          <w:szCs w:val="21"/>
        </w:rPr>
      </w:pPr>
    </w:p>
    <w:p>
      <w:pPr>
        <w:adjustRightInd w:val="0"/>
        <w:snapToGrid w:val="0"/>
        <w:spacing w:line="360" w:lineRule="auto"/>
        <w:rPr>
          <w:rFonts w:ascii="宋体" w:hAnsi="宋体"/>
          <w:szCs w:val="21"/>
        </w:rPr>
      </w:pPr>
      <w:r>
        <w:rPr>
          <w:rFonts w:hint="eastAsia" w:ascii="宋体" w:hAnsi="宋体"/>
          <w:szCs w:val="21"/>
        </w:rPr>
        <w:t xml:space="preserve">   </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rPr>
          <w:rFonts w:ascii="宋体" w:hAnsi="宋体"/>
          <w:b/>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sz w:val="24"/>
        </w:rPr>
        <w:t xml:space="preserve"> </w:t>
      </w:r>
    </w:p>
    <w:p>
      <w:pPr>
        <w:adjustRightInd w:val="0"/>
        <w:snapToGrid w:val="0"/>
        <w:rPr>
          <w:rFonts w:ascii="宋体" w:hAnsi="宋体"/>
          <w:sz w:val="24"/>
        </w:rPr>
      </w:pPr>
      <w:r>
        <w:rPr>
          <w:rFonts w:ascii="宋体" w:hAnsi="宋体"/>
          <w:b/>
          <w:sz w:val="24"/>
        </w:rPr>
        <w:br w:type="page"/>
      </w:r>
      <w:r>
        <w:rPr>
          <w:rFonts w:hint="eastAsia" w:ascii="宋体" w:hAnsi="宋体"/>
          <w:sz w:val="24"/>
        </w:rPr>
        <w:t>附件6</w:t>
      </w:r>
    </w:p>
    <w:p>
      <w:pPr>
        <w:adjustRightInd w:val="0"/>
        <w:snapToGrid w:val="0"/>
        <w:spacing w:line="360" w:lineRule="auto"/>
        <w:ind w:right="24"/>
        <w:jc w:val="center"/>
        <w:rPr>
          <w:rFonts w:ascii="宋体" w:hAnsi="宋体"/>
          <w:b/>
          <w:sz w:val="24"/>
        </w:rPr>
      </w:pPr>
    </w:p>
    <w:p>
      <w:pPr>
        <w:adjustRightInd w:val="0"/>
        <w:snapToGrid w:val="0"/>
        <w:spacing w:line="360" w:lineRule="auto"/>
        <w:ind w:right="24"/>
        <w:jc w:val="center"/>
        <w:rPr>
          <w:rFonts w:ascii="宋体" w:hAnsi="宋体"/>
          <w:b/>
          <w:bCs/>
          <w:sz w:val="24"/>
        </w:rPr>
      </w:pPr>
      <w:r>
        <w:rPr>
          <w:rFonts w:hint="eastAsia" w:ascii="宋体" w:hAnsi="宋体"/>
          <w:b/>
          <w:sz w:val="24"/>
        </w:rPr>
        <w:t>节能、环境标志产品证明材料</w:t>
      </w:r>
    </w:p>
    <w:p>
      <w:pPr>
        <w:adjustRightInd w:val="0"/>
        <w:snapToGrid w:val="0"/>
        <w:spacing w:line="360" w:lineRule="auto"/>
        <w:ind w:right="24"/>
        <w:rPr>
          <w:rFonts w:ascii="宋体" w:hAnsi="宋体"/>
        </w:rPr>
        <w:sectPr>
          <w:headerReference r:id="rId5" w:type="default"/>
          <w:footerReference r:id="rId6" w:type="even"/>
          <w:pgSz w:w="11906" w:h="16838"/>
          <w:pgMar w:top="1440" w:right="1797" w:bottom="1440" w:left="1797" w:header="851" w:footer="992" w:gutter="0"/>
          <w:cols w:space="720" w:num="1"/>
          <w:docGrid w:linePitch="312" w:charSpace="0"/>
        </w:sectPr>
      </w:pPr>
      <w:r>
        <w:rPr>
          <w:rFonts w:hint="eastAsia" w:ascii="宋体" w:hAnsi="宋体"/>
          <w:szCs w:val="21"/>
        </w:rPr>
        <w:t>证明材料</w:t>
      </w:r>
      <w:r>
        <w:rPr>
          <w:rFonts w:hint="eastAsia" w:ascii="宋体" w:hAnsi="宋体"/>
        </w:rPr>
        <w:t>加盖供应商公章。</w:t>
      </w:r>
    </w:p>
    <w:p>
      <w:pPr>
        <w:adjustRightInd w:val="0"/>
        <w:snapToGrid w:val="0"/>
        <w:spacing w:line="360" w:lineRule="auto"/>
        <w:ind w:right="24"/>
        <w:rPr>
          <w:rFonts w:ascii="宋体" w:hAnsi="宋体"/>
          <w:sz w:val="24"/>
        </w:rPr>
      </w:pPr>
      <w:bookmarkStart w:id="89" w:name="_Toc474770923"/>
      <w:r>
        <w:rPr>
          <w:rFonts w:hint="eastAsia" w:ascii="宋体" w:hAnsi="宋体"/>
          <w:bCs/>
          <w:sz w:val="24"/>
        </w:rPr>
        <w:t>附件7-1</w:t>
      </w:r>
    </w:p>
    <w:p>
      <w:pPr>
        <w:tabs>
          <w:tab w:val="left" w:pos="3600"/>
        </w:tabs>
        <w:adjustRightInd w:val="0"/>
        <w:snapToGrid w:val="0"/>
        <w:jc w:val="center"/>
        <w:rPr>
          <w:rFonts w:ascii="宋体" w:hAnsi="宋体" w:cs="宋体"/>
          <w:b/>
          <w:kern w:val="0"/>
          <w:sz w:val="24"/>
        </w:rPr>
      </w:pPr>
      <w:r>
        <w:rPr>
          <w:rFonts w:hint="eastAsia" w:ascii="宋体" w:hAnsi="宋体" w:cs="宋体"/>
          <w:b/>
          <w:bCs/>
          <w:spacing w:val="6"/>
          <w:kern w:val="0"/>
          <w:sz w:val="24"/>
        </w:rPr>
        <w:t>中小企业声明函</w:t>
      </w:r>
    </w:p>
    <w:p>
      <w:pPr>
        <w:widowControl/>
        <w:adjustRightInd w:val="0"/>
        <w:snapToGrid w:val="0"/>
        <w:spacing w:before="120" w:beforeLines="50" w:line="360" w:lineRule="auto"/>
        <w:ind w:firstLine="444" w:firstLineChars="200"/>
        <w:jc w:val="left"/>
        <w:rPr>
          <w:rFonts w:ascii="宋体" w:hAnsi="宋体" w:cs="宋体"/>
          <w:spacing w:val="6"/>
          <w:kern w:val="0"/>
          <w:szCs w:val="21"/>
        </w:rPr>
      </w:pPr>
    </w:p>
    <w:p>
      <w:pPr>
        <w:pStyle w:val="17"/>
        <w:spacing w:line="360" w:lineRule="auto"/>
        <w:ind w:right="142" w:firstLine="640"/>
        <w:rPr>
          <w:rFonts w:ascii="宋体" w:hAnsi="宋体"/>
          <w:szCs w:val="21"/>
        </w:rPr>
      </w:pPr>
      <w:r>
        <w:rPr>
          <w:rFonts w:ascii="宋体" w:hAnsi="宋体"/>
          <w:szCs w:val="21"/>
        </w:rPr>
        <w:t>本公司（联合体）郑重声明，根据《政府采购促进中小 企业发展管理办法》（财库</w:t>
      </w:r>
      <w:r>
        <w:rPr>
          <w:rFonts w:ascii="宋体" w:hAnsi="宋体" w:cs="宋体"/>
          <w:szCs w:val="21"/>
        </w:rPr>
        <w:t>﹝</w:t>
      </w:r>
      <w:r>
        <w:rPr>
          <w:rFonts w:ascii="宋体" w:hAnsi="宋体"/>
          <w:szCs w:val="21"/>
        </w:rPr>
        <w:t>2020</w:t>
      </w:r>
      <w:r>
        <w:rPr>
          <w:rFonts w:ascii="宋体" w:hAnsi="宋体" w:cs="宋体"/>
          <w:szCs w:val="21"/>
        </w:rPr>
        <w:t>﹞</w:t>
      </w:r>
      <w:r>
        <w:rPr>
          <w:rFonts w:ascii="宋体" w:hAnsi="宋体"/>
          <w:szCs w:val="21"/>
        </w:rPr>
        <w:t>46 号）的规定，本公司</w:t>
      </w:r>
      <w:r>
        <w:rPr>
          <w:rFonts w:ascii="宋体" w:hAnsi="宋体" w:cs="仿宋"/>
          <w:szCs w:val="21"/>
        </w:rPr>
        <w:t>（联合体）参加</w:t>
      </w:r>
      <w:r>
        <w:rPr>
          <w:rFonts w:ascii="宋体" w:hAnsi="宋体" w:cs="仿宋"/>
          <w:i/>
          <w:szCs w:val="21"/>
          <w:u w:val="single" w:color="000000"/>
        </w:rPr>
        <w:t>（单位名称）</w:t>
      </w:r>
      <w:r>
        <w:rPr>
          <w:rFonts w:ascii="宋体" w:hAnsi="宋体" w:cs="仿宋"/>
          <w:szCs w:val="21"/>
        </w:rPr>
        <w:t>的</w:t>
      </w:r>
      <w:r>
        <w:rPr>
          <w:rFonts w:ascii="宋体" w:hAnsi="宋体" w:cs="仿宋"/>
          <w:i/>
          <w:szCs w:val="21"/>
          <w:u w:val="single" w:color="000000"/>
        </w:rPr>
        <w:t>（项目名称）</w:t>
      </w:r>
      <w:r>
        <w:rPr>
          <w:rFonts w:ascii="宋体" w:hAnsi="宋体" w:cs="仿宋"/>
          <w:szCs w:val="21"/>
        </w:rPr>
        <w:t>采购活动，提供的货物全部由符合政策要求的中小企业制造。相关企业</w:t>
      </w:r>
      <w:r>
        <w:rPr>
          <w:rFonts w:ascii="宋体" w:hAnsi="宋体"/>
          <w:szCs w:val="21"/>
        </w:rPr>
        <w:t>（含联合体中的中小企业、签订分包意向协议的中小企业） 的具体情况如下：</w:t>
      </w:r>
    </w:p>
    <w:p>
      <w:pPr>
        <w:spacing w:before="13" w:line="360" w:lineRule="auto"/>
        <w:ind w:left="120" w:right="142"/>
        <w:rPr>
          <w:rFonts w:ascii="宋体" w:hAnsi="宋体" w:cs="仿宋"/>
          <w:szCs w:val="21"/>
        </w:rPr>
      </w:pPr>
      <w:r>
        <w:rPr>
          <w:rFonts w:hint="eastAsia" w:ascii="宋体" w:hAnsi="宋体"/>
          <w:szCs w:val="21"/>
        </w:rPr>
        <w:t xml:space="preserve">    1.我单位</w:t>
      </w:r>
      <w:r>
        <w:rPr>
          <w:rFonts w:ascii="宋体" w:hAnsi="宋体" w:cs="仿宋"/>
          <w:i/>
          <w:szCs w:val="21"/>
          <w:u w:val="single" w:color="000000"/>
        </w:rPr>
        <w:t>（企业名称）</w:t>
      </w:r>
      <w:r>
        <w:rPr>
          <w:rFonts w:ascii="宋体" w:hAnsi="宋体" w:cs="仿宋"/>
          <w:szCs w:val="21"/>
        </w:rPr>
        <w:t>，从业人员</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u w:val="single" w:color="000000"/>
        </w:rPr>
        <w:tab/>
      </w:r>
      <w:r>
        <w:rPr>
          <w:rFonts w:ascii="宋体" w:hAnsi="宋体" w:cs="仿宋"/>
          <w:szCs w:val="21"/>
        </w:rPr>
        <w:t>人，营业收入为</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仿宋"/>
          <w:szCs w:val="21"/>
        </w:rPr>
        <w:t>万元，资产总额为</w:t>
      </w:r>
      <w:r>
        <w:rPr>
          <w:rFonts w:ascii="宋体" w:hAnsi="宋体"/>
          <w:szCs w:val="21"/>
          <w:u w:val="single" w:color="000000"/>
        </w:rPr>
        <w:t xml:space="preserve"> </w:t>
      </w:r>
      <w:r>
        <w:rPr>
          <w:rFonts w:ascii="宋体" w:hAnsi="宋体"/>
          <w:szCs w:val="21"/>
          <w:u w:val="single" w:color="000000"/>
        </w:rPr>
        <w:tab/>
      </w:r>
      <w:r>
        <w:rPr>
          <w:rFonts w:ascii="宋体" w:hAnsi="宋体" w:cs="仿宋"/>
          <w:szCs w:val="21"/>
        </w:rPr>
        <w:t>万元，属于</w:t>
      </w:r>
      <w:r>
        <w:rPr>
          <w:rFonts w:ascii="宋体" w:hAnsi="宋体" w:cs="仿宋"/>
          <w:i/>
          <w:szCs w:val="21"/>
          <w:u w:val="single" w:color="000000"/>
        </w:rPr>
        <w:t>（中型企业、小型企业、微型企业）</w:t>
      </w:r>
      <w:r>
        <w:rPr>
          <w:rFonts w:ascii="宋体" w:hAnsi="宋体" w:cs="仿宋"/>
          <w:szCs w:val="21"/>
        </w:rPr>
        <w:t>；</w:t>
      </w:r>
    </w:p>
    <w:p>
      <w:pPr>
        <w:tabs>
          <w:tab w:val="left" w:pos="1384"/>
          <w:tab w:val="left" w:pos="4562"/>
          <w:tab w:val="left" w:pos="6803"/>
        </w:tabs>
        <w:spacing w:before="13" w:line="360" w:lineRule="auto"/>
        <w:ind w:left="105" w:right="142" w:firstLine="420" w:firstLineChars="200"/>
        <w:rPr>
          <w:rFonts w:ascii="宋体" w:hAnsi="宋体" w:cs="仿宋"/>
          <w:szCs w:val="21"/>
        </w:rPr>
      </w:pPr>
      <w:r>
        <w:rPr>
          <w:rFonts w:hint="eastAsia" w:ascii="宋体" w:hAnsi="宋体" w:cs="仿宋"/>
          <w:szCs w:val="21"/>
        </w:rPr>
        <w:t>2.</w:t>
      </w:r>
      <w:r>
        <w:rPr>
          <w:rFonts w:ascii="宋体" w:hAnsi="宋体" w:cs="仿宋"/>
          <w:i/>
          <w:szCs w:val="21"/>
          <w:u w:val="single" w:color="000000"/>
        </w:rPr>
        <w:t>（标的名称）</w:t>
      </w:r>
      <w:r>
        <w:rPr>
          <w:rFonts w:ascii="宋体" w:hAnsi="宋体" w:cs="仿宋"/>
          <w:i/>
          <w:szCs w:val="21"/>
        </w:rPr>
        <w:t xml:space="preserve"> </w:t>
      </w:r>
      <w:r>
        <w:rPr>
          <w:rFonts w:ascii="宋体" w:hAnsi="宋体" w:cs="仿宋"/>
          <w:szCs w:val="21"/>
        </w:rPr>
        <w:t>，属于</w:t>
      </w:r>
      <w:r>
        <w:rPr>
          <w:rFonts w:ascii="宋体" w:hAnsi="宋体" w:cs="仿宋"/>
          <w:i/>
          <w:szCs w:val="21"/>
          <w:u w:val="single" w:color="000000"/>
        </w:rPr>
        <w:t>（采购文件中明确的所属行业）行业</w:t>
      </w:r>
      <w:r>
        <w:rPr>
          <w:rFonts w:ascii="宋体" w:hAnsi="宋体" w:cs="仿宋"/>
          <w:szCs w:val="21"/>
        </w:rPr>
        <w:t>；制造商为</w:t>
      </w:r>
      <w:r>
        <w:rPr>
          <w:rFonts w:ascii="宋体" w:hAnsi="宋体" w:cs="仿宋"/>
          <w:i/>
          <w:szCs w:val="21"/>
          <w:u w:val="single" w:color="000000"/>
        </w:rPr>
        <w:t>（企业名称）</w:t>
      </w:r>
      <w:r>
        <w:rPr>
          <w:rFonts w:ascii="宋体" w:hAnsi="宋体" w:cs="仿宋"/>
          <w:szCs w:val="21"/>
        </w:rPr>
        <w:t>，从业人员</w:t>
      </w:r>
      <w:r>
        <w:rPr>
          <w:rFonts w:ascii="宋体" w:hAnsi="宋体"/>
          <w:szCs w:val="21"/>
          <w:u w:val="single" w:color="000000"/>
        </w:rPr>
        <w:t xml:space="preserve"> </w:t>
      </w:r>
      <w:r>
        <w:rPr>
          <w:rFonts w:ascii="宋体" w:hAnsi="宋体"/>
          <w:szCs w:val="21"/>
          <w:u w:val="single" w:color="000000"/>
        </w:rPr>
        <w:tab/>
      </w:r>
      <w:r>
        <w:rPr>
          <w:rFonts w:ascii="宋体" w:hAnsi="宋体" w:cs="仿宋"/>
          <w:szCs w:val="21"/>
        </w:rPr>
        <w:t>人，营业收入为</w:t>
      </w:r>
      <w:r>
        <w:rPr>
          <w:rFonts w:ascii="宋体" w:hAnsi="宋体"/>
          <w:szCs w:val="21"/>
          <w:u w:val="single" w:color="000000"/>
        </w:rPr>
        <w:t xml:space="preserve"> </w:t>
      </w:r>
      <w:r>
        <w:rPr>
          <w:rFonts w:ascii="宋体" w:hAnsi="宋体"/>
          <w:szCs w:val="21"/>
          <w:u w:val="single" w:color="000000"/>
        </w:rPr>
        <w:tab/>
      </w:r>
      <w:r>
        <w:rPr>
          <w:rFonts w:ascii="宋体" w:hAnsi="宋体" w:cs="仿宋"/>
          <w:szCs w:val="21"/>
        </w:rPr>
        <w:t>万元，资产总额为</w:t>
      </w:r>
      <w:r>
        <w:rPr>
          <w:rFonts w:ascii="宋体" w:hAnsi="宋体"/>
          <w:szCs w:val="21"/>
          <w:u w:val="single" w:color="000000"/>
        </w:rPr>
        <w:t xml:space="preserve"> </w:t>
      </w:r>
      <w:r>
        <w:rPr>
          <w:rFonts w:ascii="宋体" w:hAnsi="宋体"/>
          <w:szCs w:val="21"/>
          <w:u w:val="single" w:color="000000"/>
        </w:rPr>
        <w:tab/>
      </w:r>
      <w:r>
        <w:rPr>
          <w:rFonts w:ascii="宋体" w:hAnsi="宋体" w:cs="仿宋"/>
          <w:szCs w:val="21"/>
        </w:rPr>
        <w:t>万元，属于</w:t>
      </w:r>
      <w:r>
        <w:rPr>
          <w:rFonts w:ascii="宋体" w:hAnsi="宋体" w:cs="仿宋"/>
          <w:i/>
          <w:szCs w:val="21"/>
          <w:u w:val="single" w:color="000000"/>
        </w:rPr>
        <w:t>（中型企业、小型企业、微型企业）</w:t>
      </w:r>
      <w:r>
        <w:rPr>
          <w:rFonts w:ascii="宋体" w:hAnsi="宋体" w:cs="仿宋"/>
          <w:szCs w:val="21"/>
        </w:rPr>
        <w:t>；</w:t>
      </w:r>
    </w:p>
    <w:p>
      <w:pPr>
        <w:tabs>
          <w:tab w:val="left" w:pos="1065"/>
          <w:tab w:val="left" w:pos="4262"/>
          <w:tab w:val="left" w:pos="6477"/>
        </w:tabs>
        <w:spacing w:before="20" w:line="360" w:lineRule="auto"/>
        <w:ind w:left="105" w:right="142" w:firstLine="420" w:firstLineChars="200"/>
        <w:rPr>
          <w:rFonts w:ascii="宋体" w:hAnsi="宋体" w:cs="仿宋"/>
          <w:szCs w:val="21"/>
        </w:rPr>
      </w:pPr>
      <w:r>
        <w:rPr>
          <w:rFonts w:hint="eastAsia" w:ascii="宋体" w:hAnsi="宋体" w:cs="仿宋"/>
          <w:szCs w:val="21"/>
        </w:rPr>
        <w:t>3</w:t>
      </w:r>
      <w:r>
        <w:rPr>
          <w:rFonts w:ascii="宋体" w:hAnsi="宋体" w:cs="仿宋"/>
          <w:szCs w:val="21"/>
        </w:rPr>
        <w:t xml:space="preserve">. </w:t>
      </w:r>
      <w:r>
        <w:rPr>
          <w:rFonts w:ascii="宋体" w:hAnsi="宋体" w:cs="仿宋"/>
          <w:i/>
          <w:szCs w:val="21"/>
          <w:u w:val="single" w:color="000000"/>
        </w:rPr>
        <w:t xml:space="preserve">（标的名称） </w:t>
      </w:r>
      <w:r>
        <w:rPr>
          <w:rFonts w:ascii="宋体" w:hAnsi="宋体" w:cs="仿宋"/>
          <w:szCs w:val="21"/>
        </w:rPr>
        <w:t>，属于</w:t>
      </w:r>
      <w:r>
        <w:rPr>
          <w:rFonts w:ascii="宋体" w:hAnsi="宋体" w:cs="仿宋"/>
          <w:i/>
          <w:szCs w:val="21"/>
          <w:u w:val="single" w:color="000000"/>
        </w:rPr>
        <w:t>（采购文件中明确的所属行业）行业</w:t>
      </w:r>
      <w:r>
        <w:rPr>
          <w:rFonts w:ascii="宋体" w:hAnsi="宋体" w:cs="仿宋"/>
          <w:szCs w:val="21"/>
        </w:rPr>
        <w:t>；制造商为</w:t>
      </w:r>
      <w:r>
        <w:rPr>
          <w:rFonts w:ascii="宋体" w:hAnsi="宋体" w:cs="仿宋"/>
          <w:i/>
          <w:szCs w:val="21"/>
          <w:u w:val="single" w:color="000000"/>
        </w:rPr>
        <w:t>（企业名称）</w:t>
      </w:r>
      <w:r>
        <w:rPr>
          <w:rFonts w:ascii="宋体" w:hAnsi="宋体" w:cs="仿宋"/>
          <w:szCs w:val="21"/>
        </w:rPr>
        <w:t>，从业人员</w:t>
      </w:r>
      <w:r>
        <w:rPr>
          <w:rFonts w:ascii="宋体" w:hAnsi="宋体"/>
          <w:szCs w:val="21"/>
          <w:u w:val="single" w:color="000000"/>
        </w:rPr>
        <w:tab/>
      </w:r>
      <w:r>
        <w:rPr>
          <w:rFonts w:ascii="宋体" w:hAnsi="宋体" w:cs="仿宋"/>
          <w:szCs w:val="21"/>
        </w:rPr>
        <w:t>人，营业收入为</w:t>
      </w:r>
      <w:r>
        <w:rPr>
          <w:rFonts w:ascii="宋体" w:hAnsi="宋体"/>
          <w:szCs w:val="21"/>
          <w:u w:val="single" w:color="000000"/>
        </w:rPr>
        <w:tab/>
      </w:r>
      <w:r>
        <w:rPr>
          <w:rFonts w:ascii="宋体" w:hAnsi="宋体" w:cs="仿宋"/>
          <w:szCs w:val="21"/>
        </w:rPr>
        <w:t>万元，资产总额为</w:t>
      </w:r>
      <w:r>
        <w:rPr>
          <w:rFonts w:ascii="宋体" w:hAnsi="宋体"/>
          <w:szCs w:val="21"/>
          <w:u w:val="single" w:color="000000"/>
        </w:rPr>
        <w:tab/>
      </w:r>
      <w:r>
        <w:rPr>
          <w:rFonts w:ascii="宋体" w:hAnsi="宋体" w:cs="仿宋"/>
          <w:szCs w:val="21"/>
        </w:rPr>
        <w:t>万元，属于</w:t>
      </w:r>
      <w:r>
        <w:rPr>
          <w:rFonts w:ascii="宋体" w:hAnsi="宋体" w:cs="仿宋"/>
          <w:i/>
          <w:szCs w:val="21"/>
          <w:u w:val="single" w:color="000000"/>
        </w:rPr>
        <w:t>（中型企业、小型企业、微型企业）</w:t>
      </w:r>
      <w:r>
        <w:rPr>
          <w:rFonts w:ascii="宋体" w:hAnsi="宋体" w:cs="仿宋"/>
          <w:szCs w:val="21"/>
        </w:rPr>
        <w:t>；</w:t>
      </w:r>
    </w:p>
    <w:p>
      <w:pPr>
        <w:pStyle w:val="17"/>
        <w:spacing w:line="360" w:lineRule="auto"/>
        <w:ind w:right="142" w:firstLine="640"/>
        <w:rPr>
          <w:rFonts w:ascii="宋体" w:hAnsi="宋体"/>
          <w:szCs w:val="21"/>
        </w:rPr>
      </w:pPr>
      <w:r>
        <w:rPr>
          <w:rFonts w:ascii="宋体" w:hAnsi="宋体"/>
          <w:szCs w:val="21"/>
        </w:rPr>
        <w:t>…… 以上企业，不属于大企业的分支机构，不存在控股股东为大企业的情形，也不存在与大企业的负责人为同一人的情形。</w:t>
      </w:r>
    </w:p>
    <w:p>
      <w:pPr>
        <w:pStyle w:val="17"/>
        <w:spacing w:before="25" w:line="360" w:lineRule="auto"/>
        <w:ind w:right="142" w:firstLine="645"/>
        <w:rPr>
          <w:rFonts w:ascii="宋体" w:hAnsi="宋体"/>
          <w:szCs w:val="21"/>
        </w:rPr>
      </w:pPr>
      <w:r>
        <w:rPr>
          <w:rFonts w:ascii="宋体" w:hAnsi="宋体"/>
          <w:szCs w:val="21"/>
        </w:rPr>
        <w:t>本企业对上述声明内容的真实性负责。如有虚假，将依法承担相应责任。</w:t>
      </w:r>
    </w:p>
    <w:p>
      <w:pPr>
        <w:pStyle w:val="17"/>
        <w:spacing w:before="56" w:line="360" w:lineRule="auto"/>
        <w:ind w:left="3960" w:right="1808"/>
        <w:rPr>
          <w:rFonts w:ascii="宋体" w:hAnsi="宋体"/>
          <w:szCs w:val="21"/>
        </w:rPr>
      </w:pPr>
      <w:r>
        <w:rPr>
          <w:rFonts w:ascii="宋体" w:hAnsi="宋体"/>
          <w:szCs w:val="21"/>
        </w:rPr>
        <w:t xml:space="preserve">企业名称（盖章）： </w:t>
      </w:r>
    </w:p>
    <w:p>
      <w:pPr>
        <w:pStyle w:val="17"/>
        <w:spacing w:before="56" w:line="360" w:lineRule="auto"/>
        <w:ind w:left="3960" w:right="1808"/>
        <w:rPr>
          <w:rFonts w:ascii="宋体" w:hAnsi="宋体"/>
          <w:szCs w:val="21"/>
        </w:rPr>
      </w:pPr>
      <w:r>
        <w:rPr>
          <w:rFonts w:ascii="宋体" w:hAnsi="宋体"/>
          <w:szCs w:val="21"/>
        </w:rPr>
        <w:t>日 期：</w:t>
      </w:r>
    </w:p>
    <w:p>
      <w:pPr>
        <w:widowControl/>
        <w:spacing w:before="100" w:beforeAutospacing="1" w:after="100" w:afterAutospacing="1" w:line="360" w:lineRule="auto"/>
        <w:ind w:firstLine="3120" w:firstLineChars="1300"/>
        <w:jc w:val="left"/>
        <w:rPr>
          <w:rFonts w:ascii="宋体" w:hAnsi="宋体"/>
          <w:b/>
          <w:kern w:val="0"/>
          <w:sz w:val="24"/>
        </w:rPr>
      </w:pPr>
      <w:r>
        <w:rPr>
          <w:rFonts w:hint="eastAsia" w:ascii="宋体" w:hAnsi="宋体" w:cs="宋体"/>
          <w:kern w:val="0"/>
          <w:sz w:val="24"/>
        </w:rPr>
        <w:t xml:space="preserve">      </w:t>
      </w:r>
      <w:r>
        <w:rPr>
          <w:rFonts w:ascii="宋体" w:hAnsi="宋体"/>
          <w:b/>
          <w:kern w:val="0"/>
          <w:sz w:val="24"/>
        </w:rPr>
        <w:t>　</w:t>
      </w:r>
    </w:p>
    <w:p>
      <w:pPr>
        <w:adjustRightInd w:val="0"/>
        <w:snapToGrid w:val="0"/>
        <w:spacing w:line="360" w:lineRule="auto"/>
        <w:ind w:right="24"/>
        <w:rPr>
          <w:rFonts w:ascii="宋体" w:hAnsi="宋体"/>
          <w:szCs w:val="21"/>
        </w:rPr>
      </w:pPr>
      <w:r>
        <w:rPr>
          <w:rFonts w:hint="eastAsia" w:ascii="宋体" w:hAnsi="宋体"/>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ascii="宋体" w:hAnsi="宋体"/>
          <w:b/>
          <w:szCs w:val="21"/>
        </w:rPr>
      </w:pPr>
      <w:r>
        <w:rPr>
          <w:rFonts w:hint="eastAsia" w:ascii="宋体" w:hAnsi="宋体"/>
          <w:b/>
          <w:szCs w:val="21"/>
        </w:rPr>
        <w:t>2、如未按上述要求提供、填写，评审时造成的资格审查不通过或价格评审时的价格扣除不予认定等后果，由供应商自行承担。</w:t>
      </w:r>
      <w:r>
        <w:rPr>
          <w:rFonts w:hint="eastAsia" w:ascii="宋体" w:hAnsi="宋体" w:cs="宋体"/>
          <w:kern w:val="0"/>
          <w:sz w:val="24"/>
        </w:rPr>
        <w:t xml:space="preserve"> </w:t>
      </w:r>
      <w:r>
        <w:rPr>
          <w:rFonts w:ascii="宋体" w:hAnsi="宋体"/>
          <w:b/>
          <w:kern w:val="0"/>
          <w:sz w:val="24"/>
          <w:szCs w:val="20"/>
        </w:rPr>
        <w:t>　</w:t>
      </w:r>
    </w:p>
    <w:p>
      <w:pPr>
        <w:adjustRightInd w:val="0"/>
        <w:snapToGrid w:val="0"/>
        <w:spacing w:line="360" w:lineRule="auto"/>
        <w:ind w:right="24" w:firstLine="422" w:firstLineChars="200"/>
        <w:rPr>
          <w:rFonts w:ascii="宋体" w:hAnsi="宋体"/>
          <w:b/>
          <w:szCs w:val="21"/>
        </w:rPr>
      </w:pPr>
    </w:p>
    <w:p>
      <w:pPr>
        <w:adjustRightInd w:val="0"/>
        <w:snapToGrid w:val="0"/>
        <w:spacing w:line="360" w:lineRule="auto"/>
        <w:ind w:right="24" w:firstLine="420" w:firstLineChars="200"/>
        <w:rPr>
          <w:rFonts w:ascii="宋体" w:hAnsi="宋体"/>
          <w:szCs w:val="21"/>
        </w:rPr>
      </w:pPr>
    </w:p>
    <w:p>
      <w:pPr>
        <w:adjustRightInd w:val="0"/>
        <w:snapToGrid w:val="0"/>
        <w:spacing w:line="360" w:lineRule="auto"/>
        <w:ind w:right="24"/>
        <w:rPr>
          <w:rFonts w:ascii="宋体" w:hAnsi="宋体"/>
          <w:bCs/>
          <w:sz w:val="24"/>
        </w:rPr>
      </w:pPr>
      <w:r>
        <w:rPr>
          <w:rFonts w:ascii="宋体" w:hAnsi="宋体"/>
          <w:b/>
        </w:rPr>
        <w:br w:type="page"/>
      </w:r>
      <w:r>
        <w:rPr>
          <w:rFonts w:hint="eastAsia" w:ascii="宋体" w:hAnsi="宋体"/>
          <w:bCs/>
          <w:sz w:val="24"/>
        </w:rPr>
        <w:t>附件7-2</w:t>
      </w:r>
    </w:p>
    <w:p>
      <w:pPr>
        <w:spacing w:line="440" w:lineRule="exact"/>
        <w:ind w:firstLine="420"/>
        <w:jc w:val="center"/>
        <w:rPr>
          <w:rFonts w:ascii="宋体" w:hAnsi="宋体"/>
          <w:b/>
        </w:rPr>
      </w:pPr>
    </w:p>
    <w:p>
      <w:pPr>
        <w:pStyle w:val="3"/>
        <w:jc w:val="center"/>
        <w:rPr>
          <w:rFonts w:ascii="宋体" w:hAnsi="宋体"/>
        </w:rPr>
      </w:pPr>
      <w:r>
        <w:rPr>
          <w:rFonts w:hint="eastAsia" w:ascii="宋体" w:hAnsi="宋体"/>
        </w:rPr>
        <w:t>监狱企业</w:t>
      </w:r>
      <w:r>
        <w:rPr>
          <w:rFonts w:ascii="宋体" w:hAnsi="宋体"/>
        </w:rPr>
        <w:t>声明函</w:t>
      </w:r>
    </w:p>
    <w:p>
      <w:pPr>
        <w:widowControl/>
        <w:spacing w:before="100" w:beforeAutospacing="1" w:after="100" w:afterAutospacing="1" w:line="360" w:lineRule="auto"/>
        <w:ind w:firstLine="482" w:firstLineChars="200"/>
        <w:jc w:val="center"/>
        <w:rPr>
          <w:rFonts w:ascii="宋体" w:hAnsi="宋体"/>
          <w:b/>
          <w:sz w:val="24"/>
        </w:rPr>
      </w:pP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）郑重声明下</w:t>
      </w:r>
      <w:r>
        <w:rPr>
          <w:rFonts w:hint="eastAsia" w:ascii="宋体" w:hAnsi="宋体" w:cs="宋体"/>
          <w:kern w:val="0"/>
          <w:szCs w:val="21"/>
        </w:rPr>
        <w:t>列事项（按照</w:t>
      </w:r>
      <w:r>
        <w:rPr>
          <w:rFonts w:ascii="宋体" w:hAnsi="宋体" w:cs="宋体"/>
          <w:kern w:val="0"/>
          <w:szCs w:val="21"/>
        </w:rPr>
        <w:t>实际情况勾选或</w:t>
      </w:r>
      <w:r>
        <w:rPr>
          <w:rFonts w:hint="eastAsia" w:ascii="宋体" w:hAnsi="宋体" w:cs="宋体"/>
          <w:kern w:val="0"/>
          <w:szCs w:val="21"/>
        </w:rPr>
        <w:t>填空）：</w:t>
      </w: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企业（单位）为直接供应商，</w:t>
      </w:r>
      <w:r>
        <w:rPr>
          <w:rFonts w:ascii="宋体" w:hAnsi="宋体" w:cs="宋体"/>
          <w:kern w:val="0"/>
          <w:szCs w:val="21"/>
        </w:rPr>
        <w:t>提供本企业</w:t>
      </w:r>
      <w:r>
        <w:rPr>
          <w:rFonts w:hint="eastAsia" w:ascii="宋体" w:hAnsi="宋体" w:cs="宋体"/>
          <w:kern w:val="0"/>
          <w:szCs w:val="21"/>
        </w:rPr>
        <w:t>（单位）服务。</w:t>
      </w:r>
    </w:p>
    <w:p>
      <w:pPr>
        <w:widowControl/>
        <w:spacing w:before="100" w:beforeAutospacing="1" w:after="100" w:afterAutospacing="1" w:line="360" w:lineRule="auto"/>
        <w:ind w:firstLine="315" w:firstLineChars="15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）监狱企业。</w:t>
      </w:r>
      <w:r>
        <w:rPr>
          <w:rFonts w:hint="eastAsia" w:ascii="宋体" w:hAnsi="宋体" w:cs="宋体"/>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w:t>
      </w:r>
      <w:r>
        <w:rPr>
          <w:rFonts w:hint="eastAsia" w:ascii="宋体" w:hAnsi="宋体" w:cs="宋体"/>
          <w:kern w:val="0"/>
          <w:szCs w:val="21"/>
        </w:rPr>
        <w:t>为联合体一方，</w:t>
      </w:r>
      <w:r>
        <w:rPr>
          <w:rFonts w:ascii="宋体" w:hAnsi="宋体" w:cs="宋体"/>
          <w:kern w:val="0"/>
          <w:szCs w:val="21"/>
        </w:rPr>
        <w:t>提供本企业</w:t>
      </w:r>
      <w:r>
        <w:rPr>
          <w:rFonts w:hint="eastAsia" w:ascii="宋体" w:hAnsi="宋体" w:cs="宋体"/>
          <w:kern w:val="0"/>
          <w:szCs w:val="21"/>
        </w:rPr>
        <w:t>（单位）的</w:t>
      </w:r>
      <w:r>
        <w:rPr>
          <w:rFonts w:ascii="宋体" w:hAnsi="宋体" w:cs="宋体"/>
          <w:kern w:val="0"/>
          <w:szCs w:val="21"/>
        </w:rPr>
        <w:t>服务</w:t>
      </w:r>
      <w:r>
        <w:rPr>
          <w:rFonts w:hint="eastAsia" w:ascii="宋体" w:hAnsi="宋体" w:cs="宋体"/>
          <w:kern w:val="0"/>
          <w:szCs w:val="21"/>
        </w:rPr>
        <w:t>。本企业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w:t>
      </w:r>
      <w:r>
        <w:rPr>
          <w:rFonts w:hint="eastAsia" w:ascii="宋体" w:hAnsi="宋体" w:cs="宋体"/>
          <w:kern w:val="0"/>
          <w:szCs w:val="21"/>
        </w:rPr>
        <w:t>提供</w:t>
      </w:r>
      <w:r>
        <w:rPr>
          <w:rFonts w:ascii="宋体" w:hAnsi="宋体" w:cs="宋体"/>
          <w:kern w:val="0"/>
          <w:szCs w:val="21"/>
        </w:rPr>
        <w:t>协议合同金额占到</w:t>
      </w:r>
      <w:r>
        <w:rPr>
          <w:rFonts w:hint="eastAsia" w:ascii="宋体" w:hAnsi="宋体" w:cs="宋体"/>
          <w:kern w:val="0"/>
          <w:szCs w:val="21"/>
        </w:rPr>
        <w:t>共同投标</w:t>
      </w:r>
      <w:r>
        <w:rPr>
          <w:rFonts w:ascii="宋体" w:hAnsi="宋体" w:cs="宋体"/>
          <w:kern w:val="0"/>
          <w:szCs w:val="21"/>
        </w:rPr>
        <w:t>协议合同总金额</w:t>
      </w:r>
      <w:r>
        <w:rPr>
          <w:rFonts w:hint="eastAsia" w:ascii="宋体" w:hAnsi="宋体" w:cs="宋体"/>
          <w:kern w:val="0"/>
          <w:szCs w:val="21"/>
        </w:rPr>
        <w:t>的比例为</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before="100" w:beforeAutospacing="1" w:after="100" w:afterAutospacing="1" w:line="360" w:lineRule="auto"/>
        <w:ind w:firstLine="408"/>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）对上述声明的真实性负责。如有虚假，将依法承担相应责任。</w:t>
      </w:r>
    </w:p>
    <w:p>
      <w:pPr>
        <w:widowControl/>
        <w:spacing w:before="100" w:beforeAutospacing="1" w:after="100" w:afterAutospacing="1" w:line="360" w:lineRule="auto"/>
        <w:ind w:firstLine="408"/>
        <w:jc w:val="left"/>
        <w:rPr>
          <w:rFonts w:ascii="宋体" w:hAnsi="宋体" w:cs="宋体"/>
          <w:kern w:val="0"/>
          <w:szCs w:val="21"/>
        </w:rPr>
      </w:pPr>
    </w:p>
    <w:p>
      <w:pPr>
        <w:widowControl/>
        <w:spacing w:before="100" w:beforeAutospacing="1" w:after="100" w:afterAutospacing="1" w:line="360" w:lineRule="auto"/>
        <w:ind w:firstLine="3465" w:firstLineChars="1650"/>
        <w:jc w:val="left"/>
        <w:rPr>
          <w:rFonts w:ascii="宋体" w:hAnsi="宋体" w:cs="宋体"/>
          <w:kern w:val="0"/>
          <w:szCs w:val="21"/>
        </w:rPr>
      </w:pPr>
      <w:r>
        <w:rPr>
          <w:rFonts w:hint="eastAsia" w:ascii="宋体" w:hAnsi="宋体" w:cs="宋体"/>
          <w:kern w:val="0"/>
          <w:szCs w:val="21"/>
        </w:rPr>
        <w:t>供应商</w:t>
      </w:r>
      <w:r>
        <w:rPr>
          <w:rFonts w:ascii="宋体" w:hAnsi="宋体" w:cs="宋体"/>
          <w:kern w:val="0"/>
          <w:szCs w:val="21"/>
        </w:rPr>
        <w:t>名称（盖公章）：</w:t>
      </w:r>
      <w:r>
        <w:rPr>
          <w:rFonts w:ascii="宋体" w:hAnsi="宋体" w:cs="宋体"/>
          <w:kern w:val="0"/>
          <w:szCs w:val="21"/>
          <w:u w:val="single"/>
        </w:rPr>
        <w:t xml:space="preserve">             </w:t>
      </w:r>
    </w:p>
    <w:p>
      <w:pPr>
        <w:widowControl/>
        <w:spacing w:before="100" w:beforeAutospacing="1" w:after="100" w:afterAutospacing="1" w:line="360" w:lineRule="auto"/>
        <w:ind w:right="210" w:firstLine="3465" w:firstLineChars="1650"/>
        <w:jc w:val="left"/>
        <w:rPr>
          <w:rFonts w:ascii="宋体" w:hAnsi="宋体" w:cs="宋体"/>
          <w:kern w:val="0"/>
          <w:szCs w:val="21"/>
        </w:rPr>
      </w:pPr>
      <w:r>
        <w:rPr>
          <w:rFonts w:ascii="宋体" w:hAnsi="宋体" w:cs="宋体"/>
          <w:kern w:val="0"/>
          <w:szCs w:val="21"/>
        </w:rPr>
        <w:t>日　期：</w:t>
      </w:r>
      <w:r>
        <w:rPr>
          <w:rFonts w:hint="eastAsia" w:ascii="宋体" w:hAnsi="宋体" w:cs="宋体"/>
          <w:kern w:val="0"/>
          <w:szCs w:val="21"/>
          <w:u w:val="single"/>
        </w:rPr>
        <w:t xml:space="preserve">             </w:t>
      </w:r>
    </w:p>
    <w:p>
      <w:pPr>
        <w:pStyle w:val="3"/>
        <w:rPr>
          <w:rFonts w:ascii="宋体" w:hAnsi="宋体" w:cs="宋体"/>
          <w:b w:val="0"/>
          <w:kern w:val="0"/>
          <w:szCs w:val="21"/>
        </w:rPr>
      </w:pPr>
      <w:r>
        <w:rPr>
          <w:rFonts w:ascii="宋体" w:hAnsi="宋体" w:cs="宋体"/>
          <w:kern w:val="0"/>
          <w:szCs w:val="21"/>
        </w:rPr>
        <w:br w:type="page"/>
      </w:r>
      <w:r>
        <w:rPr>
          <w:rFonts w:hint="eastAsia" w:ascii="宋体" w:hAnsi="宋体"/>
          <w:b w:val="0"/>
          <w:bCs w:val="0"/>
        </w:rPr>
        <w:t>附件7-3</w:t>
      </w:r>
    </w:p>
    <w:p>
      <w:pPr>
        <w:pStyle w:val="3"/>
        <w:jc w:val="center"/>
        <w:rPr>
          <w:rFonts w:ascii="宋体" w:hAnsi="宋体"/>
        </w:rPr>
      </w:pPr>
      <w:r>
        <w:rPr>
          <w:rFonts w:hint="eastAsia" w:ascii="宋体" w:hAnsi="宋体"/>
        </w:rPr>
        <w:t>残疾人福利性单位声明函</w:t>
      </w:r>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Cs w:val="21"/>
        </w:rPr>
      </w:pPr>
      <w:r>
        <w:rPr>
          <w:rFonts w:hint="eastAsia" w:ascii="宋体" w:hAnsi="宋体"/>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Cs w:val="21"/>
        </w:rPr>
        <w:t>（由本单位承担工程/提供服务）</w:t>
      </w:r>
      <w:r>
        <w:rPr>
          <w:rFonts w:hint="eastAsia" w:ascii="宋体" w:hAnsi="宋体"/>
          <w:kern w:val="0"/>
          <w:szCs w:val="21"/>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rPr>
      </w:pPr>
      <w:r>
        <w:rPr>
          <w:rFonts w:hint="eastAsia" w:ascii="宋体" w:hAnsi="宋体"/>
          <w:kern w:val="0"/>
          <w:szCs w:val="21"/>
        </w:rPr>
        <w:t>本单位对上述声明的真实性负责。如有虚假，将依法承担相应责任。</w:t>
      </w:r>
    </w:p>
    <w:p>
      <w:pPr>
        <w:spacing w:line="360" w:lineRule="auto"/>
        <w:ind w:left="1080" w:leftChars="257" w:hanging="540"/>
        <w:jc w:val="center"/>
        <w:rPr>
          <w:rFonts w:ascii="宋体" w:hAnsi="宋体"/>
          <w:kern w:val="0"/>
          <w:szCs w:val="21"/>
        </w:rPr>
      </w:pPr>
    </w:p>
    <w:p>
      <w:pPr>
        <w:spacing w:line="360" w:lineRule="auto"/>
        <w:ind w:left="1080" w:leftChars="257" w:hanging="540"/>
        <w:jc w:val="center"/>
        <w:rPr>
          <w:rFonts w:ascii="宋体" w:hAnsi="宋体"/>
          <w:kern w:val="0"/>
          <w:szCs w:val="21"/>
        </w:rPr>
      </w:pPr>
    </w:p>
    <w:p>
      <w:pPr>
        <w:spacing w:line="360" w:lineRule="auto"/>
        <w:ind w:left="1080" w:leftChars="257" w:hanging="540"/>
        <w:jc w:val="center"/>
        <w:rPr>
          <w:rFonts w:ascii="宋体" w:hAnsi="宋体"/>
          <w:kern w:val="0"/>
          <w:szCs w:val="21"/>
          <w:u w:val="single"/>
        </w:rPr>
      </w:pPr>
      <w:r>
        <w:rPr>
          <w:rFonts w:hint="eastAsia" w:ascii="宋体" w:hAnsi="宋体"/>
          <w:kern w:val="0"/>
          <w:szCs w:val="21"/>
        </w:rPr>
        <w:t xml:space="preserve">              残疾人</w:t>
      </w:r>
      <w:r>
        <w:rPr>
          <w:rFonts w:ascii="宋体" w:hAnsi="宋体"/>
          <w:kern w:val="0"/>
          <w:szCs w:val="21"/>
        </w:rPr>
        <w:t>福利性单位</w:t>
      </w:r>
      <w:r>
        <w:rPr>
          <w:rFonts w:hint="eastAsia" w:ascii="宋体" w:hAnsi="宋体"/>
          <w:kern w:val="0"/>
          <w:szCs w:val="21"/>
        </w:rPr>
        <w:t>名称（盖公章）：</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left="1080" w:leftChars="257" w:hanging="540"/>
        <w:jc w:val="center"/>
        <w:rPr>
          <w:rFonts w:ascii="宋体" w:hAnsi="宋体"/>
          <w:kern w:val="0"/>
          <w:szCs w:val="21"/>
        </w:rPr>
      </w:pPr>
      <w:r>
        <w:rPr>
          <w:rFonts w:hint="eastAsia" w:ascii="宋体" w:hAnsi="宋体"/>
          <w:kern w:val="0"/>
          <w:szCs w:val="21"/>
        </w:rPr>
        <w:t xml:space="preserve">       </w:t>
      </w:r>
      <w:r>
        <w:rPr>
          <w:rFonts w:ascii="宋体" w:hAnsi="宋体"/>
          <w:kern w:val="0"/>
          <w:szCs w:val="21"/>
        </w:rPr>
        <w:t xml:space="preserve">  </w:t>
      </w:r>
    </w:p>
    <w:p>
      <w:pPr>
        <w:spacing w:line="360" w:lineRule="auto"/>
        <w:ind w:left="645" w:leftChars="307" w:firstLine="2730" w:firstLineChars="1300"/>
        <w:rPr>
          <w:rFonts w:ascii="宋体" w:hAnsi="宋体"/>
          <w:kern w:val="0"/>
          <w:szCs w:val="21"/>
          <w:u w:val="single"/>
        </w:rPr>
      </w:pPr>
      <w:r>
        <w:rPr>
          <w:rFonts w:hint="eastAsia" w:ascii="宋体" w:hAnsi="宋体"/>
          <w:kern w:val="0"/>
          <w:szCs w:val="21"/>
        </w:rPr>
        <w:t>日  期：</w:t>
      </w:r>
      <w:r>
        <w:rPr>
          <w:rFonts w:ascii="宋体" w:hAnsi="宋体"/>
          <w:kern w:val="0"/>
          <w:szCs w:val="21"/>
          <w:u w:val="single"/>
        </w:rPr>
        <w:t xml:space="preserve">                             </w:t>
      </w:r>
    </w:p>
    <w:p>
      <w:pPr>
        <w:widowControl/>
        <w:spacing w:before="100" w:beforeAutospacing="1" w:after="100" w:afterAutospacing="1" w:line="360" w:lineRule="auto"/>
        <w:jc w:val="left"/>
        <w:rPr>
          <w:rFonts w:ascii="宋体" w:hAnsi="宋体" w:cs="宋体"/>
          <w:kern w:val="0"/>
          <w:szCs w:val="21"/>
        </w:rPr>
      </w:pPr>
    </w:p>
    <w:p>
      <w:pPr>
        <w:widowControl/>
        <w:spacing w:before="100" w:beforeAutospacing="1" w:after="100" w:afterAutospacing="1" w:line="360" w:lineRule="auto"/>
        <w:jc w:val="left"/>
        <w:rPr>
          <w:rFonts w:ascii="宋体" w:hAnsi="宋体" w:cs="宋体"/>
          <w:kern w:val="0"/>
          <w:szCs w:val="21"/>
        </w:rPr>
      </w:pPr>
    </w:p>
    <w:p>
      <w:pPr>
        <w:widowControl/>
        <w:spacing w:before="100" w:beforeAutospacing="1" w:after="100" w:afterAutospacing="1" w:line="360" w:lineRule="auto"/>
        <w:jc w:val="left"/>
        <w:rPr>
          <w:rFonts w:ascii="宋体" w:hAnsi="宋体" w:cs="宋体"/>
          <w:kern w:val="0"/>
          <w:szCs w:val="21"/>
        </w:rPr>
      </w:pPr>
    </w:p>
    <w:p>
      <w:pPr>
        <w:spacing w:line="360" w:lineRule="auto"/>
        <w:ind w:left="1080" w:leftChars="257" w:hanging="540"/>
        <w:jc w:val="center"/>
        <w:rPr>
          <w:rFonts w:ascii="宋体" w:hAnsi="宋体"/>
          <w:b/>
          <w:kern w:val="0"/>
          <w:szCs w:val="21"/>
        </w:rPr>
      </w:pPr>
      <w:r>
        <w:rPr>
          <w:rFonts w:ascii="宋体" w:hAnsi="宋体"/>
          <w:b/>
          <w:kern w:val="0"/>
          <w:szCs w:val="21"/>
        </w:rPr>
        <w:t>　</w:t>
      </w:r>
    </w:p>
    <w:p>
      <w:pPr>
        <w:spacing w:line="360" w:lineRule="auto"/>
        <w:rPr>
          <w:rFonts w:ascii="宋体" w:hAnsi="宋体" w:cs="宋体"/>
          <w:kern w:val="0"/>
          <w:szCs w:val="21"/>
          <w:u w:val="single"/>
        </w:rPr>
      </w:pPr>
    </w:p>
    <w:p>
      <w:pPr>
        <w:pStyle w:val="3"/>
        <w:jc w:val="center"/>
        <w:rPr>
          <w:rFonts w:ascii="宋体" w:hAnsi="宋体"/>
          <w:sz w:val="28"/>
          <w:szCs w:val="28"/>
        </w:rPr>
      </w:pPr>
      <w:r>
        <w:rPr>
          <w:rFonts w:ascii="宋体" w:hAnsi="宋体"/>
          <w:sz w:val="28"/>
          <w:szCs w:val="28"/>
        </w:rPr>
        <w:br w:type="page"/>
      </w:r>
      <w:r>
        <w:rPr>
          <w:rFonts w:hint="eastAsia" w:ascii="宋体" w:hAnsi="宋体"/>
          <w:sz w:val="28"/>
          <w:szCs w:val="28"/>
        </w:rPr>
        <w:t>五、供应商的资格证明材料</w:t>
      </w:r>
      <w:bookmarkEnd w:id="88"/>
      <w:bookmarkEnd w:id="89"/>
    </w:p>
    <w:p/>
    <w:p>
      <w:pPr>
        <w:adjustRightInd w:val="0"/>
        <w:snapToGrid w:val="0"/>
        <w:spacing w:line="360" w:lineRule="auto"/>
        <w:jc w:val="left"/>
        <w:rPr>
          <w:rFonts w:ascii="宋体" w:hAnsi="宋体"/>
          <w:szCs w:val="21"/>
        </w:rPr>
      </w:pPr>
      <w:r>
        <w:rPr>
          <w:rFonts w:hint="eastAsia" w:ascii="宋体" w:hAnsi="宋体"/>
          <w:szCs w:val="21"/>
        </w:rPr>
        <w:t>（一）法人或者其他组织的营业执照等证明文件，自然人的身份证明；</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供应商是事业单位的，应提供其有效的“事业单位法人证书”复印件；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供应商是非企业专业服务机构的，应提供其有效的执业许可证复印件；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供应商是个体工商户的，应提供其有效的“个体工商户营业执照”复印件；</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供应商是自然人的，应提供其有效的自然人身份证明；</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（二）</w:t>
      </w:r>
      <w:r>
        <w:rPr>
          <w:rFonts w:hint="eastAsia" w:ascii="宋体" w:hAnsi="宋体"/>
          <w:bCs/>
          <w:szCs w:val="21"/>
        </w:rPr>
        <w:t>财务状况报告；</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供应商是法人的，应提供本单位或202</w:t>
      </w:r>
      <w:r>
        <w:rPr>
          <w:rFonts w:ascii="宋体" w:hAnsi="宋体"/>
          <w:szCs w:val="21"/>
        </w:rPr>
        <w:t>2</w:t>
      </w:r>
      <w:r>
        <w:rPr>
          <w:rFonts w:hint="eastAsia" w:ascii="宋体" w:hAnsi="宋体"/>
          <w:szCs w:val="21"/>
        </w:rPr>
        <w:t>年度经会计师事务所出具的审计报告复印件（报告中须包括资产负债表、利润表、现金流量表及财务报表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adjustRightInd w:val="0"/>
        <w:snapToGrid w:val="0"/>
        <w:spacing w:line="360" w:lineRule="auto"/>
        <w:ind w:firstLine="315" w:firstLineChars="150"/>
        <w:jc w:val="left"/>
        <w:rPr>
          <w:rFonts w:ascii="宋体" w:hAnsi="宋体"/>
          <w:szCs w:val="21"/>
        </w:rPr>
      </w:pPr>
      <w:r>
        <w:rPr>
          <w:rFonts w:hint="eastAsia" w:ascii="宋体" w:hAnsi="宋体"/>
          <w:szCs w:val="21"/>
        </w:rPr>
        <w:t>供应商是其他组织或自然人的，应提供银行出具的资信证明。</w:t>
      </w:r>
    </w:p>
    <w:p>
      <w:pPr>
        <w:adjustRightInd w:val="0"/>
        <w:snapToGrid w:val="0"/>
        <w:spacing w:line="360" w:lineRule="auto"/>
        <w:ind w:firstLine="315" w:firstLineChars="150"/>
        <w:jc w:val="left"/>
        <w:rPr>
          <w:rFonts w:ascii="宋体" w:hAnsi="宋体"/>
          <w:szCs w:val="21"/>
        </w:rPr>
      </w:pPr>
      <w:r>
        <w:rPr>
          <w:rFonts w:hint="eastAsia" w:ascii="宋体" w:hAnsi="宋体"/>
          <w:szCs w:val="21"/>
        </w:rPr>
        <w:t>银行资信证明应能说明该供应商与银行之间业务往来正常，无不良记录，企业信誉良好等。银行出具的存款证明不能作为银行资信证明。</w:t>
      </w:r>
    </w:p>
    <w:p>
      <w:pPr>
        <w:adjustRightInd w:val="0"/>
        <w:snapToGrid w:val="0"/>
        <w:spacing w:line="360" w:lineRule="auto"/>
        <w:ind w:firstLine="315" w:firstLineChars="150"/>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（三）依法缴纳税收和社会保障资金的良好记录：</w:t>
      </w:r>
    </w:p>
    <w:p>
      <w:pPr>
        <w:adjustRightInd w:val="0"/>
        <w:snapToGrid w:val="0"/>
        <w:spacing w:line="360" w:lineRule="auto"/>
        <w:ind w:firstLine="210" w:firstLineChars="100"/>
        <w:jc w:val="left"/>
        <w:rPr>
          <w:rFonts w:ascii="宋体" w:hAnsi="宋体"/>
          <w:szCs w:val="21"/>
        </w:rPr>
      </w:pPr>
      <w:r>
        <w:rPr>
          <w:rFonts w:hint="eastAsia" w:ascii="宋体" w:hAnsi="宋体"/>
          <w:szCs w:val="21"/>
        </w:rPr>
        <w:t>（1）供应商是法人的，缴纳税收的证明材料，应提供开标前半年内的纳税凭据复印件，指供应商缴纳增值税、营业税和企业所得税任意一种的缴纳凭据；</w:t>
      </w:r>
    </w:p>
    <w:p>
      <w:pPr>
        <w:adjustRightInd w:val="0"/>
        <w:snapToGrid w:val="0"/>
        <w:spacing w:line="360" w:lineRule="auto"/>
        <w:jc w:val="left"/>
        <w:rPr>
          <w:rFonts w:ascii="宋体" w:hAnsi="宋体"/>
          <w:szCs w:val="21"/>
        </w:rPr>
      </w:pPr>
      <w:r>
        <w:rPr>
          <w:rFonts w:hint="eastAsia" w:ascii="宋体" w:hAnsi="宋体"/>
          <w:szCs w:val="21"/>
        </w:rPr>
        <w:t xml:space="preserve">  （2）供应商是法人的，缴纳社会保障资金的证明材料，应提供开标前半年内的缴纳社会保险的凭据（专用收据或社会保险缴纳清单）；</w:t>
      </w:r>
    </w:p>
    <w:p>
      <w:pPr>
        <w:adjustRightInd w:val="0"/>
        <w:snapToGrid w:val="0"/>
        <w:spacing w:line="360" w:lineRule="auto"/>
        <w:ind w:firstLine="420" w:firstLineChars="200"/>
        <w:jc w:val="left"/>
        <w:rPr>
          <w:rFonts w:ascii="宋体" w:hAnsi="宋体"/>
          <w:szCs w:val="21"/>
        </w:rPr>
      </w:pPr>
      <w:r>
        <w:rPr>
          <w:rFonts w:hint="eastAsia" w:ascii="宋体" w:hAnsi="宋体"/>
          <w:szCs w:val="21"/>
        </w:rPr>
        <w:t>供应商是其他组织和自然人的，需要提供开标前半年内的缴纳税收和社会保险的凭据（专用收据或社会保险缴纳清单）。</w:t>
      </w:r>
    </w:p>
    <w:p>
      <w:pPr>
        <w:adjustRightInd w:val="0"/>
        <w:snapToGrid w:val="0"/>
        <w:spacing w:line="360" w:lineRule="auto"/>
        <w:ind w:firstLine="420"/>
        <w:jc w:val="left"/>
        <w:rPr>
          <w:rFonts w:ascii="宋体" w:hAnsi="宋体"/>
          <w:szCs w:val="21"/>
        </w:rPr>
      </w:pPr>
      <w:r>
        <w:rPr>
          <w:rFonts w:hint="eastAsia" w:ascii="宋体" w:hAnsi="宋体"/>
          <w:szCs w:val="21"/>
        </w:rPr>
        <w:t>1）如供应商的社会保险为委托第三方代缴，还需同时提供供应商与第三方服务机构签署的服务合同（合同中应明确写明第三方为供应商代缴其社会保险）。</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 xml:space="preserve">（四）供应商须具有履行合同所必需的设备和专业技术能力，须附相关证明材料或声明： </w:t>
      </w:r>
    </w:p>
    <w:p>
      <w:pPr>
        <w:adjustRightInd w:val="0"/>
        <w:snapToGrid w:val="0"/>
        <w:spacing w:line="360" w:lineRule="auto"/>
        <w:jc w:val="left"/>
        <w:rPr>
          <w:rFonts w:ascii="宋体" w:hAnsi="宋体"/>
          <w:szCs w:val="21"/>
        </w:rPr>
      </w:pPr>
      <w:r>
        <w:rPr>
          <w:rFonts w:hint="eastAsia" w:ascii="宋体" w:hAnsi="宋体"/>
          <w:szCs w:val="21"/>
        </w:rPr>
        <w:t>见附件9</w:t>
      </w:r>
    </w:p>
    <w:p>
      <w:pPr>
        <w:adjustRightInd w:val="0"/>
        <w:snapToGrid w:val="0"/>
        <w:spacing w:line="360" w:lineRule="auto"/>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（五）近三年内在经营活动中没有重大违法记录的书面声明：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见附件10</w:t>
      </w:r>
    </w:p>
    <w:p>
      <w:pPr>
        <w:spacing w:line="360" w:lineRule="auto"/>
        <w:rPr>
          <w:rFonts w:ascii="宋体" w:hAnsi="宋体"/>
          <w:szCs w:val="21"/>
        </w:rPr>
      </w:pPr>
    </w:p>
    <w:p>
      <w:pPr>
        <w:spacing w:line="360" w:lineRule="auto"/>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注：1、以上复印件均需要加盖供应商行政原章。</w:t>
      </w:r>
    </w:p>
    <w:p>
      <w:pPr>
        <w:adjustRightInd w:val="0"/>
        <w:snapToGrid w:val="0"/>
        <w:spacing w:line="360" w:lineRule="auto"/>
        <w:ind w:firstLine="420" w:firstLineChars="200"/>
        <w:jc w:val="left"/>
        <w:rPr>
          <w:rFonts w:ascii="宋体" w:hAnsi="宋体"/>
          <w:szCs w:val="21"/>
        </w:rPr>
        <w:sectPr>
          <w:pgSz w:w="11906" w:h="16838"/>
          <w:pgMar w:top="1440" w:right="1797" w:bottom="1440" w:left="1797" w:header="851" w:footer="992" w:gutter="0"/>
          <w:cols w:space="720" w:num="1"/>
          <w:docGrid w:linePitch="312" w:charSpace="0"/>
        </w:sectPr>
      </w:pPr>
      <w:r>
        <w:rPr>
          <w:rFonts w:hint="eastAsia" w:ascii="宋体" w:hAnsi="宋体"/>
          <w:szCs w:val="21"/>
        </w:rPr>
        <w:t>2、依法免税或不需要缴纳社会保障资金的供应商，应提供相应文件证明其依法免税或不需要缴纳社会保障资金。</w:t>
      </w:r>
    </w:p>
    <w:p>
      <w:pPr>
        <w:adjustRightInd w:val="0"/>
        <w:snapToGrid w:val="0"/>
        <w:rPr>
          <w:rFonts w:ascii="宋体" w:hAnsi="宋体"/>
          <w:sz w:val="24"/>
        </w:rPr>
      </w:pPr>
      <w:r>
        <w:rPr>
          <w:rFonts w:hint="eastAsia" w:ascii="宋体" w:hAnsi="宋体"/>
          <w:sz w:val="24"/>
        </w:rPr>
        <w:t>附件8</w:t>
      </w:r>
    </w:p>
    <w:p>
      <w:pPr>
        <w:adjustRightInd w:val="0"/>
        <w:snapToGrid w:val="0"/>
        <w:spacing w:line="360" w:lineRule="auto"/>
        <w:jc w:val="center"/>
        <w:rPr>
          <w:rFonts w:ascii="宋体" w:hAnsi="宋体"/>
          <w:b/>
          <w:sz w:val="24"/>
        </w:rPr>
      </w:pPr>
      <w:r>
        <w:rPr>
          <w:rFonts w:hint="eastAsia" w:ascii="宋体" w:hAnsi="宋体"/>
          <w:b/>
          <w:sz w:val="24"/>
        </w:rPr>
        <w:t>供应商基本情况表</w:t>
      </w:r>
    </w:p>
    <w:p>
      <w:pPr>
        <w:adjustRightInd w:val="0"/>
        <w:snapToGrid w:val="0"/>
        <w:spacing w:line="360" w:lineRule="auto"/>
        <w:rPr>
          <w:rFonts w:ascii="宋体" w:hAnsi="宋体"/>
          <w:szCs w:val="21"/>
        </w:rPr>
      </w:pPr>
      <w:r>
        <w:rPr>
          <w:rFonts w:hint="eastAsia" w:ascii="宋体" w:hAnsi="宋体"/>
          <w:szCs w:val="21"/>
        </w:rPr>
        <w:t>盖供应商单位章</w:t>
      </w:r>
    </w:p>
    <w:tbl>
      <w:tblPr>
        <w:tblStyle w:val="44"/>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rPr>
              <w:t>供应商</w:t>
            </w:r>
            <w:r>
              <w:rPr>
                <w:rFonts w:ascii="宋体" w:hAnsi="宋体"/>
                <w:szCs w:val="21"/>
              </w:rPr>
              <w:t>名称</w:t>
            </w:r>
          </w:p>
        </w:tc>
        <w:tc>
          <w:tcPr>
            <w:tcW w:w="3960" w:type="dxa"/>
            <w:gridSpan w:val="5"/>
            <w:vAlign w:val="center"/>
          </w:tcPr>
          <w:p>
            <w:pPr>
              <w:topLinePunct/>
              <w:spacing w:line="440" w:lineRule="exact"/>
              <w:jc w:val="center"/>
              <w:rPr>
                <w:rFonts w:ascii="宋体" w:hAnsi="宋体"/>
                <w:szCs w:val="21"/>
              </w:rPr>
            </w:pPr>
            <w:permStart w:id="0" w:edGrp="everyone"/>
            <w:permEnd w:id="0"/>
          </w:p>
        </w:tc>
        <w:tc>
          <w:tcPr>
            <w:tcW w:w="1329" w:type="dxa"/>
            <w:gridSpan w:val="2"/>
            <w:vAlign w:val="center"/>
          </w:tcPr>
          <w:p>
            <w:pPr>
              <w:topLinePunct/>
              <w:spacing w:line="440" w:lineRule="exact"/>
              <w:jc w:val="center"/>
              <w:rPr>
                <w:rFonts w:ascii="宋体" w:hAnsi="宋体"/>
                <w:szCs w:val="21"/>
              </w:rPr>
            </w:pPr>
            <w:r>
              <w:rPr>
                <w:rFonts w:ascii="宋体" w:hAnsi="宋体"/>
                <w:szCs w:val="21"/>
              </w:rPr>
              <w:t>法定代表人</w:t>
            </w:r>
          </w:p>
        </w:tc>
        <w:tc>
          <w:tcPr>
            <w:tcW w:w="173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r>
              <w:rPr>
                <w:rFonts w:ascii="宋体" w:hAnsi="宋体"/>
                <w:szCs w:val="21"/>
              </w:rPr>
              <w:t>邮政编码</w:t>
            </w:r>
          </w:p>
        </w:tc>
        <w:tc>
          <w:tcPr>
            <w:tcW w:w="173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委托代理</w:t>
            </w:r>
            <w:r>
              <w:rPr>
                <w:rFonts w:ascii="宋体" w:hAnsi="宋体"/>
                <w:szCs w:val="21"/>
              </w:rPr>
              <w:t>人</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r>
              <w:rPr>
                <w:rFonts w:hint="eastAsia" w:ascii="宋体" w:hAnsi="宋体"/>
                <w:szCs w:val="21"/>
              </w:rPr>
              <w:t>电子邮箱</w:t>
            </w:r>
          </w:p>
        </w:tc>
        <w:tc>
          <w:tcPr>
            <w:tcW w:w="173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上年营业收入</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r>
              <w:rPr>
                <w:rFonts w:hint="eastAsia" w:ascii="宋体" w:hAnsi="宋体"/>
                <w:szCs w:val="21"/>
              </w:rPr>
              <w:t>员工总人数</w:t>
            </w:r>
          </w:p>
        </w:tc>
        <w:tc>
          <w:tcPr>
            <w:tcW w:w="173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固定电话</w:t>
            </w:r>
          </w:p>
        </w:tc>
        <w:tc>
          <w:tcPr>
            <w:tcW w:w="3960" w:type="dxa"/>
            <w:gridSpan w:val="5"/>
            <w:vAlign w:val="center"/>
          </w:tcPr>
          <w:p>
            <w:pPr>
              <w:topLinePunct/>
              <w:spacing w:line="440" w:lineRule="exact"/>
              <w:jc w:val="center"/>
              <w:rPr>
                <w:rFonts w:ascii="宋体" w:hAnsi="宋体"/>
                <w:szCs w:val="21"/>
              </w:rPr>
            </w:pPr>
          </w:p>
        </w:tc>
        <w:tc>
          <w:tcPr>
            <w:tcW w:w="1329" w:type="dxa"/>
            <w:gridSpan w:val="2"/>
            <w:vAlign w:val="center"/>
          </w:tcPr>
          <w:p>
            <w:pPr>
              <w:topLinePunct/>
              <w:spacing w:line="440" w:lineRule="exact"/>
              <w:jc w:val="center"/>
              <w:rPr>
                <w:rFonts w:ascii="宋体" w:hAnsi="宋体"/>
                <w:szCs w:val="21"/>
              </w:rPr>
            </w:pPr>
          </w:p>
        </w:tc>
        <w:tc>
          <w:tcPr>
            <w:tcW w:w="173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4"/>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vAlign w:val="center"/>
          </w:tcPr>
          <w:p>
            <w:pPr>
              <w:topLinePunct/>
              <w:spacing w:line="440" w:lineRule="exact"/>
              <w:jc w:val="center"/>
              <w:rPr>
                <w:rFonts w:ascii="宋体" w:hAnsi="宋体"/>
                <w:szCs w:val="21"/>
              </w:rPr>
            </w:pPr>
          </w:p>
        </w:tc>
        <w:tc>
          <w:tcPr>
            <w:tcW w:w="1377" w:type="dxa"/>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060" w:type="dxa"/>
            <w:gridSpan w:val="3"/>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4"/>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vAlign w:val="center"/>
          </w:tcPr>
          <w:p>
            <w:pPr>
              <w:topLinePunct/>
              <w:spacing w:line="440" w:lineRule="exact"/>
              <w:jc w:val="center"/>
              <w:rPr>
                <w:rFonts w:ascii="宋体" w:hAnsi="宋体"/>
                <w:szCs w:val="21"/>
              </w:rPr>
            </w:pPr>
          </w:p>
        </w:tc>
        <w:tc>
          <w:tcPr>
            <w:tcW w:w="1377" w:type="dxa"/>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060" w:type="dxa"/>
            <w:gridSpan w:val="3"/>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4"/>
            <w:vAlign w:val="center"/>
          </w:tcPr>
          <w:p>
            <w:pPr>
              <w:topLinePunct/>
              <w:spacing w:line="440" w:lineRule="exact"/>
              <w:jc w:val="center"/>
              <w:rPr>
                <w:rFonts w:ascii="宋体" w:hAnsi="宋体"/>
                <w:szCs w:val="21"/>
              </w:rPr>
            </w:pPr>
            <w:r>
              <w:rPr>
                <w:rFonts w:hint="eastAsia" w:ascii="宋体" w:hAnsi="宋体"/>
                <w:szCs w:val="21"/>
              </w:rPr>
              <w:t>营业范围</w:t>
            </w:r>
          </w:p>
        </w:tc>
        <w:tc>
          <w:tcPr>
            <w:tcW w:w="5877"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877"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877"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vAlign w:val="center"/>
          </w:tcPr>
          <w:p>
            <w:pPr>
              <w:topLinePunct/>
              <w:spacing w:line="440" w:lineRule="exact"/>
              <w:jc w:val="center"/>
              <w:rPr>
                <w:rFonts w:ascii="宋体" w:hAnsi="宋体"/>
                <w:szCs w:val="21"/>
              </w:rPr>
            </w:pPr>
            <w:r>
              <w:rPr>
                <w:rFonts w:hint="eastAsia" w:ascii="宋体" w:hAnsi="宋体"/>
                <w:szCs w:val="21"/>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2160" w:type="dxa"/>
            <w:gridSpan w:val="2"/>
            <w:vAlign w:val="center"/>
          </w:tcPr>
          <w:p>
            <w:pPr>
              <w:topLinePunct/>
              <w:spacing w:line="440" w:lineRule="exact"/>
              <w:jc w:val="center"/>
              <w:rPr>
                <w:rFonts w:ascii="宋体" w:hAnsi="宋体"/>
                <w:szCs w:val="21"/>
              </w:rPr>
            </w:pPr>
            <w:r>
              <w:rPr>
                <w:rFonts w:ascii="宋体" w:hAnsi="宋体"/>
                <w:szCs w:val="21"/>
              </w:rPr>
              <w:t>等级</w:t>
            </w:r>
          </w:p>
        </w:tc>
        <w:tc>
          <w:tcPr>
            <w:tcW w:w="2160" w:type="dxa"/>
            <w:gridSpan w:val="3"/>
            <w:vAlign w:val="center"/>
          </w:tcPr>
          <w:p>
            <w:pPr>
              <w:topLinePunct/>
              <w:spacing w:line="440" w:lineRule="exact"/>
              <w:jc w:val="center"/>
              <w:rPr>
                <w:rFonts w:ascii="宋体" w:hAnsi="宋体"/>
                <w:szCs w:val="21"/>
              </w:rPr>
            </w:pPr>
            <w:r>
              <w:rPr>
                <w:rFonts w:hint="eastAsia" w:ascii="宋体" w:hAnsi="宋体"/>
                <w:szCs w:val="21"/>
              </w:rPr>
              <w:t>发证机关</w:t>
            </w:r>
          </w:p>
        </w:tc>
        <w:tc>
          <w:tcPr>
            <w:tcW w:w="2340" w:type="dxa"/>
            <w:gridSpan w:val="2"/>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3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3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vAlign w:val="center"/>
          </w:tcPr>
          <w:p>
            <w:pPr>
              <w:topLinePunct/>
              <w:spacing w:line="440" w:lineRule="exact"/>
              <w:jc w:val="center"/>
              <w:rPr>
                <w:rFonts w:ascii="宋体" w:hAnsi="宋体"/>
                <w:szCs w:val="21"/>
              </w:rPr>
            </w:pPr>
            <w:r>
              <w:rPr>
                <w:rFonts w:hint="eastAsia" w:ascii="宋体" w:hAnsi="宋体"/>
                <w:szCs w:val="21"/>
              </w:rPr>
              <w:t>供应商近三年项目业绩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r>
              <w:rPr>
                <w:rFonts w:hint="eastAsia" w:ascii="宋体" w:hAnsi="宋体"/>
                <w:szCs w:val="21"/>
              </w:rPr>
              <w:t>项目业绩名称</w:t>
            </w:r>
          </w:p>
        </w:tc>
        <w:tc>
          <w:tcPr>
            <w:tcW w:w="2160" w:type="dxa"/>
            <w:gridSpan w:val="2"/>
            <w:vAlign w:val="center"/>
          </w:tcPr>
          <w:p>
            <w:pPr>
              <w:topLinePunct/>
              <w:spacing w:line="440" w:lineRule="exact"/>
              <w:jc w:val="center"/>
              <w:rPr>
                <w:rFonts w:ascii="宋体" w:hAnsi="宋体"/>
                <w:szCs w:val="21"/>
              </w:rPr>
            </w:pPr>
            <w:r>
              <w:rPr>
                <w:rFonts w:hint="eastAsia" w:ascii="宋体" w:hAnsi="宋体"/>
                <w:szCs w:val="21"/>
              </w:rPr>
              <w:t>项目地点、起止时间</w:t>
            </w:r>
          </w:p>
        </w:tc>
        <w:tc>
          <w:tcPr>
            <w:tcW w:w="2160" w:type="dxa"/>
            <w:gridSpan w:val="3"/>
            <w:vAlign w:val="center"/>
          </w:tcPr>
          <w:p>
            <w:pPr>
              <w:topLinePunct/>
              <w:spacing w:line="440" w:lineRule="exact"/>
              <w:jc w:val="center"/>
              <w:rPr>
                <w:rFonts w:ascii="宋体" w:hAnsi="宋体"/>
                <w:szCs w:val="21"/>
              </w:rPr>
            </w:pPr>
            <w:r>
              <w:rPr>
                <w:rFonts w:hint="eastAsia" w:ascii="宋体" w:hAnsi="宋体"/>
                <w:szCs w:val="21"/>
              </w:rPr>
              <w:t>合同内容、金额</w:t>
            </w:r>
          </w:p>
        </w:tc>
        <w:tc>
          <w:tcPr>
            <w:tcW w:w="2340" w:type="dxa"/>
            <w:gridSpan w:val="2"/>
            <w:vAlign w:val="center"/>
          </w:tcPr>
          <w:p>
            <w:pPr>
              <w:topLinePunct/>
              <w:spacing w:line="440" w:lineRule="exact"/>
              <w:jc w:val="center"/>
              <w:rPr>
                <w:rFonts w:ascii="宋体" w:hAnsi="宋体"/>
                <w:szCs w:val="21"/>
              </w:rPr>
            </w:pPr>
            <w:r>
              <w:rPr>
                <w:rFonts w:hint="eastAsia" w:ascii="宋体" w:hAnsi="宋体"/>
                <w:szCs w:val="21"/>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3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3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pPr>
              <w:topLinePunct/>
              <w:spacing w:line="440" w:lineRule="exact"/>
              <w:jc w:val="center"/>
              <w:rPr>
                <w:rFonts w:ascii="宋体" w:hAnsi="宋体"/>
                <w:szCs w:val="21"/>
              </w:rPr>
            </w:pPr>
          </w:p>
        </w:tc>
        <w:tc>
          <w:tcPr>
            <w:tcW w:w="2160" w:type="dxa"/>
            <w:gridSpan w:val="2"/>
            <w:vAlign w:val="center"/>
          </w:tcPr>
          <w:p>
            <w:pPr>
              <w:topLinePunct/>
              <w:spacing w:line="440" w:lineRule="exact"/>
              <w:jc w:val="center"/>
              <w:rPr>
                <w:rFonts w:ascii="宋体" w:hAnsi="宋体"/>
                <w:szCs w:val="21"/>
              </w:rPr>
            </w:pPr>
          </w:p>
        </w:tc>
        <w:tc>
          <w:tcPr>
            <w:tcW w:w="2160" w:type="dxa"/>
            <w:gridSpan w:val="3"/>
            <w:vAlign w:val="center"/>
          </w:tcPr>
          <w:p>
            <w:pPr>
              <w:topLinePunct/>
              <w:spacing w:line="440" w:lineRule="exact"/>
              <w:jc w:val="center"/>
              <w:rPr>
                <w:rFonts w:ascii="宋体" w:hAnsi="宋体"/>
                <w:szCs w:val="21"/>
              </w:rPr>
            </w:pPr>
          </w:p>
        </w:tc>
        <w:tc>
          <w:tcPr>
            <w:tcW w:w="234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pPr>
              <w:topLinePunct/>
              <w:spacing w:line="440" w:lineRule="exact"/>
              <w:jc w:val="center"/>
              <w:rPr>
                <w:rFonts w:ascii="宋体" w:hAnsi="宋体"/>
                <w:szCs w:val="21"/>
              </w:rPr>
            </w:pPr>
            <w:r>
              <w:rPr>
                <w:rFonts w:ascii="宋体" w:hAnsi="宋体"/>
                <w:szCs w:val="21"/>
              </w:rPr>
              <w:t>备注</w:t>
            </w:r>
          </w:p>
        </w:tc>
        <w:tc>
          <w:tcPr>
            <w:tcW w:w="7382" w:type="dxa"/>
            <w:gridSpan w:val="9"/>
            <w:vAlign w:val="center"/>
          </w:tcPr>
          <w:p>
            <w:pPr>
              <w:topLinePunct/>
              <w:spacing w:line="440" w:lineRule="exact"/>
              <w:rPr>
                <w:rFonts w:ascii="宋体" w:hAnsi="宋体"/>
                <w:szCs w:val="21"/>
              </w:rPr>
            </w:pPr>
            <w:r>
              <w:rPr>
                <w:rFonts w:hint="eastAsia" w:ascii="宋体" w:hAnsi="宋体"/>
                <w:szCs w:val="21"/>
              </w:rPr>
              <w:t>1、后附项目业绩证明材料（</w:t>
            </w:r>
            <w:r>
              <w:rPr>
                <w:rFonts w:hint="eastAsia" w:ascii="宋体" w:hAnsi="宋体"/>
                <w:szCs w:val="21"/>
                <w:lang w:val="en-US" w:eastAsia="zh-CN"/>
              </w:rPr>
              <w:t>合同建设内容及合同签署页复印件</w:t>
            </w:r>
            <w:r>
              <w:rPr>
                <w:rFonts w:hint="eastAsia" w:ascii="宋体" w:hAnsi="宋体"/>
                <w:szCs w:val="21"/>
              </w:rPr>
              <w:t>）</w:t>
            </w:r>
          </w:p>
        </w:tc>
      </w:tr>
    </w:tbl>
    <w:p>
      <w:pPr>
        <w:adjustRightInd w:val="0"/>
        <w:snapToGrid w:val="0"/>
        <w:spacing w:line="360" w:lineRule="auto"/>
        <w:jc w:val="center"/>
        <w:rPr>
          <w:rFonts w:ascii="宋体" w:hAnsi="宋体"/>
          <w:sz w:val="24"/>
        </w:rPr>
      </w:pPr>
    </w:p>
    <w:p>
      <w:pPr>
        <w:spacing w:line="480" w:lineRule="exact"/>
        <w:rPr>
          <w:rFonts w:ascii="宋体" w:hAnsi="宋体"/>
          <w:sz w:val="32"/>
          <w:szCs w:val="32"/>
        </w:rPr>
      </w:pPr>
    </w:p>
    <w:p>
      <w:pPr>
        <w:spacing w:line="480" w:lineRule="exact"/>
        <w:rPr>
          <w:rFonts w:ascii="宋体" w:hAnsi="宋体"/>
          <w:sz w:val="32"/>
          <w:szCs w:val="32"/>
        </w:rPr>
        <w:sectPr>
          <w:pgSz w:w="11906" w:h="16838"/>
          <w:pgMar w:top="1440" w:right="1797" w:bottom="1440" w:left="1797" w:header="851" w:footer="992" w:gutter="0"/>
          <w:cols w:space="720" w:num="1"/>
          <w:docGrid w:linePitch="312" w:charSpace="0"/>
        </w:sectPr>
      </w:pPr>
    </w:p>
    <w:p>
      <w:pPr>
        <w:adjustRightInd w:val="0"/>
        <w:snapToGrid w:val="0"/>
        <w:spacing w:line="480" w:lineRule="auto"/>
        <w:jc w:val="left"/>
        <w:rPr>
          <w:rFonts w:ascii="宋体" w:hAnsi="宋体"/>
          <w:bCs/>
          <w:sz w:val="24"/>
        </w:rPr>
      </w:pPr>
      <w:r>
        <w:rPr>
          <w:rFonts w:hint="eastAsia" w:ascii="宋体" w:hAnsi="宋体"/>
          <w:bCs/>
          <w:sz w:val="24"/>
        </w:rPr>
        <w:t>附件9</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具备履行合同所必需的设备和专业技术能力的承诺</w:t>
      </w:r>
    </w:p>
    <w:p>
      <w:pPr>
        <w:adjustRightInd w:val="0"/>
        <w:snapToGrid w:val="0"/>
        <w:spacing w:line="360" w:lineRule="auto"/>
        <w:ind w:firstLine="560" w:firstLineChars="200"/>
        <w:jc w:val="center"/>
        <w:rPr>
          <w:rFonts w:ascii="宋体" w:hAnsi="宋体"/>
          <w:sz w:val="28"/>
          <w:szCs w:val="28"/>
        </w:rPr>
      </w:pPr>
    </w:p>
    <w:p>
      <w:pPr>
        <w:autoSpaceDE w:val="0"/>
        <w:autoSpaceDN w:val="0"/>
        <w:adjustRightInd w:val="0"/>
        <w:spacing w:line="440" w:lineRule="exact"/>
        <w:jc w:val="left"/>
        <w:rPr>
          <w:rFonts w:ascii="宋体" w:hAnsi="宋体" w:cs="宋体"/>
          <w:kern w:val="0"/>
          <w:sz w:val="23"/>
          <w:szCs w:val="23"/>
        </w:rPr>
      </w:pPr>
      <w:r>
        <w:rPr>
          <w:rFonts w:hint="eastAsia" w:ascii="宋体" w:hAnsi="宋体" w:cs="宋体"/>
          <w:kern w:val="0"/>
          <w:sz w:val="23"/>
          <w:szCs w:val="23"/>
        </w:rPr>
        <w:t>本供应商郑重声明：</w:t>
      </w:r>
      <w:r>
        <w:rPr>
          <w:rFonts w:ascii="宋体" w:hAnsi="宋体" w:cs="宋体"/>
          <w:kern w:val="0"/>
          <w:sz w:val="23"/>
          <w:szCs w:val="23"/>
        </w:rPr>
        <w:t xml:space="preserve"> </w:t>
      </w:r>
    </w:p>
    <w:p>
      <w:pPr>
        <w:autoSpaceDE w:val="0"/>
        <w:autoSpaceDN w:val="0"/>
        <w:adjustRightInd w:val="0"/>
        <w:spacing w:line="440" w:lineRule="exact"/>
        <w:ind w:left="420"/>
        <w:jc w:val="left"/>
        <w:rPr>
          <w:rFonts w:ascii="宋体" w:hAnsi="宋体" w:cs="宋体"/>
          <w:kern w:val="0"/>
          <w:sz w:val="23"/>
          <w:szCs w:val="23"/>
        </w:rPr>
      </w:pPr>
    </w:p>
    <w:p>
      <w:pPr>
        <w:autoSpaceDE w:val="0"/>
        <w:autoSpaceDN w:val="0"/>
        <w:adjustRightInd w:val="0"/>
        <w:spacing w:line="440" w:lineRule="exact"/>
        <w:jc w:val="left"/>
        <w:rPr>
          <w:rFonts w:ascii="宋体" w:hAnsi="宋体" w:cs="宋体"/>
          <w:kern w:val="0"/>
          <w:sz w:val="23"/>
          <w:szCs w:val="23"/>
        </w:rPr>
      </w:pPr>
      <w:r>
        <w:rPr>
          <w:rFonts w:hint="eastAsia" w:ascii="宋体" w:hAnsi="宋体" w:cs="宋体"/>
          <w:kern w:val="0"/>
          <w:sz w:val="23"/>
          <w:szCs w:val="23"/>
        </w:rPr>
        <w:t xml:space="preserve">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 </w:t>
      </w: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widowControl/>
        <w:adjustRightInd w:val="0"/>
        <w:snapToGrid w:val="0"/>
        <w:spacing w:line="360" w:lineRule="auto"/>
        <w:ind w:firstLine="444" w:firstLineChars="200"/>
        <w:jc w:val="left"/>
        <w:rPr>
          <w:rFonts w:ascii="宋体" w:hAnsi="宋体" w:cs="宋体"/>
          <w:spacing w:val="6"/>
          <w:kern w:val="0"/>
          <w:szCs w:val="21"/>
        </w:rPr>
        <w:sectPr>
          <w:pgSz w:w="11906" w:h="16838"/>
          <w:pgMar w:top="1440" w:right="1797" w:bottom="1440" w:left="1797" w:header="851" w:footer="992" w:gutter="0"/>
          <w:cols w:space="720" w:num="1"/>
          <w:docGrid w:linePitch="312" w:charSpace="0"/>
        </w:sectPr>
      </w:pPr>
    </w:p>
    <w:p>
      <w:pPr>
        <w:adjustRightInd w:val="0"/>
        <w:snapToGrid w:val="0"/>
        <w:rPr>
          <w:rFonts w:ascii="宋体" w:hAnsi="宋体"/>
          <w:sz w:val="24"/>
        </w:rPr>
      </w:pPr>
      <w:r>
        <w:rPr>
          <w:rFonts w:hint="eastAsia" w:ascii="宋体" w:hAnsi="宋体"/>
          <w:sz w:val="24"/>
        </w:rPr>
        <w:t>附件10</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无重大违法记录声明书</w:t>
      </w:r>
    </w:p>
    <w:p>
      <w:pPr>
        <w:widowControl/>
        <w:adjustRightInd w:val="0"/>
        <w:snapToGrid w:val="0"/>
        <w:spacing w:line="360" w:lineRule="auto"/>
        <w:jc w:val="center"/>
        <w:rPr>
          <w:rFonts w:ascii="宋体" w:hAnsi="宋体"/>
          <w:szCs w:val="21"/>
        </w:rPr>
      </w:pPr>
    </w:p>
    <w:p>
      <w:pPr>
        <w:adjustRightInd w:val="0"/>
        <w:snapToGrid w:val="0"/>
        <w:spacing w:line="360" w:lineRule="auto"/>
        <w:rPr>
          <w:rFonts w:ascii="宋体" w:hAnsi="宋体"/>
          <w:szCs w:val="21"/>
        </w:rPr>
      </w:pPr>
      <w:r>
        <w:rPr>
          <w:rFonts w:hint="eastAsia" w:ascii="宋体" w:hAnsi="宋体"/>
          <w:szCs w:val="21"/>
          <w:u w:val="single"/>
        </w:rPr>
        <w:t xml:space="preserve">（采购人）         </w:t>
      </w:r>
      <w:r>
        <w:rPr>
          <w:rFonts w:hint="eastAsia" w:ascii="宋体" w:hAnsi="宋体"/>
          <w:szCs w:val="21"/>
        </w:rPr>
        <w:t>：</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我公司参与</w:t>
      </w:r>
      <w:r>
        <w:rPr>
          <w:rFonts w:hint="eastAsia" w:ascii="宋体" w:hAnsi="宋体"/>
          <w:szCs w:val="21"/>
          <w:u w:val="single"/>
        </w:rPr>
        <w:t xml:space="preserve">                          （</w:t>
      </w:r>
      <w:r>
        <w:rPr>
          <w:rFonts w:hint="eastAsia" w:ascii="宋体" w:hAnsi="宋体"/>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ascii="宋体" w:hAnsi="宋体"/>
          <w:szCs w:val="21"/>
        </w:rPr>
      </w:pPr>
      <w:r>
        <w:rPr>
          <w:rFonts w:hint="eastAsia" w:ascii="宋体" w:hAnsi="宋体"/>
          <w:szCs w:val="21"/>
        </w:rPr>
        <w:t>特此声明。</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2723" w:firstLineChars="1297"/>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bCs/>
          <w:szCs w:val="21"/>
        </w:rPr>
        <w:t>日</w:t>
      </w:r>
    </w:p>
    <w:p>
      <w:pPr>
        <w:spacing w:line="360" w:lineRule="auto"/>
        <w:ind w:firstLine="3502" w:firstLineChars="1668"/>
        <w:rPr>
          <w:rFonts w:ascii="宋体" w:hAnsi="宋体"/>
          <w:szCs w:val="21"/>
        </w:rPr>
      </w:pPr>
    </w:p>
    <w:p>
      <w:pPr>
        <w:spacing w:line="360" w:lineRule="auto"/>
        <w:ind w:firstLine="3502" w:firstLineChars="1668"/>
        <w:rPr>
          <w:rFonts w:ascii="宋体" w:hAnsi="宋体"/>
          <w:szCs w:val="21"/>
        </w:rPr>
      </w:pPr>
    </w:p>
    <w:p>
      <w:pPr>
        <w:spacing w:line="360" w:lineRule="auto"/>
        <w:rPr>
          <w:rFonts w:hint="eastAsia" w:ascii="宋体" w:hAnsi="宋体"/>
          <w:szCs w:val="21"/>
        </w:rPr>
      </w:pPr>
      <w:r>
        <w:rPr>
          <w:rFonts w:hint="eastAsia" w:ascii="宋体" w:hAnsi="宋体"/>
        </w:rPr>
        <w:t>附注：近三年：成立三年以上的，为提交首次响应文件截止时间前三年内；成立不足三年的，为实际时间</w:t>
      </w:r>
      <w:r>
        <w:rPr>
          <w:rFonts w:hint="eastAsia" w:ascii="宋体" w:hAnsi="宋体"/>
          <w:szCs w:val="21"/>
        </w:rPr>
        <w:t>。</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adjustRightInd w:val="0"/>
        <w:snapToGrid w:val="0"/>
        <w:rPr>
          <w:rFonts w:hint="eastAsia" w:ascii="宋体" w:hAnsi="宋体" w:eastAsia="宋体"/>
          <w:sz w:val="24"/>
          <w:lang w:val="en-US" w:eastAsia="zh-CN"/>
        </w:rPr>
      </w:pPr>
      <w:r>
        <w:rPr>
          <w:rFonts w:hint="eastAsia" w:ascii="宋体" w:hAnsi="宋体"/>
          <w:sz w:val="24"/>
        </w:rPr>
        <w:t>附件1</w:t>
      </w:r>
      <w:r>
        <w:rPr>
          <w:rFonts w:hint="eastAsia" w:ascii="宋体" w:hAnsi="宋体"/>
          <w:sz w:val="24"/>
          <w:lang w:val="en-US" w:eastAsia="zh-CN"/>
        </w:rPr>
        <w:t>1：</w:t>
      </w:r>
    </w:p>
    <w:p>
      <w:pPr>
        <w:spacing w:line="360" w:lineRule="auto"/>
        <w:jc w:val="center"/>
        <w:rPr>
          <w:rFonts w:hint="eastAsia" w:ascii="宋体" w:hAnsi="宋体"/>
          <w:b/>
          <w:sz w:val="28"/>
          <w:szCs w:val="28"/>
          <w:lang w:val="en-US" w:eastAsia="zh-CN"/>
        </w:rPr>
      </w:pPr>
    </w:p>
    <w:p>
      <w:pPr>
        <w:spacing w:line="360" w:lineRule="auto"/>
        <w:jc w:val="center"/>
        <w:rPr>
          <w:rFonts w:hint="eastAsia" w:ascii="宋体" w:hAnsi="宋体"/>
          <w:b/>
          <w:sz w:val="28"/>
          <w:szCs w:val="28"/>
          <w:lang w:val="en-US" w:eastAsia="zh-CN"/>
        </w:rPr>
      </w:pPr>
      <w:r>
        <w:rPr>
          <w:rFonts w:hint="eastAsia" w:ascii="宋体" w:hAnsi="宋体"/>
          <w:b/>
          <w:sz w:val="28"/>
          <w:szCs w:val="28"/>
          <w:lang w:val="en-US" w:eastAsia="zh-CN"/>
        </w:rPr>
        <w:t>信用记录</w:t>
      </w:r>
    </w:p>
    <w:p>
      <w:pPr>
        <w:spacing w:line="360" w:lineRule="auto"/>
        <w:jc w:val="center"/>
        <w:rPr>
          <w:rFonts w:hint="eastAsia" w:ascii="宋体" w:hAnsi="宋体"/>
          <w:b/>
          <w:sz w:val="28"/>
          <w:szCs w:val="28"/>
          <w:lang w:val="en-US" w:eastAsia="zh-CN"/>
        </w:rPr>
      </w:pPr>
    </w:p>
    <w:p>
      <w:pPr>
        <w:keepNext w:val="0"/>
        <w:keepLines w:val="0"/>
        <w:widowControl/>
        <w:suppressLineNumbers w:val="0"/>
        <w:shd w:val="clear" w:fill="FFFFFF"/>
        <w:spacing w:before="0" w:beforeAutospacing="0" w:after="0" w:afterAutospacing="0" w:line="315" w:lineRule="atLeast"/>
        <w:ind w:left="0" w:right="0" w:firstLine="444"/>
        <w:jc w:val="center"/>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（复印件并加盖供应商单位公章）</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依据财库[2016]125号文件规定，供应商须符合《关于在政府采购活动中查询及使用信用记录有关问题的通知》的相关要求，即具有良好的信用记录。</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供应商须提供本单位近3年（出售文件起至递交响应文件截止日前）“信用中国”网站（www.creditchina.gov.cn）及中国政府采购网（www.ccgp.gov.cn）已公布的信用记录查询截图。</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截图含 1）被列入失信被执行人</w:t>
      </w:r>
    </w:p>
    <w:p>
      <w:pPr>
        <w:keepNext w:val="0"/>
        <w:keepLines w:val="0"/>
        <w:widowControl/>
        <w:suppressLineNumbers w:val="0"/>
        <w:shd w:val="clear" w:fill="FFFFFF"/>
        <w:spacing w:before="0" w:beforeAutospacing="0" w:after="0" w:afterAutospacing="0" w:line="315" w:lineRule="atLeast"/>
        <w:ind w:left="0" w:right="0" w:firstLine="1221"/>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2）重大税收违法案件当事人名单的供应商</w:t>
      </w:r>
    </w:p>
    <w:p>
      <w:pPr>
        <w:keepNext w:val="0"/>
        <w:keepLines w:val="0"/>
        <w:widowControl/>
        <w:suppressLineNumbers w:val="0"/>
        <w:shd w:val="clear" w:fill="FFFFFF"/>
        <w:spacing w:before="0" w:beforeAutospacing="0" w:after="0" w:afterAutospacing="0" w:line="315" w:lineRule="atLeast"/>
        <w:ind w:left="0" w:right="0" w:firstLine="1221"/>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3）列入政府采购严重违法失信行为记录名单</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例如：网站搜索页输入供应商名称，截图查询结果。</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6"/>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line="315" w:lineRule="atLeast"/>
        <w:ind w:left="0" w:right="0" w:firstLine="444"/>
        <w:jc w:val="left"/>
        <w:rPr>
          <w:rFonts w:hint="default" w:ascii="Times New Roman" w:hAnsi="Times New Roman" w:cs="Times New Roman"/>
          <w:i w:val="0"/>
          <w:iCs w:val="0"/>
          <w:caps w:val="0"/>
          <w:color w:val="333333"/>
          <w:spacing w:val="0"/>
          <w:sz w:val="21"/>
          <w:szCs w:val="21"/>
        </w:rPr>
      </w:pPr>
      <w:r>
        <w:rPr>
          <w:rFonts w:hint="eastAsia" w:ascii="宋体" w:hAnsi="宋体" w:eastAsia="宋体" w:cs="宋体"/>
          <w:b/>
          <w:bCs/>
          <w:i w:val="0"/>
          <w:iCs w:val="0"/>
          <w:caps w:val="0"/>
          <w:color w:val="333333"/>
          <w:spacing w:val="6"/>
          <w:kern w:val="0"/>
          <w:sz w:val="21"/>
          <w:szCs w:val="21"/>
          <w:shd w:val="clear" w:fill="FFFFFF"/>
          <w:lang w:val="en-US" w:eastAsia="zh-CN" w:bidi="ar"/>
        </w:rPr>
        <w:t>说明：供应商提供的截图与采购人或采购代理机构查询截图不一致的，以采购人或采购代理机构查询结果为准。</w:t>
      </w:r>
    </w:p>
    <w:p>
      <w:pPr>
        <w:spacing w:line="360" w:lineRule="auto"/>
        <w:jc w:val="center"/>
        <w:rPr>
          <w:rFonts w:hint="eastAsia" w:ascii="宋体" w:hAnsi="宋体"/>
          <w:b/>
          <w:sz w:val="28"/>
          <w:szCs w:val="28"/>
          <w:lang w:val="en-US" w:eastAsia="zh-CN"/>
        </w:rPr>
        <w:sectPr>
          <w:headerReference r:id="rId7" w:type="default"/>
          <w:footerReference r:id="rId8" w:type="even"/>
          <w:pgSz w:w="11906" w:h="16838"/>
          <w:pgMar w:top="1440" w:right="1800" w:bottom="1440" w:left="1800" w:header="851" w:footer="992" w:gutter="0"/>
          <w:cols w:space="720" w:num="1"/>
          <w:docGrid w:type="lines" w:linePitch="312" w:charSpace="0"/>
        </w:sectPr>
      </w:pPr>
    </w:p>
    <w:p>
      <w:pPr>
        <w:pStyle w:val="3"/>
        <w:jc w:val="center"/>
        <w:rPr>
          <w:rFonts w:hint="eastAsia" w:ascii="宋体" w:hAnsi="宋体"/>
          <w:sz w:val="28"/>
          <w:szCs w:val="28"/>
        </w:rPr>
      </w:pPr>
      <w:bookmarkStart w:id="90" w:name="_Toc433187369"/>
      <w:bookmarkStart w:id="91" w:name="_Toc474770924"/>
    </w:p>
    <w:p>
      <w:pPr>
        <w:pStyle w:val="3"/>
        <w:jc w:val="center"/>
        <w:rPr>
          <w:rFonts w:hint="eastAsia" w:ascii="宋体" w:hAnsi="宋体"/>
          <w:sz w:val="28"/>
          <w:szCs w:val="28"/>
        </w:rPr>
      </w:pPr>
    </w:p>
    <w:p>
      <w:pPr>
        <w:pStyle w:val="3"/>
        <w:jc w:val="center"/>
        <w:rPr>
          <w:rFonts w:ascii="宋体" w:hAnsi="宋体"/>
          <w:sz w:val="28"/>
          <w:szCs w:val="28"/>
        </w:rPr>
      </w:pPr>
      <w:r>
        <w:rPr>
          <w:rFonts w:hint="eastAsia" w:ascii="宋体" w:hAnsi="宋体"/>
          <w:sz w:val="28"/>
          <w:szCs w:val="28"/>
        </w:rPr>
        <w:t>六、</w:t>
      </w:r>
      <w:bookmarkEnd w:id="90"/>
      <w:r>
        <w:rPr>
          <w:rFonts w:hint="eastAsia" w:ascii="宋体" w:hAnsi="宋体"/>
          <w:sz w:val="28"/>
          <w:szCs w:val="28"/>
        </w:rPr>
        <w:t>货物说明</w:t>
      </w:r>
      <w:bookmarkEnd w:id="91"/>
    </w:p>
    <w:p>
      <w:pPr>
        <w:adjustRightInd w:val="0"/>
        <w:snapToGrid w:val="0"/>
        <w:spacing w:line="360" w:lineRule="auto"/>
        <w:ind w:left="-88" w:leftChars="-42" w:firstLine="210" w:firstLineChars="100"/>
        <w:rPr>
          <w:rFonts w:ascii="宋体" w:hAnsi="宋体"/>
          <w:szCs w:val="21"/>
        </w:rPr>
      </w:pP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货物说明包括：</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一、技术参数、标准</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（1）货物技术参数（指标）、功能等性能描述</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（2）货物的规范等描述（要求提供复印件）</w:t>
      </w:r>
    </w:p>
    <w:p>
      <w:pPr>
        <w:adjustRightInd w:val="0"/>
        <w:snapToGrid w:val="0"/>
        <w:spacing w:line="360" w:lineRule="auto"/>
        <w:ind w:left="-88" w:leftChars="-42" w:firstLine="210" w:firstLineChars="100"/>
        <w:rPr>
          <w:rFonts w:ascii="宋体" w:hAnsi="宋体"/>
        </w:rPr>
      </w:pPr>
      <w:r>
        <w:rPr>
          <w:rFonts w:hint="eastAsia" w:ascii="宋体" w:hAnsi="宋体"/>
          <w:szCs w:val="21"/>
        </w:rPr>
        <w:t>（3）货物优势介绍</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（4）供应商认为有必要提供的其他说明材料</w:t>
      </w:r>
    </w:p>
    <w:p>
      <w:pPr>
        <w:adjustRightInd w:val="0"/>
        <w:snapToGrid w:val="0"/>
        <w:spacing w:line="360" w:lineRule="auto"/>
        <w:ind w:left="-88" w:leftChars="-42" w:firstLine="210" w:firstLineChars="100"/>
        <w:rPr>
          <w:rFonts w:ascii="宋体" w:hAnsi="宋体"/>
          <w:szCs w:val="21"/>
        </w:rPr>
      </w:pP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二、合格的货物证明材料</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（1）产品检测报告、质量检验合格证、产品说明书、彩图等</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（2）所投产品获得的奖项、荣誉等</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（3）其他（采购需求中要求的各项证书等）</w:t>
      </w:r>
    </w:p>
    <w:p>
      <w:pPr>
        <w:adjustRightInd w:val="0"/>
        <w:snapToGrid w:val="0"/>
        <w:spacing w:line="360" w:lineRule="auto"/>
        <w:rPr>
          <w:rFonts w:ascii="宋体" w:hAnsi="宋体"/>
          <w:szCs w:val="21"/>
        </w:rPr>
      </w:pPr>
    </w:p>
    <w:p>
      <w:pPr>
        <w:pStyle w:val="22"/>
        <w:snapToGrid w:val="0"/>
        <w:spacing w:before="295" w:after="295"/>
        <w:rPr>
          <w:rFonts w:ascii="宋体" w:hAnsi="宋体"/>
          <w:b/>
          <w:sz w:val="28"/>
          <w:szCs w:val="28"/>
        </w:rPr>
      </w:pPr>
      <w:r>
        <w:rPr>
          <w:rFonts w:hint="eastAsia" w:ascii="宋体" w:hAnsi="宋体"/>
          <w:b/>
          <w:sz w:val="28"/>
          <w:szCs w:val="28"/>
        </w:rPr>
        <w:t xml:space="preserve"> </w:t>
      </w:r>
    </w:p>
    <w:p>
      <w:pPr>
        <w:pStyle w:val="22"/>
        <w:snapToGrid w:val="0"/>
        <w:spacing w:before="240" w:after="295"/>
        <w:ind w:firstLine="480" w:firstLineChars="200"/>
        <w:rPr>
          <w:rFonts w:ascii="宋体" w:hAnsi="宋体"/>
          <w:szCs w:val="24"/>
        </w:rPr>
        <w:sectPr>
          <w:headerReference r:id="rId9" w:type="default"/>
          <w:footerReference r:id="rId10" w:type="even"/>
          <w:pgSz w:w="11906" w:h="16838"/>
          <w:pgMar w:top="1440" w:right="1797" w:bottom="1440" w:left="1797" w:header="851" w:footer="992" w:gutter="0"/>
          <w:cols w:space="720" w:num="1"/>
          <w:docGrid w:linePitch="312" w:charSpace="0"/>
        </w:sectPr>
      </w:pPr>
    </w:p>
    <w:p>
      <w:pPr>
        <w:pStyle w:val="22"/>
        <w:snapToGrid w:val="0"/>
        <w:spacing w:before="240" w:after="295"/>
        <w:ind w:firstLine="480" w:firstLineChars="200"/>
        <w:rPr>
          <w:rFonts w:ascii="宋体" w:hAnsi="宋体"/>
          <w:b/>
          <w:sz w:val="28"/>
          <w:szCs w:val="28"/>
        </w:rPr>
      </w:pPr>
      <w:r>
        <w:rPr>
          <w:rFonts w:hint="eastAsia" w:ascii="宋体" w:hAnsi="宋体"/>
          <w:szCs w:val="24"/>
        </w:rPr>
        <w:t>附件11：</w:t>
      </w:r>
    </w:p>
    <w:p>
      <w:pPr>
        <w:pStyle w:val="22"/>
        <w:snapToGrid w:val="0"/>
        <w:spacing w:before="295" w:after="295"/>
        <w:jc w:val="center"/>
        <w:rPr>
          <w:rFonts w:ascii="宋体" w:hAnsi="宋体"/>
          <w:szCs w:val="24"/>
        </w:rPr>
      </w:pPr>
      <w:r>
        <w:rPr>
          <w:rFonts w:hint="eastAsia" w:ascii="宋体" w:hAnsi="宋体"/>
          <w:b/>
          <w:szCs w:val="24"/>
        </w:rPr>
        <w:t>技术需求逐条应答表</w:t>
      </w:r>
    </w:p>
    <w:p>
      <w:pPr>
        <w:spacing w:line="360" w:lineRule="exact"/>
        <w:jc w:val="left"/>
        <w:rPr>
          <w:rFonts w:ascii="宋体" w:hAnsi="宋体"/>
          <w:b/>
        </w:rPr>
      </w:pPr>
      <w:r>
        <w:rPr>
          <w:rFonts w:hint="eastAsia" w:ascii="宋体" w:hAnsi="宋体"/>
          <w:b/>
        </w:rPr>
        <w:t xml:space="preserve">                             </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25"/>
        <w:gridCol w:w="273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520" w:type="dxa"/>
            <w:vAlign w:val="center"/>
          </w:tcPr>
          <w:p>
            <w:pPr>
              <w:shd w:val="clear" w:color="auto" w:fill="FFFFFF"/>
              <w:spacing w:line="400" w:lineRule="exact"/>
              <w:ind w:left="-88" w:leftChars="-42"/>
              <w:jc w:val="center"/>
              <w:rPr>
                <w:rFonts w:ascii="宋体" w:hAnsi="宋体"/>
                <w:szCs w:val="21"/>
              </w:rPr>
            </w:pPr>
            <w:r>
              <w:rPr>
                <w:rFonts w:hint="eastAsia" w:ascii="宋体" w:hAnsi="宋体"/>
                <w:szCs w:val="21"/>
              </w:rPr>
              <w:t>竞争性磋商文件技术需求条目编号及所要求内容</w:t>
            </w:r>
          </w:p>
        </w:tc>
        <w:tc>
          <w:tcPr>
            <w:tcW w:w="1125" w:type="dxa"/>
            <w:vAlign w:val="center"/>
          </w:tcPr>
          <w:p>
            <w:pPr>
              <w:shd w:val="clear" w:color="auto" w:fill="FFFFFF"/>
              <w:spacing w:line="400" w:lineRule="exact"/>
              <w:ind w:left="-88" w:leftChars="-42"/>
              <w:jc w:val="center"/>
              <w:rPr>
                <w:rFonts w:ascii="宋体" w:hAnsi="宋体"/>
                <w:szCs w:val="21"/>
              </w:rPr>
            </w:pPr>
            <w:r>
              <w:rPr>
                <w:rFonts w:hint="eastAsia" w:ascii="宋体" w:hAnsi="宋体"/>
                <w:szCs w:val="21"/>
              </w:rPr>
              <w:t>响应文件应答内容</w:t>
            </w:r>
          </w:p>
        </w:tc>
        <w:tc>
          <w:tcPr>
            <w:tcW w:w="2730" w:type="dxa"/>
            <w:vAlign w:val="center"/>
          </w:tcPr>
          <w:p>
            <w:pPr>
              <w:shd w:val="clear" w:color="auto" w:fill="FFFFFF"/>
              <w:spacing w:line="400" w:lineRule="exact"/>
              <w:ind w:left="-88" w:leftChars="-42"/>
              <w:jc w:val="center"/>
              <w:rPr>
                <w:rFonts w:ascii="宋体" w:hAnsi="宋体"/>
                <w:szCs w:val="21"/>
              </w:rPr>
            </w:pPr>
            <w:r>
              <w:rPr>
                <w:rFonts w:hint="eastAsia" w:ascii="宋体" w:hAnsi="宋体"/>
                <w:szCs w:val="21"/>
              </w:rPr>
              <w:t>相关技术证明文件中的描述在响应文件中的具体页码</w:t>
            </w:r>
          </w:p>
        </w:tc>
        <w:tc>
          <w:tcPr>
            <w:tcW w:w="2340" w:type="dxa"/>
            <w:vAlign w:val="center"/>
          </w:tcPr>
          <w:p>
            <w:pPr>
              <w:shd w:val="clear" w:color="auto" w:fill="FFFFFF"/>
              <w:spacing w:line="400" w:lineRule="exact"/>
              <w:ind w:left="-88" w:leftChars="-42"/>
              <w:jc w:val="center"/>
              <w:rPr>
                <w:rFonts w:ascii="宋体" w:hAnsi="宋体"/>
                <w:szCs w:val="21"/>
              </w:rPr>
            </w:pPr>
            <w:r>
              <w:rPr>
                <w:rFonts w:hint="eastAsia" w:ascii="宋体" w:hAnsi="宋体"/>
                <w:szCs w:val="21"/>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tcPr>
          <w:p>
            <w:pPr>
              <w:shd w:val="clear" w:color="auto" w:fill="FFFFFF"/>
              <w:spacing w:line="400" w:lineRule="exact"/>
              <w:ind w:left="-88" w:leftChars="-42"/>
              <w:jc w:val="center"/>
              <w:rPr>
                <w:rFonts w:ascii="宋体" w:hAnsi="宋体"/>
                <w:szCs w:val="21"/>
              </w:rPr>
            </w:pPr>
          </w:p>
        </w:tc>
        <w:tc>
          <w:tcPr>
            <w:tcW w:w="1125" w:type="dxa"/>
          </w:tcPr>
          <w:p>
            <w:pPr>
              <w:shd w:val="clear" w:color="auto" w:fill="FFFFFF"/>
              <w:spacing w:line="400" w:lineRule="exact"/>
              <w:ind w:left="-88" w:leftChars="-42"/>
              <w:jc w:val="center"/>
              <w:rPr>
                <w:rFonts w:ascii="宋体" w:hAnsi="宋体"/>
                <w:szCs w:val="21"/>
              </w:rPr>
            </w:pPr>
          </w:p>
        </w:tc>
        <w:tc>
          <w:tcPr>
            <w:tcW w:w="2730" w:type="dxa"/>
          </w:tcPr>
          <w:p>
            <w:pPr>
              <w:shd w:val="clear" w:color="auto" w:fill="FFFFFF"/>
              <w:spacing w:line="400" w:lineRule="exact"/>
              <w:ind w:left="-88" w:leftChars="-42"/>
              <w:jc w:val="center"/>
              <w:rPr>
                <w:rFonts w:ascii="宋体" w:hAnsi="宋体"/>
                <w:szCs w:val="21"/>
              </w:rPr>
            </w:pPr>
          </w:p>
        </w:tc>
        <w:tc>
          <w:tcPr>
            <w:tcW w:w="2340" w:type="dxa"/>
          </w:tcPr>
          <w:p>
            <w:pPr>
              <w:shd w:val="clear" w:color="auto" w:fill="FFFFFF"/>
              <w:spacing w:line="400" w:lineRule="exact"/>
              <w:ind w:left="-88" w:leftChars="-42"/>
              <w:jc w:val="center"/>
              <w:rPr>
                <w:rFonts w:ascii="宋体" w:hAnsi="宋体"/>
                <w:szCs w:val="21"/>
              </w:rPr>
            </w:pPr>
          </w:p>
        </w:tc>
      </w:tr>
    </w:tbl>
    <w:p>
      <w:pPr>
        <w:autoSpaceDE w:val="0"/>
        <w:autoSpaceDN w:val="0"/>
        <w:textAlignment w:val="bottom"/>
        <w:rPr>
          <w:rFonts w:ascii="宋体" w:hAnsi="宋体" w:cs="Arial"/>
          <w:szCs w:val="21"/>
        </w:rPr>
      </w:pPr>
    </w:p>
    <w:p>
      <w:pPr>
        <w:pStyle w:val="24"/>
        <w:adjustRightInd w:val="0"/>
        <w:snapToGrid w:val="0"/>
        <w:spacing w:line="360" w:lineRule="auto"/>
        <w:rPr>
          <w:rFonts w:ascii="宋体" w:hAnsi="宋体"/>
          <w:sz w:val="21"/>
          <w:szCs w:val="21"/>
        </w:rPr>
      </w:pPr>
    </w:p>
    <w:p>
      <w:pPr>
        <w:pStyle w:val="24"/>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22"/>
        <w:adjustRightInd w:val="0"/>
        <w:snapToGrid w:val="0"/>
        <w:spacing w:line="360" w:lineRule="auto"/>
        <w:rPr>
          <w:rFonts w:ascii="宋体" w:hAnsi="宋体"/>
          <w:b/>
        </w:rPr>
      </w:pPr>
    </w:p>
    <w:p>
      <w:pPr>
        <w:pStyle w:val="22"/>
        <w:adjustRightInd w:val="0"/>
        <w:snapToGrid w:val="0"/>
        <w:spacing w:line="360" w:lineRule="auto"/>
        <w:rPr>
          <w:rFonts w:ascii="宋体" w:hAnsi="宋体"/>
          <w:b/>
        </w:rPr>
      </w:pPr>
    </w:p>
    <w:p>
      <w:pPr>
        <w:autoSpaceDE w:val="0"/>
        <w:autoSpaceDN w:val="0"/>
        <w:spacing w:line="360" w:lineRule="auto"/>
        <w:ind w:right="-477"/>
        <w:textAlignment w:val="bottom"/>
        <w:rPr>
          <w:rFonts w:ascii="宋体" w:hAnsi="宋体" w:cs="Arial"/>
          <w:szCs w:val="21"/>
        </w:rPr>
      </w:pPr>
      <w:r>
        <w:rPr>
          <w:rFonts w:hint="eastAsia" w:ascii="宋体" w:hAnsi="宋体" w:cs="Arial"/>
          <w:szCs w:val="21"/>
        </w:rPr>
        <w:t>注：供应商应在响应技术文件中对</w:t>
      </w:r>
      <w:r>
        <w:rPr>
          <w:rFonts w:hint="eastAsia" w:ascii="宋体" w:hAnsi="宋体" w:cs="Arial"/>
          <w:b/>
          <w:bCs/>
          <w:i w:val="0"/>
          <w:iCs w:val="0"/>
          <w:szCs w:val="21"/>
          <w:u w:val="single"/>
          <w:lang w:val="en-US" w:eastAsia="zh-CN"/>
        </w:rPr>
        <w:t>第四章采购需求中斜体加下划线标注的内容做</w:t>
      </w:r>
      <w:r>
        <w:rPr>
          <w:rFonts w:hint="eastAsia" w:ascii="宋体" w:hAnsi="宋体" w:cs="Arial"/>
          <w:b/>
          <w:bCs/>
          <w:i w:val="0"/>
          <w:iCs w:val="0"/>
          <w:szCs w:val="21"/>
          <w:u w:val="single"/>
        </w:rPr>
        <w:t>逐条按顺序响应</w:t>
      </w:r>
      <w:r>
        <w:rPr>
          <w:rFonts w:hint="eastAsia" w:ascii="宋体" w:hAnsi="宋体" w:cs="Arial"/>
          <w:szCs w:val="21"/>
          <w:u w:val="single"/>
        </w:rPr>
        <w:t>，</w:t>
      </w:r>
      <w:r>
        <w:rPr>
          <w:rFonts w:hint="eastAsia" w:ascii="宋体" w:hAnsi="宋体" w:cs="Arial"/>
          <w:szCs w:val="21"/>
        </w:rPr>
        <w:t>做出必要的解释并列出技术偏差表。而不应完全复制磋商文件中技术参数要求，统一回答“响应”“无偏离”“正偏离”等。对于没有逐条对照磋商文件技术规格，说明所提供货物和服务已对磋商文件的技术规格做出了实质性的响应，或声明与技术规格条文的偏差和例外的条款，或未按照技术文件的要求提供相关证明材料的，将视同为不满足要求。</w:t>
      </w:r>
    </w:p>
    <w:p>
      <w:pPr>
        <w:autoSpaceDE w:val="0"/>
        <w:autoSpaceDN w:val="0"/>
        <w:spacing w:line="360" w:lineRule="auto"/>
        <w:ind w:right="471"/>
        <w:textAlignment w:val="bottom"/>
        <w:rPr>
          <w:rFonts w:ascii="宋体" w:hAnsi="宋体" w:cs="Arial"/>
          <w:szCs w:val="21"/>
        </w:rPr>
      </w:pPr>
    </w:p>
    <w:p>
      <w:pPr>
        <w:pStyle w:val="3"/>
        <w:jc w:val="center"/>
        <w:rPr>
          <w:rFonts w:ascii="宋体" w:hAnsi="宋体"/>
          <w:sz w:val="28"/>
          <w:szCs w:val="28"/>
        </w:rPr>
      </w:pPr>
      <w:r>
        <w:rPr>
          <w:rFonts w:ascii="宋体" w:hAnsi="宋体"/>
        </w:rPr>
        <w:br w:type="page"/>
      </w:r>
      <w:bookmarkStart w:id="92" w:name="_Toc474770925"/>
      <w:r>
        <w:rPr>
          <w:rFonts w:hint="eastAsia" w:ascii="宋体" w:hAnsi="宋体"/>
          <w:sz w:val="28"/>
          <w:szCs w:val="28"/>
        </w:rPr>
        <w:t>七、实施方案</w:t>
      </w:r>
      <w:bookmarkEnd w:id="92"/>
    </w:p>
    <w:p>
      <w:pPr>
        <w:spacing w:line="360" w:lineRule="auto"/>
        <w:rPr>
          <w:rFonts w:ascii="宋体" w:hAnsi="宋体"/>
          <w:b/>
          <w:szCs w:val="21"/>
        </w:rPr>
      </w:pPr>
    </w:p>
    <w:p>
      <w:pPr>
        <w:spacing w:line="360" w:lineRule="auto"/>
        <w:rPr>
          <w:rFonts w:ascii="宋体" w:hAnsi="宋体"/>
          <w:szCs w:val="21"/>
        </w:rPr>
      </w:pPr>
      <w:r>
        <w:rPr>
          <w:rFonts w:hint="eastAsia" w:ascii="宋体" w:hAnsi="宋体"/>
          <w:b/>
          <w:szCs w:val="21"/>
        </w:rPr>
        <w:t>包括：</w:t>
      </w:r>
    </w:p>
    <w:p>
      <w:pPr>
        <w:topLinePunct/>
        <w:spacing w:line="440" w:lineRule="exact"/>
        <w:rPr>
          <w:rFonts w:ascii="宋体" w:hAnsi="宋体"/>
          <w:szCs w:val="21"/>
        </w:rPr>
      </w:pPr>
      <w:r>
        <w:rPr>
          <w:rFonts w:hint="eastAsia" w:ascii="宋体" w:hAnsi="宋体"/>
          <w:szCs w:val="21"/>
        </w:rPr>
        <w:t>（1）供货配送方案，供货进度计划及保证措施</w:t>
      </w:r>
    </w:p>
    <w:p>
      <w:pPr>
        <w:topLinePunct/>
        <w:spacing w:line="440" w:lineRule="exact"/>
        <w:rPr>
          <w:rFonts w:ascii="宋体" w:hAnsi="宋体"/>
          <w:szCs w:val="21"/>
        </w:rPr>
      </w:pPr>
      <w:r>
        <w:rPr>
          <w:rFonts w:hint="eastAsia" w:ascii="宋体" w:hAnsi="宋体"/>
          <w:szCs w:val="21"/>
        </w:rPr>
        <w:t>（2）质量保证措施</w:t>
      </w:r>
    </w:p>
    <w:p>
      <w:pPr>
        <w:topLinePunct/>
        <w:spacing w:line="440" w:lineRule="exact"/>
        <w:rPr>
          <w:rFonts w:ascii="宋体" w:hAnsi="宋体"/>
          <w:szCs w:val="21"/>
        </w:rPr>
      </w:pPr>
      <w:r>
        <w:rPr>
          <w:rFonts w:hint="eastAsia" w:ascii="宋体" w:hAnsi="宋体"/>
          <w:szCs w:val="21"/>
        </w:rPr>
        <w:t>（3）人员（包括人员数量及专业）、设备投入计划及措施</w:t>
      </w:r>
    </w:p>
    <w:p>
      <w:pPr>
        <w:topLinePunct/>
        <w:spacing w:line="440" w:lineRule="exact"/>
        <w:rPr>
          <w:rFonts w:ascii="宋体" w:hAnsi="宋体"/>
          <w:szCs w:val="21"/>
        </w:rPr>
      </w:pPr>
      <w:r>
        <w:rPr>
          <w:rFonts w:hint="eastAsia" w:ascii="宋体" w:hAnsi="宋体"/>
          <w:szCs w:val="21"/>
        </w:rPr>
        <w:t>（4）安装调试、培训、试运行、验收方案</w:t>
      </w:r>
    </w:p>
    <w:p>
      <w:pPr>
        <w:topLinePunct/>
        <w:spacing w:line="440" w:lineRule="exact"/>
        <w:rPr>
          <w:rFonts w:ascii="宋体" w:hAnsi="宋体"/>
          <w:szCs w:val="21"/>
        </w:rPr>
      </w:pPr>
      <w:r>
        <w:rPr>
          <w:rFonts w:hint="eastAsia" w:ascii="宋体" w:hAnsi="宋体"/>
          <w:szCs w:val="21"/>
        </w:rPr>
        <w:t>（5）售后服务说明，应急处理等售后计划措施</w:t>
      </w:r>
    </w:p>
    <w:p>
      <w:pPr>
        <w:topLinePunct/>
        <w:spacing w:line="440" w:lineRule="exact"/>
        <w:rPr>
          <w:rFonts w:ascii="宋体" w:hAnsi="宋体"/>
          <w:szCs w:val="21"/>
        </w:rPr>
      </w:pPr>
      <w:r>
        <w:rPr>
          <w:rFonts w:hint="eastAsia" w:ascii="宋体" w:hAnsi="宋体"/>
          <w:szCs w:val="21"/>
        </w:rPr>
        <w:t>（6）其他售后服务承诺</w:t>
      </w:r>
    </w:p>
    <w:p>
      <w:pPr>
        <w:adjustRightInd w:val="0"/>
        <w:snapToGrid w:val="0"/>
        <w:spacing w:line="360" w:lineRule="auto"/>
        <w:ind w:left="-88" w:leftChars="-42" w:firstLine="210" w:firstLineChars="100"/>
        <w:rPr>
          <w:rFonts w:ascii="宋体" w:hAnsi="宋体"/>
          <w:szCs w:val="21"/>
        </w:rPr>
      </w:pPr>
    </w:p>
    <w:p>
      <w:pPr>
        <w:spacing w:line="420" w:lineRule="exact"/>
        <w:rPr>
          <w:rFonts w:ascii="宋体" w:hAnsi="宋体"/>
          <w:b/>
          <w:sz w:val="24"/>
        </w:rPr>
      </w:pPr>
    </w:p>
    <w:p>
      <w:pPr>
        <w:spacing w:line="420" w:lineRule="exact"/>
        <w:rPr>
          <w:rFonts w:ascii="宋体" w:hAnsi="宋体"/>
          <w:b/>
          <w:sz w:val="24"/>
        </w:rPr>
      </w:pPr>
    </w:p>
    <w:p>
      <w:pPr>
        <w:adjustRightInd w:val="0"/>
        <w:snapToGrid w:val="0"/>
        <w:spacing w:line="360" w:lineRule="auto"/>
        <w:rPr>
          <w:rFonts w:ascii="宋体" w:hAnsi="宋体"/>
          <w:szCs w:val="21"/>
          <w:lang w:val="en-GB"/>
        </w:rPr>
      </w:pPr>
    </w:p>
    <w:p>
      <w:pPr>
        <w:adjustRightInd w:val="0"/>
        <w:snapToGrid w:val="0"/>
        <w:spacing w:line="360" w:lineRule="auto"/>
        <w:rPr>
          <w:rFonts w:hint="eastAsia" w:ascii="宋体" w:hAnsi="宋体" w:eastAsia="宋体"/>
          <w:bCs/>
          <w:sz w:val="24"/>
          <w:lang w:val="en-US" w:eastAsia="zh-CN"/>
        </w:rPr>
      </w:pPr>
      <w:r>
        <w:rPr>
          <w:rFonts w:ascii="宋体" w:hAnsi="宋体" w:cs="Courier New"/>
          <w:szCs w:val="21"/>
        </w:rPr>
        <w:br w:type="page"/>
      </w:r>
      <w:r>
        <w:rPr>
          <w:rFonts w:hint="eastAsia" w:ascii="宋体" w:hAnsi="宋体"/>
          <w:bCs/>
          <w:sz w:val="24"/>
        </w:rPr>
        <w:t>附件1</w:t>
      </w:r>
      <w:r>
        <w:rPr>
          <w:rFonts w:hint="eastAsia" w:ascii="宋体" w:hAnsi="宋体"/>
          <w:bCs/>
          <w:sz w:val="24"/>
          <w:lang w:val="en-US" w:eastAsia="zh-CN"/>
        </w:rPr>
        <w:t>3</w:t>
      </w:r>
    </w:p>
    <w:p>
      <w:pPr>
        <w:spacing w:line="420" w:lineRule="exact"/>
        <w:jc w:val="center"/>
        <w:rPr>
          <w:rFonts w:ascii="宋体" w:hAnsi="宋体"/>
          <w:b/>
          <w:sz w:val="24"/>
        </w:rPr>
      </w:pPr>
      <w:r>
        <w:rPr>
          <w:rFonts w:hint="eastAsia" w:ascii="宋体" w:hAnsi="宋体"/>
          <w:b/>
          <w:sz w:val="24"/>
        </w:rPr>
        <w:t>拟投入本项目的人员及设备一览表</w:t>
      </w:r>
    </w:p>
    <w:p>
      <w:pPr>
        <w:spacing w:line="360" w:lineRule="exact"/>
        <w:jc w:val="left"/>
        <w:rPr>
          <w:rFonts w:ascii="宋体" w:hAnsi="宋体"/>
          <w:b/>
        </w:rPr>
      </w:pPr>
      <w:r>
        <w:rPr>
          <w:rFonts w:hint="eastAsia" w:ascii="宋体" w:hAnsi="宋体"/>
          <w:b/>
        </w:rPr>
        <w:t xml:space="preserve">                          </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pPr>
              <w:ind w:firstLine="12"/>
              <w:jc w:val="center"/>
              <w:rPr>
                <w:rFonts w:ascii="宋体" w:hAnsi="宋体"/>
              </w:rPr>
            </w:pPr>
            <w:r>
              <w:rPr>
                <w:rFonts w:hint="eastAsia" w:ascii="宋体" w:hAnsi="宋体"/>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pPr>
              <w:jc w:val="center"/>
              <w:rPr>
                <w:rFonts w:ascii="宋体" w:hAnsi="宋体"/>
              </w:rPr>
            </w:pPr>
            <w:r>
              <w:rPr>
                <w:rFonts w:hint="eastAsia" w:ascii="宋体" w:hAnsi="宋体"/>
              </w:rPr>
              <w:t>职责分工</w:t>
            </w:r>
          </w:p>
        </w:tc>
        <w:tc>
          <w:tcPr>
            <w:tcW w:w="1183" w:type="dxa"/>
            <w:vAlign w:val="center"/>
          </w:tcPr>
          <w:p>
            <w:pPr>
              <w:jc w:val="center"/>
              <w:rPr>
                <w:rFonts w:ascii="宋体" w:hAnsi="宋体"/>
              </w:rPr>
            </w:pPr>
            <w:r>
              <w:rPr>
                <w:rFonts w:hint="eastAsia" w:ascii="宋体" w:hAnsi="宋体"/>
              </w:rPr>
              <w:t>姓名</w:t>
            </w:r>
          </w:p>
        </w:tc>
        <w:tc>
          <w:tcPr>
            <w:tcW w:w="945" w:type="dxa"/>
            <w:vAlign w:val="center"/>
          </w:tcPr>
          <w:p>
            <w:pPr>
              <w:jc w:val="center"/>
              <w:rPr>
                <w:rFonts w:ascii="宋体" w:hAnsi="宋体"/>
              </w:rPr>
            </w:pPr>
            <w:r>
              <w:rPr>
                <w:rFonts w:hint="eastAsia" w:ascii="宋体" w:hAnsi="宋体"/>
              </w:rPr>
              <w:t>年龄</w:t>
            </w:r>
          </w:p>
        </w:tc>
        <w:tc>
          <w:tcPr>
            <w:tcW w:w="1137" w:type="dxa"/>
            <w:vAlign w:val="center"/>
          </w:tcPr>
          <w:p>
            <w:pPr>
              <w:jc w:val="center"/>
              <w:rPr>
                <w:rFonts w:ascii="宋体" w:hAnsi="宋体"/>
              </w:rPr>
            </w:pPr>
            <w:r>
              <w:rPr>
                <w:rFonts w:hint="eastAsia" w:ascii="宋体" w:hAnsi="宋体"/>
              </w:rPr>
              <w:t>专业</w:t>
            </w:r>
          </w:p>
        </w:tc>
        <w:tc>
          <w:tcPr>
            <w:tcW w:w="1359" w:type="dxa"/>
            <w:vAlign w:val="center"/>
          </w:tcPr>
          <w:p>
            <w:pPr>
              <w:jc w:val="center"/>
              <w:rPr>
                <w:rFonts w:ascii="宋体" w:hAnsi="宋体"/>
              </w:rPr>
            </w:pPr>
            <w:r>
              <w:rPr>
                <w:rFonts w:hint="eastAsia" w:ascii="宋体" w:hAnsi="宋体"/>
              </w:rPr>
              <w:t>在本项目中担任的岗位</w:t>
            </w:r>
          </w:p>
        </w:tc>
        <w:tc>
          <w:tcPr>
            <w:tcW w:w="1470" w:type="dxa"/>
            <w:vAlign w:val="center"/>
          </w:tcPr>
          <w:p>
            <w:pPr>
              <w:ind w:firstLine="12"/>
              <w:jc w:val="center"/>
              <w:rPr>
                <w:rFonts w:ascii="宋体" w:hAnsi="宋体"/>
              </w:rPr>
            </w:pPr>
            <w:r>
              <w:rPr>
                <w:rFonts w:hint="eastAsia" w:ascii="宋体" w:hAnsi="宋体"/>
              </w:rPr>
              <w:t>从事类似工作年限</w:t>
            </w:r>
          </w:p>
        </w:tc>
        <w:tc>
          <w:tcPr>
            <w:tcW w:w="1142" w:type="dxa"/>
            <w:vAlign w:val="center"/>
          </w:tcPr>
          <w:p>
            <w:pPr>
              <w:ind w:firstLine="12"/>
              <w:jc w:val="center"/>
              <w:rPr>
                <w:rFonts w:ascii="宋体" w:hAnsi="宋体"/>
              </w:rPr>
            </w:pPr>
            <w:r>
              <w:rPr>
                <w:rFonts w:hint="eastAsia"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rPr>
            </w:pPr>
            <w:r>
              <w:rPr>
                <w:rFonts w:hint="eastAsia" w:ascii="宋体" w:hAnsi="宋体"/>
              </w:rPr>
              <w:t>项目负责人</w:t>
            </w: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pStyle w:val="197"/>
              <w:keepNext w:val="0"/>
              <w:adjustRightInd/>
              <w:spacing w:before="0" w:after="0" w:line="240" w:lineRule="auto"/>
              <w:textAlignment w:val="auto"/>
              <w:rPr>
                <w:rFonts w:ascii="宋体" w:hAnsi="宋体"/>
                <w:snapToGrid/>
                <w:spacing w:val="0"/>
                <w:kern w:val="2"/>
                <w:szCs w:val="24"/>
              </w:rPr>
            </w:pPr>
          </w:p>
        </w:tc>
        <w:tc>
          <w:tcPr>
            <w:tcW w:w="1359" w:type="dxa"/>
            <w:vAlign w:val="center"/>
          </w:tcPr>
          <w:p>
            <w:pPr>
              <w:jc w:val="center"/>
              <w:rPr>
                <w:rFonts w:ascii="宋体" w:hAnsi="宋体"/>
              </w:rPr>
            </w:pPr>
          </w:p>
        </w:tc>
        <w:tc>
          <w:tcPr>
            <w:tcW w:w="1470" w:type="dxa"/>
            <w:vAlign w:val="center"/>
          </w:tcPr>
          <w:p>
            <w:pPr>
              <w:ind w:firstLine="12"/>
              <w:jc w:val="center"/>
              <w:rPr>
                <w:rFonts w:ascii="宋体" w:hAnsi="宋体"/>
              </w:rPr>
            </w:pPr>
          </w:p>
        </w:tc>
        <w:tc>
          <w:tcPr>
            <w:tcW w:w="1142" w:type="dxa"/>
            <w:vAlign w:val="center"/>
          </w:tcPr>
          <w:p>
            <w:pPr>
              <w:ind w:firstLine="12"/>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rPr>
            </w:pPr>
            <w:r>
              <w:rPr>
                <w:rFonts w:hint="eastAsia" w:ascii="宋体" w:hAnsi="宋体"/>
              </w:rPr>
              <w:t>其他人员</w:t>
            </w: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rPr>
            </w:pPr>
          </w:p>
        </w:tc>
        <w:tc>
          <w:tcPr>
            <w:tcW w:w="1183" w:type="dxa"/>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rPr>
            </w:pPr>
          </w:p>
        </w:tc>
        <w:tc>
          <w:tcPr>
            <w:tcW w:w="1183" w:type="dxa"/>
            <w:tcBorders>
              <w:bottom w:val="single" w:color="auto" w:sz="4" w:space="0"/>
            </w:tcBorders>
            <w:vAlign w:val="center"/>
          </w:tcPr>
          <w:p>
            <w:pPr>
              <w:jc w:val="center"/>
              <w:rPr>
                <w:rFonts w:ascii="宋体" w:hAnsi="宋体"/>
              </w:rPr>
            </w:pPr>
          </w:p>
        </w:tc>
        <w:tc>
          <w:tcPr>
            <w:tcW w:w="945" w:type="dxa"/>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7"/>
            <w:tcBorders>
              <w:top w:val="single" w:color="auto" w:sz="4" w:space="0"/>
              <w:bottom w:val="single" w:color="auto" w:sz="4" w:space="0"/>
            </w:tcBorders>
            <w:vAlign w:val="center"/>
          </w:tcPr>
          <w:p>
            <w:pPr>
              <w:jc w:val="center"/>
              <w:rPr>
                <w:rFonts w:ascii="宋体" w:hAnsi="宋体"/>
              </w:rPr>
            </w:pPr>
            <w:r>
              <w:rPr>
                <w:rFonts w:hint="eastAsia" w:ascii="宋体" w:hAnsi="宋体"/>
              </w:rPr>
              <w:t>设备车辆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rPr>
            </w:pPr>
            <w:r>
              <w:rPr>
                <w:rFonts w:hint="eastAsia" w:ascii="宋体" w:hAnsi="宋体"/>
              </w:rPr>
              <w:t>序号</w:t>
            </w:r>
          </w:p>
        </w:tc>
        <w:tc>
          <w:tcPr>
            <w:tcW w:w="2128" w:type="dxa"/>
            <w:gridSpan w:val="2"/>
            <w:tcBorders>
              <w:top w:val="single" w:color="auto" w:sz="4" w:space="0"/>
              <w:bottom w:val="single" w:color="auto" w:sz="4" w:space="0"/>
            </w:tcBorders>
            <w:vAlign w:val="center"/>
          </w:tcPr>
          <w:p>
            <w:pPr>
              <w:jc w:val="center"/>
              <w:rPr>
                <w:rFonts w:ascii="宋体" w:hAnsi="宋体"/>
              </w:rPr>
            </w:pPr>
            <w:r>
              <w:rPr>
                <w:rFonts w:hint="eastAsia" w:ascii="宋体" w:hAnsi="宋体"/>
              </w:rPr>
              <w:t>设备名称</w:t>
            </w:r>
          </w:p>
        </w:tc>
        <w:tc>
          <w:tcPr>
            <w:tcW w:w="1137" w:type="dxa"/>
            <w:vAlign w:val="center"/>
          </w:tcPr>
          <w:p>
            <w:pPr>
              <w:jc w:val="center"/>
              <w:rPr>
                <w:rFonts w:ascii="宋体" w:hAnsi="宋体"/>
              </w:rPr>
            </w:pPr>
            <w:r>
              <w:rPr>
                <w:rFonts w:hint="eastAsia" w:ascii="宋体" w:hAnsi="宋体"/>
              </w:rPr>
              <w:t>规格型号</w:t>
            </w:r>
          </w:p>
        </w:tc>
        <w:tc>
          <w:tcPr>
            <w:tcW w:w="1359" w:type="dxa"/>
            <w:vAlign w:val="center"/>
          </w:tcPr>
          <w:p>
            <w:pPr>
              <w:jc w:val="center"/>
              <w:rPr>
                <w:rFonts w:ascii="宋体" w:hAnsi="宋体"/>
              </w:rPr>
            </w:pPr>
            <w:r>
              <w:rPr>
                <w:rFonts w:hint="eastAsia" w:ascii="宋体" w:hAnsi="宋体"/>
              </w:rPr>
              <w:t>单位</w:t>
            </w:r>
          </w:p>
        </w:tc>
        <w:tc>
          <w:tcPr>
            <w:tcW w:w="1470" w:type="dxa"/>
            <w:vAlign w:val="center"/>
          </w:tcPr>
          <w:p>
            <w:pPr>
              <w:jc w:val="center"/>
              <w:rPr>
                <w:rFonts w:ascii="宋体" w:hAnsi="宋体"/>
              </w:rPr>
            </w:pPr>
            <w:r>
              <w:rPr>
                <w:rFonts w:hint="eastAsia" w:ascii="宋体" w:hAnsi="宋体"/>
              </w:rPr>
              <w:t>数量</w:t>
            </w:r>
          </w:p>
        </w:tc>
        <w:tc>
          <w:tcPr>
            <w:tcW w:w="1142" w:type="dxa"/>
            <w:vAlign w:val="center"/>
          </w:tcPr>
          <w:p>
            <w:pPr>
              <w:jc w:val="center"/>
              <w:rPr>
                <w:rFonts w:ascii="宋体" w:hAnsi="宋体"/>
              </w:rPr>
            </w:pPr>
            <w:r>
              <w:rPr>
                <w:rFonts w:hint="eastAsia"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rPr>
            </w:pPr>
          </w:p>
        </w:tc>
        <w:tc>
          <w:tcPr>
            <w:tcW w:w="2128" w:type="dxa"/>
            <w:gridSpan w:val="2"/>
            <w:tcBorders>
              <w:top w:val="single" w:color="auto" w:sz="4" w:space="0"/>
              <w:bottom w:val="single" w:color="auto" w:sz="4" w:space="0"/>
            </w:tcBorders>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rPr>
            </w:pPr>
          </w:p>
        </w:tc>
        <w:tc>
          <w:tcPr>
            <w:tcW w:w="2128" w:type="dxa"/>
            <w:gridSpan w:val="2"/>
            <w:tcBorders>
              <w:top w:val="single" w:color="auto" w:sz="4" w:space="0"/>
              <w:bottom w:val="single" w:color="auto" w:sz="4" w:space="0"/>
            </w:tcBorders>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rPr>
            </w:pPr>
          </w:p>
        </w:tc>
        <w:tc>
          <w:tcPr>
            <w:tcW w:w="2128" w:type="dxa"/>
            <w:gridSpan w:val="2"/>
            <w:tcBorders>
              <w:top w:val="single" w:color="auto" w:sz="4" w:space="0"/>
              <w:bottom w:val="single" w:color="auto" w:sz="4" w:space="0"/>
            </w:tcBorders>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rPr>
            </w:pPr>
          </w:p>
        </w:tc>
        <w:tc>
          <w:tcPr>
            <w:tcW w:w="2128" w:type="dxa"/>
            <w:gridSpan w:val="2"/>
            <w:tcBorders>
              <w:top w:val="single" w:color="auto" w:sz="4" w:space="0"/>
              <w:bottom w:val="single" w:color="auto" w:sz="4" w:space="0"/>
            </w:tcBorders>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rPr>
            </w:pPr>
          </w:p>
        </w:tc>
        <w:tc>
          <w:tcPr>
            <w:tcW w:w="2128" w:type="dxa"/>
            <w:gridSpan w:val="2"/>
            <w:tcBorders>
              <w:top w:val="single" w:color="auto" w:sz="4" w:space="0"/>
              <w:bottom w:val="single" w:color="auto" w:sz="4" w:space="0"/>
            </w:tcBorders>
            <w:vAlign w:val="center"/>
          </w:tcPr>
          <w:p>
            <w:pPr>
              <w:jc w:val="center"/>
              <w:rPr>
                <w:rFonts w:ascii="宋体" w:hAnsi="宋体"/>
              </w:rPr>
            </w:pPr>
          </w:p>
        </w:tc>
        <w:tc>
          <w:tcPr>
            <w:tcW w:w="1137" w:type="dxa"/>
            <w:vAlign w:val="center"/>
          </w:tcPr>
          <w:p>
            <w:pPr>
              <w:jc w:val="center"/>
              <w:rPr>
                <w:rFonts w:ascii="宋体" w:hAnsi="宋体"/>
              </w:rPr>
            </w:pPr>
          </w:p>
        </w:tc>
        <w:tc>
          <w:tcPr>
            <w:tcW w:w="1359" w:type="dxa"/>
            <w:vAlign w:val="center"/>
          </w:tcPr>
          <w:p>
            <w:pPr>
              <w:jc w:val="center"/>
              <w:rPr>
                <w:rFonts w:ascii="宋体" w:hAnsi="宋体"/>
              </w:rPr>
            </w:pPr>
          </w:p>
        </w:tc>
        <w:tc>
          <w:tcPr>
            <w:tcW w:w="1470" w:type="dxa"/>
            <w:vAlign w:val="center"/>
          </w:tcPr>
          <w:p>
            <w:pPr>
              <w:jc w:val="center"/>
              <w:rPr>
                <w:rFonts w:ascii="宋体" w:hAnsi="宋体"/>
              </w:rPr>
            </w:pPr>
          </w:p>
        </w:tc>
        <w:tc>
          <w:tcPr>
            <w:tcW w:w="1142" w:type="dxa"/>
            <w:vAlign w:val="center"/>
          </w:tcPr>
          <w:p>
            <w:pPr>
              <w:jc w:val="center"/>
              <w:rPr>
                <w:rFonts w:ascii="宋体" w:hAnsi="宋体"/>
              </w:rPr>
            </w:pPr>
          </w:p>
        </w:tc>
      </w:tr>
    </w:tbl>
    <w:p>
      <w:pPr>
        <w:spacing w:line="400" w:lineRule="exact"/>
        <w:rPr>
          <w:rFonts w:ascii="宋体" w:hAnsi="宋体"/>
        </w:rPr>
      </w:pPr>
    </w:p>
    <w:p>
      <w:pPr>
        <w:spacing w:line="400" w:lineRule="exact"/>
        <w:rPr>
          <w:rFonts w:ascii="宋体" w:hAnsi="宋体"/>
        </w:rPr>
      </w:pPr>
      <w:r>
        <w:rPr>
          <w:rFonts w:hint="eastAsia" w:ascii="宋体" w:hAnsi="宋体"/>
        </w:rPr>
        <w:t>说明：1、包括项目实施人员、培训人员及售后服务人员。</w:t>
      </w:r>
    </w:p>
    <w:p>
      <w:pPr>
        <w:spacing w:line="400" w:lineRule="exact"/>
        <w:ind w:firstLine="630" w:firstLineChars="300"/>
        <w:rPr>
          <w:rFonts w:ascii="宋体" w:hAnsi="宋体"/>
        </w:rPr>
      </w:pPr>
      <w:r>
        <w:rPr>
          <w:rFonts w:hint="eastAsia" w:ascii="宋体" w:hAnsi="宋体"/>
        </w:rPr>
        <w:t>2、人员须提供身份证及近半年的本单位个人社保缴纳证明。</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pStyle w:val="24"/>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400" w:lineRule="exact"/>
        <w:rPr>
          <w:rFonts w:ascii="宋体" w:hAnsi="宋体"/>
        </w:rPr>
      </w:pPr>
    </w:p>
    <w:p>
      <w:pPr>
        <w:spacing w:line="400" w:lineRule="exact"/>
        <w:rPr>
          <w:rFonts w:ascii="宋体" w:hAnsi="宋体"/>
        </w:rPr>
      </w:pPr>
    </w:p>
    <w:p>
      <w:pPr>
        <w:adjustRightInd w:val="0"/>
        <w:snapToGrid w:val="0"/>
        <w:spacing w:line="360" w:lineRule="auto"/>
        <w:rPr>
          <w:rFonts w:hint="eastAsia" w:ascii="宋体" w:hAnsi="宋体" w:eastAsia="宋体"/>
          <w:bCs/>
          <w:sz w:val="24"/>
          <w:lang w:val="en-US" w:eastAsia="zh-CN"/>
        </w:rPr>
      </w:pPr>
      <w:r>
        <w:rPr>
          <w:rFonts w:ascii="宋体" w:hAnsi="宋体"/>
          <w:bCs/>
        </w:rPr>
        <w:br w:type="page"/>
      </w:r>
      <w:r>
        <w:rPr>
          <w:rFonts w:hint="eastAsia" w:ascii="宋体" w:hAnsi="宋体"/>
          <w:bCs/>
          <w:sz w:val="24"/>
        </w:rPr>
        <w:t>附件1</w:t>
      </w:r>
      <w:r>
        <w:rPr>
          <w:rFonts w:hint="eastAsia" w:ascii="宋体" w:hAnsi="宋体"/>
          <w:bCs/>
          <w:sz w:val="24"/>
          <w:lang w:val="en-US" w:eastAsia="zh-CN"/>
        </w:rPr>
        <w:t>4</w:t>
      </w:r>
    </w:p>
    <w:p>
      <w:pPr>
        <w:pStyle w:val="22"/>
        <w:snapToGrid w:val="0"/>
        <w:spacing w:before="295" w:after="295"/>
        <w:jc w:val="center"/>
        <w:rPr>
          <w:rFonts w:ascii="宋体" w:hAnsi="宋体"/>
          <w:b/>
          <w:szCs w:val="24"/>
        </w:rPr>
      </w:pPr>
      <w:r>
        <w:rPr>
          <w:rFonts w:hint="eastAsia" w:ascii="宋体" w:hAnsi="宋体"/>
          <w:b/>
          <w:szCs w:val="24"/>
        </w:rPr>
        <w:t>服务附表</w:t>
      </w: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jc w:val="center"/>
              <w:rPr>
                <w:rFonts w:ascii="宋体" w:hAnsi="宋体"/>
                <w:szCs w:val="21"/>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jc w:val="center"/>
              <w:rPr>
                <w:rFonts w:ascii="宋体" w:hAnsi="宋体"/>
                <w:szCs w:val="21"/>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r>
              <w:rPr>
                <w:rFonts w:hint="eastAsia" w:ascii="宋体" w:hAnsi="宋体"/>
                <w:szCs w:val="21"/>
              </w:rPr>
              <w:t>其中：供应商出资比例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ind w:left="60"/>
              <w:jc w:val="left"/>
              <w:rPr>
                <w:rFonts w:ascii="宋体" w:hAnsi="宋体"/>
                <w:szCs w:val="21"/>
              </w:rPr>
            </w:pPr>
            <w:r>
              <w:rPr>
                <w:rFonts w:hint="eastAsia" w:ascii="宋体" w:hAnsi="宋体"/>
                <w:szCs w:val="21"/>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4" w:space="0"/>
              <w:right w:val="single" w:color="auto" w:sz="4" w:space="0"/>
            </w:tcBorders>
            <w:vAlign w:val="center"/>
          </w:tcPr>
          <w:p>
            <w:pPr>
              <w:snapToGrid w:val="0"/>
              <w:spacing w:before="50" w:after="12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ind w:firstLine="210" w:firstLineChars="100"/>
              <w:rPr>
                <w:rFonts w:ascii="宋体" w:hAnsi="宋体"/>
                <w:szCs w:val="21"/>
              </w:rPr>
            </w:pPr>
            <w:r>
              <w:rPr>
                <w:rFonts w:hint="eastAsia" w:ascii="宋体" w:hAnsi="宋体"/>
                <w:szCs w:val="21"/>
              </w:rPr>
              <w:t>传</w:t>
            </w:r>
            <w:r>
              <w:rPr>
                <w:rFonts w:ascii="宋体" w:hAnsi="宋体"/>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00" w:lineRule="exact"/>
              <w:rPr>
                <w:rFonts w:ascii="宋体" w:hAnsi="宋体"/>
                <w:szCs w:val="21"/>
              </w:rPr>
            </w:pPr>
            <w:r>
              <w:rPr>
                <w:rFonts w:hint="eastAsia" w:ascii="宋体" w:hAnsi="宋体"/>
                <w:szCs w:val="21"/>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center"/>
              <w:rPr>
                <w:rFonts w:ascii="宋体" w:hAnsi="宋体"/>
                <w:szCs w:val="21"/>
              </w:rPr>
            </w:pPr>
            <w:r>
              <w:rPr>
                <w:rFonts w:hint="eastAsia" w:ascii="宋体" w:hAnsi="宋体"/>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400" w:lineRule="exact"/>
              <w:jc w:val="left"/>
              <w:rPr>
                <w:rFonts w:ascii="宋体" w:hAnsi="宋体"/>
                <w:szCs w:val="21"/>
              </w:rPr>
            </w:pPr>
          </w:p>
        </w:tc>
        <w:tc>
          <w:tcPr>
            <w:tcW w:w="2048" w:type="dxa"/>
            <w:vMerge w:val="continue"/>
            <w:tcBorders>
              <w:left w:val="single" w:color="auto" w:sz="2" w:space="0"/>
              <w:bottom w:val="single" w:color="auto" w:sz="4" w:space="0"/>
              <w:right w:val="single" w:color="auto" w:sz="4" w:space="0"/>
            </w:tcBorders>
          </w:tcPr>
          <w:p>
            <w:pPr>
              <w:snapToGrid w:val="0"/>
              <w:spacing w:before="50" w:after="120" w:afterLines="50" w:line="400" w:lineRule="exact"/>
              <w:jc w:val="left"/>
              <w:rPr>
                <w:rFonts w:ascii="宋体" w:hAnsi="宋体"/>
                <w:szCs w:val="21"/>
              </w:rPr>
            </w:pPr>
          </w:p>
        </w:tc>
      </w:tr>
    </w:tbl>
    <w:p>
      <w:pPr>
        <w:spacing w:line="440" w:lineRule="exact"/>
        <w:jc w:val="right"/>
        <w:rPr>
          <w:rFonts w:ascii="宋体" w:hAnsi="宋体"/>
          <w:szCs w:val="21"/>
        </w:rPr>
      </w:pPr>
    </w:p>
    <w:p>
      <w:pPr>
        <w:pStyle w:val="24"/>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3"/>
        <w:jc w:val="center"/>
        <w:rPr>
          <w:rFonts w:ascii="宋体" w:hAnsi="宋体"/>
          <w:sz w:val="28"/>
          <w:szCs w:val="28"/>
        </w:rPr>
      </w:pPr>
      <w:r>
        <w:rPr>
          <w:rFonts w:ascii="宋体" w:hAnsi="宋体" w:cs="Courier New"/>
          <w:szCs w:val="21"/>
        </w:rPr>
        <w:br w:type="page"/>
      </w:r>
      <w:bookmarkStart w:id="93" w:name="_Toc474770926"/>
      <w:bookmarkStart w:id="94" w:name="_Toc439149570"/>
      <w:r>
        <w:rPr>
          <w:rFonts w:hint="eastAsia" w:ascii="宋体" w:hAnsi="宋体"/>
          <w:sz w:val="28"/>
          <w:szCs w:val="28"/>
        </w:rPr>
        <w:t>八、商务响应/偏离表</w:t>
      </w:r>
      <w:bookmarkEnd w:id="93"/>
    </w:p>
    <w:p>
      <w:pPr>
        <w:spacing w:line="360" w:lineRule="exact"/>
        <w:jc w:val="left"/>
        <w:rPr>
          <w:rFonts w:ascii="宋体" w:hAnsi="宋体"/>
          <w:b/>
        </w:rPr>
      </w:pPr>
      <w:r>
        <w:rPr>
          <w:rFonts w:hint="eastAsia" w:ascii="宋体" w:hAnsi="宋体"/>
          <w:b/>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pPr>
              <w:adjustRightInd w:val="0"/>
              <w:snapToGrid w:val="0"/>
              <w:ind w:left="-88" w:leftChars="-42"/>
              <w:jc w:val="center"/>
              <w:rPr>
                <w:rFonts w:ascii="宋体" w:hAnsi="宋体"/>
                <w:bCs/>
                <w:szCs w:val="21"/>
              </w:rPr>
            </w:pPr>
            <w:r>
              <w:rPr>
                <w:rFonts w:hint="eastAsia" w:ascii="宋体" w:hAnsi="宋体"/>
                <w:bCs/>
                <w:szCs w:val="21"/>
              </w:rPr>
              <w:t>序号</w:t>
            </w:r>
          </w:p>
        </w:tc>
        <w:tc>
          <w:tcPr>
            <w:tcW w:w="1332" w:type="dxa"/>
            <w:vAlign w:val="center"/>
          </w:tcPr>
          <w:p>
            <w:pPr>
              <w:adjustRightInd w:val="0"/>
              <w:snapToGrid w:val="0"/>
              <w:ind w:left="-88" w:leftChars="-42"/>
              <w:jc w:val="center"/>
              <w:rPr>
                <w:rFonts w:ascii="宋体" w:hAnsi="宋体"/>
                <w:szCs w:val="21"/>
              </w:rPr>
            </w:pPr>
            <w:r>
              <w:rPr>
                <w:rFonts w:hint="eastAsia" w:ascii="宋体" w:hAnsi="宋体"/>
                <w:szCs w:val="21"/>
              </w:rPr>
              <w:t>文件条目号</w:t>
            </w:r>
          </w:p>
        </w:tc>
        <w:tc>
          <w:tcPr>
            <w:tcW w:w="1948" w:type="dxa"/>
            <w:vAlign w:val="center"/>
          </w:tcPr>
          <w:p>
            <w:pPr>
              <w:adjustRightInd w:val="0"/>
              <w:snapToGrid w:val="0"/>
              <w:ind w:left="-88" w:leftChars="-42"/>
              <w:jc w:val="center"/>
              <w:rPr>
                <w:rFonts w:ascii="宋体" w:hAnsi="宋体"/>
                <w:bCs/>
                <w:szCs w:val="21"/>
              </w:rPr>
            </w:pPr>
            <w:r>
              <w:rPr>
                <w:rFonts w:hint="eastAsia" w:ascii="宋体" w:hAnsi="宋体"/>
                <w:bCs/>
                <w:szCs w:val="21"/>
              </w:rPr>
              <w:t>采购规格/商务条款</w:t>
            </w:r>
          </w:p>
        </w:tc>
        <w:tc>
          <w:tcPr>
            <w:tcW w:w="2600" w:type="dxa"/>
            <w:vAlign w:val="center"/>
          </w:tcPr>
          <w:p>
            <w:pPr>
              <w:adjustRightInd w:val="0"/>
              <w:snapToGrid w:val="0"/>
              <w:ind w:left="-88" w:leftChars="-42"/>
              <w:jc w:val="center"/>
              <w:rPr>
                <w:rFonts w:ascii="宋体" w:hAnsi="宋体"/>
                <w:bCs/>
                <w:szCs w:val="21"/>
              </w:rPr>
            </w:pPr>
            <w:r>
              <w:rPr>
                <w:rFonts w:hint="eastAsia" w:ascii="宋体" w:hAnsi="宋体"/>
                <w:bCs/>
                <w:szCs w:val="21"/>
              </w:rPr>
              <w:t>响应文件的规格/商务条款</w:t>
            </w:r>
          </w:p>
        </w:tc>
        <w:tc>
          <w:tcPr>
            <w:tcW w:w="1288" w:type="dxa"/>
            <w:vAlign w:val="center"/>
          </w:tcPr>
          <w:p>
            <w:pPr>
              <w:adjustRightInd w:val="0"/>
              <w:snapToGrid w:val="0"/>
              <w:ind w:left="-88" w:leftChars="-42"/>
              <w:jc w:val="center"/>
              <w:rPr>
                <w:rFonts w:ascii="宋体" w:hAnsi="宋体"/>
                <w:bCs/>
                <w:szCs w:val="21"/>
              </w:rPr>
            </w:pPr>
            <w:r>
              <w:rPr>
                <w:rFonts w:hint="eastAsia" w:ascii="宋体" w:hAnsi="宋体"/>
                <w:bCs/>
                <w:szCs w:val="21"/>
              </w:rPr>
              <w:t>响应与偏离</w:t>
            </w:r>
          </w:p>
        </w:tc>
        <w:tc>
          <w:tcPr>
            <w:tcW w:w="840" w:type="dxa"/>
            <w:vAlign w:val="center"/>
          </w:tcPr>
          <w:p>
            <w:pPr>
              <w:adjustRightInd w:val="0"/>
              <w:snapToGrid w:val="0"/>
              <w:ind w:left="-88" w:leftChars="-42"/>
              <w:jc w:val="center"/>
              <w:rPr>
                <w:rFonts w:ascii="宋体" w:hAnsi="宋体"/>
                <w:bCs/>
                <w:szCs w:val="21"/>
              </w:rPr>
            </w:pPr>
            <w:r>
              <w:rPr>
                <w:rFonts w:hint="eastAsia" w:ascii="宋体" w:hAnsi="宋体"/>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bCs/>
                <w:szCs w:val="21"/>
              </w:rPr>
            </w:pPr>
          </w:p>
        </w:tc>
        <w:tc>
          <w:tcPr>
            <w:tcW w:w="2600" w:type="dxa"/>
            <w:vAlign w:val="center"/>
          </w:tcPr>
          <w:p>
            <w:pPr>
              <w:adjustRightInd w:val="0"/>
              <w:snapToGrid w:val="0"/>
              <w:ind w:left="-88" w:leftChars="-42"/>
              <w:jc w:val="center"/>
              <w:rPr>
                <w:rFonts w:ascii="宋体" w:hAnsi="宋体"/>
                <w:bCs/>
                <w:szCs w:val="21"/>
              </w:rPr>
            </w:pPr>
          </w:p>
        </w:tc>
        <w:tc>
          <w:tcPr>
            <w:tcW w:w="1288" w:type="dxa"/>
            <w:vAlign w:val="center"/>
          </w:tcPr>
          <w:p>
            <w:pPr>
              <w:adjustRightInd w:val="0"/>
              <w:snapToGrid w:val="0"/>
              <w:ind w:left="-88" w:leftChars="-42"/>
              <w:jc w:val="center"/>
              <w:rPr>
                <w:rFonts w:ascii="宋体" w:hAnsi="宋体"/>
                <w:bCs/>
                <w:szCs w:val="21"/>
              </w:rPr>
            </w:pPr>
          </w:p>
        </w:tc>
        <w:tc>
          <w:tcPr>
            <w:tcW w:w="840" w:type="dxa"/>
            <w:vAlign w:val="center"/>
          </w:tcPr>
          <w:p>
            <w:pPr>
              <w:adjustRightInd w:val="0"/>
              <w:snapToGrid w:val="0"/>
              <w:ind w:left="-88" w:leftChars="-42"/>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600" w:type="dxa"/>
            <w:vAlign w:val="center"/>
          </w:tcPr>
          <w:p>
            <w:pPr>
              <w:adjustRightInd w:val="0"/>
              <w:snapToGrid w:val="0"/>
              <w:ind w:left="-88" w:leftChars="-42"/>
              <w:jc w:val="center"/>
              <w:rPr>
                <w:rFonts w:ascii="宋体" w:hAnsi="宋体"/>
                <w:szCs w:val="21"/>
              </w:rPr>
            </w:pPr>
          </w:p>
        </w:tc>
        <w:tc>
          <w:tcPr>
            <w:tcW w:w="1288" w:type="dxa"/>
            <w:vAlign w:val="center"/>
          </w:tcPr>
          <w:p>
            <w:pPr>
              <w:adjustRightInd w:val="0"/>
              <w:snapToGrid w:val="0"/>
              <w:ind w:left="-88" w:leftChars="-42"/>
              <w:jc w:val="center"/>
              <w:rPr>
                <w:rFonts w:ascii="宋体" w:hAnsi="宋体"/>
                <w:szCs w:val="21"/>
              </w:rPr>
            </w:pPr>
          </w:p>
        </w:tc>
        <w:tc>
          <w:tcPr>
            <w:tcW w:w="840" w:type="dxa"/>
            <w:vAlign w:val="center"/>
          </w:tcPr>
          <w:p>
            <w:pPr>
              <w:adjustRightInd w:val="0"/>
              <w:snapToGrid w:val="0"/>
              <w:ind w:left="-88" w:leftChars="-42"/>
              <w:jc w:val="center"/>
              <w:rPr>
                <w:rFonts w:ascii="宋体" w:hAnsi="宋体"/>
                <w:szCs w:val="21"/>
              </w:rPr>
            </w:pPr>
          </w:p>
        </w:tc>
      </w:tr>
    </w:tbl>
    <w:p>
      <w:pPr>
        <w:adjustRightInd w:val="0"/>
        <w:snapToGrid w:val="0"/>
        <w:spacing w:before="50" w:line="360" w:lineRule="auto"/>
        <w:ind w:firstLine="315" w:firstLineChars="150"/>
        <w:rPr>
          <w:rFonts w:ascii="宋体" w:hAnsi="宋体"/>
          <w:szCs w:val="21"/>
        </w:rPr>
      </w:pPr>
      <w:r>
        <w:rPr>
          <w:rFonts w:hint="eastAsia" w:ascii="宋体" w:hAnsi="宋体"/>
          <w:szCs w:val="21"/>
        </w:rPr>
        <w:t xml:space="preserve">说明：指付款条件、交货完工期、质保期等商务要求，“响应与偏离”应注明“响应”或“偏离”。  </w:t>
      </w:r>
    </w:p>
    <w:p>
      <w:pPr>
        <w:adjustRightInd w:val="0"/>
        <w:snapToGrid w:val="0"/>
        <w:spacing w:before="50" w:line="360" w:lineRule="auto"/>
        <w:ind w:firstLine="315" w:firstLineChars="150"/>
        <w:rPr>
          <w:rFonts w:ascii="宋体" w:hAnsi="宋体"/>
          <w:szCs w:val="21"/>
        </w:rPr>
      </w:pPr>
    </w:p>
    <w:p>
      <w:pPr>
        <w:adjustRightInd w:val="0"/>
        <w:snapToGrid w:val="0"/>
        <w:spacing w:line="360" w:lineRule="auto"/>
        <w:ind w:left="-88" w:leftChars="-42"/>
        <w:rPr>
          <w:rFonts w:ascii="宋体" w:hAnsi="宋体"/>
          <w:szCs w:val="21"/>
        </w:rPr>
      </w:pPr>
      <w:r>
        <w:rPr>
          <w:rFonts w:hint="eastAsia" w:ascii="宋体" w:hAnsi="宋体"/>
          <w:szCs w:val="21"/>
        </w:rPr>
        <w:t xml:space="preserve">        </w:t>
      </w:r>
    </w:p>
    <w:p>
      <w:pPr>
        <w:pStyle w:val="24"/>
        <w:adjustRightInd w:val="0"/>
        <w:snapToGrid w:val="0"/>
        <w:spacing w:line="360" w:lineRule="auto"/>
        <w:rPr>
          <w:rFonts w:ascii="宋体" w:hAnsi="宋体"/>
          <w:sz w:val="21"/>
          <w:szCs w:val="21"/>
        </w:rPr>
      </w:pPr>
    </w:p>
    <w:p>
      <w:pPr>
        <w:pStyle w:val="24"/>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ascii="宋体" w:hAnsi="宋体"/>
          <w:szCs w:val="21"/>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szCs w:val="21"/>
          <w:u w:val="single"/>
        </w:rPr>
        <w:sectPr>
          <w:pgSz w:w="11906" w:h="16838"/>
          <w:pgMar w:top="1440" w:right="1797" w:bottom="1440" w:left="1797" w:header="851" w:footer="992" w:gutter="0"/>
          <w:cols w:space="720" w:num="1"/>
          <w:docGrid w:linePitch="312" w:charSpace="0"/>
        </w:sectPr>
      </w:pPr>
    </w:p>
    <w:p>
      <w:pPr>
        <w:pStyle w:val="3"/>
        <w:jc w:val="center"/>
        <w:rPr>
          <w:rFonts w:ascii="宋体" w:hAnsi="宋体"/>
          <w:sz w:val="28"/>
          <w:szCs w:val="28"/>
        </w:rPr>
      </w:pPr>
      <w:bookmarkStart w:id="95" w:name="_Toc474770927"/>
      <w:r>
        <w:rPr>
          <w:rFonts w:hint="eastAsia" w:ascii="宋体" w:hAnsi="宋体"/>
          <w:sz w:val="28"/>
          <w:szCs w:val="28"/>
        </w:rPr>
        <w:t>九、供应商认为需要提供的其它资料</w:t>
      </w:r>
      <w:bookmarkEnd w:id="94"/>
      <w:bookmarkEnd w:id="95"/>
    </w:p>
    <w:p>
      <w:pPr>
        <w:rPr>
          <w:rFonts w:ascii="宋体" w:hAnsi="宋体"/>
        </w:rPr>
      </w:pPr>
    </w:p>
    <w:bookmarkEnd w:id="0"/>
    <w:p>
      <w:pPr>
        <w:spacing w:line="360" w:lineRule="exact"/>
        <w:rPr>
          <w:rFonts w:ascii="宋体" w:hAnsi="宋体"/>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ail">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003F01FF" w:csb1="00000000"/>
  </w:font>
  <w:font w:name="Segoe UI Semibold">
    <w:panose1 w:val="020B07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before="120"/>
      <w:jc w:val="center"/>
    </w:pPr>
    <w:r>
      <w:fldChar w:fldCharType="begin"/>
    </w:r>
    <w:r>
      <w:instrText xml:space="preserve"> PAGE   \* MERGEFORMAT </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3NzlmZmQ4YWQxNzY5ZDc5NTFmYzAxZTBiZGE5OTEifQ=="/>
  </w:docVars>
  <w:rsids>
    <w:rsidRoot w:val="00B920B1"/>
    <w:rsid w:val="000002CE"/>
    <w:rsid w:val="00000DFF"/>
    <w:rsid w:val="000012F9"/>
    <w:rsid w:val="00002172"/>
    <w:rsid w:val="00002544"/>
    <w:rsid w:val="00002E2E"/>
    <w:rsid w:val="000030EA"/>
    <w:rsid w:val="000037EC"/>
    <w:rsid w:val="000039F2"/>
    <w:rsid w:val="00004DC9"/>
    <w:rsid w:val="00005006"/>
    <w:rsid w:val="00005346"/>
    <w:rsid w:val="000066E3"/>
    <w:rsid w:val="00007588"/>
    <w:rsid w:val="00007E3E"/>
    <w:rsid w:val="00010070"/>
    <w:rsid w:val="00010A71"/>
    <w:rsid w:val="000118A1"/>
    <w:rsid w:val="00012C6F"/>
    <w:rsid w:val="00013494"/>
    <w:rsid w:val="00013760"/>
    <w:rsid w:val="000138F8"/>
    <w:rsid w:val="00014AF5"/>
    <w:rsid w:val="00014CCB"/>
    <w:rsid w:val="00014D41"/>
    <w:rsid w:val="000155BE"/>
    <w:rsid w:val="00015BDE"/>
    <w:rsid w:val="0001747D"/>
    <w:rsid w:val="000174C5"/>
    <w:rsid w:val="0001790E"/>
    <w:rsid w:val="00020104"/>
    <w:rsid w:val="00020D25"/>
    <w:rsid w:val="0002118E"/>
    <w:rsid w:val="000211C9"/>
    <w:rsid w:val="0002142A"/>
    <w:rsid w:val="000215D0"/>
    <w:rsid w:val="0002220D"/>
    <w:rsid w:val="0002279D"/>
    <w:rsid w:val="00022987"/>
    <w:rsid w:val="000234DB"/>
    <w:rsid w:val="000243B2"/>
    <w:rsid w:val="00024CAB"/>
    <w:rsid w:val="0002524B"/>
    <w:rsid w:val="0002672C"/>
    <w:rsid w:val="0002731F"/>
    <w:rsid w:val="00030D5C"/>
    <w:rsid w:val="00031A0D"/>
    <w:rsid w:val="00032B00"/>
    <w:rsid w:val="00033B72"/>
    <w:rsid w:val="000347D4"/>
    <w:rsid w:val="00034E41"/>
    <w:rsid w:val="00035AAF"/>
    <w:rsid w:val="00035EE4"/>
    <w:rsid w:val="0003620E"/>
    <w:rsid w:val="0003664F"/>
    <w:rsid w:val="000366B0"/>
    <w:rsid w:val="00036DB0"/>
    <w:rsid w:val="0003777E"/>
    <w:rsid w:val="00040397"/>
    <w:rsid w:val="000403A5"/>
    <w:rsid w:val="00040456"/>
    <w:rsid w:val="000407F0"/>
    <w:rsid w:val="00040973"/>
    <w:rsid w:val="00040BFA"/>
    <w:rsid w:val="00040E90"/>
    <w:rsid w:val="000415A2"/>
    <w:rsid w:val="00041C8B"/>
    <w:rsid w:val="00041CB9"/>
    <w:rsid w:val="0004221E"/>
    <w:rsid w:val="00042B5A"/>
    <w:rsid w:val="00042E1D"/>
    <w:rsid w:val="00043078"/>
    <w:rsid w:val="00043251"/>
    <w:rsid w:val="00044091"/>
    <w:rsid w:val="0004450B"/>
    <w:rsid w:val="00044515"/>
    <w:rsid w:val="000454B7"/>
    <w:rsid w:val="000454DD"/>
    <w:rsid w:val="00045F5E"/>
    <w:rsid w:val="00046DE6"/>
    <w:rsid w:val="00047452"/>
    <w:rsid w:val="00047910"/>
    <w:rsid w:val="00047DC8"/>
    <w:rsid w:val="00047F3B"/>
    <w:rsid w:val="0005004F"/>
    <w:rsid w:val="00051DEB"/>
    <w:rsid w:val="00053736"/>
    <w:rsid w:val="00054454"/>
    <w:rsid w:val="00055F8A"/>
    <w:rsid w:val="0005686B"/>
    <w:rsid w:val="00056AE3"/>
    <w:rsid w:val="0005785F"/>
    <w:rsid w:val="0005787F"/>
    <w:rsid w:val="000608A7"/>
    <w:rsid w:val="00060C52"/>
    <w:rsid w:val="000611BB"/>
    <w:rsid w:val="00061A3C"/>
    <w:rsid w:val="00064C3F"/>
    <w:rsid w:val="00065968"/>
    <w:rsid w:val="00065EFE"/>
    <w:rsid w:val="000676C4"/>
    <w:rsid w:val="00067742"/>
    <w:rsid w:val="0007008A"/>
    <w:rsid w:val="000705F1"/>
    <w:rsid w:val="00071E08"/>
    <w:rsid w:val="00071E16"/>
    <w:rsid w:val="00071ED1"/>
    <w:rsid w:val="00072984"/>
    <w:rsid w:val="00072C13"/>
    <w:rsid w:val="000740EE"/>
    <w:rsid w:val="00074E43"/>
    <w:rsid w:val="00077371"/>
    <w:rsid w:val="0008133F"/>
    <w:rsid w:val="00081568"/>
    <w:rsid w:val="000824A4"/>
    <w:rsid w:val="00082B05"/>
    <w:rsid w:val="0008396F"/>
    <w:rsid w:val="00083A52"/>
    <w:rsid w:val="00083BE9"/>
    <w:rsid w:val="00083F94"/>
    <w:rsid w:val="000849B6"/>
    <w:rsid w:val="00085C50"/>
    <w:rsid w:val="00085CA1"/>
    <w:rsid w:val="000863D4"/>
    <w:rsid w:val="00086918"/>
    <w:rsid w:val="00086DC1"/>
    <w:rsid w:val="00086DE9"/>
    <w:rsid w:val="00086E68"/>
    <w:rsid w:val="0008767B"/>
    <w:rsid w:val="00090464"/>
    <w:rsid w:val="0009072A"/>
    <w:rsid w:val="000907C7"/>
    <w:rsid w:val="00090B38"/>
    <w:rsid w:val="00091B1E"/>
    <w:rsid w:val="0009427A"/>
    <w:rsid w:val="00094799"/>
    <w:rsid w:val="00094A2F"/>
    <w:rsid w:val="00094D28"/>
    <w:rsid w:val="000966C4"/>
    <w:rsid w:val="00096717"/>
    <w:rsid w:val="00096941"/>
    <w:rsid w:val="000970FC"/>
    <w:rsid w:val="0009782E"/>
    <w:rsid w:val="00097844"/>
    <w:rsid w:val="00097CC0"/>
    <w:rsid w:val="000A088E"/>
    <w:rsid w:val="000A09F1"/>
    <w:rsid w:val="000A0A84"/>
    <w:rsid w:val="000A1914"/>
    <w:rsid w:val="000A1E55"/>
    <w:rsid w:val="000A259F"/>
    <w:rsid w:val="000A33E9"/>
    <w:rsid w:val="000A6665"/>
    <w:rsid w:val="000A680E"/>
    <w:rsid w:val="000A7606"/>
    <w:rsid w:val="000A7850"/>
    <w:rsid w:val="000B0036"/>
    <w:rsid w:val="000B0383"/>
    <w:rsid w:val="000B0405"/>
    <w:rsid w:val="000B0764"/>
    <w:rsid w:val="000B17A7"/>
    <w:rsid w:val="000B2277"/>
    <w:rsid w:val="000B23A1"/>
    <w:rsid w:val="000B25A0"/>
    <w:rsid w:val="000B2990"/>
    <w:rsid w:val="000B36A1"/>
    <w:rsid w:val="000B37AD"/>
    <w:rsid w:val="000B3EEF"/>
    <w:rsid w:val="000B416D"/>
    <w:rsid w:val="000B5A30"/>
    <w:rsid w:val="000B60DD"/>
    <w:rsid w:val="000B70D2"/>
    <w:rsid w:val="000C0907"/>
    <w:rsid w:val="000C1799"/>
    <w:rsid w:val="000C26F6"/>
    <w:rsid w:val="000C3020"/>
    <w:rsid w:val="000C311C"/>
    <w:rsid w:val="000C39BE"/>
    <w:rsid w:val="000C3EBA"/>
    <w:rsid w:val="000C5266"/>
    <w:rsid w:val="000C644C"/>
    <w:rsid w:val="000C6A29"/>
    <w:rsid w:val="000C71A7"/>
    <w:rsid w:val="000C7CFD"/>
    <w:rsid w:val="000C7FD1"/>
    <w:rsid w:val="000D0048"/>
    <w:rsid w:val="000D00BF"/>
    <w:rsid w:val="000D0A8E"/>
    <w:rsid w:val="000D188E"/>
    <w:rsid w:val="000D1DD2"/>
    <w:rsid w:val="000D3607"/>
    <w:rsid w:val="000D3BC5"/>
    <w:rsid w:val="000D46AC"/>
    <w:rsid w:val="000D5122"/>
    <w:rsid w:val="000D5BF3"/>
    <w:rsid w:val="000D5F2E"/>
    <w:rsid w:val="000D60BD"/>
    <w:rsid w:val="000D624B"/>
    <w:rsid w:val="000D6DE1"/>
    <w:rsid w:val="000D6E5A"/>
    <w:rsid w:val="000D73E2"/>
    <w:rsid w:val="000D7B50"/>
    <w:rsid w:val="000D7DE9"/>
    <w:rsid w:val="000D7FBC"/>
    <w:rsid w:val="000E0883"/>
    <w:rsid w:val="000E0D4C"/>
    <w:rsid w:val="000E1F70"/>
    <w:rsid w:val="000E2962"/>
    <w:rsid w:val="000E2D14"/>
    <w:rsid w:val="000E305B"/>
    <w:rsid w:val="000E3292"/>
    <w:rsid w:val="000E3936"/>
    <w:rsid w:val="000E3996"/>
    <w:rsid w:val="000E4BF8"/>
    <w:rsid w:val="000E54D4"/>
    <w:rsid w:val="000E6F9A"/>
    <w:rsid w:val="000F02F9"/>
    <w:rsid w:val="000F27BA"/>
    <w:rsid w:val="000F2C4A"/>
    <w:rsid w:val="000F2FA9"/>
    <w:rsid w:val="000F440E"/>
    <w:rsid w:val="000F522E"/>
    <w:rsid w:val="000F52F7"/>
    <w:rsid w:val="000F5FFC"/>
    <w:rsid w:val="000F6082"/>
    <w:rsid w:val="000F71C7"/>
    <w:rsid w:val="000F730F"/>
    <w:rsid w:val="000F7853"/>
    <w:rsid w:val="000F7AF3"/>
    <w:rsid w:val="000F7CB0"/>
    <w:rsid w:val="000F7E74"/>
    <w:rsid w:val="0010010A"/>
    <w:rsid w:val="0010125D"/>
    <w:rsid w:val="00102338"/>
    <w:rsid w:val="001028D4"/>
    <w:rsid w:val="00102ED5"/>
    <w:rsid w:val="0010380B"/>
    <w:rsid w:val="0010407A"/>
    <w:rsid w:val="001045AF"/>
    <w:rsid w:val="00104E75"/>
    <w:rsid w:val="001069C2"/>
    <w:rsid w:val="00106B75"/>
    <w:rsid w:val="00106E1A"/>
    <w:rsid w:val="001073DF"/>
    <w:rsid w:val="00110ED0"/>
    <w:rsid w:val="001121BC"/>
    <w:rsid w:val="00112CBB"/>
    <w:rsid w:val="00113DE0"/>
    <w:rsid w:val="00113EE3"/>
    <w:rsid w:val="001148C0"/>
    <w:rsid w:val="00114968"/>
    <w:rsid w:val="00114E6A"/>
    <w:rsid w:val="00115BB1"/>
    <w:rsid w:val="001177A7"/>
    <w:rsid w:val="00117D4E"/>
    <w:rsid w:val="00117EE2"/>
    <w:rsid w:val="001204B9"/>
    <w:rsid w:val="00121842"/>
    <w:rsid w:val="00121ED8"/>
    <w:rsid w:val="00121F86"/>
    <w:rsid w:val="00122845"/>
    <w:rsid w:val="001229BB"/>
    <w:rsid w:val="00122D60"/>
    <w:rsid w:val="001255AD"/>
    <w:rsid w:val="00126166"/>
    <w:rsid w:val="0012655C"/>
    <w:rsid w:val="0012680B"/>
    <w:rsid w:val="001300F1"/>
    <w:rsid w:val="00130C2F"/>
    <w:rsid w:val="00131B25"/>
    <w:rsid w:val="00131C2C"/>
    <w:rsid w:val="00132B54"/>
    <w:rsid w:val="001334ED"/>
    <w:rsid w:val="0013434F"/>
    <w:rsid w:val="001348F0"/>
    <w:rsid w:val="00134B98"/>
    <w:rsid w:val="00134BA6"/>
    <w:rsid w:val="001357D2"/>
    <w:rsid w:val="001366D5"/>
    <w:rsid w:val="00136A79"/>
    <w:rsid w:val="001404E7"/>
    <w:rsid w:val="00140675"/>
    <w:rsid w:val="00140DCB"/>
    <w:rsid w:val="00140F1B"/>
    <w:rsid w:val="00141171"/>
    <w:rsid w:val="001419D9"/>
    <w:rsid w:val="00142AAE"/>
    <w:rsid w:val="00142B17"/>
    <w:rsid w:val="001443BC"/>
    <w:rsid w:val="00145163"/>
    <w:rsid w:val="001459DC"/>
    <w:rsid w:val="00146367"/>
    <w:rsid w:val="00146D46"/>
    <w:rsid w:val="00146E88"/>
    <w:rsid w:val="00147365"/>
    <w:rsid w:val="00150F49"/>
    <w:rsid w:val="001515B5"/>
    <w:rsid w:val="00152181"/>
    <w:rsid w:val="00152395"/>
    <w:rsid w:val="00152579"/>
    <w:rsid w:val="0015384A"/>
    <w:rsid w:val="00153875"/>
    <w:rsid w:val="00153FA2"/>
    <w:rsid w:val="0015463B"/>
    <w:rsid w:val="00155190"/>
    <w:rsid w:val="00156AC5"/>
    <w:rsid w:val="00157E33"/>
    <w:rsid w:val="00157E89"/>
    <w:rsid w:val="00160D17"/>
    <w:rsid w:val="0016118A"/>
    <w:rsid w:val="0016279F"/>
    <w:rsid w:val="001629F2"/>
    <w:rsid w:val="00162E00"/>
    <w:rsid w:val="00163033"/>
    <w:rsid w:val="001630BF"/>
    <w:rsid w:val="001640A3"/>
    <w:rsid w:val="00167554"/>
    <w:rsid w:val="00167B96"/>
    <w:rsid w:val="00170B58"/>
    <w:rsid w:val="001719EE"/>
    <w:rsid w:val="00173B29"/>
    <w:rsid w:val="00174293"/>
    <w:rsid w:val="001750BF"/>
    <w:rsid w:val="00175384"/>
    <w:rsid w:val="0017611F"/>
    <w:rsid w:val="0017774B"/>
    <w:rsid w:val="00177836"/>
    <w:rsid w:val="00177A93"/>
    <w:rsid w:val="00177BE6"/>
    <w:rsid w:val="0018036C"/>
    <w:rsid w:val="00180A8F"/>
    <w:rsid w:val="00182559"/>
    <w:rsid w:val="001829CB"/>
    <w:rsid w:val="0018308D"/>
    <w:rsid w:val="001849E4"/>
    <w:rsid w:val="00184A83"/>
    <w:rsid w:val="001856A7"/>
    <w:rsid w:val="001857F7"/>
    <w:rsid w:val="00185877"/>
    <w:rsid w:val="00185C95"/>
    <w:rsid w:val="00185CD4"/>
    <w:rsid w:val="00186F0C"/>
    <w:rsid w:val="00187A22"/>
    <w:rsid w:val="001908B8"/>
    <w:rsid w:val="00190A06"/>
    <w:rsid w:val="00190A41"/>
    <w:rsid w:val="00191F27"/>
    <w:rsid w:val="00192051"/>
    <w:rsid w:val="0019273A"/>
    <w:rsid w:val="00192CDF"/>
    <w:rsid w:val="00192E0E"/>
    <w:rsid w:val="00192E45"/>
    <w:rsid w:val="00193415"/>
    <w:rsid w:val="001952D6"/>
    <w:rsid w:val="00195427"/>
    <w:rsid w:val="00195D56"/>
    <w:rsid w:val="00196607"/>
    <w:rsid w:val="00196D98"/>
    <w:rsid w:val="00196DA3"/>
    <w:rsid w:val="00197081"/>
    <w:rsid w:val="00197955"/>
    <w:rsid w:val="00197EB2"/>
    <w:rsid w:val="001A0D69"/>
    <w:rsid w:val="001A1854"/>
    <w:rsid w:val="001A2320"/>
    <w:rsid w:val="001A3C84"/>
    <w:rsid w:val="001A4171"/>
    <w:rsid w:val="001A42A2"/>
    <w:rsid w:val="001A51C1"/>
    <w:rsid w:val="001A7B22"/>
    <w:rsid w:val="001B0481"/>
    <w:rsid w:val="001B0890"/>
    <w:rsid w:val="001B0BA8"/>
    <w:rsid w:val="001B13CB"/>
    <w:rsid w:val="001B180D"/>
    <w:rsid w:val="001B1CAB"/>
    <w:rsid w:val="001B1CF2"/>
    <w:rsid w:val="001B2203"/>
    <w:rsid w:val="001B2B78"/>
    <w:rsid w:val="001B2BB2"/>
    <w:rsid w:val="001B46AC"/>
    <w:rsid w:val="001B563F"/>
    <w:rsid w:val="001B5AB1"/>
    <w:rsid w:val="001B6D6D"/>
    <w:rsid w:val="001B6FBC"/>
    <w:rsid w:val="001B7232"/>
    <w:rsid w:val="001B760B"/>
    <w:rsid w:val="001C0603"/>
    <w:rsid w:val="001C09BF"/>
    <w:rsid w:val="001C1080"/>
    <w:rsid w:val="001C1728"/>
    <w:rsid w:val="001C2D3E"/>
    <w:rsid w:val="001C2E02"/>
    <w:rsid w:val="001C2E24"/>
    <w:rsid w:val="001C4227"/>
    <w:rsid w:val="001C540C"/>
    <w:rsid w:val="001C5A8C"/>
    <w:rsid w:val="001C6228"/>
    <w:rsid w:val="001C642D"/>
    <w:rsid w:val="001C65A6"/>
    <w:rsid w:val="001C65C3"/>
    <w:rsid w:val="001C7024"/>
    <w:rsid w:val="001C7265"/>
    <w:rsid w:val="001C7E03"/>
    <w:rsid w:val="001C7E44"/>
    <w:rsid w:val="001D003F"/>
    <w:rsid w:val="001D0279"/>
    <w:rsid w:val="001D1FE9"/>
    <w:rsid w:val="001D4C60"/>
    <w:rsid w:val="001D4C9E"/>
    <w:rsid w:val="001D510F"/>
    <w:rsid w:val="001D5229"/>
    <w:rsid w:val="001D57AA"/>
    <w:rsid w:val="001D5EB2"/>
    <w:rsid w:val="001D72F7"/>
    <w:rsid w:val="001D7419"/>
    <w:rsid w:val="001D761B"/>
    <w:rsid w:val="001D79CF"/>
    <w:rsid w:val="001D7B3D"/>
    <w:rsid w:val="001E0821"/>
    <w:rsid w:val="001E0823"/>
    <w:rsid w:val="001E0985"/>
    <w:rsid w:val="001E108F"/>
    <w:rsid w:val="001E2A11"/>
    <w:rsid w:val="001E31A2"/>
    <w:rsid w:val="001E3424"/>
    <w:rsid w:val="001E4290"/>
    <w:rsid w:val="001E5EFC"/>
    <w:rsid w:val="001E61E2"/>
    <w:rsid w:val="001E79C1"/>
    <w:rsid w:val="001F065A"/>
    <w:rsid w:val="001F06A4"/>
    <w:rsid w:val="001F104F"/>
    <w:rsid w:val="001F17A3"/>
    <w:rsid w:val="001F34F8"/>
    <w:rsid w:val="001F3A07"/>
    <w:rsid w:val="001F4DBA"/>
    <w:rsid w:val="001F4F0B"/>
    <w:rsid w:val="001F633B"/>
    <w:rsid w:val="001F72FB"/>
    <w:rsid w:val="001F7463"/>
    <w:rsid w:val="00200360"/>
    <w:rsid w:val="002019DA"/>
    <w:rsid w:val="00201B5B"/>
    <w:rsid w:val="00202087"/>
    <w:rsid w:val="00202E2A"/>
    <w:rsid w:val="00204B56"/>
    <w:rsid w:val="00204C7A"/>
    <w:rsid w:val="00204F60"/>
    <w:rsid w:val="00205077"/>
    <w:rsid w:val="00205088"/>
    <w:rsid w:val="002058FB"/>
    <w:rsid w:val="00206177"/>
    <w:rsid w:val="002065DD"/>
    <w:rsid w:val="00206AD2"/>
    <w:rsid w:val="00206C7A"/>
    <w:rsid w:val="002070F4"/>
    <w:rsid w:val="00207473"/>
    <w:rsid w:val="00207BCA"/>
    <w:rsid w:val="002109E1"/>
    <w:rsid w:val="002112E2"/>
    <w:rsid w:val="0021216A"/>
    <w:rsid w:val="00212189"/>
    <w:rsid w:val="00212EF0"/>
    <w:rsid w:val="00213A1D"/>
    <w:rsid w:val="002146F9"/>
    <w:rsid w:val="00214A67"/>
    <w:rsid w:val="00214ECD"/>
    <w:rsid w:val="0021571D"/>
    <w:rsid w:val="002161B2"/>
    <w:rsid w:val="00216B64"/>
    <w:rsid w:val="00216DE0"/>
    <w:rsid w:val="00217A43"/>
    <w:rsid w:val="002201D5"/>
    <w:rsid w:val="00220738"/>
    <w:rsid w:val="002208D8"/>
    <w:rsid w:val="00220959"/>
    <w:rsid w:val="00220B29"/>
    <w:rsid w:val="0022233B"/>
    <w:rsid w:val="00222444"/>
    <w:rsid w:val="0022315E"/>
    <w:rsid w:val="0022387A"/>
    <w:rsid w:val="00223E3C"/>
    <w:rsid w:val="002246D0"/>
    <w:rsid w:val="00227044"/>
    <w:rsid w:val="00227102"/>
    <w:rsid w:val="0022727C"/>
    <w:rsid w:val="00227BA0"/>
    <w:rsid w:val="00230620"/>
    <w:rsid w:val="00230CA3"/>
    <w:rsid w:val="00231203"/>
    <w:rsid w:val="002321E0"/>
    <w:rsid w:val="00232923"/>
    <w:rsid w:val="00232D2C"/>
    <w:rsid w:val="002331E3"/>
    <w:rsid w:val="002339D6"/>
    <w:rsid w:val="00235B39"/>
    <w:rsid w:val="00236328"/>
    <w:rsid w:val="00237017"/>
    <w:rsid w:val="002375DA"/>
    <w:rsid w:val="0023799E"/>
    <w:rsid w:val="0024032C"/>
    <w:rsid w:val="00241ECE"/>
    <w:rsid w:val="00242BC6"/>
    <w:rsid w:val="00242DF0"/>
    <w:rsid w:val="00243037"/>
    <w:rsid w:val="0024305B"/>
    <w:rsid w:val="0024364D"/>
    <w:rsid w:val="00243F7A"/>
    <w:rsid w:val="00244930"/>
    <w:rsid w:val="00244B54"/>
    <w:rsid w:val="00244FC1"/>
    <w:rsid w:val="002455C9"/>
    <w:rsid w:val="0024649F"/>
    <w:rsid w:val="00246DB5"/>
    <w:rsid w:val="00247561"/>
    <w:rsid w:val="00247C10"/>
    <w:rsid w:val="002523E8"/>
    <w:rsid w:val="00252B10"/>
    <w:rsid w:val="0025363D"/>
    <w:rsid w:val="002550D9"/>
    <w:rsid w:val="00255320"/>
    <w:rsid w:val="00255672"/>
    <w:rsid w:val="00256B46"/>
    <w:rsid w:val="00257A9E"/>
    <w:rsid w:val="0026090F"/>
    <w:rsid w:val="00261651"/>
    <w:rsid w:val="0026175C"/>
    <w:rsid w:val="00261C3A"/>
    <w:rsid w:val="002633CC"/>
    <w:rsid w:val="00263ED4"/>
    <w:rsid w:val="0026425B"/>
    <w:rsid w:val="00265D07"/>
    <w:rsid w:val="0026609E"/>
    <w:rsid w:val="00266117"/>
    <w:rsid w:val="00270077"/>
    <w:rsid w:val="00270515"/>
    <w:rsid w:val="0027063A"/>
    <w:rsid w:val="00274454"/>
    <w:rsid w:val="00275B39"/>
    <w:rsid w:val="00277DA0"/>
    <w:rsid w:val="002801E0"/>
    <w:rsid w:val="00280727"/>
    <w:rsid w:val="002812C2"/>
    <w:rsid w:val="00282BED"/>
    <w:rsid w:val="002846AE"/>
    <w:rsid w:val="00284BD8"/>
    <w:rsid w:val="00284C6D"/>
    <w:rsid w:val="0028515C"/>
    <w:rsid w:val="00285F2A"/>
    <w:rsid w:val="00286933"/>
    <w:rsid w:val="00286B6F"/>
    <w:rsid w:val="00286CAB"/>
    <w:rsid w:val="002907B5"/>
    <w:rsid w:val="00291335"/>
    <w:rsid w:val="00291611"/>
    <w:rsid w:val="00292A6D"/>
    <w:rsid w:val="002937CF"/>
    <w:rsid w:val="00293CBF"/>
    <w:rsid w:val="00294039"/>
    <w:rsid w:val="0029460C"/>
    <w:rsid w:val="00294929"/>
    <w:rsid w:val="00294E49"/>
    <w:rsid w:val="00295DEA"/>
    <w:rsid w:val="002961C8"/>
    <w:rsid w:val="002964E4"/>
    <w:rsid w:val="002978C6"/>
    <w:rsid w:val="00297D6F"/>
    <w:rsid w:val="002A119B"/>
    <w:rsid w:val="002A2122"/>
    <w:rsid w:val="002A2E36"/>
    <w:rsid w:val="002A3AFA"/>
    <w:rsid w:val="002A3F04"/>
    <w:rsid w:val="002A42BC"/>
    <w:rsid w:val="002A53A7"/>
    <w:rsid w:val="002A589C"/>
    <w:rsid w:val="002A7032"/>
    <w:rsid w:val="002B12F7"/>
    <w:rsid w:val="002B19D8"/>
    <w:rsid w:val="002B1C86"/>
    <w:rsid w:val="002B1CBE"/>
    <w:rsid w:val="002B1EF1"/>
    <w:rsid w:val="002B267E"/>
    <w:rsid w:val="002B39E7"/>
    <w:rsid w:val="002B3CC8"/>
    <w:rsid w:val="002B3EE2"/>
    <w:rsid w:val="002B43D0"/>
    <w:rsid w:val="002B4D0C"/>
    <w:rsid w:val="002B6CF7"/>
    <w:rsid w:val="002B6F8D"/>
    <w:rsid w:val="002C00A7"/>
    <w:rsid w:val="002C2F97"/>
    <w:rsid w:val="002C3DD0"/>
    <w:rsid w:val="002C461D"/>
    <w:rsid w:val="002C4E1D"/>
    <w:rsid w:val="002C50D1"/>
    <w:rsid w:val="002C55A4"/>
    <w:rsid w:val="002C568B"/>
    <w:rsid w:val="002C5C5D"/>
    <w:rsid w:val="002C647C"/>
    <w:rsid w:val="002C6572"/>
    <w:rsid w:val="002C6DB2"/>
    <w:rsid w:val="002C7853"/>
    <w:rsid w:val="002C79C0"/>
    <w:rsid w:val="002D04D4"/>
    <w:rsid w:val="002D236A"/>
    <w:rsid w:val="002D26E9"/>
    <w:rsid w:val="002D3239"/>
    <w:rsid w:val="002D3B16"/>
    <w:rsid w:val="002D40EC"/>
    <w:rsid w:val="002D417B"/>
    <w:rsid w:val="002D42FA"/>
    <w:rsid w:val="002D434F"/>
    <w:rsid w:val="002D5074"/>
    <w:rsid w:val="002D60D8"/>
    <w:rsid w:val="002D60F3"/>
    <w:rsid w:val="002D7618"/>
    <w:rsid w:val="002E06EA"/>
    <w:rsid w:val="002E0B6A"/>
    <w:rsid w:val="002E19A6"/>
    <w:rsid w:val="002E1D4B"/>
    <w:rsid w:val="002E208B"/>
    <w:rsid w:val="002E218B"/>
    <w:rsid w:val="002E2A66"/>
    <w:rsid w:val="002E3F28"/>
    <w:rsid w:val="002E409E"/>
    <w:rsid w:val="002E4278"/>
    <w:rsid w:val="002E4D4D"/>
    <w:rsid w:val="002E5A29"/>
    <w:rsid w:val="002E5AFB"/>
    <w:rsid w:val="002E6F90"/>
    <w:rsid w:val="002E7E83"/>
    <w:rsid w:val="002F1A85"/>
    <w:rsid w:val="002F1DFE"/>
    <w:rsid w:val="002F4245"/>
    <w:rsid w:val="002F45B4"/>
    <w:rsid w:val="002F713F"/>
    <w:rsid w:val="0030057D"/>
    <w:rsid w:val="00301559"/>
    <w:rsid w:val="00301C2D"/>
    <w:rsid w:val="003029F8"/>
    <w:rsid w:val="0030319D"/>
    <w:rsid w:val="00303758"/>
    <w:rsid w:val="003038C4"/>
    <w:rsid w:val="0030561C"/>
    <w:rsid w:val="003058A7"/>
    <w:rsid w:val="00305A10"/>
    <w:rsid w:val="00305FB0"/>
    <w:rsid w:val="00306167"/>
    <w:rsid w:val="0030621A"/>
    <w:rsid w:val="00306411"/>
    <w:rsid w:val="0030657B"/>
    <w:rsid w:val="003070BD"/>
    <w:rsid w:val="003070E0"/>
    <w:rsid w:val="00307977"/>
    <w:rsid w:val="00307B76"/>
    <w:rsid w:val="00307FDE"/>
    <w:rsid w:val="00310395"/>
    <w:rsid w:val="00310E7B"/>
    <w:rsid w:val="003111E5"/>
    <w:rsid w:val="0031306B"/>
    <w:rsid w:val="0031376A"/>
    <w:rsid w:val="00313E3E"/>
    <w:rsid w:val="0031423F"/>
    <w:rsid w:val="00314F2C"/>
    <w:rsid w:val="00315EC1"/>
    <w:rsid w:val="003178D0"/>
    <w:rsid w:val="003227CA"/>
    <w:rsid w:val="00323A2C"/>
    <w:rsid w:val="00324C94"/>
    <w:rsid w:val="003252A9"/>
    <w:rsid w:val="003254AD"/>
    <w:rsid w:val="00325AC0"/>
    <w:rsid w:val="0032611A"/>
    <w:rsid w:val="00326625"/>
    <w:rsid w:val="00326C27"/>
    <w:rsid w:val="003274B5"/>
    <w:rsid w:val="0032767B"/>
    <w:rsid w:val="00331212"/>
    <w:rsid w:val="003337B3"/>
    <w:rsid w:val="00333AFF"/>
    <w:rsid w:val="00333F29"/>
    <w:rsid w:val="00334DFD"/>
    <w:rsid w:val="00334F42"/>
    <w:rsid w:val="00335C60"/>
    <w:rsid w:val="00335F58"/>
    <w:rsid w:val="0033608C"/>
    <w:rsid w:val="00336A6D"/>
    <w:rsid w:val="00337194"/>
    <w:rsid w:val="003374BD"/>
    <w:rsid w:val="0034088C"/>
    <w:rsid w:val="00340955"/>
    <w:rsid w:val="003421F0"/>
    <w:rsid w:val="003422C0"/>
    <w:rsid w:val="00342CF2"/>
    <w:rsid w:val="003431ED"/>
    <w:rsid w:val="00343E1F"/>
    <w:rsid w:val="00345C2F"/>
    <w:rsid w:val="003468C0"/>
    <w:rsid w:val="003468DD"/>
    <w:rsid w:val="00346BC8"/>
    <w:rsid w:val="003471F4"/>
    <w:rsid w:val="00347CCF"/>
    <w:rsid w:val="00347F3C"/>
    <w:rsid w:val="0035086F"/>
    <w:rsid w:val="00352A40"/>
    <w:rsid w:val="00352A50"/>
    <w:rsid w:val="00353285"/>
    <w:rsid w:val="00354A06"/>
    <w:rsid w:val="00354B8A"/>
    <w:rsid w:val="00355044"/>
    <w:rsid w:val="00355B59"/>
    <w:rsid w:val="00356DB6"/>
    <w:rsid w:val="0036008C"/>
    <w:rsid w:val="003602F5"/>
    <w:rsid w:val="00360441"/>
    <w:rsid w:val="00361744"/>
    <w:rsid w:val="00361CB4"/>
    <w:rsid w:val="0036300E"/>
    <w:rsid w:val="00363341"/>
    <w:rsid w:val="00363A3D"/>
    <w:rsid w:val="00364EEC"/>
    <w:rsid w:val="00364F22"/>
    <w:rsid w:val="003655BE"/>
    <w:rsid w:val="00366432"/>
    <w:rsid w:val="00372102"/>
    <w:rsid w:val="00372439"/>
    <w:rsid w:val="003737EE"/>
    <w:rsid w:val="00373865"/>
    <w:rsid w:val="00373AAB"/>
    <w:rsid w:val="00373E75"/>
    <w:rsid w:val="00374762"/>
    <w:rsid w:val="00374945"/>
    <w:rsid w:val="003758FA"/>
    <w:rsid w:val="00376ABF"/>
    <w:rsid w:val="003777E6"/>
    <w:rsid w:val="00377FE7"/>
    <w:rsid w:val="0038085F"/>
    <w:rsid w:val="00381A2C"/>
    <w:rsid w:val="00381FAE"/>
    <w:rsid w:val="00383EB9"/>
    <w:rsid w:val="0038472D"/>
    <w:rsid w:val="003854FF"/>
    <w:rsid w:val="00385B75"/>
    <w:rsid w:val="003860A7"/>
    <w:rsid w:val="00386895"/>
    <w:rsid w:val="003877C1"/>
    <w:rsid w:val="00387E56"/>
    <w:rsid w:val="0039032D"/>
    <w:rsid w:val="00391D87"/>
    <w:rsid w:val="00391E36"/>
    <w:rsid w:val="00391E4F"/>
    <w:rsid w:val="00393073"/>
    <w:rsid w:val="00393200"/>
    <w:rsid w:val="00393364"/>
    <w:rsid w:val="00393C23"/>
    <w:rsid w:val="00393F26"/>
    <w:rsid w:val="003956EF"/>
    <w:rsid w:val="00395D13"/>
    <w:rsid w:val="00396883"/>
    <w:rsid w:val="00396A46"/>
    <w:rsid w:val="00396B89"/>
    <w:rsid w:val="00396CC7"/>
    <w:rsid w:val="003A15C2"/>
    <w:rsid w:val="003A21D1"/>
    <w:rsid w:val="003A22D6"/>
    <w:rsid w:val="003A3C2A"/>
    <w:rsid w:val="003A3FE5"/>
    <w:rsid w:val="003A52B2"/>
    <w:rsid w:val="003A61B7"/>
    <w:rsid w:val="003A6403"/>
    <w:rsid w:val="003A6DE6"/>
    <w:rsid w:val="003A6EF2"/>
    <w:rsid w:val="003A7A68"/>
    <w:rsid w:val="003A7B62"/>
    <w:rsid w:val="003B170D"/>
    <w:rsid w:val="003B257B"/>
    <w:rsid w:val="003B2C0B"/>
    <w:rsid w:val="003B3257"/>
    <w:rsid w:val="003B4D13"/>
    <w:rsid w:val="003B5582"/>
    <w:rsid w:val="003B60FD"/>
    <w:rsid w:val="003B740B"/>
    <w:rsid w:val="003B7990"/>
    <w:rsid w:val="003B79F2"/>
    <w:rsid w:val="003B7E63"/>
    <w:rsid w:val="003C02E5"/>
    <w:rsid w:val="003C251A"/>
    <w:rsid w:val="003C3688"/>
    <w:rsid w:val="003C3933"/>
    <w:rsid w:val="003C4A64"/>
    <w:rsid w:val="003C5684"/>
    <w:rsid w:val="003C65D4"/>
    <w:rsid w:val="003C6F17"/>
    <w:rsid w:val="003D0349"/>
    <w:rsid w:val="003D117D"/>
    <w:rsid w:val="003D4346"/>
    <w:rsid w:val="003D562E"/>
    <w:rsid w:val="003D5C28"/>
    <w:rsid w:val="003D6E60"/>
    <w:rsid w:val="003D6F54"/>
    <w:rsid w:val="003D73D6"/>
    <w:rsid w:val="003D74D1"/>
    <w:rsid w:val="003E1186"/>
    <w:rsid w:val="003E1498"/>
    <w:rsid w:val="003E30F5"/>
    <w:rsid w:val="003E34B2"/>
    <w:rsid w:val="003E38BC"/>
    <w:rsid w:val="003E38D4"/>
    <w:rsid w:val="003E3BFD"/>
    <w:rsid w:val="003E4180"/>
    <w:rsid w:val="003E4653"/>
    <w:rsid w:val="003E4C4F"/>
    <w:rsid w:val="003E5136"/>
    <w:rsid w:val="003E76BE"/>
    <w:rsid w:val="003F0071"/>
    <w:rsid w:val="003F01A8"/>
    <w:rsid w:val="003F09F7"/>
    <w:rsid w:val="003F0DF7"/>
    <w:rsid w:val="003F0FAC"/>
    <w:rsid w:val="003F1A5C"/>
    <w:rsid w:val="003F203F"/>
    <w:rsid w:val="003F2270"/>
    <w:rsid w:val="003F36A6"/>
    <w:rsid w:val="003F37E5"/>
    <w:rsid w:val="003F380A"/>
    <w:rsid w:val="003F3B47"/>
    <w:rsid w:val="003F44F5"/>
    <w:rsid w:val="003F5099"/>
    <w:rsid w:val="003F523D"/>
    <w:rsid w:val="003F6233"/>
    <w:rsid w:val="00401914"/>
    <w:rsid w:val="0040291F"/>
    <w:rsid w:val="00403184"/>
    <w:rsid w:val="0040371C"/>
    <w:rsid w:val="00403D77"/>
    <w:rsid w:val="004044F7"/>
    <w:rsid w:val="00404CA8"/>
    <w:rsid w:val="00406405"/>
    <w:rsid w:val="00406488"/>
    <w:rsid w:val="00407567"/>
    <w:rsid w:val="004078A8"/>
    <w:rsid w:val="0041076C"/>
    <w:rsid w:val="004111AA"/>
    <w:rsid w:val="004114D4"/>
    <w:rsid w:val="00412205"/>
    <w:rsid w:val="004126F5"/>
    <w:rsid w:val="004138BA"/>
    <w:rsid w:val="004143A7"/>
    <w:rsid w:val="0041454E"/>
    <w:rsid w:val="00414B1A"/>
    <w:rsid w:val="00414F6F"/>
    <w:rsid w:val="00414FD8"/>
    <w:rsid w:val="00415ABA"/>
    <w:rsid w:val="00415C58"/>
    <w:rsid w:val="00415FC2"/>
    <w:rsid w:val="0041608D"/>
    <w:rsid w:val="00416FB1"/>
    <w:rsid w:val="00417D30"/>
    <w:rsid w:val="00417DE1"/>
    <w:rsid w:val="0042001E"/>
    <w:rsid w:val="00420EDD"/>
    <w:rsid w:val="004213EF"/>
    <w:rsid w:val="004219BF"/>
    <w:rsid w:val="00421E2B"/>
    <w:rsid w:val="00422A96"/>
    <w:rsid w:val="00422B05"/>
    <w:rsid w:val="00422D45"/>
    <w:rsid w:val="00422E2D"/>
    <w:rsid w:val="00423BC3"/>
    <w:rsid w:val="004256D5"/>
    <w:rsid w:val="004267DA"/>
    <w:rsid w:val="00426B97"/>
    <w:rsid w:val="00427AC4"/>
    <w:rsid w:val="00430C9D"/>
    <w:rsid w:val="00431C5C"/>
    <w:rsid w:val="00431FBE"/>
    <w:rsid w:val="0043222A"/>
    <w:rsid w:val="0043271F"/>
    <w:rsid w:val="00433501"/>
    <w:rsid w:val="004337D1"/>
    <w:rsid w:val="00435C6D"/>
    <w:rsid w:val="00435D1C"/>
    <w:rsid w:val="004364E6"/>
    <w:rsid w:val="00436647"/>
    <w:rsid w:val="00437353"/>
    <w:rsid w:val="00437498"/>
    <w:rsid w:val="00440DF2"/>
    <w:rsid w:val="00441A2D"/>
    <w:rsid w:val="00442955"/>
    <w:rsid w:val="00442CE1"/>
    <w:rsid w:val="00443433"/>
    <w:rsid w:val="00444AE4"/>
    <w:rsid w:val="00445385"/>
    <w:rsid w:val="00445B4D"/>
    <w:rsid w:val="00445B69"/>
    <w:rsid w:val="00445C8F"/>
    <w:rsid w:val="004475DB"/>
    <w:rsid w:val="00447820"/>
    <w:rsid w:val="00450282"/>
    <w:rsid w:val="0045086C"/>
    <w:rsid w:val="00450CED"/>
    <w:rsid w:val="00453218"/>
    <w:rsid w:val="0045452E"/>
    <w:rsid w:val="004545B7"/>
    <w:rsid w:val="004547D3"/>
    <w:rsid w:val="0045495C"/>
    <w:rsid w:val="00454D3E"/>
    <w:rsid w:val="0045529D"/>
    <w:rsid w:val="00455692"/>
    <w:rsid w:val="0045596E"/>
    <w:rsid w:val="00455C0E"/>
    <w:rsid w:val="004570FC"/>
    <w:rsid w:val="0045729B"/>
    <w:rsid w:val="00457569"/>
    <w:rsid w:val="0046033B"/>
    <w:rsid w:val="00460D4D"/>
    <w:rsid w:val="004617D4"/>
    <w:rsid w:val="004625F4"/>
    <w:rsid w:val="00462F67"/>
    <w:rsid w:val="004636C7"/>
    <w:rsid w:val="00463A16"/>
    <w:rsid w:val="0046479F"/>
    <w:rsid w:val="00467B04"/>
    <w:rsid w:val="00467C0E"/>
    <w:rsid w:val="004710B4"/>
    <w:rsid w:val="00471496"/>
    <w:rsid w:val="004728E9"/>
    <w:rsid w:val="00472C22"/>
    <w:rsid w:val="00473395"/>
    <w:rsid w:val="0047342D"/>
    <w:rsid w:val="004739AD"/>
    <w:rsid w:val="004744C5"/>
    <w:rsid w:val="004749E2"/>
    <w:rsid w:val="00474F6B"/>
    <w:rsid w:val="00476C17"/>
    <w:rsid w:val="00476D0D"/>
    <w:rsid w:val="004770C6"/>
    <w:rsid w:val="00477243"/>
    <w:rsid w:val="004773C8"/>
    <w:rsid w:val="00477522"/>
    <w:rsid w:val="00477C00"/>
    <w:rsid w:val="004801DB"/>
    <w:rsid w:val="004823C1"/>
    <w:rsid w:val="0048301E"/>
    <w:rsid w:val="00484906"/>
    <w:rsid w:val="0048628F"/>
    <w:rsid w:val="004866EE"/>
    <w:rsid w:val="00491D96"/>
    <w:rsid w:val="0049210E"/>
    <w:rsid w:val="0049586F"/>
    <w:rsid w:val="00496C7A"/>
    <w:rsid w:val="004971A0"/>
    <w:rsid w:val="00497648"/>
    <w:rsid w:val="00497CBE"/>
    <w:rsid w:val="004A00D6"/>
    <w:rsid w:val="004A0110"/>
    <w:rsid w:val="004A060B"/>
    <w:rsid w:val="004A1AAE"/>
    <w:rsid w:val="004A2284"/>
    <w:rsid w:val="004A2F46"/>
    <w:rsid w:val="004A304A"/>
    <w:rsid w:val="004A30BA"/>
    <w:rsid w:val="004A355B"/>
    <w:rsid w:val="004A3F5D"/>
    <w:rsid w:val="004A4CD7"/>
    <w:rsid w:val="004A4F34"/>
    <w:rsid w:val="004A53A5"/>
    <w:rsid w:val="004A5BA9"/>
    <w:rsid w:val="004A5D52"/>
    <w:rsid w:val="004A6A6C"/>
    <w:rsid w:val="004A7AAD"/>
    <w:rsid w:val="004A7BFF"/>
    <w:rsid w:val="004B0102"/>
    <w:rsid w:val="004B1C42"/>
    <w:rsid w:val="004B2488"/>
    <w:rsid w:val="004B2F90"/>
    <w:rsid w:val="004B3534"/>
    <w:rsid w:val="004B388E"/>
    <w:rsid w:val="004B40A0"/>
    <w:rsid w:val="004B4600"/>
    <w:rsid w:val="004B4ADA"/>
    <w:rsid w:val="004B5544"/>
    <w:rsid w:val="004B6016"/>
    <w:rsid w:val="004B6187"/>
    <w:rsid w:val="004B634B"/>
    <w:rsid w:val="004B6EA6"/>
    <w:rsid w:val="004C051B"/>
    <w:rsid w:val="004C0C99"/>
    <w:rsid w:val="004C329B"/>
    <w:rsid w:val="004C342E"/>
    <w:rsid w:val="004C57A6"/>
    <w:rsid w:val="004C6784"/>
    <w:rsid w:val="004C6C83"/>
    <w:rsid w:val="004C6FB3"/>
    <w:rsid w:val="004C730D"/>
    <w:rsid w:val="004D0987"/>
    <w:rsid w:val="004D0FAA"/>
    <w:rsid w:val="004D120E"/>
    <w:rsid w:val="004D1A0A"/>
    <w:rsid w:val="004D250B"/>
    <w:rsid w:val="004D3253"/>
    <w:rsid w:val="004D3BBA"/>
    <w:rsid w:val="004D3FC3"/>
    <w:rsid w:val="004D4220"/>
    <w:rsid w:val="004D584C"/>
    <w:rsid w:val="004D69BE"/>
    <w:rsid w:val="004D735C"/>
    <w:rsid w:val="004D7C30"/>
    <w:rsid w:val="004E0619"/>
    <w:rsid w:val="004E1904"/>
    <w:rsid w:val="004E1F5F"/>
    <w:rsid w:val="004E21FF"/>
    <w:rsid w:val="004E2BAE"/>
    <w:rsid w:val="004E3A2E"/>
    <w:rsid w:val="004E3B2B"/>
    <w:rsid w:val="004E3D67"/>
    <w:rsid w:val="004E4B7C"/>
    <w:rsid w:val="004E55CF"/>
    <w:rsid w:val="004E58E7"/>
    <w:rsid w:val="004E62B2"/>
    <w:rsid w:val="004E666D"/>
    <w:rsid w:val="004E762B"/>
    <w:rsid w:val="004E7839"/>
    <w:rsid w:val="004E7861"/>
    <w:rsid w:val="004F0152"/>
    <w:rsid w:val="004F22A3"/>
    <w:rsid w:val="004F2A35"/>
    <w:rsid w:val="004F3517"/>
    <w:rsid w:val="004F360D"/>
    <w:rsid w:val="004F3E16"/>
    <w:rsid w:val="004F574C"/>
    <w:rsid w:val="004F61EC"/>
    <w:rsid w:val="004F739D"/>
    <w:rsid w:val="004F7EEC"/>
    <w:rsid w:val="00500893"/>
    <w:rsid w:val="0050095F"/>
    <w:rsid w:val="005023C7"/>
    <w:rsid w:val="005024D9"/>
    <w:rsid w:val="00502872"/>
    <w:rsid w:val="00502B47"/>
    <w:rsid w:val="00503AD6"/>
    <w:rsid w:val="00503F82"/>
    <w:rsid w:val="00504245"/>
    <w:rsid w:val="005048F4"/>
    <w:rsid w:val="00504E77"/>
    <w:rsid w:val="00505203"/>
    <w:rsid w:val="00505516"/>
    <w:rsid w:val="0050556C"/>
    <w:rsid w:val="0050613D"/>
    <w:rsid w:val="0050677F"/>
    <w:rsid w:val="00506A3B"/>
    <w:rsid w:val="00507B7C"/>
    <w:rsid w:val="00510D1A"/>
    <w:rsid w:val="0051149A"/>
    <w:rsid w:val="00513C75"/>
    <w:rsid w:val="00513F85"/>
    <w:rsid w:val="005148F1"/>
    <w:rsid w:val="0051490F"/>
    <w:rsid w:val="0051506E"/>
    <w:rsid w:val="0051552F"/>
    <w:rsid w:val="005158F7"/>
    <w:rsid w:val="00515D27"/>
    <w:rsid w:val="005164E7"/>
    <w:rsid w:val="005165CE"/>
    <w:rsid w:val="005165E3"/>
    <w:rsid w:val="005166AA"/>
    <w:rsid w:val="00517016"/>
    <w:rsid w:val="0052002D"/>
    <w:rsid w:val="005206D4"/>
    <w:rsid w:val="00521498"/>
    <w:rsid w:val="00521643"/>
    <w:rsid w:val="005225C5"/>
    <w:rsid w:val="00522853"/>
    <w:rsid w:val="005231EC"/>
    <w:rsid w:val="00523D50"/>
    <w:rsid w:val="00524C08"/>
    <w:rsid w:val="00524CB9"/>
    <w:rsid w:val="00526C1A"/>
    <w:rsid w:val="00527CEC"/>
    <w:rsid w:val="00530748"/>
    <w:rsid w:val="0053145C"/>
    <w:rsid w:val="0053396F"/>
    <w:rsid w:val="00533D71"/>
    <w:rsid w:val="00533E75"/>
    <w:rsid w:val="00533FD1"/>
    <w:rsid w:val="00534FF0"/>
    <w:rsid w:val="005352BD"/>
    <w:rsid w:val="005362A2"/>
    <w:rsid w:val="00536BB7"/>
    <w:rsid w:val="005372BB"/>
    <w:rsid w:val="00540E29"/>
    <w:rsid w:val="00540E42"/>
    <w:rsid w:val="0054145F"/>
    <w:rsid w:val="0054317E"/>
    <w:rsid w:val="00544577"/>
    <w:rsid w:val="00544800"/>
    <w:rsid w:val="00544C8A"/>
    <w:rsid w:val="00544E7D"/>
    <w:rsid w:val="00544ECE"/>
    <w:rsid w:val="00545372"/>
    <w:rsid w:val="00546068"/>
    <w:rsid w:val="00546B5D"/>
    <w:rsid w:val="00546E23"/>
    <w:rsid w:val="00547D3E"/>
    <w:rsid w:val="00550B58"/>
    <w:rsid w:val="00550D59"/>
    <w:rsid w:val="00552448"/>
    <w:rsid w:val="005525F1"/>
    <w:rsid w:val="00552DEC"/>
    <w:rsid w:val="00553507"/>
    <w:rsid w:val="00553854"/>
    <w:rsid w:val="005547B4"/>
    <w:rsid w:val="00554BD5"/>
    <w:rsid w:val="0055518D"/>
    <w:rsid w:val="005559F7"/>
    <w:rsid w:val="0055751E"/>
    <w:rsid w:val="00557657"/>
    <w:rsid w:val="00560245"/>
    <w:rsid w:val="00560F4C"/>
    <w:rsid w:val="0056230A"/>
    <w:rsid w:val="0056270C"/>
    <w:rsid w:val="00562B95"/>
    <w:rsid w:val="00563779"/>
    <w:rsid w:val="0056381F"/>
    <w:rsid w:val="00563967"/>
    <w:rsid w:val="00563E5E"/>
    <w:rsid w:val="005645B4"/>
    <w:rsid w:val="005654A5"/>
    <w:rsid w:val="00565747"/>
    <w:rsid w:val="00565945"/>
    <w:rsid w:val="00565E04"/>
    <w:rsid w:val="0056620D"/>
    <w:rsid w:val="00566269"/>
    <w:rsid w:val="005667E5"/>
    <w:rsid w:val="00566999"/>
    <w:rsid w:val="00566D3B"/>
    <w:rsid w:val="00566D73"/>
    <w:rsid w:val="00567D0A"/>
    <w:rsid w:val="005704F8"/>
    <w:rsid w:val="00570711"/>
    <w:rsid w:val="00570878"/>
    <w:rsid w:val="0057110A"/>
    <w:rsid w:val="00571758"/>
    <w:rsid w:val="00571820"/>
    <w:rsid w:val="00571BB6"/>
    <w:rsid w:val="00572CA8"/>
    <w:rsid w:val="00573BFA"/>
    <w:rsid w:val="00574449"/>
    <w:rsid w:val="00574706"/>
    <w:rsid w:val="00574E46"/>
    <w:rsid w:val="00575065"/>
    <w:rsid w:val="00575353"/>
    <w:rsid w:val="005758DE"/>
    <w:rsid w:val="00575EDA"/>
    <w:rsid w:val="00576753"/>
    <w:rsid w:val="00576D59"/>
    <w:rsid w:val="0057723F"/>
    <w:rsid w:val="00577F16"/>
    <w:rsid w:val="0058050E"/>
    <w:rsid w:val="00581C15"/>
    <w:rsid w:val="00583764"/>
    <w:rsid w:val="005851AD"/>
    <w:rsid w:val="00585444"/>
    <w:rsid w:val="00586C3D"/>
    <w:rsid w:val="005900DA"/>
    <w:rsid w:val="00590193"/>
    <w:rsid w:val="0059095D"/>
    <w:rsid w:val="00591B34"/>
    <w:rsid w:val="00592132"/>
    <w:rsid w:val="005927B9"/>
    <w:rsid w:val="00592AAE"/>
    <w:rsid w:val="0059338E"/>
    <w:rsid w:val="00594FD2"/>
    <w:rsid w:val="00595E67"/>
    <w:rsid w:val="00596260"/>
    <w:rsid w:val="0059688A"/>
    <w:rsid w:val="00596B39"/>
    <w:rsid w:val="00596DD1"/>
    <w:rsid w:val="00596F9E"/>
    <w:rsid w:val="005972C7"/>
    <w:rsid w:val="005976F2"/>
    <w:rsid w:val="00597AEE"/>
    <w:rsid w:val="005A0C25"/>
    <w:rsid w:val="005A1698"/>
    <w:rsid w:val="005A34C0"/>
    <w:rsid w:val="005A35C5"/>
    <w:rsid w:val="005A393A"/>
    <w:rsid w:val="005A43FE"/>
    <w:rsid w:val="005A47D6"/>
    <w:rsid w:val="005A4DF8"/>
    <w:rsid w:val="005A5525"/>
    <w:rsid w:val="005A6504"/>
    <w:rsid w:val="005A696B"/>
    <w:rsid w:val="005A6AB3"/>
    <w:rsid w:val="005A6D8D"/>
    <w:rsid w:val="005A7B75"/>
    <w:rsid w:val="005B00F0"/>
    <w:rsid w:val="005B08BC"/>
    <w:rsid w:val="005B08D3"/>
    <w:rsid w:val="005B10C7"/>
    <w:rsid w:val="005B15A6"/>
    <w:rsid w:val="005B197E"/>
    <w:rsid w:val="005B2F01"/>
    <w:rsid w:val="005B31E3"/>
    <w:rsid w:val="005B31F1"/>
    <w:rsid w:val="005B3832"/>
    <w:rsid w:val="005B3EDE"/>
    <w:rsid w:val="005B3F84"/>
    <w:rsid w:val="005B4101"/>
    <w:rsid w:val="005B4395"/>
    <w:rsid w:val="005B4DE3"/>
    <w:rsid w:val="005B54C8"/>
    <w:rsid w:val="005B5DA4"/>
    <w:rsid w:val="005B5E3D"/>
    <w:rsid w:val="005B5E7F"/>
    <w:rsid w:val="005B5F33"/>
    <w:rsid w:val="005B6142"/>
    <w:rsid w:val="005B6644"/>
    <w:rsid w:val="005B6B2D"/>
    <w:rsid w:val="005B7195"/>
    <w:rsid w:val="005B7209"/>
    <w:rsid w:val="005B73E4"/>
    <w:rsid w:val="005B79CF"/>
    <w:rsid w:val="005B7C49"/>
    <w:rsid w:val="005C03A7"/>
    <w:rsid w:val="005C0BAE"/>
    <w:rsid w:val="005C0C29"/>
    <w:rsid w:val="005C0E57"/>
    <w:rsid w:val="005C10F4"/>
    <w:rsid w:val="005C174F"/>
    <w:rsid w:val="005C1926"/>
    <w:rsid w:val="005C19BD"/>
    <w:rsid w:val="005C1A2B"/>
    <w:rsid w:val="005C1F5D"/>
    <w:rsid w:val="005C27E8"/>
    <w:rsid w:val="005C4767"/>
    <w:rsid w:val="005C4966"/>
    <w:rsid w:val="005C50B4"/>
    <w:rsid w:val="005C5252"/>
    <w:rsid w:val="005C6452"/>
    <w:rsid w:val="005C73BA"/>
    <w:rsid w:val="005C7844"/>
    <w:rsid w:val="005D00AB"/>
    <w:rsid w:val="005D028E"/>
    <w:rsid w:val="005D0AD8"/>
    <w:rsid w:val="005D0B3D"/>
    <w:rsid w:val="005D0CEB"/>
    <w:rsid w:val="005D184B"/>
    <w:rsid w:val="005D3D80"/>
    <w:rsid w:val="005D4EEB"/>
    <w:rsid w:val="005D5BD2"/>
    <w:rsid w:val="005E067D"/>
    <w:rsid w:val="005E176A"/>
    <w:rsid w:val="005E1A5E"/>
    <w:rsid w:val="005E1B74"/>
    <w:rsid w:val="005E2A30"/>
    <w:rsid w:val="005E5953"/>
    <w:rsid w:val="005E5FB3"/>
    <w:rsid w:val="005E6FDF"/>
    <w:rsid w:val="005E70DE"/>
    <w:rsid w:val="005E7D29"/>
    <w:rsid w:val="005E7ED4"/>
    <w:rsid w:val="005E7F29"/>
    <w:rsid w:val="005F0AB4"/>
    <w:rsid w:val="005F0D13"/>
    <w:rsid w:val="005F0E02"/>
    <w:rsid w:val="005F0F12"/>
    <w:rsid w:val="005F1629"/>
    <w:rsid w:val="005F1F0F"/>
    <w:rsid w:val="005F234D"/>
    <w:rsid w:val="005F2C03"/>
    <w:rsid w:val="005F3544"/>
    <w:rsid w:val="005F3799"/>
    <w:rsid w:val="005F37AB"/>
    <w:rsid w:val="005F47A1"/>
    <w:rsid w:val="005F49E1"/>
    <w:rsid w:val="005F55E4"/>
    <w:rsid w:val="005F6675"/>
    <w:rsid w:val="005F6DAF"/>
    <w:rsid w:val="005F7022"/>
    <w:rsid w:val="00600313"/>
    <w:rsid w:val="00600E6B"/>
    <w:rsid w:val="00601327"/>
    <w:rsid w:val="006017BC"/>
    <w:rsid w:val="00601F36"/>
    <w:rsid w:val="00605310"/>
    <w:rsid w:val="00605CFD"/>
    <w:rsid w:val="00605E39"/>
    <w:rsid w:val="00607D2D"/>
    <w:rsid w:val="00611C4B"/>
    <w:rsid w:val="00613CC7"/>
    <w:rsid w:val="006144AC"/>
    <w:rsid w:val="00614782"/>
    <w:rsid w:val="006147B7"/>
    <w:rsid w:val="006148FF"/>
    <w:rsid w:val="00614C23"/>
    <w:rsid w:val="00615761"/>
    <w:rsid w:val="00616196"/>
    <w:rsid w:val="00617900"/>
    <w:rsid w:val="00617ACB"/>
    <w:rsid w:val="00617B6C"/>
    <w:rsid w:val="00620422"/>
    <w:rsid w:val="006219A1"/>
    <w:rsid w:val="00621D00"/>
    <w:rsid w:val="00622FF1"/>
    <w:rsid w:val="00624B74"/>
    <w:rsid w:val="006250C1"/>
    <w:rsid w:val="0062594F"/>
    <w:rsid w:val="006300A9"/>
    <w:rsid w:val="0063040F"/>
    <w:rsid w:val="006306D2"/>
    <w:rsid w:val="00631503"/>
    <w:rsid w:val="00631577"/>
    <w:rsid w:val="006323CF"/>
    <w:rsid w:val="006327E0"/>
    <w:rsid w:val="0063301C"/>
    <w:rsid w:val="00634E73"/>
    <w:rsid w:val="006358EA"/>
    <w:rsid w:val="006362D7"/>
    <w:rsid w:val="00637D55"/>
    <w:rsid w:val="0064050C"/>
    <w:rsid w:val="006411C7"/>
    <w:rsid w:val="00641B54"/>
    <w:rsid w:val="00641CD4"/>
    <w:rsid w:val="00642D03"/>
    <w:rsid w:val="0064410E"/>
    <w:rsid w:val="00644287"/>
    <w:rsid w:val="00644ADF"/>
    <w:rsid w:val="00644FF9"/>
    <w:rsid w:val="00645B95"/>
    <w:rsid w:val="00645D8D"/>
    <w:rsid w:val="00646C24"/>
    <w:rsid w:val="0064739F"/>
    <w:rsid w:val="0064783E"/>
    <w:rsid w:val="006501F9"/>
    <w:rsid w:val="00650B93"/>
    <w:rsid w:val="00650FDB"/>
    <w:rsid w:val="006514C1"/>
    <w:rsid w:val="00651C47"/>
    <w:rsid w:val="00651F1D"/>
    <w:rsid w:val="006525A0"/>
    <w:rsid w:val="006534C8"/>
    <w:rsid w:val="00653E0B"/>
    <w:rsid w:val="00654048"/>
    <w:rsid w:val="006556B5"/>
    <w:rsid w:val="00655FA8"/>
    <w:rsid w:val="00656180"/>
    <w:rsid w:val="00656E04"/>
    <w:rsid w:val="0065704E"/>
    <w:rsid w:val="00657A9F"/>
    <w:rsid w:val="0066021F"/>
    <w:rsid w:val="00661A5D"/>
    <w:rsid w:val="00661D1E"/>
    <w:rsid w:val="006629AC"/>
    <w:rsid w:val="00663EC5"/>
    <w:rsid w:val="0066434D"/>
    <w:rsid w:val="00664C73"/>
    <w:rsid w:val="00664FA9"/>
    <w:rsid w:val="006650FF"/>
    <w:rsid w:val="00665D0B"/>
    <w:rsid w:val="00666364"/>
    <w:rsid w:val="00666471"/>
    <w:rsid w:val="00667741"/>
    <w:rsid w:val="00670A50"/>
    <w:rsid w:val="006715B3"/>
    <w:rsid w:val="006724F5"/>
    <w:rsid w:val="00672B65"/>
    <w:rsid w:val="00672D78"/>
    <w:rsid w:val="006739F7"/>
    <w:rsid w:val="006755AF"/>
    <w:rsid w:val="00676AFB"/>
    <w:rsid w:val="006779A0"/>
    <w:rsid w:val="00680782"/>
    <w:rsid w:val="00681050"/>
    <w:rsid w:val="00681834"/>
    <w:rsid w:val="00682B3E"/>
    <w:rsid w:val="006830BC"/>
    <w:rsid w:val="0068360E"/>
    <w:rsid w:val="0068374D"/>
    <w:rsid w:val="006844E7"/>
    <w:rsid w:val="0068475E"/>
    <w:rsid w:val="00685B5D"/>
    <w:rsid w:val="00685CE2"/>
    <w:rsid w:val="00686259"/>
    <w:rsid w:val="00686DA9"/>
    <w:rsid w:val="006873FD"/>
    <w:rsid w:val="00690023"/>
    <w:rsid w:val="006902AB"/>
    <w:rsid w:val="00690F53"/>
    <w:rsid w:val="00692A0A"/>
    <w:rsid w:val="00692A5B"/>
    <w:rsid w:val="00693DF7"/>
    <w:rsid w:val="00693F30"/>
    <w:rsid w:val="0069497C"/>
    <w:rsid w:val="00694D72"/>
    <w:rsid w:val="00697FB6"/>
    <w:rsid w:val="00697FCC"/>
    <w:rsid w:val="006A062F"/>
    <w:rsid w:val="006A0E39"/>
    <w:rsid w:val="006A251B"/>
    <w:rsid w:val="006A2A62"/>
    <w:rsid w:val="006A3F02"/>
    <w:rsid w:val="006A4A61"/>
    <w:rsid w:val="006A68EA"/>
    <w:rsid w:val="006A731D"/>
    <w:rsid w:val="006A77B7"/>
    <w:rsid w:val="006B0369"/>
    <w:rsid w:val="006B1A98"/>
    <w:rsid w:val="006B1AF8"/>
    <w:rsid w:val="006B23A9"/>
    <w:rsid w:val="006B24DE"/>
    <w:rsid w:val="006B3862"/>
    <w:rsid w:val="006B55A9"/>
    <w:rsid w:val="006B58CD"/>
    <w:rsid w:val="006B5AE0"/>
    <w:rsid w:val="006B6E10"/>
    <w:rsid w:val="006B6F7F"/>
    <w:rsid w:val="006B7BD2"/>
    <w:rsid w:val="006C149D"/>
    <w:rsid w:val="006C15D6"/>
    <w:rsid w:val="006C30AF"/>
    <w:rsid w:val="006C6088"/>
    <w:rsid w:val="006C648E"/>
    <w:rsid w:val="006C664F"/>
    <w:rsid w:val="006C724C"/>
    <w:rsid w:val="006C74FD"/>
    <w:rsid w:val="006C7A25"/>
    <w:rsid w:val="006D041D"/>
    <w:rsid w:val="006D0E3F"/>
    <w:rsid w:val="006D19A3"/>
    <w:rsid w:val="006D1DF9"/>
    <w:rsid w:val="006D3EDC"/>
    <w:rsid w:val="006D4FA9"/>
    <w:rsid w:val="006D6483"/>
    <w:rsid w:val="006D6D20"/>
    <w:rsid w:val="006D6DC6"/>
    <w:rsid w:val="006D75AA"/>
    <w:rsid w:val="006D763B"/>
    <w:rsid w:val="006D7ACF"/>
    <w:rsid w:val="006D7FD9"/>
    <w:rsid w:val="006E0583"/>
    <w:rsid w:val="006E0760"/>
    <w:rsid w:val="006E0E06"/>
    <w:rsid w:val="006E11D5"/>
    <w:rsid w:val="006E15F0"/>
    <w:rsid w:val="006E1CC2"/>
    <w:rsid w:val="006E1E58"/>
    <w:rsid w:val="006E1EE5"/>
    <w:rsid w:val="006E1F53"/>
    <w:rsid w:val="006E2C45"/>
    <w:rsid w:val="006E35AA"/>
    <w:rsid w:val="006E36B8"/>
    <w:rsid w:val="006E3A71"/>
    <w:rsid w:val="006E402F"/>
    <w:rsid w:val="006E474C"/>
    <w:rsid w:val="006E572B"/>
    <w:rsid w:val="006E5A86"/>
    <w:rsid w:val="006E62F8"/>
    <w:rsid w:val="006E6570"/>
    <w:rsid w:val="006E6D0F"/>
    <w:rsid w:val="006E6D4B"/>
    <w:rsid w:val="006E7B9B"/>
    <w:rsid w:val="006E7C1A"/>
    <w:rsid w:val="006E7E59"/>
    <w:rsid w:val="006F0702"/>
    <w:rsid w:val="006F0C57"/>
    <w:rsid w:val="006F260A"/>
    <w:rsid w:val="006F2C4D"/>
    <w:rsid w:val="006F2E74"/>
    <w:rsid w:val="006F361E"/>
    <w:rsid w:val="006F3947"/>
    <w:rsid w:val="006F4FD3"/>
    <w:rsid w:val="006F5E53"/>
    <w:rsid w:val="006F6606"/>
    <w:rsid w:val="006F6C28"/>
    <w:rsid w:val="006F77BE"/>
    <w:rsid w:val="00701745"/>
    <w:rsid w:val="007021DC"/>
    <w:rsid w:val="00702D4C"/>
    <w:rsid w:val="007044B1"/>
    <w:rsid w:val="007045B0"/>
    <w:rsid w:val="00704B32"/>
    <w:rsid w:val="00705922"/>
    <w:rsid w:val="007059B5"/>
    <w:rsid w:val="0070693B"/>
    <w:rsid w:val="00706FA4"/>
    <w:rsid w:val="00711316"/>
    <w:rsid w:val="00711D4B"/>
    <w:rsid w:val="007123AF"/>
    <w:rsid w:val="00712943"/>
    <w:rsid w:val="00712AE7"/>
    <w:rsid w:val="00712CB0"/>
    <w:rsid w:val="0071338C"/>
    <w:rsid w:val="007134CB"/>
    <w:rsid w:val="007147DA"/>
    <w:rsid w:val="00714810"/>
    <w:rsid w:val="00714D0D"/>
    <w:rsid w:val="00714DFC"/>
    <w:rsid w:val="00714ECA"/>
    <w:rsid w:val="007154A5"/>
    <w:rsid w:val="00716B14"/>
    <w:rsid w:val="00716E37"/>
    <w:rsid w:val="00716F1B"/>
    <w:rsid w:val="00716FCE"/>
    <w:rsid w:val="00717956"/>
    <w:rsid w:val="00717993"/>
    <w:rsid w:val="00720555"/>
    <w:rsid w:val="007225A0"/>
    <w:rsid w:val="00722E85"/>
    <w:rsid w:val="00723528"/>
    <w:rsid w:val="00723F90"/>
    <w:rsid w:val="007247A6"/>
    <w:rsid w:val="00725145"/>
    <w:rsid w:val="007253D4"/>
    <w:rsid w:val="00726354"/>
    <w:rsid w:val="007264CC"/>
    <w:rsid w:val="007269A7"/>
    <w:rsid w:val="00727051"/>
    <w:rsid w:val="007308ED"/>
    <w:rsid w:val="00730AC9"/>
    <w:rsid w:val="00731299"/>
    <w:rsid w:val="00732742"/>
    <w:rsid w:val="00733412"/>
    <w:rsid w:val="0073444B"/>
    <w:rsid w:val="00734E0E"/>
    <w:rsid w:val="007355A4"/>
    <w:rsid w:val="00736E32"/>
    <w:rsid w:val="00737036"/>
    <w:rsid w:val="00737702"/>
    <w:rsid w:val="00737C3F"/>
    <w:rsid w:val="0074065F"/>
    <w:rsid w:val="007408E8"/>
    <w:rsid w:val="00740FB5"/>
    <w:rsid w:val="007420C1"/>
    <w:rsid w:val="0074394A"/>
    <w:rsid w:val="00743C2E"/>
    <w:rsid w:val="00743D77"/>
    <w:rsid w:val="00744ACF"/>
    <w:rsid w:val="00744B61"/>
    <w:rsid w:val="0074518A"/>
    <w:rsid w:val="00747050"/>
    <w:rsid w:val="00747ACA"/>
    <w:rsid w:val="00747EA6"/>
    <w:rsid w:val="00750CB7"/>
    <w:rsid w:val="00751863"/>
    <w:rsid w:val="00751F8B"/>
    <w:rsid w:val="007522D4"/>
    <w:rsid w:val="00752617"/>
    <w:rsid w:val="00752B63"/>
    <w:rsid w:val="00753F11"/>
    <w:rsid w:val="00754DA9"/>
    <w:rsid w:val="00754FB8"/>
    <w:rsid w:val="00755181"/>
    <w:rsid w:val="007562DC"/>
    <w:rsid w:val="00756E18"/>
    <w:rsid w:val="007608ED"/>
    <w:rsid w:val="00760B38"/>
    <w:rsid w:val="00761875"/>
    <w:rsid w:val="007623A3"/>
    <w:rsid w:val="007633E1"/>
    <w:rsid w:val="0076346A"/>
    <w:rsid w:val="00763989"/>
    <w:rsid w:val="00763A92"/>
    <w:rsid w:val="00763E07"/>
    <w:rsid w:val="00764135"/>
    <w:rsid w:val="0076468E"/>
    <w:rsid w:val="007650F1"/>
    <w:rsid w:val="00765DE6"/>
    <w:rsid w:val="0076626D"/>
    <w:rsid w:val="0076649C"/>
    <w:rsid w:val="00766FE5"/>
    <w:rsid w:val="00767233"/>
    <w:rsid w:val="00770C4A"/>
    <w:rsid w:val="00770F1F"/>
    <w:rsid w:val="007711B8"/>
    <w:rsid w:val="00772946"/>
    <w:rsid w:val="00772D71"/>
    <w:rsid w:val="00773239"/>
    <w:rsid w:val="007734E6"/>
    <w:rsid w:val="00774ACE"/>
    <w:rsid w:val="0077502C"/>
    <w:rsid w:val="0077547F"/>
    <w:rsid w:val="00775D5D"/>
    <w:rsid w:val="00777B97"/>
    <w:rsid w:val="00780292"/>
    <w:rsid w:val="00781742"/>
    <w:rsid w:val="00781FB9"/>
    <w:rsid w:val="0078201C"/>
    <w:rsid w:val="007824AB"/>
    <w:rsid w:val="0078317A"/>
    <w:rsid w:val="00783202"/>
    <w:rsid w:val="00783278"/>
    <w:rsid w:val="007833B1"/>
    <w:rsid w:val="00784539"/>
    <w:rsid w:val="00784BB1"/>
    <w:rsid w:val="007861AD"/>
    <w:rsid w:val="0078716A"/>
    <w:rsid w:val="007878A7"/>
    <w:rsid w:val="00787C47"/>
    <w:rsid w:val="00790590"/>
    <w:rsid w:val="00790B6F"/>
    <w:rsid w:val="00790F61"/>
    <w:rsid w:val="007913C4"/>
    <w:rsid w:val="00791C3D"/>
    <w:rsid w:val="00792601"/>
    <w:rsid w:val="00793263"/>
    <w:rsid w:val="00793468"/>
    <w:rsid w:val="00793551"/>
    <w:rsid w:val="007935AF"/>
    <w:rsid w:val="00793741"/>
    <w:rsid w:val="00793AB5"/>
    <w:rsid w:val="0079404E"/>
    <w:rsid w:val="00794C94"/>
    <w:rsid w:val="00794F46"/>
    <w:rsid w:val="007957CB"/>
    <w:rsid w:val="00795836"/>
    <w:rsid w:val="00796079"/>
    <w:rsid w:val="00796535"/>
    <w:rsid w:val="00797757"/>
    <w:rsid w:val="007A0A6D"/>
    <w:rsid w:val="007A1704"/>
    <w:rsid w:val="007A1A12"/>
    <w:rsid w:val="007A2312"/>
    <w:rsid w:val="007A233D"/>
    <w:rsid w:val="007A26D8"/>
    <w:rsid w:val="007A26E5"/>
    <w:rsid w:val="007A2BBB"/>
    <w:rsid w:val="007A3572"/>
    <w:rsid w:val="007A3642"/>
    <w:rsid w:val="007A3DED"/>
    <w:rsid w:val="007A46BB"/>
    <w:rsid w:val="007A4DFA"/>
    <w:rsid w:val="007A5214"/>
    <w:rsid w:val="007A56D9"/>
    <w:rsid w:val="007A5F63"/>
    <w:rsid w:val="007A618F"/>
    <w:rsid w:val="007A61AE"/>
    <w:rsid w:val="007A7EC4"/>
    <w:rsid w:val="007B0576"/>
    <w:rsid w:val="007B0AD4"/>
    <w:rsid w:val="007B0BB6"/>
    <w:rsid w:val="007B0DC4"/>
    <w:rsid w:val="007B455D"/>
    <w:rsid w:val="007B51CE"/>
    <w:rsid w:val="007B6EA1"/>
    <w:rsid w:val="007B7DE2"/>
    <w:rsid w:val="007C0B5E"/>
    <w:rsid w:val="007C0F3B"/>
    <w:rsid w:val="007C1349"/>
    <w:rsid w:val="007C2882"/>
    <w:rsid w:val="007C2940"/>
    <w:rsid w:val="007C31E9"/>
    <w:rsid w:val="007C5A8F"/>
    <w:rsid w:val="007C5E92"/>
    <w:rsid w:val="007C5F7A"/>
    <w:rsid w:val="007C694B"/>
    <w:rsid w:val="007C7856"/>
    <w:rsid w:val="007C7D26"/>
    <w:rsid w:val="007C7DF6"/>
    <w:rsid w:val="007D149F"/>
    <w:rsid w:val="007D19EE"/>
    <w:rsid w:val="007D1C63"/>
    <w:rsid w:val="007D1D5D"/>
    <w:rsid w:val="007D2B9C"/>
    <w:rsid w:val="007D4C7D"/>
    <w:rsid w:val="007D6574"/>
    <w:rsid w:val="007D734E"/>
    <w:rsid w:val="007D785E"/>
    <w:rsid w:val="007D7E7A"/>
    <w:rsid w:val="007E0B0A"/>
    <w:rsid w:val="007E1520"/>
    <w:rsid w:val="007E16DE"/>
    <w:rsid w:val="007E1E1D"/>
    <w:rsid w:val="007E4CCF"/>
    <w:rsid w:val="007E57D8"/>
    <w:rsid w:val="007F0148"/>
    <w:rsid w:val="007F09E3"/>
    <w:rsid w:val="007F0D79"/>
    <w:rsid w:val="007F1A96"/>
    <w:rsid w:val="007F35FB"/>
    <w:rsid w:val="007F3D2B"/>
    <w:rsid w:val="007F3EA4"/>
    <w:rsid w:val="007F428F"/>
    <w:rsid w:val="007F4D10"/>
    <w:rsid w:val="007F547C"/>
    <w:rsid w:val="007F5BF6"/>
    <w:rsid w:val="007F6D83"/>
    <w:rsid w:val="007F7C95"/>
    <w:rsid w:val="008005FD"/>
    <w:rsid w:val="00802AF0"/>
    <w:rsid w:val="00802C34"/>
    <w:rsid w:val="008031A9"/>
    <w:rsid w:val="00804A3B"/>
    <w:rsid w:val="008057F5"/>
    <w:rsid w:val="00805B42"/>
    <w:rsid w:val="00805C72"/>
    <w:rsid w:val="00806167"/>
    <w:rsid w:val="0080626A"/>
    <w:rsid w:val="00806FAB"/>
    <w:rsid w:val="00807E19"/>
    <w:rsid w:val="00810415"/>
    <w:rsid w:val="008107D5"/>
    <w:rsid w:val="00810A0B"/>
    <w:rsid w:val="00811212"/>
    <w:rsid w:val="00811635"/>
    <w:rsid w:val="0081201B"/>
    <w:rsid w:val="0081305C"/>
    <w:rsid w:val="0081391A"/>
    <w:rsid w:val="00814782"/>
    <w:rsid w:val="00817155"/>
    <w:rsid w:val="0081778F"/>
    <w:rsid w:val="008177EE"/>
    <w:rsid w:val="008179B0"/>
    <w:rsid w:val="008216E6"/>
    <w:rsid w:val="00822377"/>
    <w:rsid w:val="00822A13"/>
    <w:rsid w:val="00822A35"/>
    <w:rsid w:val="00823191"/>
    <w:rsid w:val="008236AD"/>
    <w:rsid w:val="00823AB0"/>
    <w:rsid w:val="00823B2C"/>
    <w:rsid w:val="00823E98"/>
    <w:rsid w:val="00824D1A"/>
    <w:rsid w:val="00824E3A"/>
    <w:rsid w:val="00824E93"/>
    <w:rsid w:val="00824F3A"/>
    <w:rsid w:val="00825764"/>
    <w:rsid w:val="00825AF5"/>
    <w:rsid w:val="0082629E"/>
    <w:rsid w:val="00826BFF"/>
    <w:rsid w:val="00826FD2"/>
    <w:rsid w:val="00830B3E"/>
    <w:rsid w:val="00830FD6"/>
    <w:rsid w:val="008310FD"/>
    <w:rsid w:val="00832065"/>
    <w:rsid w:val="00832C3D"/>
    <w:rsid w:val="00832CCC"/>
    <w:rsid w:val="00834659"/>
    <w:rsid w:val="008346BE"/>
    <w:rsid w:val="00834F70"/>
    <w:rsid w:val="00834F73"/>
    <w:rsid w:val="0083527D"/>
    <w:rsid w:val="00836447"/>
    <w:rsid w:val="00837169"/>
    <w:rsid w:val="008376EE"/>
    <w:rsid w:val="008430F5"/>
    <w:rsid w:val="008442A3"/>
    <w:rsid w:val="00844722"/>
    <w:rsid w:val="008462D6"/>
    <w:rsid w:val="00846D50"/>
    <w:rsid w:val="0084717A"/>
    <w:rsid w:val="008478E1"/>
    <w:rsid w:val="0085061F"/>
    <w:rsid w:val="00850E2D"/>
    <w:rsid w:val="008516C2"/>
    <w:rsid w:val="00851EAE"/>
    <w:rsid w:val="008528F4"/>
    <w:rsid w:val="00852FA7"/>
    <w:rsid w:val="008531DA"/>
    <w:rsid w:val="00853485"/>
    <w:rsid w:val="0085358B"/>
    <w:rsid w:val="0085490C"/>
    <w:rsid w:val="00854F69"/>
    <w:rsid w:val="00855ED0"/>
    <w:rsid w:val="0085657E"/>
    <w:rsid w:val="00856728"/>
    <w:rsid w:val="008574BF"/>
    <w:rsid w:val="00860141"/>
    <w:rsid w:val="00860E48"/>
    <w:rsid w:val="00861302"/>
    <w:rsid w:val="00861441"/>
    <w:rsid w:val="00861592"/>
    <w:rsid w:val="00861BED"/>
    <w:rsid w:val="0086305C"/>
    <w:rsid w:val="008637FC"/>
    <w:rsid w:val="00863DB4"/>
    <w:rsid w:val="008642F0"/>
    <w:rsid w:val="008643EF"/>
    <w:rsid w:val="00865FC8"/>
    <w:rsid w:val="00866043"/>
    <w:rsid w:val="0086668A"/>
    <w:rsid w:val="00870577"/>
    <w:rsid w:val="008709CC"/>
    <w:rsid w:val="00871298"/>
    <w:rsid w:val="00872C7C"/>
    <w:rsid w:val="00873621"/>
    <w:rsid w:val="008745C3"/>
    <w:rsid w:val="00874E6C"/>
    <w:rsid w:val="00875AC1"/>
    <w:rsid w:val="00876771"/>
    <w:rsid w:val="00876FD1"/>
    <w:rsid w:val="0087793D"/>
    <w:rsid w:val="0088067A"/>
    <w:rsid w:val="00880E91"/>
    <w:rsid w:val="00881126"/>
    <w:rsid w:val="008816BC"/>
    <w:rsid w:val="00881CF0"/>
    <w:rsid w:val="008821E8"/>
    <w:rsid w:val="0088314D"/>
    <w:rsid w:val="0088363E"/>
    <w:rsid w:val="00883F49"/>
    <w:rsid w:val="00884282"/>
    <w:rsid w:val="0088439A"/>
    <w:rsid w:val="008866EB"/>
    <w:rsid w:val="00886BA7"/>
    <w:rsid w:val="008871B4"/>
    <w:rsid w:val="008877DD"/>
    <w:rsid w:val="008879C6"/>
    <w:rsid w:val="00890D8D"/>
    <w:rsid w:val="008910BE"/>
    <w:rsid w:val="00892FE4"/>
    <w:rsid w:val="00893245"/>
    <w:rsid w:val="0089348B"/>
    <w:rsid w:val="00894417"/>
    <w:rsid w:val="00894F98"/>
    <w:rsid w:val="008956E0"/>
    <w:rsid w:val="00896542"/>
    <w:rsid w:val="00896A21"/>
    <w:rsid w:val="00897889"/>
    <w:rsid w:val="008A00AA"/>
    <w:rsid w:val="008A0104"/>
    <w:rsid w:val="008A1396"/>
    <w:rsid w:val="008A192A"/>
    <w:rsid w:val="008A256C"/>
    <w:rsid w:val="008A2A22"/>
    <w:rsid w:val="008A2C0F"/>
    <w:rsid w:val="008A3FD2"/>
    <w:rsid w:val="008A4205"/>
    <w:rsid w:val="008A4836"/>
    <w:rsid w:val="008A562A"/>
    <w:rsid w:val="008A5948"/>
    <w:rsid w:val="008A657D"/>
    <w:rsid w:val="008A740B"/>
    <w:rsid w:val="008B0449"/>
    <w:rsid w:val="008B1A4E"/>
    <w:rsid w:val="008B2088"/>
    <w:rsid w:val="008B21AC"/>
    <w:rsid w:val="008B2C75"/>
    <w:rsid w:val="008B33A8"/>
    <w:rsid w:val="008B48AE"/>
    <w:rsid w:val="008B48FF"/>
    <w:rsid w:val="008B54D9"/>
    <w:rsid w:val="008B5D73"/>
    <w:rsid w:val="008B6259"/>
    <w:rsid w:val="008B63D8"/>
    <w:rsid w:val="008B7158"/>
    <w:rsid w:val="008B74C1"/>
    <w:rsid w:val="008C04FD"/>
    <w:rsid w:val="008C1726"/>
    <w:rsid w:val="008C28D8"/>
    <w:rsid w:val="008C3E98"/>
    <w:rsid w:val="008C3F96"/>
    <w:rsid w:val="008C575A"/>
    <w:rsid w:val="008C60DF"/>
    <w:rsid w:val="008C6499"/>
    <w:rsid w:val="008C76FB"/>
    <w:rsid w:val="008D09EA"/>
    <w:rsid w:val="008D0D48"/>
    <w:rsid w:val="008D107D"/>
    <w:rsid w:val="008D120A"/>
    <w:rsid w:val="008D1412"/>
    <w:rsid w:val="008D16D1"/>
    <w:rsid w:val="008D18C5"/>
    <w:rsid w:val="008D2565"/>
    <w:rsid w:val="008D2F0A"/>
    <w:rsid w:val="008D2FE2"/>
    <w:rsid w:val="008D445C"/>
    <w:rsid w:val="008D445D"/>
    <w:rsid w:val="008D4727"/>
    <w:rsid w:val="008D479B"/>
    <w:rsid w:val="008D49C5"/>
    <w:rsid w:val="008D6575"/>
    <w:rsid w:val="008D6A5C"/>
    <w:rsid w:val="008D7938"/>
    <w:rsid w:val="008D7970"/>
    <w:rsid w:val="008D7C50"/>
    <w:rsid w:val="008E0BEE"/>
    <w:rsid w:val="008E259E"/>
    <w:rsid w:val="008E26BE"/>
    <w:rsid w:val="008E2731"/>
    <w:rsid w:val="008E3296"/>
    <w:rsid w:val="008E33BE"/>
    <w:rsid w:val="008E3769"/>
    <w:rsid w:val="008E49B8"/>
    <w:rsid w:val="008E5F25"/>
    <w:rsid w:val="008E6C66"/>
    <w:rsid w:val="008E7913"/>
    <w:rsid w:val="008F0484"/>
    <w:rsid w:val="008F0B2D"/>
    <w:rsid w:val="008F0F07"/>
    <w:rsid w:val="008F0FB4"/>
    <w:rsid w:val="008F1375"/>
    <w:rsid w:val="008F25AC"/>
    <w:rsid w:val="008F261C"/>
    <w:rsid w:val="008F2B81"/>
    <w:rsid w:val="008F30CE"/>
    <w:rsid w:val="008F3A07"/>
    <w:rsid w:val="008F54B6"/>
    <w:rsid w:val="008F55FA"/>
    <w:rsid w:val="008F6D40"/>
    <w:rsid w:val="008F788B"/>
    <w:rsid w:val="009018C2"/>
    <w:rsid w:val="00901BF2"/>
    <w:rsid w:val="009026CA"/>
    <w:rsid w:val="009029D6"/>
    <w:rsid w:val="009038D1"/>
    <w:rsid w:val="009040EA"/>
    <w:rsid w:val="00904333"/>
    <w:rsid w:val="009048F4"/>
    <w:rsid w:val="00904965"/>
    <w:rsid w:val="00905AA2"/>
    <w:rsid w:val="00906456"/>
    <w:rsid w:val="0090689C"/>
    <w:rsid w:val="00907161"/>
    <w:rsid w:val="0090771C"/>
    <w:rsid w:val="00911123"/>
    <w:rsid w:val="009115F3"/>
    <w:rsid w:val="0091354D"/>
    <w:rsid w:val="00913E45"/>
    <w:rsid w:val="0091411B"/>
    <w:rsid w:val="00914E41"/>
    <w:rsid w:val="0091564B"/>
    <w:rsid w:val="00916AE6"/>
    <w:rsid w:val="00917016"/>
    <w:rsid w:val="009171E7"/>
    <w:rsid w:val="00920A2B"/>
    <w:rsid w:val="009210C0"/>
    <w:rsid w:val="009219E9"/>
    <w:rsid w:val="00921B3E"/>
    <w:rsid w:val="00921EEB"/>
    <w:rsid w:val="00922382"/>
    <w:rsid w:val="00922BC2"/>
    <w:rsid w:val="0092389E"/>
    <w:rsid w:val="00923CF0"/>
    <w:rsid w:val="00925C2E"/>
    <w:rsid w:val="00927C16"/>
    <w:rsid w:val="00930C20"/>
    <w:rsid w:val="00930D58"/>
    <w:rsid w:val="00931B8B"/>
    <w:rsid w:val="00931DD4"/>
    <w:rsid w:val="00932764"/>
    <w:rsid w:val="00932BC0"/>
    <w:rsid w:val="00932F0A"/>
    <w:rsid w:val="0093473E"/>
    <w:rsid w:val="009357DC"/>
    <w:rsid w:val="00936554"/>
    <w:rsid w:val="0093702B"/>
    <w:rsid w:val="009404EC"/>
    <w:rsid w:val="00940699"/>
    <w:rsid w:val="009407DA"/>
    <w:rsid w:val="00940CF6"/>
    <w:rsid w:val="00941574"/>
    <w:rsid w:val="009429A8"/>
    <w:rsid w:val="00942C87"/>
    <w:rsid w:val="00943AF3"/>
    <w:rsid w:val="00944217"/>
    <w:rsid w:val="0094444A"/>
    <w:rsid w:val="00944E6F"/>
    <w:rsid w:val="00944E8E"/>
    <w:rsid w:val="00945C30"/>
    <w:rsid w:val="00945D51"/>
    <w:rsid w:val="00946222"/>
    <w:rsid w:val="00947167"/>
    <w:rsid w:val="0094751E"/>
    <w:rsid w:val="0095124A"/>
    <w:rsid w:val="009517A1"/>
    <w:rsid w:val="00951E85"/>
    <w:rsid w:val="00953003"/>
    <w:rsid w:val="00953961"/>
    <w:rsid w:val="0095401E"/>
    <w:rsid w:val="00954ADA"/>
    <w:rsid w:val="00955605"/>
    <w:rsid w:val="00955C0A"/>
    <w:rsid w:val="00956E0C"/>
    <w:rsid w:val="00957677"/>
    <w:rsid w:val="00960557"/>
    <w:rsid w:val="009622D9"/>
    <w:rsid w:val="00963369"/>
    <w:rsid w:val="0096353F"/>
    <w:rsid w:val="009637B0"/>
    <w:rsid w:val="00964300"/>
    <w:rsid w:val="00964B18"/>
    <w:rsid w:val="00965B2D"/>
    <w:rsid w:val="00965E0E"/>
    <w:rsid w:val="00966201"/>
    <w:rsid w:val="00966AE0"/>
    <w:rsid w:val="009674AA"/>
    <w:rsid w:val="009676A4"/>
    <w:rsid w:val="009707FF"/>
    <w:rsid w:val="00970941"/>
    <w:rsid w:val="0097153D"/>
    <w:rsid w:val="00972401"/>
    <w:rsid w:val="00972719"/>
    <w:rsid w:val="00972FF5"/>
    <w:rsid w:val="009731AD"/>
    <w:rsid w:val="00973B10"/>
    <w:rsid w:val="00973B26"/>
    <w:rsid w:val="00973DD8"/>
    <w:rsid w:val="009752AA"/>
    <w:rsid w:val="009754DC"/>
    <w:rsid w:val="009755DB"/>
    <w:rsid w:val="0097636C"/>
    <w:rsid w:val="00977A5C"/>
    <w:rsid w:val="0098005E"/>
    <w:rsid w:val="00980BDE"/>
    <w:rsid w:val="009810BC"/>
    <w:rsid w:val="00981949"/>
    <w:rsid w:val="00982BA0"/>
    <w:rsid w:val="00983082"/>
    <w:rsid w:val="00983798"/>
    <w:rsid w:val="0098439D"/>
    <w:rsid w:val="009851B6"/>
    <w:rsid w:val="00986670"/>
    <w:rsid w:val="00986AA2"/>
    <w:rsid w:val="00986D46"/>
    <w:rsid w:val="00986D9F"/>
    <w:rsid w:val="00987230"/>
    <w:rsid w:val="00991299"/>
    <w:rsid w:val="009914D6"/>
    <w:rsid w:val="0099186F"/>
    <w:rsid w:val="00991A61"/>
    <w:rsid w:val="00991DD4"/>
    <w:rsid w:val="00991F6B"/>
    <w:rsid w:val="009929B7"/>
    <w:rsid w:val="009929E0"/>
    <w:rsid w:val="00992C2B"/>
    <w:rsid w:val="00993EFA"/>
    <w:rsid w:val="00994B70"/>
    <w:rsid w:val="00994C2F"/>
    <w:rsid w:val="00994D6F"/>
    <w:rsid w:val="00995D9A"/>
    <w:rsid w:val="0099676E"/>
    <w:rsid w:val="009968C0"/>
    <w:rsid w:val="00996AF6"/>
    <w:rsid w:val="009971AA"/>
    <w:rsid w:val="009A0B61"/>
    <w:rsid w:val="009A124B"/>
    <w:rsid w:val="009A27A0"/>
    <w:rsid w:val="009A4107"/>
    <w:rsid w:val="009A428A"/>
    <w:rsid w:val="009A5191"/>
    <w:rsid w:val="009A5861"/>
    <w:rsid w:val="009A5A53"/>
    <w:rsid w:val="009B0119"/>
    <w:rsid w:val="009B0905"/>
    <w:rsid w:val="009B103F"/>
    <w:rsid w:val="009B13CD"/>
    <w:rsid w:val="009B1B1E"/>
    <w:rsid w:val="009B1ED8"/>
    <w:rsid w:val="009B20C9"/>
    <w:rsid w:val="009B3A3E"/>
    <w:rsid w:val="009B4F9D"/>
    <w:rsid w:val="009B5703"/>
    <w:rsid w:val="009B686C"/>
    <w:rsid w:val="009C0094"/>
    <w:rsid w:val="009C0D21"/>
    <w:rsid w:val="009C169A"/>
    <w:rsid w:val="009C2168"/>
    <w:rsid w:val="009C34A3"/>
    <w:rsid w:val="009C5533"/>
    <w:rsid w:val="009C5774"/>
    <w:rsid w:val="009C6925"/>
    <w:rsid w:val="009C7632"/>
    <w:rsid w:val="009C7A37"/>
    <w:rsid w:val="009C7A40"/>
    <w:rsid w:val="009D015D"/>
    <w:rsid w:val="009D0DE2"/>
    <w:rsid w:val="009D113A"/>
    <w:rsid w:val="009D1410"/>
    <w:rsid w:val="009D1501"/>
    <w:rsid w:val="009D1833"/>
    <w:rsid w:val="009D376B"/>
    <w:rsid w:val="009D4DA1"/>
    <w:rsid w:val="009D585C"/>
    <w:rsid w:val="009D5AD1"/>
    <w:rsid w:val="009D5C3D"/>
    <w:rsid w:val="009D6322"/>
    <w:rsid w:val="009D6CDF"/>
    <w:rsid w:val="009D6D5A"/>
    <w:rsid w:val="009D7E40"/>
    <w:rsid w:val="009E15FF"/>
    <w:rsid w:val="009E1F1C"/>
    <w:rsid w:val="009E2A9E"/>
    <w:rsid w:val="009E2B18"/>
    <w:rsid w:val="009E2B1F"/>
    <w:rsid w:val="009E2D85"/>
    <w:rsid w:val="009E3660"/>
    <w:rsid w:val="009E37BC"/>
    <w:rsid w:val="009E45B5"/>
    <w:rsid w:val="009E5826"/>
    <w:rsid w:val="009E62A2"/>
    <w:rsid w:val="009E646F"/>
    <w:rsid w:val="009E68D3"/>
    <w:rsid w:val="009E6C86"/>
    <w:rsid w:val="009E6CD6"/>
    <w:rsid w:val="009E6D8B"/>
    <w:rsid w:val="009E6EA9"/>
    <w:rsid w:val="009E76CB"/>
    <w:rsid w:val="009F05A9"/>
    <w:rsid w:val="009F0B99"/>
    <w:rsid w:val="009F1536"/>
    <w:rsid w:val="009F2284"/>
    <w:rsid w:val="009F321D"/>
    <w:rsid w:val="009F323A"/>
    <w:rsid w:val="009F3327"/>
    <w:rsid w:val="009F3511"/>
    <w:rsid w:val="009F4837"/>
    <w:rsid w:val="009F4984"/>
    <w:rsid w:val="009F5F60"/>
    <w:rsid w:val="009F6133"/>
    <w:rsid w:val="009F7867"/>
    <w:rsid w:val="00A005A4"/>
    <w:rsid w:val="00A0108E"/>
    <w:rsid w:val="00A02770"/>
    <w:rsid w:val="00A02971"/>
    <w:rsid w:val="00A03886"/>
    <w:rsid w:val="00A040B5"/>
    <w:rsid w:val="00A04C66"/>
    <w:rsid w:val="00A0557E"/>
    <w:rsid w:val="00A06924"/>
    <w:rsid w:val="00A07C0A"/>
    <w:rsid w:val="00A07D3E"/>
    <w:rsid w:val="00A10B91"/>
    <w:rsid w:val="00A10C0F"/>
    <w:rsid w:val="00A10DAD"/>
    <w:rsid w:val="00A10EBA"/>
    <w:rsid w:val="00A11CB5"/>
    <w:rsid w:val="00A11CBC"/>
    <w:rsid w:val="00A11D07"/>
    <w:rsid w:val="00A12264"/>
    <w:rsid w:val="00A12EED"/>
    <w:rsid w:val="00A1340F"/>
    <w:rsid w:val="00A1359B"/>
    <w:rsid w:val="00A13E35"/>
    <w:rsid w:val="00A13FDA"/>
    <w:rsid w:val="00A150EF"/>
    <w:rsid w:val="00A17839"/>
    <w:rsid w:val="00A2022F"/>
    <w:rsid w:val="00A205B3"/>
    <w:rsid w:val="00A20ADA"/>
    <w:rsid w:val="00A21A75"/>
    <w:rsid w:val="00A22BC0"/>
    <w:rsid w:val="00A22F88"/>
    <w:rsid w:val="00A2324C"/>
    <w:rsid w:val="00A23AEE"/>
    <w:rsid w:val="00A24CE1"/>
    <w:rsid w:val="00A25C2A"/>
    <w:rsid w:val="00A25D4B"/>
    <w:rsid w:val="00A26874"/>
    <w:rsid w:val="00A30733"/>
    <w:rsid w:val="00A31C3F"/>
    <w:rsid w:val="00A321DA"/>
    <w:rsid w:val="00A322EE"/>
    <w:rsid w:val="00A3342E"/>
    <w:rsid w:val="00A34171"/>
    <w:rsid w:val="00A3454D"/>
    <w:rsid w:val="00A358E4"/>
    <w:rsid w:val="00A36AEC"/>
    <w:rsid w:val="00A4240C"/>
    <w:rsid w:val="00A4273C"/>
    <w:rsid w:val="00A43D71"/>
    <w:rsid w:val="00A44118"/>
    <w:rsid w:val="00A446A2"/>
    <w:rsid w:val="00A44802"/>
    <w:rsid w:val="00A45408"/>
    <w:rsid w:val="00A46290"/>
    <w:rsid w:val="00A473CC"/>
    <w:rsid w:val="00A50179"/>
    <w:rsid w:val="00A503B7"/>
    <w:rsid w:val="00A50424"/>
    <w:rsid w:val="00A505DB"/>
    <w:rsid w:val="00A5075D"/>
    <w:rsid w:val="00A5077D"/>
    <w:rsid w:val="00A507D7"/>
    <w:rsid w:val="00A50B51"/>
    <w:rsid w:val="00A51114"/>
    <w:rsid w:val="00A512F5"/>
    <w:rsid w:val="00A51B1C"/>
    <w:rsid w:val="00A523DC"/>
    <w:rsid w:val="00A52DD7"/>
    <w:rsid w:val="00A536C4"/>
    <w:rsid w:val="00A53A3F"/>
    <w:rsid w:val="00A53DBC"/>
    <w:rsid w:val="00A54ABE"/>
    <w:rsid w:val="00A54B9F"/>
    <w:rsid w:val="00A56299"/>
    <w:rsid w:val="00A60EE2"/>
    <w:rsid w:val="00A61189"/>
    <w:rsid w:val="00A61590"/>
    <w:rsid w:val="00A61C89"/>
    <w:rsid w:val="00A625B9"/>
    <w:rsid w:val="00A62E44"/>
    <w:rsid w:val="00A6312F"/>
    <w:rsid w:val="00A63C42"/>
    <w:rsid w:val="00A64A04"/>
    <w:rsid w:val="00A64AB1"/>
    <w:rsid w:val="00A64C8E"/>
    <w:rsid w:val="00A65D37"/>
    <w:rsid w:val="00A66B24"/>
    <w:rsid w:val="00A66DEB"/>
    <w:rsid w:val="00A66FB9"/>
    <w:rsid w:val="00A674E1"/>
    <w:rsid w:val="00A67751"/>
    <w:rsid w:val="00A707A9"/>
    <w:rsid w:val="00A71D82"/>
    <w:rsid w:val="00A71E63"/>
    <w:rsid w:val="00A723F8"/>
    <w:rsid w:val="00A725BF"/>
    <w:rsid w:val="00A74004"/>
    <w:rsid w:val="00A743D1"/>
    <w:rsid w:val="00A7470F"/>
    <w:rsid w:val="00A7577D"/>
    <w:rsid w:val="00A7580A"/>
    <w:rsid w:val="00A75E90"/>
    <w:rsid w:val="00A76008"/>
    <w:rsid w:val="00A76042"/>
    <w:rsid w:val="00A761E0"/>
    <w:rsid w:val="00A76750"/>
    <w:rsid w:val="00A76AAB"/>
    <w:rsid w:val="00A7708E"/>
    <w:rsid w:val="00A77843"/>
    <w:rsid w:val="00A801CB"/>
    <w:rsid w:val="00A81285"/>
    <w:rsid w:val="00A824E4"/>
    <w:rsid w:val="00A83673"/>
    <w:rsid w:val="00A836A3"/>
    <w:rsid w:val="00A84052"/>
    <w:rsid w:val="00A84DD1"/>
    <w:rsid w:val="00A85937"/>
    <w:rsid w:val="00A861FF"/>
    <w:rsid w:val="00A866CC"/>
    <w:rsid w:val="00A86725"/>
    <w:rsid w:val="00A91034"/>
    <w:rsid w:val="00A9350E"/>
    <w:rsid w:val="00A939C3"/>
    <w:rsid w:val="00A94AC8"/>
    <w:rsid w:val="00A963D5"/>
    <w:rsid w:val="00AA011E"/>
    <w:rsid w:val="00AA0147"/>
    <w:rsid w:val="00AA058D"/>
    <w:rsid w:val="00AA0BB6"/>
    <w:rsid w:val="00AA13A1"/>
    <w:rsid w:val="00AA2563"/>
    <w:rsid w:val="00AA2A17"/>
    <w:rsid w:val="00AA2BBE"/>
    <w:rsid w:val="00AA3382"/>
    <w:rsid w:val="00AA3B73"/>
    <w:rsid w:val="00AA49E4"/>
    <w:rsid w:val="00AA5140"/>
    <w:rsid w:val="00AA5A14"/>
    <w:rsid w:val="00AA5BF2"/>
    <w:rsid w:val="00AA65BE"/>
    <w:rsid w:val="00AB0685"/>
    <w:rsid w:val="00AB195E"/>
    <w:rsid w:val="00AB1D45"/>
    <w:rsid w:val="00AB2181"/>
    <w:rsid w:val="00AB2E90"/>
    <w:rsid w:val="00AB2F19"/>
    <w:rsid w:val="00AB39B4"/>
    <w:rsid w:val="00AB42D4"/>
    <w:rsid w:val="00AB4352"/>
    <w:rsid w:val="00AB438B"/>
    <w:rsid w:val="00AB4E8F"/>
    <w:rsid w:val="00AB5AD7"/>
    <w:rsid w:val="00AB66D3"/>
    <w:rsid w:val="00AB6F6A"/>
    <w:rsid w:val="00AB7DE5"/>
    <w:rsid w:val="00AC0C17"/>
    <w:rsid w:val="00AC14C8"/>
    <w:rsid w:val="00AC1B2F"/>
    <w:rsid w:val="00AC1F3D"/>
    <w:rsid w:val="00AC2BB7"/>
    <w:rsid w:val="00AC2F53"/>
    <w:rsid w:val="00AC3D10"/>
    <w:rsid w:val="00AC4329"/>
    <w:rsid w:val="00AC49E0"/>
    <w:rsid w:val="00AC4C52"/>
    <w:rsid w:val="00AC560C"/>
    <w:rsid w:val="00AC5C31"/>
    <w:rsid w:val="00AC6569"/>
    <w:rsid w:val="00AC6AF1"/>
    <w:rsid w:val="00AC7C6D"/>
    <w:rsid w:val="00AD0903"/>
    <w:rsid w:val="00AD2E88"/>
    <w:rsid w:val="00AD37D9"/>
    <w:rsid w:val="00AD41EA"/>
    <w:rsid w:val="00AD445F"/>
    <w:rsid w:val="00AD446A"/>
    <w:rsid w:val="00AD4C17"/>
    <w:rsid w:val="00AD65D5"/>
    <w:rsid w:val="00AD6D7F"/>
    <w:rsid w:val="00AE0B05"/>
    <w:rsid w:val="00AE0F95"/>
    <w:rsid w:val="00AE205B"/>
    <w:rsid w:val="00AE243A"/>
    <w:rsid w:val="00AE2BFD"/>
    <w:rsid w:val="00AE36A5"/>
    <w:rsid w:val="00AE3EFD"/>
    <w:rsid w:val="00AE4719"/>
    <w:rsid w:val="00AE5181"/>
    <w:rsid w:val="00AE63E0"/>
    <w:rsid w:val="00AE6626"/>
    <w:rsid w:val="00AE6B27"/>
    <w:rsid w:val="00AF0655"/>
    <w:rsid w:val="00AF2134"/>
    <w:rsid w:val="00AF2E88"/>
    <w:rsid w:val="00AF3060"/>
    <w:rsid w:val="00AF58B8"/>
    <w:rsid w:val="00AF633F"/>
    <w:rsid w:val="00B0037C"/>
    <w:rsid w:val="00B00E44"/>
    <w:rsid w:val="00B00F46"/>
    <w:rsid w:val="00B010B7"/>
    <w:rsid w:val="00B0110F"/>
    <w:rsid w:val="00B01743"/>
    <w:rsid w:val="00B02CCB"/>
    <w:rsid w:val="00B032A2"/>
    <w:rsid w:val="00B0376F"/>
    <w:rsid w:val="00B04139"/>
    <w:rsid w:val="00B04171"/>
    <w:rsid w:val="00B04A48"/>
    <w:rsid w:val="00B05027"/>
    <w:rsid w:val="00B054E4"/>
    <w:rsid w:val="00B05ABC"/>
    <w:rsid w:val="00B06D29"/>
    <w:rsid w:val="00B06F29"/>
    <w:rsid w:val="00B07103"/>
    <w:rsid w:val="00B07560"/>
    <w:rsid w:val="00B07EF2"/>
    <w:rsid w:val="00B1015E"/>
    <w:rsid w:val="00B116C5"/>
    <w:rsid w:val="00B12860"/>
    <w:rsid w:val="00B136BA"/>
    <w:rsid w:val="00B137BB"/>
    <w:rsid w:val="00B13AEA"/>
    <w:rsid w:val="00B1453C"/>
    <w:rsid w:val="00B145CC"/>
    <w:rsid w:val="00B148D0"/>
    <w:rsid w:val="00B14B7B"/>
    <w:rsid w:val="00B16227"/>
    <w:rsid w:val="00B16CDD"/>
    <w:rsid w:val="00B21B98"/>
    <w:rsid w:val="00B21CDC"/>
    <w:rsid w:val="00B22B6D"/>
    <w:rsid w:val="00B23252"/>
    <w:rsid w:val="00B2328A"/>
    <w:rsid w:val="00B23443"/>
    <w:rsid w:val="00B234EB"/>
    <w:rsid w:val="00B24332"/>
    <w:rsid w:val="00B2450E"/>
    <w:rsid w:val="00B25A5A"/>
    <w:rsid w:val="00B26C5C"/>
    <w:rsid w:val="00B27349"/>
    <w:rsid w:val="00B279A5"/>
    <w:rsid w:val="00B27E94"/>
    <w:rsid w:val="00B304B5"/>
    <w:rsid w:val="00B30D6E"/>
    <w:rsid w:val="00B30EEC"/>
    <w:rsid w:val="00B31379"/>
    <w:rsid w:val="00B31BB7"/>
    <w:rsid w:val="00B3236A"/>
    <w:rsid w:val="00B3250D"/>
    <w:rsid w:val="00B33213"/>
    <w:rsid w:val="00B332FF"/>
    <w:rsid w:val="00B336E7"/>
    <w:rsid w:val="00B33861"/>
    <w:rsid w:val="00B340D5"/>
    <w:rsid w:val="00B34689"/>
    <w:rsid w:val="00B3503F"/>
    <w:rsid w:val="00B35144"/>
    <w:rsid w:val="00B35D3D"/>
    <w:rsid w:val="00B37097"/>
    <w:rsid w:val="00B37DBA"/>
    <w:rsid w:val="00B4145D"/>
    <w:rsid w:val="00B42AD4"/>
    <w:rsid w:val="00B42BBB"/>
    <w:rsid w:val="00B439FC"/>
    <w:rsid w:val="00B44810"/>
    <w:rsid w:val="00B455AF"/>
    <w:rsid w:val="00B465D1"/>
    <w:rsid w:val="00B467F5"/>
    <w:rsid w:val="00B46B88"/>
    <w:rsid w:val="00B46D85"/>
    <w:rsid w:val="00B46FCD"/>
    <w:rsid w:val="00B478DB"/>
    <w:rsid w:val="00B47A7D"/>
    <w:rsid w:val="00B507BC"/>
    <w:rsid w:val="00B50E01"/>
    <w:rsid w:val="00B50EAF"/>
    <w:rsid w:val="00B51453"/>
    <w:rsid w:val="00B52045"/>
    <w:rsid w:val="00B529D7"/>
    <w:rsid w:val="00B53F0D"/>
    <w:rsid w:val="00B53F44"/>
    <w:rsid w:val="00B5476D"/>
    <w:rsid w:val="00B5485C"/>
    <w:rsid w:val="00B558C0"/>
    <w:rsid w:val="00B56A08"/>
    <w:rsid w:val="00B56A34"/>
    <w:rsid w:val="00B60BFA"/>
    <w:rsid w:val="00B610C9"/>
    <w:rsid w:val="00B61697"/>
    <w:rsid w:val="00B61B6B"/>
    <w:rsid w:val="00B61CD8"/>
    <w:rsid w:val="00B63CE9"/>
    <w:rsid w:val="00B65BF4"/>
    <w:rsid w:val="00B663E3"/>
    <w:rsid w:val="00B66702"/>
    <w:rsid w:val="00B67103"/>
    <w:rsid w:val="00B67B28"/>
    <w:rsid w:val="00B707A1"/>
    <w:rsid w:val="00B70862"/>
    <w:rsid w:val="00B70A1A"/>
    <w:rsid w:val="00B70BE3"/>
    <w:rsid w:val="00B7100E"/>
    <w:rsid w:val="00B710DA"/>
    <w:rsid w:val="00B712CD"/>
    <w:rsid w:val="00B7186A"/>
    <w:rsid w:val="00B719A9"/>
    <w:rsid w:val="00B71A75"/>
    <w:rsid w:val="00B72D0C"/>
    <w:rsid w:val="00B72D33"/>
    <w:rsid w:val="00B741F9"/>
    <w:rsid w:val="00B742C5"/>
    <w:rsid w:val="00B75745"/>
    <w:rsid w:val="00B75B0B"/>
    <w:rsid w:val="00B76248"/>
    <w:rsid w:val="00B76AF7"/>
    <w:rsid w:val="00B76CD0"/>
    <w:rsid w:val="00B775A1"/>
    <w:rsid w:val="00B77957"/>
    <w:rsid w:val="00B77FB9"/>
    <w:rsid w:val="00B808F9"/>
    <w:rsid w:val="00B80BCF"/>
    <w:rsid w:val="00B80D1C"/>
    <w:rsid w:val="00B80F49"/>
    <w:rsid w:val="00B81004"/>
    <w:rsid w:val="00B81ABF"/>
    <w:rsid w:val="00B81AEF"/>
    <w:rsid w:val="00B83318"/>
    <w:rsid w:val="00B83A37"/>
    <w:rsid w:val="00B84865"/>
    <w:rsid w:val="00B91BBC"/>
    <w:rsid w:val="00B91D48"/>
    <w:rsid w:val="00B920B1"/>
    <w:rsid w:val="00B9293E"/>
    <w:rsid w:val="00B92E94"/>
    <w:rsid w:val="00B93BB1"/>
    <w:rsid w:val="00B93DDE"/>
    <w:rsid w:val="00B940E5"/>
    <w:rsid w:val="00B95C3A"/>
    <w:rsid w:val="00B96988"/>
    <w:rsid w:val="00B96A99"/>
    <w:rsid w:val="00B96C81"/>
    <w:rsid w:val="00B96E3A"/>
    <w:rsid w:val="00B97FDD"/>
    <w:rsid w:val="00BA02A3"/>
    <w:rsid w:val="00BA0C21"/>
    <w:rsid w:val="00BA1298"/>
    <w:rsid w:val="00BA1D73"/>
    <w:rsid w:val="00BA2508"/>
    <w:rsid w:val="00BA3CA7"/>
    <w:rsid w:val="00BA46FD"/>
    <w:rsid w:val="00BA4EDB"/>
    <w:rsid w:val="00BA56C9"/>
    <w:rsid w:val="00BA5DA9"/>
    <w:rsid w:val="00BA62A8"/>
    <w:rsid w:val="00BA69E0"/>
    <w:rsid w:val="00BA7BA0"/>
    <w:rsid w:val="00BA7DDF"/>
    <w:rsid w:val="00BB004F"/>
    <w:rsid w:val="00BB1AE9"/>
    <w:rsid w:val="00BB1CF3"/>
    <w:rsid w:val="00BB1E2A"/>
    <w:rsid w:val="00BB21BC"/>
    <w:rsid w:val="00BB3835"/>
    <w:rsid w:val="00BB3868"/>
    <w:rsid w:val="00BB3C11"/>
    <w:rsid w:val="00BB45F8"/>
    <w:rsid w:val="00BB4D86"/>
    <w:rsid w:val="00BB5DD9"/>
    <w:rsid w:val="00BB6361"/>
    <w:rsid w:val="00BB6AB9"/>
    <w:rsid w:val="00BB6DF4"/>
    <w:rsid w:val="00BB70C2"/>
    <w:rsid w:val="00BB72A4"/>
    <w:rsid w:val="00BC018B"/>
    <w:rsid w:val="00BC0A59"/>
    <w:rsid w:val="00BC0E43"/>
    <w:rsid w:val="00BC218F"/>
    <w:rsid w:val="00BC2C52"/>
    <w:rsid w:val="00BC38E0"/>
    <w:rsid w:val="00BC3A39"/>
    <w:rsid w:val="00BC3E24"/>
    <w:rsid w:val="00BC6494"/>
    <w:rsid w:val="00BC7124"/>
    <w:rsid w:val="00BD0271"/>
    <w:rsid w:val="00BD0522"/>
    <w:rsid w:val="00BD0B07"/>
    <w:rsid w:val="00BD0F56"/>
    <w:rsid w:val="00BD19E0"/>
    <w:rsid w:val="00BD1B2C"/>
    <w:rsid w:val="00BD1F04"/>
    <w:rsid w:val="00BD22EF"/>
    <w:rsid w:val="00BD2901"/>
    <w:rsid w:val="00BD3100"/>
    <w:rsid w:val="00BD3162"/>
    <w:rsid w:val="00BD3C30"/>
    <w:rsid w:val="00BD4033"/>
    <w:rsid w:val="00BD4A88"/>
    <w:rsid w:val="00BD5148"/>
    <w:rsid w:val="00BD58FC"/>
    <w:rsid w:val="00BD7912"/>
    <w:rsid w:val="00BD7B67"/>
    <w:rsid w:val="00BE0B5F"/>
    <w:rsid w:val="00BE16A9"/>
    <w:rsid w:val="00BE239C"/>
    <w:rsid w:val="00BE24C0"/>
    <w:rsid w:val="00BE33C6"/>
    <w:rsid w:val="00BE3575"/>
    <w:rsid w:val="00BE47B7"/>
    <w:rsid w:val="00BE5197"/>
    <w:rsid w:val="00BE57AC"/>
    <w:rsid w:val="00BE616C"/>
    <w:rsid w:val="00BE67EE"/>
    <w:rsid w:val="00BE7F64"/>
    <w:rsid w:val="00BF03C4"/>
    <w:rsid w:val="00BF075E"/>
    <w:rsid w:val="00BF08D4"/>
    <w:rsid w:val="00BF0A66"/>
    <w:rsid w:val="00BF0BF6"/>
    <w:rsid w:val="00BF2268"/>
    <w:rsid w:val="00BF23DD"/>
    <w:rsid w:val="00BF2796"/>
    <w:rsid w:val="00BF29A7"/>
    <w:rsid w:val="00BF2B9E"/>
    <w:rsid w:val="00BF39EB"/>
    <w:rsid w:val="00BF4664"/>
    <w:rsid w:val="00BF47F6"/>
    <w:rsid w:val="00BF52FA"/>
    <w:rsid w:val="00BF5ACE"/>
    <w:rsid w:val="00C00388"/>
    <w:rsid w:val="00C00576"/>
    <w:rsid w:val="00C00CA2"/>
    <w:rsid w:val="00C01363"/>
    <w:rsid w:val="00C017BC"/>
    <w:rsid w:val="00C027B3"/>
    <w:rsid w:val="00C03001"/>
    <w:rsid w:val="00C037DE"/>
    <w:rsid w:val="00C03EE8"/>
    <w:rsid w:val="00C04887"/>
    <w:rsid w:val="00C05B65"/>
    <w:rsid w:val="00C06B66"/>
    <w:rsid w:val="00C075D2"/>
    <w:rsid w:val="00C0768E"/>
    <w:rsid w:val="00C1027A"/>
    <w:rsid w:val="00C10C57"/>
    <w:rsid w:val="00C11896"/>
    <w:rsid w:val="00C11DFB"/>
    <w:rsid w:val="00C126EC"/>
    <w:rsid w:val="00C1312C"/>
    <w:rsid w:val="00C13698"/>
    <w:rsid w:val="00C13FF7"/>
    <w:rsid w:val="00C140CF"/>
    <w:rsid w:val="00C14A2E"/>
    <w:rsid w:val="00C14FE7"/>
    <w:rsid w:val="00C159BB"/>
    <w:rsid w:val="00C15C70"/>
    <w:rsid w:val="00C15CEA"/>
    <w:rsid w:val="00C15D44"/>
    <w:rsid w:val="00C15F2E"/>
    <w:rsid w:val="00C16119"/>
    <w:rsid w:val="00C16FF8"/>
    <w:rsid w:val="00C20625"/>
    <w:rsid w:val="00C207F4"/>
    <w:rsid w:val="00C2096F"/>
    <w:rsid w:val="00C2138F"/>
    <w:rsid w:val="00C2197D"/>
    <w:rsid w:val="00C21C11"/>
    <w:rsid w:val="00C2262F"/>
    <w:rsid w:val="00C23C60"/>
    <w:rsid w:val="00C2418D"/>
    <w:rsid w:val="00C24349"/>
    <w:rsid w:val="00C2451E"/>
    <w:rsid w:val="00C24AFB"/>
    <w:rsid w:val="00C25965"/>
    <w:rsid w:val="00C25D92"/>
    <w:rsid w:val="00C26F89"/>
    <w:rsid w:val="00C30241"/>
    <w:rsid w:val="00C30818"/>
    <w:rsid w:val="00C32D01"/>
    <w:rsid w:val="00C33819"/>
    <w:rsid w:val="00C3407C"/>
    <w:rsid w:val="00C34B8E"/>
    <w:rsid w:val="00C35D7F"/>
    <w:rsid w:val="00C361E4"/>
    <w:rsid w:val="00C372EE"/>
    <w:rsid w:val="00C37A14"/>
    <w:rsid w:val="00C42BD5"/>
    <w:rsid w:val="00C43F4D"/>
    <w:rsid w:val="00C44108"/>
    <w:rsid w:val="00C449FD"/>
    <w:rsid w:val="00C44AB6"/>
    <w:rsid w:val="00C4520B"/>
    <w:rsid w:val="00C463CE"/>
    <w:rsid w:val="00C464BD"/>
    <w:rsid w:val="00C4694A"/>
    <w:rsid w:val="00C5066D"/>
    <w:rsid w:val="00C50826"/>
    <w:rsid w:val="00C5227A"/>
    <w:rsid w:val="00C52530"/>
    <w:rsid w:val="00C54F6C"/>
    <w:rsid w:val="00C55BD4"/>
    <w:rsid w:val="00C5608B"/>
    <w:rsid w:val="00C5612D"/>
    <w:rsid w:val="00C56425"/>
    <w:rsid w:val="00C57BB6"/>
    <w:rsid w:val="00C60435"/>
    <w:rsid w:val="00C615C5"/>
    <w:rsid w:val="00C629E5"/>
    <w:rsid w:val="00C62D82"/>
    <w:rsid w:val="00C62FD6"/>
    <w:rsid w:val="00C63183"/>
    <w:rsid w:val="00C63B97"/>
    <w:rsid w:val="00C659A9"/>
    <w:rsid w:val="00C66CE4"/>
    <w:rsid w:val="00C67638"/>
    <w:rsid w:val="00C67972"/>
    <w:rsid w:val="00C67A93"/>
    <w:rsid w:val="00C7025C"/>
    <w:rsid w:val="00C707B6"/>
    <w:rsid w:val="00C718F4"/>
    <w:rsid w:val="00C71A17"/>
    <w:rsid w:val="00C71BE1"/>
    <w:rsid w:val="00C72184"/>
    <w:rsid w:val="00C74EB8"/>
    <w:rsid w:val="00C755E4"/>
    <w:rsid w:val="00C75D43"/>
    <w:rsid w:val="00C75ED5"/>
    <w:rsid w:val="00C76089"/>
    <w:rsid w:val="00C769D1"/>
    <w:rsid w:val="00C7750C"/>
    <w:rsid w:val="00C77868"/>
    <w:rsid w:val="00C77CA6"/>
    <w:rsid w:val="00C8093F"/>
    <w:rsid w:val="00C8151F"/>
    <w:rsid w:val="00C81B85"/>
    <w:rsid w:val="00C81C9A"/>
    <w:rsid w:val="00C82315"/>
    <w:rsid w:val="00C82721"/>
    <w:rsid w:val="00C82FCE"/>
    <w:rsid w:val="00C85147"/>
    <w:rsid w:val="00C85911"/>
    <w:rsid w:val="00C85F78"/>
    <w:rsid w:val="00C86391"/>
    <w:rsid w:val="00C87954"/>
    <w:rsid w:val="00C87C97"/>
    <w:rsid w:val="00C90CED"/>
    <w:rsid w:val="00C920C1"/>
    <w:rsid w:val="00C92535"/>
    <w:rsid w:val="00C9290E"/>
    <w:rsid w:val="00C93202"/>
    <w:rsid w:val="00C93473"/>
    <w:rsid w:val="00C95B23"/>
    <w:rsid w:val="00C95F40"/>
    <w:rsid w:val="00C962F6"/>
    <w:rsid w:val="00CA0101"/>
    <w:rsid w:val="00CA0DF3"/>
    <w:rsid w:val="00CA2A07"/>
    <w:rsid w:val="00CA2BE5"/>
    <w:rsid w:val="00CA2FC4"/>
    <w:rsid w:val="00CA3A85"/>
    <w:rsid w:val="00CA3BC4"/>
    <w:rsid w:val="00CA3E17"/>
    <w:rsid w:val="00CA4356"/>
    <w:rsid w:val="00CA44D5"/>
    <w:rsid w:val="00CA470E"/>
    <w:rsid w:val="00CA6C3D"/>
    <w:rsid w:val="00CA6DD3"/>
    <w:rsid w:val="00CB0414"/>
    <w:rsid w:val="00CB0F04"/>
    <w:rsid w:val="00CB13D2"/>
    <w:rsid w:val="00CB210E"/>
    <w:rsid w:val="00CB22FB"/>
    <w:rsid w:val="00CB28A0"/>
    <w:rsid w:val="00CB2CC5"/>
    <w:rsid w:val="00CB3E12"/>
    <w:rsid w:val="00CB49CD"/>
    <w:rsid w:val="00CB5239"/>
    <w:rsid w:val="00CB612D"/>
    <w:rsid w:val="00CB6956"/>
    <w:rsid w:val="00CB69D2"/>
    <w:rsid w:val="00CB6B6E"/>
    <w:rsid w:val="00CB79F7"/>
    <w:rsid w:val="00CC0A89"/>
    <w:rsid w:val="00CC0ABA"/>
    <w:rsid w:val="00CC0C1E"/>
    <w:rsid w:val="00CC0E2F"/>
    <w:rsid w:val="00CC16BE"/>
    <w:rsid w:val="00CC2ED5"/>
    <w:rsid w:val="00CC2F35"/>
    <w:rsid w:val="00CC3705"/>
    <w:rsid w:val="00CC3974"/>
    <w:rsid w:val="00CC3C91"/>
    <w:rsid w:val="00CC42F4"/>
    <w:rsid w:val="00CC4A33"/>
    <w:rsid w:val="00CC5CC2"/>
    <w:rsid w:val="00CC61CB"/>
    <w:rsid w:val="00CC63D2"/>
    <w:rsid w:val="00CC6F92"/>
    <w:rsid w:val="00CC78C8"/>
    <w:rsid w:val="00CC79A5"/>
    <w:rsid w:val="00CD06CF"/>
    <w:rsid w:val="00CD0D4F"/>
    <w:rsid w:val="00CD2704"/>
    <w:rsid w:val="00CD4489"/>
    <w:rsid w:val="00CD4762"/>
    <w:rsid w:val="00CD4DD6"/>
    <w:rsid w:val="00CD4F34"/>
    <w:rsid w:val="00CD552C"/>
    <w:rsid w:val="00CD72CE"/>
    <w:rsid w:val="00CD73A1"/>
    <w:rsid w:val="00CD7931"/>
    <w:rsid w:val="00CD7D24"/>
    <w:rsid w:val="00CE0D43"/>
    <w:rsid w:val="00CE14BA"/>
    <w:rsid w:val="00CE1891"/>
    <w:rsid w:val="00CE1FBC"/>
    <w:rsid w:val="00CE231A"/>
    <w:rsid w:val="00CE324F"/>
    <w:rsid w:val="00CE3586"/>
    <w:rsid w:val="00CE423F"/>
    <w:rsid w:val="00CE466A"/>
    <w:rsid w:val="00CE4E24"/>
    <w:rsid w:val="00CE59F3"/>
    <w:rsid w:val="00CE5D6A"/>
    <w:rsid w:val="00CE6C89"/>
    <w:rsid w:val="00CE7707"/>
    <w:rsid w:val="00CE7D49"/>
    <w:rsid w:val="00CF0452"/>
    <w:rsid w:val="00CF0617"/>
    <w:rsid w:val="00CF08BF"/>
    <w:rsid w:val="00CF0EEF"/>
    <w:rsid w:val="00CF1C15"/>
    <w:rsid w:val="00CF1F9D"/>
    <w:rsid w:val="00CF2807"/>
    <w:rsid w:val="00CF3FF3"/>
    <w:rsid w:val="00CF4AEB"/>
    <w:rsid w:val="00CF4B33"/>
    <w:rsid w:val="00CF535D"/>
    <w:rsid w:val="00CF607B"/>
    <w:rsid w:val="00CF61F4"/>
    <w:rsid w:val="00D0007C"/>
    <w:rsid w:val="00D02261"/>
    <w:rsid w:val="00D0337F"/>
    <w:rsid w:val="00D046C8"/>
    <w:rsid w:val="00D049A7"/>
    <w:rsid w:val="00D05E45"/>
    <w:rsid w:val="00D05F6E"/>
    <w:rsid w:val="00D061E8"/>
    <w:rsid w:val="00D06BA2"/>
    <w:rsid w:val="00D070CA"/>
    <w:rsid w:val="00D079F5"/>
    <w:rsid w:val="00D1005D"/>
    <w:rsid w:val="00D1040A"/>
    <w:rsid w:val="00D10610"/>
    <w:rsid w:val="00D10681"/>
    <w:rsid w:val="00D11A97"/>
    <w:rsid w:val="00D12093"/>
    <w:rsid w:val="00D134B0"/>
    <w:rsid w:val="00D139A2"/>
    <w:rsid w:val="00D13CC7"/>
    <w:rsid w:val="00D13DAB"/>
    <w:rsid w:val="00D142ED"/>
    <w:rsid w:val="00D144B2"/>
    <w:rsid w:val="00D14B62"/>
    <w:rsid w:val="00D17454"/>
    <w:rsid w:val="00D17620"/>
    <w:rsid w:val="00D205B3"/>
    <w:rsid w:val="00D22152"/>
    <w:rsid w:val="00D22DF6"/>
    <w:rsid w:val="00D236B7"/>
    <w:rsid w:val="00D23EC5"/>
    <w:rsid w:val="00D243F9"/>
    <w:rsid w:val="00D24A96"/>
    <w:rsid w:val="00D253BD"/>
    <w:rsid w:val="00D2562D"/>
    <w:rsid w:val="00D26DFA"/>
    <w:rsid w:val="00D27797"/>
    <w:rsid w:val="00D31589"/>
    <w:rsid w:val="00D31B38"/>
    <w:rsid w:val="00D32050"/>
    <w:rsid w:val="00D32542"/>
    <w:rsid w:val="00D325C1"/>
    <w:rsid w:val="00D32962"/>
    <w:rsid w:val="00D33245"/>
    <w:rsid w:val="00D3494C"/>
    <w:rsid w:val="00D350D0"/>
    <w:rsid w:val="00D3530C"/>
    <w:rsid w:val="00D356DD"/>
    <w:rsid w:val="00D3616B"/>
    <w:rsid w:val="00D36A2C"/>
    <w:rsid w:val="00D36D50"/>
    <w:rsid w:val="00D377CE"/>
    <w:rsid w:val="00D40405"/>
    <w:rsid w:val="00D40662"/>
    <w:rsid w:val="00D40C2D"/>
    <w:rsid w:val="00D4120F"/>
    <w:rsid w:val="00D41BFC"/>
    <w:rsid w:val="00D420D2"/>
    <w:rsid w:val="00D42509"/>
    <w:rsid w:val="00D43BBD"/>
    <w:rsid w:val="00D43C0D"/>
    <w:rsid w:val="00D446E7"/>
    <w:rsid w:val="00D44C01"/>
    <w:rsid w:val="00D455D9"/>
    <w:rsid w:val="00D45C7C"/>
    <w:rsid w:val="00D464FA"/>
    <w:rsid w:val="00D468A4"/>
    <w:rsid w:val="00D47256"/>
    <w:rsid w:val="00D472F2"/>
    <w:rsid w:val="00D51231"/>
    <w:rsid w:val="00D53485"/>
    <w:rsid w:val="00D53C1B"/>
    <w:rsid w:val="00D55CE7"/>
    <w:rsid w:val="00D56169"/>
    <w:rsid w:val="00D609E9"/>
    <w:rsid w:val="00D63EA0"/>
    <w:rsid w:val="00D63EB5"/>
    <w:rsid w:val="00D64A76"/>
    <w:rsid w:val="00D64BB3"/>
    <w:rsid w:val="00D65BD2"/>
    <w:rsid w:val="00D66462"/>
    <w:rsid w:val="00D666D1"/>
    <w:rsid w:val="00D6719B"/>
    <w:rsid w:val="00D67784"/>
    <w:rsid w:val="00D7041C"/>
    <w:rsid w:val="00D74373"/>
    <w:rsid w:val="00D7457D"/>
    <w:rsid w:val="00D74AE3"/>
    <w:rsid w:val="00D757D9"/>
    <w:rsid w:val="00D7605E"/>
    <w:rsid w:val="00D7766F"/>
    <w:rsid w:val="00D776ED"/>
    <w:rsid w:val="00D80A6B"/>
    <w:rsid w:val="00D81075"/>
    <w:rsid w:val="00D82670"/>
    <w:rsid w:val="00D830F1"/>
    <w:rsid w:val="00D839F3"/>
    <w:rsid w:val="00D83C3C"/>
    <w:rsid w:val="00D8551E"/>
    <w:rsid w:val="00D85B58"/>
    <w:rsid w:val="00D864FE"/>
    <w:rsid w:val="00D8698B"/>
    <w:rsid w:val="00D870DB"/>
    <w:rsid w:val="00D87EAA"/>
    <w:rsid w:val="00D908BF"/>
    <w:rsid w:val="00D90D0C"/>
    <w:rsid w:val="00D91AE6"/>
    <w:rsid w:val="00D91B89"/>
    <w:rsid w:val="00D923D1"/>
    <w:rsid w:val="00D93726"/>
    <w:rsid w:val="00D93C79"/>
    <w:rsid w:val="00D93FFB"/>
    <w:rsid w:val="00D94DC8"/>
    <w:rsid w:val="00D95F84"/>
    <w:rsid w:val="00D960C5"/>
    <w:rsid w:val="00D964A0"/>
    <w:rsid w:val="00D96828"/>
    <w:rsid w:val="00D96D1C"/>
    <w:rsid w:val="00D9779C"/>
    <w:rsid w:val="00D97D8E"/>
    <w:rsid w:val="00DA05E0"/>
    <w:rsid w:val="00DA0DB8"/>
    <w:rsid w:val="00DA0FA3"/>
    <w:rsid w:val="00DA259F"/>
    <w:rsid w:val="00DA2CB8"/>
    <w:rsid w:val="00DA35A0"/>
    <w:rsid w:val="00DA3EE4"/>
    <w:rsid w:val="00DA63F6"/>
    <w:rsid w:val="00DA76FC"/>
    <w:rsid w:val="00DA7C8C"/>
    <w:rsid w:val="00DB00A1"/>
    <w:rsid w:val="00DB0141"/>
    <w:rsid w:val="00DB0797"/>
    <w:rsid w:val="00DB0FF9"/>
    <w:rsid w:val="00DB1139"/>
    <w:rsid w:val="00DB19FF"/>
    <w:rsid w:val="00DB2056"/>
    <w:rsid w:val="00DB3310"/>
    <w:rsid w:val="00DB4CB6"/>
    <w:rsid w:val="00DB5BB0"/>
    <w:rsid w:val="00DB627C"/>
    <w:rsid w:val="00DB68DF"/>
    <w:rsid w:val="00DB69C1"/>
    <w:rsid w:val="00DB6F04"/>
    <w:rsid w:val="00DB7B0F"/>
    <w:rsid w:val="00DC0C48"/>
    <w:rsid w:val="00DC1A07"/>
    <w:rsid w:val="00DC2B5B"/>
    <w:rsid w:val="00DC3799"/>
    <w:rsid w:val="00DC3EAA"/>
    <w:rsid w:val="00DC4564"/>
    <w:rsid w:val="00DC48B5"/>
    <w:rsid w:val="00DC48FF"/>
    <w:rsid w:val="00DC6840"/>
    <w:rsid w:val="00DC7DD7"/>
    <w:rsid w:val="00DD3A9B"/>
    <w:rsid w:val="00DD3D4E"/>
    <w:rsid w:val="00DD3E57"/>
    <w:rsid w:val="00DD42F0"/>
    <w:rsid w:val="00DD4DD8"/>
    <w:rsid w:val="00DD4E8E"/>
    <w:rsid w:val="00DD5028"/>
    <w:rsid w:val="00DD55D1"/>
    <w:rsid w:val="00DD5CA2"/>
    <w:rsid w:val="00DD60FE"/>
    <w:rsid w:val="00DD62C4"/>
    <w:rsid w:val="00DD6B82"/>
    <w:rsid w:val="00DD71C3"/>
    <w:rsid w:val="00DD735B"/>
    <w:rsid w:val="00DE014C"/>
    <w:rsid w:val="00DE077A"/>
    <w:rsid w:val="00DE1F07"/>
    <w:rsid w:val="00DE23CC"/>
    <w:rsid w:val="00DE26B4"/>
    <w:rsid w:val="00DE2E82"/>
    <w:rsid w:val="00DE2EDB"/>
    <w:rsid w:val="00DE3788"/>
    <w:rsid w:val="00DE3B50"/>
    <w:rsid w:val="00DE443C"/>
    <w:rsid w:val="00DE4593"/>
    <w:rsid w:val="00DE56D0"/>
    <w:rsid w:val="00DE58FC"/>
    <w:rsid w:val="00DF121E"/>
    <w:rsid w:val="00DF2A55"/>
    <w:rsid w:val="00DF3A36"/>
    <w:rsid w:val="00DF4A57"/>
    <w:rsid w:val="00DF5331"/>
    <w:rsid w:val="00DF600B"/>
    <w:rsid w:val="00DF61CF"/>
    <w:rsid w:val="00DF6291"/>
    <w:rsid w:val="00DF67C0"/>
    <w:rsid w:val="00DF736F"/>
    <w:rsid w:val="00DF7535"/>
    <w:rsid w:val="00E00D15"/>
    <w:rsid w:val="00E00DF6"/>
    <w:rsid w:val="00E00E2E"/>
    <w:rsid w:val="00E00EE1"/>
    <w:rsid w:val="00E018AD"/>
    <w:rsid w:val="00E02720"/>
    <w:rsid w:val="00E02F22"/>
    <w:rsid w:val="00E0304A"/>
    <w:rsid w:val="00E03395"/>
    <w:rsid w:val="00E034C1"/>
    <w:rsid w:val="00E04E88"/>
    <w:rsid w:val="00E057D9"/>
    <w:rsid w:val="00E05F10"/>
    <w:rsid w:val="00E06DEE"/>
    <w:rsid w:val="00E0776A"/>
    <w:rsid w:val="00E07B39"/>
    <w:rsid w:val="00E07FEE"/>
    <w:rsid w:val="00E106F2"/>
    <w:rsid w:val="00E10EC7"/>
    <w:rsid w:val="00E1131F"/>
    <w:rsid w:val="00E11B62"/>
    <w:rsid w:val="00E11E28"/>
    <w:rsid w:val="00E11EE4"/>
    <w:rsid w:val="00E11F31"/>
    <w:rsid w:val="00E12F67"/>
    <w:rsid w:val="00E1428C"/>
    <w:rsid w:val="00E14316"/>
    <w:rsid w:val="00E148BB"/>
    <w:rsid w:val="00E148BD"/>
    <w:rsid w:val="00E15B39"/>
    <w:rsid w:val="00E16DC8"/>
    <w:rsid w:val="00E17A02"/>
    <w:rsid w:val="00E17E6C"/>
    <w:rsid w:val="00E21739"/>
    <w:rsid w:val="00E21D18"/>
    <w:rsid w:val="00E22A11"/>
    <w:rsid w:val="00E23259"/>
    <w:rsid w:val="00E249D6"/>
    <w:rsid w:val="00E269CC"/>
    <w:rsid w:val="00E27424"/>
    <w:rsid w:val="00E3153C"/>
    <w:rsid w:val="00E3223F"/>
    <w:rsid w:val="00E33D5B"/>
    <w:rsid w:val="00E34B5D"/>
    <w:rsid w:val="00E34C09"/>
    <w:rsid w:val="00E357D2"/>
    <w:rsid w:val="00E358AC"/>
    <w:rsid w:val="00E35B7A"/>
    <w:rsid w:val="00E36687"/>
    <w:rsid w:val="00E3743A"/>
    <w:rsid w:val="00E40028"/>
    <w:rsid w:val="00E40621"/>
    <w:rsid w:val="00E40EA1"/>
    <w:rsid w:val="00E415D4"/>
    <w:rsid w:val="00E41E05"/>
    <w:rsid w:val="00E429A6"/>
    <w:rsid w:val="00E4396C"/>
    <w:rsid w:val="00E43D5E"/>
    <w:rsid w:val="00E4583E"/>
    <w:rsid w:val="00E45843"/>
    <w:rsid w:val="00E45888"/>
    <w:rsid w:val="00E46397"/>
    <w:rsid w:val="00E46AE5"/>
    <w:rsid w:val="00E47CFA"/>
    <w:rsid w:val="00E47D9C"/>
    <w:rsid w:val="00E5029A"/>
    <w:rsid w:val="00E50E67"/>
    <w:rsid w:val="00E515B2"/>
    <w:rsid w:val="00E51BA9"/>
    <w:rsid w:val="00E52615"/>
    <w:rsid w:val="00E52915"/>
    <w:rsid w:val="00E5311F"/>
    <w:rsid w:val="00E5466C"/>
    <w:rsid w:val="00E55DD5"/>
    <w:rsid w:val="00E56207"/>
    <w:rsid w:val="00E567DF"/>
    <w:rsid w:val="00E56852"/>
    <w:rsid w:val="00E56E2D"/>
    <w:rsid w:val="00E579C3"/>
    <w:rsid w:val="00E60325"/>
    <w:rsid w:val="00E60810"/>
    <w:rsid w:val="00E609FC"/>
    <w:rsid w:val="00E61A2C"/>
    <w:rsid w:val="00E61D42"/>
    <w:rsid w:val="00E6200D"/>
    <w:rsid w:val="00E63028"/>
    <w:rsid w:val="00E63792"/>
    <w:rsid w:val="00E64898"/>
    <w:rsid w:val="00E64D84"/>
    <w:rsid w:val="00E65273"/>
    <w:rsid w:val="00E655CC"/>
    <w:rsid w:val="00E65E9A"/>
    <w:rsid w:val="00E66B37"/>
    <w:rsid w:val="00E6774C"/>
    <w:rsid w:val="00E7029C"/>
    <w:rsid w:val="00E71E37"/>
    <w:rsid w:val="00E72233"/>
    <w:rsid w:val="00E7370A"/>
    <w:rsid w:val="00E739C8"/>
    <w:rsid w:val="00E73E36"/>
    <w:rsid w:val="00E73E3C"/>
    <w:rsid w:val="00E740A7"/>
    <w:rsid w:val="00E7483F"/>
    <w:rsid w:val="00E74F81"/>
    <w:rsid w:val="00E74FDB"/>
    <w:rsid w:val="00E75097"/>
    <w:rsid w:val="00E75670"/>
    <w:rsid w:val="00E76751"/>
    <w:rsid w:val="00E77575"/>
    <w:rsid w:val="00E779D2"/>
    <w:rsid w:val="00E81C58"/>
    <w:rsid w:val="00E821AF"/>
    <w:rsid w:val="00E82830"/>
    <w:rsid w:val="00E829EF"/>
    <w:rsid w:val="00E82F82"/>
    <w:rsid w:val="00E83FC8"/>
    <w:rsid w:val="00E8460E"/>
    <w:rsid w:val="00E855ED"/>
    <w:rsid w:val="00E858A1"/>
    <w:rsid w:val="00E86DAB"/>
    <w:rsid w:val="00E86F30"/>
    <w:rsid w:val="00E86F35"/>
    <w:rsid w:val="00E86F86"/>
    <w:rsid w:val="00E87114"/>
    <w:rsid w:val="00E87EAC"/>
    <w:rsid w:val="00E87FCE"/>
    <w:rsid w:val="00E900B9"/>
    <w:rsid w:val="00E9126B"/>
    <w:rsid w:val="00E91D15"/>
    <w:rsid w:val="00E92741"/>
    <w:rsid w:val="00E92FA9"/>
    <w:rsid w:val="00E937E5"/>
    <w:rsid w:val="00E941D8"/>
    <w:rsid w:val="00E944D6"/>
    <w:rsid w:val="00E9570B"/>
    <w:rsid w:val="00E97984"/>
    <w:rsid w:val="00EA03A9"/>
    <w:rsid w:val="00EA197A"/>
    <w:rsid w:val="00EA1B8F"/>
    <w:rsid w:val="00EA29F6"/>
    <w:rsid w:val="00EA2CFF"/>
    <w:rsid w:val="00EA32E5"/>
    <w:rsid w:val="00EA3C3E"/>
    <w:rsid w:val="00EA4197"/>
    <w:rsid w:val="00EA4A5E"/>
    <w:rsid w:val="00EA4AFE"/>
    <w:rsid w:val="00EA52B8"/>
    <w:rsid w:val="00EA5589"/>
    <w:rsid w:val="00EA5A0C"/>
    <w:rsid w:val="00EA611A"/>
    <w:rsid w:val="00EA7A7A"/>
    <w:rsid w:val="00EB03DB"/>
    <w:rsid w:val="00EB154D"/>
    <w:rsid w:val="00EB23C5"/>
    <w:rsid w:val="00EB36D2"/>
    <w:rsid w:val="00EB4803"/>
    <w:rsid w:val="00EB484F"/>
    <w:rsid w:val="00EB63B1"/>
    <w:rsid w:val="00EB6657"/>
    <w:rsid w:val="00EB6C49"/>
    <w:rsid w:val="00EB71CF"/>
    <w:rsid w:val="00EB7A52"/>
    <w:rsid w:val="00EC028F"/>
    <w:rsid w:val="00EC1658"/>
    <w:rsid w:val="00EC1D5A"/>
    <w:rsid w:val="00EC23FC"/>
    <w:rsid w:val="00EC3C57"/>
    <w:rsid w:val="00EC4D95"/>
    <w:rsid w:val="00EC6A87"/>
    <w:rsid w:val="00EC6BEF"/>
    <w:rsid w:val="00EC7383"/>
    <w:rsid w:val="00EC7494"/>
    <w:rsid w:val="00ED0295"/>
    <w:rsid w:val="00ED0F24"/>
    <w:rsid w:val="00ED16EB"/>
    <w:rsid w:val="00ED1880"/>
    <w:rsid w:val="00ED189B"/>
    <w:rsid w:val="00ED22E2"/>
    <w:rsid w:val="00ED28C1"/>
    <w:rsid w:val="00ED2A6A"/>
    <w:rsid w:val="00ED3504"/>
    <w:rsid w:val="00ED392C"/>
    <w:rsid w:val="00ED3F8A"/>
    <w:rsid w:val="00ED662F"/>
    <w:rsid w:val="00ED741D"/>
    <w:rsid w:val="00EE02B8"/>
    <w:rsid w:val="00EE0777"/>
    <w:rsid w:val="00EE0CFA"/>
    <w:rsid w:val="00EE1880"/>
    <w:rsid w:val="00EE2365"/>
    <w:rsid w:val="00EE5375"/>
    <w:rsid w:val="00EE5573"/>
    <w:rsid w:val="00EE5B47"/>
    <w:rsid w:val="00EE678A"/>
    <w:rsid w:val="00EE70ED"/>
    <w:rsid w:val="00EE729A"/>
    <w:rsid w:val="00EE75C1"/>
    <w:rsid w:val="00EE7868"/>
    <w:rsid w:val="00EE7BF1"/>
    <w:rsid w:val="00EF0677"/>
    <w:rsid w:val="00EF2187"/>
    <w:rsid w:val="00EF24CD"/>
    <w:rsid w:val="00EF2936"/>
    <w:rsid w:val="00EF4073"/>
    <w:rsid w:val="00EF71B3"/>
    <w:rsid w:val="00F00BF3"/>
    <w:rsid w:val="00F00DEE"/>
    <w:rsid w:val="00F0101C"/>
    <w:rsid w:val="00F0183D"/>
    <w:rsid w:val="00F02C55"/>
    <w:rsid w:val="00F02EF2"/>
    <w:rsid w:val="00F030F1"/>
    <w:rsid w:val="00F032A7"/>
    <w:rsid w:val="00F037B9"/>
    <w:rsid w:val="00F03EF7"/>
    <w:rsid w:val="00F04BEA"/>
    <w:rsid w:val="00F04DA6"/>
    <w:rsid w:val="00F052E2"/>
    <w:rsid w:val="00F05653"/>
    <w:rsid w:val="00F063AA"/>
    <w:rsid w:val="00F06C3B"/>
    <w:rsid w:val="00F0759F"/>
    <w:rsid w:val="00F138F3"/>
    <w:rsid w:val="00F13C46"/>
    <w:rsid w:val="00F13E0E"/>
    <w:rsid w:val="00F13F5B"/>
    <w:rsid w:val="00F14190"/>
    <w:rsid w:val="00F146EC"/>
    <w:rsid w:val="00F14A1D"/>
    <w:rsid w:val="00F15CEF"/>
    <w:rsid w:val="00F16A9D"/>
    <w:rsid w:val="00F16B39"/>
    <w:rsid w:val="00F16D7C"/>
    <w:rsid w:val="00F16DCE"/>
    <w:rsid w:val="00F16FD9"/>
    <w:rsid w:val="00F211D5"/>
    <w:rsid w:val="00F21BC4"/>
    <w:rsid w:val="00F224A9"/>
    <w:rsid w:val="00F24CE2"/>
    <w:rsid w:val="00F2552D"/>
    <w:rsid w:val="00F25AA5"/>
    <w:rsid w:val="00F300DA"/>
    <w:rsid w:val="00F30784"/>
    <w:rsid w:val="00F318E6"/>
    <w:rsid w:val="00F321EE"/>
    <w:rsid w:val="00F3243D"/>
    <w:rsid w:val="00F3261E"/>
    <w:rsid w:val="00F32D72"/>
    <w:rsid w:val="00F34F2A"/>
    <w:rsid w:val="00F35207"/>
    <w:rsid w:val="00F35B0D"/>
    <w:rsid w:val="00F37080"/>
    <w:rsid w:val="00F37629"/>
    <w:rsid w:val="00F404F4"/>
    <w:rsid w:val="00F409F0"/>
    <w:rsid w:val="00F40D1C"/>
    <w:rsid w:val="00F40E24"/>
    <w:rsid w:val="00F423DD"/>
    <w:rsid w:val="00F4271D"/>
    <w:rsid w:val="00F4273C"/>
    <w:rsid w:val="00F447C1"/>
    <w:rsid w:val="00F44A6E"/>
    <w:rsid w:val="00F44BC9"/>
    <w:rsid w:val="00F4643E"/>
    <w:rsid w:val="00F4798F"/>
    <w:rsid w:val="00F51CA7"/>
    <w:rsid w:val="00F520F2"/>
    <w:rsid w:val="00F5239E"/>
    <w:rsid w:val="00F52D43"/>
    <w:rsid w:val="00F5330B"/>
    <w:rsid w:val="00F54305"/>
    <w:rsid w:val="00F5473B"/>
    <w:rsid w:val="00F5514C"/>
    <w:rsid w:val="00F55AAF"/>
    <w:rsid w:val="00F56128"/>
    <w:rsid w:val="00F56298"/>
    <w:rsid w:val="00F607A3"/>
    <w:rsid w:val="00F62F84"/>
    <w:rsid w:val="00F63025"/>
    <w:rsid w:val="00F6387C"/>
    <w:rsid w:val="00F63AF4"/>
    <w:rsid w:val="00F63EEA"/>
    <w:rsid w:val="00F63FD7"/>
    <w:rsid w:val="00F63FF4"/>
    <w:rsid w:val="00F6428F"/>
    <w:rsid w:val="00F64FA4"/>
    <w:rsid w:val="00F65C2A"/>
    <w:rsid w:val="00F65E84"/>
    <w:rsid w:val="00F66853"/>
    <w:rsid w:val="00F668C7"/>
    <w:rsid w:val="00F67014"/>
    <w:rsid w:val="00F679C4"/>
    <w:rsid w:val="00F7022A"/>
    <w:rsid w:val="00F74147"/>
    <w:rsid w:val="00F74F3E"/>
    <w:rsid w:val="00F7515A"/>
    <w:rsid w:val="00F75E48"/>
    <w:rsid w:val="00F76819"/>
    <w:rsid w:val="00F7799A"/>
    <w:rsid w:val="00F77CA7"/>
    <w:rsid w:val="00F80434"/>
    <w:rsid w:val="00F80675"/>
    <w:rsid w:val="00F80AA1"/>
    <w:rsid w:val="00F80BF2"/>
    <w:rsid w:val="00F81133"/>
    <w:rsid w:val="00F8228C"/>
    <w:rsid w:val="00F82DE3"/>
    <w:rsid w:val="00F8318A"/>
    <w:rsid w:val="00F83E97"/>
    <w:rsid w:val="00F84CE9"/>
    <w:rsid w:val="00F85BE7"/>
    <w:rsid w:val="00F85C63"/>
    <w:rsid w:val="00F861EA"/>
    <w:rsid w:val="00F86309"/>
    <w:rsid w:val="00F900E2"/>
    <w:rsid w:val="00F91B2F"/>
    <w:rsid w:val="00F9297A"/>
    <w:rsid w:val="00F929AE"/>
    <w:rsid w:val="00F92B84"/>
    <w:rsid w:val="00F92C63"/>
    <w:rsid w:val="00F93076"/>
    <w:rsid w:val="00F94130"/>
    <w:rsid w:val="00F94259"/>
    <w:rsid w:val="00F9492D"/>
    <w:rsid w:val="00F94ED3"/>
    <w:rsid w:val="00F95276"/>
    <w:rsid w:val="00F95992"/>
    <w:rsid w:val="00F95BA8"/>
    <w:rsid w:val="00F97FED"/>
    <w:rsid w:val="00FA1020"/>
    <w:rsid w:val="00FA156E"/>
    <w:rsid w:val="00FA167C"/>
    <w:rsid w:val="00FA22D4"/>
    <w:rsid w:val="00FA28C0"/>
    <w:rsid w:val="00FA4C77"/>
    <w:rsid w:val="00FA5AC6"/>
    <w:rsid w:val="00FA5F08"/>
    <w:rsid w:val="00FA61A4"/>
    <w:rsid w:val="00FA6262"/>
    <w:rsid w:val="00FA6B85"/>
    <w:rsid w:val="00FA7593"/>
    <w:rsid w:val="00FA792C"/>
    <w:rsid w:val="00FB0884"/>
    <w:rsid w:val="00FB1312"/>
    <w:rsid w:val="00FB1490"/>
    <w:rsid w:val="00FB1926"/>
    <w:rsid w:val="00FB25AF"/>
    <w:rsid w:val="00FB2E5A"/>
    <w:rsid w:val="00FB39B6"/>
    <w:rsid w:val="00FB4186"/>
    <w:rsid w:val="00FB45A5"/>
    <w:rsid w:val="00FB4DAF"/>
    <w:rsid w:val="00FB5328"/>
    <w:rsid w:val="00FB6FBD"/>
    <w:rsid w:val="00FB7EAF"/>
    <w:rsid w:val="00FC010F"/>
    <w:rsid w:val="00FC08B9"/>
    <w:rsid w:val="00FC1DB6"/>
    <w:rsid w:val="00FC26BC"/>
    <w:rsid w:val="00FC2891"/>
    <w:rsid w:val="00FC3D68"/>
    <w:rsid w:val="00FC4FD8"/>
    <w:rsid w:val="00FC50AF"/>
    <w:rsid w:val="00FC55BE"/>
    <w:rsid w:val="00FC69D0"/>
    <w:rsid w:val="00FC785C"/>
    <w:rsid w:val="00FD0467"/>
    <w:rsid w:val="00FD155B"/>
    <w:rsid w:val="00FD185B"/>
    <w:rsid w:val="00FD1C05"/>
    <w:rsid w:val="00FD2CEE"/>
    <w:rsid w:val="00FD3476"/>
    <w:rsid w:val="00FD34B5"/>
    <w:rsid w:val="00FD3886"/>
    <w:rsid w:val="00FD3CC3"/>
    <w:rsid w:val="00FD41A3"/>
    <w:rsid w:val="00FD6170"/>
    <w:rsid w:val="00FD7541"/>
    <w:rsid w:val="00FE01AC"/>
    <w:rsid w:val="00FE02AE"/>
    <w:rsid w:val="00FE08C3"/>
    <w:rsid w:val="00FE0C8B"/>
    <w:rsid w:val="00FE0EAE"/>
    <w:rsid w:val="00FE14CE"/>
    <w:rsid w:val="00FE1D8E"/>
    <w:rsid w:val="00FE1E94"/>
    <w:rsid w:val="00FE2E83"/>
    <w:rsid w:val="00FE315A"/>
    <w:rsid w:val="00FE3EDC"/>
    <w:rsid w:val="00FE4519"/>
    <w:rsid w:val="00FE4584"/>
    <w:rsid w:val="00FE50F0"/>
    <w:rsid w:val="00FE5693"/>
    <w:rsid w:val="00FE6EBF"/>
    <w:rsid w:val="00FE7656"/>
    <w:rsid w:val="00FE7FE0"/>
    <w:rsid w:val="00FF1C27"/>
    <w:rsid w:val="00FF2635"/>
    <w:rsid w:val="00FF45E3"/>
    <w:rsid w:val="00FF49CE"/>
    <w:rsid w:val="00FF560B"/>
    <w:rsid w:val="00FF56F8"/>
    <w:rsid w:val="00FF583A"/>
    <w:rsid w:val="00FF6152"/>
    <w:rsid w:val="00FF6DB6"/>
    <w:rsid w:val="00FF7947"/>
    <w:rsid w:val="01E062DA"/>
    <w:rsid w:val="01F33470"/>
    <w:rsid w:val="020312C5"/>
    <w:rsid w:val="02B63CEC"/>
    <w:rsid w:val="02BD75DA"/>
    <w:rsid w:val="04081326"/>
    <w:rsid w:val="05B27B71"/>
    <w:rsid w:val="06F61FAD"/>
    <w:rsid w:val="09570789"/>
    <w:rsid w:val="09890984"/>
    <w:rsid w:val="0AF77796"/>
    <w:rsid w:val="0BCA35B7"/>
    <w:rsid w:val="0CD53B99"/>
    <w:rsid w:val="0FBF0A57"/>
    <w:rsid w:val="112424D4"/>
    <w:rsid w:val="121E35D6"/>
    <w:rsid w:val="138A103D"/>
    <w:rsid w:val="143A602F"/>
    <w:rsid w:val="14465DD2"/>
    <w:rsid w:val="145D4D9E"/>
    <w:rsid w:val="169F214C"/>
    <w:rsid w:val="175B73F3"/>
    <w:rsid w:val="1C852CE2"/>
    <w:rsid w:val="1E266DF5"/>
    <w:rsid w:val="1EDA05E9"/>
    <w:rsid w:val="1F7B064A"/>
    <w:rsid w:val="1FAD2A59"/>
    <w:rsid w:val="20995C5C"/>
    <w:rsid w:val="21616BCA"/>
    <w:rsid w:val="25905202"/>
    <w:rsid w:val="25CE6C15"/>
    <w:rsid w:val="264673C1"/>
    <w:rsid w:val="267D2374"/>
    <w:rsid w:val="28133794"/>
    <w:rsid w:val="28EE0E9F"/>
    <w:rsid w:val="29362E03"/>
    <w:rsid w:val="2CE500DF"/>
    <w:rsid w:val="2ECA3D51"/>
    <w:rsid w:val="30AA38BA"/>
    <w:rsid w:val="329F0CB2"/>
    <w:rsid w:val="33240E2C"/>
    <w:rsid w:val="334D1144"/>
    <w:rsid w:val="34C74897"/>
    <w:rsid w:val="3618563E"/>
    <w:rsid w:val="377432D3"/>
    <w:rsid w:val="38765C86"/>
    <w:rsid w:val="399369F7"/>
    <w:rsid w:val="3A463FA8"/>
    <w:rsid w:val="3AA9093C"/>
    <w:rsid w:val="3B887BDE"/>
    <w:rsid w:val="3C0B7C3C"/>
    <w:rsid w:val="3C45731E"/>
    <w:rsid w:val="3E992A49"/>
    <w:rsid w:val="3F1971A5"/>
    <w:rsid w:val="43D95247"/>
    <w:rsid w:val="454148BA"/>
    <w:rsid w:val="47772CB0"/>
    <w:rsid w:val="47C34CE9"/>
    <w:rsid w:val="48125AA9"/>
    <w:rsid w:val="484C1C42"/>
    <w:rsid w:val="488A5B3F"/>
    <w:rsid w:val="48FD327F"/>
    <w:rsid w:val="497D3B62"/>
    <w:rsid w:val="498F4DFA"/>
    <w:rsid w:val="4AA41B6B"/>
    <w:rsid w:val="4BAE1382"/>
    <w:rsid w:val="4D2508F1"/>
    <w:rsid w:val="4E3F30FA"/>
    <w:rsid w:val="4ED33D31"/>
    <w:rsid w:val="4F00119B"/>
    <w:rsid w:val="5244273B"/>
    <w:rsid w:val="52572E05"/>
    <w:rsid w:val="52E2358E"/>
    <w:rsid w:val="5599118A"/>
    <w:rsid w:val="57323268"/>
    <w:rsid w:val="57CE157A"/>
    <w:rsid w:val="58355A1D"/>
    <w:rsid w:val="58675F5D"/>
    <w:rsid w:val="59931348"/>
    <w:rsid w:val="59A171B3"/>
    <w:rsid w:val="59AB0BCC"/>
    <w:rsid w:val="5AE23BA6"/>
    <w:rsid w:val="5B7B6BBA"/>
    <w:rsid w:val="5BCD20C5"/>
    <w:rsid w:val="5C6D7888"/>
    <w:rsid w:val="5CC21EBE"/>
    <w:rsid w:val="5D0E154D"/>
    <w:rsid w:val="5EB931B5"/>
    <w:rsid w:val="5ECB3AFE"/>
    <w:rsid w:val="5F907B1B"/>
    <w:rsid w:val="5FFB0CF2"/>
    <w:rsid w:val="60165FDF"/>
    <w:rsid w:val="608651B6"/>
    <w:rsid w:val="60DF2D19"/>
    <w:rsid w:val="61B01959"/>
    <w:rsid w:val="63BA7D04"/>
    <w:rsid w:val="65C17DD1"/>
    <w:rsid w:val="65DE228A"/>
    <w:rsid w:val="667444A2"/>
    <w:rsid w:val="67BB67E8"/>
    <w:rsid w:val="69BE473A"/>
    <w:rsid w:val="69F20FD7"/>
    <w:rsid w:val="6C2866E9"/>
    <w:rsid w:val="6D30394E"/>
    <w:rsid w:val="6EB31AE7"/>
    <w:rsid w:val="6ED948C3"/>
    <w:rsid w:val="6FB92EDC"/>
    <w:rsid w:val="70F15A31"/>
    <w:rsid w:val="743261FE"/>
    <w:rsid w:val="74946A46"/>
    <w:rsid w:val="74F02341"/>
    <w:rsid w:val="753D3172"/>
    <w:rsid w:val="77FA67F4"/>
    <w:rsid w:val="787A3D0F"/>
    <w:rsid w:val="78ED3921"/>
    <w:rsid w:val="7AB25A1C"/>
    <w:rsid w:val="7AE92D09"/>
    <w:rsid w:val="7BC722E5"/>
    <w:rsid w:val="7BCB7664"/>
    <w:rsid w:val="7F72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spacing w:line="360" w:lineRule="auto"/>
      <w:jc w:val="center"/>
      <w:outlineLvl w:val="0"/>
    </w:pPr>
    <w:rPr>
      <w:b/>
      <w:bCs/>
      <w:sz w:val="28"/>
      <w:szCs w:val="20"/>
    </w:rPr>
  </w:style>
  <w:style w:type="paragraph" w:styleId="3">
    <w:name w:val="heading 2"/>
    <w:basedOn w:val="1"/>
    <w:next w:val="1"/>
    <w:link w:val="65"/>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30"/>
    <w:qFormat/>
    <w:uiPriority w:val="0"/>
    <w:pPr>
      <w:keepNext/>
      <w:keepLines/>
      <w:spacing w:before="260" w:after="260" w:line="416" w:lineRule="auto"/>
      <w:outlineLvl w:val="2"/>
    </w:pPr>
    <w:rPr>
      <w:b/>
      <w:bCs/>
      <w:sz w:val="32"/>
      <w:szCs w:val="32"/>
    </w:rPr>
  </w:style>
  <w:style w:type="paragraph" w:styleId="5">
    <w:name w:val="heading 4"/>
    <w:basedOn w:val="1"/>
    <w:next w:val="1"/>
    <w:link w:val="13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4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0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15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273"/>
    <w:qFormat/>
    <w:uiPriority w:val="0"/>
    <w:pPr>
      <w:widowControl/>
      <w:ind w:firstLine="420"/>
      <w:jc w:val="left"/>
    </w:pPr>
    <w:rPr>
      <w:kern w:val="0"/>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61"/>
    <w:semiHidden/>
    <w:qFormat/>
    <w:uiPriority w:val="0"/>
    <w:pPr>
      <w:jc w:val="left"/>
    </w:pPr>
  </w:style>
  <w:style w:type="paragraph" w:styleId="15">
    <w:name w:val="Salutation"/>
    <w:basedOn w:val="1"/>
    <w:next w:val="1"/>
    <w:qFormat/>
    <w:uiPriority w:val="0"/>
    <w:rPr>
      <w:rFonts w:ascii="仿宋_GB2312" w:eastAsia="仿宋_GB2312"/>
      <w:sz w:val="24"/>
    </w:rPr>
  </w:style>
  <w:style w:type="paragraph" w:styleId="16">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link w:val="63"/>
    <w:qFormat/>
    <w:uiPriority w:val="0"/>
    <w:pPr>
      <w:spacing w:after="120"/>
    </w:pPr>
    <w:rPr>
      <w:lang w:val="zh-CN"/>
    </w:rPr>
  </w:style>
  <w:style w:type="paragraph" w:styleId="18">
    <w:name w:val="Body Text Indent"/>
    <w:basedOn w:val="1"/>
    <w:link w:val="126"/>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qFormat/>
    <w:uiPriority w:val="0"/>
    <w:pPr>
      <w:ind w:left="1680" w:leftChars="800"/>
    </w:pPr>
    <w:rPr>
      <w:rFonts w:ascii="Calibri" w:hAnsi="Calibri"/>
      <w:szCs w:val="22"/>
    </w:rPr>
  </w:style>
  <w:style w:type="paragraph" w:styleId="21">
    <w:name w:val="toc 3"/>
    <w:basedOn w:val="1"/>
    <w:next w:val="1"/>
    <w:qFormat/>
    <w:uiPriority w:val="0"/>
    <w:pPr>
      <w:ind w:left="840" w:leftChars="400"/>
    </w:pPr>
  </w:style>
  <w:style w:type="paragraph" w:styleId="22">
    <w:name w:val="Plain Text"/>
    <w:basedOn w:val="1"/>
    <w:link w:val="129"/>
    <w:qFormat/>
    <w:uiPriority w:val="0"/>
    <w:rPr>
      <w:sz w:val="24"/>
      <w:szCs w:val="20"/>
    </w:rPr>
  </w:style>
  <w:style w:type="paragraph" w:styleId="23">
    <w:name w:val="toc 8"/>
    <w:basedOn w:val="1"/>
    <w:next w:val="1"/>
    <w:qFormat/>
    <w:uiPriority w:val="0"/>
    <w:pPr>
      <w:ind w:left="2940" w:leftChars="1400"/>
    </w:pPr>
    <w:rPr>
      <w:rFonts w:ascii="Calibri" w:hAnsi="Calibri"/>
      <w:szCs w:val="22"/>
    </w:rPr>
  </w:style>
  <w:style w:type="paragraph" w:styleId="24">
    <w:name w:val="Date"/>
    <w:basedOn w:val="1"/>
    <w:next w:val="1"/>
    <w:qFormat/>
    <w:uiPriority w:val="0"/>
    <w:rPr>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91"/>
    <w:qFormat/>
    <w:uiPriority w:val="0"/>
    <w:rPr>
      <w:rFonts w:ascii="Calibri" w:hAnsi="Calibri"/>
      <w:sz w:val="18"/>
      <w:szCs w:val="18"/>
    </w:rPr>
  </w:style>
  <w:style w:type="paragraph" w:styleId="27">
    <w:name w:val="footer"/>
    <w:basedOn w:val="1"/>
    <w:link w:val="79"/>
    <w:qFormat/>
    <w:uiPriority w:val="0"/>
    <w:pPr>
      <w:tabs>
        <w:tab w:val="center" w:pos="4153"/>
        <w:tab w:val="right" w:pos="8306"/>
      </w:tabs>
      <w:snapToGrid w:val="0"/>
      <w:jc w:val="left"/>
    </w:pPr>
    <w:rPr>
      <w:sz w:val="18"/>
      <w:szCs w:val="18"/>
    </w:rPr>
  </w:style>
  <w:style w:type="paragraph" w:styleId="28">
    <w:name w:val="header"/>
    <w:basedOn w:val="1"/>
    <w:link w:val="14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302"/>
      </w:tabs>
      <w:spacing w:line="500" w:lineRule="exact"/>
    </w:pPr>
    <w:rPr>
      <w:rFonts w:ascii="宋体" w:hAnsi="宋体"/>
      <w:b/>
      <w:sz w:val="24"/>
    </w:rPr>
  </w:style>
  <w:style w:type="paragraph" w:styleId="30">
    <w:name w:val="toc 4"/>
    <w:basedOn w:val="1"/>
    <w:next w:val="1"/>
    <w:qFormat/>
    <w:uiPriority w:val="0"/>
    <w:pPr>
      <w:ind w:left="1260" w:leftChars="600"/>
    </w:pPr>
  </w:style>
  <w:style w:type="paragraph" w:styleId="31">
    <w:name w:val="index heading"/>
    <w:basedOn w:val="1"/>
    <w:next w:val="32"/>
    <w:semiHidden/>
    <w:qFormat/>
    <w:uiPriority w:val="0"/>
  </w:style>
  <w:style w:type="paragraph" w:styleId="32">
    <w:name w:val="index 1"/>
    <w:basedOn w:val="1"/>
    <w:next w:val="1"/>
    <w:qFormat/>
    <w:uiPriority w:val="0"/>
    <w:pPr>
      <w:spacing w:line="220" w:lineRule="exact"/>
      <w:jc w:val="center"/>
    </w:pPr>
    <w:rPr>
      <w:rFonts w:ascii="仿宋_GB2312" w:eastAsia="仿宋_GB2312"/>
      <w:szCs w:val="20"/>
    </w:rPr>
  </w:style>
  <w:style w:type="paragraph" w:styleId="33">
    <w:name w:val="List"/>
    <w:basedOn w:val="1"/>
    <w:qFormat/>
    <w:uiPriority w:val="0"/>
    <w:pPr>
      <w:ind w:left="200" w:hanging="200" w:hangingChars="200"/>
    </w:pPr>
    <w:rPr>
      <w:sz w:val="28"/>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123"/>
    <w:qFormat/>
    <w:uiPriority w:val="0"/>
    <w:pPr>
      <w:spacing w:after="120"/>
      <w:ind w:left="420" w:leftChars="200"/>
    </w:pPr>
    <w:rPr>
      <w:sz w:val="16"/>
      <w:szCs w:val="16"/>
    </w:rPr>
  </w:style>
  <w:style w:type="paragraph" w:styleId="36">
    <w:name w:val="table of figures"/>
    <w:basedOn w:val="1"/>
    <w:next w:val="1"/>
    <w:unhideWhenUsed/>
    <w:qFormat/>
    <w:uiPriority w:val="0"/>
    <w:pPr>
      <w:ind w:left="200" w:leftChars="200" w:hanging="200" w:hangingChars="200"/>
    </w:pPr>
    <w:rPr>
      <w:sz w:val="28"/>
    </w:rPr>
  </w:style>
  <w:style w:type="paragraph" w:styleId="37">
    <w:name w:val="toc 2"/>
    <w:basedOn w:val="1"/>
    <w:next w:val="1"/>
    <w:qFormat/>
    <w:uiPriority w:val="0"/>
    <w:pPr>
      <w:spacing w:line="500" w:lineRule="exact"/>
      <w:ind w:left="20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qFormat/>
    <w:uiPriority w:val="0"/>
    <w:pPr>
      <w:spacing w:after="120" w:line="480" w:lineRule="auto"/>
    </w:p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Title"/>
    <w:basedOn w:val="1"/>
    <w:next w:val="1"/>
    <w:qFormat/>
    <w:uiPriority w:val="0"/>
    <w:pPr>
      <w:spacing w:before="240" w:after="60"/>
      <w:jc w:val="center"/>
      <w:outlineLvl w:val="0"/>
    </w:pPr>
    <w:rPr>
      <w:rFonts w:ascii="Cambria" w:hAnsi="Cambria"/>
      <w:b/>
      <w:sz w:val="32"/>
    </w:rPr>
  </w:style>
  <w:style w:type="paragraph" w:styleId="43">
    <w:name w:val="annotation subject"/>
    <w:basedOn w:val="14"/>
    <w:next w:val="14"/>
    <w:link w:val="132"/>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character" w:customStyle="1" w:styleId="59">
    <w:name w:val="bds_nopic1"/>
    <w:qFormat/>
    <w:uiPriority w:val="0"/>
    <w:rPr>
      <w:rFonts w:ascii="Times New Roman" w:hAnsi="Times New Roman" w:eastAsia="宋体"/>
    </w:rPr>
  </w:style>
  <w:style w:type="character" w:customStyle="1" w:styleId="60">
    <w:name w:val="p0 Char Char"/>
    <w:qFormat/>
    <w:uiPriority w:val="0"/>
    <w:rPr>
      <w:rFonts w:eastAsia="宋体"/>
      <w:kern w:val="2"/>
      <w:sz w:val="21"/>
      <w:szCs w:val="21"/>
      <w:lang w:val="en-US" w:eastAsia="zh-CN" w:bidi="ar-SA"/>
    </w:rPr>
  </w:style>
  <w:style w:type="character" w:customStyle="1" w:styleId="61">
    <w:name w:val="批注文字 字符"/>
    <w:link w:val="14"/>
    <w:qFormat/>
    <w:uiPriority w:val="0"/>
    <w:rPr>
      <w:rFonts w:eastAsia="宋体"/>
      <w:kern w:val="2"/>
      <w:sz w:val="21"/>
      <w:szCs w:val="24"/>
      <w:lang w:val="en-US" w:eastAsia="zh-CN" w:bidi="ar-SA"/>
    </w:rPr>
  </w:style>
  <w:style w:type="character" w:customStyle="1" w:styleId="62">
    <w:name w:val="正文文本缩进 3 Char"/>
    <w:qFormat/>
    <w:uiPriority w:val="0"/>
    <w:rPr>
      <w:rFonts w:ascii="宋体" w:hAnsi="MS Sans Serif"/>
      <w:color w:val="000000"/>
      <w:sz w:val="24"/>
    </w:rPr>
  </w:style>
  <w:style w:type="character" w:customStyle="1" w:styleId="63">
    <w:name w:val="正文文本 字符"/>
    <w:link w:val="17"/>
    <w:qFormat/>
    <w:uiPriority w:val="0"/>
    <w:rPr>
      <w:kern w:val="2"/>
      <w:sz w:val="21"/>
      <w:szCs w:val="24"/>
    </w:rPr>
  </w:style>
  <w:style w:type="character" w:customStyle="1" w:styleId="64">
    <w:name w:val="font11"/>
    <w:qFormat/>
    <w:uiPriority w:val="0"/>
    <w:rPr>
      <w:rFonts w:hint="default" w:ascii="Times New Roman" w:hAnsi="Times New Roman" w:cs="Times New Roman"/>
      <w:b/>
      <w:color w:val="000000"/>
      <w:sz w:val="21"/>
      <w:szCs w:val="21"/>
      <w:u w:val="none"/>
    </w:rPr>
  </w:style>
  <w:style w:type="character" w:customStyle="1" w:styleId="65">
    <w:name w:val="标题 2 字符"/>
    <w:link w:val="3"/>
    <w:qFormat/>
    <w:uiPriority w:val="0"/>
    <w:rPr>
      <w:rFonts w:ascii="Arial" w:hAnsi="Arial" w:eastAsia="宋体"/>
      <w:b/>
      <w:bCs/>
      <w:kern w:val="2"/>
      <w:sz w:val="24"/>
      <w:szCs w:val="32"/>
      <w:lang w:val="en-US" w:eastAsia="zh-CN" w:bidi="ar-SA"/>
    </w:rPr>
  </w:style>
  <w:style w:type="character" w:customStyle="1" w:styleId="66">
    <w:name w:val="bds_nopic"/>
    <w:qFormat/>
    <w:uiPriority w:val="0"/>
    <w:rPr>
      <w:rFonts w:ascii="Times New Roman" w:hAnsi="Times New Roman" w:eastAsia="宋体"/>
    </w:rPr>
  </w:style>
  <w:style w:type="character" w:customStyle="1" w:styleId="67">
    <w:name w:val="polysemyred"/>
    <w:qFormat/>
    <w:uiPriority w:val="0"/>
    <w:rPr>
      <w:rFonts w:ascii="Times New Roman" w:hAnsi="Times New Roman" w:eastAsia="宋体"/>
      <w:color w:val="FF6666"/>
      <w:sz w:val="18"/>
      <w:szCs w:val="18"/>
    </w:rPr>
  </w:style>
  <w:style w:type="character" w:customStyle="1" w:styleId="68">
    <w:name w:val="标题 6 Char"/>
    <w:qFormat/>
    <w:uiPriority w:val="0"/>
    <w:rPr>
      <w:rFonts w:ascii="Arial" w:hAnsi="Arial" w:eastAsia="黑体"/>
      <w:b/>
      <w:bCs/>
      <w:sz w:val="24"/>
      <w:szCs w:val="24"/>
    </w:rPr>
  </w:style>
  <w:style w:type="character" w:customStyle="1" w:styleId="69">
    <w:name w:val="apple-style-span"/>
    <w:qFormat/>
    <w:uiPriority w:val="0"/>
    <w:rPr>
      <w:rFonts w:ascii="Tahoma" w:hAnsi="Tahoma" w:cs="仿宋_GB2312"/>
      <w:sz w:val="24"/>
      <w:szCs w:val="28"/>
    </w:rPr>
  </w:style>
  <w:style w:type="character" w:customStyle="1" w:styleId="70">
    <w:name w:val="标题 9 字符"/>
    <w:link w:val="10"/>
    <w:qFormat/>
    <w:uiPriority w:val="0"/>
    <w:rPr>
      <w:rFonts w:ascii="Arial" w:hAnsi="Arial" w:eastAsia="黑体"/>
      <w:sz w:val="21"/>
      <w:szCs w:val="21"/>
      <w:lang w:val="en-US" w:eastAsia="zh-CN" w:bidi="ar-SA"/>
    </w:rPr>
  </w:style>
  <w:style w:type="character" w:customStyle="1" w:styleId="71">
    <w:name w:val="Font Style127"/>
    <w:unhideWhenUsed/>
    <w:qFormat/>
    <w:uiPriority w:val="0"/>
    <w:rPr>
      <w:rFonts w:hint="eastAsia" w:ascii="Times New Roman" w:hAnsi="Times New Roman" w:eastAsia="Times New Roman"/>
      <w:sz w:val="20"/>
    </w:rPr>
  </w:style>
  <w:style w:type="character" w:customStyle="1" w:styleId="72">
    <w:name w:val="标题 7 Char"/>
    <w:qFormat/>
    <w:uiPriority w:val="0"/>
    <w:rPr>
      <w:b/>
      <w:bCs/>
      <w:sz w:val="24"/>
      <w:szCs w:val="24"/>
    </w:rPr>
  </w:style>
  <w:style w:type="character" w:customStyle="1" w:styleId="73">
    <w:name w:val="Font Style128"/>
    <w:unhideWhenUsed/>
    <w:qFormat/>
    <w:uiPriority w:val="0"/>
    <w:rPr>
      <w:rFonts w:hint="eastAsia" w:ascii="Times New Roman" w:hAnsi="Times New Roman" w:eastAsia="Times New Roman"/>
      <w:sz w:val="16"/>
    </w:rPr>
  </w:style>
  <w:style w:type="character" w:customStyle="1" w:styleId="74">
    <w:name w:val="zzi1"/>
    <w:qFormat/>
    <w:uiPriority w:val="0"/>
    <w:rPr>
      <w:rFonts w:ascii="Tahoma" w:hAnsi="Tahoma" w:cs="仿宋_GB2312"/>
      <w:sz w:val="22"/>
      <w:szCs w:val="22"/>
    </w:rPr>
  </w:style>
  <w:style w:type="character" w:customStyle="1" w:styleId="75">
    <w:name w:val="plus"/>
    <w:qFormat/>
    <w:uiPriority w:val="0"/>
    <w:rPr>
      <w:rFonts w:ascii="Times New Roman" w:hAnsi="Times New Roman" w:eastAsia="宋体"/>
      <w:b/>
      <w:vanish/>
      <w:color w:val="1F8DEF"/>
      <w:sz w:val="24"/>
      <w:szCs w:val="24"/>
    </w:rPr>
  </w:style>
  <w:style w:type="character" w:customStyle="1" w:styleId="76">
    <w:name w:val="标题 5 Char"/>
    <w:qFormat/>
    <w:uiPriority w:val="0"/>
    <w:rPr>
      <w:b/>
      <w:bCs/>
      <w:kern w:val="2"/>
      <w:sz w:val="28"/>
      <w:szCs w:val="28"/>
    </w:rPr>
  </w:style>
  <w:style w:type="character" w:customStyle="1" w:styleId="77">
    <w:name w:val="列出段落字符"/>
    <w:link w:val="78"/>
    <w:qFormat/>
    <w:uiPriority w:val="0"/>
    <w:rPr>
      <w:rFonts w:ascii="Arial" w:hAnsi="Arial"/>
      <w:sz w:val="24"/>
    </w:rPr>
  </w:style>
  <w:style w:type="paragraph" w:customStyle="1" w:styleId="78">
    <w:name w:val="列表段落11"/>
    <w:basedOn w:val="1"/>
    <w:link w:val="77"/>
    <w:qFormat/>
    <w:uiPriority w:val="0"/>
    <w:pPr>
      <w:widowControl/>
      <w:spacing w:beforeLines="50"/>
    </w:pPr>
    <w:rPr>
      <w:rFonts w:ascii="Arial" w:hAnsi="Arial"/>
      <w:kern w:val="0"/>
      <w:sz w:val="24"/>
      <w:szCs w:val="20"/>
      <w:lang w:val="zh-CN"/>
    </w:rPr>
  </w:style>
  <w:style w:type="character" w:customStyle="1" w:styleId="79">
    <w:name w:val="页脚 字符"/>
    <w:link w:val="27"/>
    <w:qFormat/>
    <w:uiPriority w:val="0"/>
    <w:rPr>
      <w:rFonts w:eastAsia="宋体"/>
      <w:kern w:val="2"/>
      <w:sz w:val="18"/>
      <w:szCs w:val="18"/>
      <w:lang w:val="en-US" w:eastAsia="zh-CN" w:bidi="ar-SA"/>
    </w:rPr>
  </w:style>
  <w:style w:type="character" w:customStyle="1" w:styleId="80">
    <w:name w:val="文档正文 Char"/>
    <w:link w:val="81"/>
    <w:qFormat/>
    <w:uiPriority w:val="0"/>
    <w:rPr>
      <w:rFonts w:ascii="长城仿宋" w:hAnsi="长城仿宋" w:eastAsia="长城仿宋" w:cs="Tahoma"/>
      <w:b/>
      <w:w w:val="80"/>
      <w:kern w:val="1"/>
      <w:sz w:val="28"/>
    </w:rPr>
  </w:style>
  <w:style w:type="paragraph" w:customStyle="1" w:styleId="81">
    <w:name w:val="文档正文"/>
    <w:basedOn w:val="1"/>
    <w:link w:val="80"/>
    <w:qFormat/>
    <w:uiPriority w:val="0"/>
    <w:pPr>
      <w:suppressAutoHyphens/>
      <w:spacing w:line="312" w:lineRule="atLeast"/>
      <w:ind w:firstLine="567"/>
      <w:jc w:val="left"/>
      <w:textAlignment w:val="baseline"/>
    </w:pPr>
    <w:rPr>
      <w:rFonts w:ascii="长城仿宋" w:hAnsi="长城仿宋" w:eastAsia="长城仿宋"/>
      <w:b/>
      <w:w w:val="80"/>
      <w:kern w:val="1"/>
      <w:sz w:val="28"/>
      <w:szCs w:val="20"/>
      <w:lang w:val="zh-CN"/>
    </w:rPr>
  </w:style>
  <w:style w:type="character" w:customStyle="1" w:styleId="82">
    <w:name w:val="font61"/>
    <w:qFormat/>
    <w:uiPriority w:val="0"/>
    <w:rPr>
      <w:rFonts w:hint="eastAsia" w:ascii="宋体" w:hAnsi="宋体" w:eastAsia="宋体" w:cs="宋体"/>
      <w:color w:val="333333"/>
      <w:sz w:val="18"/>
      <w:szCs w:val="18"/>
      <w:u w:val="none"/>
    </w:rPr>
  </w:style>
  <w:style w:type="character" w:customStyle="1" w:styleId="83">
    <w:name w:val="bds_nopic2"/>
    <w:qFormat/>
    <w:uiPriority w:val="0"/>
    <w:rPr>
      <w:rFonts w:ascii="Times New Roman" w:hAnsi="Times New Roman" w:eastAsia="宋体"/>
    </w:rPr>
  </w:style>
  <w:style w:type="character" w:customStyle="1" w:styleId="84">
    <w:name w:val="Char Char16"/>
    <w:qFormat/>
    <w:uiPriority w:val="0"/>
    <w:rPr>
      <w:rFonts w:ascii="宋体" w:hAnsi="Times New Roman" w:eastAsia="宋体"/>
      <w:b/>
      <w:sz w:val="24"/>
      <w:lang w:val="en-US" w:eastAsia="zh-CN" w:bidi="ar-SA"/>
    </w:rPr>
  </w:style>
  <w:style w:type="character" w:customStyle="1" w:styleId="85">
    <w:name w:val="polysemyexp"/>
    <w:qFormat/>
    <w:uiPriority w:val="0"/>
    <w:rPr>
      <w:rFonts w:ascii="Times New Roman" w:hAnsi="Times New Roman" w:eastAsia="宋体"/>
      <w:color w:val="AAAAAA"/>
      <w:sz w:val="18"/>
      <w:szCs w:val="18"/>
    </w:rPr>
  </w:style>
  <w:style w:type="character" w:customStyle="1" w:styleId="86">
    <w:name w:val="普通文字1 Char"/>
    <w:qFormat/>
    <w:uiPriority w:val="0"/>
    <w:rPr>
      <w:rFonts w:ascii="宋体" w:hAnsi="Courier New" w:eastAsia="宋体" w:cs="Courier New"/>
      <w:kern w:val="2"/>
      <w:sz w:val="21"/>
      <w:szCs w:val="21"/>
      <w:lang w:val="en-US" w:eastAsia="zh-CN" w:bidi="ar-SA"/>
    </w:rPr>
  </w:style>
  <w:style w:type="character" w:customStyle="1" w:styleId="87">
    <w:name w:val="Char Char6"/>
    <w:qFormat/>
    <w:uiPriority w:val="0"/>
    <w:rPr>
      <w:rFonts w:ascii="Arial" w:hAnsi="Arial" w:eastAsia="黑体"/>
      <w:sz w:val="24"/>
      <w:szCs w:val="24"/>
      <w:lang w:val="en-US" w:eastAsia="zh-CN" w:bidi="ar-SA"/>
    </w:rPr>
  </w:style>
  <w:style w:type="character" w:customStyle="1" w:styleId="88">
    <w:name w:val="Font Style131"/>
    <w:unhideWhenUsed/>
    <w:qFormat/>
    <w:uiPriority w:val="0"/>
    <w:rPr>
      <w:rFonts w:hint="eastAsia" w:ascii="Times New Roman" w:hAnsi="Times New Roman" w:eastAsia="Times New Roman"/>
      <w:sz w:val="18"/>
    </w:rPr>
  </w:style>
  <w:style w:type="character" w:customStyle="1" w:styleId="89">
    <w:name w:val="font21"/>
    <w:qFormat/>
    <w:uiPriority w:val="0"/>
    <w:rPr>
      <w:rFonts w:hint="eastAsia" w:ascii="宋体" w:hAnsi="宋体" w:eastAsia="宋体" w:cs="宋体"/>
      <w:color w:val="333333"/>
      <w:sz w:val="18"/>
      <w:szCs w:val="18"/>
      <w:u w:val="none"/>
      <w:vertAlign w:val="superscript"/>
    </w:rPr>
  </w:style>
  <w:style w:type="character" w:customStyle="1" w:styleId="90">
    <w:name w:val="Font Style94"/>
    <w:unhideWhenUsed/>
    <w:qFormat/>
    <w:uiPriority w:val="0"/>
    <w:rPr>
      <w:rFonts w:hint="eastAsia" w:ascii="Times New Roman" w:hAnsi="Times New Roman" w:eastAsia="Times New Roman"/>
      <w:sz w:val="28"/>
    </w:rPr>
  </w:style>
  <w:style w:type="character" w:customStyle="1" w:styleId="91">
    <w:name w:val="批注框文本 字符"/>
    <w:link w:val="26"/>
    <w:semiHidden/>
    <w:qFormat/>
    <w:locked/>
    <w:uiPriority w:val="0"/>
    <w:rPr>
      <w:rFonts w:ascii="Calibri" w:hAnsi="Calibri" w:eastAsia="宋体"/>
      <w:kern w:val="2"/>
      <w:sz w:val="18"/>
      <w:szCs w:val="18"/>
      <w:lang w:val="en-US" w:eastAsia="zh-CN" w:bidi="ar-SA"/>
    </w:rPr>
  </w:style>
  <w:style w:type="character" w:customStyle="1" w:styleId="92">
    <w:name w:val="sidecatalog-index2"/>
    <w:qFormat/>
    <w:uiPriority w:val="0"/>
    <w:rPr>
      <w:rFonts w:ascii="Arail" w:hAnsi="Arail" w:eastAsia="Arail" w:cs="Arail"/>
      <w:color w:val="999999"/>
      <w:sz w:val="21"/>
      <w:szCs w:val="21"/>
    </w:rPr>
  </w:style>
  <w:style w:type="character" w:customStyle="1" w:styleId="93">
    <w:name w:val="Font Style86"/>
    <w:unhideWhenUsed/>
    <w:qFormat/>
    <w:uiPriority w:val="0"/>
    <w:rPr>
      <w:rFonts w:hint="eastAsia" w:ascii="黑体" w:hAnsi="黑体" w:eastAsia="黑体"/>
      <w:spacing w:val="10"/>
      <w:sz w:val="30"/>
    </w:rPr>
  </w:style>
  <w:style w:type="character" w:customStyle="1" w:styleId="94">
    <w:name w:val="Font Style90"/>
    <w:unhideWhenUsed/>
    <w:qFormat/>
    <w:uiPriority w:val="0"/>
    <w:rPr>
      <w:rFonts w:hint="eastAsia" w:ascii="宋体" w:hAnsi="宋体" w:eastAsia="宋体"/>
      <w:b/>
      <w:spacing w:val="-20"/>
      <w:sz w:val="40"/>
    </w:rPr>
  </w:style>
  <w:style w:type="character" w:customStyle="1" w:styleId="95">
    <w:name w:val="页眉 Char"/>
    <w:qFormat/>
    <w:uiPriority w:val="0"/>
    <w:rPr>
      <w:kern w:val="2"/>
      <w:sz w:val="18"/>
      <w:szCs w:val="18"/>
    </w:rPr>
  </w:style>
  <w:style w:type="character" w:customStyle="1" w:styleId="96">
    <w:name w:val="标题 1 字符"/>
    <w:link w:val="2"/>
    <w:qFormat/>
    <w:uiPriority w:val="0"/>
    <w:rPr>
      <w:rFonts w:eastAsia="宋体"/>
      <w:b/>
      <w:bCs/>
      <w:kern w:val="2"/>
      <w:sz w:val="28"/>
      <w:lang w:val="en-US" w:eastAsia="zh-CN" w:bidi="ar-SA"/>
    </w:rPr>
  </w:style>
  <w:style w:type="character" w:customStyle="1" w:styleId="97">
    <w:name w:val="Font Style117"/>
    <w:unhideWhenUsed/>
    <w:qFormat/>
    <w:uiPriority w:val="0"/>
    <w:rPr>
      <w:rFonts w:hint="eastAsia" w:ascii="宋体" w:hAnsi="宋体" w:eastAsia="宋体"/>
      <w:spacing w:val="20"/>
      <w:sz w:val="24"/>
    </w:rPr>
  </w:style>
  <w:style w:type="character" w:customStyle="1" w:styleId="98">
    <w:name w:val="font01"/>
    <w:qFormat/>
    <w:uiPriority w:val="0"/>
    <w:rPr>
      <w:rFonts w:ascii="Calibri" w:hAnsi="Calibri" w:cs="Calibri"/>
      <w:color w:val="000000"/>
      <w:sz w:val="22"/>
      <w:szCs w:val="22"/>
      <w:u w:val="none"/>
    </w:rPr>
  </w:style>
  <w:style w:type="character" w:customStyle="1" w:styleId="99">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0">
    <w:name w:val="bds_more8"/>
    <w:qFormat/>
    <w:uiPriority w:val="0"/>
    <w:rPr>
      <w:rFonts w:ascii="Times New Roman" w:hAnsi="Times New Roman" w:eastAsia="宋体"/>
    </w:rPr>
  </w:style>
  <w:style w:type="character" w:customStyle="1" w:styleId="101">
    <w:name w:val="日期 Char"/>
    <w:qFormat/>
    <w:uiPriority w:val="0"/>
    <w:rPr>
      <w:kern w:val="2"/>
      <w:sz w:val="21"/>
      <w:szCs w:val="24"/>
    </w:rPr>
  </w:style>
  <w:style w:type="character" w:customStyle="1" w:styleId="102">
    <w:name w:val="bds_more9"/>
    <w:qFormat/>
    <w:uiPriority w:val="0"/>
    <w:rPr>
      <w:rFonts w:ascii="Times New Roman" w:hAnsi="Times New Roman" w:eastAsia="宋体"/>
    </w:rPr>
  </w:style>
  <w:style w:type="character" w:customStyle="1" w:styleId="103">
    <w:name w:val="Font Style121"/>
    <w:unhideWhenUsed/>
    <w:qFormat/>
    <w:uiPriority w:val="0"/>
    <w:rPr>
      <w:rFonts w:hint="eastAsia" w:ascii="宋体" w:hAnsi="宋体" w:eastAsia="宋体"/>
      <w:spacing w:val="-10"/>
      <w:sz w:val="30"/>
    </w:rPr>
  </w:style>
  <w:style w:type="character" w:customStyle="1" w:styleId="104">
    <w:name w:val="标题 5 字符"/>
    <w:link w:val="6"/>
    <w:qFormat/>
    <w:uiPriority w:val="0"/>
    <w:rPr>
      <w:rFonts w:eastAsia="宋体"/>
      <w:b/>
      <w:bCs/>
      <w:sz w:val="28"/>
      <w:szCs w:val="28"/>
      <w:lang w:val="en-US" w:eastAsia="zh-CN" w:bidi="ar-SA"/>
    </w:rPr>
  </w:style>
  <w:style w:type="character" w:customStyle="1" w:styleId="105">
    <w:name w:val="标题 7 字符"/>
    <w:link w:val="8"/>
    <w:qFormat/>
    <w:uiPriority w:val="0"/>
    <w:rPr>
      <w:rFonts w:eastAsia="宋体"/>
      <w:b/>
      <w:bCs/>
      <w:sz w:val="24"/>
      <w:szCs w:val="24"/>
      <w:lang w:val="en-US" w:eastAsia="zh-CN" w:bidi="ar-SA"/>
    </w:rPr>
  </w:style>
  <w:style w:type="character" w:customStyle="1" w:styleId="106">
    <w:name w:val="Char Char15"/>
    <w:qFormat/>
    <w:uiPriority w:val="0"/>
    <w:rPr>
      <w:b/>
      <w:bCs/>
      <w:sz w:val="24"/>
      <w:szCs w:val="24"/>
    </w:rPr>
  </w:style>
  <w:style w:type="character" w:customStyle="1" w:styleId="107">
    <w:name w:val="Font Style133"/>
    <w:unhideWhenUsed/>
    <w:qFormat/>
    <w:uiPriority w:val="0"/>
    <w:rPr>
      <w:rFonts w:hint="eastAsia" w:ascii="宋体" w:hAnsi="宋体" w:eastAsia="宋体"/>
      <w:spacing w:val="30"/>
      <w:sz w:val="24"/>
    </w:rPr>
  </w:style>
  <w:style w:type="character" w:customStyle="1" w:styleId="108">
    <w:name w:val="标题 Char"/>
    <w:qFormat/>
    <w:uiPriority w:val="0"/>
    <w:rPr>
      <w:rFonts w:ascii="Cambria" w:hAnsi="Cambria"/>
      <w:b/>
      <w:kern w:val="2"/>
      <w:sz w:val="32"/>
      <w:szCs w:val="24"/>
    </w:rPr>
  </w:style>
  <w:style w:type="character" w:customStyle="1" w:styleId="109">
    <w:name w:val="Font Style116"/>
    <w:unhideWhenUsed/>
    <w:qFormat/>
    <w:uiPriority w:val="0"/>
    <w:rPr>
      <w:rFonts w:hint="eastAsia" w:ascii="宋体" w:hAnsi="宋体" w:eastAsia="宋体"/>
      <w:spacing w:val="-20"/>
      <w:sz w:val="24"/>
    </w:rPr>
  </w:style>
  <w:style w:type="character" w:customStyle="1" w:styleId="110">
    <w:name w:val="p0 Char"/>
    <w:link w:val="111"/>
    <w:qFormat/>
    <w:uiPriority w:val="0"/>
    <w:rPr>
      <w:rFonts w:eastAsia="宋体"/>
      <w:sz w:val="21"/>
      <w:szCs w:val="21"/>
      <w:lang w:val="en-US" w:eastAsia="zh-CN" w:bidi="ar-SA"/>
    </w:rPr>
  </w:style>
  <w:style w:type="paragraph" w:customStyle="1" w:styleId="111">
    <w:name w:val="p0"/>
    <w:basedOn w:val="1"/>
    <w:link w:val="110"/>
    <w:qFormat/>
    <w:uiPriority w:val="0"/>
    <w:pPr>
      <w:widowControl/>
    </w:pPr>
    <w:rPr>
      <w:kern w:val="0"/>
      <w:szCs w:val="21"/>
    </w:rPr>
  </w:style>
  <w:style w:type="character" w:customStyle="1" w:styleId="112">
    <w:name w:val="sort"/>
    <w:qFormat/>
    <w:uiPriority w:val="0"/>
    <w:rPr>
      <w:rFonts w:ascii="Times New Roman" w:hAnsi="Times New Roman" w:eastAsia="宋体"/>
      <w:color w:val="FFFFFF"/>
      <w:bdr w:val="single" w:color="auto" w:sz="24" w:space="0"/>
    </w:rPr>
  </w:style>
  <w:style w:type="character" w:customStyle="1" w:styleId="113">
    <w:name w:val="param-name"/>
    <w:qFormat/>
    <w:uiPriority w:val="0"/>
  </w:style>
  <w:style w:type="character" w:customStyle="1" w:styleId="114">
    <w:name w:val="Font Style126"/>
    <w:unhideWhenUsed/>
    <w:qFormat/>
    <w:uiPriority w:val="0"/>
    <w:rPr>
      <w:rFonts w:hint="eastAsia" w:ascii="宋体" w:hAnsi="宋体" w:eastAsia="宋体"/>
      <w:b/>
      <w:spacing w:val="-30"/>
      <w:sz w:val="28"/>
    </w:rPr>
  </w:style>
  <w:style w:type="character" w:customStyle="1" w:styleId="115">
    <w:name w:val="sidecatalog-dot"/>
    <w:qFormat/>
    <w:uiPriority w:val="0"/>
    <w:rPr>
      <w:rFonts w:ascii="Times New Roman" w:hAnsi="Times New Roman" w:eastAsia="宋体"/>
    </w:rPr>
  </w:style>
  <w:style w:type="character" w:customStyle="1" w:styleId="116">
    <w:name w:val="标题 2 Char"/>
    <w:qFormat/>
    <w:uiPriority w:val="0"/>
    <w:rPr>
      <w:rFonts w:ascii="Cambria" w:hAnsi="Cambria" w:eastAsia="宋体" w:cs="Times New Roman"/>
      <w:b/>
      <w:bCs/>
      <w:kern w:val="2"/>
      <w:sz w:val="32"/>
      <w:szCs w:val="32"/>
    </w:rPr>
  </w:style>
  <w:style w:type="character" w:customStyle="1" w:styleId="117">
    <w:name w:val="bds_more6"/>
    <w:qFormat/>
    <w:uiPriority w:val="0"/>
    <w:rPr>
      <w:rFonts w:hint="eastAsia" w:ascii="宋体" w:hAnsi="宋体" w:eastAsia="宋体" w:cs="宋体"/>
    </w:rPr>
  </w:style>
  <w:style w:type="character" w:customStyle="1" w:styleId="118">
    <w:name w:val="批注文字 Char Char"/>
    <w:qFormat/>
    <w:uiPriority w:val="0"/>
    <w:rPr>
      <w:kern w:val="2"/>
      <w:sz w:val="21"/>
      <w:szCs w:val="24"/>
      <w:lang w:bidi="ar-SA"/>
    </w:rPr>
  </w:style>
  <w:style w:type="character" w:customStyle="1" w:styleId="119">
    <w:name w:val="Font Style122"/>
    <w:unhideWhenUsed/>
    <w:qFormat/>
    <w:uiPriority w:val="0"/>
    <w:rPr>
      <w:rFonts w:hint="eastAsia" w:ascii="宋体" w:hAnsi="宋体" w:eastAsia="宋体"/>
      <w:spacing w:val="20"/>
      <w:sz w:val="24"/>
    </w:rPr>
  </w:style>
  <w:style w:type="character" w:customStyle="1" w:styleId="120">
    <w:name w:val="Heading 2 Hidden Char"/>
    <w:qFormat/>
    <w:uiPriority w:val="0"/>
    <w:rPr>
      <w:rFonts w:ascii="Arial" w:hAnsi="Arial" w:eastAsia="宋体"/>
      <w:b/>
      <w:bCs/>
      <w:kern w:val="2"/>
      <w:sz w:val="24"/>
      <w:szCs w:val="32"/>
      <w:lang w:val="en-US" w:eastAsia="zh-CN" w:bidi="ar-SA"/>
    </w:rPr>
  </w:style>
  <w:style w:type="character" w:customStyle="1" w:styleId="121">
    <w:name w:val="批注主题 Char"/>
    <w:qFormat/>
    <w:uiPriority w:val="0"/>
    <w:rPr>
      <w:b/>
      <w:bCs/>
      <w:kern w:val="2"/>
      <w:sz w:val="21"/>
      <w:szCs w:val="24"/>
    </w:rPr>
  </w:style>
  <w:style w:type="character" w:customStyle="1" w:styleId="122">
    <w:name w:val="10_2_2"/>
    <w:qFormat/>
    <w:uiPriority w:val="0"/>
    <w:rPr>
      <w:rFonts w:hint="default" w:ascii="Times New Roman" w:hAnsi="Times New Roman" w:cs="Times New Roman"/>
      <w:sz w:val="20"/>
      <w:szCs w:val="20"/>
    </w:rPr>
  </w:style>
  <w:style w:type="character" w:customStyle="1" w:styleId="123">
    <w:name w:val="正文文本缩进 3 字符"/>
    <w:link w:val="35"/>
    <w:qFormat/>
    <w:uiPriority w:val="0"/>
    <w:rPr>
      <w:rFonts w:eastAsia="宋体"/>
      <w:kern w:val="2"/>
      <w:sz w:val="16"/>
      <w:szCs w:val="16"/>
      <w:lang w:val="en-US" w:eastAsia="zh-CN" w:bidi="ar-SA"/>
    </w:rPr>
  </w:style>
  <w:style w:type="character" w:customStyle="1" w:styleId="124">
    <w:name w:val="sort1"/>
    <w:qFormat/>
    <w:uiPriority w:val="0"/>
    <w:rPr>
      <w:rFonts w:ascii="Times New Roman" w:hAnsi="Times New Roman" w:eastAsia="宋体"/>
    </w:rPr>
  </w:style>
  <w:style w:type="character" w:customStyle="1" w:styleId="125">
    <w:name w:val="bds_more10"/>
    <w:qFormat/>
    <w:uiPriority w:val="0"/>
    <w:rPr>
      <w:rFonts w:ascii="Times New Roman" w:hAnsi="Times New Roman" w:eastAsia="宋体"/>
    </w:rPr>
  </w:style>
  <w:style w:type="character" w:customStyle="1" w:styleId="126">
    <w:name w:val="正文文本缩进 字符"/>
    <w:link w:val="18"/>
    <w:qFormat/>
    <w:uiPriority w:val="0"/>
    <w:rPr>
      <w:rFonts w:eastAsia="宋体"/>
      <w:kern w:val="2"/>
      <w:sz w:val="21"/>
      <w:szCs w:val="24"/>
      <w:lang w:val="en-US" w:eastAsia="zh-CN" w:bidi="ar-SA"/>
    </w:rPr>
  </w:style>
  <w:style w:type="character" w:customStyle="1" w:styleId="127">
    <w:name w:val="标题 1 Char"/>
    <w:qFormat/>
    <w:uiPriority w:val="0"/>
    <w:rPr>
      <w:rFonts w:ascii="Cambria" w:hAnsi="Cambria"/>
      <w:b/>
      <w:bCs/>
      <w:kern w:val="32"/>
      <w:sz w:val="32"/>
      <w:szCs w:val="32"/>
    </w:rPr>
  </w:style>
  <w:style w:type="character" w:customStyle="1" w:styleId="128">
    <w:name w:val="Font Style125"/>
    <w:unhideWhenUsed/>
    <w:qFormat/>
    <w:uiPriority w:val="0"/>
    <w:rPr>
      <w:rFonts w:hint="eastAsia" w:ascii="宋体" w:hAnsi="宋体" w:eastAsia="宋体"/>
      <w:b/>
      <w:sz w:val="26"/>
    </w:rPr>
  </w:style>
  <w:style w:type="character" w:customStyle="1" w:styleId="129">
    <w:name w:val="纯文本 字符1"/>
    <w:link w:val="22"/>
    <w:qFormat/>
    <w:uiPriority w:val="0"/>
    <w:rPr>
      <w:rFonts w:eastAsia="宋体"/>
      <w:kern w:val="2"/>
      <w:sz w:val="24"/>
      <w:lang w:val="en-US" w:eastAsia="zh-CN" w:bidi="ar-SA"/>
    </w:rPr>
  </w:style>
  <w:style w:type="character" w:customStyle="1" w:styleId="130">
    <w:name w:val="标题 3 字符"/>
    <w:link w:val="4"/>
    <w:qFormat/>
    <w:uiPriority w:val="0"/>
    <w:rPr>
      <w:rFonts w:eastAsia="宋体"/>
      <w:b/>
      <w:bCs/>
      <w:kern w:val="2"/>
      <w:sz w:val="32"/>
      <w:szCs w:val="32"/>
      <w:lang w:val="en-US" w:eastAsia="zh-CN" w:bidi="ar-SA"/>
    </w:rPr>
  </w:style>
  <w:style w:type="character" w:customStyle="1" w:styleId="131">
    <w:name w:val="纯文本 Char1"/>
    <w:qFormat/>
    <w:uiPriority w:val="0"/>
    <w:rPr>
      <w:rFonts w:eastAsia="宋体"/>
      <w:kern w:val="2"/>
      <w:sz w:val="24"/>
      <w:lang w:val="en-US" w:eastAsia="zh-CN" w:bidi="ar-SA"/>
    </w:rPr>
  </w:style>
  <w:style w:type="character" w:customStyle="1" w:styleId="132">
    <w:name w:val="批注主题 字符"/>
    <w:link w:val="43"/>
    <w:qFormat/>
    <w:uiPriority w:val="0"/>
    <w:rPr>
      <w:rFonts w:eastAsia="宋体"/>
      <w:b/>
      <w:bCs/>
      <w:kern w:val="2"/>
      <w:sz w:val="21"/>
      <w:szCs w:val="24"/>
      <w:lang w:val="en-US" w:eastAsia="zh-CN" w:bidi="ar-SA"/>
    </w:rPr>
  </w:style>
  <w:style w:type="character" w:customStyle="1" w:styleId="133">
    <w:name w:val="标题 4 字符"/>
    <w:link w:val="5"/>
    <w:qFormat/>
    <w:uiPriority w:val="0"/>
    <w:rPr>
      <w:rFonts w:ascii="Arial" w:hAnsi="Arial" w:eastAsia="黑体"/>
      <w:b/>
      <w:bCs/>
      <w:kern w:val="2"/>
      <w:sz w:val="28"/>
      <w:szCs w:val="28"/>
      <w:lang w:val="en-US" w:eastAsia="zh-CN" w:bidi="ar-SA"/>
    </w:rPr>
  </w:style>
  <w:style w:type="character" w:customStyle="1" w:styleId="134">
    <w:name w:val="标题 8 Char"/>
    <w:qFormat/>
    <w:uiPriority w:val="0"/>
    <w:rPr>
      <w:rFonts w:ascii="Arial" w:hAnsi="Arial" w:eastAsia="黑体"/>
      <w:sz w:val="24"/>
      <w:szCs w:val="24"/>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morelink-item"/>
    <w:qFormat/>
    <w:uiPriority w:val="0"/>
    <w:rPr>
      <w:rFonts w:ascii="Times New Roman" w:hAnsi="Times New Roman" w:eastAsia="宋体"/>
    </w:rPr>
  </w:style>
  <w:style w:type="character" w:customStyle="1" w:styleId="137">
    <w:name w:val="Char Char17"/>
    <w:qFormat/>
    <w:uiPriority w:val="0"/>
    <w:rPr>
      <w:rFonts w:ascii="宋体" w:hAnsi="Times New Roman" w:eastAsia="宋体"/>
      <w:b/>
      <w:sz w:val="28"/>
      <w:lang w:val="en-US" w:eastAsia="zh-CN" w:bidi="ar-SA"/>
    </w:rPr>
  </w:style>
  <w:style w:type="character" w:customStyle="1" w:styleId="138">
    <w:name w:val="Font Style123"/>
    <w:unhideWhenUsed/>
    <w:qFormat/>
    <w:uiPriority w:val="0"/>
    <w:rPr>
      <w:rFonts w:hint="eastAsia" w:ascii="宋体" w:hAnsi="宋体" w:eastAsia="宋体"/>
      <w:b/>
      <w:sz w:val="32"/>
    </w:rPr>
  </w:style>
  <w:style w:type="character" w:customStyle="1" w:styleId="139">
    <w:name w:val="apple-converted-space"/>
    <w:qFormat/>
    <w:uiPriority w:val="0"/>
    <w:rPr>
      <w:rFonts w:ascii="Tahoma" w:hAnsi="Tahoma" w:cs="仿宋_GB2312"/>
      <w:sz w:val="24"/>
      <w:szCs w:val="28"/>
    </w:rPr>
  </w:style>
  <w:style w:type="character" w:customStyle="1" w:styleId="140">
    <w:name w:val="Font Style134"/>
    <w:unhideWhenUsed/>
    <w:qFormat/>
    <w:uiPriority w:val="0"/>
    <w:rPr>
      <w:rFonts w:hint="eastAsia" w:ascii="宋体" w:hAnsi="宋体" w:eastAsia="宋体"/>
      <w:spacing w:val="20"/>
      <w:sz w:val="22"/>
    </w:rPr>
  </w:style>
  <w:style w:type="character" w:customStyle="1" w:styleId="141">
    <w:name w:val="bds_more7"/>
    <w:qFormat/>
    <w:uiPriority w:val="0"/>
    <w:rPr>
      <w:rFonts w:ascii="Times New Roman" w:hAnsi="Times New Roman" w:eastAsia="宋体"/>
    </w:rPr>
  </w:style>
  <w:style w:type="character" w:customStyle="1" w:styleId="142">
    <w:name w:val="Font Style104"/>
    <w:unhideWhenUsed/>
    <w:qFormat/>
    <w:uiPriority w:val="0"/>
    <w:rPr>
      <w:rFonts w:hint="eastAsia" w:ascii="宋体" w:hAnsi="宋体" w:eastAsia="宋体"/>
      <w:spacing w:val="30"/>
      <w:sz w:val="18"/>
    </w:rPr>
  </w:style>
  <w:style w:type="character" w:customStyle="1" w:styleId="143">
    <w:name w:val="sidecatalog-dot1"/>
    <w:qFormat/>
    <w:uiPriority w:val="0"/>
    <w:rPr>
      <w:rFonts w:ascii="Times New Roman" w:hAnsi="Times New Roman" w:eastAsia="宋体"/>
    </w:rPr>
  </w:style>
  <w:style w:type="character" w:customStyle="1" w:styleId="144">
    <w:name w:val="标题 4 Char"/>
    <w:qFormat/>
    <w:uiPriority w:val="0"/>
    <w:rPr>
      <w:rFonts w:ascii="Arial" w:hAnsi="Arial" w:eastAsia="宋体" w:cs="Times New Roman"/>
      <w:b/>
      <w:bCs/>
      <w:szCs w:val="28"/>
    </w:rPr>
  </w:style>
  <w:style w:type="character" w:customStyle="1" w:styleId="145">
    <w:name w:val="标题 6 字符"/>
    <w:link w:val="7"/>
    <w:qFormat/>
    <w:uiPriority w:val="0"/>
    <w:rPr>
      <w:rFonts w:ascii="Arial" w:hAnsi="Arial" w:eastAsia="黑体"/>
      <w:b/>
      <w:bCs/>
      <w:sz w:val="24"/>
      <w:szCs w:val="24"/>
      <w:lang w:val="en-US" w:eastAsia="zh-CN" w:bidi="ar-SA"/>
    </w:rPr>
  </w:style>
  <w:style w:type="character" w:customStyle="1" w:styleId="146">
    <w:name w:val="标题 9 Char"/>
    <w:qFormat/>
    <w:uiPriority w:val="0"/>
    <w:rPr>
      <w:rFonts w:ascii="Arial" w:hAnsi="Arial" w:eastAsia="黑体"/>
      <w:sz w:val="21"/>
      <w:szCs w:val="21"/>
    </w:rPr>
  </w:style>
  <w:style w:type="character" w:customStyle="1" w:styleId="147">
    <w:name w:val="批注框文本 Char"/>
    <w:qFormat/>
    <w:uiPriority w:val="0"/>
    <w:rPr>
      <w:kern w:val="2"/>
      <w:sz w:val="18"/>
      <w:szCs w:val="18"/>
    </w:rPr>
  </w:style>
  <w:style w:type="character" w:customStyle="1" w:styleId="148">
    <w:name w:val="页眉 字符"/>
    <w:link w:val="28"/>
    <w:qFormat/>
    <w:uiPriority w:val="0"/>
    <w:rPr>
      <w:rFonts w:eastAsia="宋体"/>
      <w:kern w:val="2"/>
      <w:sz w:val="18"/>
      <w:szCs w:val="18"/>
      <w:lang w:val="en-US" w:eastAsia="zh-CN" w:bidi="ar-SA"/>
    </w:rPr>
  </w:style>
  <w:style w:type="character" w:customStyle="1" w:styleId="149">
    <w:name w:val="lemmatitleh12"/>
    <w:qFormat/>
    <w:uiPriority w:val="0"/>
    <w:rPr>
      <w:rFonts w:ascii="Times New Roman" w:hAnsi="Times New Roman" w:eastAsia="宋体"/>
    </w:rPr>
  </w:style>
  <w:style w:type="character" w:customStyle="1" w:styleId="150">
    <w:name w:val="标题 Char1"/>
    <w:qFormat/>
    <w:uiPriority w:val="0"/>
    <w:rPr>
      <w:rFonts w:ascii="Cambria" w:hAnsi="Cambria" w:eastAsia="宋体" w:cs="Times New Roman"/>
      <w:b/>
      <w:bCs/>
      <w:sz w:val="32"/>
      <w:szCs w:val="32"/>
    </w:rPr>
  </w:style>
  <w:style w:type="character" w:customStyle="1" w:styleId="151">
    <w:name w:val="Char Char14"/>
    <w:qFormat/>
    <w:uiPriority w:val="0"/>
    <w:rPr>
      <w:rFonts w:ascii="Arial" w:hAnsi="Arial" w:eastAsia="黑体"/>
      <w:b/>
      <w:bCs/>
      <w:sz w:val="28"/>
      <w:szCs w:val="28"/>
      <w:lang w:val="en-US" w:eastAsia="zh-CN" w:bidi="ar-SA"/>
    </w:rPr>
  </w:style>
  <w:style w:type="character" w:customStyle="1" w:styleId="152">
    <w:name w:val="Font Style119"/>
    <w:unhideWhenUsed/>
    <w:qFormat/>
    <w:uiPriority w:val="0"/>
    <w:rPr>
      <w:rFonts w:hint="eastAsia" w:ascii="宋体" w:hAnsi="宋体" w:eastAsia="宋体"/>
      <w:sz w:val="24"/>
    </w:rPr>
  </w:style>
  <w:style w:type="character" w:customStyle="1" w:styleId="153">
    <w:name w:val="标题 3 Char"/>
    <w:qFormat/>
    <w:uiPriority w:val="0"/>
    <w:rPr>
      <w:b/>
      <w:bCs/>
      <w:sz w:val="24"/>
      <w:szCs w:val="24"/>
    </w:rPr>
  </w:style>
  <w:style w:type="character" w:customStyle="1" w:styleId="154">
    <w:name w:val="批注文字 Char"/>
    <w:qFormat/>
    <w:uiPriority w:val="0"/>
    <w:rPr>
      <w:kern w:val="2"/>
      <w:sz w:val="21"/>
      <w:szCs w:val="24"/>
    </w:rPr>
  </w:style>
  <w:style w:type="character" w:customStyle="1" w:styleId="155">
    <w:name w:val="样式2 Char Char"/>
    <w:qFormat/>
    <w:uiPriority w:val="0"/>
    <w:rPr>
      <w:rFonts w:eastAsia="宋体"/>
      <w:kern w:val="2"/>
      <w:sz w:val="18"/>
      <w:szCs w:val="18"/>
      <w:lang w:val="en-US" w:eastAsia="zh-CN" w:bidi="ar-SA"/>
    </w:rPr>
  </w:style>
  <w:style w:type="character" w:customStyle="1" w:styleId="156">
    <w:name w:val="页脚 Char"/>
    <w:qFormat/>
    <w:uiPriority w:val="99"/>
    <w:rPr>
      <w:kern w:val="2"/>
      <w:sz w:val="18"/>
      <w:szCs w:val="18"/>
    </w:rPr>
  </w:style>
  <w:style w:type="character" w:customStyle="1" w:styleId="157">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58">
    <w:name w:val="标题 8 字符"/>
    <w:link w:val="9"/>
    <w:qFormat/>
    <w:uiPriority w:val="0"/>
    <w:rPr>
      <w:rFonts w:ascii="Arial" w:hAnsi="Arial" w:eastAsia="黑体"/>
      <w:sz w:val="24"/>
      <w:szCs w:val="24"/>
      <w:lang w:val="en-US" w:eastAsia="zh-CN" w:bidi="ar-SA"/>
    </w:rPr>
  </w:style>
  <w:style w:type="character" w:customStyle="1" w:styleId="159">
    <w:name w:val="Font Style105"/>
    <w:unhideWhenUsed/>
    <w:qFormat/>
    <w:uiPriority w:val="0"/>
    <w:rPr>
      <w:rFonts w:hint="eastAsia" w:ascii="Times New Roman" w:hAnsi="Times New Roman" w:eastAsia="Times New Roman"/>
      <w:w w:val="60"/>
      <w:sz w:val="26"/>
    </w:rPr>
  </w:style>
  <w:style w:type="character" w:customStyle="1" w:styleId="160">
    <w:name w:val="sidecatalog-index1"/>
    <w:qFormat/>
    <w:uiPriority w:val="0"/>
    <w:rPr>
      <w:rFonts w:ascii="Arial" w:hAnsi="Arial" w:eastAsia="宋体" w:cs="Arial"/>
      <w:b/>
      <w:color w:val="999999"/>
      <w:sz w:val="21"/>
      <w:szCs w:val="21"/>
    </w:rPr>
  </w:style>
  <w:style w:type="character" w:customStyle="1" w:styleId="161">
    <w:name w:val="标题 4 Char Char"/>
    <w:qFormat/>
    <w:uiPriority w:val="0"/>
    <w:rPr>
      <w:rFonts w:ascii="Arial" w:hAnsi="Arial" w:eastAsia="宋体"/>
      <w:b/>
      <w:bCs/>
      <w:kern w:val="2"/>
      <w:sz w:val="21"/>
      <w:szCs w:val="28"/>
      <w:lang w:val="en-US" w:eastAsia="zh-CN" w:bidi="ar-SA"/>
    </w:rPr>
  </w:style>
  <w:style w:type="character" w:customStyle="1" w:styleId="162">
    <w:name w:val="Font Style115"/>
    <w:unhideWhenUsed/>
    <w:qFormat/>
    <w:uiPriority w:val="0"/>
    <w:rPr>
      <w:rFonts w:hint="eastAsia" w:ascii="Times New Roman" w:hAnsi="Times New Roman" w:eastAsia="Times New Roman"/>
      <w:sz w:val="16"/>
    </w:rPr>
  </w:style>
  <w:style w:type="character" w:customStyle="1" w:styleId="163">
    <w:name w:val="Font Style124"/>
    <w:unhideWhenUsed/>
    <w:qFormat/>
    <w:uiPriority w:val="0"/>
    <w:rPr>
      <w:rFonts w:hint="eastAsia" w:ascii="宋体" w:hAnsi="宋体" w:eastAsia="宋体"/>
      <w:spacing w:val="30"/>
      <w:sz w:val="24"/>
    </w:rPr>
  </w:style>
  <w:style w:type="paragraph" w:customStyle="1" w:styleId="164">
    <w:name w:val="1"/>
    <w:basedOn w:val="1"/>
    <w:qFormat/>
    <w:uiPriority w:val="0"/>
    <w:pPr>
      <w:spacing w:after="156" w:afterLines="50" w:line="360" w:lineRule="auto"/>
    </w:pPr>
    <w:rPr>
      <w:rFonts w:ascii="宋体" w:hAnsi="宋体"/>
      <w:b/>
      <w:sz w:val="30"/>
      <w:szCs w:val="21"/>
    </w:rPr>
  </w:style>
  <w:style w:type="paragraph" w:customStyle="1" w:styleId="165">
    <w:name w:val="Style59"/>
    <w:basedOn w:val="1"/>
    <w:unhideWhenUsed/>
    <w:qFormat/>
    <w:uiPriority w:val="0"/>
  </w:style>
  <w:style w:type="paragraph" w:customStyle="1" w:styleId="166">
    <w:name w:val="Style81"/>
    <w:basedOn w:val="1"/>
    <w:unhideWhenUsed/>
    <w:qFormat/>
    <w:uiPriority w:val="0"/>
    <w:pPr>
      <w:spacing w:line="547" w:lineRule="exact"/>
    </w:pPr>
  </w:style>
  <w:style w:type="paragraph" w:customStyle="1" w:styleId="167">
    <w:name w:val="附录标识"/>
    <w:basedOn w:val="168"/>
    <w:qFormat/>
    <w:uiPriority w:val="0"/>
    <w:pPr>
      <w:tabs>
        <w:tab w:val="left" w:pos="360"/>
        <w:tab w:val="left" w:pos="720"/>
        <w:tab w:val="left" w:pos="6405"/>
      </w:tabs>
      <w:spacing w:after="200"/>
    </w:pPr>
    <w:rPr>
      <w:sz w:val="21"/>
    </w:rPr>
  </w:style>
  <w:style w:type="paragraph" w:customStyle="1" w:styleId="168">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69">
    <w:name w:val="标题2"/>
    <w:basedOn w:val="42"/>
    <w:qFormat/>
    <w:uiPriority w:val="0"/>
    <w:pPr>
      <w:spacing w:after="240"/>
      <w:jc w:val="left"/>
    </w:pPr>
    <w:rPr>
      <w:sz w:val="30"/>
    </w:rPr>
  </w:style>
  <w:style w:type="paragraph" w:customStyle="1" w:styleId="17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1">
    <w:name w:val="Style58"/>
    <w:basedOn w:val="1"/>
    <w:unhideWhenUsed/>
    <w:qFormat/>
    <w:uiPriority w:val="0"/>
    <w:pPr>
      <w:spacing w:line="413" w:lineRule="exact"/>
    </w:pPr>
  </w:style>
  <w:style w:type="paragraph" w:customStyle="1" w:styleId="172">
    <w:name w:val="Style64"/>
    <w:basedOn w:val="1"/>
    <w:unhideWhenUsed/>
    <w:qFormat/>
    <w:uiPriority w:val="0"/>
  </w:style>
  <w:style w:type="paragraph" w:customStyle="1" w:styleId="173">
    <w:name w:val="Style74"/>
    <w:basedOn w:val="1"/>
    <w:unhideWhenUsed/>
    <w:qFormat/>
    <w:uiPriority w:val="0"/>
    <w:pPr>
      <w:spacing w:line="437" w:lineRule="exact"/>
    </w:pPr>
  </w:style>
  <w:style w:type="paragraph" w:customStyle="1" w:styleId="174">
    <w:name w:val="_Style 4"/>
    <w:basedOn w:val="1"/>
    <w:qFormat/>
    <w:uiPriority w:val="34"/>
    <w:pPr>
      <w:ind w:firstLine="420" w:firstLineChars="200"/>
    </w:pPr>
    <w:rPr>
      <w:rFonts w:ascii="Calibri" w:hAnsi="Calibri"/>
      <w:szCs w:val="22"/>
    </w:rPr>
  </w:style>
  <w:style w:type="paragraph" w:customStyle="1" w:styleId="175">
    <w:name w:val="Normal_0"/>
    <w:qFormat/>
    <w:uiPriority w:val="0"/>
    <w:rPr>
      <w:rFonts w:ascii="Times New Roman" w:hAnsi="Times New Roman" w:eastAsia="Times New Roman" w:cs="Times New Roman"/>
      <w:sz w:val="24"/>
      <w:szCs w:val="24"/>
      <w:lang w:val="en-US" w:eastAsia="zh-CN" w:bidi="ar-SA"/>
    </w:rPr>
  </w:style>
  <w:style w:type="paragraph" w:customStyle="1" w:styleId="176">
    <w:name w:val="Style4"/>
    <w:basedOn w:val="1"/>
    <w:unhideWhenUsed/>
    <w:qFormat/>
    <w:uiPriority w:val="0"/>
  </w:style>
  <w:style w:type="paragraph" w:customStyle="1" w:styleId="177">
    <w:name w:val="Style29"/>
    <w:basedOn w:val="1"/>
    <w:unhideWhenUsed/>
    <w:qFormat/>
    <w:uiPriority w:val="0"/>
    <w:pPr>
      <w:spacing w:line="547" w:lineRule="exact"/>
      <w:ind w:firstLine="547"/>
    </w:pPr>
  </w:style>
  <w:style w:type="paragraph" w:customStyle="1" w:styleId="178">
    <w:name w:val="默认段落字体 Para Char Char Char Char Char Char Char Char Char Char Char Char Char Char Char Char Char Char Char"/>
    <w:basedOn w:val="1"/>
    <w:qFormat/>
    <w:uiPriority w:val="0"/>
  </w:style>
  <w:style w:type="paragraph" w:customStyle="1" w:styleId="179">
    <w:name w:val="Style68"/>
    <w:basedOn w:val="1"/>
    <w:unhideWhenUsed/>
    <w:qFormat/>
    <w:uiPriority w:val="0"/>
    <w:pPr>
      <w:spacing w:line="547" w:lineRule="exact"/>
    </w:pPr>
  </w:style>
  <w:style w:type="paragraph" w:customStyle="1" w:styleId="180">
    <w:name w:val="默认段落字体 Para Char Char Char Char Char Char Char Char Char1 Char Char Char Char"/>
    <w:basedOn w:val="1"/>
    <w:qFormat/>
    <w:uiPriority w:val="0"/>
    <w:rPr>
      <w:rFonts w:ascii="Tahoma" w:hAnsi="Tahoma"/>
      <w:sz w:val="24"/>
      <w:szCs w:val="20"/>
    </w:rPr>
  </w:style>
  <w:style w:type="paragraph" w:customStyle="1" w:styleId="18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Style76"/>
    <w:basedOn w:val="1"/>
    <w:unhideWhenUsed/>
    <w:qFormat/>
    <w:uiPriority w:val="0"/>
  </w:style>
  <w:style w:type="paragraph" w:customStyle="1" w:styleId="183">
    <w:name w:val="Style8"/>
    <w:basedOn w:val="1"/>
    <w:unhideWhenUsed/>
    <w:qFormat/>
    <w:uiPriority w:val="0"/>
    <w:pPr>
      <w:spacing w:line="566" w:lineRule="exact"/>
      <w:jc w:val="center"/>
    </w:pPr>
  </w:style>
  <w:style w:type="paragraph" w:customStyle="1" w:styleId="184">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185">
    <w:name w:val="p18_1_2"/>
    <w:basedOn w:val="1"/>
    <w:qFormat/>
    <w:uiPriority w:val="0"/>
    <w:pPr>
      <w:widowControl/>
    </w:pPr>
    <w:rPr>
      <w:kern w:val="0"/>
      <w:szCs w:val="21"/>
    </w:rPr>
  </w:style>
  <w:style w:type="paragraph" w:customStyle="1" w:styleId="186">
    <w:name w:val="修订1"/>
    <w:qFormat/>
    <w:uiPriority w:val="0"/>
    <w:rPr>
      <w:rFonts w:ascii="Times New Roman" w:hAnsi="Times New Roman" w:eastAsia="宋体" w:cs="Times New Roman"/>
      <w:kern w:val="2"/>
      <w:sz w:val="21"/>
      <w:szCs w:val="24"/>
      <w:lang w:val="en-US" w:eastAsia="zh-CN" w:bidi="ar-SA"/>
    </w:rPr>
  </w:style>
  <w:style w:type="paragraph" w:customStyle="1" w:styleId="187">
    <w:name w:val="p16"/>
    <w:basedOn w:val="1"/>
    <w:qFormat/>
    <w:uiPriority w:val="0"/>
    <w:pPr>
      <w:widowControl/>
      <w:jc w:val="left"/>
    </w:pPr>
    <w:rPr>
      <w:kern w:val="0"/>
      <w:szCs w:val="21"/>
    </w:rPr>
  </w:style>
  <w:style w:type="paragraph" w:customStyle="1" w:styleId="18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Style15"/>
    <w:basedOn w:val="1"/>
    <w:unhideWhenUsed/>
    <w:qFormat/>
    <w:uiPriority w:val="0"/>
    <w:pPr>
      <w:spacing w:line="557" w:lineRule="exact"/>
      <w:ind w:firstLine="672"/>
    </w:pPr>
  </w:style>
  <w:style w:type="paragraph" w:customStyle="1" w:styleId="190">
    <w:name w:val="Style65"/>
    <w:basedOn w:val="1"/>
    <w:unhideWhenUsed/>
    <w:qFormat/>
    <w:uiPriority w:val="0"/>
  </w:style>
  <w:style w:type="paragraph" w:customStyle="1" w:styleId="191">
    <w:name w:val="Style24"/>
    <w:basedOn w:val="1"/>
    <w:unhideWhenUsed/>
    <w:qFormat/>
    <w:uiPriority w:val="0"/>
  </w:style>
  <w:style w:type="paragraph" w:styleId="1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Char Char1 Char Char Char Char Char1 Char Char Char Char"/>
    <w:basedOn w:val="13"/>
    <w:qFormat/>
    <w:uiPriority w:val="0"/>
    <w:rPr>
      <w:rFonts w:ascii="Tahoma" w:hAnsi="Tahoma"/>
    </w:rPr>
  </w:style>
  <w:style w:type="paragraph" w:customStyle="1" w:styleId="194">
    <w:name w:val="列表段落1"/>
    <w:basedOn w:val="1"/>
    <w:qFormat/>
    <w:uiPriority w:val="0"/>
    <w:pPr>
      <w:ind w:firstLine="420" w:firstLineChars="200"/>
    </w:pPr>
    <w:rPr>
      <w:rFonts w:ascii="Calibri" w:hAnsi="Calibri" w:cs="Calibri"/>
      <w:szCs w:val="21"/>
    </w:rPr>
  </w:style>
  <w:style w:type="paragraph" w:customStyle="1" w:styleId="19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96">
    <w:name w:val="Style70"/>
    <w:basedOn w:val="1"/>
    <w:unhideWhenUsed/>
    <w:qFormat/>
    <w:uiPriority w:val="0"/>
    <w:pPr>
      <w:spacing w:line="549" w:lineRule="exact"/>
      <w:ind w:firstLine="686"/>
    </w:pPr>
  </w:style>
  <w:style w:type="paragraph" w:customStyle="1" w:styleId="19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98">
    <w:name w:val="Style52"/>
    <w:basedOn w:val="1"/>
    <w:unhideWhenUsed/>
    <w:qFormat/>
    <w:uiPriority w:val="0"/>
    <w:pPr>
      <w:spacing w:line="682" w:lineRule="exact"/>
      <w:ind w:firstLine="557"/>
    </w:pPr>
  </w:style>
  <w:style w:type="paragraph" w:customStyle="1" w:styleId="199">
    <w:name w:val="Style36"/>
    <w:basedOn w:val="1"/>
    <w:unhideWhenUsed/>
    <w:qFormat/>
    <w:uiPriority w:val="0"/>
  </w:style>
  <w:style w:type="paragraph" w:customStyle="1" w:styleId="200">
    <w:name w:val="Style73"/>
    <w:basedOn w:val="1"/>
    <w:unhideWhenUsed/>
    <w:qFormat/>
    <w:uiPriority w:val="0"/>
    <w:pPr>
      <w:spacing w:line="538" w:lineRule="exact"/>
      <w:ind w:firstLine="533"/>
    </w:pPr>
  </w:style>
  <w:style w:type="paragraph" w:customStyle="1" w:styleId="201">
    <w:name w:val="Char Char1 Char Char Char"/>
    <w:basedOn w:val="1"/>
    <w:qFormat/>
    <w:uiPriority w:val="0"/>
    <w:rPr>
      <w:kern w:val="0"/>
      <w:sz w:val="20"/>
      <w:szCs w:val="20"/>
    </w:rPr>
  </w:style>
  <w:style w:type="paragraph" w:customStyle="1" w:styleId="202">
    <w:name w:val="1 Char Char Char Char"/>
    <w:basedOn w:val="1"/>
    <w:qFormat/>
    <w:uiPriority w:val="0"/>
  </w:style>
  <w:style w:type="paragraph" w:customStyle="1" w:styleId="20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4">
    <w:name w:val="Char1 Char Char Char 字元 Char Char 字元 Char 字元 Char1 Char Char Char"/>
    <w:basedOn w:val="1"/>
    <w:qFormat/>
    <w:uiPriority w:val="0"/>
    <w:rPr>
      <w:szCs w:val="20"/>
    </w:rPr>
  </w:style>
  <w:style w:type="paragraph" w:customStyle="1" w:styleId="205">
    <w:name w:val="表格内容"/>
    <w:basedOn w:val="17"/>
    <w:qFormat/>
    <w:uiPriority w:val="0"/>
    <w:pPr>
      <w:suppressLineNumbers/>
      <w:suppressAutoHyphens/>
      <w:jc w:val="left"/>
    </w:pPr>
    <w:rPr>
      <w:rFonts w:cs="Tahoma"/>
      <w:kern w:val="0"/>
      <w:sz w:val="24"/>
    </w:rPr>
  </w:style>
  <w:style w:type="paragraph" w:customStyle="1" w:styleId="206">
    <w:name w:val="Style26"/>
    <w:basedOn w:val="1"/>
    <w:unhideWhenUsed/>
    <w:qFormat/>
    <w:uiPriority w:val="0"/>
  </w:style>
  <w:style w:type="paragraph" w:customStyle="1" w:styleId="207">
    <w:name w:val="Style56"/>
    <w:basedOn w:val="1"/>
    <w:unhideWhenUsed/>
    <w:qFormat/>
    <w:uiPriority w:val="0"/>
  </w:style>
  <w:style w:type="paragraph" w:customStyle="1" w:styleId="208">
    <w:name w:val="Style53"/>
    <w:basedOn w:val="1"/>
    <w:unhideWhenUsed/>
    <w:qFormat/>
    <w:uiPriority w:val="0"/>
    <w:pPr>
      <w:spacing w:line="533" w:lineRule="exact"/>
      <w:ind w:firstLine="581"/>
    </w:pPr>
  </w:style>
  <w:style w:type="paragraph" w:customStyle="1" w:styleId="209">
    <w:name w:val="Style41"/>
    <w:basedOn w:val="1"/>
    <w:unhideWhenUsed/>
    <w:qFormat/>
    <w:uiPriority w:val="0"/>
    <w:pPr>
      <w:spacing w:line="542" w:lineRule="exact"/>
      <w:ind w:firstLine="125"/>
    </w:pPr>
  </w:style>
  <w:style w:type="paragraph" w:customStyle="1" w:styleId="210">
    <w:name w:val="Style69"/>
    <w:basedOn w:val="1"/>
    <w:unhideWhenUsed/>
    <w:qFormat/>
    <w:uiPriority w:val="0"/>
    <w:pPr>
      <w:spacing w:line="557" w:lineRule="exact"/>
      <w:ind w:firstLine="1666"/>
    </w:pPr>
  </w:style>
  <w:style w:type="paragraph" w:customStyle="1" w:styleId="211">
    <w:name w:val="Char1"/>
    <w:basedOn w:val="1"/>
    <w:semiHidden/>
    <w:qFormat/>
    <w:uiPriority w:val="0"/>
    <w:rPr>
      <w:rFonts w:ascii="Tahoma" w:hAnsi="Tahoma" w:cs="仿宋_GB2312"/>
      <w:sz w:val="24"/>
      <w:szCs w:val="28"/>
    </w:rPr>
  </w:style>
  <w:style w:type="paragraph" w:customStyle="1" w:styleId="212">
    <w:name w:val="Char1 Char Char Char"/>
    <w:basedOn w:val="1"/>
    <w:qFormat/>
    <w:uiPriority w:val="0"/>
    <w:pPr>
      <w:widowControl/>
      <w:spacing w:after="160" w:line="240" w:lineRule="exact"/>
      <w:jc w:val="left"/>
    </w:pPr>
    <w:rPr>
      <w:kern w:val="0"/>
      <w:sz w:val="24"/>
      <w:szCs w:val="20"/>
    </w:rPr>
  </w:style>
  <w:style w:type="paragraph" w:customStyle="1" w:styleId="213">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14">
    <w:name w:val="Style42"/>
    <w:basedOn w:val="1"/>
    <w:unhideWhenUsed/>
    <w:qFormat/>
    <w:uiPriority w:val="0"/>
    <w:pPr>
      <w:spacing w:line="542" w:lineRule="exact"/>
      <w:ind w:firstLine="547"/>
    </w:pPr>
  </w:style>
  <w:style w:type="paragraph" w:customStyle="1" w:styleId="215">
    <w:name w:val="Style27"/>
    <w:basedOn w:val="1"/>
    <w:unhideWhenUsed/>
    <w:qFormat/>
    <w:uiPriority w:val="0"/>
  </w:style>
  <w:style w:type="paragraph" w:customStyle="1" w:styleId="21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17">
    <w:name w:val="Style72"/>
    <w:basedOn w:val="1"/>
    <w:unhideWhenUsed/>
    <w:qFormat/>
    <w:uiPriority w:val="0"/>
  </w:style>
  <w:style w:type="paragraph" w:customStyle="1" w:styleId="21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0">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21">
    <w:name w:val="Style10"/>
    <w:basedOn w:val="1"/>
    <w:unhideWhenUsed/>
    <w:qFormat/>
    <w:uiPriority w:val="0"/>
    <w:pPr>
      <w:spacing w:line="538" w:lineRule="exact"/>
    </w:pPr>
  </w:style>
  <w:style w:type="paragraph" w:customStyle="1" w:styleId="22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3">
    <w:name w:val="Style48"/>
    <w:basedOn w:val="1"/>
    <w:unhideWhenUsed/>
    <w:qFormat/>
    <w:uiPriority w:val="0"/>
    <w:pPr>
      <w:spacing w:line="542" w:lineRule="exact"/>
      <w:jc w:val="right"/>
    </w:pPr>
  </w:style>
  <w:style w:type="paragraph" w:customStyle="1" w:styleId="224">
    <w:name w:val="正文 B"/>
    <w:qFormat/>
    <w:uiPriority w:val="0"/>
    <w:rPr>
      <w:rFonts w:ascii="Arial Unicode MS" w:hAnsi="Arial Unicode MS" w:eastAsia="Arial Unicode MS" w:cs="Arial Unicode MS"/>
      <w:color w:val="000000"/>
      <w:sz w:val="22"/>
      <w:szCs w:val="22"/>
      <w:lang w:val="en-US" w:eastAsia="zh-CN" w:bidi="ar-SA"/>
    </w:rPr>
  </w:style>
  <w:style w:type="paragraph" w:customStyle="1" w:styleId="225">
    <w:name w:val="Style62"/>
    <w:basedOn w:val="1"/>
    <w:unhideWhenUsed/>
    <w:qFormat/>
    <w:uiPriority w:val="0"/>
  </w:style>
  <w:style w:type="paragraph" w:customStyle="1" w:styleId="226">
    <w:name w:val="NO3"/>
    <w:basedOn w:val="1"/>
    <w:qFormat/>
    <w:uiPriority w:val="0"/>
    <w:pPr>
      <w:tabs>
        <w:tab w:val="left" w:pos="907"/>
      </w:tabs>
      <w:spacing w:line="360" w:lineRule="auto"/>
    </w:pPr>
    <w:rPr>
      <w:rFonts w:ascii="宋体" w:hAnsi="宋体"/>
      <w:sz w:val="24"/>
    </w:rPr>
  </w:style>
  <w:style w:type="paragraph" w:customStyle="1" w:styleId="227">
    <w:name w:val="Char1 Char Char Char Char Char Char Char Char Char"/>
    <w:basedOn w:val="1"/>
    <w:qFormat/>
    <w:uiPriority w:val="0"/>
    <w:rPr>
      <w:szCs w:val="20"/>
    </w:rPr>
  </w:style>
  <w:style w:type="paragraph" w:customStyle="1" w:styleId="228">
    <w:name w:val="Style50"/>
    <w:basedOn w:val="1"/>
    <w:unhideWhenUsed/>
    <w:qFormat/>
    <w:uiPriority w:val="0"/>
  </w:style>
  <w:style w:type="paragraph" w:styleId="229">
    <w:name w:val="List Paragraph"/>
    <w:basedOn w:val="1"/>
    <w:qFormat/>
    <w:uiPriority w:val="34"/>
    <w:pPr>
      <w:ind w:firstLine="420" w:firstLineChars="200"/>
    </w:pPr>
    <w:rPr>
      <w:rFonts w:ascii="Calibri" w:hAnsi="Calibri"/>
      <w:szCs w:val="22"/>
    </w:rPr>
  </w:style>
  <w:style w:type="paragraph" w:customStyle="1" w:styleId="230">
    <w:name w:val="Style12"/>
    <w:basedOn w:val="1"/>
    <w:unhideWhenUsed/>
    <w:qFormat/>
    <w:uiPriority w:val="0"/>
    <w:pPr>
      <w:spacing w:line="564" w:lineRule="exact"/>
      <w:ind w:hanging="115"/>
    </w:pPr>
  </w:style>
  <w:style w:type="paragraph" w:customStyle="1" w:styleId="231">
    <w:name w:val="Style9"/>
    <w:basedOn w:val="1"/>
    <w:unhideWhenUsed/>
    <w:qFormat/>
    <w:uiPriority w:val="0"/>
  </w:style>
  <w:style w:type="paragraph" w:customStyle="1" w:styleId="232">
    <w:name w:val="Style67"/>
    <w:basedOn w:val="1"/>
    <w:unhideWhenUsed/>
    <w:qFormat/>
    <w:uiPriority w:val="0"/>
    <w:pPr>
      <w:spacing w:line="566" w:lineRule="exact"/>
      <w:ind w:firstLine="552"/>
    </w:pPr>
  </w:style>
  <w:style w:type="paragraph" w:customStyle="1" w:styleId="23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4">
    <w:name w:val="Style54"/>
    <w:basedOn w:val="1"/>
    <w:unhideWhenUsed/>
    <w:qFormat/>
    <w:uiPriority w:val="0"/>
  </w:style>
  <w:style w:type="paragraph" w:customStyle="1" w:styleId="235">
    <w:name w:val="Style60"/>
    <w:basedOn w:val="1"/>
    <w:unhideWhenUsed/>
    <w:qFormat/>
    <w:uiPriority w:val="0"/>
    <w:pPr>
      <w:spacing w:line="566" w:lineRule="exact"/>
    </w:pPr>
  </w:style>
  <w:style w:type="paragraph" w:customStyle="1" w:styleId="236">
    <w:name w:val="Style23"/>
    <w:basedOn w:val="1"/>
    <w:unhideWhenUsed/>
    <w:qFormat/>
    <w:uiPriority w:val="0"/>
  </w:style>
  <w:style w:type="paragraph" w:customStyle="1" w:styleId="237">
    <w:name w:val="Style28"/>
    <w:basedOn w:val="1"/>
    <w:unhideWhenUsed/>
    <w:qFormat/>
    <w:uiPriority w:val="0"/>
    <w:pPr>
      <w:spacing w:line="552" w:lineRule="exact"/>
      <w:ind w:firstLine="547"/>
    </w:pPr>
  </w:style>
  <w:style w:type="paragraph" w:customStyle="1" w:styleId="238">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0">
    <w:name w:val="Char2"/>
    <w:basedOn w:val="1"/>
    <w:qFormat/>
    <w:uiPriority w:val="0"/>
    <w:pPr>
      <w:tabs>
        <w:tab w:val="left" w:pos="360"/>
      </w:tabs>
      <w:ind w:left="360" w:hanging="360" w:hangingChars="200"/>
    </w:pPr>
    <w:rPr>
      <w:sz w:val="24"/>
    </w:rPr>
  </w:style>
  <w:style w:type="paragraph" w:customStyle="1" w:styleId="241">
    <w:name w:val="Style44"/>
    <w:basedOn w:val="1"/>
    <w:unhideWhenUsed/>
    <w:qFormat/>
    <w:uiPriority w:val="0"/>
  </w:style>
  <w:style w:type="paragraph" w:customStyle="1" w:styleId="24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3">
    <w:name w:val="Style78"/>
    <w:basedOn w:val="1"/>
    <w:unhideWhenUsed/>
    <w:qFormat/>
    <w:uiPriority w:val="0"/>
  </w:style>
  <w:style w:type="paragraph" w:customStyle="1" w:styleId="24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Style46"/>
    <w:basedOn w:val="1"/>
    <w:unhideWhenUsed/>
    <w:qFormat/>
    <w:uiPriority w:val="0"/>
    <w:pPr>
      <w:spacing w:line="672" w:lineRule="exact"/>
    </w:pPr>
  </w:style>
  <w:style w:type="paragraph" w:customStyle="1" w:styleId="246">
    <w:name w:val="Style5"/>
    <w:basedOn w:val="1"/>
    <w:unhideWhenUsed/>
    <w:qFormat/>
    <w:uiPriority w:val="0"/>
  </w:style>
  <w:style w:type="paragraph" w:customStyle="1" w:styleId="247">
    <w:name w:val="列出段落1"/>
    <w:basedOn w:val="1"/>
    <w:qFormat/>
    <w:uiPriority w:val="34"/>
    <w:pPr>
      <w:ind w:firstLine="420" w:firstLineChars="200"/>
    </w:pPr>
    <w:rPr>
      <w:rFonts w:ascii="Calibri" w:hAnsi="Calibri"/>
    </w:rPr>
  </w:style>
  <w:style w:type="paragraph" w:customStyle="1" w:styleId="24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Style71"/>
    <w:basedOn w:val="1"/>
    <w:unhideWhenUsed/>
    <w:qFormat/>
    <w:uiPriority w:val="0"/>
    <w:pPr>
      <w:spacing w:line="538" w:lineRule="exact"/>
      <w:ind w:firstLine="101"/>
    </w:pPr>
  </w:style>
  <w:style w:type="paragraph" w:customStyle="1" w:styleId="25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52">
    <w:name w:val="标题 1 +"/>
    <w:basedOn w:val="2"/>
    <w:next w:val="1"/>
    <w:qFormat/>
    <w:uiPriority w:val="0"/>
    <w:pPr>
      <w:keepLines/>
      <w:spacing w:line="600" w:lineRule="auto"/>
    </w:pPr>
    <w:rPr>
      <w:rFonts w:eastAsia="黑体"/>
      <w:kern w:val="0"/>
      <w:sz w:val="32"/>
      <w:szCs w:val="32"/>
    </w:rPr>
  </w:style>
  <w:style w:type="paragraph" w:customStyle="1" w:styleId="253">
    <w:name w:val="Style21"/>
    <w:basedOn w:val="1"/>
    <w:unhideWhenUsed/>
    <w:qFormat/>
    <w:uiPriority w:val="0"/>
    <w:pPr>
      <w:spacing w:line="566" w:lineRule="exact"/>
      <w:ind w:firstLine="682"/>
    </w:pPr>
  </w:style>
  <w:style w:type="paragraph" w:customStyle="1" w:styleId="25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5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Style47"/>
    <w:basedOn w:val="1"/>
    <w:unhideWhenUsed/>
    <w:qFormat/>
    <w:uiPriority w:val="0"/>
  </w:style>
  <w:style w:type="paragraph" w:customStyle="1" w:styleId="257">
    <w:name w:val="_Style 39"/>
    <w:basedOn w:val="255"/>
    <w:qFormat/>
    <w:uiPriority w:val="0"/>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Char Char Char Char Char Char Char Char Char Char"/>
    <w:basedOn w:val="1"/>
    <w:qFormat/>
    <w:uiPriority w:val="0"/>
    <w:rPr>
      <w:kern w:val="16"/>
    </w:rPr>
  </w:style>
  <w:style w:type="paragraph" w:customStyle="1" w:styleId="260">
    <w:name w:val="Style63"/>
    <w:basedOn w:val="1"/>
    <w:unhideWhenUsed/>
    <w:qFormat/>
    <w:uiPriority w:val="0"/>
    <w:pPr>
      <w:spacing w:line="564" w:lineRule="exact"/>
      <w:ind w:firstLine="682"/>
    </w:pPr>
  </w:style>
  <w:style w:type="paragraph" w:customStyle="1" w:styleId="261">
    <w:name w:val="Style80"/>
    <w:basedOn w:val="1"/>
    <w:unhideWhenUsed/>
    <w:qFormat/>
    <w:uiPriority w:val="0"/>
  </w:style>
  <w:style w:type="paragraph" w:customStyle="1" w:styleId="262">
    <w:name w:val="Style45"/>
    <w:basedOn w:val="1"/>
    <w:unhideWhenUsed/>
    <w:qFormat/>
    <w:uiPriority w:val="0"/>
  </w:style>
  <w:style w:type="paragraph" w:customStyle="1" w:styleId="263">
    <w:name w:val="Style11"/>
    <w:basedOn w:val="1"/>
    <w:unhideWhenUsed/>
    <w:qFormat/>
    <w:uiPriority w:val="0"/>
    <w:pPr>
      <w:spacing w:line="559" w:lineRule="exact"/>
      <w:ind w:firstLine="590"/>
    </w:pPr>
  </w:style>
  <w:style w:type="paragraph" w:customStyle="1" w:styleId="264">
    <w:name w:val="Style77"/>
    <w:basedOn w:val="1"/>
    <w:unhideWhenUsed/>
    <w:qFormat/>
    <w:uiPriority w:val="0"/>
  </w:style>
  <w:style w:type="paragraph" w:customStyle="1" w:styleId="265">
    <w:name w:val="Style13"/>
    <w:basedOn w:val="1"/>
    <w:unhideWhenUsed/>
    <w:qFormat/>
    <w:uiPriority w:val="0"/>
  </w:style>
  <w:style w:type="paragraph" w:customStyle="1" w:styleId="2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8">
    <w:name w:val="Style16"/>
    <w:basedOn w:val="1"/>
    <w:unhideWhenUsed/>
    <w:qFormat/>
    <w:uiPriority w:val="0"/>
    <w:pPr>
      <w:jc w:val="right"/>
    </w:pPr>
  </w:style>
  <w:style w:type="paragraph" w:customStyle="1" w:styleId="269">
    <w:name w:val="Style61"/>
    <w:basedOn w:val="1"/>
    <w:unhideWhenUsed/>
    <w:qFormat/>
    <w:uiPriority w:val="0"/>
  </w:style>
  <w:style w:type="paragraph" w:customStyle="1" w:styleId="270">
    <w:name w:val="Char Char Char"/>
    <w:basedOn w:val="1"/>
    <w:qFormat/>
    <w:uiPriority w:val="0"/>
    <w:rPr>
      <w:rFonts w:ascii="宋体" w:hAnsi="宋体"/>
      <w:b/>
      <w:sz w:val="28"/>
      <w:szCs w:val="28"/>
    </w:rPr>
  </w:style>
  <w:style w:type="paragraph" w:customStyle="1" w:styleId="271">
    <w:name w:val="Char Char1 Char Char Char Char Char Char Char"/>
    <w:basedOn w:val="1"/>
    <w:qFormat/>
    <w:uiPriority w:val="0"/>
    <w:pPr>
      <w:widowControl/>
      <w:spacing w:after="160" w:line="240" w:lineRule="exact"/>
      <w:jc w:val="left"/>
    </w:pPr>
  </w:style>
  <w:style w:type="paragraph" w:customStyle="1" w:styleId="272">
    <w:name w:val="Style34"/>
    <w:basedOn w:val="1"/>
    <w:unhideWhenUsed/>
    <w:qFormat/>
    <w:uiPriority w:val="0"/>
    <w:pPr>
      <w:spacing w:line="375" w:lineRule="exact"/>
    </w:pPr>
  </w:style>
  <w:style w:type="character" w:customStyle="1" w:styleId="273">
    <w:name w:val="正文缩进 字符"/>
    <w:link w:val="12"/>
    <w:qFormat/>
    <w:uiPriority w:val="0"/>
  </w:style>
  <w:style w:type="character" w:customStyle="1" w:styleId="274">
    <w:name w:val="纯文本 字符"/>
    <w:qFormat/>
    <w:uiPriority w:val="0"/>
    <w:rPr>
      <w:kern w:val="2"/>
      <w:sz w:val="24"/>
      <w:szCs w:val="22"/>
    </w:rPr>
  </w:style>
  <w:style w:type="character" w:customStyle="1" w:styleId="275">
    <w:name w:val="font7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B039-C500-4715-86BF-047209696E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26605</Words>
  <Characters>28595</Characters>
  <Lines>292</Lines>
  <Paragraphs>82</Paragraphs>
  <TotalTime>0</TotalTime>
  <ScaleCrop>false</ScaleCrop>
  <LinksUpToDate>false</LinksUpToDate>
  <CharactersWithSpaces>31344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2023-12-07T05:57:00Z</dcterms:created>
  <dc:creator>朱利平 10.104.102.88</dc:creator>
  <cp:lastModifiedBy>隱身垨候</cp:lastModifiedBy>
  <cp:lastPrinted>2021-09-09T07:11:00Z</cp:lastPrinted>
  <dcterms:modified xsi:type="dcterms:W3CDTF">2023-12-13T10:31:35Z</dcterms:modified>
  <dc:title>九师草原防火物资储备库建设项目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A94A78E2816F4D11B1D8E3D35673A180_13</vt:lpwstr>
  </property>
</Properties>
</file>