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p>
    <w:p>
      <w:pPr>
        <w:pStyle w:val="44"/>
        <w:jc w:val="both"/>
        <w:rPr>
          <w:rFonts w:ascii="黑体" w:hAnsi="宋体" w:eastAsia="黑体"/>
          <w:color w:val="auto"/>
          <w:sz w:val="48"/>
          <w:szCs w:val="48"/>
        </w:rPr>
      </w:pPr>
    </w:p>
    <w:p>
      <w:pPr>
        <w:pStyle w:val="44"/>
        <w:rPr>
          <w:rFonts w:ascii="宋体"/>
          <w:color w:val="auto"/>
          <w:sz w:val="52"/>
          <w:szCs w:val="52"/>
        </w:rPr>
      </w:pPr>
    </w:p>
    <w:p>
      <w:pPr>
        <w:jc w:val="center"/>
        <w:rPr>
          <w:rFonts w:ascii="黑体" w:hAnsi="黑体" w:eastAsia="黑体" w:cs="黑体"/>
          <w:b/>
          <w:bCs/>
          <w:sz w:val="72"/>
          <w:szCs w:val="72"/>
        </w:rPr>
      </w:pPr>
      <w:r>
        <w:rPr>
          <w:rFonts w:hint="eastAsia" w:ascii="黑体" w:hAnsi="黑体" w:eastAsia="黑体" w:cs="黑体"/>
          <w:b/>
          <w:bCs/>
          <w:sz w:val="72"/>
          <w:szCs w:val="72"/>
        </w:rPr>
        <w:t>博乐市政府采购中心</w:t>
      </w:r>
    </w:p>
    <w:p>
      <w:pPr>
        <w:pStyle w:val="6"/>
      </w:pPr>
    </w:p>
    <w:p>
      <w:pPr>
        <w:pStyle w:val="44"/>
        <w:rPr>
          <w:rFonts w:ascii="宋体"/>
          <w:color w:val="auto"/>
          <w:sz w:val="32"/>
          <w:szCs w:val="32"/>
        </w:rPr>
      </w:pPr>
    </w:p>
    <w:p>
      <w:pPr>
        <w:jc w:val="center"/>
        <w:rPr>
          <w:rFonts w:ascii="黑体" w:hAnsi="黑体" w:eastAsia="黑体"/>
          <w:b/>
          <w:bCs/>
          <w:sz w:val="72"/>
          <w:szCs w:val="72"/>
        </w:rPr>
      </w:pPr>
      <w:r>
        <w:rPr>
          <w:rFonts w:hint="eastAsia" w:ascii="黑体" w:hAnsi="黑体" w:eastAsia="黑体" w:cs="黑体"/>
          <w:b/>
          <w:bCs/>
          <w:sz w:val="72"/>
          <w:szCs w:val="72"/>
        </w:rPr>
        <w:t>竞争性磋商</w:t>
      </w:r>
    </w:p>
    <w:p>
      <w:pPr>
        <w:jc w:val="center"/>
        <w:rPr>
          <w:rFonts w:ascii="黑体" w:hAnsi="黑体" w:eastAsia="黑体"/>
          <w:b/>
          <w:bCs/>
          <w:sz w:val="72"/>
          <w:szCs w:val="72"/>
        </w:rPr>
      </w:pPr>
      <w:r>
        <w:rPr>
          <w:rFonts w:hint="eastAsia" w:ascii="黑体" w:hAnsi="黑体" w:eastAsia="黑体" w:cs="黑体"/>
          <w:b/>
          <w:bCs/>
          <w:sz w:val="72"/>
          <w:szCs w:val="72"/>
        </w:rPr>
        <w:t>采购文件</w:t>
      </w:r>
    </w:p>
    <w:p>
      <w:pPr>
        <w:pStyle w:val="44"/>
        <w:jc w:val="center"/>
        <w:rPr>
          <w:rFonts w:ascii="黑体" w:hAnsi="宋体" w:eastAsia="黑体"/>
          <w:color w:val="auto"/>
          <w:sz w:val="32"/>
          <w:szCs w:val="32"/>
        </w:rPr>
      </w:pPr>
      <w:r>
        <w:rPr>
          <w:rFonts w:ascii="黑体" w:hAnsi="宋体" w:eastAsia="黑体" w:cs="黑体"/>
          <w:color w:val="auto"/>
          <w:sz w:val="32"/>
          <w:szCs w:val="32"/>
        </w:rPr>
        <w:t>(</w:t>
      </w:r>
      <w:r>
        <w:rPr>
          <w:rFonts w:hint="eastAsia" w:ascii="黑体" w:hAnsi="宋体" w:eastAsia="黑体" w:cs="黑体"/>
          <w:color w:val="auto"/>
          <w:sz w:val="32"/>
          <w:szCs w:val="32"/>
        </w:rPr>
        <w:t>服务类）</w:t>
      </w:r>
    </w:p>
    <w:p>
      <w:pPr>
        <w:pStyle w:val="44"/>
        <w:ind w:firstLine="1920" w:firstLineChars="600"/>
        <w:rPr>
          <w:rFonts w:ascii="黑体" w:hAnsi="宋体" w:eastAsia="黑体"/>
          <w:color w:val="auto"/>
          <w:sz w:val="32"/>
          <w:szCs w:val="32"/>
        </w:rPr>
      </w:pPr>
    </w:p>
    <w:p>
      <w:pPr>
        <w:pStyle w:val="44"/>
        <w:ind w:firstLine="1920" w:firstLineChars="600"/>
        <w:rPr>
          <w:rFonts w:ascii="黑体" w:hAnsi="宋体" w:eastAsia="黑体"/>
          <w:color w:val="auto"/>
          <w:sz w:val="32"/>
          <w:szCs w:val="32"/>
        </w:rPr>
      </w:pPr>
    </w:p>
    <w:p>
      <w:pPr>
        <w:pStyle w:val="44"/>
        <w:ind w:firstLine="1920" w:firstLineChars="600"/>
        <w:rPr>
          <w:rFonts w:ascii="黑体" w:hAnsi="宋体" w:eastAsia="黑体"/>
          <w:color w:val="auto"/>
          <w:sz w:val="32"/>
          <w:szCs w:val="32"/>
        </w:rPr>
      </w:pPr>
    </w:p>
    <w:tbl>
      <w:tblPr>
        <w:tblStyle w:val="21"/>
        <w:tblpPr w:leftFromText="180" w:rightFromText="180" w:vertAnchor="text" w:horzAnchor="page" w:tblpX="1492" w:tblpY="146"/>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458" w:type="dxa"/>
          </w:tcPr>
          <w:p>
            <w:pPr>
              <w:spacing w:line="800" w:lineRule="exact"/>
              <w:ind w:right="506" w:rightChars="241"/>
              <w:rPr>
                <w:rFonts w:ascii="楷体" w:hAnsi="楷体" w:eastAsia="楷体"/>
                <w:b/>
                <w:bCs/>
                <w:sz w:val="32"/>
                <w:szCs w:val="32"/>
              </w:rPr>
            </w:pPr>
            <w:r>
              <w:rPr>
                <w:rFonts w:hint="eastAsia" w:ascii="楷体" w:hAnsi="楷体" w:eastAsia="楷体" w:cs="楷体"/>
                <w:b/>
                <w:bCs/>
                <w:sz w:val="30"/>
                <w:szCs w:val="30"/>
              </w:rPr>
              <w:t>项目名称：</w:t>
            </w:r>
            <w:r>
              <w:rPr>
                <w:rFonts w:hint="eastAsia" w:ascii="楷体" w:hAnsi="楷体" w:eastAsia="楷体" w:cs="楷体"/>
                <w:b/>
                <w:bCs/>
                <w:sz w:val="32"/>
                <w:szCs w:val="32"/>
              </w:rPr>
              <w:t>博乐市2023年城市市政基础设施维护、维修项目监理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8" w:type="dxa"/>
          </w:tcPr>
          <w:p>
            <w:pPr>
              <w:jc w:val="left"/>
              <w:rPr>
                <w:rFonts w:hint="eastAsia" w:ascii="楷体" w:hAnsi="楷体" w:eastAsia="楷体"/>
                <w:b/>
                <w:bCs/>
                <w:sz w:val="32"/>
                <w:szCs w:val="32"/>
                <w:lang w:val="en-US" w:eastAsia="zh-CN"/>
              </w:rPr>
            </w:pPr>
            <w:r>
              <w:rPr>
                <w:rFonts w:hint="eastAsia" w:ascii="楷体" w:hAnsi="楷体" w:eastAsia="楷体" w:cs="楷体"/>
                <w:b/>
                <w:bCs/>
                <w:sz w:val="32"/>
                <w:szCs w:val="32"/>
              </w:rPr>
              <w:t>文件编号：</w:t>
            </w:r>
            <w:r>
              <w:rPr>
                <w:rFonts w:hint="eastAsia" w:ascii="楷体" w:hAnsi="楷体" w:eastAsia="楷体" w:cs="楷体"/>
                <w:b/>
                <w:bCs/>
                <w:sz w:val="32"/>
                <w:szCs w:val="32"/>
                <w:lang w:eastAsia="zh-CN"/>
              </w:rPr>
              <w:t>BZBLSCS2023008-1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58" w:type="dxa"/>
          </w:tcPr>
          <w:p>
            <w:pPr>
              <w:spacing w:line="800" w:lineRule="exact"/>
              <w:ind w:right="506" w:rightChars="241"/>
              <w:rPr>
                <w:rFonts w:ascii="楷体" w:hAnsi="楷体" w:eastAsia="楷体" w:cs="楷体"/>
                <w:b/>
                <w:bCs/>
                <w:sz w:val="32"/>
                <w:szCs w:val="32"/>
              </w:rPr>
            </w:pPr>
            <w:r>
              <w:rPr>
                <w:rFonts w:hint="eastAsia" w:ascii="楷体" w:hAnsi="楷体" w:eastAsia="楷体" w:cs="楷体"/>
                <w:b/>
                <w:bCs/>
                <w:sz w:val="32"/>
                <w:szCs w:val="32"/>
              </w:rPr>
              <w:t>采 购 人：</w:t>
            </w:r>
            <w:r>
              <w:fldChar w:fldCharType="begin"/>
            </w:r>
            <w:r>
              <w:instrText xml:space="preserve"> HYPERLINK "https://middle.zcygov.cn/web-user/" \l "/plan/list/_blank" \t "https://pay.zcygov.cn/purchaseplan_front/" </w:instrText>
            </w:r>
            <w:r>
              <w:fldChar w:fldCharType="separate"/>
            </w:r>
            <w:r>
              <w:rPr>
                <w:rFonts w:hint="eastAsia" w:ascii="楷体" w:hAnsi="楷体" w:eastAsia="楷体" w:cs="楷体"/>
                <w:b/>
                <w:bCs/>
                <w:sz w:val="32"/>
                <w:szCs w:val="32"/>
              </w:rPr>
              <w:t>博乐市市政工程服务中心</w:t>
            </w:r>
            <w:r>
              <w:rPr>
                <w:rFonts w:hint="eastAsia" w:ascii="楷体" w:hAnsi="楷体" w:eastAsia="楷体" w:cs="楷体"/>
                <w:b/>
                <w:bCs/>
                <w:sz w:val="32"/>
                <w:szCs w:val="32"/>
              </w:rPr>
              <w:fldChar w:fldCharType="end"/>
            </w:r>
          </w:p>
        </w:tc>
      </w:tr>
    </w:tbl>
    <w:p>
      <w:pPr>
        <w:pStyle w:val="44"/>
        <w:rPr>
          <w:rFonts w:ascii="黑体" w:hAnsi="宋体" w:eastAsia="黑体"/>
          <w:color w:val="auto"/>
          <w:sz w:val="32"/>
          <w:szCs w:val="32"/>
        </w:rPr>
      </w:pPr>
    </w:p>
    <w:p>
      <w:pPr>
        <w:pStyle w:val="44"/>
        <w:rPr>
          <w:rFonts w:ascii="黑体" w:hAnsi="宋体" w:eastAsia="黑体"/>
          <w:color w:val="auto"/>
          <w:sz w:val="32"/>
          <w:szCs w:val="32"/>
        </w:rPr>
      </w:pPr>
    </w:p>
    <w:p>
      <w:pPr>
        <w:jc w:val="center"/>
        <w:rPr>
          <w:b/>
          <w:bCs/>
          <w:sz w:val="32"/>
          <w:szCs w:val="32"/>
        </w:rPr>
      </w:pPr>
    </w:p>
    <w:p>
      <w:pPr>
        <w:jc w:val="center"/>
        <w:rPr>
          <w:sz w:val="36"/>
          <w:szCs w:val="36"/>
        </w:rPr>
      </w:pPr>
      <w:bookmarkStart w:id="0" w:name="_Toc1151_WPSOffice_Type2"/>
      <w:r>
        <w:rPr>
          <w:rFonts w:ascii="宋体" w:hAnsi="宋体"/>
          <w:sz w:val="36"/>
          <w:szCs w:val="36"/>
        </w:rPr>
        <w:t>目录</w:t>
      </w:r>
    </w:p>
    <w:p>
      <w:pPr>
        <w:pStyle w:val="72"/>
        <w:tabs>
          <w:tab w:val="right" w:leader="dot" w:pos="9864"/>
        </w:tabs>
      </w:pPr>
      <w:r>
        <w:fldChar w:fldCharType="begin"/>
      </w:r>
      <w:r>
        <w:instrText xml:space="preserve"> HYPERLINK \l "_Toc28647_WPSOffice_Level1" </w:instrText>
      </w:r>
      <w:r>
        <w:fldChar w:fldCharType="separate"/>
      </w:r>
      <w:r>
        <w:rPr>
          <w:rFonts w:hint="eastAsia" w:ascii="宋体" w:hAnsi="宋体" w:cs="宋体"/>
          <w:b/>
          <w:bCs/>
        </w:rPr>
        <w:t>第一部分采购邀请</w:t>
      </w:r>
      <w:r>
        <w:rPr>
          <w:b/>
          <w:bCs/>
        </w:rPr>
        <w:tab/>
      </w:r>
      <w:bookmarkStart w:id="1" w:name="_Toc28647_WPSOffice_Level1Page"/>
      <w:r>
        <w:rPr>
          <w:b/>
          <w:bCs/>
        </w:rPr>
        <w:t>1</w:t>
      </w:r>
      <w:bookmarkEnd w:id="1"/>
      <w:r>
        <w:rPr>
          <w:b/>
          <w:bCs/>
        </w:rPr>
        <w:fldChar w:fldCharType="end"/>
      </w:r>
    </w:p>
    <w:p>
      <w:pPr>
        <w:pStyle w:val="72"/>
        <w:tabs>
          <w:tab w:val="right" w:leader="dot" w:pos="9864"/>
        </w:tabs>
      </w:pPr>
      <w:r>
        <w:fldChar w:fldCharType="begin"/>
      </w:r>
      <w:r>
        <w:instrText xml:space="preserve"> HYPERLINK \l "_Toc1151_WPSOffice_Level1" </w:instrText>
      </w:r>
      <w:r>
        <w:fldChar w:fldCharType="separate"/>
      </w:r>
      <w:r>
        <w:rPr>
          <w:rFonts w:hint="eastAsia" w:ascii="宋体" w:hAnsi="宋体" w:cs="宋体"/>
          <w:b/>
          <w:bCs/>
        </w:rPr>
        <w:t>第二部分供应商须知</w:t>
      </w:r>
      <w:r>
        <w:rPr>
          <w:b/>
          <w:bCs/>
        </w:rPr>
        <w:tab/>
      </w:r>
      <w:bookmarkStart w:id="2" w:name="_Toc1151_WPSOffice_Level1Page"/>
      <w:r>
        <w:rPr>
          <w:b/>
          <w:bCs/>
        </w:rPr>
        <w:t>2</w:t>
      </w:r>
      <w:bookmarkEnd w:id="2"/>
      <w:r>
        <w:rPr>
          <w:b/>
          <w:bCs/>
        </w:rPr>
        <w:fldChar w:fldCharType="end"/>
      </w:r>
    </w:p>
    <w:p>
      <w:pPr>
        <w:pStyle w:val="73"/>
        <w:tabs>
          <w:tab w:val="right" w:leader="dot" w:pos="9864"/>
        </w:tabs>
        <w:ind w:left="420"/>
      </w:pPr>
      <w:r>
        <w:fldChar w:fldCharType="begin"/>
      </w:r>
      <w:r>
        <w:instrText xml:space="preserve"> HYPERLINK \l "_Toc1151_WPSOffice_Level2" </w:instrText>
      </w:r>
      <w:r>
        <w:fldChar w:fldCharType="separate"/>
      </w:r>
      <w:r>
        <w:rPr>
          <w:rFonts w:hint="eastAsia" w:ascii="仿宋" w:hAnsi="仿宋" w:eastAsia="仿宋" w:cs="仿宋"/>
        </w:rPr>
        <w:t>第一章供应商资格条件</w:t>
      </w:r>
      <w:r>
        <w:tab/>
      </w:r>
      <w:bookmarkStart w:id="3" w:name="_Toc1151_WPSOffice_Level2Page"/>
      <w:r>
        <w:t>2</w:t>
      </w:r>
      <w:bookmarkEnd w:id="3"/>
      <w:r>
        <w:fldChar w:fldCharType="end"/>
      </w:r>
    </w:p>
    <w:p>
      <w:pPr>
        <w:pStyle w:val="73"/>
        <w:tabs>
          <w:tab w:val="right" w:leader="dot" w:pos="9864"/>
        </w:tabs>
        <w:ind w:left="420"/>
      </w:pPr>
      <w:r>
        <w:fldChar w:fldCharType="begin"/>
      </w:r>
      <w:r>
        <w:instrText xml:space="preserve"> HYPERLINK \l "_Toc30052_WPSOffice_Level2" </w:instrText>
      </w:r>
      <w:r>
        <w:fldChar w:fldCharType="separate"/>
      </w:r>
      <w:r>
        <w:rPr>
          <w:rFonts w:hint="eastAsia" w:ascii="仿宋" w:hAnsi="仿宋" w:eastAsia="仿宋" w:cs="仿宋"/>
        </w:rPr>
        <w:t>第二章  政府采购政策</w:t>
      </w:r>
      <w:r>
        <w:tab/>
      </w:r>
      <w:bookmarkStart w:id="4" w:name="_Toc30052_WPSOffice_Level2Page"/>
      <w:r>
        <w:t>2</w:t>
      </w:r>
      <w:bookmarkEnd w:id="4"/>
      <w:r>
        <w:fldChar w:fldCharType="end"/>
      </w:r>
    </w:p>
    <w:p>
      <w:pPr>
        <w:pStyle w:val="73"/>
        <w:tabs>
          <w:tab w:val="right" w:leader="dot" w:pos="9864"/>
        </w:tabs>
        <w:ind w:left="420"/>
      </w:pPr>
      <w:r>
        <w:fldChar w:fldCharType="begin"/>
      </w:r>
      <w:r>
        <w:instrText xml:space="preserve"> HYPERLINK \l "_Toc27189_WPSOffice_Level2" </w:instrText>
      </w:r>
      <w:r>
        <w:fldChar w:fldCharType="separate"/>
      </w:r>
      <w:r>
        <w:rPr>
          <w:rFonts w:hint="eastAsia" w:ascii="仿宋" w:hAnsi="仿宋" w:eastAsia="仿宋" w:cs="仿宋"/>
        </w:rPr>
        <w:t>第三章 磋商响应文件的编制要求</w:t>
      </w:r>
      <w:r>
        <w:tab/>
      </w:r>
      <w:bookmarkStart w:id="5" w:name="_Toc27189_WPSOffice_Level2Page"/>
      <w:r>
        <w:t>3</w:t>
      </w:r>
      <w:bookmarkEnd w:id="5"/>
      <w:r>
        <w:fldChar w:fldCharType="end"/>
      </w:r>
    </w:p>
    <w:p>
      <w:pPr>
        <w:pStyle w:val="73"/>
        <w:tabs>
          <w:tab w:val="right" w:leader="dot" w:pos="9864"/>
        </w:tabs>
        <w:ind w:left="420"/>
      </w:pPr>
      <w:r>
        <w:fldChar w:fldCharType="begin"/>
      </w:r>
      <w:r>
        <w:instrText xml:space="preserve"> HYPERLINK \l "_Toc20337_WPSOffice_Level2" </w:instrText>
      </w:r>
      <w:r>
        <w:fldChar w:fldCharType="separate"/>
      </w:r>
      <w:r>
        <w:rPr>
          <w:rFonts w:hint="eastAsia" w:ascii="仿宋" w:hAnsi="仿宋" w:eastAsia="仿宋" w:cs="仿宋"/>
        </w:rPr>
        <w:t>第四章 磋商报价及保证金</w:t>
      </w:r>
      <w:r>
        <w:tab/>
      </w:r>
      <w:bookmarkStart w:id="6" w:name="_Toc20337_WPSOffice_Level2Page"/>
      <w:r>
        <w:t>4</w:t>
      </w:r>
      <w:bookmarkEnd w:id="6"/>
      <w:r>
        <w:fldChar w:fldCharType="end"/>
      </w:r>
    </w:p>
    <w:p>
      <w:pPr>
        <w:pStyle w:val="73"/>
        <w:tabs>
          <w:tab w:val="right" w:leader="dot" w:pos="9864"/>
        </w:tabs>
        <w:ind w:left="420"/>
      </w:pPr>
      <w:r>
        <w:fldChar w:fldCharType="begin"/>
      </w:r>
      <w:r>
        <w:instrText xml:space="preserve"> HYPERLINK \l "_Toc17956_WPSOffice_Level2" </w:instrText>
      </w:r>
      <w:r>
        <w:fldChar w:fldCharType="separate"/>
      </w:r>
      <w:r>
        <w:rPr>
          <w:rFonts w:hint="eastAsia" w:ascii="仿宋" w:hAnsi="仿宋" w:eastAsia="仿宋" w:cs="仿宋"/>
        </w:rPr>
        <w:t>第五章磋商组织程序</w:t>
      </w:r>
      <w:r>
        <w:tab/>
      </w:r>
      <w:bookmarkStart w:id="7" w:name="_Toc17956_WPSOffice_Level2Page"/>
      <w:r>
        <w:t>4</w:t>
      </w:r>
      <w:bookmarkEnd w:id="7"/>
      <w:r>
        <w:fldChar w:fldCharType="end"/>
      </w:r>
    </w:p>
    <w:p>
      <w:pPr>
        <w:pStyle w:val="72"/>
        <w:tabs>
          <w:tab w:val="right" w:leader="dot" w:pos="9864"/>
        </w:tabs>
      </w:pPr>
      <w:r>
        <w:fldChar w:fldCharType="begin"/>
      </w:r>
      <w:r>
        <w:instrText xml:space="preserve"> HYPERLINK \l "_Toc30052_WPSOffice_Level1" </w:instrText>
      </w:r>
      <w:r>
        <w:fldChar w:fldCharType="separate"/>
      </w:r>
      <w:r>
        <w:rPr>
          <w:rFonts w:hint="eastAsia" w:ascii="宋体" w:hAnsi="宋体" w:cs="宋体"/>
          <w:b/>
          <w:bCs/>
        </w:rPr>
        <w:t>第三部分采购需求及商务要求</w:t>
      </w:r>
      <w:r>
        <w:rPr>
          <w:b/>
          <w:bCs/>
        </w:rPr>
        <w:tab/>
      </w:r>
      <w:bookmarkStart w:id="8" w:name="_Toc30052_WPSOffice_Level1Page"/>
      <w:r>
        <w:rPr>
          <w:b/>
          <w:bCs/>
        </w:rPr>
        <w:t>9</w:t>
      </w:r>
      <w:bookmarkEnd w:id="8"/>
      <w:r>
        <w:rPr>
          <w:b/>
          <w:bCs/>
        </w:rPr>
        <w:fldChar w:fldCharType="end"/>
      </w:r>
    </w:p>
    <w:p>
      <w:pPr>
        <w:pStyle w:val="73"/>
        <w:tabs>
          <w:tab w:val="right" w:leader="dot" w:pos="9864"/>
        </w:tabs>
        <w:ind w:left="420"/>
      </w:pPr>
      <w:r>
        <w:fldChar w:fldCharType="begin"/>
      </w:r>
      <w:r>
        <w:instrText xml:space="preserve"> HYPERLINK \l "_Toc23175_WPSOffice_Level2" </w:instrText>
      </w:r>
      <w:r>
        <w:fldChar w:fldCharType="separate"/>
      </w:r>
      <w:r>
        <w:rPr>
          <w:rFonts w:hint="eastAsia" w:ascii="仿宋_GB2312" w:eastAsia="仿宋_GB2312" w:cs="仿宋_GB2312"/>
        </w:rPr>
        <w:t>第一章采购需求及服务要求</w:t>
      </w:r>
      <w:r>
        <w:tab/>
      </w:r>
      <w:bookmarkStart w:id="9" w:name="_Toc23175_WPSOffice_Level2Page"/>
      <w:r>
        <w:t>9</w:t>
      </w:r>
      <w:bookmarkEnd w:id="9"/>
      <w:r>
        <w:fldChar w:fldCharType="end"/>
      </w:r>
    </w:p>
    <w:p>
      <w:pPr>
        <w:pStyle w:val="73"/>
        <w:tabs>
          <w:tab w:val="right" w:leader="dot" w:pos="9864"/>
        </w:tabs>
        <w:ind w:left="420"/>
      </w:pPr>
      <w:r>
        <w:fldChar w:fldCharType="begin"/>
      </w:r>
      <w:r>
        <w:instrText xml:space="preserve"> HYPERLINK \l "_Toc12510_WPSOffice_Level2" </w:instrText>
      </w:r>
      <w:r>
        <w:fldChar w:fldCharType="separate"/>
      </w:r>
      <w:r>
        <w:rPr>
          <w:rFonts w:hint="eastAsia" w:ascii="仿宋_GB2312" w:hAnsi="宋体" w:eastAsia="仿宋_GB2312" w:cs="仿宋_GB2312"/>
        </w:rPr>
        <w:t>第二章付款方式及程序</w:t>
      </w:r>
      <w:r>
        <w:tab/>
      </w:r>
      <w:bookmarkStart w:id="10" w:name="_Toc12510_WPSOffice_Level2Page"/>
      <w:r>
        <w:t>9</w:t>
      </w:r>
      <w:bookmarkEnd w:id="10"/>
      <w:r>
        <w:fldChar w:fldCharType="end"/>
      </w:r>
    </w:p>
    <w:p>
      <w:pPr>
        <w:pStyle w:val="73"/>
        <w:tabs>
          <w:tab w:val="right" w:leader="dot" w:pos="9864"/>
        </w:tabs>
        <w:ind w:left="420"/>
      </w:pPr>
      <w:r>
        <w:fldChar w:fldCharType="begin"/>
      </w:r>
      <w:r>
        <w:instrText xml:space="preserve"> HYPERLINK \l "_Toc15493_WPSOffice_Level2" </w:instrText>
      </w:r>
      <w:r>
        <w:fldChar w:fldCharType="separate"/>
      </w:r>
      <w:r>
        <w:rPr>
          <w:rFonts w:hint="eastAsia" w:ascii="仿宋_GB2312" w:hAnsi="宋体" w:eastAsia="仿宋_GB2312" w:cs="仿宋_GB2312"/>
        </w:rPr>
        <w:t>第三章售后服务要求</w:t>
      </w:r>
      <w:r>
        <w:tab/>
      </w:r>
      <w:bookmarkStart w:id="11" w:name="_Toc15493_WPSOffice_Level2Page"/>
      <w:r>
        <w:t>10</w:t>
      </w:r>
      <w:bookmarkEnd w:id="11"/>
      <w:r>
        <w:fldChar w:fldCharType="end"/>
      </w:r>
    </w:p>
    <w:p>
      <w:pPr>
        <w:pStyle w:val="72"/>
        <w:tabs>
          <w:tab w:val="right" w:leader="dot" w:pos="9864"/>
        </w:tabs>
      </w:pPr>
      <w:r>
        <w:fldChar w:fldCharType="begin"/>
      </w:r>
      <w:r>
        <w:instrText xml:space="preserve"> HYPERLINK \l "_Toc27189_WPSOffice_Level1" </w:instrText>
      </w:r>
      <w:r>
        <w:fldChar w:fldCharType="separate"/>
      </w:r>
      <w:r>
        <w:rPr>
          <w:rFonts w:hint="eastAsia" w:ascii="宋体" w:hAnsi="宋体" w:cs="宋体"/>
          <w:b/>
          <w:bCs/>
        </w:rPr>
        <w:t>第四部分采购结束后注意事项</w:t>
      </w:r>
      <w:r>
        <w:rPr>
          <w:b/>
          <w:bCs/>
        </w:rPr>
        <w:tab/>
      </w:r>
      <w:bookmarkStart w:id="12" w:name="_Toc27189_WPSOffice_Level1Page"/>
      <w:r>
        <w:rPr>
          <w:b/>
          <w:bCs/>
        </w:rPr>
        <w:t>10</w:t>
      </w:r>
      <w:bookmarkEnd w:id="12"/>
      <w:r>
        <w:rPr>
          <w:b/>
          <w:bCs/>
        </w:rPr>
        <w:fldChar w:fldCharType="end"/>
      </w:r>
    </w:p>
    <w:p>
      <w:pPr>
        <w:pStyle w:val="73"/>
        <w:tabs>
          <w:tab w:val="right" w:leader="dot" w:pos="9864"/>
        </w:tabs>
        <w:ind w:left="420"/>
      </w:pPr>
      <w:r>
        <w:fldChar w:fldCharType="begin"/>
      </w:r>
      <w:r>
        <w:instrText xml:space="preserve"> HYPERLINK \l "_Toc20981_WPSOffice_Level2" </w:instrText>
      </w:r>
      <w:r>
        <w:fldChar w:fldCharType="separate"/>
      </w:r>
      <w:r>
        <w:rPr>
          <w:rFonts w:hint="eastAsia" w:ascii="仿宋_GB2312" w:hAnsi="宋体" w:eastAsia="仿宋_GB2312" w:cs="仿宋_GB2312"/>
        </w:rPr>
        <w:t>第一章质疑处理</w:t>
      </w:r>
      <w:r>
        <w:tab/>
      </w:r>
      <w:bookmarkStart w:id="13" w:name="_Toc20981_WPSOffice_Level2Page"/>
      <w:r>
        <w:t>10</w:t>
      </w:r>
      <w:bookmarkEnd w:id="13"/>
      <w:r>
        <w:fldChar w:fldCharType="end"/>
      </w:r>
    </w:p>
    <w:p>
      <w:pPr>
        <w:pStyle w:val="73"/>
        <w:tabs>
          <w:tab w:val="right" w:leader="dot" w:pos="9864"/>
        </w:tabs>
        <w:ind w:left="420"/>
      </w:pPr>
      <w:r>
        <w:fldChar w:fldCharType="begin"/>
      </w:r>
      <w:r>
        <w:instrText xml:space="preserve"> HYPERLINK \l "_Toc31528_WPSOffice_Level2" </w:instrText>
      </w:r>
      <w:r>
        <w:fldChar w:fldCharType="separate"/>
      </w:r>
      <w:r>
        <w:rPr>
          <w:rFonts w:hint="eastAsia" w:ascii="仿宋_GB2312" w:hAnsi="Arial" w:eastAsia="仿宋_GB2312" w:cs="仿宋_GB2312"/>
        </w:rPr>
        <w:t>第二章签订合同</w:t>
      </w:r>
      <w:r>
        <w:tab/>
      </w:r>
      <w:bookmarkStart w:id="14" w:name="_Toc31528_WPSOffice_Level2Page"/>
      <w:r>
        <w:t>10</w:t>
      </w:r>
      <w:bookmarkEnd w:id="14"/>
      <w:r>
        <w:fldChar w:fldCharType="end"/>
      </w:r>
    </w:p>
    <w:p>
      <w:pPr>
        <w:pStyle w:val="73"/>
        <w:tabs>
          <w:tab w:val="right" w:leader="dot" w:pos="9864"/>
        </w:tabs>
        <w:ind w:left="420"/>
      </w:pPr>
      <w:r>
        <w:fldChar w:fldCharType="begin"/>
      </w:r>
      <w:r>
        <w:instrText xml:space="preserve"> HYPERLINK \l "_Toc19196_WPSOffice_Level2" </w:instrText>
      </w:r>
      <w:r>
        <w:fldChar w:fldCharType="separate"/>
      </w:r>
      <w:r>
        <w:rPr>
          <w:rFonts w:hint="eastAsia" w:ascii="仿宋_GB2312" w:hAnsi="Arial" w:eastAsia="仿宋_GB2312" w:cs="仿宋_GB2312"/>
        </w:rPr>
        <w:t>第三章项目验收</w:t>
      </w:r>
      <w:r>
        <w:tab/>
      </w:r>
      <w:bookmarkStart w:id="15" w:name="_Toc19196_WPSOffice_Level2Page"/>
      <w:r>
        <w:t>11</w:t>
      </w:r>
      <w:bookmarkEnd w:id="15"/>
      <w:r>
        <w:fldChar w:fldCharType="end"/>
      </w:r>
    </w:p>
    <w:p>
      <w:pPr>
        <w:pStyle w:val="72"/>
        <w:tabs>
          <w:tab w:val="right" w:leader="dot" w:pos="9864"/>
        </w:tabs>
      </w:pPr>
      <w:r>
        <w:fldChar w:fldCharType="begin"/>
      </w:r>
      <w:r>
        <w:instrText xml:space="preserve"> HYPERLINK \l "_Toc20337_WPSOffice_Level1" </w:instrText>
      </w:r>
      <w:r>
        <w:fldChar w:fldCharType="separate"/>
      </w:r>
      <w:r>
        <w:rPr>
          <w:rFonts w:hint="eastAsia" w:ascii="宋体" w:hAnsi="宋体" w:cs="宋体"/>
          <w:b/>
          <w:bCs/>
        </w:rPr>
        <w:t>第五部分其它有关附件格式范本</w:t>
      </w:r>
      <w:r>
        <w:rPr>
          <w:b/>
          <w:bCs/>
        </w:rPr>
        <w:tab/>
      </w:r>
      <w:bookmarkStart w:id="16" w:name="_Toc20337_WPSOffice_Level1Page"/>
      <w:r>
        <w:rPr>
          <w:b/>
          <w:bCs/>
        </w:rPr>
        <w:t>12</w:t>
      </w:r>
      <w:bookmarkEnd w:id="16"/>
      <w:r>
        <w:rPr>
          <w:b/>
          <w:bCs/>
        </w:rPr>
        <w:fldChar w:fldCharType="end"/>
      </w:r>
    </w:p>
    <w:p>
      <w:pPr>
        <w:pStyle w:val="73"/>
        <w:tabs>
          <w:tab w:val="right" w:leader="dot" w:pos="9864"/>
        </w:tabs>
        <w:ind w:left="420"/>
      </w:pPr>
      <w:r>
        <w:fldChar w:fldCharType="begin"/>
      </w:r>
      <w:r>
        <w:instrText xml:space="preserve"> HYPERLINK \l "_Toc8553_WPSOffice_Level2" </w:instrText>
      </w:r>
      <w:r>
        <w:fldChar w:fldCharType="separate"/>
      </w:r>
      <w:r>
        <w:rPr>
          <w:rFonts w:hint="eastAsia" w:ascii="仿宋" w:hAnsi="仿宋" w:eastAsia="仿宋" w:cs="仿宋"/>
        </w:rPr>
        <w:t>（一）磋商响应文件封面</w:t>
      </w:r>
      <w:r>
        <w:tab/>
      </w:r>
      <w:bookmarkStart w:id="17" w:name="_Toc8553_WPSOffice_Level2Page"/>
      <w:r>
        <w:t>12</w:t>
      </w:r>
      <w:bookmarkEnd w:id="17"/>
      <w:r>
        <w:fldChar w:fldCharType="end"/>
      </w:r>
    </w:p>
    <w:p>
      <w:pPr>
        <w:pStyle w:val="73"/>
        <w:tabs>
          <w:tab w:val="right" w:leader="dot" w:pos="9864"/>
        </w:tabs>
        <w:ind w:left="420"/>
      </w:pPr>
      <w:r>
        <w:fldChar w:fldCharType="begin"/>
      </w:r>
      <w:r>
        <w:instrText xml:space="preserve"> HYPERLINK \l "_Toc5074_WPSOffice_Level2" </w:instrText>
      </w:r>
      <w:r>
        <w:fldChar w:fldCharType="separate"/>
      </w:r>
      <w:r>
        <w:rPr>
          <w:rFonts w:hint="eastAsia" w:ascii="仿宋" w:hAnsi="仿宋" w:eastAsia="仿宋" w:cs="仿宋"/>
        </w:rPr>
        <w:t>（二）磋商响应文件目录</w:t>
      </w:r>
      <w:r>
        <w:tab/>
      </w:r>
      <w:bookmarkStart w:id="18" w:name="_Toc5074_WPSOffice_Level2Page"/>
      <w:r>
        <w:t>13</w:t>
      </w:r>
      <w:bookmarkEnd w:id="18"/>
      <w:r>
        <w:fldChar w:fldCharType="end"/>
      </w:r>
    </w:p>
    <w:p>
      <w:pPr>
        <w:pStyle w:val="73"/>
        <w:tabs>
          <w:tab w:val="right" w:leader="dot" w:pos="9864"/>
        </w:tabs>
        <w:ind w:left="420"/>
      </w:pPr>
      <w:r>
        <w:fldChar w:fldCharType="begin"/>
      </w:r>
      <w:r>
        <w:instrText xml:space="preserve"> HYPERLINK \l "_Toc17722_WPSOffice_Level2" </w:instrText>
      </w:r>
      <w:r>
        <w:fldChar w:fldCharType="separate"/>
      </w:r>
      <w:r>
        <w:rPr>
          <w:rFonts w:hint="eastAsia" w:ascii="仿宋" w:hAnsi="仿宋" w:eastAsia="仿宋" w:cs="仿宋"/>
        </w:rPr>
        <w:t>（三）磋商函</w:t>
      </w:r>
      <w:r>
        <w:tab/>
      </w:r>
      <w:bookmarkStart w:id="19" w:name="_Toc17722_WPSOffice_Level2Page"/>
      <w:r>
        <w:t>14</w:t>
      </w:r>
      <w:bookmarkEnd w:id="19"/>
      <w:r>
        <w:fldChar w:fldCharType="end"/>
      </w:r>
    </w:p>
    <w:p>
      <w:pPr>
        <w:pStyle w:val="73"/>
        <w:tabs>
          <w:tab w:val="right" w:leader="dot" w:pos="9864"/>
        </w:tabs>
        <w:ind w:left="420"/>
      </w:pPr>
      <w:r>
        <w:fldChar w:fldCharType="begin"/>
      </w:r>
      <w:r>
        <w:instrText xml:space="preserve"> HYPERLINK \l "_Toc6663_WPSOffice_Level2" </w:instrText>
      </w:r>
      <w:r>
        <w:fldChar w:fldCharType="separate"/>
      </w:r>
      <w:r>
        <w:rPr>
          <w:rFonts w:hint="eastAsia" w:ascii="仿宋" w:hAnsi="仿宋" w:eastAsia="仿宋" w:cs="仿宋"/>
        </w:rPr>
        <w:t>（四）法人代表授权书</w:t>
      </w:r>
      <w:r>
        <w:tab/>
      </w:r>
      <w:bookmarkStart w:id="20" w:name="_Toc6663_WPSOffice_Level2Page"/>
      <w:r>
        <w:t>14</w:t>
      </w:r>
      <w:bookmarkEnd w:id="20"/>
      <w:r>
        <w:fldChar w:fldCharType="end"/>
      </w:r>
    </w:p>
    <w:p>
      <w:pPr>
        <w:pStyle w:val="73"/>
        <w:tabs>
          <w:tab w:val="right" w:leader="dot" w:pos="9864"/>
        </w:tabs>
        <w:ind w:left="420"/>
      </w:pPr>
      <w:r>
        <w:fldChar w:fldCharType="begin"/>
      </w:r>
      <w:r>
        <w:instrText xml:space="preserve"> HYPERLINK \l "_Toc6082_WPSOffice_Level2" </w:instrText>
      </w:r>
      <w:r>
        <w:fldChar w:fldCharType="separate"/>
      </w:r>
      <w:r>
        <w:rPr>
          <w:rFonts w:hint="eastAsia" w:ascii="仿宋" w:hAnsi="仿宋" w:eastAsia="仿宋" w:cs="仿宋"/>
        </w:rPr>
        <w:t>（五）磋商一览表（报价表）</w:t>
      </w:r>
      <w:r>
        <w:tab/>
      </w:r>
      <w:bookmarkStart w:id="21" w:name="_Toc6082_WPSOffice_Level2Page"/>
      <w:r>
        <w:t>15</w:t>
      </w:r>
      <w:bookmarkEnd w:id="21"/>
      <w:r>
        <w:fldChar w:fldCharType="end"/>
      </w:r>
    </w:p>
    <w:p>
      <w:pPr>
        <w:pStyle w:val="73"/>
        <w:tabs>
          <w:tab w:val="right" w:leader="dot" w:pos="9864"/>
        </w:tabs>
        <w:ind w:left="420"/>
      </w:pPr>
      <w:r>
        <w:fldChar w:fldCharType="begin"/>
      </w:r>
      <w:r>
        <w:instrText xml:space="preserve"> HYPERLINK \l "_Toc17558_WPSOffice_Level2" </w:instrText>
      </w:r>
      <w:r>
        <w:fldChar w:fldCharType="separate"/>
      </w:r>
      <w:r>
        <w:rPr>
          <w:rFonts w:hint="eastAsia" w:ascii="仿宋" w:hAnsi="仿宋" w:eastAsia="仿宋" w:cs="仿宋"/>
        </w:rPr>
        <w:t>（六）类似业绩表</w:t>
      </w:r>
      <w:r>
        <w:tab/>
      </w:r>
      <w:bookmarkStart w:id="22" w:name="_Toc17558_WPSOffice_Level2Page"/>
      <w:r>
        <w:t>15</w:t>
      </w:r>
      <w:bookmarkEnd w:id="22"/>
      <w:r>
        <w:fldChar w:fldCharType="end"/>
      </w:r>
    </w:p>
    <w:p>
      <w:pPr>
        <w:pStyle w:val="73"/>
        <w:tabs>
          <w:tab w:val="right" w:leader="dot" w:pos="9864"/>
        </w:tabs>
        <w:ind w:left="420"/>
      </w:pPr>
      <w:r>
        <w:fldChar w:fldCharType="begin"/>
      </w:r>
      <w:r>
        <w:instrText xml:space="preserve"> HYPERLINK \l "_Toc15550_WPSOffice_Level2" </w:instrText>
      </w:r>
      <w:r>
        <w:fldChar w:fldCharType="separate"/>
      </w:r>
      <w:r>
        <w:rPr>
          <w:rFonts w:hint="eastAsia" w:ascii="仿宋" w:hAnsi="仿宋" w:eastAsia="仿宋" w:cs="仿宋"/>
        </w:rPr>
        <w:t>（七）磋商二次（最终）报价表</w:t>
      </w:r>
      <w:r>
        <w:tab/>
      </w:r>
      <w:bookmarkStart w:id="23" w:name="_Toc15550_WPSOffice_Level2Page"/>
      <w:r>
        <w:t>16</w:t>
      </w:r>
      <w:bookmarkEnd w:id="23"/>
      <w:r>
        <w:fldChar w:fldCharType="end"/>
      </w:r>
    </w:p>
    <w:p>
      <w:pPr>
        <w:pStyle w:val="73"/>
        <w:tabs>
          <w:tab w:val="right" w:leader="dot" w:pos="9864"/>
        </w:tabs>
        <w:ind w:left="420"/>
      </w:pPr>
      <w:r>
        <w:fldChar w:fldCharType="begin"/>
      </w:r>
      <w:r>
        <w:instrText xml:space="preserve"> HYPERLINK \l "_Toc17997_WPSOffice_Level2" </w:instrText>
      </w:r>
      <w:r>
        <w:fldChar w:fldCharType="separate"/>
      </w:r>
      <w:r>
        <w:rPr>
          <w:rFonts w:hint="eastAsia" w:ascii="仿宋" w:hAnsi="仿宋" w:eastAsia="仿宋" w:cs="仿宋"/>
        </w:rPr>
        <w:t>（八）履约声明函</w:t>
      </w:r>
      <w:r>
        <w:tab/>
      </w:r>
      <w:bookmarkStart w:id="24" w:name="_Toc17997_WPSOffice_Level2Page"/>
      <w:r>
        <w:t>16</w:t>
      </w:r>
      <w:bookmarkEnd w:id="24"/>
      <w:r>
        <w:fldChar w:fldCharType="end"/>
      </w:r>
    </w:p>
    <w:p>
      <w:pPr>
        <w:pStyle w:val="73"/>
        <w:tabs>
          <w:tab w:val="right" w:leader="dot" w:pos="9864"/>
        </w:tabs>
        <w:ind w:left="420"/>
      </w:pPr>
      <w:r>
        <w:fldChar w:fldCharType="begin"/>
      </w:r>
      <w:r>
        <w:instrText xml:space="preserve"> HYPERLINK \l "_Toc18874_WPSOffice_Level2" </w:instrText>
      </w:r>
      <w:r>
        <w:fldChar w:fldCharType="separate"/>
      </w:r>
      <w:r>
        <w:rPr>
          <w:rFonts w:hint="eastAsia" w:ascii="仿宋" w:hAnsi="仿宋" w:eastAsia="仿宋" w:cs="仿宋"/>
        </w:rPr>
        <w:t>（九）无重大违法记录声明函</w:t>
      </w:r>
      <w:r>
        <w:tab/>
      </w:r>
      <w:bookmarkStart w:id="25" w:name="_Toc18874_WPSOffice_Level2Page"/>
      <w:r>
        <w:t>16</w:t>
      </w:r>
      <w:bookmarkEnd w:id="25"/>
      <w:r>
        <w:fldChar w:fldCharType="end"/>
      </w:r>
    </w:p>
    <w:p>
      <w:pPr>
        <w:pStyle w:val="73"/>
        <w:tabs>
          <w:tab w:val="right" w:leader="dot" w:pos="9864"/>
        </w:tabs>
        <w:ind w:left="420"/>
      </w:pPr>
      <w:r>
        <w:fldChar w:fldCharType="begin"/>
      </w:r>
      <w:r>
        <w:instrText xml:space="preserve"> HYPERLINK \l "_Toc15513_WPSOffice_Level2" </w:instrText>
      </w:r>
      <w:r>
        <w:fldChar w:fldCharType="separate"/>
      </w:r>
      <w:r>
        <w:rPr>
          <w:rFonts w:hint="eastAsia" w:ascii="仿宋" w:hAnsi="仿宋" w:eastAsia="仿宋" w:cs="仿宋"/>
        </w:rPr>
        <w:t>（十）中小企业声明函（工程）</w:t>
      </w:r>
      <w:r>
        <w:tab/>
      </w:r>
      <w:bookmarkStart w:id="26" w:name="_Toc15513_WPSOffice_Level2Page"/>
      <w:r>
        <w:t>17</w:t>
      </w:r>
      <w:bookmarkEnd w:id="26"/>
      <w:r>
        <w:fldChar w:fldCharType="end"/>
      </w:r>
    </w:p>
    <w:p>
      <w:pPr>
        <w:pStyle w:val="73"/>
        <w:tabs>
          <w:tab w:val="right" w:leader="dot" w:pos="9864"/>
        </w:tabs>
        <w:ind w:left="420"/>
      </w:pPr>
      <w:r>
        <w:fldChar w:fldCharType="begin"/>
      </w:r>
      <w:r>
        <w:instrText xml:space="preserve"> HYPERLINK \l "_Toc5176_WPSOffice_Level2" </w:instrText>
      </w:r>
      <w:r>
        <w:fldChar w:fldCharType="separate"/>
      </w:r>
      <w:r>
        <w:rPr>
          <w:rFonts w:hint="eastAsia" w:ascii="仿宋" w:hAnsi="仿宋" w:eastAsia="仿宋" w:cs="仿宋"/>
        </w:rPr>
        <w:t>（十一）残疾人福利性单位声明函</w:t>
      </w:r>
      <w:r>
        <w:rPr>
          <w:rFonts w:hint="eastAsia" w:cs="宋体"/>
        </w:rPr>
        <w:t>（可选）</w:t>
      </w:r>
      <w:r>
        <w:tab/>
      </w:r>
      <w:bookmarkStart w:id="27" w:name="_Toc5176_WPSOffice_Level2Page"/>
      <w:r>
        <w:t>17</w:t>
      </w:r>
      <w:bookmarkEnd w:id="27"/>
      <w:r>
        <w:fldChar w:fldCharType="end"/>
      </w:r>
    </w:p>
    <w:p>
      <w:pPr>
        <w:pStyle w:val="73"/>
        <w:tabs>
          <w:tab w:val="right" w:leader="dot" w:pos="9864"/>
        </w:tabs>
        <w:ind w:left="420"/>
      </w:pPr>
      <w:r>
        <w:fldChar w:fldCharType="begin"/>
      </w:r>
      <w:r>
        <w:instrText xml:space="preserve"> HYPERLINK \l "_Toc17811_WPSOffice_Level2" </w:instrText>
      </w:r>
      <w:r>
        <w:fldChar w:fldCharType="separate"/>
      </w:r>
      <w:r>
        <w:rPr>
          <w:rFonts w:hint="eastAsia" w:ascii="仿宋" w:hAnsi="仿宋" w:eastAsia="仿宋" w:cs="仿宋"/>
        </w:rPr>
        <w:t>（十二）监狱企业证明</w:t>
      </w:r>
      <w:r>
        <w:rPr>
          <w:rFonts w:hint="eastAsia" w:cs="宋体"/>
        </w:rPr>
        <w:t>（可选）</w:t>
      </w:r>
      <w:r>
        <w:tab/>
      </w:r>
      <w:bookmarkStart w:id="28" w:name="_Toc17811_WPSOffice_Level2Page"/>
      <w:r>
        <w:t>18</w:t>
      </w:r>
      <w:bookmarkEnd w:id="28"/>
      <w:r>
        <w:fldChar w:fldCharType="end"/>
      </w:r>
      <w:bookmarkEnd w:id="0"/>
    </w:p>
    <w:p>
      <w:pPr>
        <w:rPr>
          <w:rFonts w:ascii="黑体" w:eastAsia="黑体"/>
          <w:sz w:val="44"/>
          <w:szCs w:val="44"/>
        </w:rPr>
        <w:sectPr>
          <w:headerReference r:id="rId4" w:type="first"/>
          <w:footerReference r:id="rId6" w:type="first"/>
          <w:headerReference r:id="rId3" w:type="default"/>
          <w:footerReference r:id="rId5" w:type="default"/>
          <w:pgSz w:w="11906" w:h="16838"/>
          <w:pgMar w:top="907" w:right="1021" w:bottom="907" w:left="1021" w:header="851" w:footer="992" w:gutter="0"/>
          <w:pgNumType w:start="1"/>
          <w:cols w:space="720" w:num="1"/>
          <w:docGrid w:type="lines" w:linePitch="375" w:charSpace="0"/>
        </w:sectPr>
      </w:pPr>
    </w:p>
    <w:p>
      <w:pPr>
        <w:pStyle w:val="44"/>
        <w:spacing w:line="360" w:lineRule="exact"/>
        <w:jc w:val="center"/>
        <w:outlineLvl w:val="0"/>
        <w:rPr>
          <w:rFonts w:ascii="宋体"/>
        </w:rPr>
      </w:pPr>
      <w:bookmarkStart w:id="29" w:name="_Toc28647_WPSOffice_Level1"/>
      <w:bookmarkStart w:id="30" w:name="_Toc13496_WPSOffice_Level1"/>
      <w:bookmarkStart w:id="31" w:name="_Toc3920"/>
      <w:bookmarkStart w:id="32" w:name="_Toc6929"/>
      <w:bookmarkStart w:id="33" w:name="_Toc29933"/>
      <w:bookmarkStart w:id="34" w:name="_Toc11201"/>
      <w:bookmarkStart w:id="35" w:name="_Toc8264"/>
      <w:bookmarkStart w:id="36" w:name="_Toc20449"/>
      <w:bookmarkStart w:id="37" w:name="_Toc12565"/>
      <w:bookmarkStart w:id="38" w:name="_Toc31581"/>
      <w:bookmarkStart w:id="39" w:name="_Toc17295"/>
      <w:bookmarkStart w:id="40" w:name="_Toc12263"/>
      <w:bookmarkStart w:id="41" w:name="_Toc20318"/>
      <w:bookmarkStart w:id="42" w:name="_Toc19151"/>
      <w:bookmarkStart w:id="43" w:name="_Toc22401"/>
      <w:bookmarkStart w:id="44" w:name="_Toc80"/>
      <w:bookmarkStart w:id="45" w:name="_Toc7534"/>
      <w:bookmarkStart w:id="46" w:name="_Toc20374"/>
      <w:bookmarkStart w:id="47" w:name="_Toc24518"/>
      <w:bookmarkStart w:id="48" w:name="_Toc15702"/>
      <w:bookmarkStart w:id="49" w:name="_Toc9044"/>
      <w:bookmarkStart w:id="50" w:name="_Toc15195"/>
      <w:bookmarkStart w:id="51" w:name="_Toc32609"/>
      <w:bookmarkStart w:id="52" w:name="_Toc2668"/>
      <w:bookmarkStart w:id="53" w:name="_Toc6169"/>
      <w:r>
        <w:rPr>
          <w:rFonts w:hint="eastAsia" w:ascii="宋体" w:hAnsi="宋体" w:cs="宋体"/>
          <w:b/>
          <w:bCs/>
          <w:color w:val="auto"/>
          <w:sz w:val="36"/>
          <w:szCs w:val="36"/>
        </w:rPr>
        <w:t>第一部分采购邀请</w:t>
      </w:r>
      <w:bookmarkEnd w:id="29"/>
      <w:bookmarkEnd w:id="30"/>
    </w:p>
    <w:p>
      <w:pPr>
        <w:snapToGrid w:val="0"/>
        <w:spacing w:line="400" w:lineRule="exact"/>
        <w:ind w:firstLine="482" w:firstLineChars="200"/>
        <w:rPr>
          <w:rFonts w:ascii="仿宋_GB2312" w:hAnsi="Arial" w:eastAsia="仿宋_GB2312"/>
          <w:b/>
          <w:bCs/>
          <w:sz w:val="36"/>
          <w:szCs w:val="36"/>
        </w:rPr>
      </w:pPr>
      <w:r>
        <w:rPr>
          <w:rFonts w:hint="eastAsia" w:ascii="宋体" w:hAnsi="宋体" w:cs="宋体"/>
          <w:b/>
          <w:bCs/>
          <w:sz w:val="24"/>
          <w:szCs w:val="24"/>
        </w:rPr>
        <w:t>博乐市政府采购中心拟对以下项目进行集中采购，欢迎符合条件的供应商参加</w:t>
      </w:r>
      <w:r>
        <w:rPr>
          <w:rFonts w:hint="eastAsia" w:ascii="方正仿宋_GBK" w:hAnsi="宋体" w:eastAsia="方正仿宋_GBK" w:cs="方正仿宋_GBK"/>
          <w:sz w:val="24"/>
          <w:szCs w:val="24"/>
        </w:rPr>
        <w:t>。</w:t>
      </w:r>
    </w:p>
    <w:tbl>
      <w:tblPr>
        <w:tblStyle w:val="21"/>
        <w:tblW w:w="9676"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481"/>
        <w:gridCol w:w="521"/>
        <w:gridCol w:w="421"/>
        <w:gridCol w:w="3192"/>
        <w:gridCol w:w="1508"/>
        <w:gridCol w:w="182"/>
        <w:gridCol w:w="18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采购项目</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博乐市2023年城市市政基础设施维护、维修项目监理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编号</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BZBLSCS2023008-1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2</w:t>
            </w:r>
          </w:p>
        </w:tc>
        <w:tc>
          <w:tcPr>
            <w:tcW w:w="1481" w:type="dxa"/>
            <w:vMerge w:val="restart"/>
            <w:tcBorders>
              <w:top w:val="single" w:color="auto" w:sz="4" w:space="0"/>
              <w:left w:val="single" w:color="auto" w:sz="4" w:space="0"/>
              <w:right w:val="single" w:color="auto" w:sz="4" w:space="0"/>
            </w:tcBorders>
            <w:vAlign w:val="center"/>
          </w:tcPr>
          <w:p>
            <w:pPr>
              <w:spacing w:line="400" w:lineRule="exact"/>
              <w:rPr>
                <w:rFonts w:ascii="仿宋_GB2312" w:hAnsi="Arial" w:eastAsia="仿宋_GB2312" w:cs="仿宋_GB2312"/>
                <w:b/>
                <w:bCs/>
                <w:sz w:val="24"/>
                <w:szCs w:val="24"/>
              </w:rPr>
            </w:pPr>
            <w:r>
              <w:rPr>
                <w:rFonts w:hint="eastAsia" w:ascii="仿宋_GB2312" w:hAnsi="Arial" w:eastAsia="仿宋_GB2312" w:cs="仿宋_GB2312"/>
                <w:b/>
                <w:bCs/>
                <w:sz w:val="24"/>
                <w:szCs w:val="24"/>
              </w:rPr>
              <w:t>采购人</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fldChar w:fldCharType="begin"/>
            </w:r>
            <w:r>
              <w:instrText xml:space="preserve"> HYPERLINK "https://middle.zcygov.cn/web-user/" \l "/plan/list/_blank" \t "https://pay.zcygov.cn/purchaseplan_front/" </w:instrText>
            </w:r>
            <w:r>
              <w:fldChar w:fldCharType="separate"/>
            </w:r>
            <w:r>
              <w:rPr>
                <w:rFonts w:hint="eastAsia" w:ascii="仿宋" w:hAnsi="仿宋" w:eastAsia="仿宋" w:cs="仿宋"/>
                <w:sz w:val="24"/>
                <w:szCs w:val="24"/>
              </w:rPr>
              <w:t>博乐市市政工程服务中心</w:t>
            </w:r>
            <w:r>
              <w:rPr>
                <w:rFonts w:hint="eastAsia" w:ascii="仿宋" w:hAnsi="仿宋" w:eastAsia="仿宋" w:cs="仿宋"/>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联系人</w:t>
            </w:r>
          </w:p>
        </w:tc>
        <w:tc>
          <w:tcPr>
            <w:tcW w:w="31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常建新</w:t>
            </w:r>
          </w:p>
        </w:tc>
        <w:tc>
          <w:tcPr>
            <w:tcW w:w="15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r>
              <w:rPr>
                <w:rFonts w:hint="eastAsia" w:ascii="仿宋_GB2312" w:hAnsi="Arial" w:eastAsia="仿宋_GB2312" w:cs="仿宋_GB2312"/>
                <w:b/>
                <w:bCs/>
                <w:sz w:val="24"/>
                <w:szCs w:val="24"/>
              </w:rPr>
              <w:t>联系电话</w:t>
            </w:r>
          </w:p>
        </w:tc>
        <w:tc>
          <w:tcPr>
            <w:tcW w:w="1999" w:type="dxa"/>
            <w:gridSpan w:val="2"/>
            <w:tcBorders>
              <w:top w:val="single" w:color="auto" w:sz="4" w:space="0"/>
              <w:left w:val="single" w:color="auto" w:sz="4" w:space="0"/>
              <w:bottom w:val="single" w:color="auto" w:sz="4" w:space="0"/>
            </w:tcBorders>
            <w:vAlign w:val="center"/>
          </w:tcPr>
          <w:p>
            <w:pPr>
              <w:spacing w:line="400" w:lineRule="exact"/>
              <w:rPr>
                <w:rFonts w:ascii="仿宋_GB2312" w:hAnsi="Arial" w:eastAsia="仿宋_GB2312" w:cs="仿宋_GB2312"/>
                <w:b/>
                <w:bCs/>
                <w:sz w:val="24"/>
                <w:szCs w:val="24"/>
              </w:rPr>
            </w:pPr>
            <w:r>
              <w:rPr>
                <w:rFonts w:hint="eastAsia" w:ascii="仿宋_GB2312" w:hAnsi="Arial" w:eastAsia="仿宋_GB2312" w:cs="仿宋_GB2312"/>
                <w:sz w:val="24"/>
                <w:szCs w:val="24"/>
              </w:rPr>
              <w:t>18709097179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3</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集采机构</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博乐市政府采购中心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地址</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新疆博乐市锦绣路6号楼博州公共资源交易中心三楼317室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4</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采购内容</w:t>
            </w:r>
          </w:p>
        </w:tc>
        <w:tc>
          <w:tcPr>
            <w:tcW w:w="413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z w:val="24"/>
                <w:szCs w:val="24"/>
              </w:rPr>
            </w:pPr>
            <w:r>
              <w:rPr>
                <w:rFonts w:hint="eastAsia" w:ascii="仿宋" w:hAnsi="仿宋" w:eastAsia="仿宋" w:cs="仿宋"/>
                <w:sz w:val="24"/>
                <w:szCs w:val="24"/>
              </w:rPr>
              <w:t>工程内容</w:t>
            </w:r>
          </w:p>
        </w:tc>
        <w:tc>
          <w:tcPr>
            <w:tcW w:w="1690" w:type="dxa"/>
            <w:gridSpan w:val="2"/>
            <w:tcBorders>
              <w:top w:val="single" w:color="auto" w:sz="4" w:space="0"/>
              <w:left w:val="single" w:color="auto" w:sz="4" w:space="0"/>
              <w:bottom w:val="single" w:color="auto" w:sz="4" w:space="0"/>
            </w:tcBorders>
          </w:tcPr>
          <w:p>
            <w:pPr>
              <w:jc w:val="left"/>
              <w:rPr>
                <w:rFonts w:ascii="方正仿宋_GBK" w:eastAsia="方正仿宋_GBK"/>
                <w:sz w:val="24"/>
                <w:szCs w:val="24"/>
              </w:rPr>
            </w:pPr>
            <w:r>
              <w:rPr>
                <w:rFonts w:hint="eastAsia" w:ascii="仿宋" w:hAnsi="仿宋" w:eastAsia="仿宋" w:cs="仿宋"/>
                <w:b/>
                <w:bCs/>
                <w:sz w:val="24"/>
                <w:szCs w:val="24"/>
              </w:rPr>
              <w:t>采购预算（元</w:t>
            </w:r>
            <w:r>
              <w:rPr>
                <w:rFonts w:ascii="仿宋" w:hAnsi="仿宋" w:eastAsia="仿宋" w:cs="仿宋"/>
                <w:b/>
                <w:bCs/>
                <w:sz w:val="24"/>
                <w:szCs w:val="24"/>
              </w:rPr>
              <w:t>)</w:t>
            </w:r>
          </w:p>
        </w:tc>
        <w:tc>
          <w:tcPr>
            <w:tcW w:w="1817" w:type="dxa"/>
            <w:tcBorders>
              <w:top w:val="single" w:color="auto" w:sz="4" w:space="0"/>
              <w:left w:val="single" w:color="auto" w:sz="4" w:space="0"/>
              <w:bottom w:val="single" w:color="auto" w:sz="4" w:space="0"/>
            </w:tcBorders>
          </w:tcPr>
          <w:p>
            <w:pPr>
              <w:jc w:val="left"/>
              <w:rPr>
                <w:rFonts w:ascii="仿宋" w:hAnsi="仿宋" w:eastAsia="仿宋" w:cs="仿宋"/>
                <w:b/>
                <w:bCs/>
                <w:sz w:val="24"/>
                <w:szCs w:val="24"/>
              </w:rPr>
            </w:pPr>
            <w:r>
              <w:rPr>
                <w:rFonts w:hint="eastAsia" w:ascii="仿宋" w:hAnsi="仿宋" w:eastAsia="仿宋" w:cs="仿宋"/>
                <w:b/>
                <w:bCs/>
                <w:sz w:val="24"/>
                <w:szCs w:val="24"/>
              </w:rPr>
              <w:t>最高限价（元）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仿宋_GB2312"/>
                <w:b/>
                <w:bCs/>
                <w:color w:val="000000"/>
                <w:sz w:val="24"/>
                <w:szCs w:val="24"/>
              </w:rPr>
            </w:pPr>
          </w:p>
        </w:tc>
        <w:tc>
          <w:tcPr>
            <w:tcW w:w="4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博乐市2023年城市市政基础设施维护、维修项目施工监理</w:t>
            </w:r>
          </w:p>
        </w:tc>
        <w:tc>
          <w:tcPr>
            <w:tcW w:w="1690" w:type="dxa"/>
            <w:gridSpan w:val="2"/>
            <w:tcBorders>
              <w:top w:val="single" w:color="auto" w:sz="4" w:space="0"/>
              <w:left w:val="single" w:color="auto" w:sz="4" w:space="0"/>
              <w:bottom w:val="single" w:color="auto" w:sz="4" w:space="0"/>
            </w:tcBorders>
            <w:vAlign w:val="center"/>
          </w:tcPr>
          <w:p>
            <w:pPr>
              <w:pStyle w:val="9"/>
              <w:ind w:left="0"/>
              <w:jc w:val="center"/>
            </w:pPr>
            <w:r>
              <w:rPr>
                <w:rFonts w:hint="eastAsia" w:ascii="仿宋_GB2312" w:hAnsi="Calibri" w:eastAsia="仿宋_GB2312" w:cs="仿宋_GB2312"/>
                <w:sz w:val="24"/>
                <w:szCs w:val="24"/>
                <w:lang w:eastAsia="zh-CN"/>
              </w:rPr>
              <w:t>485642</w:t>
            </w:r>
            <w:r>
              <w:rPr>
                <w:rFonts w:hint="eastAsia" w:ascii="仿宋_GB2312" w:hAnsi="Calibri" w:eastAsia="仿宋_GB2312" w:cs="仿宋_GB2312"/>
                <w:sz w:val="24"/>
                <w:szCs w:val="24"/>
              </w:rPr>
              <w:t>.00</w:t>
            </w:r>
          </w:p>
        </w:tc>
        <w:tc>
          <w:tcPr>
            <w:tcW w:w="1817" w:type="dxa"/>
            <w:tcBorders>
              <w:top w:val="single" w:color="auto" w:sz="4" w:space="0"/>
              <w:left w:val="single" w:color="auto" w:sz="4" w:space="0"/>
              <w:bottom w:val="single" w:color="auto" w:sz="4" w:space="0"/>
            </w:tcBorders>
            <w:vAlign w:val="center"/>
          </w:tcPr>
          <w:p>
            <w:pPr>
              <w:snapToGrid w:val="0"/>
              <w:spacing w:line="400" w:lineRule="exact"/>
              <w:jc w:val="center"/>
              <w:rPr>
                <w:rFonts w:hint="default" w:ascii="仿宋_GB2312" w:hAnsi="Calibri" w:eastAsia="仿宋_GB2312" w:cs="仿宋_GB2312"/>
                <w:sz w:val="24"/>
                <w:szCs w:val="24"/>
                <w:lang w:val="en-US"/>
              </w:rPr>
            </w:pPr>
            <w:r>
              <w:rPr>
                <w:rFonts w:hint="eastAsia" w:ascii="仿宋_GB2312" w:hAnsi="Calibri" w:eastAsia="仿宋_GB2312" w:cs="仿宋_GB2312"/>
                <w:sz w:val="24"/>
                <w:szCs w:val="24"/>
                <w:lang w:val="en-US" w:eastAsia="zh-CN"/>
              </w:rPr>
              <w:t>461359.90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5</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采购方式</w:t>
            </w:r>
          </w:p>
        </w:tc>
        <w:tc>
          <w:tcPr>
            <w:tcW w:w="7641" w:type="dxa"/>
            <w:gridSpan w:val="6"/>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6</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评审办法</w:t>
            </w:r>
          </w:p>
        </w:tc>
        <w:tc>
          <w:tcPr>
            <w:tcW w:w="7641" w:type="dxa"/>
            <w:gridSpan w:val="6"/>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综合评分法（其中:报价30 分,技术和商务70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7</w:t>
            </w:r>
          </w:p>
        </w:tc>
        <w:tc>
          <w:tcPr>
            <w:tcW w:w="14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质疑与答复</w:t>
            </w:r>
          </w:p>
        </w:tc>
        <w:tc>
          <w:tcPr>
            <w:tcW w:w="7641" w:type="dxa"/>
            <w:gridSpan w:val="6"/>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rPr>
              <w:t>供应商对采购文件中的采购需求(包括资质要求、技术参数、付款方式、完工期限、售后服务和质保期等）有异议的，应当自合法渠道获取磋商文件之日起7个工作日内，以书面方式向采购人提出，采购人在收到供应商的质疑函后7个工作日内予以答复。供应商在法定质疑期内针对采购文件的质疑必须一次性提出，在规定时间内未对采购文件提出质疑的，则视为供应商完全同意采购文件的所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8</w:t>
            </w:r>
          </w:p>
        </w:tc>
        <w:tc>
          <w:tcPr>
            <w:tcW w:w="14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磋商保证金</w:t>
            </w:r>
          </w:p>
        </w:tc>
        <w:tc>
          <w:tcPr>
            <w:tcW w:w="7641" w:type="dxa"/>
            <w:gridSpan w:val="6"/>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本项目免收保证金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9</w:t>
            </w:r>
          </w:p>
        </w:tc>
        <w:tc>
          <w:tcPr>
            <w:tcW w:w="2423" w:type="dxa"/>
            <w:gridSpan w:val="3"/>
            <w:tcBorders>
              <w:top w:val="single" w:color="auto" w:sz="4" w:space="0"/>
              <w:left w:val="single" w:color="auto" w:sz="4" w:space="0"/>
              <w:bottom w:val="single" w:color="auto" w:sz="4" w:space="0"/>
            </w:tcBorders>
          </w:tcPr>
          <w:p>
            <w:pPr>
              <w:spacing w:line="300" w:lineRule="exact"/>
              <w:jc w:val="left"/>
              <w:rPr>
                <w:rFonts w:ascii="仿宋" w:hAnsi="仿宋" w:eastAsia="仿宋" w:cs="仿宋"/>
                <w:sz w:val="24"/>
                <w:szCs w:val="24"/>
              </w:rPr>
            </w:pPr>
            <w:r>
              <w:rPr>
                <w:rFonts w:hint="eastAsia" w:ascii="仿宋_GB2312" w:hAnsi="宋体" w:eastAsia="仿宋_GB2312" w:cs="仿宋_GB2312"/>
                <w:b/>
                <w:bCs/>
                <w:color w:val="000000"/>
                <w:sz w:val="24"/>
                <w:szCs w:val="24"/>
              </w:rPr>
              <w:t>磋商响应文件组成</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电子磋商响应文件和资格审查资料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10</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磋商响应文件有效期</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自磋商开始之日起90天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11</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ascii="仿宋_GB2312" w:hAnsi="宋体" w:eastAsia="仿宋" w:cs="Times New Roman"/>
                <w:b/>
                <w:bCs/>
                <w:color w:val="000000"/>
                <w:sz w:val="24"/>
                <w:szCs w:val="24"/>
              </w:rPr>
            </w:pPr>
            <w:r>
              <w:rPr>
                <w:rFonts w:hint="eastAsia" w:ascii="仿宋" w:hAnsi="仿宋" w:eastAsia="仿宋" w:cs="仿宋"/>
                <w:b/>
                <w:bCs/>
                <w:sz w:val="24"/>
                <w:szCs w:val="24"/>
              </w:rPr>
              <w:t>采购文件取得时间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月1</w:t>
            </w:r>
            <w:r>
              <w:rPr>
                <w:rFonts w:hint="eastAsia" w:ascii="仿宋" w:hAnsi="仿宋" w:eastAsia="仿宋" w:cs="仿宋"/>
                <w:sz w:val="24"/>
                <w:szCs w:val="24"/>
                <w:lang w:val="en-US" w:eastAsia="zh-CN"/>
              </w:rPr>
              <w:t>4</w:t>
            </w:r>
            <w:r>
              <w:rPr>
                <w:rFonts w:hint="eastAsia" w:ascii="仿宋" w:hAnsi="仿宋" w:eastAsia="仿宋" w:cs="仿宋"/>
                <w:sz w:val="24"/>
                <w:szCs w:val="24"/>
              </w:rPr>
              <w:t>日至2023年1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12</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sz w:val="24"/>
                <w:szCs w:val="24"/>
              </w:rPr>
              <w:t>采购文件取得方式</w:t>
            </w:r>
          </w:p>
        </w:tc>
        <w:tc>
          <w:tcPr>
            <w:tcW w:w="6699" w:type="dxa"/>
            <w:gridSpan w:val="4"/>
            <w:tcBorders>
              <w:top w:val="single" w:color="auto" w:sz="4" w:space="0"/>
              <w:left w:val="single" w:color="auto" w:sz="4" w:space="0"/>
              <w:bottom w:val="single" w:color="auto" w:sz="4" w:space="0"/>
            </w:tcBorders>
            <w:vAlign w:val="center"/>
          </w:tcPr>
          <w:p>
            <w:pPr>
              <w:pStyle w:val="12"/>
              <w:spacing w:line="400" w:lineRule="exact"/>
              <w:rPr>
                <w:rFonts w:ascii="仿宋" w:hAnsi="仿宋" w:eastAsia="仿宋" w:cs="仿宋"/>
                <w:sz w:val="24"/>
                <w:szCs w:val="24"/>
              </w:rPr>
            </w:pPr>
            <w:r>
              <w:rPr>
                <w:rFonts w:hint="eastAsia" w:ascii="仿宋" w:hAnsi="仿宋" w:eastAsia="仿宋" w:cs="仿宋"/>
                <w:sz w:val="24"/>
                <w:szCs w:val="24"/>
              </w:rPr>
              <w:t>持CA锁登录政采云平台下载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13</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w w:val="80"/>
                <w:sz w:val="24"/>
                <w:szCs w:val="24"/>
              </w:rPr>
              <w:t>报价截止及磋商开始时间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5</w:t>
            </w:r>
            <w:r>
              <w:rPr>
                <w:rFonts w:hint="eastAsia" w:ascii="仿宋" w:hAnsi="仿宋" w:eastAsia="仿宋" w:cs="仿宋"/>
                <w:sz w:val="24"/>
                <w:szCs w:val="24"/>
              </w:rPr>
              <w:t>日北京时间11:00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14</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Calibri" w:eastAsia="仿宋_GB2312"/>
                <w:sz w:val="24"/>
                <w:szCs w:val="24"/>
              </w:rPr>
            </w:pPr>
            <w:r>
              <w:rPr>
                <w:rFonts w:hint="eastAsia" w:ascii="仿宋_GB2312" w:hAnsi="宋体" w:eastAsia="仿宋_GB2312" w:cs="仿宋_GB2312"/>
                <w:b/>
                <w:bCs/>
                <w:color w:val="000000"/>
                <w:spacing w:val="-20"/>
                <w:sz w:val="24"/>
                <w:szCs w:val="24"/>
              </w:rPr>
              <w:t>供应商资质审查时间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5</w:t>
            </w:r>
            <w:r>
              <w:rPr>
                <w:rFonts w:hint="eastAsia" w:ascii="仿宋" w:hAnsi="仿宋" w:eastAsia="仿宋" w:cs="仿宋"/>
                <w:sz w:val="24"/>
                <w:szCs w:val="24"/>
              </w:rPr>
              <w:t>日北京时间11:00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开标方式</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不见面开标，投标供应商不需要到达现场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6</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磋商地点（网址）</w:t>
            </w:r>
          </w:p>
        </w:tc>
        <w:tc>
          <w:tcPr>
            <w:tcW w:w="7120" w:type="dxa"/>
            <w:gridSpan w:val="5"/>
            <w:tcBorders>
              <w:top w:val="single" w:color="auto" w:sz="4" w:space="0"/>
              <w:left w:val="single" w:color="auto" w:sz="4" w:space="0"/>
              <w:bottom w:val="single" w:color="auto" w:sz="4" w:space="0"/>
            </w:tcBorders>
            <w:vAlign w:val="center"/>
          </w:tcPr>
          <w:p>
            <w:pPr>
              <w:spacing w:line="400" w:lineRule="exact"/>
              <w:jc w:val="both"/>
              <w:rPr>
                <w:rFonts w:ascii="仿宋" w:hAnsi="仿宋" w:eastAsia="仿宋" w:cs="仿宋"/>
                <w:sz w:val="24"/>
                <w:szCs w:val="24"/>
              </w:rPr>
            </w:pPr>
            <w:r>
              <w:rPr>
                <w:rFonts w:hint="eastAsia" w:ascii="仿宋" w:hAnsi="仿宋" w:eastAsia="仿宋" w:cs="仿宋"/>
                <w:sz w:val="24"/>
                <w:szCs w:val="24"/>
              </w:rPr>
              <w:t>请登录政采云投标客户端，政采云系统平台不见面开标（https://www.zcygov.cn/）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7</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公告发布媒体</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《新疆政府采购网》(</w:t>
            </w:r>
            <w:r>
              <w:fldChar w:fldCharType="begin"/>
            </w:r>
            <w:r>
              <w:instrText xml:space="preserve"> HYPERLINK "http://www.xjzfcg.gov.cn-" </w:instrText>
            </w:r>
            <w:r>
              <w:fldChar w:fldCharType="separate"/>
            </w:r>
            <w:r>
              <w:rPr>
                <w:rFonts w:hint="eastAsia" w:ascii="仿宋" w:hAnsi="仿宋" w:eastAsia="仿宋" w:cs="仿宋"/>
                <w:sz w:val="24"/>
                <w:szCs w:val="24"/>
              </w:rPr>
              <w:t>http://www.ccgp-xinjiang.gov.cn</w:t>
            </w:r>
            <w:r>
              <w:rPr>
                <w:rFonts w:hint="eastAsia" w:ascii="仿宋" w:hAnsi="仿宋" w:eastAsia="仿宋" w:cs="仿宋"/>
                <w:sz w:val="24"/>
                <w:szCs w:val="24"/>
              </w:rPr>
              <w:fldChar w:fldCharType="end"/>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8</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成交通知书</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公告成交结果的同时发出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9</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签订合同时间</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成交通知书发出之日起30日内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20</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服务期限</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lang w:val="zh-CN"/>
              </w:rPr>
              <w:t>自合同签订之日起一年（含一年）</w:t>
            </w:r>
          </w:p>
        </w:tc>
      </w:tr>
    </w:tbl>
    <w:p>
      <w:pPr>
        <w:jc w:val="center"/>
        <w:outlineLvl w:val="0"/>
        <w:rPr>
          <w:rFonts w:ascii="宋体" w:hAnsi="宋体" w:cs="宋体"/>
          <w:b/>
          <w:bCs/>
          <w:sz w:val="36"/>
          <w:szCs w:val="36"/>
        </w:rPr>
        <w:sectPr>
          <w:footerReference r:id="rId9" w:type="first"/>
          <w:headerReference r:id="rId7" w:type="default"/>
          <w:footerReference r:id="rId8" w:type="default"/>
          <w:pgSz w:w="11906" w:h="16838"/>
          <w:pgMar w:top="1134" w:right="1134" w:bottom="1134" w:left="1418" w:header="851" w:footer="992" w:gutter="0"/>
          <w:pgNumType w:start="1"/>
          <w:cols w:space="720" w:num="1"/>
          <w:titlePg/>
          <w:docGrid w:type="lines" w:linePitch="333" w:charSpace="0"/>
        </w:sectPr>
      </w:pPr>
    </w:p>
    <w:p>
      <w:pPr>
        <w:jc w:val="center"/>
        <w:outlineLvl w:val="0"/>
        <w:rPr>
          <w:rFonts w:ascii="宋体"/>
          <w:sz w:val="24"/>
          <w:szCs w:val="24"/>
        </w:rPr>
      </w:pPr>
      <w:bookmarkStart w:id="54" w:name="_Toc1151_WPSOffice_Level1"/>
      <w:r>
        <w:rPr>
          <w:rFonts w:hint="eastAsia" w:ascii="宋体" w:hAnsi="宋体" w:cs="宋体"/>
          <w:b/>
          <w:bCs/>
          <w:sz w:val="36"/>
          <w:szCs w:val="36"/>
        </w:rPr>
        <w:t>第二部分供应商须知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pacing w:line="420" w:lineRule="exact"/>
        <w:jc w:val="center"/>
        <w:outlineLvl w:val="1"/>
        <w:rPr>
          <w:rFonts w:ascii="仿宋" w:hAnsi="仿宋" w:eastAsia="仿宋"/>
          <w:b/>
          <w:bCs/>
          <w:sz w:val="32"/>
          <w:szCs w:val="32"/>
        </w:rPr>
      </w:pPr>
      <w:bookmarkStart w:id="55" w:name="_Toc6215"/>
      <w:bookmarkStart w:id="56" w:name="_Toc14122"/>
      <w:bookmarkStart w:id="57" w:name="_Toc17172"/>
      <w:bookmarkStart w:id="58" w:name="_Toc7485"/>
      <w:bookmarkStart w:id="59" w:name="_Toc32205"/>
      <w:bookmarkStart w:id="60" w:name="_Toc1151_WPSOffice_Level2"/>
      <w:bookmarkStart w:id="61" w:name="_Toc13271"/>
      <w:bookmarkStart w:id="62" w:name="_Toc10402"/>
      <w:bookmarkStart w:id="63" w:name="_Toc17534"/>
      <w:bookmarkStart w:id="64" w:name="_Toc14220"/>
      <w:bookmarkStart w:id="65" w:name="_Toc12214"/>
      <w:bookmarkStart w:id="66" w:name="_Toc8798"/>
      <w:bookmarkStart w:id="67" w:name="_Toc16982"/>
      <w:bookmarkStart w:id="68" w:name="_Toc20320"/>
      <w:bookmarkStart w:id="69" w:name="_Toc3586"/>
      <w:bookmarkStart w:id="70" w:name="_Toc21279"/>
      <w:bookmarkStart w:id="71" w:name="_Toc24987"/>
      <w:bookmarkStart w:id="72" w:name="_Toc12101"/>
      <w:bookmarkStart w:id="73" w:name="_Toc422"/>
      <w:bookmarkStart w:id="74" w:name="_Toc8657"/>
      <w:bookmarkStart w:id="75" w:name="_Toc7828"/>
      <w:bookmarkStart w:id="76" w:name="_Toc15959"/>
      <w:bookmarkStart w:id="77" w:name="_Toc18353"/>
      <w:r>
        <w:rPr>
          <w:rFonts w:hint="eastAsia" w:ascii="仿宋" w:hAnsi="仿宋" w:eastAsia="仿宋" w:cs="仿宋"/>
          <w:b/>
          <w:bCs/>
          <w:sz w:val="32"/>
          <w:szCs w:val="32"/>
        </w:rPr>
        <w:t>第一章供应商资格条件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spacing w:line="340" w:lineRule="exact"/>
        <w:ind w:firstLine="482" w:firstLineChars="200"/>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、磋商资格条件</w:t>
      </w:r>
    </w:p>
    <w:p>
      <w:pPr>
        <w:ind w:firstLine="480" w:firstLineChars="200"/>
        <w:rPr>
          <w:rFonts w:ascii="仿宋" w:hAnsi="仿宋" w:eastAsia="仿宋" w:cs="仿宋"/>
          <w:sz w:val="24"/>
          <w:szCs w:val="24"/>
        </w:rPr>
      </w:pPr>
      <w:r>
        <w:rPr>
          <w:rFonts w:hint="eastAsia" w:ascii="仿宋" w:hAnsi="仿宋" w:eastAsia="仿宋" w:cs="仿宋"/>
          <w:sz w:val="24"/>
          <w:szCs w:val="24"/>
        </w:rPr>
        <w:t>1.1 符合政府采购法规定的条件和本项目特定资格要求：</w:t>
      </w:r>
    </w:p>
    <w:p>
      <w:pPr>
        <w:ind w:firstLine="480" w:firstLineChars="200"/>
        <w:rPr>
          <w:rFonts w:ascii="仿宋" w:hAnsi="仿宋" w:eastAsia="仿宋" w:cs="仿宋"/>
          <w:sz w:val="24"/>
          <w:szCs w:val="24"/>
        </w:rPr>
      </w:pPr>
      <w:r>
        <w:rPr>
          <w:rFonts w:hint="eastAsia" w:ascii="仿宋" w:hAnsi="仿宋" w:eastAsia="仿宋" w:cs="仿宋"/>
          <w:sz w:val="24"/>
          <w:szCs w:val="24"/>
        </w:rPr>
        <w:t>（1）法人代表授权委托书原件扫描件；</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（2）被授权人《居民身份证》原件扫描件；</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（3）具备市政公用工程专业乙级及以上资质。</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项目负责人须为具备市政公用工程专业注册监理工程师执业资格，且在建设云具有承接能力的建设工程项目的监理负责人。</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（5）项目监理员须持有经建设主管部门颁发的监理员培训证书。</w:t>
      </w:r>
    </w:p>
    <w:p>
      <w:pPr>
        <w:ind w:firstLine="480" w:firstLineChars="200"/>
        <w:rPr>
          <w:rFonts w:ascii="仿宋" w:hAnsi="仿宋" w:eastAsia="仿宋" w:cs="仿宋"/>
          <w:sz w:val="24"/>
          <w:szCs w:val="24"/>
        </w:rPr>
      </w:pPr>
      <w:r>
        <w:rPr>
          <w:rFonts w:hint="eastAsia" w:ascii="仿宋" w:hAnsi="仿宋" w:eastAsia="仿宋" w:cs="仿宋"/>
          <w:sz w:val="24"/>
          <w:szCs w:val="24"/>
        </w:rPr>
        <w:t>（6）具有独立承担民事责任的能力（提供有效期内营业执照副本原件扫描件）。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（7）具有良好的商业信誉和健全的财务会计制度。（提供健全的财务会计制度证明文件，例如近三年任意一年会计师事务所出具的财务审计报告或财务状况报告等，新成立公司自成立之日起提供。）</w:t>
      </w:r>
    </w:p>
    <w:p>
      <w:pPr>
        <w:ind w:firstLine="480" w:firstLineChars="200"/>
        <w:rPr>
          <w:rFonts w:ascii="仿宋" w:hAnsi="仿宋" w:eastAsia="仿宋" w:cs="仿宋"/>
          <w:sz w:val="24"/>
          <w:szCs w:val="24"/>
        </w:rPr>
      </w:pPr>
      <w:r>
        <w:rPr>
          <w:rFonts w:hint="eastAsia" w:ascii="仿宋" w:hAnsi="仿宋" w:eastAsia="仿宋" w:cs="仿宋"/>
          <w:sz w:val="24"/>
          <w:szCs w:val="24"/>
        </w:rPr>
        <w:t>（8）参加采购活动前三年内，在经营活动中没有重大违法记录，提供“信用中国”网站（www.creditchina.gov.cn）、中国政府采购网（www.ccgp.gov.cn）无违法违规行为的查询纪录（若未提供，由代理机构及监督人现场查询核实）。</w:t>
      </w:r>
    </w:p>
    <w:p>
      <w:pPr>
        <w:widowControl/>
        <w:ind w:firstLine="480" w:firstLineChars="200"/>
        <w:jc w:val="left"/>
      </w:pPr>
      <w:r>
        <w:rPr>
          <w:rFonts w:hint="eastAsia" w:ascii="仿宋" w:hAnsi="仿宋" w:eastAsia="仿宋" w:cs="仿宋"/>
          <w:sz w:val="24"/>
          <w:szCs w:val="24"/>
        </w:rPr>
        <w:t>（9）</w:t>
      </w:r>
      <w:r>
        <w:rPr>
          <w:rFonts w:ascii="仿宋" w:hAnsi="仿宋" w:eastAsia="仿宋" w:cs="仿宋"/>
          <w:color w:val="000000"/>
          <w:kern w:val="0"/>
          <w:sz w:val="24"/>
          <w:szCs w:val="24"/>
        </w:rPr>
        <w:t>本项目专门面向中小微企业，供应商需提供《中小微企业声明函》原件扫描件；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说明：以上（1）-（9）内容为资格审查时的必备条件，供应商必须按要求单独提供，如果提供不全或未按要求提供则视为对采购文件资格审查内容的不响应，磋商将被拒绝（不接受二次提供）。</w:t>
      </w:r>
    </w:p>
    <w:p>
      <w:pPr>
        <w:ind w:firstLine="480" w:firstLineChars="200"/>
        <w:rPr>
          <w:rFonts w:ascii="仿宋" w:hAnsi="仿宋" w:eastAsia="仿宋" w:cs="仿宋"/>
          <w:sz w:val="24"/>
          <w:szCs w:val="24"/>
        </w:rPr>
      </w:pPr>
      <w:r>
        <w:rPr>
          <w:rFonts w:hint="eastAsia" w:ascii="仿宋" w:hAnsi="仿宋" w:eastAsia="仿宋" w:cs="仿宋"/>
          <w:sz w:val="24"/>
          <w:szCs w:val="24"/>
        </w:rPr>
        <w:t>1.2 拒绝下述供应商参加本次采购活动：</w:t>
      </w:r>
    </w:p>
    <w:p>
      <w:pPr>
        <w:ind w:firstLine="480" w:firstLineChars="200"/>
        <w:rPr>
          <w:rFonts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供应商处于被责令停业、财产被接管、冻结和破产状态，以及投标资格被取消或者被暂停且在暂停期内。</w:t>
      </w:r>
    </w:p>
    <w:p>
      <w:pPr>
        <w:ind w:firstLine="480" w:firstLineChars="200"/>
        <w:rPr>
          <w:rFonts w:ascii="仿宋" w:hAnsi="仿宋" w:eastAsia="仿宋" w:cs="仿宋"/>
          <w:sz w:val="24"/>
          <w:szCs w:val="24"/>
        </w:rPr>
      </w:pPr>
      <w:r>
        <w:rPr>
          <w:rFonts w:ascii="仿宋" w:hAnsi="仿宋" w:eastAsia="仿宋" w:cs="仿宋"/>
          <w:sz w:val="24"/>
          <w:szCs w:val="24"/>
        </w:rPr>
        <w:t>参加采购活动前三年内，在经营活动中没有重大违法记录，提供“信用中国”网站（www.creditchina.gov.cn）、中国政府采购网（www.ccgp.gov.cn）无违法违规行为的查询纪录（若未提供，由代理机构及监督人现场查询核实）</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1.3</w:t>
      </w:r>
      <w:r>
        <w:rPr>
          <w:rFonts w:ascii="仿宋" w:hAnsi="仿宋" w:eastAsia="仿宋" w:cs="仿宋"/>
          <w:sz w:val="24"/>
          <w:szCs w:val="24"/>
        </w:rPr>
        <w:t>本项目不接受联合体投标。</w:t>
      </w:r>
    </w:p>
    <w:p>
      <w:pPr>
        <w:ind w:firstLine="480" w:firstLineChars="200"/>
        <w:rPr>
          <w:rFonts w:ascii="仿宋" w:hAnsi="仿宋" w:eastAsia="仿宋" w:cs="仿宋"/>
          <w:sz w:val="24"/>
          <w:szCs w:val="24"/>
        </w:rPr>
      </w:pPr>
      <w:r>
        <w:rPr>
          <w:rFonts w:hint="eastAsia" w:ascii="仿宋" w:hAnsi="仿宋" w:eastAsia="仿宋" w:cs="仿宋"/>
          <w:sz w:val="24"/>
          <w:szCs w:val="24"/>
        </w:rPr>
        <w:t>1.4本项目不接受联合体或分公司参与磋商。</w:t>
      </w:r>
      <w:bookmarkStart w:id="78" w:name="_Toc5284"/>
    </w:p>
    <w:p>
      <w:pPr>
        <w:ind w:firstLine="480" w:firstLineChars="200"/>
        <w:rPr>
          <w:rFonts w:ascii="仿宋" w:hAnsi="仿宋" w:eastAsia="仿宋" w:cs="仿宋"/>
          <w:sz w:val="24"/>
          <w:szCs w:val="24"/>
        </w:rPr>
      </w:pPr>
    </w:p>
    <w:p>
      <w:pPr>
        <w:spacing w:line="420" w:lineRule="exact"/>
        <w:jc w:val="center"/>
        <w:outlineLvl w:val="1"/>
        <w:rPr>
          <w:rFonts w:ascii="仿宋" w:hAnsi="仿宋" w:eastAsia="仿宋" w:cs="仿宋"/>
          <w:b/>
          <w:bCs/>
          <w:sz w:val="32"/>
          <w:szCs w:val="32"/>
        </w:rPr>
      </w:pPr>
      <w:bookmarkStart w:id="79" w:name="_Toc30052_WPSOffice_Level2"/>
      <w:r>
        <w:rPr>
          <w:rFonts w:hint="eastAsia" w:ascii="仿宋" w:hAnsi="仿宋" w:eastAsia="仿宋" w:cs="仿宋"/>
          <w:b/>
          <w:bCs/>
          <w:sz w:val="32"/>
          <w:szCs w:val="32"/>
        </w:rPr>
        <w:t>第二章政府采购政策</w:t>
      </w:r>
      <w:bookmarkEnd w:id="78"/>
      <w:bookmarkEnd w:id="79"/>
    </w:p>
    <w:p>
      <w:pPr>
        <w:spacing w:line="340" w:lineRule="exact"/>
        <w:ind w:firstLine="482" w:firstLineChars="200"/>
        <w:rPr>
          <w:rFonts w:ascii="宋体" w:hAnsi="宋体" w:cs="宋体"/>
          <w:b/>
          <w:bCs/>
          <w:sz w:val="24"/>
          <w:szCs w:val="24"/>
        </w:rPr>
      </w:pPr>
      <w:r>
        <w:rPr>
          <w:rFonts w:hint="eastAsia" w:ascii="宋体" w:hAnsi="宋体" w:cs="宋体"/>
          <w:b/>
          <w:bCs/>
          <w:sz w:val="24"/>
          <w:szCs w:val="24"/>
        </w:rPr>
        <w:t>2、需要落实的政府采购政策</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 </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2.1支持中小企业政府采购政策功能落实</w:t>
      </w:r>
    </w:p>
    <w:p>
      <w:pPr>
        <w:ind w:firstLine="480" w:firstLineChars="200"/>
        <w:rPr>
          <w:rFonts w:ascii="仿宋" w:hAnsi="仿宋" w:eastAsia="仿宋" w:cs="仿宋"/>
          <w:sz w:val="24"/>
          <w:szCs w:val="24"/>
        </w:rPr>
      </w:pPr>
      <w:r>
        <w:rPr>
          <w:rFonts w:hint="eastAsia" w:ascii="仿宋" w:hAnsi="仿宋" w:eastAsia="仿宋" w:cs="仿宋"/>
          <w:sz w:val="24"/>
          <w:szCs w:val="24"/>
        </w:rPr>
        <w:t>本采购项目面向中小企业。该项目对应的中小企业划分标准所属行业：</w:t>
      </w:r>
      <w:r>
        <w:rPr>
          <w:rFonts w:hint="eastAsia" w:ascii="仿宋" w:hAnsi="仿宋" w:eastAsia="仿宋" w:cs="仿宋"/>
          <w:sz w:val="24"/>
          <w:szCs w:val="24"/>
          <w:u w:val="single"/>
        </w:rPr>
        <w:t>其他未列明行业</w:t>
      </w:r>
      <w:r>
        <w:rPr>
          <w:rFonts w:hint="eastAsia" w:ascii="仿宋" w:hAnsi="仿宋" w:eastAsia="仿宋" w:cs="仿宋"/>
          <w:sz w:val="24"/>
          <w:szCs w:val="24"/>
        </w:rPr>
        <w:t>。 【行业划分标准按《国民经济行业分类》执行。中小企业划分标准按《中小企业划型标准规定》（工信部联企业[2011]300号）文件规定执行。】</w:t>
      </w:r>
    </w:p>
    <w:p>
      <w:pPr>
        <w:ind w:firstLine="482" w:firstLineChars="200"/>
        <w:rPr>
          <w:rFonts w:ascii="仿宋" w:hAnsi="仿宋" w:eastAsia="仿宋" w:cs="仿宋"/>
          <w:sz w:val="24"/>
          <w:szCs w:val="24"/>
        </w:rPr>
      </w:pPr>
      <w:r>
        <w:rPr>
          <w:rFonts w:hint="eastAsia" w:ascii="仿宋" w:hAnsi="仿宋" w:eastAsia="仿宋" w:cs="仿宋"/>
          <w:b/>
          <w:bCs/>
          <w:sz w:val="24"/>
          <w:szCs w:val="24"/>
        </w:rPr>
        <w:t>2.1.1小微型企业价格扣除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（1）供应商需按照采购文件的要求提供相应的</w:t>
      </w:r>
      <w:r>
        <w:rPr>
          <w:rFonts w:hint="eastAsia" w:ascii="仿宋" w:hAnsi="仿宋" w:eastAsia="仿宋" w:cs="仿宋"/>
          <w:b/>
          <w:bCs/>
          <w:sz w:val="24"/>
          <w:szCs w:val="24"/>
        </w:rPr>
        <w:t>《中小企业声明函》</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（2）企业标准请参照《关于印发中小企业划型标准规定的通知》（工信部联企业〔2011〕300号）文件规定自行填写。</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2.1.2残疾人福利单位价格扣除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（1）本项目对残疾人福利性单位视同小型、微型企业，给予10%的价格扣除，用扣除后的价格参与评审。</w:t>
      </w:r>
    </w:p>
    <w:p>
      <w:pPr>
        <w:ind w:firstLine="480" w:firstLineChars="200"/>
        <w:rPr>
          <w:rFonts w:ascii="仿宋" w:hAnsi="仿宋" w:eastAsia="仿宋" w:cs="仿宋"/>
          <w:sz w:val="24"/>
          <w:szCs w:val="24"/>
        </w:rPr>
      </w:pPr>
      <w:r>
        <w:rPr>
          <w:rFonts w:hint="eastAsia" w:ascii="仿宋" w:hAnsi="仿宋" w:eastAsia="仿宋" w:cs="仿宋"/>
          <w:sz w:val="24"/>
          <w:szCs w:val="24"/>
        </w:rPr>
        <w:t>（2）残疾人福利单位需按照采购文件的要求提供《残疾人福利性单位声明函》。</w:t>
      </w:r>
    </w:p>
    <w:p>
      <w:pPr>
        <w:ind w:firstLine="480" w:firstLineChars="200"/>
        <w:rPr>
          <w:rFonts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pPr>
        <w:ind w:firstLine="482" w:firstLineChars="200"/>
        <w:rPr>
          <w:rFonts w:ascii="仿宋" w:hAnsi="仿宋" w:eastAsia="仿宋" w:cs="仿宋"/>
          <w:sz w:val="24"/>
          <w:szCs w:val="24"/>
        </w:rPr>
      </w:pPr>
      <w:r>
        <w:rPr>
          <w:rFonts w:hint="eastAsia" w:ascii="仿宋" w:hAnsi="仿宋" w:eastAsia="仿宋" w:cs="仿宋"/>
          <w:b/>
          <w:bCs/>
          <w:sz w:val="24"/>
          <w:szCs w:val="24"/>
        </w:rPr>
        <w:t>2.1.3监狱和戒毒企业价格扣除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（1）本项目对监狱和戒毒企业（简称监狱企业）视同小型、微型企业，给予10%的价格扣除，用扣除后的价格参与评审。</w:t>
      </w:r>
    </w:p>
    <w:p>
      <w:pPr>
        <w:ind w:firstLine="480" w:firstLineChars="200"/>
        <w:rPr>
          <w:rFonts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（2）监狱企业参加政府采购活动时，需提供由省级以上监狱管理局、戒毒管理局(含新疆生产建设兵团)出具的属于监狱企业的证明文件。供应商如不提供上述证明文件，价格将不做相应扣除。</w:t>
      </w:r>
    </w:p>
    <w:p>
      <w:pPr>
        <w:ind w:firstLine="480" w:firstLineChars="200"/>
        <w:rPr>
          <w:rFonts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（3）监狱企业标准请参照《关于政府采购支持监狱企业发展有关问题的通知》（财库[2014]68号）。</w:t>
      </w:r>
    </w:p>
    <w:p>
      <w:pPr>
        <w:ind w:firstLine="480" w:firstLineChars="200"/>
        <w:rPr>
          <w:rFonts w:ascii="仿宋" w:hAnsi="仿宋" w:eastAsia="仿宋" w:cs="仿宋"/>
          <w:sz w:val="24"/>
          <w:szCs w:val="24"/>
        </w:rPr>
      </w:pPr>
      <w:r>
        <w:rPr>
          <w:rFonts w:hint="eastAsia" w:ascii="仿宋" w:hAnsi="仿宋" w:eastAsia="仿宋" w:cs="仿宋"/>
          <w:sz w:val="24"/>
          <w:szCs w:val="24"/>
        </w:rPr>
        <w:t>2.1.4残疾人福利单位、监狱企业属于小型、微型企业的，不重复享受政策。</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2.2节能产品、环境标志产品政府采购政策执行 </w:t>
      </w:r>
    </w:p>
    <w:p>
      <w:pPr>
        <w:ind w:firstLine="480" w:firstLineChars="200"/>
        <w:rPr>
          <w:rFonts w:ascii="仿宋" w:hAnsi="仿宋" w:eastAsia="仿宋" w:cs="仿宋"/>
          <w:sz w:val="24"/>
          <w:szCs w:val="24"/>
          <w:lang w:val="zh-CN"/>
        </w:rPr>
      </w:pPr>
      <w:r>
        <w:rPr>
          <w:rFonts w:hint="eastAsia" w:ascii="仿宋" w:hAnsi="仿宋" w:eastAsia="仿宋" w:cs="仿宋"/>
          <w:sz w:val="24"/>
          <w:szCs w:val="24"/>
        </w:rPr>
        <w:t xml:space="preserve">2.2.1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ind w:firstLine="480" w:firstLineChars="200"/>
        <w:rPr>
          <w:rFonts w:ascii="仿宋" w:hAnsi="仿宋" w:eastAsia="仿宋" w:cs="仿宋"/>
          <w:sz w:val="24"/>
          <w:szCs w:val="24"/>
        </w:rPr>
      </w:pPr>
      <w:r>
        <w:rPr>
          <w:rFonts w:hint="eastAsia" w:ascii="仿宋" w:hAnsi="仿宋" w:eastAsia="仿宋" w:cs="仿宋"/>
          <w:sz w:val="24"/>
          <w:szCs w:val="24"/>
        </w:rPr>
        <w:t>2.2.2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扫描件加盖供应商公章）。</w:t>
      </w:r>
    </w:p>
    <w:p>
      <w:pPr>
        <w:jc w:val="center"/>
        <w:outlineLvl w:val="1"/>
        <w:rPr>
          <w:rFonts w:ascii="仿宋" w:hAnsi="仿宋" w:eastAsia="仿宋"/>
          <w:b/>
          <w:bCs/>
          <w:sz w:val="32"/>
          <w:szCs w:val="32"/>
        </w:rPr>
      </w:pPr>
      <w:bookmarkStart w:id="80" w:name="_Toc30130"/>
      <w:bookmarkStart w:id="81" w:name="_Toc27243"/>
      <w:bookmarkStart w:id="82" w:name="_Toc18627"/>
      <w:bookmarkStart w:id="83" w:name="_Toc32579"/>
      <w:bookmarkStart w:id="84" w:name="_Toc18108"/>
      <w:bookmarkStart w:id="85" w:name="_Toc2323"/>
      <w:bookmarkStart w:id="86" w:name="_Toc16356"/>
      <w:bookmarkStart w:id="87" w:name="_Toc20553"/>
      <w:bookmarkStart w:id="88" w:name="_Toc27026"/>
      <w:bookmarkStart w:id="89" w:name="_Toc14423"/>
      <w:bookmarkStart w:id="90" w:name="_Toc7318"/>
      <w:bookmarkStart w:id="91" w:name="_Toc21067"/>
      <w:bookmarkStart w:id="92" w:name="_Toc9017"/>
      <w:bookmarkStart w:id="93" w:name="_Toc27189_WPSOffice_Level2"/>
      <w:bookmarkStart w:id="94" w:name="_Toc3027"/>
      <w:bookmarkStart w:id="95" w:name="_Toc28350"/>
      <w:bookmarkStart w:id="96" w:name="_Toc16796"/>
      <w:bookmarkStart w:id="97" w:name="_Toc6222"/>
      <w:bookmarkStart w:id="98" w:name="_Toc25403"/>
      <w:bookmarkStart w:id="99" w:name="_Toc8477"/>
      <w:bookmarkStart w:id="100" w:name="_Toc13049"/>
      <w:bookmarkStart w:id="101" w:name="_Toc32072"/>
      <w:bookmarkStart w:id="102" w:name="_Toc16159"/>
      <w:r>
        <w:rPr>
          <w:rFonts w:hint="eastAsia" w:ascii="仿宋" w:hAnsi="仿宋" w:eastAsia="仿宋" w:cs="仿宋"/>
          <w:b/>
          <w:bCs/>
          <w:sz w:val="32"/>
          <w:szCs w:val="32"/>
        </w:rPr>
        <w:t>第三章磋商响应文件的编制要求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40" w:lineRule="exact"/>
        <w:ind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rPr>
        <w:t>、磋商响应文件的组成</w:t>
      </w:r>
    </w:p>
    <w:p>
      <w:pPr>
        <w:ind w:firstLine="480" w:firstLineChars="200"/>
        <w:rPr>
          <w:rFonts w:ascii="仿宋" w:hAnsi="仿宋" w:eastAsia="仿宋"/>
          <w:sz w:val="24"/>
          <w:szCs w:val="24"/>
        </w:rPr>
      </w:pPr>
      <w:r>
        <w:rPr>
          <w:rFonts w:hint="eastAsia" w:ascii="仿宋" w:hAnsi="仿宋" w:eastAsia="仿宋" w:cs="仿宋"/>
          <w:sz w:val="24"/>
          <w:szCs w:val="24"/>
        </w:rPr>
        <w:t>严格按照本磋商文件“第五部分磋商响应文件范本格式”的顺序和格式要求编制响应文件，如未按要求编制及提交电子版响应文件的，报价无效。</w:t>
      </w:r>
    </w:p>
    <w:p>
      <w:pPr>
        <w:spacing w:line="340" w:lineRule="exact"/>
        <w:ind w:firstLine="482" w:firstLineChars="200"/>
        <w:rPr>
          <w:rFonts w:ascii="宋体"/>
          <w:b/>
          <w:bCs/>
          <w:sz w:val="24"/>
          <w:szCs w:val="24"/>
        </w:rPr>
      </w:pPr>
      <w:r>
        <w:rPr>
          <w:rFonts w:ascii="宋体" w:hAnsi="宋体" w:cs="宋体"/>
          <w:b/>
          <w:bCs/>
          <w:sz w:val="24"/>
          <w:szCs w:val="24"/>
        </w:rPr>
        <w:t>4</w:t>
      </w:r>
      <w:r>
        <w:rPr>
          <w:rFonts w:hint="eastAsia" w:ascii="宋体" w:hAnsi="宋体" w:cs="宋体"/>
          <w:b/>
          <w:bCs/>
          <w:sz w:val="24"/>
          <w:szCs w:val="24"/>
        </w:rPr>
        <w:t>、磋商响应文件的格式</w:t>
      </w:r>
    </w:p>
    <w:p>
      <w:pPr>
        <w:spacing w:line="340" w:lineRule="exact"/>
        <w:ind w:firstLine="480" w:firstLineChars="200"/>
        <w:rPr>
          <w:rFonts w:ascii="仿宋" w:hAnsi="仿宋" w:eastAsia="仿宋" w:cs="仿宋"/>
          <w:b/>
          <w:bCs/>
          <w:sz w:val="24"/>
          <w:szCs w:val="24"/>
        </w:rPr>
      </w:pPr>
      <w:r>
        <w:rPr>
          <w:rFonts w:hint="eastAsia" w:ascii="仿宋" w:hAnsi="仿宋" w:eastAsia="仿宋" w:cs="仿宋"/>
          <w:sz w:val="24"/>
          <w:szCs w:val="24"/>
        </w:rPr>
        <w:t>供应商应按采购文件的范本格式中提供的磋商响应文件格式认真填写。</w:t>
      </w:r>
      <w:r>
        <w:rPr>
          <w:rFonts w:hint="eastAsia" w:ascii="仿宋" w:hAnsi="仿宋" w:eastAsia="仿宋" w:cs="仿宋"/>
          <w:b/>
          <w:bCs/>
          <w:sz w:val="24"/>
          <w:szCs w:val="24"/>
        </w:rPr>
        <w:t>（为便于评委审阅，递交的磋商响应文件每页必须编写目录和页码）。</w:t>
      </w:r>
    </w:p>
    <w:p>
      <w:pPr>
        <w:ind w:firstLine="482" w:firstLineChars="200"/>
        <w:rPr>
          <w:rFonts w:ascii="Arial" w:hAnsi="Arial"/>
          <w:b/>
          <w:sz w:val="24"/>
        </w:rPr>
      </w:pPr>
      <w:r>
        <w:rPr>
          <w:rFonts w:hint="eastAsia" w:ascii="Arial" w:hAnsi="Arial"/>
          <w:b/>
          <w:sz w:val="24"/>
        </w:rPr>
        <w:t>5、磋商响应文件的编写及递交</w:t>
      </w:r>
    </w:p>
    <w:p>
      <w:pPr>
        <w:ind w:firstLine="480" w:firstLineChars="200"/>
        <w:rPr>
          <w:rFonts w:ascii="仿宋_GB2312" w:hAnsi="Arial" w:eastAsia="仿宋_GB2312" w:cs="仿宋_GB2312"/>
          <w:sz w:val="24"/>
          <w:szCs w:val="24"/>
        </w:rPr>
      </w:pPr>
      <w:bookmarkStart w:id="103" w:name="_Toc24126"/>
      <w:r>
        <w:rPr>
          <w:rFonts w:hint="eastAsia" w:ascii="仿宋_GB2312" w:hAnsi="Arial" w:eastAsia="仿宋_GB2312" w:cs="仿宋_GB2312"/>
          <w:sz w:val="24"/>
          <w:szCs w:val="24"/>
        </w:rPr>
        <w:t>供应商应按照本项目磋商文件和政采云平台的要求编制电子响应文件，于报价截止时间之前将制作好的加密的电子响应文件上传到“政采云”平台。未在响应文件递交截止时间前完成上传的电子响应文件视为逾期送达，逾期上传或未按规定方式上传的电子响应文件，采购机构不予受理。本项目采用不见面方式组织采购，供应商在使用系统进行报价的过程中遇到涉及平台使用的任何问题，可致电政采云平台技术支持热线咨询，联系方式：95763。</w:t>
      </w:r>
      <w:bookmarkEnd w:id="103"/>
    </w:p>
    <w:p>
      <w:pPr>
        <w:ind w:firstLine="482" w:firstLineChars="200"/>
        <w:rPr>
          <w:rFonts w:ascii="Arial" w:hAnsi="Arial"/>
          <w:b/>
          <w:sz w:val="24"/>
        </w:rPr>
      </w:pPr>
      <w:r>
        <w:rPr>
          <w:rFonts w:hint="eastAsia" w:ascii="Arial" w:hAnsi="Arial"/>
          <w:b/>
          <w:sz w:val="24"/>
        </w:rPr>
        <w:t>6、磋商响应文件的加密</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磋商响应文件的内容通过数字证书进行加密并签章，投标截止时间前通过政采云平台上传到指定位置。未按要求加密和数字证书认证的电子响应文件，电子评标系统将无法接受,代理机构及采购方不予受理。</w:t>
      </w:r>
    </w:p>
    <w:p>
      <w:pPr>
        <w:spacing w:line="420" w:lineRule="exact"/>
        <w:ind w:left="482" w:hanging="482"/>
        <w:jc w:val="center"/>
        <w:outlineLvl w:val="1"/>
        <w:rPr>
          <w:rFonts w:ascii="仿宋" w:hAnsi="仿宋" w:eastAsia="仿宋"/>
          <w:b/>
          <w:bCs/>
          <w:sz w:val="32"/>
          <w:szCs w:val="32"/>
        </w:rPr>
      </w:pPr>
      <w:bookmarkStart w:id="104" w:name="_Toc24075"/>
      <w:bookmarkStart w:id="105" w:name="_Toc66"/>
      <w:bookmarkStart w:id="106" w:name="_Toc29500"/>
      <w:bookmarkStart w:id="107" w:name="_Toc22900"/>
      <w:bookmarkStart w:id="108" w:name="_Toc20337_WPSOffice_Level2"/>
      <w:bookmarkStart w:id="109" w:name="_Toc20764"/>
      <w:bookmarkStart w:id="110" w:name="_Toc2666"/>
      <w:bookmarkStart w:id="111" w:name="_Toc17683"/>
      <w:bookmarkStart w:id="112" w:name="_Toc19692"/>
      <w:bookmarkStart w:id="113" w:name="_Toc31153"/>
      <w:bookmarkStart w:id="114" w:name="_Toc9644"/>
      <w:bookmarkStart w:id="115" w:name="_Toc24466"/>
      <w:bookmarkStart w:id="116" w:name="_Toc7351"/>
      <w:bookmarkStart w:id="117" w:name="_Toc8927"/>
      <w:bookmarkStart w:id="118" w:name="_Toc11780"/>
      <w:bookmarkStart w:id="119" w:name="_Toc13513"/>
      <w:bookmarkStart w:id="120" w:name="_Toc8757"/>
      <w:bookmarkStart w:id="121" w:name="_Toc11499"/>
      <w:bookmarkStart w:id="122" w:name="_Toc32547"/>
      <w:bookmarkStart w:id="123" w:name="_Toc29980"/>
      <w:bookmarkStart w:id="124" w:name="_Toc16239"/>
      <w:bookmarkStart w:id="125" w:name="_Toc27427"/>
      <w:bookmarkStart w:id="126" w:name="_Toc4583"/>
      <w:r>
        <w:rPr>
          <w:rFonts w:hint="eastAsia" w:ascii="仿宋" w:hAnsi="仿宋" w:eastAsia="仿宋" w:cs="仿宋"/>
          <w:b/>
          <w:bCs/>
          <w:sz w:val="32"/>
          <w:szCs w:val="32"/>
        </w:rPr>
        <w:t>第四章磋商报价及保证金</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ind w:firstLine="482" w:firstLineChars="200"/>
        <w:rPr>
          <w:rFonts w:ascii="宋体"/>
          <w:b/>
          <w:bCs/>
          <w:sz w:val="24"/>
          <w:szCs w:val="24"/>
        </w:rPr>
      </w:pPr>
      <w:r>
        <w:rPr>
          <w:rFonts w:hint="eastAsia" w:ascii="宋体" w:hAnsi="宋体" w:cs="宋体"/>
          <w:b/>
          <w:bCs/>
          <w:sz w:val="24"/>
          <w:szCs w:val="24"/>
        </w:rPr>
        <w:t>7、磋商报价</w:t>
      </w:r>
    </w:p>
    <w:p>
      <w:pPr>
        <w:spacing w:line="340" w:lineRule="exact"/>
        <w:ind w:firstLine="482" w:firstLineChars="200"/>
        <w:rPr>
          <w:rFonts w:ascii="仿宋" w:hAnsi="仿宋" w:eastAsia="仿宋"/>
          <w:b/>
          <w:bCs/>
          <w:sz w:val="24"/>
          <w:szCs w:val="24"/>
        </w:rPr>
      </w:pPr>
      <w:r>
        <w:rPr>
          <w:rFonts w:hint="eastAsia" w:ascii="仿宋" w:hAnsi="仿宋" w:eastAsia="仿宋" w:cs="仿宋"/>
          <w:b/>
          <w:bCs/>
          <w:sz w:val="24"/>
          <w:szCs w:val="24"/>
        </w:rPr>
        <w:t>磋商报价即本项目完工价，以人民币元为计算单位。只要投报了一个确定数额的总价，无论分项价格是否全部填报了相应的金额或免费字样，报价均被视为已经包含了但并不限于各项耗材、工具、人员工资、保险和相关服务等的费用。在其它情况下，由于分项报价填报不完整、不清楚或存在其它任何失误，所导致的任何不利后果均应当由供应商自行承担。采购人、采购机构不接受除完工价之外，还需另外支付任何税费的报价。</w:t>
      </w:r>
    </w:p>
    <w:p>
      <w:pPr>
        <w:spacing w:line="340" w:lineRule="exact"/>
        <w:ind w:firstLine="482" w:firstLineChars="200"/>
        <w:rPr>
          <w:rFonts w:ascii="宋体"/>
          <w:b/>
          <w:bCs/>
          <w:sz w:val="24"/>
          <w:szCs w:val="24"/>
        </w:rPr>
      </w:pPr>
      <w:r>
        <w:rPr>
          <w:rFonts w:hint="eastAsia" w:ascii="仿宋" w:hAnsi="仿宋" w:eastAsia="仿宋" w:cs="仿宋"/>
          <w:b/>
          <w:bCs/>
          <w:sz w:val="24"/>
          <w:szCs w:val="24"/>
        </w:rPr>
        <w:t>8、</w:t>
      </w:r>
      <w:r>
        <w:rPr>
          <w:rFonts w:hint="eastAsia" w:ascii="宋体" w:hAnsi="宋体" w:cs="宋体"/>
          <w:b/>
          <w:bCs/>
          <w:sz w:val="24"/>
          <w:szCs w:val="24"/>
        </w:rPr>
        <w:t>磋商报价方式</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8.2供应商提交的第一次报价以《磋商报价一览表》为准，只允许有一个报价，不接受有选择性的报价。</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8.3经过答疑及磋商后，供应商可结合自身实际情况进行最终（二次）报价，最终磋商报价以供应商在线签章确认的为准。</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8.4所有有效供应商的最终报价解密后统一公布。</w:t>
      </w:r>
    </w:p>
    <w:p>
      <w:pPr>
        <w:ind w:firstLine="482" w:firstLineChars="200"/>
        <w:rPr>
          <w:rFonts w:ascii="宋体" w:hAnsi="宋体"/>
          <w:b/>
          <w:sz w:val="24"/>
        </w:rPr>
      </w:pPr>
      <w:r>
        <w:rPr>
          <w:rFonts w:hint="eastAsia" w:ascii="Arial" w:hAnsi="Arial"/>
          <w:b/>
          <w:sz w:val="24"/>
        </w:rPr>
        <w:t>9、</w:t>
      </w:r>
      <w:r>
        <w:rPr>
          <w:rFonts w:hint="eastAsia" w:ascii="宋体" w:hAnsi="宋体"/>
          <w:b/>
          <w:sz w:val="24"/>
        </w:rPr>
        <w:t>磋商保证金</w:t>
      </w:r>
    </w:p>
    <w:p>
      <w:pPr>
        <w:ind w:firstLine="480" w:firstLineChars="200"/>
        <w:rPr>
          <w:rFonts w:ascii="仿宋" w:hAnsi="仿宋" w:eastAsia="仿宋" w:cs="仿宋"/>
          <w:bCs/>
          <w:sz w:val="24"/>
        </w:rPr>
      </w:pPr>
      <w:r>
        <w:rPr>
          <w:rFonts w:hint="eastAsia" w:ascii="仿宋" w:hAnsi="仿宋" w:eastAsia="仿宋" w:cs="仿宋"/>
          <w:bCs/>
          <w:sz w:val="24"/>
        </w:rPr>
        <w:t>本项目免收保证金。</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0、履约保证金</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.1 </w:t>
      </w:r>
      <w:r>
        <w:rPr>
          <w:rFonts w:hint="eastAsia" w:ascii="仿宋_GB2312" w:hAnsi="Arial" w:eastAsia="仿宋_GB2312" w:cs="仿宋_GB2312"/>
          <w:sz w:val="24"/>
          <w:szCs w:val="24"/>
        </w:rPr>
        <w:t>成交供应商应当以</w:t>
      </w:r>
      <w:r>
        <w:rPr>
          <w:rFonts w:hint="eastAsia" w:ascii="仿宋" w:hAnsi="仿宋" w:eastAsia="仿宋" w:cs="仿宋"/>
          <w:sz w:val="24"/>
          <w:szCs w:val="24"/>
        </w:rPr>
        <w:t>支票、汇票、本票或者金融机构、担保机构出具的保函等非现金形式</w:t>
      </w:r>
      <w:r>
        <w:rPr>
          <w:rFonts w:hint="eastAsia" w:ascii="仿宋_GB2312" w:hAnsi="Arial" w:eastAsia="仿宋_GB2312" w:cs="仿宋_GB2312"/>
          <w:sz w:val="24"/>
          <w:szCs w:val="24"/>
        </w:rPr>
        <w:t>向采购人交纳履约保证金；</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.2  </w:t>
      </w:r>
      <w:r>
        <w:rPr>
          <w:rFonts w:hint="eastAsia" w:ascii="仿宋" w:hAnsi="仿宋" w:eastAsia="仿宋" w:cs="仿宋"/>
          <w:bCs/>
          <w:sz w:val="24"/>
        </w:rPr>
        <w:t>本项目免收履约保证金</w:t>
      </w:r>
      <w:r>
        <w:rPr>
          <w:rFonts w:hint="eastAsia" w:ascii="仿宋_GB2312" w:hAnsi="Arial" w:eastAsia="仿宋_GB2312" w:cs="仿宋_GB2312"/>
          <w:sz w:val="24"/>
          <w:szCs w:val="24"/>
        </w:rPr>
        <w:t>；</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.3  </w:t>
      </w:r>
      <w:r>
        <w:rPr>
          <w:rFonts w:hint="eastAsia" w:ascii="仿宋_GB2312" w:hAnsi="Arial" w:eastAsia="仿宋_GB2312" w:cs="仿宋_GB2312"/>
          <w:sz w:val="24"/>
          <w:szCs w:val="24"/>
        </w:rPr>
        <w:t>验收合格的项目，采购人应当根据采购合同的约定及时向供应商支付采购资金、退还履约保证金。</w:t>
      </w:r>
    </w:p>
    <w:p>
      <w:pPr>
        <w:jc w:val="center"/>
        <w:outlineLvl w:val="1"/>
        <w:rPr>
          <w:rFonts w:ascii="仿宋" w:hAnsi="仿宋" w:eastAsia="仿宋"/>
          <w:b/>
          <w:bCs/>
          <w:sz w:val="32"/>
          <w:szCs w:val="32"/>
        </w:rPr>
      </w:pPr>
      <w:bookmarkStart w:id="127" w:name="_Toc13467"/>
      <w:bookmarkStart w:id="128" w:name="_Toc24852"/>
      <w:bookmarkStart w:id="129" w:name="_Toc8546"/>
      <w:bookmarkStart w:id="130" w:name="_Toc5603"/>
      <w:bookmarkStart w:id="131" w:name="_Toc10777"/>
      <w:bookmarkStart w:id="132" w:name="_Toc23533"/>
      <w:bookmarkStart w:id="133" w:name="_Toc3239"/>
      <w:bookmarkStart w:id="134" w:name="_Toc1168"/>
      <w:bookmarkStart w:id="135" w:name="_Toc26933"/>
      <w:bookmarkStart w:id="136" w:name="_Toc12477"/>
      <w:bookmarkStart w:id="137" w:name="_Toc1192"/>
      <w:bookmarkStart w:id="138" w:name="_Toc26606"/>
      <w:bookmarkStart w:id="139" w:name="_Toc13895"/>
      <w:bookmarkStart w:id="140" w:name="_Toc10425"/>
      <w:bookmarkStart w:id="141" w:name="_Toc30461"/>
      <w:bookmarkStart w:id="142" w:name="_Toc29559"/>
      <w:bookmarkStart w:id="143" w:name="_Toc17956_WPSOffice_Level2"/>
      <w:bookmarkStart w:id="144" w:name="_Toc11437"/>
      <w:bookmarkStart w:id="145" w:name="_Toc12989"/>
      <w:bookmarkStart w:id="146" w:name="_Toc19862"/>
      <w:bookmarkStart w:id="147" w:name="_Toc25989"/>
      <w:bookmarkStart w:id="148" w:name="_Toc11799"/>
      <w:bookmarkStart w:id="149" w:name="_Toc31653"/>
      <w:r>
        <w:rPr>
          <w:rFonts w:hint="eastAsia" w:ascii="仿宋" w:hAnsi="仿宋" w:eastAsia="仿宋" w:cs="仿宋"/>
          <w:b/>
          <w:bCs/>
          <w:sz w:val="32"/>
          <w:szCs w:val="32"/>
        </w:rPr>
        <w:t>第五章磋商组织程序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1、磋商小组</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.1 </w:t>
      </w:r>
      <w:r>
        <w:rPr>
          <w:rFonts w:hint="eastAsia" w:ascii="仿宋" w:hAnsi="仿宋" w:eastAsia="仿宋" w:cs="仿宋"/>
          <w:spacing w:val="-2"/>
          <w:sz w:val="24"/>
          <w:szCs w:val="24"/>
        </w:rPr>
        <w:t>采购机构根据《政府采购法》等法律法规的规定，依法组建磋商小组。磋商小组负责本采购项目评审活动推荐成交候选人，并编写评审报告。</w:t>
      </w:r>
    </w:p>
    <w:p>
      <w:pPr>
        <w:spacing w:line="340" w:lineRule="exact"/>
        <w:ind w:firstLine="472" w:firstLineChars="200"/>
        <w:rPr>
          <w:rFonts w:ascii="仿宋" w:hAnsi="仿宋" w:eastAsia="仿宋" w:cs="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.2  </w:t>
      </w:r>
      <w:r>
        <w:rPr>
          <w:rFonts w:hint="eastAsia" w:ascii="仿宋" w:hAnsi="仿宋" w:eastAsia="仿宋" w:cs="仿宋"/>
          <w:spacing w:val="-2"/>
          <w:sz w:val="24"/>
          <w:szCs w:val="24"/>
        </w:rPr>
        <w:t>磋商小组由采购人代表和评审专家共</w:t>
      </w:r>
      <w:r>
        <w:rPr>
          <w:rFonts w:ascii="仿宋" w:hAnsi="仿宋" w:eastAsia="仿宋" w:cs="仿宋"/>
          <w:spacing w:val="-2"/>
          <w:sz w:val="24"/>
          <w:szCs w:val="24"/>
        </w:rPr>
        <w:t>3</w:t>
      </w:r>
      <w:r>
        <w:rPr>
          <w:rFonts w:hint="eastAsia" w:ascii="仿宋" w:hAnsi="仿宋" w:eastAsia="仿宋" w:cs="仿宋"/>
          <w:spacing w:val="-2"/>
          <w:sz w:val="24"/>
          <w:szCs w:val="24"/>
        </w:rPr>
        <w:t>人以上单数组成，其中评审专家人数不少于磋商小组成员总数的</w:t>
      </w:r>
      <w:r>
        <w:rPr>
          <w:rFonts w:ascii="仿宋" w:hAnsi="仿宋" w:eastAsia="仿宋" w:cs="仿宋"/>
          <w:spacing w:val="-2"/>
          <w:sz w:val="24"/>
          <w:szCs w:val="24"/>
        </w:rPr>
        <w:t>2/3</w:t>
      </w:r>
      <w:r>
        <w:rPr>
          <w:rFonts w:hint="eastAsia" w:ascii="仿宋" w:hAnsi="仿宋" w:eastAsia="仿宋" w:cs="仿宋"/>
          <w:spacing w:val="-2"/>
          <w:sz w:val="24"/>
          <w:szCs w:val="24"/>
        </w:rPr>
        <w:t>。采购人不得以评审专家身份参加本部门或本单位采购项目的评审。</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.3</w:t>
      </w:r>
      <w:r>
        <w:rPr>
          <w:rFonts w:hint="eastAsia" w:ascii="仿宋" w:hAnsi="仿宋" w:eastAsia="仿宋" w:cs="仿宋"/>
          <w:spacing w:val="-2"/>
          <w:sz w:val="24"/>
          <w:szCs w:val="24"/>
        </w:rPr>
        <w:t>　采购人或采购代理机构于磋商开始前</w:t>
      </w:r>
      <w:r>
        <w:rPr>
          <w:rFonts w:ascii="仿宋" w:hAnsi="仿宋" w:eastAsia="仿宋" w:cs="仿宋"/>
          <w:spacing w:val="-2"/>
          <w:sz w:val="24"/>
          <w:szCs w:val="24"/>
        </w:rPr>
        <w:t>2</w:t>
      </w:r>
      <w:r>
        <w:rPr>
          <w:rFonts w:hint="eastAsia" w:ascii="仿宋" w:hAnsi="仿宋" w:eastAsia="仿宋" w:cs="仿宋"/>
          <w:spacing w:val="-2"/>
          <w:sz w:val="24"/>
          <w:szCs w:val="24"/>
        </w:rPr>
        <w:t>个工作日内在“新疆政府采购网”专家抽取系统中通过随机方式抽取本项目评审专家。对于技术复杂、专业性强的采购项目，通过随机方式难以确定合适评审专家的，经主管预算单位同意，采购人可以自行选定相应领域的评审专家。自行选定评审专家的，应当优先选择本单位以外的评审专家。</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2、磋商响应文件的递交</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12.1本项目实行电子化采购，供应商登录“政采云”平台，在报价开启时间后用“项目采购-开标评标”功能进行解密响应文件。若供应商在规定时间内未按时解密的，视为电子响应文件撤回。</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12.2报价开启后签字确认时段不得超过30分钟。</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12.3各供应商应在报价开启前应确保成为新疆政府采购网正式注册入库供应商，并完成CA数字证书申领。因未注册入库、未办理CA数字证书等原因造成无法投标或投标失败等后果由供应商自行承担。建议于投标电子响应文件递交截止时间前1个工作日完成投标电子响应文件的制作与上传。</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3、磋商开始及资格审查</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.1</w:t>
      </w:r>
      <w:r>
        <w:rPr>
          <w:rFonts w:hint="eastAsia" w:ascii="仿宋" w:hAnsi="仿宋" w:eastAsia="仿宋" w:cs="仿宋"/>
          <w:sz w:val="24"/>
          <w:szCs w:val="24"/>
        </w:rPr>
        <w:t>　</w:t>
      </w:r>
      <w:r>
        <w:rPr>
          <w:rFonts w:hint="eastAsia" w:ascii="仿宋_GB2312" w:hAnsi="Arial" w:eastAsia="仿宋_GB2312" w:cs="仿宋_GB2312"/>
          <w:sz w:val="24"/>
          <w:szCs w:val="24"/>
        </w:rPr>
        <w:t>本项目按照采购文件规定的磋商时间和地点进行，由集中采购机构项目负责人主持，采购人代表、监督代表和报价供应商的授权代表参加磋商会。</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.2</w:t>
      </w:r>
      <w:r>
        <w:rPr>
          <w:rFonts w:hint="eastAsia" w:ascii="仿宋" w:hAnsi="仿宋" w:eastAsia="仿宋" w:cs="仿宋"/>
          <w:sz w:val="24"/>
          <w:szCs w:val="24"/>
        </w:rPr>
        <w:t>　供应商磋商资格审查由采购人代表在监督人的现场监督下逐一审查供应商资格是否符合采购文件规定要求。资格符合采购文件规定的供应商方可准予磋商。</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.3</w:t>
      </w:r>
      <w:r>
        <w:rPr>
          <w:rFonts w:hint="eastAsia" w:ascii="仿宋" w:hAnsi="仿宋" w:eastAsia="仿宋" w:cs="仿宋"/>
          <w:sz w:val="24"/>
          <w:szCs w:val="24"/>
        </w:rPr>
        <w:t>　开始磋商时间截止后，提交磋商响应文件的供应商不足</w:t>
      </w:r>
      <w:r>
        <w:rPr>
          <w:rFonts w:ascii="仿宋" w:hAnsi="仿宋" w:eastAsia="仿宋" w:cs="仿宋"/>
          <w:sz w:val="24"/>
          <w:szCs w:val="24"/>
        </w:rPr>
        <w:t>3</w:t>
      </w:r>
      <w:r>
        <w:rPr>
          <w:rFonts w:hint="eastAsia" w:ascii="仿宋" w:hAnsi="仿宋" w:eastAsia="仿宋" w:cs="仿宋"/>
          <w:sz w:val="24"/>
          <w:szCs w:val="24"/>
        </w:rPr>
        <w:t>家时，按照政府采购的相关法规的处理。</w:t>
      </w:r>
    </w:p>
    <w:p>
      <w:pPr>
        <w:spacing w:line="340" w:lineRule="exact"/>
        <w:ind w:firstLine="482" w:firstLineChars="200"/>
        <w:rPr>
          <w:rFonts w:ascii="宋体"/>
          <w:b/>
          <w:bCs/>
          <w:spacing w:val="-2"/>
          <w:sz w:val="24"/>
          <w:szCs w:val="24"/>
        </w:rPr>
      </w:pPr>
      <w:r>
        <w:rPr>
          <w:rFonts w:ascii="宋体" w:hAnsi="宋体" w:cs="宋体"/>
          <w:b/>
          <w:bCs/>
          <w:sz w:val="24"/>
          <w:szCs w:val="24"/>
        </w:rPr>
        <w:t>1</w:t>
      </w:r>
      <w:r>
        <w:rPr>
          <w:rFonts w:hint="eastAsia" w:ascii="宋体" w:hAnsi="宋体" w:cs="宋体"/>
          <w:b/>
          <w:bCs/>
          <w:sz w:val="24"/>
          <w:szCs w:val="24"/>
        </w:rPr>
        <w:t>4、</w:t>
      </w:r>
      <w:r>
        <w:rPr>
          <w:rFonts w:hint="eastAsia" w:ascii="宋体" w:hAnsi="宋体" w:cs="宋体"/>
          <w:b/>
          <w:bCs/>
          <w:spacing w:val="-2"/>
          <w:sz w:val="24"/>
          <w:szCs w:val="24"/>
        </w:rPr>
        <w:t>磋商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.1</w:t>
      </w:r>
      <w:r>
        <w:rPr>
          <w:rFonts w:hint="eastAsia" w:ascii="仿宋" w:hAnsi="仿宋" w:eastAsia="仿宋" w:cs="仿宋"/>
          <w:spacing w:val="-2"/>
          <w:sz w:val="24"/>
          <w:szCs w:val="24"/>
        </w:rPr>
        <w:t>磋商小组对响应文件进行评审，并根据磋商文件规定的程序、评定成交的标准等事项与实质性响应磋商文件要求的供应商进行磋商。未实质性响应磋商文件的响应文件按无效处理，磋商小组将告知有关供应商。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.2</w:t>
      </w:r>
      <w:r>
        <w:rPr>
          <w:rFonts w:hint="eastAsia" w:ascii="仿宋" w:hAnsi="仿宋" w:eastAsia="仿宋" w:cs="仿宋"/>
          <w:spacing w:val="-2"/>
          <w:sz w:val="24"/>
          <w:szCs w:val="24"/>
        </w:rPr>
        <w:t>磋商小组所有成员集中与单一供应商分别进行磋商，并给予所有参加磋商的供应商平等的磋商机会。</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.3</w:t>
      </w:r>
      <w:r>
        <w:rPr>
          <w:rFonts w:hint="eastAsia" w:ascii="仿宋" w:hAnsi="仿宋" w:eastAsia="仿宋" w:cs="仿宋"/>
          <w:spacing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6"/>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.4</w:t>
      </w:r>
      <w:r>
        <w:rPr>
          <w:rFonts w:hint="eastAsia" w:ascii="仿宋" w:hAnsi="仿宋" w:eastAsia="仿宋" w:cs="仿宋"/>
          <w:sz w:val="24"/>
          <w:szCs w:val="24"/>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详见评审标准）。</w:t>
      </w:r>
    </w:p>
    <w:p>
      <w:pPr>
        <w:pStyle w:val="6"/>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.5</w:t>
      </w:r>
      <w:r>
        <w:rPr>
          <w:rFonts w:hint="eastAsia" w:ascii="仿宋" w:hAnsi="仿宋" w:eastAsia="仿宋" w:cs="仿宋"/>
          <w:sz w:val="24"/>
          <w:szCs w:val="24"/>
        </w:rPr>
        <w:t>磋商小组各成员独立对每个实质性响应文件进行评价、打分，然后汇总每个供应商每项评分因素的得分，并根据综合评分情况按照评审得分由高到低顺序推荐不超过</w:t>
      </w:r>
      <w:r>
        <w:rPr>
          <w:rFonts w:ascii="仿宋" w:hAnsi="仿宋" w:eastAsia="仿宋" w:cs="仿宋"/>
          <w:sz w:val="24"/>
          <w:szCs w:val="24"/>
        </w:rPr>
        <w:t>3</w:t>
      </w:r>
      <w:r>
        <w:rPr>
          <w:rFonts w:hint="eastAsia" w:ascii="仿宋" w:hAnsi="仿宋" w:eastAsia="仿宋" w:cs="仿宋"/>
          <w:sz w:val="24"/>
          <w:szCs w:val="24"/>
        </w:rPr>
        <w:t>名成交候选供应商，并编写评审报告。若供应商的评审得分相同的，按照最后报价由低到高的顺序排列推荐。评审得分且最后报价相同的，按照服务指标优劣顺序排列推荐。</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5、综合评分</w:t>
      </w:r>
    </w:p>
    <w:p>
      <w:pPr>
        <w:ind w:firstLine="480" w:firstLineChars="200"/>
        <w:rPr>
          <w:rFonts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.1</w:t>
      </w:r>
      <w:r>
        <w:rPr>
          <w:rFonts w:hint="eastAsia" w:ascii="仿宋_GB2312" w:hAnsi="Arial" w:eastAsia="仿宋_GB2312" w:cs="仿宋_GB2312"/>
          <w:sz w:val="24"/>
          <w:szCs w:val="24"/>
        </w:rPr>
        <w:t>本次磋商采用综合评分法。</w:t>
      </w:r>
    </w:p>
    <w:p>
      <w:pPr>
        <w:pStyle w:val="6"/>
        <w:ind w:firstLine="480"/>
        <w:rPr>
          <w:rFonts w:ascii="仿宋" w:hAnsi="仿宋" w:eastAsia="仿宋" w:cs="仿宋"/>
          <w:sz w:val="24"/>
          <w:szCs w:val="24"/>
        </w:rPr>
      </w:pPr>
      <w:r>
        <w:rPr>
          <w:rFonts w:hint="eastAsia" w:ascii="仿宋" w:hAnsi="仿宋" w:eastAsia="仿宋" w:cs="仿宋"/>
          <w:sz w:val="24"/>
          <w:szCs w:val="24"/>
        </w:rPr>
        <w:t>1.经磋商确定最终采购需求和提交最后报价的投标单位后，由磋商小组采用综合评分法对提交最后报价的投标单位的响应文件和最后报价进行综合评分。</w:t>
      </w:r>
    </w:p>
    <w:p>
      <w:pPr>
        <w:pStyle w:val="6"/>
        <w:ind w:firstLine="480"/>
        <w:rPr>
          <w:rFonts w:ascii="仿宋" w:hAnsi="仿宋" w:eastAsia="仿宋" w:cs="仿宋"/>
          <w:sz w:val="24"/>
          <w:szCs w:val="24"/>
        </w:rPr>
      </w:pPr>
      <w:r>
        <w:rPr>
          <w:rFonts w:hint="eastAsia" w:ascii="仿宋" w:hAnsi="仿宋" w:eastAsia="仿宋" w:cs="仿宋"/>
          <w:sz w:val="24"/>
          <w:szCs w:val="24"/>
        </w:rPr>
        <w:t>综合评分法，是指响应文件满足磋商文件全部实质性要求且按评审因素的量化指标评审得分最高的投标单位为成交候选投标单位的评审方法。</w:t>
      </w:r>
    </w:p>
    <w:p>
      <w:pPr>
        <w:pStyle w:val="6"/>
        <w:ind w:firstLine="480"/>
        <w:rPr>
          <w:rFonts w:ascii="仿宋" w:hAnsi="仿宋" w:eastAsia="仿宋" w:cs="仿宋"/>
          <w:sz w:val="24"/>
          <w:szCs w:val="24"/>
        </w:rPr>
      </w:pPr>
      <w:r>
        <w:rPr>
          <w:rFonts w:hint="eastAsia" w:ascii="仿宋" w:hAnsi="仿宋" w:eastAsia="仿宋" w:cs="仿宋"/>
          <w:sz w:val="24"/>
          <w:szCs w:val="24"/>
        </w:rPr>
        <w:t>2.评审时，磋商小组各成员应当独立对每个有效响应的文件进行评价、打分，然后汇总每个投标单位每项评分因素的得分。</w:t>
      </w:r>
    </w:p>
    <w:p>
      <w:pPr>
        <w:pStyle w:val="6"/>
        <w:ind w:firstLine="480"/>
        <w:rPr>
          <w:rFonts w:ascii="仿宋" w:hAnsi="仿宋" w:eastAsia="仿宋" w:cs="仿宋"/>
          <w:sz w:val="24"/>
          <w:szCs w:val="24"/>
        </w:rPr>
      </w:pPr>
      <w:r>
        <w:rPr>
          <w:rFonts w:hint="eastAsia" w:ascii="仿宋" w:hAnsi="仿宋" w:eastAsia="仿宋" w:cs="仿宋"/>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6"/>
        <w:ind w:firstLine="480"/>
        <w:rPr>
          <w:rFonts w:ascii="仿宋" w:hAnsi="仿宋" w:eastAsia="仿宋" w:cs="仿宋"/>
          <w:sz w:val="24"/>
          <w:szCs w:val="24"/>
        </w:rPr>
      </w:pPr>
      <w:r>
        <w:rPr>
          <w:rFonts w:hint="eastAsia" w:ascii="仿宋" w:hAnsi="仿宋" w:eastAsia="仿宋" w:cs="仿宋"/>
          <w:sz w:val="24"/>
          <w:szCs w:val="24"/>
        </w:rPr>
        <w:t>4.本次竟争性磋商采用两次报价评定成交方式。</w:t>
      </w:r>
    </w:p>
    <w:p>
      <w:pPr>
        <w:ind w:firstLine="480" w:firstLineChars="200"/>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.2</w:t>
      </w:r>
      <w:r>
        <w:rPr>
          <w:rFonts w:hint="eastAsia" w:ascii="仿宋_GB2312" w:hAnsi="Arial" w:eastAsia="仿宋_GB2312" w:cs="仿宋_GB2312"/>
          <w:sz w:val="24"/>
          <w:szCs w:val="24"/>
        </w:rPr>
        <w:t>综合评分细则表</w:t>
      </w:r>
    </w:p>
    <w:p>
      <w:pPr>
        <w:pStyle w:val="6"/>
        <w:ind w:firstLine="562"/>
        <w:jc w:val="left"/>
        <w:rPr>
          <w:rFonts w:ascii="宋体" w:hAnsi="宋体" w:cs="宋体"/>
          <w:b/>
          <w:bCs/>
          <w:sz w:val="28"/>
          <w:szCs w:val="28"/>
        </w:rPr>
      </w:pPr>
      <w:r>
        <w:rPr>
          <w:rFonts w:hint="eastAsia" w:ascii="宋体" w:hAnsi="宋体" w:cs="宋体"/>
          <w:b/>
          <w:bCs/>
          <w:sz w:val="28"/>
          <w:szCs w:val="28"/>
        </w:rPr>
        <w:t>符合性审查：</w:t>
      </w:r>
    </w:p>
    <w:tbl>
      <w:tblPr>
        <w:tblStyle w:val="21"/>
        <w:tblW w:w="9197"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720"/>
        <w:gridCol w:w="5602"/>
        <w:gridCol w:w="872"/>
        <w:gridCol w:w="100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6" w:hRule="atLeast"/>
        </w:trPr>
        <w:tc>
          <w:tcPr>
            <w:tcW w:w="1720" w:type="dxa"/>
            <w:vMerge w:val="restart"/>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r>
              <w:rPr>
                <w:rFonts w:hint="eastAsia" w:ascii="宋体" w:hAnsi="宋体" w:eastAsia="宋体" w:cs="宋体"/>
                <w:b/>
              </w:rPr>
              <w:t>评分因素</w:t>
            </w:r>
          </w:p>
        </w:tc>
        <w:tc>
          <w:tcPr>
            <w:tcW w:w="5602" w:type="dxa"/>
            <w:vMerge w:val="restart"/>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r>
              <w:rPr>
                <w:rFonts w:hint="eastAsia" w:ascii="宋体" w:hAnsi="宋体" w:eastAsia="宋体" w:cs="宋体"/>
                <w:b/>
              </w:rPr>
              <w:t>评分标准</w:t>
            </w:r>
          </w:p>
        </w:tc>
        <w:tc>
          <w:tcPr>
            <w:tcW w:w="1875" w:type="dxa"/>
            <w:gridSpan w:val="2"/>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r>
              <w:rPr>
                <w:rFonts w:hint="eastAsia" w:ascii="宋体" w:hAnsi="宋体" w:eastAsia="宋体" w:cs="宋体"/>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6" w:hRule="atLeast"/>
        </w:trPr>
        <w:tc>
          <w:tcPr>
            <w:tcW w:w="1720" w:type="dxa"/>
            <w:vMerge w:val="continue"/>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p>
        </w:tc>
        <w:tc>
          <w:tcPr>
            <w:tcW w:w="5602" w:type="dxa"/>
            <w:vMerge w:val="continue"/>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r>
              <w:rPr>
                <w:rFonts w:hint="eastAsia" w:ascii="宋体" w:hAnsi="宋体" w:eastAsia="宋体" w:cs="宋体"/>
                <w:b/>
              </w:rPr>
              <w:t>通过</w:t>
            </w: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jc w:val="center"/>
              <w:rPr>
                <w:rFonts w:ascii="宋体" w:hAnsi="宋体" w:eastAsia="宋体" w:cs="宋体"/>
              </w:rPr>
            </w:pPr>
            <w:r>
              <w:rPr>
                <w:rFonts w:hint="eastAsia" w:ascii="宋体" w:hAnsi="宋体" w:eastAsia="宋体" w:cs="宋体"/>
                <w:b/>
              </w:rPr>
              <w:t>不通过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6" w:hRule="atLeast"/>
        </w:trPr>
        <w:tc>
          <w:tcPr>
            <w:tcW w:w="1720" w:type="dxa"/>
            <w:vMerge w:val="restart"/>
            <w:tcBorders>
              <w:top w:val="single" w:color="auto" w:sz="4" w:space="0"/>
              <w:left w:val="outset" w:color="auto" w:sz="6" w:space="0"/>
              <w:right w:val="outset" w:color="auto" w:sz="6" w:space="0"/>
            </w:tcBorders>
            <w:noWrap/>
            <w:vAlign w:val="center"/>
          </w:tcPr>
          <w:p>
            <w:pPr>
              <w:pStyle w:val="74"/>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符</w:t>
            </w:r>
          </w:p>
          <w:p>
            <w:pPr>
              <w:pStyle w:val="74"/>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合</w:t>
            </w:r>
          </w:p>
          <w:p>
            <w:pPr>
              <w:pStyle w:val="74"/>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性</w:t>
            </w:r>
          </w:p>
          <w:p>
            <w:pPr>
              <w:pStyle w:val="74"/>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检</w:t>
            </w:r>
          </w:p>
          <w:p>
            <w:pPr>
              <w:pStyle w:val="74"/>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查</w:t>
            </w:r>
          </w:p>
        </w:tc>
        <w:tc>
          <w:tcPr>
            <w:tcW w:w="5602" w:type="dxa"/>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sz w:val="21"/>
                <w:szCs w:val="21"/>
                <w:lang w:val="zh-CN"/>
              </w:rPr>
            </w:pPr>
            <w:r>
              <w:rPr>
                <w:rFonts w:hint="eastAsia" w:ascii="宋体" w:hAnsi="宋体" w:eastAsia="宋体" w:cs="宋体"/>
                <w:sz w:val="21"/>
                <w:szCs w:val="21"/>
                <w:lang w:val="zh-CN"/>
              </w:rPr>
              <w:t>响应文件是否按照磋商文件规定要求签署、盖章；</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720" w:type="dxa"/>
            <w:vMerge w:val="continue"/>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kern w:val="2"/>
                <w:sz w:val="21"/>
                <w:szCs w:val="21"/>
                <w:lang w:val="zh-CN"/>
              </w:rPr>
            </w:pPr>
          </w:p>
        </w:tc>
        <w:tc>
          <w:tcPr>
            <w:tcW w:w="5602" w:type="dxa"/>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sz w:val="21"/>
                <w:szCs w:val="21"/>
                <w:lang w:val="zh-CN"/>
              </w:rPr>
            </w:pPr>
            <w:r>
              <w:rPr>
                <w:rFonts w:hint="eastAsia" w:ascii="宋体" w:hAnsi="宋体" w:eastAsia="宋体" w:cs="宋体"/>
                <w:sz w:val="21"/>
                <w:szCs w:val="21"/>
                <w:lang w:val="zh-CN"/>
              </w:rPr>
              <w:t>报价是否未超过</w:t>
            </w:r>
            <w:r>
              <w:rPr>
                <w:rFonts w:hint="eastAsia" w:ascii="宋体" w:hAnsi="宋体" w:eastAsia="宋体" w:cs="宋体"/>
                <w:sz w:val="21"/>
                <w:szCs w:val="21"/>
              </w:rPr>
              <w:t>最高限价</w:t>
            </w:r>
            <w:r>
              <w:rPr>
                <w:rFonts w:hint="eastAsia" w:ascii="宋体" w:hAnsi="宋体" w:eastAsia="宋体" w:cs="宋体"/>
                <w:sz w:val="21"/>
                <w:szCs w:val="21"/>
                <w:lang w:val="zh-CN"/>
              </w:rPr>
              <w:t>；</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720" w:type="dxa"/>
            <w:vMerge w:val="continue"/>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kern w:val="2"/>
                <w:sz w:val="21"/>
                <w:szCs w:val="21"/>
                <w:lang w:val="zh-CN"/>
              </w:rPr>
            </w:pPr>
          </w:p>
        </w:tc>
        <w:tc>
          <w:tcPr>
            <w:tcW w:w="5602" w:type="dxa"/>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sz w:val="21"/>
                <w:szCs w:val="21"/>
                <w:lang w:val="zh-CN"/>
              </w:rPr>
            </w:pPr>
            <w:r>
              <w:rPr>
                <w:rFonts w:hint="eastAsia" w:ascii="宋体" w:hAnsi="宋体" w:eastAsia="宋体" w:cs="宋体"/>
                <w:sz w:val="21"/>
                <w:szCs w:val="21"/>
                <w:lang w:val="zh-CN"/>
              </w:rPr>
              <w:t>投标单位是否符合法律、法规和磋商文件中规定的其他实质性要求；</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4" w:hRule="atLeast"/>
        </w:trPr>
        <w:tc>
          <w:tcPr>
            <w:tcW w:w="1720" w:type="dxa"/>
            <w:vMerge w:val="continue"/>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kern w:val="2"/>
                <w:sz w:val="21"/>
                <w:szCs w:val="21"/>
                <w:lang w:val="zh-CN"/>
              </w:rPr>
            </w:pPr>
          </w:p>
        </w:tc>
        <w:tc>
          <w:tcPr>
            <w:tcW w:w="5602" w:type="dxa"/>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sz w:val="21"/>
                <w:szCs w:val="21"/>
                <w:lang w:val="zh-CN"/>
              </w:rPr>
            </w:pPr>
            <w:r>
              <w:rPr>
                <w:rFonts w:hint="eastAsia" w:ascii="宋体" w:hAnsi="宋体" w:eastAsia="宋体" w:cs="宋体"/>
                <w:sz w:val="21"/>
                <w:szCs w:val="21"/>
              </w:rPr>
              <w:t>响应文件清单是否符合清单规范要求，是否未改变磋商文件提供的内容；</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720" w:type="dxa"/>
            <w:vMerge w:val="continue"/>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kern w:val="2"/>
                <w:sz w:val="21"/>
                <w:szCs w:val="21"/>
                <w:lang w:val="zh-CN"/>
              </w:rPr>
            </w:pPr>
          </w:p>
        </w:tc>
        <w:tc>
          <w:tcPr>
            <w:tcW w:w="5602" w:type="dxa"/>
            <w:tcBorders>
              <w:top w:val="outset" w:color="auto" w:sz="6" w:space="0"/>
              <w:left w:val="outset" w:color="auto" w:sz="6" w:space="0"/>
              <w:bottom w:val="outset" w:color="auto" w:sz="6" w:space="0"/>
              <w:right w:val="outset" w:color="auto" w:sz="6" w:space="0"/>
            </w:tcBorders>
            <w:noWrap/>
            <w:vAlign w:val="center"/>
          </w:tcPr>
          <w:p>
            <w:pPr>
              <w:pStyle w:val="74"/>
              <w:spacing w:line="240" w:lineRule="exact"/>
              <w:rPr>
                <w:rFonts w:ascii="宋体" w:hAnsi="宋体" w:eastAsia="宋体" w:cs="宋体"/>
                <w:sz w:val="21"/>
                <w:szCs w:val="21"/>
                <w:lang w:val="zh-CN"/>
              </w:rPr>
            </w:pPr>
            <w:r>
              <w:rPr>
                <w:rFonts w:hint="eastAsia" w:ascii="宋体" w:hAnsi="宋体" w:eastAsia="宋体" w:cs="宋体"/>
                <w:sz w:val="21"/>
                <w:szCs w:val="21"/>
                <w:lang w:val="zh-CN"/>
              </w:rPr>
              <w:t>响应文件的有效性、完整性是否响应磋商文件要求，是否对磋商文件的实质性要求作出响应。</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4"/>
              <w:rPr>
                <w:rFonts w:ascii="宋体" w:hAnsi="宋体" w:eastAsia="宋体" w:cs="宋体"/>
              </w:rPr>
            </w:pPr>
          </w:p>
        </w:tc>
      </w:tr>
    </w:tbl>
    <w:p>
      <w:pPr>
        <w:pStyle w:val="11"/>
        <w:ind w:left="840" w:hanging="420"/>
      </w:pPr>
    </w:p>
    <w:p>
      <w:pPr>
        <w:ind w:firstLine="480" w:firstLineChars="200"/>
        <w:rPr>
          <w:rFonts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.3</w:t>
      </w:r>
      <w:r>
        <w:rPr>
          <w:rFonts w:hint="eastAsia" w:ascii="仿宋_GB2312" w:hAnsi="Arial" w:eastAsia="仿宋_GB2312" w:cs="仿宋_GB2312"/>
          <w:sz w:val="24"/>
          <w:szCs w:val="24"/>
        </w:rPr>
        <w:t>打分采取百分制，其中：价格部分为30分，商务、技术部分为70分。评分项目、分值及评分办法如下：</w:t>
      </w:r>
    </w:p>
    <w:tbl>
      <w:tblPr>
        <w:tblStyle w:val="21"/>
        <w:tblW w:w="9221" w:type="dxa"/>
        <w:jc w:val="center"/>
        <w:tblLayout w:type="fixed"/>
        <w:tblCellMar>
          <w:top w:w="0" w:type="dxa"/>
          <w:left w:w="0" w:type="dxa"/>
          <w:bottom w:w="0" w:type="dxa"/>
          <w:right w:w="0" w:type="dxa"/>
        </w:tblCellMar>
      </w:tblPr>
      <w:tblGrid>
        <w:gridCol w:w="1410"/>
        <w:gridCol w:w="6737"/>
        <w:gridCol w:w="1074"/>
      </w:tblGrid>
      <w:tr>
        <w:tblPrEx>
          <w:tblCellMar>
            <w:top w:w="0" w:type="dxa"/>
            <w:left w:w="0" w:type="dxa"/>
            <w:bottom w:w="0" w:type="dxa"/>
            <w:right w:w="0" w:type="dxa"/>
          </w:tblCellMar>
        </w:tblPrEx>
        <w:trPr>
          <w:trHeight w:val="660" w:hRule="atLeast"/>
          <w:jc w:val="center"/>
        </w:trPr>
        <w:tc>
          <w:tcPr>
            <w:tcW w:w="9221" w:type="dxa"/>
            <w:gridSpan w:val="3"/>
            <w:tcBorders>
              <w:top w:val="nil"/>
              <w:left w:val="nil"/>
              <w:bottom w:val="single" w:color="auto" w:sz="4" w:space="0"/>
              <w:right w:val="nil"/>
            </w:tcBorders>
            <w:noWrap/>
            <w:tcMar>
              <w:top w:w="15" w:type="dxa"/>
              <w:left w:w="15" w:type="dxa"/>
              <w:right w:w="15" w:type="dxa"/>
            </w:tcMar>
            <w:vAlign w:val="center"/>
          </w:tcPr>
          <w:p>
            <w:pPr>
              <w:spacing w:line="360" w:lineRule="auto"/>
              <w:ind w:firstLine="643" w:firstLineChars="200"/>
              <w:jc w:val="center"/>
              <w:rPr>
                <w:rFonts w:ascii="宋体" w:hAnsi="宋体" w:cs="仿宋_GB2312"/>
                <w:b/>
                <w:sz w:val="24"/>
                <w:lang w:val="zh-CN"/>
              </w:rPr>
            </w:pPr>
            <w:r>
              <w:rPr>
                <w:rFonts w:hint="eastAsia" w:ascii="宋体" w:hAnsi="宋体"/>
                <w:b/>
                <w:sz w:val="32"/>
                <w:szCs w:val="32"/>
              </w:rPr>
              <w:t>价格评审（分）记录明细表</w:t>
            </w:r>
          </w:p>
          <w:tbl>
            <w:tblPr>
              <w:tblStyle w:val="21"/>
              <w:tblW w:w="894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6521"/>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48" w:type="dxa"/>
                  <w:noWrap/>
                  <w:vAlign w:val="center"/>
                </w:tcPr>
                <w:p>
                  <w:pPr>
                    <w:pStyle w:val="48"/>
                    <w:jc w:val="center"/>
                    <w:rPr>
                      <w:rFonts w:ascii="宋体" w:hAnsi="宋体" w:cs="仿宋"/>
                      <w:b/>
                      <w:bCs/>
                      <w:color w:val="auto"/>
                      <w:kern w:val="2"/>
                      <w:sz w:val="21"/>
                      <w:szCs w:val="21"/>
                    </w:rPr>
                  </w:pPr>
                  <w:r>
                    <w:rPr>
                      <w:rFonts w:hint="eastAsia" w:ascii="宋体" w:hAnsi="宋体" w:cs="仿宋"/>
                      <w:b/>
                      <w:bCs/>
                      <w:color w:val="auto"/>
                      <w:kern w:val="2"/>
                      <w:sz w:val="21"/>
                      <w:szCs w:val="21"/>
                    </w:rPr>
                    <w:t>项目</w:t>
                  </w:r>
                </w:p>
              </w:tc>
              <w:tc>
                <w:tcPr>
                  <w:tcW w:w="6521" w:type="dxa"/>
                  <w:noWrap/>
                  <w:vAlign w:val="center"/>
                </w:tcPr>
                <w:p>
                  <w:pPr>
                    <w:pStyle w:val="48"/>
                    <w:jc w:val="center"/>
                    <w:rPr>
                      <w:rFonts w:ascii="宋体" w:hAnsi="宋体" w:cs="仿宋"/>
                      <w:b/>
                      <w:bCs/>
                      <w:color w:val="auto"/>
                      <w:kern w:val="2"/>
                      <w:sz w:val="21"/>
                      <w:szCs w:val="21"/>
                    </w:rPr>
                  </w:pPr>
                  <w:r>
                    <w:rPr>
                      <w:rFonts w:hint="eastAsia" w:ascii="宋体" w:hAnsi="宋体" w:cs="仿宋"/>
                      <w:b/>
                      <w:bCs/>
                      <w:color w:val="auto"/>
                      <w:kern w:val="2"/>
                      <w:sz w:val="21"/>
                      <w:szCs w:val="21"/>
                    </w:rPr>
                    <w:t>评标内容</w:t>
                  </w:r>
                </w:p>
              </w:tc>
              <w:tc>
                <w:tcPr>
                  <w:tcW w:w="771" w:type="dxa"/>
                  <w:noWrap/>
                  <w:vAlign w:val="center"/>
                </w:tcPr>
                <w:p>
                  <w:pPr>
                    <w:pStyle w:val="48"/>
                    <w:jc w:val="center"/>
                    <w:rPr>
                      <w:rFonts w:ascii="宋体" w:hAnsi="宋体" w:cs="仿宋"/>
                      <w:b/>
                      <w:bCs/>
                      <w:color w:val="auto"/>
                      <w:kern w:val="2"/>
                      <w:sz w:val="21"/>
                      <w:szCs w:val="21"/>
                    </w:rPr>
                  </w:pPr>
                  <w:r>
                    <w:rPr>
                      <w:rFonts w:hint="eastAsia" w:ascii="宋体" w:hAnsi="宋体" w:cs="仿宋"/>
                      <w:b/>
                      <w:bCs/>
                      <w:color w:val="auto"/>
                      <w:kern w:val="2"/>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40" w:type="dxa"/>
                  <w:gridSpan w:val="3"/>
                  <w:noWrap/>
                  <w:vAlign w:val="center"/>
                </w:tcPr>
                <w:p>
                  <w:pPr>
                    <w:pStyle w:val="48"/>
                    <w:jc w:val="both"/>
                    <w:rPr>
                      <w:rFonts w:ascii="宋体" w:hAnsi="宋体" w:cs="仿宋"/>
                      <w:color w:val="auto"/>
                      <w:kern w:val="2"/>
                      <w:sz w:val="21"/>
                      <w:szCs w:val="21"/>
                    </w:rPr>
                  </w:pPr>
                  <w:r>
                    <w:rPr>
                      <w:rFonts w:hint="eastAsia" w:ascii="宋体" w:hAnsi="宋体" w:cs="仿宋"/>
                      <w:b/>
                      <w:bCs/>
                      <w:color w:val="auto"/>
                      <w:kern w:val="2"/>
                      <w:sz w:val="21"/>
                      <w:szCs w:val="21"/>
                    </w:rPr>
                    <w:t>A．投标价格评分30</w:t>
                  </w:r>
                  <w:r>
                    <w:rPr>
                      <w:rFonts w:ascii="宋体" w:hAnsi="宋体" w:cs="仿宋"/>
                      <w:b/>
                      <w:bCs/>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648" w:type="dxa"/>
                  <w:vMerge w:val="restart"/>
                  <w:noWrap/>
                  <w:vAlign w:val="center"/>
                </w:tcPr>
                <w:p>
                  <w:pPr>
                    <w:jc w:val="center"/>
                    <w:rPr>
                      <w:rFonts w:ascii="宋体" w:hAnsi="宋体" w:cs="仿宋"/>
                    </w:rPr>
                  </w:pPr>
                  <w:r>
                    <w:rPr>
                      <w:rFonts w:hint="eastAsia" w:ascii="宋体" w:hAnsi="宋体" w:cs="仿宋"/>
                    </w:rPr>
                    <w:t>价格评审</w:t>
                  </w:r>
                </w:p>
                <w:p>
                  <w:pPr>
                    <w:pStyle w:val="6"/>
                    <w:rPr>
                      <w:rFonts w:ascii="宋体" w:hAnsi="宋体"/>
                    </w:rPr>
                  </w:pPr>
                  <w:r>
                    <w:rPr>
                      <w:rFonts w:hint="eastAsia" w:ascii="宋体" w:hAnsi="宋体"/>
                    </w:rPr>
                    <w:t>30</w:t>
                  </w:r>
                  <w:r>
                    <w:rPr>
                      <w:rFonts w:ascii="宋体" w:hAnsi="宋体"/>
                    </w:rPr>
                    <w:t>分</w:t>
                  </w:r>
                </w:p>
              </w:tc>
              <w:tc>
                <w:tcPr>
                  <w:tcW w:w="6521" w:type="dxa"/>
                  <w:noWrap/>
                  <w:vAlign w:val="center"/>
                </w:tcPr>
                <w:p>
                  <w:pPr>
                    <w:pStyle w:val="33"/>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评标基准价</w:t>
                  </w:r>
                  <w:r>
                    <w:rPr>
                      <w:rFonts w:ascii="宋体" w:hAnsi="宋体" w:eastAsia="宋体" w:cs="宋体"/>
                      <w:kern w:val="2"/>
                      <w:sz w:val="21"/>
                      <w:szCs w:val="21"/>
                    </w:rPr>
                    <w:t xml:space="preserve"> =有效投标报价的最低值，有效投标报价等于基准值的得满分，投标报价得分= </w:t>
                  </w:r>
                  <w:r>
                    <w:rPr>
                      <w:rFonts w:hint="eastAsia" w:ascii="宋体" w:hAnsi="宋体" w:eastAsia="宋体" w:cs="宋体"/>
                      <w:kern w:val="2"/>
                      <w:sz w:val="21"/>
                      <w:szCs w:val="21"/>
                    </w:rPr>
                    <w:t>（评标基准价</w:t>
                  </w:r>
                  <w:r>
                    <w:rPr>
                      <w:rFonts w:ascii="宋体" w:hAnsi="宋体" w:eastAsia="宋体" w:cs="宋体"/>
                      <w:kern w:val="2"/>
                      <w:sz w:val="21"/>
                      <w:szCs w:val="21"/>
                    </w:rPr>
                    <w:t>/投标报价）×</w:t>
                  </w:r>
                  <w:r>
                    <w:rPr>
                      <w:rFonts w:hint="eastAsia" w:ascii="宋体" w:hAnsi="宋体" w:eastAsia="宋体" w:cs="宋体"/>
                      <w:kern w:val="2"/>
                      <w:sz w:val="21"/>
                      <w:szCs w:val="21"/>
                    </w:rPr>
                    <w:t>30%</w:t>
                  </w:r>
                  <w:r>
                    <w:rPr>
                      <w:rFonts w:ascii="宋体" w:hAnsi="宋体" w:eastAsia="宋体" w:cs="宋体"/>
                      <w:kern w:val="2"/>
                      <w:sz w:val="21"/>
                      <w:szCs w:val="21"/>
                    </w:rPr>
                    <w:t>×</w:t>
                  </w:r>
                  <w:r>
                    <w:rPr>
                      <w:rFonts w:hint="eastAsia" w:ascii="宋体" w:hAnsi="宋体" w:eastAsia="宋体" w:cs="宋体"/>
                      <w:kern w:val="2"/>
                      <w:sz w:val="21"/>
                      <w:szCs w:val="21"/>
                    </w:rPr>
                    <w:t>100</w:t>
                  </w:r>
                  <w:r>
                    <w:rPr>
                      <w:rFonts w:ascii="宋体" w:hAnsi="宋体" w:eastAsia="宋体" w:cs="宋体"/>
                      <w:kern w:val="2"/>
                      <w:sz w:val="21"/>
                      <w:szCs w:val="21"/>
                    </w:rPr>
                    <w:t>。有效投标报价为通过初步审查的</w:t>
                  </w:r>
                  <w:r>
                    <w:rPr>
                      <w:rFonts w:hint="eastAsia" w:ascii="宋体" w:hAnsi="宋体" w:eastAsia="宋体" w:cs="宋体"/>
                      <w:kern w:val="2"/>
                      <w:sz w:val="21"/>
                      <w:szCs w:val="21"/>
                    </w:rPr>
                    <w:t>投标人</w:t>
                  </w:r>
                  <w:r>
                    <w:rPr>
                      <w:rFonts w:ascii="宋体" w:hAnsi="宋体" w:eastAsia="宋体" w:cs="宋体"/>
                      <w:kern w:val="2"/>
                      <w:sz w:val="21"/>
                      <w:szCs w:val="21"/>
                    </w:rPr>
                    <w:t>报价；</w:t>
                  </w:r>
                </w:p>
              </w:tc>
              <w:tc>
                <w:tcPr>
                  <w:tcW w:w="771" w:type="dxa"/>
                  <w:vMerge w:val="restart"/>
                  <w:noWrap/>
                  <w:vAlign w:val="center"/>
                </w:tcPr>
                <w:p>
                  <w:pPr>
                    <w:pStyle w:val="48"/>
                    <w:jc w:val="center"/>
                    <w:rPr>
                      <w:rFonts w:ascii="宋体" w:hAnsi="宋体" w:cs="仿宋"/>
                      <w:color w:val="auto"/>
                      <w:kern w:val="2"/>
                      <w:sz w:val="21"/>
                      <w:szCs w:val="21"/>
                    </w:rPr>
                  </w:pPr>
                  <w:r>
                    <w:rPr>
                      <w:rFonts w:hint="eastAsia" w:ascii="宋体" w:hAnsi="宋体" w:cs="仿宋"/>
                      <w:color w:val="auto"/>
                      <w:kern w:val="2"/>
                      <w:sz w:val="21"/>
                      <w:szCs w:val="21"/>
                    </w:rPr>
                    <w:t>30</w:t>
                  </w:r>
                  <w:r>
                    <w:rPr>
                      <w:rFonts w:ascii="宋体" w:hAnsi="宋体" w:cs="仿宋"/>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48" w:type="dxa"/>
                  <w:vMerge w:val="continue"/>
                  <w:noWrap/>
                  <w:vAlign w:val="center"/>
                </w:tcPr>
                <w:p>
                  <w:pPr>
                    <w:pStyle w:val="48"/>
                    <w:jc w:val="center"/>
                    <w:rPr>
                      <w:rFonts w:ascii="宋体" w:hAnsi="宋体" w:cs="仿宋"/>
                      <w:color w:val="auto"/>
                      <w:kern w:val="2"/>
                      <w:sz w:val="21"/>
                      <w:szCs w:val="21"/>
                    </w:rPr>
                  </w:pPr>
                </w:p>
              </w:tc>
              <w:tc>
                <w:tcPr>
                  <w:tcW w:w="6521" w:type="dxa"/>
                  <w:noWrap/>
                  <w:vAlign w:val="center"/>
                </w:tcPr>
                <w:p>
                  <w:pPr>
                    <w:pStyle w:val="33"/>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按上述公式计算得分为负值时，其投标报价得分为零分。计算公式的计算结果值在小数点后均保留两位小数，后余位数四舍五入计。当计算结果为负数时，计为零分。</w:t>
                  </w:r>
                </w:p>
              </w:tc>
              <w:tc>
                <w:tcPr>
                  <w:tcW w:w="771" w:type="dxa"/>
                  <w:vMerge w:val="continue"/>
                  <w:noWrap/>
                  <w:vAlign w:val="center"/>
                </w:tcPr>
                <w:p>
                  <w:pPr>
                    <w:pStyle w:val="48"/>
                    <w:jc w:val="center"/>
                    <w:rPr>
                      <w:rFonts w:ascii="宋体" w:hAnsi="宋体"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40" w:type="dxa"/>
                  <w:gridSpan w:val="3"/>
                  <w:noWrap/>
                  <w:vAlign w:val="center"/>
                </w:tcPr>
                <w:p>
                  <w:pPr>
                    <w:pStyle w:val="48"/>
                    <w:jc w:val="both"/>
                    <w:rPr>
                      <w:rFonts w:ascii="宋体" w:hAnsi="宋体" w:cs="宋体"/>
                      <w:color w:val="auto"/>
                      <w:kern w:val="2"/>
                      <w:sz w:val="21"/>
                      <w:szCs w:val="21"/>
                    </w:rPr>
                  </w:pPr>
                  <w:r>
                    <w:rPr>
                      <w:rFonts w:hint="eastAsia" w:ascii="宋体" w:hAnsi="宋体" w:cs="宋体"/>
                      <w:color w:val="auto"/>
                      <w:kern w:val="2"/>
                      <w:sz w:val="21"/>
                      <w:szCs w:val="21"/>
                    </w:rPr>
                    <w:t>注：</w:t>
                  </w:r>
                  <w:r>
                    <w:rPr>
                      <w:rFonts w:ascii="宋体" w:hAnsi="宋体" w:cs="宋体"/>
                      <w:color w:val="auto"/>
                      <w:kern w:val="2"/>
                      <w:sz w:val="21"/>
                      <w:szCs w:val="21"/>
                    </w:rPr>
                    <w:t>1、计算过程中，算术平均值保留2位小数（百分比</w:t>
                  </w:r>
                  <w:r>
                    <w:rPr>
                      <w:rFonts w:hint="eastAsia" w:ascii="宋体" w:hAnsi="宋体" w:cs="宋体"/>
                      <w:color w:val="auto"/>
                      <w:kern w:val="2"/>
                      <w:sz w:val="21"/>
                      <w:szCs w:val="21"/>
                    </w:rPr>
                    <w:t>记</w:t>
                  </w:r>
                  <w:r>
                    <w:rPr>
                      <w:rFonts w:ascii="宋体" w:hAnsi="宋体" w:cs="宋体"/>
                      <w:color w:val="auto"/>
                      <w:kern w:val="2"/>
                      <w:sz w:val="21"/>
                      <w:szCs w:val="21"/>
                    </w:rPr>
                    <w:t>取2位小数），第三位小数四舍五入。</w:t>
                  </w:r>
                </w:p>
                <w:p>
                  <w:pPr>
                    <w:pStyle w:val="48"/>
                    <w:ind w:firstLine="420" w:firstLineChars="200"/>
                    <w:jc w:val="both"/>
                    <w:rPr>
                      <w:rFonts w:ascii="宋体" w:hAnsi="宋体" w:cs="仿宋"/>
                      <w:color w:val="auto"/>
                      <w:kern w:val="2"/>
                      <w:sz w:val="21"/>
                      <w:szCs w:val="21"/>
                    </w:rPr>
                  </w:pPr>
                  <w:r>
                    <w:rPr>
                      <w:rFonts w:ascii="宋体" w:hAnsi="宋体" w:cs="宋体"/>
                      <w:color w:val="auto"/>
                      <w:kern w:val="2"/>
                      <w:sz w:val="21"/>
                      <w:szCs w:val="21"/>
                    </w:rPr>
                    <w:t>2、投标人的最终得分为：所有评委对其评分的算术平均值。</w:t>
                  </w:r>
                </w:p>
              </w:tc>
            </w:tr>
          </w:tbl>
          <w:p>
            <w:pPr>
              <w:snapToGrid w:val="0"/>
              <w:jc w:val="center"/>
              <w:textAlignment w:val="baseline"/>
              <w:rPr>
                <w:rFonts w:ascii="宋体" w:hAnsi="宋体" w:cs="宋体"/>
                <w:b/>
                <w:color w:val="000000"/>
                <w:kern w:val="0"/>
                <w:sz w:val="32"/>
                <w:szCs w:val="32"/>
              </w:rPr>
            </w:pPr>
          </w:p>
          <w:p>
            <w:pPr>
              <w:snapToGrid w:val="0"/>
              <w:jc w:val="center"/>
              <w:textAlignment w:val="baseline"/>
              <w:rPr>
                <w:rFonts w:ascii="宋体" w:hAnsi="宋体" w:cs="宋体"/>
                <w:color w:val="000000"/>
                <w:sz w:val="20"/>
                <w:szCs w:val="22"/>
              </w:rPr>
            </w:pPr>
            <w:r>
              <w:rPr>
                <w:rFonts w:hint="eastAsia" w:ascii="宋体" w:hAnsi="宋体" w:cs="宋体"/>
                <w:b/>
                <w:color w:val="000000"/>
                <w:kern w:val="0"/>
                <w:sz w:val="32"/>
                <w:szCs w:val="32"/>
              </w:rPr>
              <w:t>商务部分评审（分）记录明细表</w:t>
            </w:r>
          </w:p>
        </w:tc>
      </w:tr>
      <w:tr>
        <w:tblPrEx>
          <w:tblCellMar>
            <w:top w:w="0" w:type="dxa"/>
            <w:left w:w="0" w:type="dxa"/>
            <w:bottom w:w="0" w:type="dxa"/>
            <w:right w:w="0" w:type="dxa"/>
          </w:tblCellMar>
        </w:tblPrEx>
        <w:trPr>
          <w:trHeight w:val="563" w:hRule="atLeast"/>
          <w:jc w:val="center"/>
        </w:trPr>
        <w:tc>
          <w:tcPr>
            <w:tcW w:w="1410" w:type="dxa"/>
            <w:tcBorders>
              <w:top w:val="nil"/>
              <w:left w:val="single" w:color="000000" w:sz="8" w:space="0"/>
              <w:bottom w:val="single" w:color="auto" w:sz="4" w:space="0"/>
              <w:right w:val="single" w:color="000000" w:sz="8" w:space="0"/>
            </w:tcBorders>
            <w:noWrap/>
            <w:tcMar>
              <w:top w:w="15" w:type="dxa"/>
              <w:left w:w="15" w:type="dxa"/>
              <w:right w:w="15" w:type="dxa"/>
            </w:tcMar>
            <w:vAlign w:val="center"/>
          </w:tcPr>
          <w:p>
            <w:pPr>
              <w:pStyle w:val="6"/>
              <w:rPr>
                <w:rFonts w:ascii="宋体" w:hAnsi="宋体" w:cs="宋体"/>
              </w:rPr>
            </w:pPr>
            <w:r>
              <w:rPr>
                <w:rFonts w:hint="eastAsia" w:ascii="宋体" w:hAnsi="宋体" w:cs="宋体"/>
                <w:lang w:val="zh-CN"/>
              </w:rPr>
              <w:t>评标因素</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pStyle w:val="6"/>
              <w:ind w:firstLine="2520" w:firstLineChars="1200"/>
              <w:rPr>
                <w:rFonts w:ascii="宋体" w:hAnsi="宋体" w:cs="宋体"/>
                <w:lang w:val="zh-CN"/>
              </w:rPr>
            </w:pPr>
            <w:r>
              <w:rPr>
                <w:rFonts w:hint="eastAsia" w:ascii="宋体" w:hAnsi="宋体" w:cs="宋体"/>
                <w:lang w:val="zh-CN"/>
              </w:rPr>
              <w:t>评分标准</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ind w:left="210" w:hanging="210" w:hangingChars="100"/>
              <w:jc w:val="center"/>
              <w:rPr>
                <w:rFonts w:ascii="宋体" w:hAnsi="宋体" w:cs="宋体"/>
              </w:rPr>
            </w:pPr>
            <w:r>
              <w:rPr>
                <w:rFonts w:hint="eastAsia" w:ascii="宋体" w:hAnsi="宋体" w:cs="宋体"/>
                <w:lang w:val="zh-CN"/>
              </w:rPr>
              <w:t>分值（分）</w:t>
            </w:r>
          </w:p>
        </w:tc>
      </w:tr>
      <w:tr>
        <w:tblPrEx>
          <w:tblCellMar>
            <w:top w:w="0" w:type="dxa"/>
            <w:left w:w="0" w:type="dxa"/>
            <w:bottom w:w="0" w:type="dxa"/>
            <w:right w:w="0" w:type="dxa"/>
          </w:tblCellMar>
        </w:tblPrEx>
        <w:trPr>
          <w:trHeight w:val="2072" w:hRule="atLeast"/>
          <w:jc w:val="center"/>
        </w:trPr>
        <w:tc>
          <w:tcPr>
            <w:tcW w:w="1410" w:type="dxa"/>
            <w:tcBorders>
              <w:left w:val="single" w:color="000000" w:sz="8" w:space="0"/>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jc w:val="center"/>
              <w:rPr>
                <w:rFonts w:ascii="宋体" w:hAnsi="宋体" w:cs="宋体"/>
              </w:rPr>
            </w:pPr>
            <w:r>
              <w:rPr>
                <w:rFonts w:hint="eastAsia" w:ascii="宋体" w:hAnsi="宋体" w:cs="宋体"/>
              </w:rPr>
              <w:t>人员配置（项</w:t>
            </w:r>
          </w:p>
          <w:p>
            <w:pPr>
              <w:autoSpaceDE w:val="0"/>
              <w:autoSpaceDN w:val="0"/>
              <w:spacing w:line="340" w:lineRule="atLeast"/>
              <w:jc w:val="center"/>
              <w:rPr>
                <w:rFonts w:ascii="宋体" w:hAnsi="宋体" w:cs="宋体"/>
                <w:lang w:val="zh-CN"/>
              </w:rPr>
            </w:pPr>
            <w:r>
              <w:rPr>
                <w:rFonts w:hint="eastAsia" w:ascii="宋体" w:hAnsi="宋体" w:cs="宋体"/>
              </w:rPr>
              <w:t>目负责人外）</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rPr>
                <w:rFonts w:ascii="宋体" w:hAnsi="宋体" w:cs="宋体"/>
              </w:rPr>
            </w:pPr>
            <w:r>
              <w:rPr>
                <w:rFonts w:hint="eastAsia" w:ascii="宋体" w:hAnsi="宋体" w:cs="仿宋"/>
                <w:kern w:val="0"/>
              </w:rPr>
              <w:t xml:space="preserve">总监理工程师的资格能力:被中国建设监理协会授予优秀总监理工程师或者优秀监理工程师的或者获得中国建筑工程鲁班奖的，得5分；获得中国土木工程詹天佑奖或建筑工程金杯奖，得3分；获自治区建筑工程天山奖或建筑工程金杯奖的，得2分；获自治区建筑工程安全生产文明工地的，得1分；荣誉证书不予认可，以颁发文件为准。 （本项可累加，最多不得超过5分） </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5</w:t>
            </w:r>
          </w:p>
        </w:tc>
      </w:tr>
      <w:tr>
        <w:tblPrEx>
          <w:tblCellMar>
            <w:top w:w="0" w:type="dxa"/>
            <w:left w:w="0" w:type="dxa"/>
            <w:bottom w:w="0" w:type="dxa"/>
            <w:right w:w="0" w:type="dxa"/>
          </w:tblCellMar>
        </w:tblPrEx>
        <w:trPr>
          <w:trHeight w:val="633" w:hRule="atLeast"/>
          <w:jc w:val="center"/>
        </w:trPr>
        <w:tc>
          <w:tcPr>
            <w:tcW w:w="1410" w:type="dxa"/>
            <w:tcBorders>
              <w:left w:val="single" w:color="000000" w:sz="8" w:space="0"/>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jc w:val="center"/>
              <w:rPr>
                <w:rFonts w:ascii="宋体" w:hAnsi="宋体" w:cs="宋体"/>
              </w:rPr>
            </w:pPr>
            <w:r>
              <w:rPr>
                <w:rFonts w:hint="eastAsia" w:ascii="宋体" w:hAnsi="宋体" w:cs="宋体"/>
              </w:rPr>
              <w:t>类似业绩</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rPr>
                <w:rFonts w:ascii="宋体" w:hAnsi="宋体" w:cs="宋体"/>
              </w:rPr>
            </w:pPr>
            <w:r>
              <w:rPr>
                <w:rFonts w:hint="eastAsia" w:ascii="宋体" w:hAnsi="宋体" w:cs="宋体"/>
              </w:rPr>
              <w:t>根据供应商所提供的投标截止日前类似业绩进行评分（新成立供应商可不提供）。提供类似项目业绩， 每提供一个业绩得2分，满分 10 分。注：须同时提供项目中标通知书、合同关键页（名称页、金额页、盖章页）复印件加盖供应商公章。不提供证明不得分。</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10</w:t>
            </w:r>
          </w:p>
        </w:tc>
      </w:tr>
      <w:tr>
        <w:tblPrEx>
          <w:tblCellMar>
            <w:top w:w="0" w:type="dxa"/>
            <w:left w:w="0" w:type="dxa"/>
            <w:bottom w:w="0" w:type="dxa"/>
            <w:right w:w="0" w:type="dxa"/>
          </w:tblCellMar>
        </w:tblPrEx>
        <w:trPr>
          <w:trHeight w:val="379" w:hRule="atLeast"/>
          <w:jc w:val="center"/>
        </w:trPr>
        <w:tc>
          <w:tcPr>
            <w:tcW w:w="8147" w:type="dxa"/>
            <w:gridSpan w:val="2"/>
            <w:tcBorders>
              <w:top w:val="single" w:color="auto" w:sz="4" w:space="0"/>
              <w:left w:val="single" w:color="auto" w:sz="4" w:space="0"/>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lang w:val="zh-CN"/>
              </w:rPr>
            </w:pPr>
            <w:r>
              <w:rPr>
                <w:rFonts w:hint="eastAsia" w:ascii="宋体" w:hAnsi="宋体" w:cs="宋体"/>
                <w:lang w:val="zh-CN"/>
              </w:rPr>
              <w:t>合计</w:t>
            </w:r>
          </w:p>
        </w:tc>
        <w:tc>
          <w:tcPr>
            <w:tcW w:w="107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15</w:t>
            </w:r>
          </w:p>
        </w:tc>
      </w:tr>
    </w:tbl>
    <w:p>
      <w:pPr>
        <w:widowControl/>
        <w:snapToGrid w:val="0"/>
        <w:jc w:val="center"/>
        <w:textAlignment w:val="center"/>
        <w:rPr>
          <w:rFonts w:ascii="宋体" w:hAnsi="宋体" w:cs="宋体"/>
          <w:b/>
          <w:color w:val="000000"/>
          <w:kern w:val="0"/>
          <w:sz w:val="32"/>
          <w:szCs w:val="32"/>
        </w:rPr>
      </w:pPr>
    </w:p>
    <w:p>
      <w:pPr>
        <w:widowControl/>
        <w:snapToGrid w:val="0"/>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技术部分评审（分）记录明细表</w:t>
      </w:r>
    </w:p>
    <w:tbl>
      <w:tblPr>
        <w:tblStyle w:val="21"/>
        <w:tblpPr w:leftFromText="180" w:rightFromText="180" w:vertAnchor="text" w:horzAnchor="page" w:tblpX="1626" w:tblpY="307"/>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6736"/>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93" w:type="dxa"/>
            <w:noWrap/>
            <w:vAlign w:val="center"/>
          </w:tcPr>
          <w:p>
            <w:pPr>
              <w:pStyle w:val="6"/>
              <w:spacing w:line="340" w:lineRule="atLeast"/>
              <w:ind w:firstLine="0" w:firstLineChars="0"/>
              <w:jc w:val="center"/>
              <w:rPr>
                <w:rFonts w:ascii="宋体" w:hAnsi="宋体" w:cs="宋体"/>
                <w:lang w:val="zh-CN"/>
              </w:rPr>
            </w:pPr>
            <w:r>
              <w:rPr>
                <w:rFonts w:hint="eastAsia" w:ascii="宋体" w:hAnsi="宋体" w:cs="宋体"/>
                <w:lang w:val="zh-CN"/>
              </w:rPr>
              <w:t>评标因素</w:t>
            </w:r>
          </w:p>
        </w:tc>
        <w:tc>
          <w:tcPr>
            <w:tcW w:w="6736" w:type="dxa"/>
            <w:noWrap/>
            <w:vAlign w:val="center"/>
          </w:tcPr>
          <w:p>
            <w:pPr>
              <w:pStyle w:val="6"/>
              <w:spacing w:line="340" w:lineRule="atLeast"/>
              <w:jc w:val="center"/>
              <w:rPr>
                <w:rFonts w:ascii="宋体" w:hAnsi="宋体" w:cs="宋体"/>
                <w:lang w:val="zh-CN"/>
              </w:rPr>
            </w:pPr>
            <w:r>
              <w:rPr>
                <w:rFonts w:hint="eastAsia" w:ascii="宋体" w:hAnsi="宋体" w:cs="宋体"/>
                <w:lang w:val="zh-CN"/>
              </w:rPr>
              <w:t>评分标准</w:t>
            </w:r>
          </w:p>
        </w:tc>
        <w:tc>
          <w:tcPr>
            <w:tcW w:w="1085" w:type="dxa"/>
            <w:noWrap/>
            <w:vAlign w:val="center"/>
          </w:tcPr>
          <w:p>
            <w:pPr>
              <w:pStyle w:val="6"/>
              <w:ind w:left="210" w:hanging="210" w:hangingChars="100"/>
              <w:jc w:val="center"/>
              <w:rPr>
                <w:rFonts w:ascii="宋体" w:hAnsi="宋体" w:cs="宋体"/>
              </w:rPr>
            </w:pPr>
            <w:r>
              <w:rPr>
                <w:rFonts w:hint="eastAsia" w:ascii="宋体" w:hAnsi="宋体" w:cs="宋体"/>
                <w:lang w:val="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393" w:type="dxa"/>
            <w:noWrap/>
            <w:vAlign w:val="center"/>
          </w:tcPr>
          <w:p>
            <w:pPr>
              <w:autoSpaceDE w:val="0"/>
              <w:autoSpaceDN w:val="0"/>
              <w:spacing w:line="340" w:lineRule="atLeast"/>
              <w:jc w:val="center"/>
              <w:rPr>
                <w:rFonts w:ascii="宋体" w:hAnsi="宋体" w:cs="宋体"/>
              </w:rPr>
            </w:pPr>
            <w:r>
              <w:rPr>
                <w:rFonts w:hint="eastAsia" w:ascii="宋体" w:hAnsi="宋体" w:cs="宋体"/>
              </w:rPr>
              <w:t>施工工期</w:t>
            </w:r>
          </w:p>
          <w:p>
            <w:pPr>
              <w:autoSpaceDE w:val="0"/>
              <w:autoSpaceDN w:val="0"/>
              <w:spacing w:line="340" w:lineRule="atLeast"/>
              <w:jc w:val="center"/>
              <w:rPr>
                <w:rFonts w:ascii="宋体" w:hAnsi="宋体" w:cs="宋体"/>
                <w:lang w:val="zh-CN"/>
              </w:rPr>
            </w:pPr>
            <w:r>
              <w:rPr>
                <w:rFonts w:hint="eastAsia" w:ascii="宋体" w:hAnsi="宋体" w:cs="宋体"/>
              </w:rPr>
              <w:t>保证措施</w:t>
            </w:r>
          </w:p>
        </w:tc>
        <w:tc>
          <w:tcPr>
            <w:tcW w:w="6736" w:type="dxa"/>
            <w:noWrap/>
            <w:vAlign w:val="center"/>
          </w:tcPr>
          <w:p>
            <w:pPr>
              <w:autoSpaceDE w:val="0"/>
              <w:autoSpaceDN w:val="0"/>
              <w:spacing w:line="340" w:lineRule="atLeast"/>
              <w:rPr>
                <w:rFonts w:ascii="宋体" w:hAnsi="宋体" w:cs="宋体"/>
              </w:rPr>
            </w:pPr>
            <w:r>
              <w:rPr>
                <w:rFonts w:hint="eastAsia" w:ascii="宋体" w:hAnsi="宋体" w:cs="宋体"/>
              </w:rPr>
              <w:t xml:space="preserve">对工程施工进度控制和工期保证措施的论述:1、对总进度目标的分解合理，能体现预控水平和全面控制水平。得 10 分；对总进度目标的分解基本合理，在体现预控水平和全面控制水平方面存在缺陷，得 7 分；对总进度目标的分解不合理或缺项，无体现预控水平和全面控制水平方面论述和措施。得 3 分； </w:t>
            </w:r>
          </w:p>
          <w:p>
            <w:pPr>
              <w:autoSpaceDE w:val="0"/>
              <w:autoSpaceDN w:val="0"/>
              <w:spacing w:line="340" w:lineRule="atLeast"/>
              <w:rPr>
                <w:rFonts w:ascii="宋体" w:hAnsi="宋体" w:cs="宋体"/>
                <w:lang w:val="zh-CN"/>
              </w:rPr>
            </w:pPr>
            <w:r>
              <w:rPr>
                <w:rFonts w:hint="eastAsia" w:ascii="宋体" w:hAnsi="宋体" w:cs="宋体"/>
              </w:rPr>
              <w:t>2、工程进度控制要点和减少工程延期发生的防范对策。对策详尽适用可行，得 5 分；对策基本适用可行，存在缺陷，得 3 分；对策不适用或不可行、存在缺项，得 1 分；</w:t>
            </w:r>
          </w:p>
        </w:tc>
        <w:tc>
          <w:tcPr>
            <w:tcW w:w="1085" w:type="dxa"/>
            <w:noWrap/>
            <w:vAlign w:val="center"/>
          </w:tcPr>
          <w:p>
            <w:pPr>
              <w:autoSpaceDE w:val="0"/>
              <w:autoSpaceDN w:val="0"/>
              <w:spacing w:line="340" w:lineRule="atLeast"/>
              <w:jc w:val="center"/>
              <w:rPr>
                <w:rFonts w:ascii="宋体" w:hAnsi="宋体" w:cs="宋体"/>
              </w:rPr>
            </w:pPr>
            <w:r>
              <w:rPr>
                <w:rFonts w:hint="eastAsia"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393" w:type="dxa"/>
            <w:noWrap/>
            <w:vAlign w:val="center"/>
          </w:tcPr>
          <w:p>
            <w:pPr>
              <w:pStyle w:val="6"/>
              <w:ind w:firstLine="0" w:firstLineChars="0"/>
              <w:jc w:val="center"/>
              <w:rPr>
                <w:rFonts w:ascii="宋体" w:hAnsi="宋体" w:cs="宋体"/>
              </w:rPr>
            </w:pPr>
            <w:r>
              <w:rPr>
                <w:rFonts w:hint="eastAsia" w:ascii="宋体" w:hAnsi="宋体" w:cs="宋体"/>
              </w:rPr>
              <w:t>质量管理</w:t>
            </w:r>
          </w:p>
          <w:p>
            <w:pPr>
              <w:pStyle w:val="6"/>
              <w:ind w:firstLine="0" w:firstLineChars="0"/>
              <w:jc w:val="center"/>
              <w:rPr>
                <w:rFonts w:ascii="宋体" w:hAnsi="宋体" w:cs="宋体"/>
              </w:rPr>
            </w:pPr>
            <w:r>
              <w:rPr>
                <w:rFonts w:hint="eastAsia" w:ascii="宋体" w:hAnsi="宋体" w:cs="宋体"/>
              </w:rPr>
              <w:t>及质量保</w:t>
            </w:r>
          </w:p>
          <w:p>
            <w:pPr>
              <w:pStyle w:val="6"/>
              <w:ind w:firstLine="0" w:firstLineChars="0"/>
              <w:jc w:val="center"/>
              <w:rPr>
                <w:rFonts w:ascii="宋体" w:hAnsi="宋体" w:cs="宋体"/>
                <w:lang w:val="zh-CN"/>
              </w:rPr>
            </w:pPr>
            <w:r>
              <w:rPr>
                <w:rFonts w:hint="eastAsia" w:ascii="宋体" w:hAnsi="宋体" w:cs="宋体"/>
              </w:rPr>
              <w:t>证措施</w:t>
            </w:r>
          </w:p>
        </w:tc>
        <w:tc>
          <w:tcPr>
            <w:tcW w:w="6736" w:type="dxa"/>
            <w:noWrap/>
            <w:vAlign w:val="center"/>
          </w:tcPr>
          <w:p>
            <w:pPr>
              <w:autoSpaceDE w:val="0"/>
              <w:autoSpaceDN w:val="0"/>
              <w:spacing w:line="340" w:lineRule="atLeast"/>
              <w:rPr>
                <w:rFonts w:ascii="宋体" w:hAnsi="宋体" w:cs="宋体"/>
              </w:rPr>
            </w:pPr>
            <w:r>
              <w:rPr>
                <w:rFonts w:hint="eastAsia" w:ascii="宋体" w:hAnsi="宋体" w:cs="宋体"/>
              </w:rPr>
              <w:t>针对工程的质量管理及质量保证措施方面的论述：1.质量总目标、各分部分项工程控制点和相应的控制方法均明确完善。质量控制基本程序（包括质量事故的处理程序）及预控措施切实可行，得 20 分；</w:t>
            </w:r>
          </w:p>
          <w:p>
            <w:pPr>
              <w:autoSpaceDE w:val="0"/>
              <w:autoSpaceDN w:val="0"/>
              <w:spacing w:line="340" w:lineRule="atLeast"/>
              <w:rPr>
                <w:rFonts w:ascii="宋体" w:hAnsi="宋体" w:cs="宋体"/>
              </w:rPr>
            </w:pPr>
            <w:r>
              <w:rPr>
                <w:rFonts w:hint="eastAsia" w:ascii="宋体" w:hAnsi="宋体" w:cs="宋体"/>
              </w:rPr>
              <w:t>2、质量总目标、各分部分项工程控制点和相应的控制方法基本明确，存在1~2个分部分项方面论述不够完善。质量控制的基本程序（包括质量事故的处理程序）及预控措施存在缺陷或有不利于项目实施，得 15 分；</w:t>
            </w:r>
          </w:p>
          <w:p>
            <w:pPr>
              <w:autoSpaceDE w:val="0"/>
              <w:autoSpaceDN w:val="0"/>
              <w:spacing w:line="340" w:lineRule="atLeast"/>
              <w:rPr>
                <w:rFonts w:ascii="宋体" w:hAnsi="宋体" w:cs="宋体"/>
              </w:rPr>
            </w:pPr>
            <w:r>
              <w:rPr>
                <w:rFonts w:hint="eastAsia" w:ascii="宋体" w:hAnsi="宋体" w:cs="宋体"/>
              </w:rPr>
              <w:t>3、质量总目标、各分部分项工程控制点和相应的控制方法不明确或缺项，存在2个以上（不含2个）分部分项控制点或控制方法论述不完善。质量控制的基本程序（包括质量事故的处理程序）内容不完整或缺项，得 8 分；</w:t>
            </w:r>
          </w:p>
        </w:tc>
        <w:tc>
          <w:tcPr>
            <w:tcW w:w="1085" w:type="dxa"/>
            <w:noWrap/>
            <w:vAlign w:val="center"/>
          </w:tcPr>
          <w:p>
            <w:pPr>
              <w:pStyle w:val="6"/>
              <w:ind w:firstLine="0" w:firstLineChars="0"/>
              <w:jc w:val="center"/>
              <w:rPr>
                <w:rFonts w:ascii="宋体" w:hAnsi="宋体" w:cs="宋体"/>
              </w:rPr>
            </w:pPr>
            <w:r>
              <w:rPr>
                <w:rFonts w:hint="eastAsia"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1393" w:type="dxa"/>
            <w:noWrap/>
            <w:vAlign w:val="center"/>
          </w:tcPr>
          <w:p>
            <w:pPr>
              <w:pStyle w:val="6"/>
              <w:ind w:firstLine="0" w:firstLineChars="0"/>
              <w:jc w:val="center"/>
              <w:rPr>
                <w:rFonts w:ascii="宋体" w:hAnsi="宋体" w:cs="宋体"/>
              </w:rPr>
            </w:pPr>
            <w:r>
              <w:rPr>
                <w:rFonts w:hint="eastAsia" w:ascii="宋体" w:hAnsi="宋体" w:cs="宋体"/>
              </w:rPr>
              <w:t>施工安全</w:t>
            </w:r>
          </w:p>
          <w:p>
            <w:pPr>
              <w:pStyle w:val="6"/>
              <w:ind w:firstLine="0" w:firstLineChars="0"/>
              <w:jc w:val="center"/>
              <w:rPr>
                <w:rFonts w:ascii="宋体" w:hAnsi="宋体" w:cs="宋体"/>
              </w:rPr>
            </w:pPr>
            <w:r>
              <w:rPr>
                <w:rFonts w:hint="eastAsia" w:ascii="宋体" w:hAnsi="宋体" w:cs="宋体"/>
              </w:rPr>
              <w:t>及文明施</w:t>
            </w:r>
          </w:p>
          <w:p>
            <w:pPr>
              <w:pStyle w:val="6"/>
              <w:ind w:firstLine="0" w:firstLineChars="0"/>
              <w:jc w:val="center"/>
              <w:rPr>
                <w:rFonts w:ascii="宋体" w:hAnsi="宋体" w:cs="宋体"/>
              </w:rPr>
            </w:pPr>
            <w:r>
              <w:rPr>
                <w:rFonts w:hint="eastAsia" w:ascii="宋体" w:hAnsi="宋体" w:cs="宋体"/>
              </w:rPr>
              <w:t>工措施</w:t>
            </w:r>
          </w:p>
        </w:tc>
        <w:tc>
          <w:tcPr>
            <w:tcW w:w="6736" w:type="dxa"/>
            <w:noWrap/>
            <w:vAlign w:val="center"/>
          </w:tcPr>
          <w:p>
            <w:pPr>
              <w:autoSpaceDE w:val="0"/>
              <w:autoSpaceDN w:val="0"/>
              <w:spacing w:line="340" w:lineRule="atLeast"/>
              <w:rPr>
                <w:rFonts w:ascii="宋体" w:hAnsi="宋体" w:cs="宋体"/>
              </w:rPr>
            </w:pPr>
            <w:r>
              <w:rPr>
                <w:rFonts w:hint="eastAsia" w:ascii="宋体" w:hAnsi="宋体" w:cs="宋体"/>
              </w:rPr>
              <w:t>1、安全生产控制目标和工作制度。</w:t>
            </w:r>
          </w:p>
          <w:p>
            <w:pPr>
              <w:autoSpaceDE w:val="0"/>
              <w:autoSpaceDN w:val="0"/>
              <w:spacing w:line="340" w:lineRule="atLeast"/>
              <w:rPr>
                <w:rFonts w:ascii="宋体" w:hAnsi="宋体" w:cs="宋体"/>
              </w:rPr>
            </w:pPr>
            <w:r>
              <w:rPr>
                <w:rFonts w:hint="eastAsia" w:ascii="宋体" w:hAnsi="宋体" w:cs="宋体"/>
              </w:rPr>
              <w:t xml:space="preserve">目标明确，制度合理。得 12 分；目标基本明确，制度基本合理，但与项目实际要求不完全匹配。得 8 分；目标或制度缺少内容，存在缺陷或不利于项目实施。得 4 分； </w:t>
            </w:r>
          </w:p>
          <w:p>
            <w:pPr>
              <w:autoSpaceDE w:val="0"/>
              <w:autoSpaceDN w:val="0"/>
              <w:spacing w:line="340" w:lineRule="atLeast"/>
              <w:rPr>
                <w:rFonts w:ascii="宋体" w:hAnsi="宋体" w:cs="宋体"/>
              </w:rPr>
            </w:pPr>
            <w:r>
              <w:rPr>
                <w:rFonts w:hint="eastAsia" w:ascii="宋体" w:hAnsi="宋体" w:cs="宋体"/>
              </w:rPr>
              <w:t>2、安全生产监督责任和管理方法。</w:t>
            </w:r>
          </w:p>
          <w:p>
            <w:pPr>
              <w:autoSpaceDE w:val="0"/>
              <w:autoSpaceDN w:val="0"/>
              <w:spacing w:line="340" w:lineRule="atLeast"/>
              <w:rPr>
                <w:rFonts w:ascii="宋体" w:hAnsi="宋体" w:cs="宋体"/>
              </w:rPr>
            </w:pPr>
            <w:r>
              <w:rPr>
                <w:rFonts w:hint="eastAsia" w:ascii="宋体" w:hAnsi="宋体" w:cs="宋体"/>
              </w:rPr>
              <w:t>责任明确，管理方法合理可行。得 8 分；责任和管理方法均明确体现，但与项目实际要求不完全匹配。得 5 分；责任或管理方法缺少内容，存在缺陷或不利于项目实施。 得 1 分。</w:t>
            </w:r>
          </w:p>
        </w:tc>
        <w:tc>
          <w:tcPr>
            <w:tcW w:w="1085" w:type="dxa"/>
            <w:noWrap/>
            <w:vAlign w:val="center"/>
          </w:tcPr>
          <w:p>
            <w:pPr>
              <w:pStyle w:val="6"/>
              <w:ind w:firstLine="0" w:firstLineChars="0"/>
              <w:jc w:val="center"/>
              <w:rPr>
                <w:rFonts w:ascii="宋体" w:hAnsi="宋体" w:cs="宋体"/>
              </w:rPr>
            </w:pPr>
            <w:r>
              <w:rPr>
                <w:rFonts w:hint="eastAsia"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29" w:type="dxa"/>
            <w:gridSpan w:val="2"/>
            <w:noWrap/>
            <w:vAlign w:val="center"/>
          </w:tcPr>
          <w:p>
            <w:pPr>
              <w:pStyle w:val="6"/>
              <w:jc w:val="center"/>
              <w:rPr>
                <w:rFonts w:ascii="宋体" w:hAnsi="宋体" w:cs="宋体"/>
                <w:lang w:val="zh-CN"/>
              </w:rPr>
            </w:pPr>
            <w:r>
              <w:rPr>
                <w:rFonts w:hint="eastAsia" w:ascii="宋体" w:hAnsi="宋体" w:cs="宋体"/>
                <w:lang w:val="zh-CN"/>
              </w:rPr>
              <w:t>合计</w:t>
            </w:r>
          </w:p>
        </w:tc>
        <w:tc>
          <w:tcPr>
            <w:tcW w:w="1085" w:type="dxa"/>
            <w:noWrap/>
            <w:vAlign w:val="center"/>
          </w:tcPr>
          <w:p>
            <w:pPr>
              <w:pStyle w:val="6"/>
              <w:rPr>
                <w:rFonts w:ascii="宋体" w:hAnsi="宋体" w:cs="宋体"/>
              </w:rPr>
            </w:pPr>
            <w:r>
              <w:rPr>
                <w:rFonts w:hint="eastAsia" w:ascii="宋体" w:hAnsi="宋体" w:cs="宋体"/>
              </w:rPr>
              <w:t>55</w:t>
            </w:r>
          </w:p>
        </w:tc>
      </w:tr>
    </w:tbl>
    <w:p>
      <w:pPr>
        <w:spacing w:line="340" w:lineRule="exact"/>
        <w:ind w:firstLine="474" w:firstLineChars="200"/>
        <w:rPr>
          <w:rFonts w:ascii="宋体" w:hAnsi="宋体" w:cs="宋体"/>
          <w:b/>
          <w:bCs/>
          <w:spacing w:val="-2"/>
          <w:sz w:val="24"/>
          <w:szCs w:val="24"/>
        </w:rPr>
      </w:pPr>
    </w:p>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6、成交候选供应商推荐</w:t>
      </w:r>
    </w:p>
    <w:p>
      <w:pPr>
        <w:spacing w:line="340" w:lineRule="exact"/>
        <w:ind w:firstLine="480" w:firstLineChars="200"/>
        <w:rPr>
          <w:rFonts w:ascii="仿宋" w:hAnsi="仿宋" w:eastAsia="仿宋"/>
          <w:b/>
          <w:bCs/>
          <w:color w:val="FF0000"/>
          <w:spacing w:val="-2"/>
          <w:sz w:val="24"/>
          <w:szCs w:val="24"/>
          <w:u w:val="single"/>
        </w:rPr>
      </w:pPr>
      <w:r>
        <w:rPr>
          <w:rFonts w:hint="eastAsia" w:ascii="仿宋" w:hAnsi="仿宋" w:eastAsia="仿宋" w:cs="仿宋"/>
          <w:sz w:val="24"/>
          <w:szCs w:val="24"/>
        </w:rPr>
        <w:t>磋商小组从质量和服务均能满足采购文件实质性响应要求的供应商中，</w:t>
      </w:r>
      <w:r>
        <w:rPr>
          <w:rFonts w:hint="eastAsia" w:ascii="仿宋_GB2312" w:hAnsi="Arial" w:eastAsia="仿宋_GB2312" w:cs="仿宋_GB2312"/>
          <w:sz w:val="24"/>
          <w:szCs w:val="24"/>
        </w:rPr>
        <w:t>根据综合得分，按照从高到低的顺序，推荐成交人，</w:t>
      </w:r>
      <w:r>
        <w:rPr>
          <w:rFonts w:hint="eastAsia" w:ascii="仿宋" w:hAnsi="仿宋" w:eastAsia="仿宋" w:cs="仿宋"/>
          <w:sz w:val="24"/>
          <w:szCs w:val="24"/>
        </w:rPr>
        <w:t>并编写评审报告</w:t>
      </w:r>
      <w:r>
        <w:rPr>
          <w:rFonts w:hint="eastAsia" w:ascii="仿宋_GB2312" w:hAnsi="Arial" w:eastAsia="仿宋_GB2312" w:cs="仿宋_GB2312"/>
          <w:sz w:val="24"/>
          <w:szCs w:val="24"/>
        </w:rPr>
        <w:t>。</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7、成交结果确认</w:t>
      </w:r>
    </w:p>
    <w:p>
      <w:pPr>
        <w:ind w:firstLine="472" w:firstLineChars="200"/>
        <w:rPr>
          <w:rFonts w:ascii="仿宋" w:hAnsi="仿宋" w:eastAsia="仿宋"/>
          <w:sz w:val="24"/>
          <w:szCs w:val="24"/>
        </w:rPr>
      </w:pP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7</w:t>
      </w:r>
      <w:r>
        <w:rPr>
          <w:rFonts w:ascii="仿宋_GB2312" w:hAnsi="Arial" w:eastAsia="仿宋_GB2312" w:cs="仿宋_GB2312"/>
          <w:spacing w:val="-2"/>
          <w:sz w:val="24"/>
          <w:szCs w:val="24"/>
        </w:rPr>
        <w:t xml:space="preserve">.1 </w:t>
      </w:r>
      <w:r>
        <w:rPr>
          <w:rFonts w:hint="eastAsia" w:ascii="仿宋" w:hAnsi="仿宋" w:eastAsia="仿宋" w:cs="仿宋"/>
          <w:sz w:val="24"/>
          <w:szCs w:val="24"/>
        </w:rPr>
        <w:t>采购机构在评审结束后将评审报告送采购人，采购人在收到评审报告后从评审报告提出的成交候选人中，根据质量和服务均能满足采购文件实质性响应要求且得分最高的原则确定成交人。采购人逾期未确定成交人且不提出异议的，视为确定评审报告提出的最后得分最高的供应商为成交人。</w:t>
      </w:r>
    </w:p>
    <w:p>
      <w:pPr>
        <w:rPr>
          <w:rFonts w:ascii="仿宋_GB2312" w:hAnsi="Arial" w:eastAsia="仿宋_GB2312"/>
          <w:spacing w:val="-2"/>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7</w:t>
      </w:r>
      <w:r>
        <w:rPr>
          <w:rFonts w:ascii="仿宋" w:hAnsi="仿宋" w:eastAsia="仿宋" w:cs="仿宋"/>
          <w:sz w:val="24"/>
          <w:szCs w:val="24"/>
        </w:rPr>
        <w:t xml:space="preserve">.2 </w:t>
      </w:r>
      <w:r>
        <w:rPr>
          <w:rFonts w:hint="eastAsia" w:ascii="仿宋" w:hAnsi="仿宋" w:eastAsia="仿宋" w:cs="仿宋"/>
          <w:sz w:val="24"/>
          <w:szCs w:val="24"/>
        </w:rPr>
        <w:t>采购人或者采购机构自成交人确定之日起</w:t>
      </w:r>
      <w:r>
        <w:rPr>
          <w:rFonts w:ascii="仿宋" w:hAnsi="仿宋" w:eastAsia="仿宋" w:cs="仿宋"/>
          <w:sz w:val="24"/>
          <w:szCs w:val="24"/>
        </w:rPr>
        <w:t>2</w:t>
      </w:r>
      <w:r>
        <w:rPr>
          <w:rFonts w:hint="eastAsia" w:ascii="仿宋" w:hAnsi="仿宋" w:eastAsia="仿宋" w:cs="仿宋"/>
          <w:sz w:val="24"/>
          <w:szCs w:val="24"/>
        </w:rPr>
        <w:t>个工作日内，在省级以上财政部门指定的媒体上公告成交结果。</w:t>
      </w:r>
    </w:p>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8、磋商采购活动的终止</w:t>
      </w:r>
    </w:p>
    <w:p>
      <w:pPr>
        <w:ind w:firstLine="472" w:firstLineChars="200"/>
        <w:rPr>
          <w:rFonts w:ascii="仿宋" w:hAnsi="仿宋" w:eastAsia="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8</w:t>
      </w:r>
      <w:r>
        <w:rPr>
          <w:rFonts w:ascii="仿宋" w:hAnsi="仿宋" w:eastAsia="仿宋" w:cs="仿宋"/>
          <w:spacing w:val="-2"/>
          <w:sz w:val="24"/>
          <w:szCs w:val="24"/>
        </w:rPr>
        <w:t>.1</w:t>
      </w:r>
      <w:r>
        <w:rPr>
          <w:rFonts w:hint="eastAsia" w:ascii="仿宋" w:hAnsi="仿宋" w:eastAsia="仿宋" w:cs="仿宋"/>
          <w:sz w:val="24"/>
          <w:szCs w:val="24"/>
        </w:rPr>
        <w:t>因情况变化，不再符合规定的竞争性磋商集采机构式适用情形的；</w:t>
      </w:r>
      <w:bookmarkStart w:id="489" w:name="_GoBack"/>
      <w:bookmarkEnd w:id="489"/>
    </w:p>
    <w:p>
      <w:pPr>
        <w:rPr>
          <w:rFonts w:ascii="仿宋" w:hAnsi="仿宋" w:eastAsia="仿宋"/>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.2</w:t>
      </w:r>
      <w:r>
        <w:rPr>
          <w:rFonts w:hint="eastAsia" w:ascii="仿宋" w:hAnsi="仿宋" w:eastAsia="仿宋" w:cs="仿宋"/>
          <w:sz w:val="24"/>
          <w:szCs w:val="24"/>
        </w:rPr>
        <w:t>出现影响采购公正的违法、违规行为的；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.3</w:t>
      </w:r>
      <w:r>
        <w:rPr>
          <w:rFonts w:hint="eastAsia" w:ascii="仿宋" w:hAnsi="仿宋" w:eastAsia="仿宋" w:cs="仿宋"/>
          <w:sz w:val="24"/>
          <w:szCs w:val="24"/>
        </w:rPr>
        <w:t>在采购过程中符合竞争要求的供应商或者报价未超过采购预算的供应商不足</w:t>
      </w:r>
      <w:r>
        <w:rPr>
          <w:rFonts w:ascii="仿宋" w:hAnsi="仿宋" w:eastAsia="仿宋" w:cs="仿宋"/>
          <w:sz w:val="24"/>
          <w:szCs w:val="24"/>
        </w:rPr>
        <w:t>3</w:t>
      </w:r>
      <w:r>
        <w:rPr>
          <w:rFonts w:hint="eastAsia" w:ascii="仿宋" w:hAnsi="仿宋" w:eastAsia="仿宋" w:cs="仿宋"/>
          <w:sz w:val="24"/>
          <w:szCs w:val="24"/>
        </w:rPr>
        <w:t>家的。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.4</w:t>
      </w:r>
      <w:r>
        <w:rPr>
          <w:rFonts w:hint="eastAsia" w:ascii="仿宋" w:hAnsi="仿宋" w:eastAsia="仿宋" w:cs="仿宋"/>
          <w:sz w:val="24"/>
          <w:szCs w:val="24"/>
        </w:rPr>
        <w:t>出现以上情形之一的，采购人将终止竞争性磋商采购活动，发布项目终止公告并说明原因，重新开展采购活动。</w:t>
      </w:r>
    </w:p>
    <w:p>
      <w:pPr>
        <w:rPr>
          <w:rFonts w:ascii="仿宋" w:hAnsi="仿宋" w:eastAsia="仿宋"/>
          <w:sz w:val="24"/>
          <w:szCs w:val="24"/>
        </w:rPr>
      </w:pPr>
    </w:p>
    <w:p>
      <w:pPr>
        <w:pStyle w:val="13"/>
        <w:ind w:firstLine="0"/>
        <w:jc w:val="center"/>
        <w:outlineLvl w:val="0"/>
        <w:rPr>
          <w:rFonts w:cs="Times New Roman"/>
          <w:b/>
          <w:bCs/>
          <w:sz w:val="18"/>
          <w:szCs w:val="18"/>
        </w:rPr>
      </w:pPr>
      <w:bookmarkStart w:id="150" w:name="_Toc21084"/>
      <w:bookmarkStart w:id="151" w:name="_Toc10250"/>
      <w:bookmarkStart w:id="152" w:name="_Toc29399"/>
      <w:bookmarkStart w:id="153" w:name="_Toc14835"/>
      <w:bookmarkStart w:id="154" w:name="_Toc32432"/>
      <w:bookmarkStart w:id="155" w:name="_Toc12835"/>
      <w:bookmarkStart w:id="156" w:name="_Toc11718"/>
      <w:bookmarkStart w:id="157" w:name="_Toc25513"/>
      <w:bookmarkStart w:id="158" w:name="_Toc30052_WPSOffice_Level1"/>
      <w:bookmarkStart w:id="159" w:name="_Toc25407"/>
      <w:bookmarkStart w:id="160" w:name="_Toc29644"/>
      <w:bookmarkStart w:id="161" w:name="_Toc16840"/>
      <w:bookmarkStart w:id="162" w:name="_Toc7052"/>
      <w:bookmarkStart w:id="163" w:name="_Toc8236"/>
      <w:bookmarkStart w:id="164" w:name="_Toc30474"/>
      <w:bookmarkStart w:id="165" w:name="_Toc31051"/>
      <w:bookmarkStart w:id="166" w:name="_Toc23461"/>
      <w:bookmarkStart w:id="167" w:name="_Toc10781"/>
      <w:r>
        <w:rPr>
          <w:rFonts w:hint="eastAsia"/>
          <w:b/>
          <w:bCs/>
          <w:sz w:val="36"/>
          <w:szCs w:val="36"/>
        </w:rPr>
        <w:t>第三部分采购需求及商务要求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315" w:firstLineChars="98"/>
        <w:jc w:val="center"/>
        <w:outlineLvl w:val="1"/>
        <w:rPr>
          <w:rFonts w:ascii="仿宋_GB2312" w:eastAsia="仿宋_GB2312"/>
          <w:b/>
          <w:bCs/>
          <w:sz w:val="32"/>
          <w:szCs w:val="32"/>
        </w:rPr>
      </w:pPr>
      <w:bookmarkStart w:id="168" w:name="_Toc6742"/>
      <w:bookmarkStart w:id="169" w:name="_Toc21264"/>
      <w:bookmarkStart w:id="170" w:name="_Toc8816"/>
      <w:bookmarkStart w:id="171" w:name="_Toc29526"/>
      <w:bookmarkStart w:id="172" w:name="_Toc18928"/>
      <w:bookmarkStart w:id="173" w:name="_Toc3387"/>
      <w:bookmarkStart w:id="174" w:name="_Toc23314"/>
      <w:bookmarkStart w:id="175" w:name="_Toc22725"/>
      <w:bookmarkStart w:id="176" w:name="_Toc24802"/>
      <w:bookmarkStart w:id="177" w:name="_Toc30183"/>
      <w:bookmarkStart w:id="178" w:name="_Toc17367"/>
      <w:bookmarkStart w:id="179" w:name="_Toc26583"/>
      <w:bookmarkStart w:id="180" w:name="_Toc15041"/>
      <w:bookmarkStart w:id="181" w:name="_Toc10206"/>
      <w:bookmarkStart w:id="182" w:name="_Toc26366"/>
      <w:bookmarkStart w:id="183" w:name="_Toc22531"/>
      <w:bookmarkStart w:id="184" w:name="_Toc19752"/>
      <w:bookmarkStart w:id="185" w:name="_Toc29350"/>
      <w:bookmarkStart w:id="186" w:name="_Toc12987"/>
      <w:bookmarkStart w:id="187" w:name="_Toc31995"/>
      <w:bookmarkStart w:id="188" w:name="_Toc13525"/>
      <w:bookmarkStart w:id="189" w:name="_Toc32353"/>
      <w:bookmarkStart w:id="190" w:name="_Toc7664"/>
      <w:bookmarkStart w:id="191" w:name="_Toc24772"/>
      <w:bookmarkStart w:id="192" w:name="_Toc22799"/>
      <w:bookmarkStart w:id="193" w:name="_Toc17673"/>
      <w:bookmarkStart w:id="194" w:name="_Toc2698"/>
      <w:bookmarkStart w:id="195" w:name="_Toc10486"/>
      <w:bookmarkStart w:id="196" w:name="_Toc8500"/>
      <w:bookmarkStart w:id="197" w:name="_Toc23175_WPSOffice_Level2"/>
      <w:r>
        <w:rPr>
          <w:rFonts w:hint="eastAsia" w:ascii="仿宋_GB2312" w:eastAsia="仿宋_GB2312" w:cs="仿宋_GB2312"/>
          <w:b/>
          <w:bCs/>
          <w:sz w:val="32"/>
          <w:szCs w:val="32"/>
        </w:rPr>
        <w:t>第一章采购需求及</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仿宋_GB2312" w:eastAsia="仿宋_GB2312" w:cs="仿宋_GB2312"/>
          <w:b/>
          <w:bCs/>
          <w:sz w:val="32"/>
          <w:szCs w:val="32"/>
        </w:rPr>
        <w:t>服务要求</w:t>
      </w:r>
      <w:bookmarkEnd w:id="196"/>
      <w:bookmarkEnd w:id="197"/>
    </w:p>
    <w:p>
      <w:pPr>
        <w:ind w:firstLine="482" w:firstLineChars="200"/>
        <w:rPr>
          <w:rFonts w:ascii="宋体"/>
          <w:b/>
          <w:bCs/>
          <w:sz w:val="24"/>
          <w:szCs w:val="24"/>
        </w:rPr>
      </w:pPr>
      <w:r>
        <w:rPr>
          <w:rFonts w:hint="eastAsia" w:ascii="宋体" w:hAnsi="宋体" w:cs="宋体"/>
          <w:b/>
          <w:bCs/>
          <w:sz w:val="24"/>
          <w:szCs w:val="24"/>
        </w:rPr>
        <w:t>19、采购项目概况</w:t>
      </w:r>
    </w:p>
    <w:p>
      <w:pPr>
        <w:ind w:firstLine="480" w:firstLineChars="200"/>
        <w:jc w:val="left"/>
        <w:rPr>
          <w:rFonts w:ascii="仿宋" w:hAnsi="仿宋" w:eastAsia="仿宋" w:cs="仿宋"/>
          <w:sz w:val="24"/>
          <w:szCs w:val="24"/>
        </w:rPr>
      </w:pPr>
      <w:bookmarkStart w:id="198" w:name="_Toc256000022"/>
      <w:bookmarkStart w:id="199" w:name="_Toc534380786"/>
      <w:bookmarkStart w:id="200" w:name="_Toc446599322"/>
      <w:bookmarkStart w:id="201" w:name="_Toc293739001"/>
      <w:bookmarkStart w:id="202" w:name="_Toc293736063"/>
      <w:bookmarkStart w:id="203" w:name="_Toc293736020"/>
      <w:r>
        <w:rPr>
          <w:rFonts w:hint="eastAsia" w:ascii="仿宋" w:hAnsi="仿宋" w:eastAsia="仿宋" w:cs="仿宋"/>
          <w:sz w:val="24"/>
          <w:szCs w:val="24"/>
        </w:rPr>
        <w:t>19.1 项目目标</w:t>
      </w:r>
    </w:p>
    <w:p>
      <w:pPr>
        <w:ind w:firstLine="480" w:firstLineChars="200"/>
        <w:jc w:val="left"/>
        <w:rPr>
          <w:rFonts w:ascii="仿宋" w:hAnsi="仿宋" w:eastAsia="仿宋" w:cs="仿宋"/>
          <w:sz w:val="24"/>
          <w:szCs w:val="24"/>
        </w:rPr>
      </w:pPr>
      <w:r>
        <w:rPr>
          <w:rFonts w:ascii="仿宋" w:hAnsi="仿宋" w:eastAsia="仿宋" w:cs="仿宋"/>
          <w:sz w:val="24"/>
          <w:szCs w:val="24"/>
        </w:rPr>
        <w:t>推进以人为核心的新型城镇化</w:t>
      </w:r>
      <w:r>
        <w:rPr>
          <w:rFonts w:hint="eastAsia" w:ascii="仿宋" w:hAnsi="仿宋" w:eastAsia="仿宋" w:cs="仿宋"/>
          <w:sz w:val="24"/>
          <w:szCs w:val="24"/>
        </w:rPr>
        <w:t>，</w:t>
      </w:r>
      <w:r>
        <w:rPr>
          <w:rFonts w:ascii="仿宋" w:hAnsi="仿宋" w:eastAsia="仿宋" w:cs="仿宋"/>
          <w:sz w:val="24"/>
          <w:szCs w:val="24"/>
        </w:rPr>
        <w:t>围绕全面提升城镇化质量，聚焦</w:t>
      </w:r>
      <w:r>
        <w:rPr>
          <w:rFonts w:hint="eastAsia" w:ascii="仿宋" w:hAnsi="仿宋" w:eastAsia="仿宋" w:cs="仿宋"/>
          <w:sz w:val="24"/>
          <w:szCs w:val="24"/>
        </w:rPr>
        <w:t>博乐市</w:t>
      </w:r>
      <w:r>
        <w:rPr>
          <w:rFonts w:ascii="仿宋" w:hAnsi="仿宋" w:eastAsia="仿宋" w:cs="仿宋"/>
          <w:sz w:val="24"/>
          <w:szCs w:val="24"/>
        </w:rPr>
        <w:t>人民群众需求,实施</w:t>
      </w:r>
      <w:r>
        <w:rPr>
          <w:rFonts w:hint="eastAsia" w:ascii="仿宋" w:hAnsi="仿宋" w:eastAsia="仿宋" w:cs="仿宋"/>
          <w:sz w:val="24"/>
          <w:szCs w:val="24"/>
        </w:rPr>
        <w:t>博乐市2023年城市市政基础设施维护、维修项目</w:t>
      </w:r>
      <w:r>
        <w:rPr>
          <w:rFonts w:ascii="仿宋" w:hAnsi="仿宋" w:eastAsia="仿宋" w:cs="仿宋"/>
          <w:sz w:val="24"/>
          <w:szCs w:val="24"/>
        </w:rPr>
        <w:t>，</w:t>
      </w:r>
      <w:r>
        <w:rPr>
          <w:rFonts w:hint="eastAsia" w:ascii="仿宋" w:hAnsi="仿宋" w:eastAsia="仿宋" w:cs="仿宋"/>
          <w:sz w:val="24"/>
          <w:szCs w:val="24"/>
        </w:rPr>
        <w:t>保障博乐市城市道路路面、护栏、交通标识标牌、照明路灯、交通信号灯、楼体亮化和市政道路排水管网、检查井等基础设施外观完好，使用正常，确保道路交通平整畅通，居民出行安全便利，营造</w:t>
      </w:r>
      <w:r>
        <w:rPr>
          <w:rFonts w:ascii="仿宋" w:hAnsi="仿宋" w:eastAsia="仿宋" w:cs="仿宋"/>
          <w:sz w:val="24"/>
          <w:szCs w:val="24"/>
        </w:rPr>
        <w:t>宜业、宜居的良好环境。</w:t>
      </w:r>
      <w:r>
        <w:rPr>
          <w:rFonts w:hint="eastAsia" w:ascii="仿宋" w:hAnsi="仿宋" w:eastAsia="仿宋" w:cs="仿宋"/>
          <w:sz w:val="24"/>
          <w:szCs w:val="24"/>
        </w:rPr>
        <w:t>实施博乐市2023年城市市政基础设施维护、维修项目施工监理，确保工程建设质量和安全，提高工程建设水平，充分发挥投资效益。</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19.2 技术要求</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1.《中华人民共和国建筑法》（2019年修正）；</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2.《建筑工程质量管理条例》（中华人民共和国国务院令第279号）；</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3.《建筑工程安全生产管理条例》（中华人民共和国国务院令第393号）；</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4.《建设工程监理规范》（GB/T 50319-2013）；</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19.3 服务要求</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1.制定和实施监理规则、细则。“三控”：工程进度控制、工程质量控制、工程投资（成本）控制。“三管”：合同管理、职业健康安全与环境管理、信息管理；一协调：全面地组织协调（协调范围分为内部协调和外部协调）；</w:t>
      </w:r>
    </w:p>
    <w:p>
      <w:pPr>
        <w:ind w:firstLine="480" w:firstLineChars="200"/>
        <w:jc w:val="left"/>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项目地点：博乐市。</w:t>
      </w:r>
    </w:p>
    <w:p>
      <w:pPr>
        <w:ind w:firstLine="480" w:firstLineChars="200"/>
        <w:jc w:val="left"/>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服务期限：自合同签订之日起一年（含一年）。</w:t>
      </w:r>
    </w:p>
    <w:p>
      <w:pPr>
        <w:ind w:firstLine="480"/>
        <w:rPr>
          <w:rFonts w:ascii="仿宋" w:hAnsi="仿宋" w:eastAsia="仿宋" w:cs="仿宋"/>
          <w:sz w:val="24"/>
          <w:szCs w:val="24"/>
        </w:rPr>
      </w:pPr>
      <w:r>
        <w:rPr>
          <w:rFonts w:hint="eastAsia" w:ascii="仿宋" w:hAnsi="仿宋" w:eastAsia="仿宋" w:cs="仿宋"/>
          <w:sz w:val="24"/>
          <w:szCs w:val="24"/>
        </w:rPr>
        <w:t>注：1.如对本招标文件有任何疑问或要求澄清，请按本招标文件的规定提出，否则视同理解和接受。</w:t>
      </w:r>
    </w:p>
    <w:bookmarkEnd w:id="198"/>
    <w:bookmarkEnd w:id="199"/>
    <w:bookmarkEnd w:id="200"/>
    <w:bookmarkEnd w:id="201"/>
    <w:bookmarkEnd w:id="202"/>
    <w:bookmarkEnd w:id="203"/>
    <w:p>
      <w:pPr>
        <w:ind w:firstLine="480"/>
        <w:rPr>
          <w:rFonts w:ascii="仿宋" w:hAnsi="仿宋" w:eastAsia="仿宋" w:cs="仿宋"/>
          <w:sz w:val="24"/>
          <w:szCs w:val="24"/>
        </w:rPr>
      </w:pPr>
      <w:r>
        <w:rPr>
          <w:rFonts w:hint="eastAsia" w:ascii="仿宋" w:hAnsi="仿宋" w:eastAsia="仿宋" w:cs="仿宋"/>
          <w:sz w:val="24"/>
          <w:szCs w:val="24"/>
        </w:rPr>
        <w:t>2.中标单位在结账时须出具博乐市本地发票或完税证明。</w:t>
      </w:r>
    </w:p>
    <w:p>
      <w:pPr>
        <w:pStyle w:val="44"/>
        <w:jc w:val="center"/>
        <w:outlineLvl w:val="1"/>
        <w:rPr>
          <w:rFonts w:ascii="仿宋_GB2312" w:hAnsi="宋体" w:eastAsia="仿宋_GB2312"/>
          <w:b/>
          <w:bCs/>
          <w:color w:val="auto"/>
          <w:kern w:val="2"/>
          <w:sz w:val="32"/>
          <w:szCs w:val="32"/>
        </w:rPr>
      </w:pPr>
      <w:bookmarkStart w:id="204" w:name="_Toc19735"/>
      <w:bookmarkStart w:id="205" w:name="_Toc15897"/>
      <w:bookmarkStart w:id="206" w:name="_Toc27472"/>
      <w:bookmarkStart w:id="207" w:name="_Toc15879"/>
      <w:bookmarkStart w:id="208" w:name="_Toc14887"/>
      <w:bookmarkStart w:id="209" w:name="_Toc20654"/>
      <w:bookmarkStart w:id="210" w:name="_Toc24101"/>
      <w:bookmarkStart w:id="211" w:name="_Toc12510_WPSOffice_Level2"/>
      <w:bookmarkStart w:id="212" w:name="_Toc5538"/>
      <w:bookmarkStart w:id="213" w:name="_Toc379"/>
      <w:bookmarkStart w:id="214" w:name="_Toc8052"/>
      <w:bookmarkStart w:id="215" w:name="_Toc23354"/>
      <w:bookmarkStart w:id="216" w:name="_Toc13116"/>
      <w:bookmarkStart w:id="217" w:name="_Toc25773"/>
      <w:bookmarkStart w:id="218" w:name="_Toc11082"/>
      <w:bookmarkStart w:id="219" w:name="_Toc29589"/>
      <w:bookmarkStart w:id="220" w:name="_Toc30711"/>
      <w:r>
        <w:rPr>
          <w:rFonts w:hint="eastAsia" w:ascii="仿宋_GB2312" w:hAnsi="宋体" w:eastAsia="仿宋_GB2312" w:cs="仿宋_GB2312"/>
          <w:b/>
          <w:bCs/>
          <w:color w:val="auto"/>
          <w:kern w:val="2"/>
          <w:sz w:val="32"/>
          <w:szCs w:val="32"/>
        </w:rPr>
        <w:t>第二章付款方式及程序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ind w:firstLine="477" w:firstLineChars="198"/>
        <w:rPr>
          <w:rFonts w:ascii="宋体"/>
          <w:b/>
          <w:bCs/>
          <w:sz w:val="24"/>
          <w:szCs w:val="24"/>
        </w:rPr>
      </w:pPr>
      <w:r>
        <w:rPr>
          <w:rFonts w:ascii="宋体" w:hAnsi="宋体" w:cs="宋体"/>
          <w:b/>
          <w:bCs/>
          <w:sz w:val="24"/>
          <w:szCs w:val="24"/>
        </w:rPr>
        <w:t>2</w:t>
      </w:r>
      <w:r>
        <w:rPr>
          <w:rFonts w:hint="eastAsia" w:ascii="宋体" w:hAnsi="宋体" w:cs="宋体"/>
          <w:b/>
          <w:bCs/>
          <w:sz w:val="24"/>
          <w:szCs w:val="24"/>
        </w:rPr>
        <w:t>0、付款方式</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lang w:val="zh-TW"/>
        </w:rPr>
        <w:t>以签订合同为主。</w:t>
      </w:r>
    </w:p>
    <w:p>
      <w:pPr>
        <w:ind w:left="480"/>
        <w:rPr>
          <w:rFonts w:ascii="宋体"/>
          <w:b/>
          <w:bCs/>
          <w:sz w:val="24"/>
          <w:szCs w:val="24"/>
        </w:rPr>
      </w:pPr>
      <w:r>
        <w:rPr>
          <w:rFonts w:ascii="宋体" w:hAnsi="宋体" w:cs="宋体"/>
          <w:b/>
          <w:bCs/>
          <w:sz w:val="24"/>
          <w:szCs w:val="24"/>
        </w:rPr>
        <w:t>2</w:t>
      </w:r>
      <w:r>
        <w:rPr>
          <w:rFonts w:hint="eastAsia" w:ascii="宋体" w:hAnsi="宋体" w:cs="宋体"/>
          <w:b/>
          <w:bCs/>
          <w:sz w:val="24"/>
          <w:szCs w:val="24"/>
        </w:rPr>
        <w:t>1、付款程序</w:t>
      </w:r>
    </w:p>
    <w:p>
      <w:pPr>
        <w:ind w:firstLine="480" w:firstLineChars="200"/>
        <w:rPr>
          <w:rFonts w:ascii="仿宋_GB2312" w:hAnsi="宋体" w:eastAsia="仿宋_GB2312"/>
          <w:b/>
          <w:bCs/>
          <w:sz w:val="24"/>
          <w:szCs w:val="24"/>
        </w:rPr>
      </w:pPr>
      <w:r>
        <w:rPr>
          <w:rFonts w:hint="eastAsia" w:ascii="仿宋_GB2312" w:hAnsi="Arial" w:eastAsia="仿宋_GB2312" w:cs="仿宋_GB2312"/>
          <w:sz w:val="24"/>
          <w:szCs w:val="24"/>
        </w:rPr>
        <w:t>所有货款均以人民币支付，</w:t>
      </w:r>
      <w:r>
        <w:rPr>
          <w:rFonts w:hint="eastAsia" w:ascii="仿宋_GB2312" w:hAnsi="宋体" w:eastAsia="仿宋_GB2312" w:cs="仿宋_GB2312"/>
          <w:kern w:val="0"/>
          <w:sz w:val="24"/>
          <w:szCs w:val="24"/>
        </w:rPr>
        <w:t>采购人办理具体付款手续。</w:t>
      </w:r>
    </w:p>
    <w:p>
      <w:pPr>
        <w:jc w:val="center"/>
        <w:outlineLvl w:val="1"/>
        <w:rPr>
          <w:rFonts w:ascii="仿宋_GB2312" w:hAnsi="宋体" w:eastAsia="仿宋_GB2312"/>
          <w:b/>
          <w:bCs/>
          <w:sz w:val="24"/>
          <w:szCs w:val="24"/>
        </w:rPr>
      </w:pPr>
      <w:bookmarkStart w:id="221" w:name="_Toc7574"/>
      <w:bookmarkStart w:id="222" w:name="_Toc13489"/>
      <w:bookmarkStart w:id="223" w:name="_Toc27677"/>
      <w:bookmarkStart w:id="224" w:name="_Toc15493_WPSOffice_Level2"/>
      <w:bookmarkStart w:id="225" w:name="_Toc11928"/>
      <w:bookmarkStart w:id="226" w:name="_Toc11889"/>
      <w:bookmarkStart w:id="227" w:name="_Toc15"/>
      <w:bookmarkStart w:id="228" w:name="_Toc301"/>
      <w:bookmarkStart w:id="229" w:name="_Toc10247"/>
      <w:bookmarkStart w:id="230" w:name="_Toc171"/>
      <w:bookmarkStart w:id="231" w:name="_Toc2249"/>
      <w:bookmarkStart w:id="232" w:name="_Toc20755"/>
      <w:bookmarkStart w:id="233" w:name="_Toc969"/>
      <w:bookmarkStart w:id="234" w:name="_Toc29652"/>
      <w:bookmarkStart w:id="235" w:name="_Toc32522"/>
      <w:bookmarkStart w:id="236" w:name="_Toc26266"/>
      <w:bookmarkStart w:id="237" w:name="_Toc31350"/>
      <w:bookmarkStart w:id="238" w:name="_Toc18544"/>
      <w:bookmarkStart w:id="239" w:name="_Toc16332"/>
      <w:bookmarkStart w:id="240" w:name="_Toc16211"/>
      <w:bookmarkStart w:id="241" w:name="_Toc1134"/>
      <w:bookmarkStart w:id="242" w:name="_Toc32004"/>
      <w:bookmarkStart w:id="243" w:name="_Toc13133"/>
      <w:bookmarkStart w:id="244" w:name="_Toc22094"/>
      <w:bookmarkStart w:id="245" w:name="_Toc12952"/>
      <w:bookmarkStart w:id="246" w:name="_Toc10864"/>
      <w:bookmarkStart w:id="247" w:name="_Toc24659"/>
      <w:bookmarkStart w:id="248" w:name="_Toc13594"/>
      <w:bookmarkStart w:id="249" w:name="_Toc28648"/>
      <w:bookmarkStart w:id="250" w:name="_Toc6974"/>
      <w:r>
        <w:rPr>
          <w:rFonts w:hint="eastAsia" w:ascii="仿宋_GB2312" w:hAnsi="宋体" w:eastAsia="仿宋_GB2312" w:cs="仿宋_GB2312"/>
          <w:b/>
          <w:bCs/>
          <w:sz w:val="32"/>
          <w:szCs w:val="32"/>
        </w:rPr>
        <w:t>第三章售后服务要求</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ind w:left="1"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2、售后服务要求</w:t>
      </w:r>
    </w:p>
    <w:p>
      <w:pPr>
        <w:ind w:left="1" w:firstLine="480" w:firstLineChars="200"/>
        <w:rPr>
          <w:rFonts w:ascii="仿宋_GB2312" w:hAnsi="Arial" w:eastAsia="仿宋_GB2312"/>
          <w:sz w:val="24"/>
          <w:szCs w:val="24"/>
        </w:rPr>
      </w:pPr>
      <w:r>
        <w:rPr>
          <w:rFonts w:ascii="仿宋_GB2312" w:hAnsi="Arial" w:eastAsia="仿宋_GB2312" w:cs="仿宋_GB2312"/>
          <w:sz w:val="24"/>
          <w:szCs w:val="24"/>
        </w:rPr>
        <w:t>2</w:t>
      </w:r>
      <w:r>
        <w:rPr>
          <w:rFonts w:hint="eastAsia" w:ascii="仿宋_GB2312" w:hAnsi="Arial" w:eastAsia="仿宋_GB2312" w:cs="仿宋_GB2312"/>
          <w:sz w:val="24"/>
          <w:szCs w:val="24"/>
        </w:rPr>
        <w:t>2</w:t>
      </w:r>
      <w:r>
        <w:rPr>
          <w:rFonts w:ascii="仿宋_GB2312" w:hAnsi="Arial" w:eastAsia="仿宋_GB2312" w:cs="仿宋_GB2312"/>
          <w:sz w:val="24"/>
          <w:szCs w:val="24"/>
        </w:rPr>
        <w:t xml:space="preserve">.1 </w:t>
      </w:r>
      <w:r>
        <w:rPr>
          <w:rFonts w:hint="eastAsia" w:ascii="仿宋_GB2312" w:hAnsi="Arial" w:eastAsia="仿宋_GB2312" w:cs="仿宋_GB2312"/>
          <w:sz w:val="24"/>
          <w:szCs w:val="24"/>
        </w:rPr>
        <w:t>在交付使用后，供应商应对保修期及其以后的服务做出承诺，并具有切实可行的服务措施；</w:t>
      </w:r>
    </w:p>
    <w:p>
      <w:pPr>
        <w:ind w:left="1" w:firstLine="480" w:firstLineChars="200"/>
        <w:rPr>
          <w:rFonts w:ascii="仿宋_GB2312" w:hAnsi="Arial" w:eastAsia="仿宋_GB2312"/>
          <w:sz w:val="24"/>
          <w:szCs w:val="24"/>
        </w:rPr>
      </w:pPr>
      <w:r>
        <w:rPr>
          <w:rFonts w:ascii="仿宋_GB2312" w:hAnsi="Arial" w:eastAsia="仿宋_GB2312" w:cs="仿宋_GB2312"/>
          <w:sz w:val="24"/>
          <w:szCs w:val="24"/>
        </w:rPr>
        <w:t>2</w:t>
      </w:r>
      <w:r>
        <w:rPr>
          <w:rFonts w:hint="eastAsia" w:ascii="仿宋_GB2312" w:hAnsi="Arial" w:eastAsia="仿宋_GB2312" w:cs="仿宋_GB2312"/>
          <w:sz w:val="24"/>
          <w:szCs w:val="24"/>
        </w:rPr>
        <w:t>2</w:t>
      </w:r>
      <w:r>
        <w:rPr>
          <w:rFonts w:ascii="仿宋_GB2312" w:hAnsi="Arial" w:eastAsia="仿宋_GB2312" w:cs="仿宋_GB2312"/>
          <w:sz w:val="24"/>
          <w:szCs w:val="24"/>
        </w:rPr>
        <w:t xml:space="preserve">.2 </w:t>
      </w:r>
      <w:r>
        <w:rPr>
          <w:rFonts w:hint="eastAsia" w:ascii="仿宋_GB2312" w:hAnsi="Arial" w:eastAsia="仿宋_GB2312" w:cs="仿宋_GB2312"/>
          <w:sz w:val="24"/>
          <w:szCs w:val="24"/>
        </w:rPr>
        <w:t>不能及时兑现服务承诺内容而影响采购人使用时，供应商应给予补偿的承诺，在磋商响应文件中均应明确说明；</w:t>
      </w:r>
    </w:p>
    <w:p>
      <w:pPr>
        <w:ind w:left="1"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2</w:t>
      </w:r>
      <w:r>
        <w:rPr>
          <w:rFonts w:ascii="仿宋_GB2312" w:eastAsia="仿宋_GB2312" w:cs="仿宋_GB2312"/>
          <w:sz w:val="24"/>
          <w:szCs w:val="24"/>
        </w:rPr>
        <w:t xml:space="preserve">.3 </w:t>
      </w:r>
      <w:r>
        <w:rPr>
          <w:rFonts w:hint="eastAsia" w:ascii="仿宋_GB2312" w:eastAsia="仿宋_GB2312" w:cs="仿宋_GB2312"/>
          <w:sz w:val="24"/>
          <w:szCs w:val="24"/>
        </w:rPr>
        <w:t>供应商在伊犁范围内应有常设或指派的法定售后服务人员，售后服务人员应是供应商派出的具有一定专业技术和服务水平的人员，并具有法人授权委托和有关主管部门的资质证书。</w:t>
      </w:r>
    </w:p>
    <w:p>
      <w:pPr>
        <w:tabs>
          <w:tab w:val="left" w:pos="1260"/>
        </w:tabs>
        <w:jc w:val="center"/>
        <w:outlineLvl w:val="0"/>
        <w:rPr>
          <w:rFonts w:ascii="宋体" w:hAnsi="宋体" w:cs="宋体"/>
          <w:b/>
          <w:bCs/>
          <w:sz w:val="36"/>
          <w:szCs w:val="36"/>
        </w:rPr>
      </w:pPr>
      <w:bookmarkStart w:id="251" w:name="_Toc19294"/>
      <w:bookmarkStart w:id="252" w:name="_Toc11798"/>
      <w:bookmarkStart w:id="253" w:name="_Toc32203"/>
      <w:bookmarkStart w:id="254" w:name="_Toc19116"/>
      <w:bookmarkStart w:id="255" w:name="_Toc25181"/>
      <w:bookmarkStart w:id="256" w:name="_Toc1891"/>
      <w:bookmarkStart w:id="257" w:name="_Toc31794"/>
      <w:bookmarkStart w:id="258" w:name="_Toc9753"/>
      <w:bookmarkStart w:id="259" w:name="_Toc20743"/>
      <w:bookmarkStart w:id="260" w:name="_Toc29539"/>
      <w:bookmarkStart w:id="261" w:name="_Toc19313"/>
      <w:bookmarkStart w:id="262" w:name="_Toc6882"/>
      <w:bookmarkStart w:id="263" w:name="_Toc6803"/>
      <w:bookmarkStart w:id="264" w:name="_Toc23873"/>
      <w:bookmarkStart w:id="265" w:name="_Toc4419"/>
      <w:bookmarkStart w:id="266" w:name="_Toc18908"/>
      <w:bookmarkStart w:id="267" w:name="_Toc25930"/>
    </w:p>
    <w:p>
      <w:pPr>
        <w:tabs>
          <w:tab w:val="left" w:pos="1260"/>
        </w:tabs>
        <w:jc w:val="center"/>
        <w:outlineLvl w:val="0"/>
        <w:rPr>
          <w:rFonts w:ascii="宋体"/>
          <w:b/>
          <w:bCs/>
          <w:sz w:val="36"/>
          <w:szCs w:val="36"/>
        </w:rPr>
      </w:pPr>
      <w:bookmarkStart w:id="268" w:name="_Toc27189_WPSOffice_Level1"/>
      <w:r>
        <w:rPr>
          <w:rFonts w:hint="eastAsia" w:ascii="宋体" w:hAnsi="宋体" w:cs="宋体"/>
          <w:b/>
          <w:bCs/>
          <w:sz w:val="36"/>
          <w:szCs w:val="36"/>
        </w:rPr>
        <w:t>第四部分采购结束后注意事项</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12"/>
        <w:snapToGrid w:val="0"/>
        <w:jc w:val="center"/>
        <w:outlineLvl w:val="1"/>
        <w:rPr>
          <w:rFonts w:ascii="仿宋_GB2312" w:hAnsi="宋体" w:eastAsia="仿宋_GB2312" w:cs="Times New Roman"/>
          <w:b/>
          <w:bCs/>
          <w:sz w:val="32"/>
          <w:szCs w:val="32"/>
        </w:rPr>
      </w:pPr>
      <w:bookmarkStart w:id="269" w:name="_Toc18870"/>
      <w:bookmarkStart w:id="270" w:name="_Toc3658"/>
      <w:bookmarkStart w:id="271" w:name="_Toc11793"/>
      <w:bookmarkStart w:id="272" w:name="_Toc42"/>
      <w:bookmarkStart w:id="273" w:name="_Toc6542"/>
      <w:bookmarkStart w:id="274" w:name="_Toc9512"/>
      <w:bookmarkStart w:id="275" w:name="_Toc17444"/>
      <w:bookmarkStart w:id="276" w:name="_Toc27662"/>
      <w:bookmarkStart w:id="277" w:name="_Toc24453"/>
      <w:bookmarkStart w:id="278" w:name="_Toc20981_WPSOffice_Level2"/>
      <w:bookmarkStart w:id="279" w:name="_Toc26758"/>
      <w:bookmarkStart w:id="280" w:name="_Toc32304"/>
      <w:bookmarkStart w:id="281" w:name="_Toc27665"/>
      <w:bookmarkStart w:id="282" w:name="_Toc55"/>
      <w:bookmarkStart w:id="283" w:name="_Toc15516"/>
      <w:bookmarkStart w:id="284" w:name="_Toc20046"/>
      <w:bookmarkStart w:id="285" w:name="_Toc19730"/>
      <w:r>
        <w:rPr>
          <w:rFonts w:hint="eastAsia" w:ascii="仿宋_GB2312" w:hAnsi="宋体" w:eastAsia="仿宋_GB2312" w:cs="仿宋_GB2312"/>
          <w:b/>
          <w:bCs/>
          <w:sz w:val="32"/>
          <w:szCs w:val="32"/>
        </w:rPr>
        <w:t>第一章质疑处理</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pStyle w:val="12"/>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3、质疑提出</w:t>
      </w:r>
    </w:p>
    <w:p>
      <w:pPr>
        <w:pStyle w:val="12"/>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供应商认为采购过程或成交结果使自己的合法权益受到损害的，应当在知道或者应知其权益受到损害之日起七个工作日内，以书面形式向采购人或采购机构提出质疑。</w:t>
      </w:r>
    </w:p>
    <w:p>
      <w:pPr>
        <w:pStyle w:val="12"/>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供应商提出质疑应当提交质疑函和必要的证明材料。质疑函应当包括下列内容：</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（一）供应商的姓名或者名称、地址、邮编、联系人及联系电话；</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（二）质疑项目的名称、编号；</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（三）具体、明确的质疑事项和与质疑事项相关的请求；</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（四）事实依据；</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（五）必要的法律依据；</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（六）提出质疑的日期。</w:t>
      </w:r>
    </w:p>
    <w:p>
      <w:pPr>
        <w:pStyle w:val="12"/>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供应商为自然人的，应当由本人签字；供应商为法人或者其他组织的，应当由法定代表人、主要负责人，或者其授权代表签字或者盖章，并加盖公章。</w:t>
      </w:r>
    </w:p>
    <w:p>
      <w:pPr>
        <w:pStyle w:val="12"/>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4、质疑答复</w:t>
      </w:r>
    </w:p>
    <w:p>
      <w:pPr>
        <w:pStyle w:val="12"/>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采购人或采购机构应当在收到质疑函后</w:t>
      </w:r>
      <w:r>
        <w:rPr>
          <w:rFonts w:ascii="仿宋_GB2312" w:hAnsi="宋体" w:eastAsia="仿宋_GB2312" w:cs="仿宋_GB2312"/>
          <w:sz w:val="24"/>
          <w:szCs w:val="24"/>
        </w:rPr>
        <w:t>7</w:t>
      </w:r>
      <w:r>
        <w:rPr>
          <w:rFonts w:hint="eastAsia" w:ascii="仿宋_GB2312" w:hAnsi="宋体" w:eastAsia="仿宋_GB2312" w:cs="仿宋_GB2312"/>
          <w:sz w:val="24"/>
          <w:szCs w:val="24"/>
        </w:rPr>
        <w:t>个工作日内作出答复，并以书面形式通知质疑供应商和其他有关供应商。</w:t>
      </w:r>
    </w:p>
    <w:p>
      <w:pPr>
        <w:pStyle w:val="12"/>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供应商对采购人或采购机构在规定时间内作出答复的或者对质疑答复不满意，可以在答复期满后十五个工作日内向同级采购监管部门投诉。</w:t>
      </w:r>
    </w:p>
    <w:p>
      <w:pPr>
        <w:pStyle w:val="12"/>
        <w:snapToGrid w:val="0"/>
        <w:ind w:firstLine="480" w:firstLineChars="200"/>
        <w:rPr>
          <w:rFonts w:ascii="Arial" w:hAnsi="Arial" w:cs="Arial"/>
          <w:b/>
          <w:bCs/>
          <w:sz w:val="32"/>
          <w:szCs w:val="32"/>
        </w:rPr>
      </w:pPr>
      <w:r>
        <w:rPr>
          <w:rFonts w:ascii="仿宋_GB2312" w:eastAsia="仿宋_GB2312" w:cs="仿宋_GB2312"/>
          <w:sz w:val="24"/>
          <w:szCs w:val="24"/>
        </w:rPr>
        <w:t>2</w:t>
      </w:r>
      <w:r>
        <w:rPr>
          <w:rFonts w:hint="eastAsia" w:ascii="仿宋_GB2312" w:eastAsia="仿宋_GB2312" w:cs="仿宋_GB2312"/>
          <w:sz w:val="24"/>
          <w:szCs w:val="24"/>
        </w:rPr>
        <w:t>4</w:t>
      </w:r>
      <w:r>
        <w:rPr>
          <w:rFonts w:ascii="仿宋_GB2312" w:eastAsia="仿宋_GB2312" w:cs="仿宋_GB2312"/>
          <w:sz w:val="24"/>
          <w:szCs w:val="24"/>
        </w:rPr>
        <w:t xml:space="preserve">.3  </w:t>
      </w:r>
      <w:r>
        <w:rPr>
          <w:rFonts w:hint="eastAsia" w:ascii="仿宋_GB2312" w:eastAsia="仿宋_GB2312" w:cs="仿宋_GB2312"/>
          <w:sz w:val="24"/>
          <w:szCs w:val="24"/>
        </w:rPr>
        <w:t>质疑、投诉应当采用书面形式，质疑书、投诉书均应明确采购过程或成交结果中使自己合法权益受到损害的实质性内容，提供相关事实、依据和证据及其来源或线索，便于有关单位调查、答复和处理。</w:t>
      </w:r>
    </w:p>
    <w:p>
      <w:pPr>
        <w:jc w:val="center"/>
        <w:outlineLvl w:val="1"/>
        <w:rPr>
          <w:rFonts w:ascii="仿宋_GB2312" w:hAnsi="Arial" w:eastAsia="仿宋_GB2312"/>
          <w:b/>
          <w:bCs/>
          <w:sz w:val="32"/>
          <w:szCs w:val="32"/>
        </w:rPr>
      </w:pPr>
      <w:bookmarkStart w:id="286" w:name="_Toc14797"/>
      <w:bookmarkStart w:id="287" w:name="_Toc20551"/>
      <w:bookmarkStart w:id="288" w:name="_Toc19392"/>
      <w:bookmarkStart w:id="289" w:name="_Toc21989"/>
      <w:bookmarkStart w:id="290" w:name="_Toc32416"/>
      <w:bookmarkStart w:id="291" w:name="_Toc16614"/>
      <w:bookmarkStart w:id="292" w:name="_Toc2949"/>
      <w:bookmarkStart w:id="293" w:name="_Toc8016"/>
      <w:bookmarkStart w:id="294" w:name="_Toc11836"/>
      <w:bookmarkStart w:id="295" w:name="_Toc23166"/>
      <w:bookmarkStart w:id="296" w:name="_Toc1470"/>
      <w:bookmarkStart w:id="297" w:name="_Toc31528_WPSOffice_Level2"/>
      <w:bookmarkStart w:id="298" w:name="_Toc20744"/>
      <w:bookmarkStart w:id="299" w:name="_Toc22768"/>
      <w:bookmarkStart w:id="300" w:name="_Toc5547"/>
      <w:bookmarkStart w:id="301" w:name="_Toc29773"/>
      <w:bookmarkStart w:id="302" w:name="_Toc16191"/>
      <w:r>
        <w:rPr>
          <w:rFonts w:hint="eastAsia" w:ascii="仿宋_GB2312" w:hAnsi="Arial" w:eastAsia="仿宋_GB2312" w:cs="仿宋_GB2312"/>
          <w:b/>
          <w:bCs/>
          <w:sz w:val="32"/>
          <w:szCs w:val="32"/>
        </w:rPr>
        <w:t>第二章签订合同</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ind w:firstLine="474" w:firstLineChars="200"/>
        <w:rPr>
          <w:rFonts w:ascii="宋体"/>
          <w:b/>
          <w:bCs/>
          <w:spacing w:val="-2"/>
          <w:sz w:val="24"/>
          <w:szCs w:val="24"/>
        </w:rPr>
      </w:pPr>
      <w:r>
        <w:rPr>
          <w:rFonts w:ascii="宋体" w:hAnsi="宋体" w:cs="宋体"/>
          <w:b/>
          <w:bCs/>
          <w:spacing w:val="-2"/>
          <w:sz w:val="24"/>
          <w:szCs w:val="24"/>
        </w:rPr>
        <w:t>2</w:t>
      </w:r>
      <w:r>
        <w:rPr>
          <w:rFonts w:hint="eastAsia" w:ascii="宋体" w:hAnsi="宋体" w:cs="宋体"/>
          <w:b/>
          <w:bCs/>
          <w:spacing w:val="-2"/>
          <w:sz w:val="24"/>
          <w:szCs w:val="24"/>
        </w:rPr>
        <w:t>5、签订合同</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　成交供应商收到《成交通知书》后</w:t>
      </w:r>
      <w:r>
        <w:rPr>
          <w:rFonts w:ascii="仿宋_GB2312" w:hAnsi="Arial" w:eastAsia="仿宋_GB2312" w:cs="仿宋_GB2312"/>
          <w:spacing w:val="-2"/>
          <w:sz w:val="24"/>
          <w:szCs w:val="24"/>
        </w:rPr>
        <w:t>30</w:t>
      </w:r>
      <w:r>
        <w:rPr>
          <w:rFonts w:hint="eastAsia" w:ascii="仿宋_GB2312" w:hAnsi="Arial" w:eastAsia="仿宋_GB2312" w:cs="仿宋_GB2312"/>
          <w:spacing w:val="-2"/>
          <w:sz w:val="24"/>
          <w:szCs w:val="24"/>
        </w:rPr>
        <w:t>日内，按照采购文件和响应文件中的约定与采购人签订书面合同，所签订的合同不得对采购文件和磋商响应文件作实质性修改。采购人不得向成交供应商提出任何不合理的要求作为签订合同的条件。</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政府采购合同应当包括采购人与成交供应商的名称和住所、标的、数量、质量、价款或者报酬、履行期限及地点和方式、验收要求、违约责任、解决争议的方法等内容。</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.3</w:t>
      </w:r>
      <w:r>
        <w:rPr>
          <w:rFonts w:hint="eastAsia" w:ascii="仿宋_GB2312" w:hAnsi="Arial" w:eastAsia="仿宋_GB2312" w:cs="仿宋_GB2312"/>
          <w:spacing w:val="-2"/>
          <w:sz w:val="24"/>
          <w:szCs w:val="24"/>
        </w:rPr>
        <w:t>采购人与成交供应商应当根据合同的约定依法履行合同义务。</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.4</w:t>
      </w:r>
      <w:r>
        <w:rPr>
          <w:rFonts w:hint="eastAsia" w:ascii="仿宋_GB2312" w:hAnsi="Arial" w:eastAsia="仿宋_GB2312" w:cs="仿宋_GB2312"/>
          <w:spacing w:val="-2"/>
          <w:sz w:val="24"/>
          <w:szCs w:val="24"/>
        </w:rPr>
        <w:t>政府采购合同的履行、违约责任和解决争议的方法等适用《中华人民共和国合同法》。</w:t>
      </w:r>
    </w:p>
    <w:p>
      <w:pPr>
        <w:pStyle w:val="9"/>
        <w:ind w:left="0" w:firstLine="482" w:firstLineChars="200"/>
        <w:rPr>
          <w:b/>
          <w:bCs/>
          <w:sz w:val="24"/>
          <w:szCs w:val="24"/>
        </w:rPr>
      </w:pPr>
      <w:r>
        <w:rPr>
          <w:b/>
          <w:bCs/>
          <w:sz w:val="24"/>
          <w:szCs w:val="24"/>
        </w:rPr>
        <w:t>2</w:t>
      </w:r>
      <w:r>
        <w:rPr>
          <w:rFonts w:hint="eastAsia"/>
          <w:b/>
          <w:bCs/>
          <w:sz w:val="24"/>
          <w:szCs w:val="24"/>
        </w:rPr>
        <w:t>6</w:t>
      </w:r>
      <w:r>
        <w:rPr>
          <w:rFonts w:hint="eastAsia" w:cs="宋体"/>
          <w:b/>
          <w:bCs/>
          <w:sz w:val="24"/>
          <w:szCs w:val="24"/>
        </w:rPr>
        <w:t>、合同公告</w:t>
      </w:r>
    </w:p>
    <w:p>
      <w:pPr>
        <w:pStyle w:val="9"/>
        <w:ind w:left="0" w:firstLine="480" w:firstLineChars="200"/>
        <w:rPr>
          <w:rFonts w:ascii="仿宋" w:hAnsi="仿宋" w:eastAsia="仿宋"/>
          <w:sz w:val="24"/>
          <w:szCs w:val="24"/>
        </w:rPr>
      </w:pPr>
      <w:r>
        <w:rPr>
          <w:rFonts w:hint="eastAsia" w:ascii="仿宋" w:hAnsi="仿宋" w:eastAsia="仿宋" w:cs="仿宋"/>
          <w:sz w:val="24"/>
          <w:szCs w:val="24"/>
        </w:rPr>
        <w:t>采购人应当自政府采购合同签订之日起</w:t>
      </w:r>
      <w:r>
        <w:rPr>
          <w:rFonts w:ascii="仿宋" w:hAnsi="仿宋" w:eastAsia="仿宋" w:cs="仿宋"/>
          <w:sz w:val="24"/>
          <w:szCs w:val="24"/>
        </w:rPr>
        <w:t>2</w:t>
      </w:r>
      <w:r>
        <w:rPr>
          <w:rFonts w:hint="eastAsia" w:ascii="仿宋" w:hAnsi="仿宋" w:eastAsia="仿宋" w:cs="仿宋"/>
          <w:sz w:val="24"/>
          <w:szCs w:val="24"/>
        </w:rPr>
        <w:t>个工作日内，将政府采购合同在省级以上人民政府财政部门指定的媒体《新疆政府采购网》上公告，但政府采购合同中涉及国家秘密、商业秘密的内容除外。</w:t>
      </w:r>
    </w:p>
    <w:p>
      <w:pPr>
        <w:jc w:val="center"/>
        <w:outlineLvl w:val="1"/>
        <w:rPr>
          <w:rFonts w:ascii="宋体"/>
          <w:b/>
          <w:bCs/>
          <w:sz w:val="24"/>
          <w:szCs w:val="24"/>
        </w:rPr>
      </w:pPr>
      <w:bookmarkStart w:id="303" w:name="_Toc15131"/>
      <w:bookmarkStart w:id="304" w:name="_Toc7157"/>
      <w:bookmarkStart w:id="305" w:name="_Toc7288"/>
      <w:bookmarkStart w:id="306" w:name="_Toc6821"/>
      <w:bookmarkStart w:id="307" w:name="_Toc1978"/>
      <w:bookmarkStart w:id="308" w:name="_Toc2461"/>
      <w:bookmarkStart w:id="309" w:name="_Toc468"/>
      <w:bookmarkStart w:id="310" w:name="_Toc9472"/>
      <w:bookmarkStart w:id="311" w:name="_Toc11969"/>
      <w:bookmarkStart w:id="312" w:name="_Toc20692"/>
      <w:bookmarkStart w:id="313" w:name="_Toc27858"/>
      <w:bookmarkStart w:id="314" w:name="_Toc8133"/>
      <w:bookmarkStart w:id="315" w:name="_Toc17272"/>
      <w:bookmarkStart w:id="316" w:name="_Toc19196_WPSOffice_Level2"/>
      <w:bookmarkStart w:id="317" w:name="_Toc22702"/>
      <w:bookmarkStart w:id="318" w:name="_Toc9026"/>
      <w:bookmarkStart w:id="319" w:name="_Toc1711"/>
      <w:bookmarkStart w:id="320" w:name="_Toc22675"/>
      <w:bookmarkStart w:id="321" w:name="_Toc11178"/>
      <w:bookmarkStart w:id="322" w:name="_Toc15474"/>
      <w:bookmarkStart w:id="323" w:name="_Toc19626"/>
      <w:bookmarkStart w:id="324" w:name="_Toc16071"/>
      <w:bookmarkStart w:id="325" w:name="_Toc10157"/>
      <w:bookmarkStart w:id="326" w:name="_Toc13749"/>
      <w:bookmarkStart w:id="327" w:name="_Toc1821"/>
      <w:bookmarkStart w:id="328" w:name="_Toc4025"/>
      <w:bookmarkStart w:id="329" w:name="_Toc5596"/>
      <w:bookmarkStart w:id="330" w:name="_Toc6145"/>
      <w:bookmarkStart w:id="331" w:name="_Toc15418"/>
      <w:bookmarkStart w:id="332" w:name="_Toc20871"/>
      <w:r>
        <w:rPr>
          <w:rFonts w:hint="eastAsia" w:ascii="仿宋_GB2312" w:hAnsi="Arial" w:eastAsia="仿宋_GB2312" w:cs="仿宋_GB2312"/>
          <w:b/>
          <w:bCs/>
          <w:sz w:val="32"/>
          <w:szCs w:val="32"/>
        </w:rPr>
        <w:t>第三章项目验收</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ind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7、组织验收</w:t>
      </w:r>
    </w:p>
    <w:p>
      <w:pPr>
        <w:ind w:firstLine="480" w:firstLineChars="200"/>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.1  </w:t>
      </w:r>
      <w:r>
        <w:rPr>
          <w:rFonts w:hint="eastAsia" w:ascii="仿宋_GB2312" w:eastAsia="仿宋_GB2312" w:cs="仿宋_GB2312"/>
          <w:sz w:val="24"/>
          <w:szCs w:val="24"/>
        </w:rPr>
        <w:t>政府采购合同及响应承诺是政府采购项目验收的依据，是采购人和供应商之间的权利和义务。供应商、采购人应按照采购合同的约定，全面履行合同。任何一方当事人在履行合同过程中均不得擅自变更、中止或终止合同。</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.2  </w:t>
      </w:r>
      <w:r>
        <w:rPr>
          <w:rFonts w:hint="eastAsia" w:ascii="仿宋" w:hAnsi="仿宋" w:eastAsia="仿宋" w:cs="仿宋"/>
          <w:sz w:val="24"/>
          <w:szCs w:val="24"/>
        </w:rPr>
        <w:t>采购人应当成立验收小组</w:t>
      </w:r>
      <w:r>
        <w:rPr>
          <w:rFonts w:ascii="仿宋" w:hAnsi="仿宋" w:eastAsia="仿宋" w:cs="仿宋"/>
          <w:sz w:val="24"/>
          <w:szCs w:val="24"/>
        </w:rPr>
        <w:t>,</w:t>
      </w:r>
      <w:r>
        <w:rPr>
          <w:rFonts w:hint="eastAsia" w:ascii="仿宋" w:hAnsi="仿宋" w:eastAsia="仿宋" w:cs="仿宋"/>
          <w:sz w:val="24"/>
          <w:szCs w:val="24"/>
        </w:rPr>
        <w:t>按照采购合同的约定对供应商履约情况进行验收。验收时</w:t>
      </w:r>
      <w:r>
        <w:rPr>
          <w:rFonts w:ascii="仿宋" w:hAnsi="仿宋" w:eastAsia="仿宋" w:cs="仿宋"/>
          <w:sz w:val="24"/>
          <w:szCs w:val="24"/>
        </w:rPr>
        <w:t>,</w:t>
      </w:r>
      <w:r>
        <w:rPr>
          <w:rFonts w:hint="eastAsia" w:ascii="仿宋" w:hAnsi="仿宋" w:eastAsia="仿宋" w:cs="仿宋"/>
          <w:sz w:val="24"/>
          <w:szCs w:val="24"/>
        </w:rPr>
        <w:t>应当按照采购合同的约定对每一项技术、服务、安全标准的履约情况进行确认。</w:t>
      </w:r>
      <w:r>
        <w:rPr>
          <w:rFonts w:ascii="仿宋" w:hAnsi="仿宋" w:eastAsia="仿宋"/>
          <w:sz w:val="24"/>
          <w:szCs w:val="24"/>
        </w:rPr>
        <w:t> </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.3 </w:t>
      </w:r>
      <w:r>
        <w:rPr>
          <w:rFonts w:hint="eastAsia" w:ascii="仿宋" w:hAnsi="仿宋" w:eastAsia="仿宋" w:cs="仿宋"/>
          <w:sz w:val="24"/>
          <w:szCs w:val="24"/>
        </w:rPr>
        <w:t>验收结束后</w:t>
      </w:r>
      <w:r>
        <w:rPr>
          <w:rFonts w:ascii="仿宋" w:hAnsi="仿宋" w:eastAsia="仿宋" w:cs="仿宋"/>
          <w:sz w:val="24"/>
          <w:szCs w:val="24"/>
        </w:rPr>
        <w:t>,</w:t>
      </w:r>
      <w:r>
        <w:rPr>
          <w:rFonts w:hint="eastAsia" w:ascii="仿宋" w:hAnsi="仿宋" w:eastAsia="仿宋" w:cs="仿宋"/>
          <w:sz w:val="24"/>
          <w:szCs w:val="24"/>
        </w:rPr>
        <w:t>应当出具验收书</w:t>
      </w:r>
      <w:r>
        <w:rPr>
          <w:rFonts w:ascii="仿宋" w:hAnsi="仿宋" w:eastAsia="仿宋" w:cs="仿宋"/>
          <w:sz w:val="24"/>
          <w:szCs w:val="24"/>
        </w:rPr>
        <w:t>,</w:t>
      </w:r>
      <w:r>
        <w:rPr>
          <w:rFonts w:hint="eastAsia" w:ascii="仿宋" w:hAnsi="仿宋" w:eastAsia="仿宋" w:cs="仿宋"/>
          <w:sz w:val="24"/>
          <w:szCs w:val="24"/>
        </w:rPr>
        <w:t>列明各项标准的验收情况及项目总体评价</w:t>
      </w:r>
      <w:r>
        <w:rPr>
          <w:rFonts w:ascii="仿宋" w:hAnsi="仿宋" w:eastAsia="仿宋" w:cs="仿宋"/>
          <w:sz w:val="24"/>
          <w:szCs w:val="24"/>
        </w:rPr>
        <w:t>,</w:t>
      </w:r>
      <w:r>
        <w:rPr>
          <w:rFonts w:hint="eastAsia" w:ascii="仿宋" w:hAnsi="仿宋" w:eastAsia="仿宋" w:cs="仿宋"/>
          <w:sz w:val="24"/>
          <w:szCs w:val="24"/>
        </w:rPr>
        <w:t>由验收双方共同签署。验收结果应当与采购合同约定的资金支付及履约保证金返还条件挂钩。履约验收的各项资料应当存档备查。</w:t>
      </w:r>
    </w:p>
    <w:p>
      <w:pPr>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7</w:t>
      </w:r>
      <w:r>
        <w:rPr>
          <w:rFonts w:ascii="仿宋" w:hAnsi="仿宋" w:eastAsia="仿宋" w:cs="仿宋"/>
          <w:sz w:val="24"/>
          <w:szCs w:val="24"/>
        </w:rPr>
        <w:t xml:space="preserve">.4 </w:t>
      </w:r>
      <w:r>
        <w:rPr>
          <w:rFonts w:hint="eastAsia" w:ascii="仿宋" w:hAnsi="仿宋" w:eastAsia="仿宋" w:cs="仿宋"/>
          <w:sz w:val="24"/>
          <w:szCs w:val="24"/>
        </w:rPr>
        <w:t>对于采购人和使用人分离的采购项目</w:t>
      </w:r>
      <w:r>
        <w:rPr>
          <w:rFonts w:ascii="仿宋" w:hAnsi="仿宋" w:eastAsia="仿宋" w:cs="仿宋"/>
          <w:sz w:val="24"/>
          <w:szCs w:val="24"/>
        </w:rPr>
        <w:t>,</w:t>
      </w:r>
      <w:r>
        <w:rPr>
          <w:rFonts w:hint="eastAsia" w:ascii="仿宋" w:hAnsi="仿宋" w:eastAsia="仿宋" w:cs="仿宋"/>
          <w:sz w:val="24"/>
          <w:szCs w:val="24"/>
        </w:rPr>
        <w:t>应当邀请实际使用人参与验收。采购人可以邀请参加本项目的其他供应商或第三方专业机构及专家参与验收</w:t>
      </w:r>
      <w:r>
        <w:rPr>
          <w:rFonts w:ascii="仿宋" w:hAnsi="仿宋" w:eastAsia="仿宋" w:cs="仿宋"/>
          <w:sz w:val="24"/>
          <w:szCs w:val="24"/>
        </w:rPr>
        <w:t>,</w:t>
      </w:r>
      <w:r>
        <w:rPr>
          <w:rFonts w:hint="eastAsia" w:ascii="仿宋" w:hAnsi="仿宋" w:eastAsia="仿宋" w:cs="仿宋"/>
          <w:sz w:val="24"/>
          <w:szCs w:val="24"/>
        </w:rPr>
        <w:t>相关验收意见作为验收书的参考资料。政府向社会公众提供的公共服务项目</w:t>
      </w:r>
      <w:r>
        <w:rPr>
          <w:rFonts w:ascii="仿宋" w:hAnsi="仿宋" w:eastAsia="仿宋" w:cs="仿宋"/>
          <w:sz w:val="24"/>
          <w:szCs w:val="24"/>
        </w:rPr>
        <w:t>,</w:t>
      </w:r>
      <w:r>
        <w:rPr>
          <w:rFonts w:hint="eastAsia" w:ascii="仿宋" w:hAnsi="仿宋" w:eastAsia="仿宋" w:cs="仿宋"/>
          <w:sz w:val="24"/>
          <w:szCs w:val="24"/>
        </w:rPr>
        <w:t>验收时应当邀请服务对象参与并出具意见</w:t>
      </w:r>
      <w:r>
        <w:rPr>
          <w:rFonts w:ascii="仿宋" w:hAnsi="仿宋" w:eastAsia="仿宋" w:cs="仿宋"/>
          <w:sz w:val="24"/>
          <w:szCs w:val="24"/>
        </w:rPr>
        <w:t>,</w:t>
      </w:r>
      <w:r>
        <w:rPr>
          <w:rFonts w:hint="eastAsia" w:ascii="仿宋" w:hAnsi="仿宋" w:eastAsia="仿宋" w:cs="仿宋"/>
          <w:sz w:val="24"/>
          <w:szCs w:val="24"/>
        </w:rPr>
        <w:t>验收结果应当向社会公告。</w:t>
      </w:r>
      <w:r>
        <w:rPr>
          <w:rFonts w:ascii="仿宋" w:hAnsi="仿宋" w:eastAsia="仿宋"/>
          <w:sz w:val="24"/>
          <w:szCs w:val="24"/>
        </w:rPr>
        <w:t> </w:t>
      </w:r>
    </w:p>
    <w:p>
      <w:r>
        <w:rPr>
          <w:rFonts w:ascii="Arial" w:hAnsi="Arial" w:cs="Arial"/>
          <w:b/>
          <w:bCs/>
          <w:sz w:val="24"/>
          <w:szCs w:val="24"/>
        </w:rPr>
        <w:br w:type="page"/>
      </w:r>
    </w:p>
    <w:p>
      <w:pPr>
        <w:pStyle w:val="13"/>
        <w:ind w:firstLine="538" w:firstLineChars="149"/>
        <w:jc w:val="center"/>
        <w:outlineLvl w:val="0"/>
        <w:rPr>
          <w:rFonts w:cs="Times New Roman"/>
          <w:b/>
          <w:bCs/>
          <w:sz w:val="36"/>
          <w:szCs w:val="36"/>
        </w:rPr>
      </w:pPr>
      <w:bookmarkStart w:id="333" w:name="_Toc524"/>
      <w:bookmarkStart w:id="334" w:name="_Toc5370"/>
      <w:bookmarkStart w:id="335" w:name="_Toc24434"/>
      <w:bookmarkStart w:id="336" w:name="_Toc21383"/>
      <w:bookmarkStart w:id="337" w:name="_Toc25743"/>
      <w:bookmarkStart w:id="338" w:name="_Toc22314"/>
      <w:bookmarkStart w:id="339" w:name="_Toc16514"/>
      <w:bookmarkStart w:id="340" w:name="_Toc19296"/>
      <w:bookmarkStart w:id="341" w:name="_Toc7930"/>
      <w:bookmarkStart w:id="342" w:name="_Toc22568"/>
      <w:bookmarkStart w:id="343" w:name="_Toc7813"/>
      <w:bookmarkStart w:id="344" w:name="_Toc6352"/>
      <w:bookmarkStart w:id="345" w:name="_Toc22974"/>
      <w:bookmarkStart w:id="346" w:name="_Toc18789"/>
      <w:bookmarkStart w:id="347" w:name="_Toc7025"/>
      <w:bookmarkStart w:id="348" w:name="_Toc20337_WPSOffice_Level1"/>
      <w:bookmarkStart w:id="349" w:name="_Toc23657"/>
      <w:bookmarkStart w:id="350" w:name="_Toc30752"/>
      <w:r>
        <w:rPr>
          <w:rFonts w:hint="eastAsia"/>
          <w:b/>
          <w:bCs/>
          <w:sz w:val="36"/>
          <w:szCs w:val="36"/>
        </w:rPr>
        <w:t>第五部分其它有关附件格式范本</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6"/>
        <w:ind w:firstLine="0" w:firstLineChars="0"/>
        <w:jc w:val="center"/>
        <w:outlineLvl w:val="1"/>
        <w:rPr>
          <w:rFonts w:ascii="仿宋" w:hAnsi="仿宋" w:eastAsia="仿宋"/>
          <w:sz w:val="32"/>
          <w:szCs w:val="32"/>
        </w:rPr>
      </w:pPr>
      <w:bookmarkStart w:id="351" w:name="_Toc8553_WPSOffice_Level2"/>
      <w:bookmarkStart w:id="352" w:name="_Toc24885"/>
      <w:bookmarkStart w:id="353" w:name="_Toc5685"/>
      <w:bookmarkStart w:id="354" w:name="_Toc24638"/>
      <w:bookmarkStart w:id="355" w:name="_Toc15173"/>
      <w:bookmarkStart w:id="356" w:name="_Toc18954"/>
      <w:bookmarkStart w:id="357" w:name="_Toc30623"/>
      <w:bookmarkStart w:id="358" w:name="_Toc1688"/>
      <w:bookmarkStart w:id="359" w:name="_Toc20235"/>
      <w:bookmarkStart w:id="360" w:name="_Toc16477"/>
      <w:bookmarkStart w:id="361" w:name="_Toc23680"/>
      <w:bookmarkStart w:id="362" w:name="_Toc23890"/>
      <w:bookmarkStart w:id="363" w:name="_Toc6225"/>
      <w:bookmarkStart w:id="364" w:name="_Toc20814"/>
      <w:bookmarkStart w:id="365" w:name="_Toc20309"/>
      <w:bookmarkStart w:id="366" w:name="_Toc28256"/>
      <w:bookmarkStart w:id="367" w:name="_Toc24429"/>
      <w:bookmarkStart w:id="368" w:name="_Toc2592"/>
      <w:bookmarkStart w:id="369" w:name="_Toc12838"/>
      <w:r>
        <w:rPr>
          <w:rFonts w:hint="eastAsia" w:ascii="仿宋" w:hAnsi="仿宋" w:eastAsia="仿宋" w:cs="仿宋"/>
          <w:b/>
          <w:bCs/>
          <w:sz w:val="32"/>
          <w:szCs w:val="32"/>
        </w:rPr>
        <w:t>（一）磋商响应文件封面</w:t>
      </w:r>
      <w:bookmarkEnd w:id="351"/>
      <w:bookmarkEnd w:id="352"/>
      <w:bookmarkEnd w:id="353"/>
      <w:bookmarkEnd w:id="354"/>
    </w:p>
    <w:tbl>
      <w:tblPr>
        <w:tblStyle w:val="21"/>
        <w:tblW w:w="93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4" w:hRule="atLeast"/>
        </w:trPr>
        <w:tc>
          <w:tcPr>
            <w:tcW w:w="9350" w:type="dxa"/>
          </w:tcPr>
          <w:tbl>
            <w:tblPr>
              <w:tblStyle w:val="21"/>
              <w:tblpPr w:leftFromText="180" w:rightFromText="180" w:vertAnchor="text" w:horzAnchor="page" w:tblpX="7117" w:tblpY="549"/>
              <w:tblOverlap w:val="never"/>
              <w:tblW w:w="1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770" w:type="dxa"/>
                  <w:tcBorders>
                    <w:top w:val="single" w:color="auto" w:sz="4" w:space="0"/>
                    <w:left w:val="single" w:color="auto" w:sz="4" w:space="0"/>
                    <w:bottom w:val="single" w:color="auto" w:sz="4" w:space="0"/>
                    <w:right w:val="single" w:color="auto" w:sz="4" w:space="0"/>
                  </w:tcBorders>
                </w:tcPr>
                <w:p>
                  <w:pPr>
                    <w:pStyle w:val="44"/>
                    <w:widowControl/>
                    <w:jc w:val="both"/>
                    <w:rPr>
                      <w:rFonts w:ascii="黑体" w:hAnsi="宋体" w:eastAsia="黑体"/>
                      <w:sz w:val="28"/>
                      <w:szCs w:val="28"/>
                    </w:rPr>
                  </w:pPr>
                  <w:r>
                    <w:rPr>
                      <w:rFonts w:hint="eastAsia" w:ascii="黑体" w:hAnsi="宋体" w:eastAsia="黑体" w:cs="黑体"/>
                      <w:sz w:val="28"/>
                      <w:szCs w:val="28"/>
                    </w:rPr>
                    <w:t>正本</w:t>
                  </w:r>
                  <w:r>
                    <w:rPr>
                      <w:rFonts w:ascii="黑体" w:hAnsi="宋体" w:eastAsia="黑体" w:cs="黑体"/>
                      <w:sz w:val="28"/>
                      <w:szCs w:val="28"/>
                    </w:rPr>
                    <w:t>/</w:t>
                  </w:r>
                  <w:r>
                    <w:rPr>
                      <w:rFonts w:hint="eastAsia" w:ascii="黑体" w:hAnsi="宋体" w:eastAsia="黑体" w:cs="黑体"/>
                      <w:sz w:val="28"/>
                      <w:szCs w:val="28"/>
                    </w:rPr>
                    <w:t>副本</w:t>
                  </w:r>
                </w:p>
              </w:tc>
            </w:tr>
          </w:tbl>
          <w:p>
            <w:pPr>
              <w:pStyle w:val="44"/>
              <w:widowControl/>
              <w:jc w:val="both"/>
              <w:rPr>
                <w:rFonts w:ascii="黑体" w:hAnsi="宋体" w:eastAsia="黑体"/>
                <w:b/>
                <w:bCs/>
                <w:color w:val="auto"/>
                <w:sz w:val="48"/>
                <w:szCs w:val="48"/>
              </w:rPr>
            </w:pPr>
          </w:p>
          <w:p>
            <w:pPr>
              <w:pStyle w:val="44"/>
              <w:widowControl/>
              <w:jc w:val="both"/>
              <w:rPr>
                <w:rFonts w:ascii="黑体" w:hAnsi="宋体" w:eastAsia="黑体" w:cs="黑体"/>
                <w:b/>
                <w:bCs/>
                <w:color w:val="auto"/>
                <w:sz w:val="48"/>
                <w:szCs w:val="48"/>
              </w:rPr>
            </w:pPr>
          </w:p>
          <w:p>
            <w:pPr>
              <w:pStyle w:val="44"/>
              <w:widowControl/>
              <w:jc w:val="both"/>
              <w:rPr>
                <w:rFonts w:ascii="黑体" w:hAnsi="宋体" w:eastAsia="黑体" w:cs="黑体"/>
                <w:b/>
                <w:bCs/>
                <w:color w:val="auto"/>
                <w:sz w:val="48"/>
                <w:szCs w:val="48"/>
              </w:rPr>
            </w:pPr>
          </w:p>
          <w:p>
            <w:pPr>
              <w:pStyle w:val="44"/>
              <w:widowControl/>
              <w:ind w:firstLine="1446" w:firstLineChars="300"/>
              <w:jc w:val="both"/>
              <w:rPr>
                <w:rFonts w:ascii="黑体" w:hAnsi="宋体" w:eastAsia="黑体"/>
                <w:color w:val="auto"/>
                <w:sz w:val="48"/>
                <w:szCs w:val="48"/>
              </w:rPr>
            </w:pPr>
            <w:r>
              <w:rPr>
                <w:rFonts w:hint="eastAsia" w:ascii="黑体" w:hAnsi="宋体" w:eastAsia="黑体" w:cs="黑体"/>
                <w:b/>
                <w:bCs/>
                <w:color w:val="auto"/>
                <w:sz w:val="48"/>
                <w:szCs w:val="48"/>
              </w:rPr>
              <w:t>项目</w:t>
            </w:r>
          </w:p>
          <w:p>
            <w:pPr>
              <w:pStyle w:val="44"/>
              <w:widowControl/>
              <w:jc w:val="both"/>
              <w:rPr>
                <w:rFonts w:ascii="宋体"/>
                <w:color w:val="auto"/>
                <w:sz w:val="32"/>
                <w:szCs w:val="32"/>
              </w:rPr>
            </w:pPr>
          </w:p>
          <w:p>
            <w:pPr>
              <w:pStyle w:val="44"/>
              <w:widowControl/>
              <w:jc w:val="both"/>
              <w:rPr>
                <w:rFonts w:ascii="宋体"/>
                <w:color w:val="auto"/>
                <w:sz w:val="32"/>
                <w:szCs w:val="32"/>
              </w:rPr>
            </w:pPr>
          </w:p>
          <w:p>
            <w:pPr>
              <w:pStyle w:val="44"/>
              <w:widowControl/>
              <w:jc w:val="center"/>
              <w:rPr>
                <w:rFonts w:ascii="黑体" w:hAnsi="华文中宋" w:eastAsia="黑体"/>
                <w:color w:val="auto"/>
                <w:sz w:val="96"/>
                <w:szCs w:val="96"/>
              </w:rPr>
            </w:pPr>
            <w:r>
              <w:rPr>
                <w:rFonts w:hint="eastAsia" w:ascii="黑体" w:hAnsi="华文中宋" w:eastAsia="黑体" w:cs="黑体"/>
                <w:color w:val="auto"/>
                <w:sz w:val="96"/>
                <w:szCs w:val="96"/>
              </w:rPr>
              <w:t>磋商响应文件</w:t>
            </w:r>
          </w:p>
          <w:p>
            <w:pPr>
              <w:pStyle w:val="44"/>
              <w:widowControl/>
              <w:jc w:val="both"/>
              <w:rPr>
                <w:rFonts w:ascii="黑体" w:hAnsi="宋体" w:eastAsia="黑体"/>
                <w:color w:val="auto"/>
                <w:sz w:val="32"/>
                <w:szCs w:val="32"/>
              </w:rPr>
            </w:pPr>
          </w:p>
          <w:p>
            <w:pPr>
              <w:pStyle w:val="44"/>
              <w:widowControl/>
              <w:jc w:val="both"/>
              <w:rPr>
                <w:rFonts w:ascii="仿宋_GB2312" w:hAnsi="宋体" w:eastAsia="仿宋_GB2312"/>
                <w:b/>
                <w:bCs/>
                <w:color w:val="auto"/>
                <w:sz w:val="32"/>
                <w:szCs w:val="32"/>
              </w:rPr>
            </w:pPr>
          </w:p>
          <w:p>
            <w:pPr>
              <w:pStyle w:val="44"/>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项目名称：</w:t>
            </w:r>
          </w:p>
          <w:p>
            <w:pPr>
              <w:pStyle w:val="44"/>
              <w:widowControl/>
              <w:ind w:firstLine="1928" w:firstLineChars="600"/>
              <w:jc w:val="both"/>
              <w:rPr>
                <w:rFonts w:ascii="楷体_GB2312" w:hAnsi="宋体" w:eastAsia="楷体_GB2312"/>
                <w:b/>
                <w:bCs/>
                <w:color w:val="auto"/>
                <w:sz w:val="32"/>
                <w:szCs w:val="32"/>
                <w:u w:val="single"/>
              </w:rPr>
            </w:pPr>
            <w:r>
              <w:rPr>
                <w:rFonts w:hint="eastAsia" w:ascii="仿宋_GB2312" w:hAnsi="宋体" w:eastAsia="仿宋_GB2312" w:cs="仿宋_GB2312"/>
                <w:b/>
                <w:bCs/>
                <w:color w:val="auto"/>
                <w:sz w:val="32"/>
                <w:szCs w:val="32"/>
              </w:rPr>
              <w:t>项目编号：</w:t>
            </w:r>
          </w:p>
          <w:p>
            <w:pPr>
              <w:pStyle w:val="44"/>
              <w:widowControl/>
              <w:ind w:firstLine="1928" w:firstLineChars="600"/>
              <w:jc w:val="both"/>
              <w:rPr>
                <w:rFonts w:ascii="楷体_GB2312" w:hAnsi="宋体" w:eastAsia="楷体_GB2312"/>
                <w:color w:val="auto"/>
                <w:sz w:val="32"/>
                <w:szCs w:val="32"/>
              </w:rPr>
            </w:pPr>
            <w:r>
              <w:rPr>
                <w:rFonts w:hint="eastAsia" w:ascii="楷体_GB2312" w:hAnsi="宋体" w:eastAsia="楷体_GB2312" w:cs="楷体_GB2312"/>
                <w:b/>
                <w:bCs/>
                <w:color w:val="auto"/>
                <w:sz w:val="32"/>
                <w:szCs w:val="32"/>
              </w:rPr>
              <w:t>报价人名称：</w:t>
            </w:r>
            <w:r>
              <w:rPr>
                <w:rFonts w:hint="eastAsia" w:ascii="楷体_GB2312" w:hAnsi="宋体" w:eastAsia="楷体_GB2312" w:cs="楷体_GB2312"/>
                <w:color w:val="auto"/>
                <w:sz w:val="32"/>
                <w:szCs w:val="32"/>
              </w:rPr>
              <w:t>（加盖公章）</w:t>
            </w:r>
          </w:p>
          <w:p>
            <w:pPr>
              <w:pStyle w:val="44"/>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报价人地址：</w:t>
            </w:r>
          </w:p>
          <w:p>
            <w:pPr>
              <w:pStyle w:val="44"/>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法人</w:t>
            </w:r>
            <w:r>
              <w:rPr>
                <w:rFonts w:ascii="楷体_GB2312" w:hAnsi="宋体" w:eastAsia="楷体_GB2312" w:cs="楷体_GB2312"/>
                <w:b/>
                <w:bCs/>
                <w:color w:val="auto"/>
                <w:sz w:val="32"/>
                <w:szCs w:val="32"/>
              </w:rPr>
              <w:t>/</w:t>
            </w:r>
            <w:r>
              <w:rPr>
                <w:rFonts w:hint="eastAsia" w:ascii="楷体_GB2312" w:hAnsi="宋体" w:eastAsia="楷体_GB2312" w:cs="楷体_GB2312"/>
                <w:b/>
                <w:bCs/>
                <w:color w:val="auto"/>
                <w:sz w:val="32"/>
                <w:szCs w:val="32"/>
              </w:rPr>
              <w:t>被授权人：</w:t>
            </w:r>
          </w:p>
          <w:p>
            <w:pPr>
              <w:pStyle w:val="44"/>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联系电话：</w:t>
            </w:r>
          </w:p>
          <w:p>
            <w:pPr>
              <w:pStyle w:val="44"/>
              <w:widowControl/>
              <w:ind w:firstLine="1928" w:firstLineChars="600"/>
              <w:jc w:val="both"/>
              <w:rPr>
                <w:rFonts w:ascii="楷体_GB2312" w:hAnsi="宋体" w:eastAsia="楷体_GB2312" w:cs="楷体_GB2312"/>
                <w:b/>
                <w:bCs/>
                <w:color w:val="auto"/>
                <w:sz w:val="32"/>
                <w:szCs w:val="32"/>
                <w:u w:val="single"/>
              </w:rPr>
            </w:pPr>
          </w:p>
          <w:p>
            <w:pPr>
              <w:pStyle w:val="44"/>
              <w:widowControl/>
              <w:ind w:firstLine="3534" w:firstLineChars="1100"/>
              <w:jc w:val="both"/>
              <w:rPr>
                <w:rFonts w:ascii="宋体"/>
                <w:b/>
                <w:bCs/>
                <w:sz w:val="36"/>
                <w:szCs w:val="36"/>
              </w:rPr>
            </w:pPr>
            <w:r>
              <w:rPr>
                <w:rFonts w:hint="eastAsia" w:ascii="楷体_GB2312" w:hAnsi="宋体" w:eastAsia="楷体_GB2312" w:cs="楷体_GB2312"/>
                <w:b/>
                <w:bCs/>
                <w:color w:val="auto"/>
                <w:sz w:val="32"/>
                <w:szCs w:val="32"/>
              </w:rPr>
              <w:t>年月日</w:t>
            </w:r>
          </w:p>
        </w:tc>
      </w:tr>
    </w:tbl>
    <w:p>
      <w:pPr>
        <w:rPr>
          <w:rFonts w:ascii="仿宋" w:hAnsi="仿宋" w:eastAsia="仿宋"/>
          <w:b/>
          <w:bCs/>
          <w:sz w:val="32"/>
          <w:szCs w:val="32"/>
        </w:rPr>
      </w:pPr>
    </w:p>
    <w:p>
      <w:pPr>
        <w:jc w:val="center"/>
        <w:outlineLvl w:val="1"/>
        <w:rPr>
          <w:rFonts w:ascii="仿宋" w:hAnsi="仿宋" w:eastAsia="仿宋"/>
          <w:b/>
          <w:bCs/>
          <w:sz w:val="32"/>
          <w:szCs w:val="32"/>
        </w:rPr>
      </w:pPr>
      <w:bookmarkStart w:id="370" w:name="_Toc28039"/>
      <w:bookmarkStart w:id="371" w:name="_Toc5074_WPSOffice_Level2"/>
      <w:bookmarkStart w:id="372" w:name="_Toc12200"/>
      <w:bookmarkStart w:id="373" w:name="_Toc15443"/>
      <w:r>
        <w:rPr>
          <w:rFonts w:hint="eastAsia" w:ascii="仿宋" w:hAnsi="仿宋" w:eastAsia="仿宋" w:cs="仿宋"/>
          <w:b/>
          <w:bCs/>
          <w:sz w:val="32"/>
          <w:szCs w:val="32"/>
        </w:rPr>
        <w:t>（二）磋商响应文件目录</w:t>
      </w:r>
      <w:bookmarkEnd w:id="370"/>
      <w:bookmarkEnd w:id="371"/>
      <w:bookmarkEnd w:id="372"/>
      <w:bookmarkEnd w:id="373"/>
    </w:p>
    <w:p>
      <w:pPr>
        <w:rPr>
          <w:rFonts w:ascii="仿宋" w:hAnsi="仿宋" w:eastAsia="仿宋"/>
          <w:b/>
          <w:bCs/>
          <w:sz w:val="24"/>
          <w:szCs w:val="24"/>
        </w:rPr>
      </w:pPr>
    </w:p>
    <w:p>
      <w:pPr>
        <w:rPr>
          <w:rFonts w:ascii="仿宋" w:hAnsi="仿宋" w:eastAsia="仿宋"/>
          <w:b/>
          <w:bCs/>
          <w:sz w:val="24"/>
          <w:szCs w:val="24"/>
          <w:u w:val="single"/>
        </w:rPr>
      </w:pPr>
      <w:r>
        <w:rPr>
          <w:rFonts w:hint="eastAsia" w:ascii="宋体" w:hAnsi="宋体" w:cs="宋体"/>
          <w:b/>
          <w:bCs/>
          <w:sz w:val="24"/>
          <w:szCs w:val="24"/>
          <w:u w:val="single"/>
        </w:rPr>
        <w:t>〔</w:t>
      </w:r>
      <w:r>
        <w:rPr>
          <w:rFonts w:hint="eastAsia" w:ascii="仿宋" w:hAnsi="仿宋" w:eastAsia="仿宋" w:cs="仿宋"/>
          <w:b/>
          <w:bCs/>
          <w:sz w:val="24"/>
          <w:szCs w:val="24"/>
          <w:u w:val="single"/>
        </w:rPr>
        <w:t>请各投标（响应）人严格按照以下顺序编制响应文件，如未按要求编制及提交电子投标（响应）文件的，投标（响应）无效</w:t>
      </w:r>
      <w:r>
        <w:rPr>
          <w:rFonts w:hint="eastAsia" w:ascii="宋体" w:hAnsi="宋体" w:cs="宋体"/>
          <w:b/>
          <w:bCs/>
          <w:sz w:val="24"/>
          <w:szCs w:val="24"/>
          <w:u w:val="single"/>
        </w:rPr>
        <w:t>〕</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、磋商函【格式详见本磋商文件第三部分】</w:t>
      </w:r>
    </w:p>
    <w:p>
      <w:pPr>
        <w:ind w:firstLine="480" w:firstLineChars="200"/>
      </w:pPr>
      <w:r>
        <w:rPr>
          <w:rFonts w:hint="eastAsia" w:ascii="仿宋" w:hAnsi="仿宋" w:eastAsia="仿宋" w:cs="仿宋"/>
          <w:sz w:val="24"/>
          <w:szCs w:val="24"/>
        </w:rPr>
        <w:t>2、供应商营业执照副本（原件扫描件）</w:t>
      </w:r>
    </w:p>
    <w:p>
      <w:pPr>
        <w:spacing w:line="340" w:lineRule="exact"/>
        <w:ind w:firstLine="480" w:firstLineChars="200"/>
        <w:rPr>
          <w:rFonts w:ascii="仿宋_GB2312" w:hAnsi="Arial" w:eastAsia="仿宋_GB2312"/>
          <w:sz w:val="24"/>
          <w:szCs w:val="24"/>
        </w:rPr>
      </w:pPr>
      <w:r>
        <w:rPr>
          <w:rFonts w:hint="eastAsia" w:ascii="仿宋_GB2312" w:hAnsi="Arial" w:eastAsia="仿宋_GB2312" w:cs="仿宋_GB2312"/>
          <w:sz w:val="24"/>
          <w:szCs w:val="24"/>
        </w:rPr>
        <w:t>3、法人代表授权书</w:t>
      </w:r>
      <w:r>
        <w:rPr>
          <w:rFonts w:hint="eastAsia" w:ascii="仿宋" w:hAnsi="仿宋" w:eastAsia="仿宋" w:cs="仿宋"/>
          <w:sz w:val="24"/>
          <w:szCs w:val="24"/>
        </w:rPr>
        <w:t>【格式详见本磋商文件第四部分】</w:t>
      </w:r>
    </w:p>
    <w:p>
      <w:pPr>
        <w:spacing w:line="360" w:lineRule="exact"/>
        <w:ind w:firstLine="480" w:firstLineChars="200"/>
        <w:rPr>
          <w:rFonts w:ascii="仿宋" w:hAnsi="仿宋" w:eastAsia="仿宋"/>
          <w:b/>
          <w:bCs/>
          <w:sz w:val="24"/>
          <w:szCs w:val="24"/>
        </w:rPr>
      </w:pPr>
      <w:r>
        <w:rPr>
          <w:rFonts w:hint="eastAsia" w:ascii="仿宋_GB2312" w:hAnsi="Arial" w:eastAsia="仿宋_GB2312" w:cs="仿宋_GB2312"/>
          <w:sz w:val="24"/>
          <w:szCs w:val="24"/>
        </w:rPr>
        <w:t>4、磋商一览表</w:t>
      </w:r>
      <w:r>
        <w:rPr>
          <w:rFonts w:hint="eastAsia" w:ascii="仿宋" w:hAnsi="仿宋" w:eastAsia="仿宋" w:cs="仿宋"/>
          <w:sz w:val="24"/>
          <w:szCs w:val="24"/>
        </w:rPr>
        <w:t>【格式详见本磋商文件第五部分</w:t>
      </w:r>
      <w:r>
        <w:rPr>
          <w:rFonts w:hint="eastAsia" w:ascii="仿宋" w:hAnsi="仿宋" w:eastAsia="仿宋" w:cs="仿宋"/>
          <w:b/>
          <w:bCs/>
          <w:sz w:val="24"/>
          <w:szCs w:val="24"/>
        </w:rPr>
        <w:t>】</w:t>
      </w:r>
    </w:p>
    <w:p>
      <w:pPr>
        <w:spacing w:line="360" w:lineRule="exact"/>
        <w:ind w:firstLine="480" w:firstLineChars="200"/>
        <w:rPr>
          <w:rFonts w:ascii="仿宋_GB2312" w:hAnsi="Arial" w:eastAsia="仿宋_GB2312"/>
          <w:sz w:val="24"/>
          <w:szCs w:val="24"/>
        </w:rPr>
      </w:pPr>
      <w:r>
        <w:rPr>
          <w:rFonts w:hint="eastAsia" w:ascii="仿宋_GB2312" w:hAnsi="Arial" w:eastAsia="仿宋_GB2312" w:cs="仿宋_GB2312"/>
          <w:sz w:val="24"/>
          <w:szCs w:val="24"/>
        </w:rPr>
        <w:t>5、供应商的企业简介</w:t>
      </w:r>
    </w:p>
    <w:p>
      <w:pPr>
        <w:spacing w:line="360" w:lineRule="exact"/>
        <w:ind w:firstLine="480" w:firstLineChars="200"/>
        <w:rPr>
          <w:rFonts w:ascii="仿宋" w:hAnsi="仿宋" w:eastAsia="仿宋"/>
          <w:sz w:val="24"/>
          <w:szCs w:val="24"/>
        </w:rPr>
      </w:pPr>
      <w:r>
        <w:rPr>
          <w:rFonts w:hint="eastAsia" w:ascii="仿宋_GB2312" w:hAnsi="Arial" w:eastAsia="仿宋_GB2312" w:cs="仿宋_GB2312"/>
          <w:sz w:val="24"/>
          <w:szCs w:val="24"/>
        </w:rPr>
        <w:t>6、</w:t>
      </w:r>
      <w:r>
        <w:rPr>
          <w:rFonts w:hint="eastAsia" w:ascii="仿宋" w:hAnsi="仿宋" w:eastAsia="仿宋" w:cs="仿宋"/>
          <w:sz w:val="24"/>
          <w:szCs w:val="24"/>
        </w:rPr>
        <w:t>类似业绩资料（附《中标</w:t>
      </w:r>
      <w:r>
        <w:rPr>
          <w:rFonts w:ascii="仿宋" w:hAnsi="仿宋" w:eastAsia="仿宋" w:cs="仿宋"/>
          <w:sz w:val="24"/>
          <w:szCs w:val="24"/>
        </w:rPr>
        <w:t>[</w:t>
      </w:r>
      <w:r>
        <w:rPr>
          <w:rFonts w:hint="eastAsia" w:ascii="仿宋" w:hAnsi="仿宋" w:eastAsia="仿宋" w:cs="仿宋"/>
          <w:sz w:val="24"/>
          <w:szCs w:val="24"/>
        </w:rPr>
        <w:t>成交</w:t>
      </w:r>
      <w:r>
        <w:rPr>
          <w:rFonts w:ascii="仿宋" w:hAnsi="仿宋" w:eastAsia="仿宋" w:cs="仿宋"/>
          <w:sz w:val="24"/>
          <w:szCs w:val="24"/>
        </w:rPr>
        <w:t>]</w:t>
      </w:r>
      <w:r>
        <w:rPr>
          <w:rFonts w:hint="eastAsia" w:ascii="仿宋" w:hAnsi="仿宋" w:eastAsia="仿宋" w:cs="仿宋"/>
          <w:sz w:val="24"/>
          <w:szCs w:val="24"/>
        </w:rPr>
        <w:t>通知书》或合同扫描件）【格式详见本磋商文件第六部分】</w:t>
      </w:r>
    </w:p>
    <w:p>
      <w:pPr>
        <w:ind w:firstLine="480" w:firstLineChars="200"/>
      </w:pPr>
      <w:r>
        <w:rPr>
          <w:rFonts w:hint="eastAsia" w:ascii="仿宋" w:hAnsi="仿宋" w:eastAsia="仿宋" w:cs="仿宋"/>
          <w:sz w:val="24"/>
          <w:szCs w:val="24"/>
        </w:rPr>
        <w:t>7、履约声明函【格式详见本磋商文件第八部分】</w:t>
      </w:r>
      <w:r>
        <w:rPr>
          <w:rFonts w:hint="eastAsia" w:ascii="仿宋" w:hAnsi="仿宋" w:eastAsia="仿宋" w:cs="仿宋"/>
          <w:b/>
          <w:bCs/>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8、无重大违法记录声明函【格式详见本磋商文件第九部分】</w:t>
      </w:r>
      <w:r>
        <w:rPr>
          <w:rFonts w:hint="eastAsia" w:ascii="仿宋" w:hAnsi="仿宋" w:eastAsia="仿宋" w:cs="仿宋"/>
          <w:b/>
          <w:bCs/>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9、“信用中国”网站（</w:t>
      </w:r>
      <w:r>
        <w:rPr>
          <w:rFonts w:ascii="仿宋" w:hAnsi="仿宋" w:eastAsia="仿宋" w:cs="仿宋"/>
          <w:sz w:val="24"/>
          <w:szCs w:val="24"/>
        </w:rPr>
        <w:t xml:space="preserve"> http://www.creditchina.gov.cn/ </w:t>
      </w:r>
      <w:r>
        <w:rPr>
          <w:rFonts w:hint="eastAsia" w:ascii="仿宋" w:hAnsi="仿宋" w:eastAsia="仿宋" w:cs="仿宋"/>
          <w:sz w:val="24"/>
          <w:szCs w:val="24"/>
        </w:rPr>
        <w:t>）无违法违规行为的查询纪录（原件扫描件加盖投标人公章）】；</w:t>
      </w:r>
    </w:p>
    <w:p>
      <w:pPr>
        <w:ind w:firstLine="480" w:firstLineChars="200"/>
        <w:rPr>
          <w:rFonts w:ascii="仿宋_GB2312" w:hAnsi="Arial" w:eastAsia="仿宋_GB2312"/>
          <w:sz w:val="24"/>
          <w:szCs w:val="24"/>
        </w:rPr>
      </w:pPr>
      <w:r>
        <w:rPr>
          <w:rFonts w:hint="eastAsia" w:ascii="仿宋" w:hAnsi="仿宋" w:eastAsia="仿宋" w:cs="仿宋"/>
          <w:sz w:val="24"/>
          <w:szCs w:val="24"/>
        </w:rPr>
        <w:t>10、其它有利于投标的资料；</w:t>
      </w:r>
    </w:p>
    <w:p>
      <w:pPr>
        <w:ind w:firstLine="480" w:firstLineChars="200"/>
        <w:rPr>
          <w:rFonts w:ascii="仿宋" w:hAnsi="仿宋" w:eastAsia="仿宋"/>
          <w:sz w:val="24"/>
          <w:szCs w:val="24"/>
        </w:rPr>
      </w:pPr>
    </w:p>
    <w:p>
      <w:pPr>
        <w:spacing w:line="380" w:lineRule="exact"/>
        <w:jc w:val="center"/>
        <w:outlineLvl w:val="1"/>
        <w:rPr>
          <w:rFonts w:ascii="仿宋" w:hAnsi="仿宋" w:eastAsia="仿宋"/>
          <w:b/>
          <w:bCs/>
          <w:sz w:val="30"/>
          <w:szCs w:val="30"/>
        </w:rPr>
      </w:pPr>
      <w:r>
        <w:rPr>
          <w:rFonts w:ascii="仿宋" w:hAnsi="仿宋" w:eastAsia="仿宋"/>
        </w:rPr>
        <w:br w:type="page"/>
      </w:r>
      <w:bookmarkStart w:id="374" w:name="_Toc14600"/>
      <w:bookmarkStart w:id="375" w:name="_Toc17722_WPSOffice_Level2"/>
      <w:r>
        <w:rPr>
          <w:rFonts w:hint="eastAsia" w:ascii="仿宋" w:hAnsi="仿宋" w:eastAsia="仿宋" w:cs="仿宋"/>
          <w:b/>
          <w:bCs/>
          <w:sz w:val="32"/>
          <w:szCs w:val="32"/>
        </w:rPr>
        <w:t>（三）</w:t>
      </w:r>
      <w:r>
        <w:rPr>
          <w:rFonts w:hint="eastAsia" w:ascii="仿宋" w:hAnsi="仿宋" w:eastAsia="仿宋" w:cs="仿宋"/>
          <w:b/>
          <w:bCs/>
          <w:sz w:val="30"/>
          <w:szCs w:val="30"/>
        </w:rPr>
        <w:t>磋商函</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4"/>
      <w:bookmarkEnd w:id="375"/>
    </w:p>
    <w:p>
      <w:pPr>
        <w:rPr>
          <w:rFonts w:ascii="仿宋" w:hAnsi="仿宋" w:eastAsia="仿宋"/>
          <w:sz w:val="24"/>
          <w:szCs w:val="24"/>
        </w:rPr>
      </w:pPr>
      <w:r>
        <w:rPr>
          <w:rFonts w:hint="eastAsia" w:ascii="仿宋" w:hAnsi="仿宋" w:eastAsia="仿宋" w:cs="仿宋"/>
          <w:sz w:val="24"/>
          <w:szCs w:val="24"/>
        </w:rPr>
        <w:t>致：博乐市政府采购中心</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博乐市项目（编号：</w:t>
      </w:r>
      <w:r>
        <w:rPr>
          <w:rFonts w:hint="eastAsia" w:ascii="仿宋" w:hAnsi="仿宋" w:eastAsia="仿宋" w:cs="仿宋"/>
          <w:sz w:val="24"/>
          <w:szCs w:val="24"/>
          <w:u w:val="single"/>
          <w:lang w:eastAsia="zh-CN"/>
        </w:rPr>
        <w:t>BZBLSCS2023008-1</w:t>
      </w:r>
      <w:r>
        <w:rPr>
          <w:rFonts w:hint="eastAsia" w:ascii="仿宋" w:hAnsi="仿宋" w:eastAsia="仿宋" w:cs="仿宋"/>
          <w:sz w:val="24"/>
          <w:szCs w:val="24"/>
          <w:u w:val="single"/>
        </w:rPr>
        <w:t>号）</w:t>
      </w:r>
      <w:r>
        <w:rPr>
          <w:rFonts w:hint="eastAsia" w:ascii="仿宋" w:hAnsi="仿宋" w:eastAsia="仿宋" w:cs="仿宋"/>
          <w:sz w:val="24"/>
          <w:szCs w:val="24"/>
        </w:rPr>
        <w:t>磋商文件，现正式授权下述签字人</w:t>
      </w:r>
      <w:r>
        <w:rPr>
          <w:rFonts w:ascii="仿宋" w:hAnsi="仿宋" w:eastAsia="仿宋" w:cs="仿宋"/>
          <w:sz w:val="24"/>
          <w:szCs w:val="24"/>
        </w:rPr>
        <w:t>______________(</w:t>
      </w:r>
      <w:r>
        <w:rPr>
          <w:rFonts w:hint="eastAsia" w:ascii="仿宋" w:hAnsi="仿宋" w:eastAsia="仿宋" w:cs="仿宋"/>
          <w:sz w:val="24"/>
          <w:szCs w:val="24"/>
        </w:rPr>
        <w:t>姓名</w:t>
      </w:r>
      <w:r>
        <w:rPr>
          <w:rFonts w:ascii="仿宋" w:hAnsi="仿宋" w:eastAsia="仿宋" w:cs="仿宋"/>
          <w:sz w:val="24"/>
          <w:szCs w:val="24"/>
        </w:rPr>
        <w:t>)</w:t>
      </w:r>
      <w:r>
        <w:rPr>
          <w:rFonts w:hint="eastAsia" w:ascii="仿宋" w:hAnsi="仿宋" w:eastAsia="仿宋" w:cs="仿宋"/>
          <w:sz w:val="24"/>
          <w:szCs w:val="24"/>
        </w:rPr>
        <w:t>代表我方</w:t>
      </w:r>
      <w:r>
        <w:rPr>
          <w:rFonts w:ascii="仿宋" w:hAnsi="仿宋" w:eastAsia="仿宋" w:cs="仿宋"/>
          <w:sz w:val="24"/>
          <w:szCs w:val="24"/>
        </w:rPr>
        <w:t>______________</w:t>
      </w:r>
      <w:r>
        <w:rPr>
          <w:rFonts w:hint="eastAsia" w:ascii="仿宋" w:hAnsi="仿宋" w:eastAsia="仿宋" w:cs="仿宋"/>
          <w:sz w:val="24"/>
          <w:szCs w:val="24"/>
        </w:rPr>
        <w:t>（供应商的全称），全权处理本次项目磋商的有关事宜。</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、按照磋商文件中规定各项要求，我方愿以《磋商（二次）最终报价》所填报价进行响应。</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方同意磋商文件规定的磋商有效期。在此期间，本响应文件将始终对我们具有约束力。如果我们成交，本响应文件在此期间之后将继续保持有效，直到合同生效。如果在磋商后规定的磋商有效期内撤回响应文件，我们的磋商保证金可被贵方没收。</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、我方同意向贵方提供可能要求的与磋商有关的任何证据或资料，并保证所提供的都是真实的、准确的。</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、如果我方成交，为执行合同，我们将按照磋商文件要求提交履约保证金。并按照磋商文件的规定和响应文件的承诺，严格履行合同的责任和义务，并保证在合同规定的时间内进场提供服务。</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与本投标有关的正式通讯地址为：</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地址：</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邮编：</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电话：</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传真：</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开户行：</w:t>
      </w:r>
    </w:p>
    <w:p>
      <w:pPr>
        <w:pStyle w:val="5"/>
        <w:numPr>
          <w:ilvl w:val="3"/>
          <w:numId w:val="0"/>
        </w:numPr>
        <w:ind w:firstLine="480" w:firstLineChars="200"/>
        <w:rPr>
          <w:rFonts w:ascii="仿宋" w:hAnsi="仿宋" w:eastAsia="仿宋" w:cs="仿宋"/>
          <w:sz w:val="24"/>
          <w:szCs w:val="24"/>
        </w:rPr>
      </w:pPr>
      <w:r>
        <w:rPr>
          <w:rFonts w:hint="eastAsia" w:ascii="仿宋" w:hAnsi="仿宋" w:eastAsia="仿宋" w:cs="仿宋"/>
          <w:sz w:val="24"/>
          <w:szCs w:val="24"/>
        </w:rPr>
        <w:t>账户：</w:t>
      </w:r>
    </w:p>
    <w:p>
      <w:pPr>
        <w:pStyle w:val="5"/>
        <w:numPr>
          <w:ilvl w:val="3"/>
          <w:numId w:val="0"/>
        </w:numPr>
        <w:ind w:firstLine="240" w:firstLineChars="100"/>
        <w:jc w:val="right"/>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________</w:t>
      </w:r>
      <w:r>
        <w:rPr>
          <w:rFonts w:hint="eastAsia" w:ascii="仿宋" w:hAnsi="仿宋" w:eastAsia="仿宋" w:cs="仿宋"/>
          <w:sz w:val="24"/>
          <w:szCs w:val="24"/>
        </w:rPr>
        <w:t>年</w:t>
      </w:r>
      <w:r>
        <w:rPr>
          <w:rFonts w:ascii="仿宋" w:hAnsi="仿宋" w:eastAsia="仿宋" w:cs="仿宋"/>
          <w:sz w:val="24"/>
          <w:szCs w:val="24"/>
        </w:rPr>
        <w:t>____</w:t>
      </w:r>
      <w:r>
        <w:rPr>
          <w:rFonts w:hint="eastAsia" w:ascii="仿宋" w:hAnsi="仿宋" w:eastAsia="仿宋" w:cs="仿宋"/>
          <w:sz w:val="24"/>
          <w:szCs w:val="24"/>
        </w:rPr>
        <w:t>月</w:t>
      </w:r>
      <w:r>
        <w:rPr>
          <w:rFonts w:ascii="仿宋" w:hAnsi="仿宋" w:eastAsia="仿宋" w:cs="仿宋"/>
          <w:sz w:val="24"/>
          <w:szCs w:val="24"/>
        </w:rPr>
        <w:t>____</w:t>
      </w:r>
      <w:r>
        <w:rPr>
          <w:rFonts w:hint="eastAsia" w:ascii="仿宋" w:hAnsi="仿宋" w:eastAsia="仿宋" w:cs="仿宋"/>
          <w:sz w:val="24"/>
          <w:szCs w:val="24"/>
        </w:rPr>
        <w:t>日</w:t>
      </w:r>
    </w:p>
    <w:p>
      <w:pPr>
        <w:pStyle w:val="5"/>
        <w:numPr>
          <w:ilvl w:val="3"/>
          <w:numId w:val="0"/>
        </w:numPr>
        <w:rPr>
          <w:rFonts w:cs="Times New Roman"/>
        </w:rPr>
      </w:pPr>
    </w:p>
    <w:p>
      <w:pPr>
        <w:pStyle w:val="3"/>
        <w:spacing w:line="240" w:lineRule="auto"/>
        <w:jc w:val="center"/>
        <w:rPr>
          <w:rFonts w:ascii="仿宋" w:hAnsi="仿宋" w:eastAsia="仿宋" w:cs="仿宋"/>
          <w:sz w:val="30"/>
          <w:szCs w:val="30"/>
        </w:rPr>
      </w:pPr>
      <w:bookmarkStart w:id="376" w:name="_Toc19482"/>
      <w:bookmarkStart w:id="377" w:name="_Toc1336"/>
      <w:bookmarkStart w:id="378" w:name="_Toc2132"/>
      <w:bookmarkStart w:id="379" w:name="_Toc1865"/>
      <w:bookmarkStart w:id="380" w:name="_Toc15096"/>
      <w:bookmarkStart w:id="381" w:name="_Toc26463"/>
      <w:bookmarkStart w:id="382" w:name="_Toc20208"/>
      <w:bookmarkStart w:id="383" w:name="_Toc23411"/>
      <w:bookmarkStart w:id="384" w:name="_Toc21227"/>
      <w:bookmarkStart w:id="385" w:name="_Toc14908"/>
      <w:bookmarkStart w:id="386" w:name="_Toc15680"/>
      <w:bookmarkStart w:id="387" w:name="_Toc9165"/>
      <w:bookmarkStart w:id="388" w:name="_Toc22026"/>
      <w:bookmarkStart w:id="389" w:name="_Toc5800"/>
      <w:bookmarkStart w:id="390" w:name="_Toc1963"/>
    </w:p>
    <w:p>
      <w:pPr>
        <w:pStyle w:val="3"/>
        <w:spacing w:line="240" w:lineRule="auto"/>
        <w:jc w:val="center"/>
        <w:rPr>
          <w:rFonts w:ascii="仿宋" w:hAnsi="仿宋" w:eastAsia="仿宋" w:cs="Times New Roman"/>
        </w:rPr>
      </w:pPr>
      <w:bookmarkStart w:id="391" w:name="_Toc6663_WPSOffice_Level2"/>
      <w:r>
        <w:rPr>
          <w:rFonts w:hint="eastAsia" w:ascii="仿宋" w:hAnsi="仿宋" w:eastAsia="仿宋" w:cs="仿宋"/>
          <w:sz w:val="30"/>
          <w:szCs w:val="30"/>
        </w:rPr>
        <w:t>（四）</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Start w:id="392" w:name="_Toc17429"/>
      <w:bookmarkStart w:id="393" w:name="_Toc17568"/>
      <w:bookmarkStart w:id="394" w:name="_Toc16155"/>
      <w:bookmarkStart w:id="395" w:name="_Toc6509"/>
      <w:bookmarkStart w:id="396" w:name="_Toc8714"/>
      <w:bookmarkStart w:id="397" w:name="_Toc22678_WPSOffice_Level2"/>
      <w:bookmarkStart w:id="398" w:name="_Toc30523"/>
      <w:bookmarkStart w:id="399" w:name="_Toc3640"/>
      <w:bookmarkStart w:id="400" w:name="_Toc913"/>
      <w:bookmarkStart w:id="401" w:name="_Toc10815"/>
      <w:bookmarkStart w:id="402" w:name="_Toc3246"/>
      <w:bookmarkStart w:id="403" w:name="_Toc28959"/>
      <w:bookmarkStart w:id="404" w:name="_Toc10792"/>
      <w:bookmarkStart w:id="405" w:name="_Toc19088"/>
      <w:bookmarkStart w:id="406" w:name="_Toc23801"/>
      <w:bookmarkStart w:id="407" w:name="_Toc8441"/>
      <w:bookmarkStart w:id="408" w:name="_Toc9032"/>
      <w:bookmarkStart w:id="409" w:name="_Toc20093"/>
      <w:bookmarkStart w:id="410" w:name="_Toc6718"/>
      <w:bookmarkStart w:id="411" w:name="_Toc13542"/>
      <w:bookmarkStart w:id="412" w:name="_Toc10953"/>
      <w:bookmarkStart w:id="413" w:name="_Toc8655"/>
      <w:bookmarkStart w:id="414" w:name="_Toc24021"/>
      <w:bookmarkStart w:id="415" w:name="_Toc24577"/>
      <w:bookmarkStart w:id="416" w:name="_Toc4765"/>
      <w:bookmarkStart w:id="417" w:name="_Toc13647"/>
      <w:bookmarkStart w:id="418" w:name="_Toc10673"/>
      <w:bookmarkStart w:id="419" w:name="_Toc20911"/>
      <w:bookmarkStart w:id="420" w:name="_Toc21449"/>
      <w:bookmarkStart w:id="421" w:name="_Toc28992"/>
      <w:r>
        <w:rPr>
          <w:rFonts w:hint="eastAsia" w:ascii="仿宋" w:hAnsi="仿宋" w:eastAsia="仿宋" w:cs="仿宋"/>
        </w:rPr>
        <w:t>法人代表授权书</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ind w:left="239" w:leftChars="114" w:firstLine="480" w:firstLineChars="200"/>
        <w:rPr>
          <w:rFonts w:ascii="仿宋" w:hAnsi="仿宋" w:eastAsia="仿宋"/>
          <w:sz w:val="24"/>
          <w:szCs w:val="24"/>
        </w:rPr>
      </w:pPr>
      <w:r>
        <w:rPr>
          <w:rFonts w:hint="eastAsia" w:ascii="仿宋" w:hAnsi="仿宋" w:eastAsia="仿宋" w:cs="仿宋"/>
          <w:sz w:val="24"/>
          <w:szCs w:val="24"/>
        </w:rPr>
        <w:t>本授权书声明</w:t>
      </w:r>
      <w:r>
        <w:rPr>
          <w:rFonts w:ascii="仿宋" w:hAnsi="仿宋" w:eastAsia="仿宋" w:cs="仿宋"/>
          <w:sz w:val="24"/>
          <w:szCs w:val="24"/>
        </w:rPr>
        <w:t>:</w:t>
      </w: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hint="eastAsia" w:ascii="仿宋" w:hAnsi="仿宋" w:eastAsia="仿宋" w:cs="仿宋"/>
          <w:sz w:val="24"/>
          <w:szCs w:val="24"/>
        </w:rPr>
        <w:t>系注册于</w:t>
      </w:r>
      <w:r>
        <w:rPr>
          <w:rFonts w:hint="eastAsia" w:ascii="仿宋" w:hAnsi="仿宋" w:eastAsia="仿宋" w:cs="仿宋"/>
          <w:sz w:val="24"/>
          <w:szCs w:val="24"/>
          <w:u w:val="single"/>
        </w:rPr>
        <w:t>（地区的名称）（供应商名称）</w:t>
      </w:r>
      <w:r>
        <w:rPr>
          <w:rFonts w:hint="eastAsia" w:ascii="仿宋" w:hAnsi="仿宋" w:eastAsia="仿宋" w:cs="仿宋"/>
          <w:sz w:val="24"/>
          <w:szCs w:val="24"/>
        </w:rPr>
        <w:t>的法定代表人，现授权（</w:t>
      </w:r>
      <w:r>
        <w:rPr>
          <w:rFonts w:hint="eastAsia" w:ascii="仿宋" w:hAnsi="仿宋" w:eastAsia="仿宋" w:cs="仿宋"/>
          <w:sz w:val="24"/>
          <w:szCs w:val="24"/>
          <w:u w:val="single"/>
        </w:rPr>
        <w:t>姓名）</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项目（编号：</w:t>
      </w:r>
      <w:r>
        <w:rPr>
          <w:rFonts w:hint="eastAsia" w:ascii="仿宋" w:hAnsi="仿宋" w:eastAsia="仿宋" w:cs="仿宋"/>
          <w:sz w:val="24"/>
          <w:szCs w:val="24"/>
          <w:u w:val="single"/>
          <w:lang w:eastAsia="zh-CN"/>
        </w:rPr>
        <w:t>BZBLSCS2023008-1</w:t>
      </w:r>
      <w:r>
        <w:rPr>
          <w:rFonts w:hint="eastAsia" w:ascii="仿宋" w:hAnsi="仿宋" w:eastAsia="仿宋" w:cs="仿宋"/>
          <w:sz w:val="24"/>
          <w:szCs w:val="24"/>
          <w:u w:val="single"/>
        </w:rPr>
        <w:t>号）</w:t>
      </w:r>
      <w:r>
        <w:rPr>
          <w:rFonts w:hint="eastAsia" w:ascii="仿宋" w:hAnsi="仿宋" w:eastAsia="仿宋" w:cs="仿宋"/>
          <w:sz w:val="24"/>
          <w:szCs w:val="24"/>
        </w:rPr>
        <w:t>的政府采购磋商活动。被授权人在本次政府采购磋商过程中所签署的一切文件和处理与之有关的一切事务</w:t>
      </w:r>
      <w:r>
        <w:rPr>
          <w:rFonts w:ascii="仿宋" w:hAnsi="仿宋" w:eastAsia="仿宋" w:cs="仿宋"/>
          <w:sz w:val="24"/>
          <w:szCs w:val="24"/>
        </w:rPr>
        <w:t>,</w:t>
      </w:r>
      <w:r>
        <w:rPr>
          <w:rFonts w:hint="eastAsia" w:ascii="仿宋" w:hAnsi="仿宋" w:eastAsia="仿宋" w:cs="仿宋"/>
          <w:sz w:val="24"/>
          <w:szCs w:val="24"/>
        </w:rPr>
        <w:t>我均予以承认。</w:t>
      </w:r>
    </w:p>
    <w:p>
      <w:pPr>
        <w:ind w:firstLine="480" w:firstLineChars="200"/>
        <w:rPr>
          <w:rFonts w:ascii="仿宋" w:hAnsi="仿宋" w:eastAsia="仿宋"/>
          <w:sz w:val="24"/>
          <w:szCs w:val="24"/>
        </w:rPr>
      </w:pPr>
      <w:r>
        <w:rPr>
          <w:rFonts w:hint="eastAsia" w:ascii="仿宋" w:hAnsi="仿宋" w:eastAsia="仿宋" w:cs="仿宋"/>
          <w:sz w:val="24"/>
          <w:szCs w:val="24"/>
        </w:rPr>
        <w:t>本授权书于</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w:t>
      </w:r>
      <w:r>
        <w:rPr>
          <w:rFonts w:ascii="仿宋" w:hAnsi="仿宋" w:eastAsia="仿宋" w:cs="仿宋"/>
          <w:sz w:val="24"/>
          <w:szCs w:val="24"/>
        </w:rPr>
        <w:t>,</w:t>
      </w:r>
      <w:r>
        <w:rPr>
          <w:rFonts w:hint="eastAsia" w:ascii="仿宋" w:hAnsi="仿宋" w:eastAsia="仿宋" w:cs="仿宋"/>
          <w:sz w:val="24"/>
          <w:szCs w:val="24"/>
        </w:rPr>
        <w:t>特此授权。</w:t>
      </w:r>
    </w:p>
    <w:p>
      <w:pPr>
        <w:ind w:firstLine="482"/>
        <w:rPr>
          <w:rFonts w:ascii="仿宋" w:hAnsi="仿宋" w:eastAsia="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公章：</w:t>
      </w:r>
    </w:p>
    <w:p>
      <w:pPr>
        <w:ind w:firstLine="482"/>
        <w:rPr>
          <w:rFonts w:ascii="仿宋" w:hAnsi="仿宋" w:eastAsia="仿宋"/>
          <w:sz w:val="24"/>
          <w:szCs w:val="24"/>
        </w:rPr>
      </w:pPr>
    </w:p>
    <w:p>
      <w:pPr>
        <w:ind w:firstLine="480"/>
        <w:rPr>
          <w:rFonts w:ascii="仿宋" w:hAnsi="仿宋" w:eastAsia="仿宋"/>
          <w:sz w:val="24"/>
          <w:szCs w:val="24"/>
          <w:u w:val="single"/>
        </w:rPr>
      </w:pPr>
      <w:r>
        <w:rPr>
          <w:rFonts w:hint="eastAsia" w:ascii="仿宋" w:hAnsi="仿宋" w:eastAsia="仿宋" w:cs="仿宋"/>
          <w:sz w:val="24"/>
          <w:szCs w:val="24"/>
        </w:rPr>
        <w:t>　　　　　　　　　　　　　　　　　授权日期：</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仿宋"/>
        </w:rPr>
      </w:pPr>
    </w:p>
    <w:p>
      <w:pPr>
        <w:spacing w:line="380" w:lineRule="exact"/>
        <w:jc w:val="center"/>
        <w:rPr>
          <w:rFonts w:ascii="仿宋" w:hAnsi="仿宋" w:eastAsia="仿宋" w:cs="仿宋"/>
        </w:rPr>
      </w:pPr>
    </w:p>
    <w:p>
      <w:pPr>
        <w:spacing w:line="380" w:lineRule="exact"/>
        <w:jc w:val="center"/>
        <w:rPr>
          <w:rFonts w:ascii="仿宋" w:hAnsi="仿宋" w:eastAsia="仿宋" w:cs="仿宋"/>
        </w:rPr>
      </w:pPr>
    </w:p>
    <w:p>
      <w:pPr>
        <w:pStyle w:val="2"/>
        <w:rPr>
          <w:lang w:val="en-US"/>
        </w:rPr>
      </w:pPr>
    </w:p>
    <w:p>
      <w:pPr>
        <w:spacing w:line="380" w:lineRule="exact"/>
        <w:jc w:val="center"/>
        <w:rPr>
          <w:rFonts w:ascii="仿宋" w:hAnsi="仿宋" w:eastAsia="仿宋"/>
        </w:rPr>
      </w:pPr>
      <w:r>
        <w:rPr>
          <w:rFonts w:hint="eastAsia" w:ascii="宋体" w:hAnsi="宋体" w:cs="宋体"/>
          <w:b/>
          <w:bCs/>
          <w:sz w:val="28"/>
          <w:szCs w:val="28"/>
        </w:rPr>
        <w:t>法定代表人身份证复印件</w:t>
      </w:r>
    </w:p>
    <w:tbl>
      <w:tblPr>
        <w:tblStyle w:val="21"/>
        <w:tblW w:w="945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64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p>
        </w:tc>
        <w:tc>
          <w:tcPr>
            <w:tcW w:w="4815"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p>
        </w:tc>
      </w:tr>
    </w:tbl>
    <w:p>
      <w:pPr>
        <w:spacing w:line="380" w:lineRule="exact"/>
        <w:jc w:val="center"/>
        <w:rPr>
          <w:rFonts w:ascii="宋体"/>
          <w:b/>
          <w:bCs/>
          <w:sz w:val="28"/>
          <w:szCs w:val="28"/>
        </w:rPr>
      </w:pPr>
      <w:r>
        <w:rPr>
          <w:rFonts w:hint="eastAsia" w:ascii="宋体" w:hAnsi="宋体" w:cs="宋体"/>
          <w:b/>
          <w:bCs/>
          <w:sz w:val="28"/>
          <w:szCs w:val="28"/>
        </w:rPr>
        <w:t>被授权人身份证复印件</w:t>
      </w:r>
    </w:p>
    <w:tbl>
      <w:tblPr>
        <w:tblStyle w:val="21"/>
        <w:tblW w:w="956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61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p>
        </w:tc>
        <w:tc>
          <w:tcPr>
            <w:tcW w:w="4950"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p>
        </w:tc>
      </w:tr>
    </w:tbl>
    <w:p>
      <w:pPr>
        <w:tabs>
          <w:tab w:val="left" w:pos="9135"/>
        </w:tabs>
        <w:spacing w:line="380" w:lineRule="exact"/>
        <w:rPr>
          <w:rFonts w:ascii="仿宋" w:hAnsi="仿宋" w:eastAsia="仿宋" w:cs="仿宋"/>
        </w:rPr>
      </w:pPr>
    </w:p>
    <w:p>
      <w:pPr>
        <w:tabs>
          <w:tab w:val="left" w:pos="9135"/>
        </w:tabs>
        <w:spacing w:line="380" w:lineRule="exact"/>
        <w:jc w:val="center"/>
        <w:outlineLvl w:val="1"/>
        <w:rPr>
          <w:rFonts w:ascii="仿宋" w:hAnsi="仿宋" w:eastAsia="仿宋" w:cs="仿宋"/>
          <w:b/>
          <w:bCs/>
          <w:sz w:val="30"/>
          <w:szCs w:val="30"/>
        </w:rPr>
      </w:pPr>
      <w:bookmarkStart w:id="422" w:name="_Toc16553"/>
    </w:p>
    <w:p>
      <w:pPr>
        <w:tabs>
          <w:tab w:val="left" w:pos="9135"/>
        </w:tabs>
        <w:spacing w:line="380" w:lineRule="exact"/>
        <w:jc w:val="center"/>
        <w:outlineLvl w:val="1"/>
        <w:rPr>
          <w:rFonts w:ascii="仿宋" w:hAnsi="仿宋" w:eastAsia="仿宋"/>
          <w:b/>
          <w:bCs/>
        </w:rPr>
      </w:pPr>
      <w:bookmarkStart w:id="423" w:name="_Toc6082_WPSOffice_Level2"/>
      <w:r>
        <w:rPr>
          <w:rFonts w:hint="eastAsia" w:ascii="仿宋" w:hAnsi="仿宋" w:eastAsia="仿宋" w:cs="仿宋"/>
          <w:b/>
          <w:bCs/>
          <w:sz w:val="30"/>
          <w:szCs w:val="30"/>
        </w:rPr>
        <w:t>（五）磋商一览表（报价表）</w:t>
      </w:r>
      <w:bookmarkEnd w:id="422"/>
      <w:bookmarkEnd w:id="423"/>
    </w:p>
    <w:p>
      <w:pPr>
        <w:pStyle w:val="44"/>
        <w:spacing w:line="380" w:lineRule="exact"/>
        <w:ind w:left="206" w:leftChars="85" w:hanging="28" w:hangingChars="12"/>
        <w:jc w:val="both"/>
        <w:rPr>
          <w:rFonts w:ascii="仿宋" w:hAnsi="仿宋" w:eastAsia="仿宋"/>
          <w:u w:val="single"/>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BZBLSCS2023008-1</w:t>
      </w:r>
      <w:r>
        <w:rPr>
          <w:rFonts w:hint="eastAsia" w:ascii="仿宋" w:hAnsi="仿宋" w:eastAsia="仿宋" w:cs="仿宋"/>
        </w:rPr>
        <w:t>号</w:t>
      </w:r>
    </w:p>
    <w:tbl>
      <w:tblPr>
        <w:tblStyle w:val="21"/>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68"/>
        <w:gridCol w:w="126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4"/>
              <w:spacing w:line="360" w:lineRule="exact"/>
              <w:ind w:left="-181" w:leftChars="-342" w:right="-743" w:rightChars="-354" w:hanging="537" w:hangingChars="25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序号</w:t>
            </w:r>
          </w:p>
        </w:tc>
        <w:tc>
          <w:tcPr>
            <w:tcW w:w="3168" w:type="dxa"/>
            <w:vAlign w:val="center"/>
          </w:tcPr>
          <w:p>
            <w:pPr>
              <w:pStyle w:val="44"/>
              <w:spacing w:line="360" w:lineRule="exact"/>
              <w:ind w:left="-223" w:leftChars="-422" w:right="-743" w:rightChars="-354" w:hanging="663" w:hangingChars="31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服务项目名称</w:t>
            </w: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报价（万元）</w:t>
            </w: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完工日期</w:t>
            </w:r>
          </w:p>
        </w:tc>
        <w:tc>
          <w:tcPr>
            <w:tcW w:w="1980" w:type="dxa"/>
            <w:vAlign w:val="center"/>
          </w:tcPr>
          <w:p>
            <w:pPr>
              <w:pStyle w:val="44"/>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12" w:type="dxa"/>
            <w:vAlign w:val="center"/>
          </w:tcPr>
          <w:p>
            <w:pPr>
              <w:pStyle w:val="44"/>
              <w:spacing w:line="360" w:lineRule="exact"/>
              <w:ind w:left="-342" w:right="-354"/>
              <w:jc w:val="center"/>
              <w:rPr>
                <w:rFonts w:ascii="仿宋_GB2312" w:hAnsi="宋体" w:eastAsia="仿宋_GB2312"/>
                <w:color w:val="auto"/>
                <w:sz w:val="21"/>
                <w:szCs w:val="21"/>
              </w:rPr>
            </w:pPr>
          </w:p>
        </w:tc>
        <w:tc>
          <w:tcPr>
            <w:tcW w:w="3168" w:type="dxa"/>
            <w:vAlign w:val="center"/>
          </w:tcPr>
          <w:p>
            <w:pPr>
              <w:pStyle w:val="44"/>
              <w:spacing w:line="360" w:lineRule="exact"/>
              <w:ind w:left="-342" w:right="-354"/>
              <w:jc w:val="center"/>
              <w:rPr>
                <w:rFonts w:ascii="仿宋_GB2312" w:hAnsi="宋体" w:eastAsia="仿宋_GB2312"/>
                <w:color w:val="auto"/>
                <w:sz w:val="21"/>
                <w:szCs w:val="21"/>
              </w:rPr>
            </w:pP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p>
        </w:tc>
        <w:tc>
          <w:tcPr>
            <w:tcW w:w="1980" w:type="dxa"/>
            <w:vAlign w:val="center"/>
          </w:tcPr>
          <w:p>
            <w:pPr>
              <w:pStyle w:val="44"/>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2" w:type="dxa"/>
            <w:vAlign w:val="center"/>
          </w:tcPr>
          <w:p>
            <w:pPr>
              <w:pStyle w:val="44"/>
              <w:spacing w:line="360" w:lineRule="exact"/>
              <w:ind w:left="-342" w:right="-354"/>
              <w:jc w:val="center"/>
              <w:rPr>
                <w:rFonts w:ascii="仿宋_GB2312" w:hAnsi="宋体" w:eastAsia="仿宋_GB2312"/>
                <w:color w:val="auto"/>
                <w:sz w:val="21"/>
                <w:szCs w:val="21"/>
              </w:rPr>
            </w:pPr>
          </w:p>
        </w:tc>
        <w:tc>
          <w:tcPr>
            <w:tcW w:w="3168" w:type="dxa"/>
            <w:vAlign w:val="center"/>
          </w:tcPr>
          <w:p>
            <w:pPr>
              <w:pStyle w:val="44"/>
              <w:spacing w:line="360" w:lineRule="exact"/>
              <w:ind w:left="-342" w:right="-354"/>
              <w:jc w:val="center"/>
              <w:rPr>
                <w:rFonts w:ascii="仿宋_GB2312" w:hAnsi="宋体" w:eastAsia="仿宋_GB2312"/>
                <w:color w:val="auto"/>
                <w:sz w:val="21"/>
                <w:szCs w:val="21"/>
              </w:rPr>
            </w:pP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p>
        </w:tc>
        <w:tc>
          <w:tcPr>
            <w:tcW w:w="1260" w:type="dxa"/>
            <w:vAlign w:val="center"/>
          </w:tcPr>
          <w:p>
            <w:pPr>
              <w:pStyle w:val="44"/>
              <w:spacing w:line="360" w:lineRule="exact"/>
              <w:ind w:left="-342" w:right="-354"/>
              <w:jc w:val="center"/>
              <w:rPr>
                <w:rFonts w:ascii="仿宋_GB2312" w:hAnsi="宋体" w:eastAsia="仿宋_GB2312"/>
                <w:color w:val="auto"/>
                <w:sz w:val="21"/>
                <w:szCs w:val="21"/>
              </w:rPr>
            </w:pPr>
          </w:p>
        </w:tc>
        <w:tc>
          <w:tcPr>
            <w:tcW w:w="1980" w:type="dxa"/>
            <w:vAlign w:val="center"/>
          </w:tcPr>
          <w:p>
            <w:pPr>
              <w:pStyle w:val="44"/>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180" w:type="dxa"/>
            <w:gridSpan w:val="5"/>
            <w:vAlign w:val="center"/>
          </w:tcPr>
          <w:p>
            <w:pPr>
              <w:pStyle w:val="44"/>
              <w:spacing w:line="360" w:lineRule="exact"/>
              <w:ind w:left="-342" w:right="-354" w:firstLine="413" w:firstLineChars="197"/>
              <w:jc w:val="both"/>
              <w:rPr>
                <w:rFonts w:ascii="仿宋_GB2312" w:hAnsi="宋体" w:eastAsia="仿宋_GB2312"/>
                <w:color w:val="auto"/>
                <w:sz w:val="21"/>
                <w:szCs w:val="21"/>
              </w:rPr>
            </w:pPr>
            <w:r>
              <w:rPr>
                <w:rFonts w:hint="eastAsia" w:ascii="仿宋_GB2312" w:hAnsi="宋体" w:eastAsia="仿宋_GB2312" w:cs="仿宋_GB2312"/>
                <w:color w:val="auto"/>
                <w:sz w:val="21"/>
                <w:szCs w:val="21"/>
              </w:rPr>
              <w:t>人民币大写：</w:t>
            </w:r>
          </w:p>
        </w:tc>
      </w:tr>
    </w:tbl>
    <w:p>
      <w:pPr>
        <w:pStyle w:val="44"/>
        <w:spacing w:line="360" w:lineRule="exact"/>
        <w:rPr>
          <w:rFonts w:ascii="仿宋_GB2312" w:eastAsia="仿宋_GB2312"/>
          <w:color w:val="auto"/>
        </w:rPr>
      </w:pPr>
      <w:r>
        <w:rPr>
          <w:rFonts w:hint="eastAsia" w:ascii="仿宋_GB2312" w:hAnsi="宋体" w:eastAsia="仿宋_GB2312" w:cs="仿宋_GB2312"/>
          <w:color w:val="auto"/>
        </w:rPr>
        <w:t>单位法人授权代表签字（盖章）：</w:t>
      </w:r>
      <w:r>
        <w:rPr>
          <w:rFonts w:hint="eastAsia" w:ascii="仿宋_GB2312" w:eastAsia="仿宋_GB2312" w:cs="仿宋_GB2312"/>
          <w:color w:val="auto"/>
        </w:rPr>
        <w:t>报价日期：年月日</w:t>
      </w:r>
    </w:p>
    <w:p>
      <w:pPr>
        <w:spacing w:line="380" w:lineRule="exact"/>
        <w:jc w:val="center"/>
        <w:outlineLvl w:val="1"/>
        <w:rPr>
          <w:rFonts w:ascii="仿宋" w:hAnsi="仿宋" w:eastAsia="仿宋"/>
          <w:b/>
          <w:bCs/>
          <w:sz w:val="30"/>
          <w:szCs w:val="30"/>
        </w:rPr>
      </w:pPr>
    </w:p>
    <w:p>
      <w:pPr>
        <w:spacing w:line="380" w:lineRule="exact"/>
        <w:jc w:val="center"/>
        <w:outlineLvl w:val="1"/>
        <w:rPr>
          <w:rFonts w:ascii="仿宋" w:hAnsi="仿宋" w:eastAsia="仿宋" w:cs="仿宋"/>
          <w:b/>
          <w:bCs/>
          <w:sz w:val="30"/>
          <w:szCs w:val="30"/>
        </w:rPr>
      </w:pPr>
      <w:bookmarkStart w:id="424" w:name="_Toc3435"/>
      <w:bookmarkStart w:id="425" w:name="_Toc30407"/>
    </w:p>
    <w:p>
      <w:pPr>
        <w:spacing w:line="380" w:lineRule="exact"/>
        <w:jc w:val="center"/>
        <w:outlineLvl w:val="1"/>
        <w:rPr>
          <w:rFonts w:ascii="仿宋" w:hAnsi="仿宋" w:eastAsia="仿宋"/>
          <w:b/>
          <w:bCs/>
          <w:sz w:val="30"/>
          <w:szCs w:val="30"/>
        </w:rPr>
      </w:pPr>
      <w:bookmarkStart w:id="426" w:name="_Toc17558_WPSOffice_Level2"/>
      <w:r>
        <w:rPr>
          <w:rFonts w:hint="eastAsia" w:ascii="仿宋" w:hAnsi="仿宋" w:eastAsia="仿宋" w:cs="仿宋"/>
          <w:b/>
          <w:bCs/>
          <w:sz w:val="30"/>
          <w:szCs w:val="30"/>
        </w:rPr>
        <w:t>（六）类似业绩表</w:t>
      </w:r>
      <w:bookmarkEnd w:id="424"/>
      <w:bookmarkEnd w:id="425"/>
      <w:bookmarkEnd w:id="426"/>
    </w:p>
    <w:p>
      <w:pPr>
        <w:pStyle w:val="44"/>
        <w:spacing w:line="380" w:lineRule="exact"/>
        <w:ind w:left="206" w:leftChars="85" w:hanging="28" w:hangingChars="12"/>
        <w:jc w:val="both"/>
        <w:rPr>
          <w:rFonts w:ascii="仿宋" w:hAnsi="仿宋" w:eastAsia="仿宋"/>
          <w:b/>
          <w:bCs/>
          <w:sz w:val="30"/>
          <w:szCs w:val="30"/>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BZBLSCS2023008-1</w:t>
      </w:r>
      <w:r>
        <w:rPr>
          <w:rFonts w:hint="eastAsia" w:ascii="仿宋" w:hAnsi="仿宋" w:eastAsia="仿宋" w:cs="仿宋"/>
        </w:rPr>
        <w:t>号</w:t>
      </w:r>
    </w:p>
    <w:tbl>
      <w:tblPr>
        <w:tblStyle w:val="21"/>
        <w:tblW w:w="92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031"/>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86" w:type="dxa"/>
            <w:vAlign w:val="center"/>
          </w:tcPr>
          <w:p>
            <w:pPr>
              <w:pStyle w:val="48"/>
              <w:spacing w:line="380" w:lineRule="exact"/>
              <w:jc w:val="center"/>
              <w:rPr>
                <w:rFonts w:ascii="仿宋" w:hAnsi="仿宋" w:eastAsia="仿宋"/>
                <w:color w:val="auto"/>
              </w:rPr>
            </w:pPr>
            <w:r>
              <w:rPr>
                <w:rFonts w:hint="eastAsia" w:ascii="仿宋" w:hAnsi="仿宋" w:eastAsia="仿宋" w:cs="仿宋"/>
                <w:color w:val="auto"/>
              </w:rPr>
              <w:t>地　　区</w:t>
            </w:r>
          </w:p>
        </w:tc>
        <w:tc>
          <w:tcPr>
            <w:tcW w:w="3031" w:type="dxa"/>
            <w:vAlign w:val="center"/>
          </w:tcPr>
          <w:p>
            <w:pPr>
              <w:pStyle w:val="48"/>
              <w:spacing w:line="380" w:lineRule="exact"/>
              <w:ind w:right="-107" w:rightChars="-51"/>
              <w:jc w:val="center"/>
              <w:rPr>
                <w:rFonts w:ascii="仿宋" w:hAnsi="仿宋" w:eastAsia="仿宋"/>
                <w:color w:val="auto"/>
              </w:rPr>
            </w:pPr>
            <w:r>
              <w:rPr>
                <w:rFonts w:hint="eastAsia" w:ascii="仿宋" w:hAnsi="仿宋" w:eastAsia="仿宋" w:cs="仿宋"/>
                <w:color w:val="auto"/>
              </w:rPr>
              <w:t>服务项目名称</w:t>
            </w:r>
          </w:p>
        </w:tc>
        <w:tc>
          <w:tcPr>
            <w:tcW w:w="1251" w:type="dxa"/>
            <w:vAlign w:val="center"/>
          </w:tcPr>
          <w:p>
            <w:pPr>
              <w:pStyle w:val="48"/>
              <w:spacing w:line="380" w:lineRule="exact"/>
              <w:jc w:val="center"/>
              <w:rPr>
                <w:rFonts w:ascii="仿宋" w:hAnsi="仿宋" w:eastAsia="仿宋"/>
                <w:color w:val="auto"/>
              </w:rPr>
            </w:pPr>
            <w:r>
              <w:rPr>
                <w:rFonts w:hint="eastAsia" w:ascii="仿宋" w:hAnsi="仿宋" w:eastAsia="仿宋" w:cs="仿宋"/>
                <w:color w:val="auto"/>
              </w:rPr>
              <w:t>中标金额</w:t>
            </w:r>
            <w:r>
              <w:rPr>
                <w:rFonts w:ascii="仿宋" w:hAnsi="仿宋" w:eastAsia="仿宋" w:cs="仿宋"/>
                <w:color w:val="auto"/>
              </w:rPr>
              <w:t>(</w:t>
            </w:r>
            <w:r>
              <w:rPr>
                <w:rFonts w:hint="eastAsia" w:ascii="仿宋" w:hAnsi="仿宋" w:eastAsia="仿宋" w:cs="仿宋"/>
              </w:rPr>
              <w:t>万元</w:t>
            </w:r>
            <w:r>
              <w:rPr>
                <w:rFonts w:ascii="仿宋" w:hAnsi="仿宋" w:eastAsia="仿宋" w:cs="仿宋"/>
              </w:rPr>
              <w:t>)</w:t>
            </w:r>
          </w:p>
        </w:tc>
        <w:tc>
          <w:tcPr>
            <w:tcW w:w="1963" w:type="dxa"/>
            <w:vAlign w:val="center"/>
          </w:tcPr>
          <w:p>
            <w:pPr>
              <w:pStyle w:val="48"/>
              <w:spacing w:line="380" w:lineRule="exact"/>
              <w:jc w:val="center"/>
              <w:rPr>
                <w:rFonts w:ascii="仿宋" w:hAnsi="仿宋" w:eastAsia="仿宋"/>
                <w:color w:val="auto"/>
              </w:rPr>
            </w:pPr>
            <w:r>
              <w:rPr>
                <w:rFonts w:hint="eastAsia" w:ascii="仿宋" w:hAnsi="仿宋" w:eastAsia="仿宋" w:cs="仿宋"/>
                <w:color w:val="auto"/>
              </w:rPr>
              <w:t>验收结果</w:t>
            </w:r>
          </w:p>
        </w:tc>
        <w:tc>
          <w:tcPr>
            <w:tcW w:w="1251" w:type="dxa"/>
            <w:vAlign w:val="center"/>
          </w:tcPr>
          <w:p>
            <w:pPr>
              <w:pStyle w:val="48"/>
              <w:spacing w:line="380" w:lineRule="exact"/>
              <w:jc w:val="center"/>
              <w:rPr>
                <w:rFonts w:ascii="仿宋" w:hAnsi="仿宋" w:eastAsia="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r>
              <w:rPr>
                <w:rFonts w:hint="eastAsia" w:ascii="仿宋" w:hAnsi="仿宋" w:eastAsia="仿宋" w:cs="仿宋"/>
                <w:sz w:val="24"/>
                <w:szCs w:val="24"/>
              </w:rPr>
              <w:t>………</w:t>
            </w: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bl>
    <w:p>
      <w:pPr>
        <w:spacing w:line="380" w:lineRule="exact"/>
        <w:rPr>
          <w:rFonts w:ascii="仿宋" w:hAnsi="仿宋" w:eastAsia="仿宋"/>
        </w:rPr>
      </w:pPr>
      <w:r>
        <w:rPr>
          <w:rFonts w:hint="eastAsia" w:ascii="仿宋" w:hAnsi="仿宋" w:eastAsia="仿宋" w:cs="仿宋"/>
        </w:rPr>
        <w:t>此表可向下延伸。</w:t>
      </w:r>
    </w:p>
    <w:p>
      <w:pPr>
        <w:spacing w:line="380" w:lineRule="exact"/>
        <w:ind w:firstLine="240" w:firstLineChars="100"/>
        <w:rPr>
          <w:rFonts w:ascii="仿宋" w:hAnsi="仿宋" w:eastAsia="仿宋"/>
          <w:sz w:val="24"/>
          <w:szCs w:val="24"/>
        </w:rPr>
      </w:pPr>
      <w:r>
        <w:rPr>
          <w:rFonts w:hint="eastAsia" w:ascii="仿宋" w:hAnsi="仿宋" w:eastAsia="仿宋" w:cs="仿宋"/>
          <w:sz w:val="24"/>
          <w:szCs w:val="24"/>
        </w:rPr>
        <w:t>供应商法人授权代表签字：日期：年月日</w:t>
      </w:r>
    </w:p>
    <w:p>
      <w:pPr>
        <w:spacing w:line="380" w:lineRule="exact"/>
        <w:rPr>
          <w:rFonts w:ascii="仿宋" w:hAnsi="仿宋" w:eastAsia="仿宋"/>
        </w:rPr>
      </w:pPr>
    </w:p>
    <w:p>
      <w:pPr>
        <w:pStyle w:val="44"/>
        <w:spacing w:line="380" w:lineRule="exact"/>
        <w:jc w:val="center"/>
        <w:outlineLvl w:val="1"/>
        <w:rPr>
          <w:rFonts w:ascii="仿宋" w:hAnsi="仿宋" w:eastAsia="仿宋" w:cs="仿宋"/>
          <w:b/>
          <w:bCs/>
          <w:color w:val="auto"/>
          <w:sz w:val="30"/>
          <w:szCs w:val="30"/>
        </w:rPr>
      </w:pPr>
      <w:bookmarkStart w:id="427" w:name="_Toc19620"/>
      <w:bookmarkStart w:id="428" w:name="_Toc10744"/>
    </w:p>
    <w:p>
      <w:pPr>
        <w:pStyle w:val="44"/>
        <w:spacing w:line="380" w:lineRule="exact"/>
        <w:jc w:val="center"/>
        <w:outlineLvl w:val="1"/>
        <w:rPr>
          <w:rFonts w:ascii="仿宋" w:hAnsi="仿宋" w:eastAsia="仿宋"/>
          <w:color w:val="auto"/>
          <w:sz w:val="30"/>
          <w:szCs w:val="30"/>
        </w:rPr>
      </w:pPr>
      <w:bookmarkStart w:id="429" w:name="_Toc15550_WPSOffice_Level2"/>
      <w:r>
        <w:rPr>
          <w:rFonts w:hint="eastAsia" w:ascii="仿宋" w:hAnsi="仿宋" w:eastAsia="仿宋" w:cs="仿宋"/>
          <w:b/>
          <w:bCs/>
          <w:color w:val="auto"/>
          <w:sz w:val="30"/>
          <w:szCs w:val="30"/>
        </w:rPr>
        <w:t>（七）磋商二次（最终）报价表</w:t>
      </w:r>
      <w:bookmarkEnd w:id="427"/>
      <w:bookmarkEnd w:id="428"/>
      <w:bookmarkEnd w:id="429"/>
    </w:p>
    <w:p>
      <w:pPr>
        <w:pStyle w:val="44"/>
        <w:spacing w:line="380" w:lineRule="exact"/>
        <w:ind w:firstLine="240" w:firstLineChars="100"/>
        <w:rPr>
          <w:rFonts w:ascii="仿宋" w:hAnsi="仿宋" w:eastAsia="仿宋"/>
          <w:color w:val="auto"/>
        </w:rPr>
      </w:pPr>
      <w:r>
        <w:rPr>
          <w:rFonts w:hint="eastAsia" w:ascii="仿宋" w:hAnsi="仿宋" w:eastAsia="仿宋" w:cs="仿宋"/>
          <w:color w:val="auto"/>
        </w:rPr>
        <w:t>供应商名称</w:t>
      </w:r>
      <w:r>
        <w:rPr>
          <w:rFonts w:ascii="仿宋" w:hAnsi="仿宋" w:eastAsia="仿宋" w:cs="仿宋"/>
          <w:color w:val="auto"/>
        </w:rPr>
        <w:t>(</w:t>
      </w:r>
      <w:r>
        <w:rPr>
          <w:rFonts w:hint="eastAsia" w:ascii="仿宋" w:hAnsi="仿宋" w:eastAsia="仿宋" w:cs="仿宋"/>
          <w:color w:val="auto"/>
        </w:rPr>
        <w:t>公章</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BZBLSCS2023008-1</w:t>
      </w:r>
      <w:r>
        <w:rPr>
          <w:rFonts w:hint="eastAsia" w:ascii="仿宋" w:hAnsi="仿宋" w:eastAsia="仿宋" w:cs="仿宋"/>
        </w:rPr>
        <w:t>号</w:t>
      </w:r>
    </w:p>
    <w:tbl>
      <w:tblPr>
        <w:tblStyle w:val="21"/>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94"/>
        <w:gridCol w:w="1984"/>
        <w:gridCol w:w="2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4"/>
              <w:spacing w:line="380" w:lineRule="exact"/>
              <w:ind w:left="-181" w:leftChars="-342" w:right="-743" w:rightChars="-354" w:hanging="537" w:hangingChars="256"/>
              <w:jc w:val="center"/>
              <w:rPr>
                <w:rFonts w:ascii="仿宋" w:hAnsi="仿宋" w:eastAsia="仿宋"/>
                <w:color w:val="auto"/>
                <w:sz w:val="21"/>
                <w:szCs w:val="21"/>
              </w:rPr>
            </w:pPr>
            <w:r>
              <w:rPr>
                <w:rFonts w:hint="eastAsia" w:ascii="仿宋" w:hAnsi="仿宋" w:eastAsia="仿宋" w:cs="仿宋"/>
                <w:color w:val="auto"/>
                <w:sz w:val="21"/>
                <w:szCs w:val="21"/>
              </w:rPr>
              <w:t>序号</w:t>
            </w:r>
          </w:p>
        </w:tc>
        <w:tc>
          <w:tcPr>
            <w:tcW w:w="1994" w:type="dxa"/>
            <w:vAlign w:val="center"/>
          </w:tcPr>
          <w:p>
            <w:pPr>
              <w:pStyle w:val="44"/>
              <w:spacing w:line="380" w:lineRule="exact"/>
              <w:ind w:left="-223" w:leftChars="-422" w:right="-743" w:rightChars="-354" w:hanging="663" w:hangingChars="316"/>
              <w:jc w:val="center"/>
              <w:rPr>
                <w:rFonts w:ascii="仿宋" w:hAnsi="仿宋" w:eastAsia="仿宋"/>
                <w:color w:val="auto"/>
                <w:sz w:val="21"/>
                <w:szCs w:val="21"/>
              </w:rPr>
            </w:pPr>
            <w:r>
              <w:rPr>
                <w:rFonts w:hint="eastAsia" w:ascii="仿宋" w:hAnsi="仿宋" w:eastAsia="仿宋" w:cs="仿宋"/>
                <w:color w:val="auto"/>
                <w:sz w:val="21"/>
                <w:szCs w:val="21"/>
              </w:rPr>
              <w:t>服务项目名称</w:t>
            </w:r>
          </w:p>
        </w:tc>
        <w:tc>
          <w:tcPr>
            <w:tcW w:w="1984" w:type="dxa"/>
            <w:vAlign w:val="center"/>
          </w:tcPr>
          <w:p>
            <w:pPr>
              <w:pStyle w:val="44"/>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报价（万元）</w:t>
            </w:r>
          </w:p>
        </w:tc>
        <w:tc>
          <w:tcPr>
            <w:tcW w:w="2410" w:type="dxa"/>
            <w:vAlign w:val="center"/>
          </w:tcPr>
          <w:p>
            <w:pPr>
              <w:pStyle w:val="44"/>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完成日期</w:t>
            </w:r>
          </w:p>
        </w:tc>
        <w:tc>
          <w:tcPr>
            <w:tcW w:w="1280" w:type="dxa"/>
            <w:vAlign w:val="center"/>
          </w:tcPr>
          <w:p>
            <w:pPr>
              <w:pStyle w:val="44"/>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4"/>
              <w:spacing w:line="380" w:lineRule="exact"/>
              <w:ind w:left="-342" w:right="-354"/>
              <w:jc w:val="center"/>
              <w:rPr>
                <w:rFonts w:ascii="仿宋" w:hAnsi="仿宋" w:eastAsia="仿宋"/>
                <w:color w:val="auto"/>
                <w:sz w:val="21"/>
                <w:szCs w:val="21"/>
              </w:rPr>
            </w:pPr>
          </w:p>
        </w:tc>
        <w:tc>
          <w:tcPr>
            <w:tcW w:w="1994" w:type="dxa"/>
            <w:vAlign w:val="center"/>
          </w:tcPr>
          <w:p>
            <w:pPr>
              <w:pStyle w:val="44"/>
              <w:spacing w:line="380" w:lineRule="exact"/>
              <w:ind w:left="-342" w:right="-354"/>
              <w:jc w:val="center"/>
              <w:rPr>
                <w:rFonts w:ascii="仿宋" w:hAnsi="仿宋" w:eastAsia="仿宋"/>
                <w:color w:val="auto"/>
                <w:sz w:val="21"/>
                <w:szCs w:val="21"/>
              </w:rPr>
            </w:pPr>
          </w:p>
        </w:tc>
        <w:tc>
          <w:tcPr>
            <w:tcW w:w="1984" w:type="dxa"/>
            <w:vAlign w:val="center"/>
          </w:tcPr>
          <w:p>
            <w:pPr>
              <w:pStyle w:val="44"/>
              <w:spacing w:line="380" w:lineRule="exact"/>
              <w:ind w:left="-342" w:right="-354"/>
              <w:jc w:val="center"/>
              <w:rPr>
                <w:rFonts w:ascii="仿宋" w:hAnsi="仿宋" w:eastAsia="仿宋"/>
                <w:color w:val="auto"/>
                <w:sz w:val="21"/>
                <w:szCs w:val="21"/>
              </w:rPr>
            </w:pPr>
          </w:p>
        </w:tc>
        <w:tc>
          <w:tcPr>
            <w:tcW w:w="2410" w:type="dxa"/>
            <w:vAlign w:val="center"/>
          </w:tcPr>
          <w:p>
            <w:pPr>
              <w:pStyle w:val="44"/>
              <w:spacing w:line="380" w:lineRule="exact"/>
              <w:ind w:left="-342" w:right="-354"/>
              <w:jc w:val="center"/>
              <w:rPr>
                <w:rFonts w:ascii="仿宋" w:hAnsi="仿宋" w:eastAsia="仿宋"/>
                <w:color w:val="auto"/>
                <w:sz w:val="21"/>
                <w:szCs w:val="21"/>
              </w:rPr>
            </w:pPr>
          </w:p>
        </w:tc>
        <w:tc>
          <w:tcPr>
            <w:tcW w:w="1280" w:type="dxa"/>
            <w:vAlign w:val="center"/>
          </w:tcPr>
          <w:p>
            <w:pPr>
              <w:pStyle w:val="44"/>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4"/>
              <w:spacing w:line="380" w:lineRule="exact"/>
              <w:ind w:left="-342" w:right="-354"/>
              <w:jc w:val="center"/>
              <w:rPr>
                <w:rFonts w:ascii="仿宋" w:hAnsi="仿宋" w:eastAsia="仿宋"/>
                <w:color w:val="auto"/>
                <w:sz w:val="21"/>
                <w:szCs w:val="21"/>
              </w:rPr>
            </w:pPr>
          </w:p>
        </w:tc>
        <w:tc>
          <w:tcPr>
            <w:tcW w:w="1994" w:type="dxa"/>
            <w:vAlign w:val="center"/>
          </w:tcPr>
          <w:p>
            <w:pPr>
              <w:pStyle w:val="44"/>
              <w:spacing w:line="380" w:lineRule="exact"/>
              <w:ind w:left="-342" w:right="-354"/>
              <w:jc w:val="center"/>
              <w:rPr>
                <w:rFonts w:ascii="仿宋" w:hAnsi="仿宋" w:eastAsia="仿宋"/>
                <w:color w:val="auto"/>
                <w:sz w:val="21"/>
                <w:szCs w:val="21"/>
              </w:rPr>
            </w:pPr>
          </w:p>
        </w:tc>
        <w:tc>
          <w:tcPr>
            <w:tcW w:w="1984" w:type="dxa"/>
            <w:vAlign w:val="center"/>
          </w:tcPr>
          <w:p>
            <w:pPr>
              <w:pStyle w:val="44"/>
              <w:spacing w:line="380" w:lineRule="exact"/>
              <w:ind w:left="-342" w:right="-354"/>
              <w:jc w:val="center"/>
              <w:rPr>
                <w:rFonts w:ascii="仿宋" w:hAnsi="仿宋" w:eastAsia="仿宋"/>
                <w:color w:val="auto"/>
                <w:sz w:val="21"/>
                <w:szCs w:val="21"/>
              </w:rPr>
            </w:pPr>
          </w:p>
        </w:tc>
        <w:tc>
          <w:tcPr>
            <w:tcW w:w="2410" w:type="dxa"/>
            <w:vAlign w:val="center"/>
          </w:tcPr>
          <w:p>
            <w:pPr>
              <w:pStyle w:val="44"/>
              <w:spacing w:line="380" w:lineRule="exact"/>
              <w:ind w:left="-342" w:right="-354"/>
              <w:jc w:val="center"/>
              <w:rPr>
                <w:rFonts w:ascii="仿宋" w:hAnsi="仿宋" w:eastAsia="仿宋"/>
                <w:color w:val="auto"/>
                <w:sz w:val="21"/>
                <w:szCs w:val="21"/>
              </w:rPr>
            </w:pPr>
          </w:p>
        </w:tc>
        <w:tc>
          <w:tcPr>
            <w:tcW w:w="1280" w:type="dxa"/>
            <w:vAlign w:val="center"/>
          </w:tcPr>
          <w:p>
            <w:pPr>
              <w:pStyle w:val="44"/>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5"/>
            <w:vAlign w:val="center"/>
          </w:tcPr>
          <w:p>
            <w:pPr>
              <w:pStyle w:val="44"/>
              <w:spacing w:line="380" w:lineRule="exact"/>
              <w:ind w:left="-342" w:right="-354" w:firstLine="413" w:firstLineChars="197"/>
              <w:jc w:val="both"/>
              <w:rPr>
                <w:rFonts w:ascii="仿宋" w:hAnsi="仿宋" w:eastAsia="仿宋"/>
                <w:color w:val="auto"/>
                <w:sz w:val="21"/>
                <w:szCs w:val="21"/>
              </w:rPr>
            </w:pPr>
            <w:r>
              <w:rPr>
                <w:rFonts w:hint="eastAsia" w:ascii="仿宋" w:hAnsi="仿宋" w:eastAsia="仿宋" w:cs="仿宋"/>
                <w:color w:val="auto"/>
                <w:sz w:val="21"/>
                <w:szCs w:val="21"/>
              </w:rPr>
              <w:t>人民币大写：</w:t>
            </w:r>
          </w:p>
        </w:tc>
      </w:tr>
    </w:tbl>
    <w:p>
      <w:pPr>
        <w:pStyle w:val="44"/>
        <w:spacing w:line="380" w:lineRule="exact"/>
        <w:ind w:firstLine="240" w:firstLineChars="100"/>
        <w:rPr>
          <w:rFonts w:ascii="仿宋" w:hAnsi="仿宋" w:eastAsia="仿宋"/>
          <w:color w:val="auto"/>
        </w:rPr>
      </w:pPr>
      <w:r>
        <w:rPr>
          <w:rFonts w:hint="eastAsia" w:ascii="仿宋" w:hAnsi="仿宋" w:eastAsia="仿宋" w:cs="仿宋"/>
          <w:color w:val="auto"/>
        </w:rPr>
        <w:t>供应商法人授权代表签字：日期：年月日</w:t>
      </w:r>
    </w:p>
    <w:p>
      <w:pPr>
        <w:pStyle w:val="44"/>
        <w:spacing w:line="380" w:lineRule="exact"/>
        <w:rPr>
          <w:rFonts w:ascii="仿宋" w:hAnsi="仿宋" w:eastAsia="仿宋"/>
          <w:color w:val="auto"/>
        </w:rPr>
      </w:pPr>
      <w:r>
        <w:rPr>
          <w:rFonts w:hint="eastAsia" w:ascii="仿宋" w:hAnsi="仿宋" w:eastAsia="仿宋" w:cs="仿宋"/>
          <w:b/>
          <w:bCs/>
          <w:color w:val="auto"/>
        </w:rPr>
        <w:t>《磋商最终报价表》由供应商在现场答疑和磋商后，根据实际情况在线提交，印章、内容不全视为无效报价。</w:t>
      </w:r>
    </w:p>
    <w:p>
      <w:pPr>
        <w:rPr>
          <w:rFonts w:ascii="仿宋" w:hAnsi="仿宋" w:eastAsia="仿宋"/>
          <w:sz w:val="24"/>
          <w:szCs w:val="24"/>
        </w:rPr>
      </w:pPr>
    </w:p>
    <w:p>
      <w:pPr>
        <w:jc w:val="center"/>
        <w:outlineLvl w:val="1"/>
        <w:rPr>
          <w:rFonts w:ascii="仿宋" w:hAnsi="仿宋" w:eastAsia="仿宋"/>
          <w:b/>
          <w:bCs/>
          <w:sz w:val="32"/>
          <w:szCs w:val="32"/>
        </w:rPr>
      </w:pPr>
      <w:bookmarkStart w:id="430" w:name="_Toc19936"/>
      <w:bookmarkStart w:id="431" w:name="_Toc9402"/>
      <w:bookmarkStart w:id="432" w:name="_Toc11461"/>
      <w:bookmarkStart w:id="433" w:name="_Toc2137"/>
      <w:bookmarkStart w:id="434" w:name="_Toc13662"/>
      <w:bookmarkStart w:id="435" w:name="_Toc10609"/>
      <w:bookmarkStart w:id="436" w:name="_Toc31777"/>
      <w:bookmarkStart w:id="437" w:name="_Toc20169"/>
      <w:bookmarkStart w:id="438" w:name="_Toc2247"/>
      <w:bookmarkStart w:id="439" w:name="_Toc23818"/>
      <w:bookmarkStart w:id="440" w:name="_Toc8999"/>
      <w:bookmarkStart w:id="441" w:name="_Toc26380"/>
      <w:bookmarkStart w:id="442" w:name="_Toc3904"/>
      <w:bookmarkStart w:id="443" w:name="_Toc20774"/>
      <w:bookmarkStart w:id="444" w:name="_Toc15508_WPSOffice_Level2"/>
      <w:bookmarkStart w:id="445" w:name="_Toc14447"/>
      <w:bookmarkStart w:id="446" w:name="_Toc17997_WPSOffice_Level2"/>
      <w:bookmarkStart w:id="447" w:name="_Toc4278"/>
      <w:bookmarkStart w:id="448" w:name="_Toc29886"/>
      <w:bookmarkStart w:id="449" w:name="_Toc15734"/>
      <w:bookmarkStart w:id="450" w:name="_Toc26936"/>
      <w:bookmarkStart w:id="451" w:name="_Toc28501"/>
      <w:bookmarkStart w:id="452" w:name="_Toc12903"/>
      <w:bookmarkStart w:id="453" w:name="_Toc11892"/>
      <w:bookmarkStart w:id="454" w:name="_Toc21231"/>
      <w:bookmarkStart w:id="455" w:name="_Toc28283"/>
      <w:bookmarkStart w:id="456" w:name="_Toc23957"/>
      <w:bookmarkStart w:id="457" w:name="_Toc18637"/>
      <w:bookmarkStart w:id="458" w:name="_Toc22447"/>
      <w:bookmarkStart w:id="459" w:name="_Toc18512"/>
      <w:bookmarkStart w:id="460" w:name="_Toc21568"/>
      <w:bookmarkStart w:id="461" w:name="_Toc27048"/>
      <w:bookmarkStart w:id="462" w:name="_Toc7421"/>
      <w:r>
        <w:rPr>
          <w:rFonts w:hint="eastAsia" w:ascii="仿宋" w:hAnsi="仿宋" w:eastAsia="仿宋" w:cs="仿宋"/>
          <w:b/>
          <w:bCs/>
          <w:sz w:val="32"/>
          <w:szCs w:val="32"/>
        </w:rPr>
        <w:t>（八）</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仿宋" w:hAnsi="仿宋" w:eastAsia="仿宋" w:cs="仿宋"/>
          <w:b/>
          <w:bCs/>
          <w:sz w:val="32"/>
          <w:szCs w:val="32"/>
        </w:rPr>
        <w:t>履约声明函</w:t>
      </w:r>
      <w:bookmarkEnd w:id="445"/>
      <w:bookmarkEnd w:id="446"/>
    </w:p>
    <w:p>
      <w:pPr>
        <w:rPr>
          <w:rFonts w:ascii="仿宋" w:hAnsi="仿宋" w:eastAsia="仿宋"/>
          <w:sz w:val="24"/>
          <w:szCs w:val="24"/>
        </w:rPr>
      </w:pPr>
      <w:r>
        <w:rPr>
          <w:rFonts w:hint="eastAsia" w:ascii="仿宋" w:hAnsi="仿宋" w:eastAsia="仿宋" w:cs="仿宋"/>
          <w:sz w:val="24"/>
          <w:szCs w:val="24"/>
        </w:rPr>
        <w:t>博乐市政府采购中心：</w:t>
      </w:r>
    </w:p>
    <w:p>
      <w:pPr>
        <w:ind w:firstLine="480" w:firstLineChars="200"/>
        <w:rPr>
          <w:rFonts w:ascii="仿宋" w:hAnsi="仿宋" w:eastAsia="仿宋"/>
          <w:sz w:val="24"/>
          <w:szCs w:val="24"/>
        </w:rPr>
      </w:pPr>
      <w:r>
        <w:rPr>
          <w:rFonts w:hint="eastAsia" w:ascii="仿宋" w:hAnsi="仿宋" w:eastAsia="仿宋" w:cs="仿宋"/>
          <w:sz w:val="24"/>
          <w:szCs w:val="24"/>
        </w:rPr>
        <w:t>我公司自愿参与</w:t>
      </w:r>
      <w:r>
        <w:rPr>
          <w:rFonts w:hint="eastAsia" w:ascii="仿宋" w:hAnsi="仿宋" w:eastAsia="仿宋" w:cs="仿宋"/>
          <w:sz w:val="24"/>
          <w:szCs w:val="24"/>
          <w:u w:val="single"/>
        </w:rPr>
        <w:t>博乐市</w:t>
      </w:r>
      <w:r>
        <w:rPr>
          <w:rFonts w:hint="eastAsia" w:ascii="仿宋" w:hAnsi="仿宋" w:eastAsia="仿宋" w:cs="仿宋"/>
          <w:sz w:val="24"/>
          <w:szCs w:val="24"/>
        </w:rPr>
        <w:t>项目（</w:t>
      </w:r>
      <w:r>
        <w:rPr>
          <w:rFonts w:hint="eastAsia" w:ascii="仿宋" w:hAnsi="仿宋" w:eastAsia="仿宋" w:cs="仿宋"/>
          <w:sz w:val="24"/>
          <w:szCs w:val="24"/>
          <w:u w:val="single"/>
        </w:rPr>
        <w:t>文件编号：</w:t>
      </w:r>
      <w:r>
        <w:rPr>
          <w:rFonts w:hint="eastAsia" w:ascii="仿宋" w:hAnsi="仿宋" w:eastAsia="仿宋" w:cs="仿宋"/>
          <w:sz w:val="24"/>
          <w:szCs w:val="24"/>
          <w:u w:val="single"/>
          <w:lang w:eastAsia="zh-CN"/>
        </w:rPr>
        <w:t>BZBLSCS2023008-1</w:t>
      </w:r>
      <w:r>
        <w:rPr>
          <w:rFonts w:hint="eastAsia" w:ascii="仿宋" w:hAnsi="仿宋" w:eastAsia="仿宋" w:cs="仿宋"/>
          <w:sz w:val="24"/>
          <w:szCs w:val="24"/>
          <w:u w:val="single"/>
        </w:rPr>
        <w:t>号）</w:t>
      </w:r>
      <w:r>
        <w:rPr>
          <w:rFonts w:hint="eastAsia" w:ascii="仿宋" w:hAnsi="仿宋" w:eastAsia="仿宋" w:cs="仿宋"/>
          <w:sz w:val="24"/>
          <w:szCs w:val="24"/>
        </w:rPr>
        <w:t>的政府采购活动，我公司郑重声明：我方具有履行该项目合同的设备和专业技术能力</w:t>
      </w:r>
      <w:r>
        <w:rPr>
          <w:rFonts w:ascii="仿宋" w:hAnsi="仿宋" w:eastAsia="仿宋" w:cs="仿宋"/>
          <w:sz w:val="24"/>
          <w:szCs w:val="24"/>
        </w:rPr>
        <w:t>,</w:t>
      </w:r>
      <w:r>
        <w:rPr>
          <w:rFonts w:hint="eastAsia" w:ascii="仿宋" w:hAnsi="仿宋" w:eastAsia="仿宋" w:cs="仿宋"/>
          <w:sz w:val="24"/>
          <w:szCs w:val="24"/>
        </w:rPr>
        <w:t>胜任本项目的服务工作。如本声明失实</w:t>
      </w:r>
      <w:r>
        <w:rPr>
          <w:rFonts w:ascii="仿宋" w:hAnsi="仿宋" w:eastAsia="仿宋" w:cs="仿宋"/>
          <w:sz w:val="24"/>
          <w:szCs w:val="24"/>
        </w:rPr>
        <w:t>,</w:t>
      </w:r>
      <w:r>
        <w:rPr>
          <w:rFonts w:hint="eastAsia" w:ascii="仿宋" w:hAnsi="仿宋" w:eastAsia="仿宋" w:cs="仿宋"/>
          <w:sz w:val="24"/>
          <w:szCs w:val="24"/>
        </w:rPr>
        <w:t>我方自愿承担被取消项目成交资格等责任。</w:t>
      </w:r>
    </w:p>
    <w:p>
      <w:pPr>
        <w:ind w:firstLine="480" w:firstLineChars="200"/>
        <w:rPr>
          <w:rFonts w:ascii="仿宋" w:hAnsi="仿宋" w:eastAsia="仿宋" w:cs="仿宋"/>
          <w:sz w:val="24"/>
          <w:szCs w:val="24"/>
          <w:u w:val="single"/>
        </w:rPr>
      </w:pPr>
      <w:r>
        <w:rPr>
          <w:rFonts w:hint="eastAsia" w:ascii="仿宋" w:hAnsi="仿宋" w:eastAsia="仿宋" w:cs="仿宋"/>
          <w:sz w:val="24"/>
          <w:szCs w:val="24"/>
        </w:rPr>
        <w:t>主要设备有：</w:t>
      </w:r>
    </w:p>
    <w:p>
      <w:pPr>
        <w:ind w:firstLine="480" w:firstLineChars="200"/>
        <w:rPr>
          <w:u w:val="single"/>
        </w:rPr>
      </w:pPr>
      <w:r>
        <w:rPr>
          <w:rFonts w:hint="eastAsia" w:ascii="仿宋" w:hAnsi="仿宋" w:eastAsia="仿宋" w:cs="仿宋"/>
          <w:sz w:val="24"/>
          <w:szCs w:val="24"/>
        </w:rPr>
        <w:t>主要专业技术能力有：</w:t>
      </w:r>
    </w:p>
    <w:p/>
    <w:p>
      <w:pPr>
        <w:ind w:firstLine="480" w:firstLineChars="200"/>
        <w:rPr>
          <w:rFonts w:ascii="仿宋" w:hAnsi="仿宋" w:eastAsia="仿宋"/>
          <w:sz w:val="24"/>
          <w:szCs w:val="24"/>
        </w:rPr>
      </w:pPr>
      <w:r>
        <w:rPr>
          <w:rFonts w:hint="eastAsia" w:ascii="仿宋" w:hAnsi="仿宋" w:eastAsia="仿宋" w:cs="仿宋"/>
          <w:sz w:val="24"/>
          <w:szCs w:val="24"/>
        </w:rPr>
        <w:t>特此声明</w:t>
      </w:r>
    </w:p>
    <w:p>
      <w:pPr>
        <w:ind w:firstLine="3614" w:firstLineChars="1500"/>
        <w:rPr>
          <w:rFonts w:ascii="仿宋" w:hAnsi="仿宋" w:eastAsia="仿宋" w:cs="仿宋"/>
          <w:b/>
          <w:bCs/>
          <w:sz w:val="24"/>
          <w:szCs w:val="24"/>
        </w:rPr>
      </w:pPr>
      <w:r>
        <w:rPr>
          <w:rFonts w:hint="eastAsia" w:ascii="仿宋" w:hAnsi="仿宋" w:eastAsia="仿宋" w:cs="仿宋"/>
          <w:b/>
          <w:bCs/>
          <w:sz w:val="24"/>
          <w:szCs w:val="24"/>
        </w:rPr>
        <w:t>供应商名称</w:t>
      </w:r>
      <w:r>
        <w:rPr>
          <w:rFonts w:ascii="仿宋" w:hAnsi="仿宋" w:eastAsia="仿宋" w:cs="仿宋"/>
          <w:b/>
          <w:bCs/>
          <w:sz w:val="24"/>
          <w:szCs w:val="24"/>
        </w:rPr>
        <w:t>:(</w:t>
      </w:r>
      <w:r>
        <w:rPr>
          <w:rFonts w:hint="eastAsia" w:ascii="仿宋" w:hAnsi="仿宋" w:eastAsia="仿宋" w:cs="仿宋"/>
          <w:b/>
          <w:bCs/>
          <w:sz w:val="24"/>
          <w:szCs w:val="24"/>
        </w:rPr>
        <w:t>盖章</w:t>
      </w:r>
      <w:r>
        <w:rPr>
          <w:rFonts w:ascii="仿宋" w:hAnsi="仿宋" w:eastAsia="仿宋" w:cs="仿宋"/>
          <w:b/>
          <w:bCs/>
          <w:sz w:val="24"/>
          <w:szCs w:val="24"/>
        </w:rPr>
        <w:t>)</w:t>
      </w:r>
    </w:p>
    <w:p>
      <w:pPr>
        <w:ind w:firstLine="4096" w:firstLineChars="1700"/>
        <w:rPr>
          <w:rFonts w:ascii="仿宋" w:hAnsi="仿宋" w:eastAsia="仿宋"/>
          <w:b/>
          <w:bCs/>
          <w:sz w:val="24"/>
          <w:szCs w:val="24"/>
        </w:rPr>
      </w:pPr>
      <w:r>
        <w:rPr>
          <w:rFonts w:hint="eastAsia" w:ascii="仿宋" w:hAnsi="仿宋" w:eastAsia="仿宋" w:cs="仿宋"/>
          <w:b/>
          <w:bCs/>
          <w:sz w:val="24"/>
          <w:szCs w:val="24"/>
        </w:rPr>
        <w:t>法人代表或授权委托人</w:t>
      </w:r>
      <w:r>
        <w:rPr>
          <w:rFonts w:ascii="仿宋" w:hAnsi="仿宋" w:eastAsia="仿宋" w:cs="仿宋"/>
          <w:b/>
          <w:bCs/>
          <w:sz w:val="24"/>
          <w:szCs w:val="24"/>
        </w:rPr>
        <w:t>:(</w:t>
      </w:r>
      <w:r>
        <w:rPr>
          <w:rFonts w:hint="eastAsia" w:ascii="仿宋" w:hAnsi="仿宋" w:eastAsia="仿宋" w:cs="仿宋"/>
          <w:b/>
          <w:bCs/>
          <w:sz w:val="24"/>
          <w:szCs w:val="24"/>
        </w:rPr>
        <w:t>签字）</w:t>
      </w:r>
    </w:p>
    <w:p>
      <w:pPr>
        <w:ind w:firstLine="6505" w:firstLineChars="2700"/>
        <w:rPr>
          <w:rFonts w:ascii="仿宋" w:hAnsi="仿宋" w:eastAsia="仿宋"/>
          <w:b/>
          <w:bCs/>
          <w:sz w:val="24"/>
          <w:szCs w:val="24"/>
        </w:rPr>
      </w:pPr>
    </w:p>
    <w:p>
      <w:pPr>
        <w:jc w:val="center"/>
      </w:pPr>
      <w:r>
        <w:rPr>
          <w:rFonts w:hint="eastAsia" w:ascii="仿宋" w:hAnsi="仿宋" w:eastAsia="仿宋" w:cs="仿宋"/>
          <w:b/>
          <w:bCs/>
          <w:sz w:val="24"/>
          <w:szCs w:val="24"/>
        </w:rPr>
        <w:t>年月日</w:t>
      </w:r>
    </w:p>
    <w:p>
      <w:pPr>
        <w:pStyle w:val="5"/>
        <w:numPr>
          <w:ilvl w:val="3"/>
          <w:numId w:val="0"/>
        </w:numPr>
        <w:rPr>
          <w:rFonts w:cs="Times New Roman"/>
        </w:rPr>
      </w:pPr>
    </w:p>
    <w:p>
      <w:pPr>
        <w:jc w:val="center"/>
        <w:outlineLvl w:val="1"/>
        <w:rPr>
          <w:rFonts w:ascii="仿宋" w:hAnsi="仿宋" w:eastAsia="仿宋"/>
          <w:b/>
          <w:bCs/>
          <w:sz w:val="32"/>
          <w:szCs w:val="32"/>
        </w:rPr>
      </w:pPr>
      <w:bookmarkStart w:id="463" w:name="_Toc18874_WPSOffice_Level2"/>
      <w:bookmarkStart w:id="464" w:name="_Toc27355"/>
      <w:r>
        <w:rPr>
          <w:rFonts w:hint="eastAsia" w:ascii="仿宋" w:hAnsi="仿宋" w:eastAsia="仿宋" w:cs="仿宋"/>
          <w:b/>
          <w:bCs/>
          <w:kern w:val="0"/>
          <w:sz w:val="32"/>
          <w:szCs w:val="32"/>
        </w:rPr>
        <w:t>（九）</w:t>
      </w:r>
      <w:r>
        <w:rPr>
          <w:rFonts w:hint="eastAsia" w:ascii="仿宋" w:hAnsi="仿宋" w:eastAsia="仿宋" w:cs="仿宋"/>
          <w:b/>
          <w:bCs/>
          <w:sz w:val="32"/>
          <w:szCs w:val="32"/>
        </w:rPr>
        <w:t>无重大违法记录声明函</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rPr>
          <w:rFonts w:ascii="仿宋" w:hAnsi="仿宋" w:eastAsia="仿宋"/>
          <w:sz w:val="24"/>
          <w:szCs w:val="24"/>
        </w:rPr>
      </w:pPr>
      <w:r>
        <w:rPr>
          <w:rFonts w:hint="eastAsia" w:ascii="仿宋" w:hAnsi="仿宋" w:eastAsia="仿宋" w:cs="仿宋"/>
          <w:sz w:val="24"/>
          <w:szCs w:val="24"/>
        </w:rPr>
        <w:t>博乐市政府采购中心：</w:t>
      </w:r>
    </w:p>
    <w:p>
      <w:pPr>
        <w:rPr>
          <w:rFonts w:ascii="仿宋" w:hAnsi="仿宋" w:eastAsia="仿宋"/>
          <w:sz w:val="24"/>
          <w:szCs w:val="24"/>
        </w:rPr>
      </w:pPr>
      <w:r>
        <w:rPr>
          <w:rFonts w:hint="eastAsia" w:ascii="仿宋" w:hAnsi="仿宋" w:eastAsia="仿宋" w:cs="仿宋"/>
          <w:sz w:val="24"/>
          <w:szCs w:val="24"/>
        </w:rPr>
        <w:t>我公司参与磋商文件编号为项目的政府采购磋商活动，我公司郑重声明：我公司参加本次政府采购磋商活动前三年内，在经营活动中无重大违法记录（</w:t>
      </w:r>
      <w:r>
        <w:rPr>
          <w:rFonts w:hint="eastAsia" w:ascii="仿宋" w:hAnsi="仿宋" w:eastAsia="仿宋" w:cs="仿宋"/>
          <w:b/>
          <w:bCs/>
          <w:sz w:val="24"/>
          <w:szCs w:val="24"/>
        </w:rPr>
        <w:t>重大违法记录是指供应商因违法经营受到刑事处罚或者责令停产停业、吊销许可证或者营业执照、</w:t>
      </w:r>
      <w:r>
        <w:rPr>
          <w:rFonts w:ascii="仿宋" w:hAnsi="仿宋" w:eastAsia="仿宋" w:cs="仿宋"/>
          <w:b/>
          <w:bCs/>
          <w:sz w:val="24"/>
          <w:szCs w:val="24"/>
        </w:rPr>
        <w:t>2</w:t>
      </w:r>
      <w:r>
        <w:rPr>
          <w:rFonts w:hint="eastAsia" w:ascii="仿宋" w:hAnsi="仿宋" w:eastAsia="仿宋" w:cs="仿宋"/>
          <w:b/>
          <w:bCs/>
          <w:sz w:val="24"/>
          <w:szCs w:val="24"/>
        </w:rPr>
        <w:t>00万元以上的罚款等行政处罚</w:t>
      </w:r>
      <w:r>
        <w:rPr>
          <w:rFonts w:hint="eastAsia" w:ascii="仿宋" w:hAnsi="仿宋" w:eastAsia="仿宋" w:cs="仿宋"/>
          <w:sz w:val="24"/>
          <w:szCs w:val="24"/>
        </w:rPr>
        <w:t>），具备《中华人民共和国政府采购法》和《中华人民共和国政府采购法实施条例》中规定的投标供应商资格条件。我公司对此声明负全部法律责任。</w:t>
      </w:r>
    </w:p>
    <w:p>
      <w:pPr>
        <w:rPr>
          <w:rFonts w:ascii="仿宋" w:hAnsi="仿宋" w:eastAsia="仿宋"/>
          <w:sz w:val="24"/>
          <w:szCs w:val="24"/>
        </w:rPr>
      </w:pPr>
      <w:r>
        <w:rPr>
          <w:rFonts w:hint="eastAsia" w:ascii="仿宋" w:hAnsi="仿宋" w:eastAsia="仿宋" w:cs="仿宋"/>
          <w:sz w:val="24"/>
          <w:szCs w:val="24"/>
        </w:rPr>
        <w:t>特此声明。</w:t>
      </w:r>
    </w:p>
    <w:p>
      <w:pPr>
        <w:rPr>
          <w:rFonts w:ascii="仿宋" w:hAnsi="仿宋" w:eastAsia="仿宋"/>
          <w:sz w:val="24"/>
          <w:szCs w:val="24"/>
        </w:rPr>
      </w:pPr>
      <w:r>
        <w:rPr>
          <w:rFonts w:hint="eastAsia" w:ascii="仿宋" w:hAnsi="仿宋" w:eastAsia="仿宋" w:cs="仿宋"/>
          <w:sz w:val="24"/>
          <w:szCs w:val="24"/>
        </w:rPr>
        <w:t>承诺单位：公司（公章）</w:t>
      </w:r>
    </w:p>
    <w:p>
      <w:pPr>
        <w:rPr>
          <w:rFonts w:ascii="仿宋" w:hAnsi="仿宋" w:eastAsia="仿宋"/>
          <w:sz w:val="24"/>
          <w:szCs w:val="24"/>
        </w:rPr>
      </w:pPr>
      <w:r>
        <w:rPr>
          <w:rFonts w:hint="eastAsia" w:ascii="仿宋" w:hAnsi="仿宋" w:eastAsia="仿宋" w:cs="仿宋"/>
          <w:sz w:val="24"/>
          <w:szCs w:val="24"/>
        </w:rPr>
        <w:t>法人代表：（签字）</w:t>
      </w:r>
    </w:p>
    <w:p>
      <w:pPr>
        <w:rPr>
          <w:rFonts w:ascii="仿宋" w:hAnsi="仿宋" w:eastAsia="仿宋"/>
          <w:sz w:val="24"/>
          <w:szCs w:val="24"/>
        </w:rPr>
      </w:pPr>
      <w:r>
        <w:rPr>
          <w:rFonts w:hint="eastAsia" w:ascii="仿宋" w:hAnsi="仿宋" w:eastAsia="仿宋" w:cs="仿宋"/>
          <w:sz w:val="24"/>
          <w:szCs w:val="24"/>
        </w:rPr>
        <w:t>法人代表身份证号：</w:t>
      </w:r>
    </w:p>
    <w:p>
      <w:pPr>
        <w:rPr>
          <w:rFonts w:ascii="宋体"/>
          <w:b/>
          <w:bCs/>
          <w:sz w:val="32"/>
          <w:szCs w:val="32"/>
        </w:rPr>
      </w:pPr>
      <w:r>
        <w:rPr>
          <w:rFonts w:hint="eastAsia" w:ascii="仿宋" w:hAnsi="仿宋" w:eastAsia="仿宋" w:cs="仿宋"/>
          <w:sz w:val="24"/>
          <w:szCs w:val="24"/>
        </w:rPr>
        <w:t>年月日</w:t>
      </w:r>
    </w:p>
    <w:p>
      <w:pPr>
        <w:widowControl/>
        <w:spacing w:beforeAutospacing="1" w:afterAutospacing="1" w:line="435" w:lineRule="atLeast"/>
        <w:jc w:val="center"/>
        <w:outlineLvl w:val="1"/>
        <w:rPr>
          <w:rFonts w:ascii="仿宋" w:hAnsi="仿宋" w:eastAsia="仿宋" w:cs="仿宋"/>
          <w:b/>
          <w:bCs/>
          <w:sz w:val="32"/>
          <w:szCs w:val="32"/>
        </w:rPr>
      </w:pPr>
      <w:bookmarkStart w:id="465" w:name="_Toc31773"/>
      <w:bookmarkStart w:id="466" w:name="_Toc1557"/>
      <w:bookmarkStart w:id="467" w:name="_Toc15917"/>
      <w:bookmarkStart w:id="468" w:name="_Toc13904"/>
      <w:bookmarkStart w:id="469" w:name="_Toc28900"/>
      <w:bookmarkStart w:id="470" w:name="_Toc32461"/>
      <w:bookmarkStart w:id="471" w:name="_Toc12717"/>
      <w:bookmarkStart w:id="472" w:name="_Toc13261"/>
      <w:bookmarkStart w:id="473" w:name="_Toc11837"/>
      <w:bookmarkStart w:id="474" w:name="_Toc14359"/>
      <w:bookmarkStart w:id="475" w:name="_Toc10047"/>
      <w:bookmarkStart w:id="476" w:name="_Toc8915"/>
      <w:bookmarkStart w:id="477" w:name="_Toc10424"/>
      <w:bookmarkStart w:id="478" w:name="_Toc1576"/>
      <w:bookmarkStart w:id="479" w:name="_Toc9658"/>
      <w:bookmarkStart w:id="480" w:name="_Toc3150"/>
      <w:bookmarkStart w:id="481" w:name="_Toc10015_WPSOffice_Level2"/>
      <w:bookmarkStart w:id="482" w:name="_Toc23459"/>
    </w:p>
    <w:p>
      <w:pPr>
        <w:widowControl/>
        <w:spacing w:beforeAutospacing="1" w:afterAutospacing="1" w:line="435" w:lineRule="atLeast"/>
        <w:jc w:val="center"/>
        <w:outlineLvl w:val="1"/>
      </w:pPr>
      <w:bookmarkStart w:id="483" w:name="_Toc15513_WPSOffice_Level2"/>
      <w:r>
        <w:rPr>
          <w:rFonts w:hint="eastAsia" w:ascii="仿宋" w:hAnsi="仿宋" w:eastAsia="仿宋" w:cs="仿宋"/>
          <w:b/>
          <w:bCs/>
          <w:sz w:val="32"/>
          <w:szCs w:val="32"/>
        </w:rPr>
        <w:t>（十）</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Style w:val="24"/>
          <w:rFonts w:hint="eastAsia" w:ascii="仿宋" w:hAnsi="仿宋" w:eastAsia="仿宋" w:cs="仿宋"/>
          <w:color w:val="333333"/>
          <w:kern w:val="0"/>
          <w:sz w:val="32"/>
          <w:szCs w:val="32"/>
          <w:shd w:val="clear" w:color="auto" w:fill="FFFFFF"/>
        </w:rPr>
        <w:t>中小企业声明函（服务）</w:t>
      </w:r>
      <w:bookmarkEnd w:id="482"/>
      <w:bookmarkEnd w:id="483"/>
    </w:p>
    <w:p>
      <w:pPr>
        <w:ind w:firstLine="720" w:firstLineChars="300"/>
        <w:rPr>
          <w:rFonts w:ascii="仿宋" w:hAnsi="仿宋" w:eastAsia="仿宋"/>
          <w:sz w:val="24"/>
          <w:szCs w:val="24"/>
        </w:rPr>
      </w:pPr>
      <w:r>
        <w:rPr>
          <w:rFonts w:hint="eastAsia" w:ascii="仿宋" w:hAnsi="仿宋" w:eastAsia="仿宋" w:cs="仿宋"/>
          <w:sz w:val="24"/>
          <w:szCs w:val="24"/>
        </w:rPr>
        <w:t>本公司郑重声明，根据《政府采购促进中小企业发展管理办法》（财库﹝</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46</w:t>
      </w:r>
      <w:r>
        <w:rPr>
          <w:rFonts w:hint="eastAsia" w:ascii="仿宋" w:hAnsi="仿宋" w:eastAsia="仿宋" w:cs="仿宋"/>
          <w:sz w:val="24"/>
          <w:szCs w:val="24"/>
        </w:rPr>
        <w:t>号）的规定，本公司参加</w:t>
      </w:r>
      <w:r>
        <w:rPr>
          <w:rFonts w:ascii="仿宋" w:hAnsi="仿宋" w:eastAsia="仿宋"/>
          <w:sz w:val="24"/>
          <w:szCs w:val="24"/>
          <w:u w:val="single"/>
        </w:rPr>
        <w:t>    </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采购活动，服务的单位全部为符合政策要求的中小企业。相关企业（含联合体中的中小企业、签订分包意向协议的中小企业）的具体情况如下：</w:t>
      </w:r>
    </w:p>
    <w:p>
      <w:pPr>
        <w:ind w:firstLine="480" w:firstLineChars="200"/>
        <w:rPr>
          <w:rFonts w:ascii="仿宋" w:hAnsi="仿宋" w:eastAsia="仿宋"/>
          <w:sz w:val="24"/>
          <w:szCs w:val="24"/>
        </w:rPr>
      </w:pPr>
      <w:r>
        <w:rPr>
          <w:rFonts w:ascii="仿宋" w:hAnsi="仿宋" w:eastAsia="仿宋" w:cs="仿宋"/>
          <w:sz w:val="24"/>
          <w:szCs w:val="24"/>
        </w:rPr>
        <w:t>1.   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sz w:val="24"/>
          <w:szCs w:val="24"/>
          <w:u w:val="single"/>
        </w:rPr>
        <w:t>行业</w:t>
      </w:r>
      <w:r>
        <w:rPr>
          <w:rFonts w:hint="eastAsia" w:ascii="仿宋" w:hAnsi="仿宋" w:eastAsia="仿宋" w:cs="仿宋"/>
          <w:sz w:val="24"/>
          <w:szCs w:val="24"/>
        </w:rPr>
        <w:t>；承建（承接）企业为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hint="eastAsia" w:ascii="仿宋" w:hAnsi="仿宋" w:eastAsia="仿宋" w:cs="仿宋"/>
          <w:sz w:val="24"/>
          <w:szCs w:val="24"/>
        </w:rPr>
        <w:t>人，营业收入为万元，资产总额为万元，属于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ind w:firstLine="480" w:firstLineChars="200"/>
        <w:rPr>
          <w:rFonts w:ascii="仿宋" w:hAnsi="仿宋" w:eastAsia="仿宋"/>
          <w:sz w:val="24"/>
          <w:szCs w:val="24"/>
        </w:rPr>
      </w:pPr>
      <w:r>
        <w:rPr>
          <w:rFonts w:ascii="仿宋" w:hAnsi="仿宋" w:eastAsia="仿宋" w:cs="仿宋"/>
          <w:sz w:val="24"/>
          <w:szCs w:val="24"/>
        </w:rPr>
        <w:t>2. </w:t>
      </w:r>
      <w:r>
        <w:rPr>
          <w:rFonts w:ascii="仿宋" w:hAnsi="仿宋" w:eastAsia="仿宋"/>
          <w:sz w:val="24"/>
          <w:szCs w:val="24"/>
          <w:u w:val="single"/>
        </w:rPr>
        <w:t>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人，营业收入为</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万元，资产总额为</w:t>
      </w:r>
      <w:r>
        <w:rPr>
          <w:rFonts w:ascii="仿宋" w:hAnsi="仿宋" w:eastAsia="仿宋"/>
          <w:sz w:val="24"/>
          <w:szCs w:val="24"/>
          <w:u w:val="single"/>
        </w:rPr>
        <w:t>   </w:t>
      </w:r>
      <w:r>
        <w:rPr>
          <w:rFonts w:hint="eastAsia" w:ascii="仿宋" w:hAnsi="仿宋" w:eastAsia="仿宋" w:cs="仿宋"/>
          <w:sz w:val="24"/>
          <w:szCs w:val="24"/>
        </w:rPr>
        <w:t>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rPr>
          <w:rFonts w:ascii="仿宋" w:hAnsi="仿宋" w:eastAsia="仿宋"/>
          <w:sz w:val="24"/>
          <w:szCs w:val="24"/>
        </w:rPr>
      </w:pPr>
      <w:r>
        <w:rPr>
          <w:rFonts w:hint="eastAsia" w:ascii="仿宋" w:hAnsi="仿宋" w:eastAsia="仿宋" w:cs="仿宋"/>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ind w:firstLine="480" w:firstLineChars="200"/>
      </w:pPr>
      <w:r>
        <w:rPr>
          <w:rFonts w:hint="eastAsia" w:ascii="仿宋" w:hAnsi="仿宋" w:eastAsia="仿宋" w:cs="仿宋"/>
          <w:sz w:val="24"/>
          <w:szCs w:val="24"/>
        </w:rPr>
        <w:t>本企业对上述声明内容的真实性负责。如有虚假，将依法承担相应责任。</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企业名称（盖章）：</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日期：</w:t>
      </w:r>
    </w:p>
    <w:p>
      <w:pPr>
        <w:widowControl/>
        <w:numPr>
          <w:ilvl w:val="0"/>
          <w:numId w:val="2"/>
        </w:numPr>
        <w:spacing w:beforeAutospacing="1" w:afterAutospacing="1" w:line="435" w:lineRule="atLeast"/>
        <w:jc w:val="left"/>
        <w:rPr>
          <w:rFonts w:ascii="仿宋" w:hAnsi="仿宋" w:eastAsia="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从业人员、营业收入、资产总额填报上一年度数据，无上一年度数据的新成立企业可不填报。</w:t>
      </w:r>
    </w:p>
    <w:p>
      <w:pPr>
        <w:pStyle w:val="5"/>
        <w:numPr>
          <w:ilvl w:val="0"/>
          <w:numId w:val="2"/>
        </w:numPr>
        <w:rPr>
          <w:rFonts w:ascii="仿宋" w:hAnsi="仿宋" w:eastAsia="仿宋" w:cs="Times New Roman"/>
          <w:b/>
          <w:bCs/>
          <w:sz w:val="24"/>
          <w:szCs w:val="24"/>
        </w:rPr>
      </w:pPr>
      <w:r>
        <w:rPr>
          <w:rFonts w:hint="eastAsia" w:ascii="仿宋" w:hAnsi="仿宋" w:eastAsia="仿宋" w:cs="仿宋"/>
          <w:b/>
          <w:bCs/>
          <w:sz w:val="24"/>
          <w:szCs w:val="24"/>
        </w:rPr>
        <w:t>报价人为中小企业时需提供本声明函，并完整填写从业人员、营业收入、资产总额等内容，否则评审时不能享受相应的价格扣除。</w:t>
      </w: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p>
    <w:p>
      <w:pPr>
        <w:spacing w:line="560" w:lineRule="exact"/>
        <w:rPr>
          <w:b/>
          <w:bCs/>
          <w:sz w:val="24"/>
          <w:szCs w:val="24"/>
        </w:rPr>
      </w:pPr>
      <w:r>
        <w:rPr>
          <w:b/>
          <w:bCs/>
          <w:sz w:val="24"/>
          <w:szCs w:val="24"/>
        </w:rPr>
        <w:t>附</w:t>
      </w:r>
      <w:r>
        <w:rPr>
          <w:rFonts w:hint="eastAsia"/>
          <w:b/>
          <w:bCs/>
          <w:sz w:val="24"/>
          <w:szCs w:val="24"/>
        </w:rPr>
        <w:t>表</w:t>
      </w:r>
      <w:r>
        <w:rPr>
          <w:b/>
          <w:bCs/>
          <w:sz w:val="24"/>
          <w:szCs w:val="24"/>
        </w:rPr>
        <w:t>：</w:t>
      </w:r>
      <w:r>
        <w:rPr>
          <w:rFonts w:hint="eastAsia"/>
          <w:b/>
          <w:bCs/>
          <w:sz w:val="24"/>
          <w:szCs w:val="24"/>
        </w:rPr>
        <w:t>大中小微型企业划分标准</w:t>
      </w:r>
    </w:p>
    <w:tbl>
      <w:tblPr>
        <w:tblStyle w:val="21"/>
        <w:tblW w:w="0" w:type="auto"/>
        <w:jc w:val="center"/>
        <w:tblLayout w:type="fixed"/>
        <w:tblCellMar>
          <w:top w:w="0" w:type="dxa"/>
          <w:left w:w="108" w:type="dxa"/>
          <w:bottom w:w="0" w:type="dxa"/>
          <w:right w:w="108" w:type="dxa"/>
        </w:tblCellMar>
      </w:tblPr>
      <w:tblGrid>
        <w:gridCol w:w="2023"/>
        <w:gridCol w:w="1369"/>
        <w:gridCol w:w="709"/>
        <w:gridCol w:w="1125"/>
        <w:gridCol w:w="1828"/>
        <w:gridCol w:w="1588"/>
        <w:gridCol w:w="1122"/>
      </w:tblGrid>
      <w:tr>
        <w:tblPrEx>
          <w:tblCellMar>
            <w:top w:w="0" w:type="dxa"/>
            <w:left w:w="108" w:type="dxa"/>
            <w:bottom w:w="0" w:type="dxa"/>
            <w:right w:w="108" w:type="dxa"/>
          </w:tblCellMar>
        </w:tblPrEx>
        <w:trPr>
          <w:trHeight w:val="622" w:hRule="exact"/>
          <w:jc w:val="center"/>
        </w:trPr>
        <w:tc>
          <w:tcPr>
            <w:tcW w:w="202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b/>
                <w:bCs/>
                <w:kern w:val="0"/>
                <w:sz w:val="20"/>
              </w:rPr>
            </w:pPr>
            <w:r>
              <w:rPr>
                <w:b/>
                <w:bCs/>
                <w:kern w:val="0"/>
                <w:sz w:val="20"/>
              </w:rPr>
              <w:t>行业名称</w:t>
            </w:r>
          </w:p>
        </w:tc>
        <w:tc>
          <w:tcPr>
            <w:tcW w:w="1369" w:type="dxa"/>
            <w:tcBorders>
              <w:top w:val="single" w:color="auto" w:sz="4" w:space="0"/>
              <w:left w:val="nil"/>
              <w:bottom w:val="single" w:color="auto" w:sz="4" w:space="0"/>
              <w:right w:val="single" w:color="auto" w:sz="4" w:space="0"/>
            </w:tcBorders>
            <w:noWrap/>
            <w:vAlign w:val="center"/>
          </w:tcPr>
          <w:p>
            <w:pPr>
              <w:widowControl/>
              <w:jc w:val="center"/>
              <w:rPr>
                <w:b/>
                <w:bCs/>
                <w:kern w:val="0"/>
                <w:sz w:val="20"/>
              </w:rPr>
            </w:pPr>
            <w:r>
              <w:rPr>
                <w:b/>
                <w:bCs/>
                <w:kern w:val="0"/>
                <w:sz w:val="20"/>
              </w:rPr>
              <w:t>指标名称</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b/>
                <w:bCs/>
                <w:kern w:val="0"/>
                <w:sz w:val="20"/>
              </w:rPr>
            </w:pPr>
            <w:r>
              <w:rPr>
                <w:b/>
                <w:bCs/>
                <w:kern w:val="0"/>
                <w:sz w:val="20"/>
              </w:rPr>
              <w:t>计量</w:t>
            </w:r>
          </w:p>
          <w:p>
            <w:pPr>
              <w:widowControl/>
              <w:jc w:val="center"/>
              <w:rPr>
                <w:b/>
                <w:bCs/>
                <w:kern w:val="0"/>
                <w:sz w:val="20"/>
              </w:rPr>
            </w:pPr>
            <w:r>
              <w:rPr>
                <w:b/>
                <w:bCs/>
                <w:kern w:val="0"/>
                <w:sz w:val="20"/>
              </w:rPr>
              <w:t>单位</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b/>
                <w:bCs/>
                <w:kern w:val="0"/>
                <w:sz w:val="20"/>
              </w:rPr>
            </w:pPr>
            <w:r>
              <w:rPr>
                <w:b/>
                <w:bCs/>
                <w:kern w:val="0"/>
                <w:sz w:val="20"/>
              </w:rPr>
              <w:t>大型</w:t>
            </w:r>
          </w:p>
        </w:tc>
        <w:tc>
          <w:tcPr>
            <w:tcW w:w="1828" w:type="dxa"/>
            <w:tcBorders>
              <w:top w:val="single" w:color="auto" w:sz="4" w:space="0"/>
              <w:left w:val="nil"/>
              <w:bottom w:val="single" w:color="auto" w:sz="4" w:space="0"/>
              <w:right w:val="single" w:color="auto" w:sz="4" w:space="0"/>
            </w:tcBorders>
            <w:noWrap/>
            <w:vAlign w:val="center"/>
          </w:tcPr>
          <w:p>
            <w:pPr>
              <w:widowControl/>
              <w:jc w:val="center"/>
              <w:rPr>
                <w:b/>
                <w:bCs/>
                <w:kern w:val="0"/>
                <w:sz w:val="20"/>
              </w:rPr>
            </w:pPr>
            <w:r>
              <w:rPr>
                <w:b/>
                <w:bCs/>
                <w:kern w:val="0"/>
                <w:sz w:val="20"/>
              </w:rPr>
              <w:t>中型</w:t>
            </w:r>
          </w:p>
        </w:tc>
        <w:tc>
          <w:tcPr>
            <w:tcW w:w="1588" w:type="dxa"/>
            <w:tcBorders>
              <w:top w:val="single" w:color="auto" w:sz="4" w:space="0"/>
              <w:left w:val="nil"/>
              <w:bottom w:val="single" w:color="auto" w:sz="4" w:space="0"/>
              <w:right w:val="single" w:color="auto" w:sz="4" w:space="0"/>
            </w:tcBorders>
            <w:noWrap/>
            <w:vAlign w:val="center"/>
          </w:tcPr>
          <w:p>
            <w:pPr>
              <w:widowControl/>
              <w:jc w:val="center"/>
              <w:rPr>
                <w:b/>
                <w:bCs/>
                <w:kern w:val="0"/>
                <w:sz w:val="20"/>
              </w:rPr>
            </w:pPr>
            <w:r>
              <w:rPr>
                <w:b/>
                <w:bCs/>
                <w:kern w:val="0"/>
                <w:sz w:val="20"/>
              </w:rPr>
              <w:t>小型</w:t>
            </w:r>
          </w:p>
        </w:tc>
        <w:tc>
          <w:tcPr>
            <w:tcW w:w="1122" w:type="dxa"/>
            <w:tcBorders>
              <w:top w:val="single" w:color="auto" w:sz="4" w:space="0"/>
              <w:left w:val="nil"/>
              <w:bottom w:val="single" w:color="auto" w:sz="4" w:space="0"/>
              <w:right w:val="nil"/>
            </w:tcBorders>
            <w:noWrap/>
            <w:vAlign w:val="center"/>
          </w:tcPr>
          <w:p>
            <w:pPr>
              <w:widowControl/>
              <w:jc w:val="center"/>
              <w:rPr>
                <w:b/>
                <w:bCs/>
                <w:kern w:val="0"/>
                <w:sz w:val="20"/>
              </w:rPr>
            </w:pPr>
            <w:r>
              <w:rPr>
                <w:b/>
                <w:bCs/>
                <w:kern w:val="0"/>
                <w:sz w:val="20"/>
              </w:rPr>
              <w:t>微型</w:t>
            </w:r>
          </w:p>
        </w:tc>
      </w:tr>
      <w:tr>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农、林、牧、渔业</w:t>
            </w:r>
          </w:p>
        </w:tc>
        <w:tc>
          <w:tcPr>
            <w:tcW w:w="136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Y≥20000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500≤Y＜20000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50≤Y＜500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Y＜50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工业 *</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X≥1000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300≤X＜1000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20≤X＜300</w:t>
            </w:r>
          </w:p>
        </w:tc>
        <w:tc>
          <w:tcPr>
            <w:tcW w:w="1122" w:type="dxa"/>
            <w:tcBorders>
              <w:top w:val="nil"/>
              <w:left w:val="nil"/>
              <w:bottom w:val="nil"/>
              <w:right w:val="nil"/>
            </w:tcBorders>
            <w:noWrap/>
            <w:vAlign w:val="center"/>
          </w:tcPr>
          <w:p>
            <w:pPr>
              <w:widowControl/>
              <w:jc w:val="center"/>
              <w:rPr>
                <w:kern w:val="0"/>
                <w:sz w:val="20"/>
              </w:rPr>
            </w:pPr>
            <w:r>
              <w:rPr>
                <w:kern w:val="0"/>
                <w:sz w:val="20"/>
              </w:rPr>
              <w:t>X＜20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Y≥40000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2000≤Y＜40000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300≤Y＜2000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Y＜300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建筑业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营业收入(Y)</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Y≥80000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6000≤Y＜80000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300≤Y＜6000</w:t>
            </w:r>
          </w:p>
        </w:tc>
        <w:tc>
          <w:tcPr>
            <w:tcW w:w="1122" w:type="dxa"/>
            <w:tcBorders>
              <w:top w:val="nil"/>
              <w:left w:val="nil"/>
              <w:bottom w:val="nil"/>
              <w:right w:val="nil"/>
            </w:tcBorders>
            <w:noWrap/>
            <w:vAlign w:val="center"/>
          </w:tcPr>
          <w:p>
            <w:pPr>
              <w:widowControl/>
              <w:jc w:val="center"/>
              <w:rPr>
                <w:kern w:val="0"/>
                <w:sz w:val="20"/>
              </w:rPr>
            </w:pPr>
            <w:r>
              <w:rPr>
                <w:kern w:val="0"/>
                <w:sz w:val="20"/>
              </w:rPr>
              <w:t>Y＜300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资产总额(Z)</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Z≥80000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5000≤Z＜80000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300≤Z＜5000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Z＜300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批发业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X≥200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20≤X＜200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5≤X＜20</w:t>
            </w:r>
          </w:p>
        </w:tc>
        <w:tc>
          <w:tcPr>
            <w:tcW w:w="1122" w:type="dxa"/>
            <w:tcBorders>
              <w:top w:val="nil"/>
              <w:left w:val="nil"/>
              <w:bottom w:val="nil"/>
              <w:right w:val="nil"/>
            </w:tcBorders>
            <w:noWrap/>
            <w:vAlign w:val="center"/>
          </w:tcPr>
          <w:p>
            <w:pPr>
              <w:widowControl/>
              <w:jc w:val="center"/>
              <w:rPr>
                <w:kern w:val="0"/>
                <w:sz w:val="20"/>
              </w:rPr>
            </w:pPr>
            <w:r>
              <w:rPr>
                <w:kern w:val="0"/>
                <w:sz w:val="20"/>
              </w:rPr>
              <w:t>X＜5</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Y≥40000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5000≤Y＜40000</w:t>
            </w:r>
          </w:p>
        </w:tc>
        <w:tc>
          <w:tcPr>
            <w:tcW w:w="1588" w:type="dxa"/>
            <w:tcBorders>
              <w:top w:val="nil"/>
              <w:left w:val="nil"/>
              <w:bottom w:val="single" w:color="auto" w:sz="4" w:space="0"/>
              <w:right w:val="single" w:color="auto" w:sz="4" w:space="0"/>
            </w:tcBorders>
            <w:noWrap/>
            <w:vAlign w:val="center"/>
          </w:tcPr>
          <w:p>
            <w:pPr>
              <w:widowControl/>
              <w:ind w:left="-1" w:leftChars="-1" w:hanging="1"/>
              <w:jc w:val="center"/>
              <w:rPr>
                <w:kern w:val="0"/>
                <w:sz w:val="20"/>
              </w:rPr>
            </w:pPr>
            <w:r>
              <w:rPr>
                <w:kern w:val="0"/>
                <w:sz w:val="20"/>
              </w:rPr>
              <w:t>1000≤Y＜5000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零售业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50≤X＜300</w:t>
            </w:r>
          </w:p>
        </w:tc>
        <w:tc>
          <w:tcPr>
            <w:tcW w:w="1588" w:type="dxa"/>
            <w:tcBorders>
              <w:top w:val="nil"/>
              <w:left w:val="nil"/>
              <w:bottom w:val="nil"/>
              <w:right w:val="single" w:color="auto" w:sz="4" w:space="0"/>
            </w:tcBorders>
            <w:noWrap/>
            <w:vAlign w:val="center"/>
          </w:tcPr>
          <w:p>
            <w:pPr>
              <w:widowControl/>
              <w:ind w:left="-1" w:leftChars="-1" w:hanging="1"/>
              <w:jc w:val="center"/>
              <w:rPr>
                <w:kern w:val="0"/>
                <w:sz w:val="20"/>
              </w:rPr>
            </w:pPr>
            <w:r>
              <w:rPr>
                <w:kern w:val="0"/>
                <w:sz w:val="20"/>
              </w:rPr>
              <w:t xml:space="preserve">10≤X＜50 </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Y≥20000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500≤Y＜20000</w:t>
            </w:r>
          </w:p>
        </w:tc>
        <w:tc>
          <w:tcPr>
            <w:tcW w:w="1588" w:type="dxa"/>
            <w:tcBorders>
              <w:top w:val="nil"/>
              <w:left w:val="nil"/>
              <w:bottom w:val="single" w:color="auto" w:sz="4" w:space="0"/>
              <w:right w:val="single" w:color="auto" w:sz="4" w:space="0"/>
            </w:tcBorders>
            <w:noWrap/>
            <w:vAlign w:val="center"/>
          </w:tcPr>
          <w:p>
            <w:pPr>
              <w:widowControl/>
              <w:ind w:left="-1" w:leftChars="-1" w:hanging="1"/>
              <w:jc w:val="center"/>
              <w:rPr>
                <w:kern w:val="0"/>
                <w:sz w:val="20"/>
              </w:rPr>
            </w:pPr>
            <w:r>
              <w:rPr>
                <w:kern w:val="0"/>
                <w:sz w:val="20"/>
              </w:rPr>
              <w:t xml:space="preserve">100≤Y＜500 </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交通运输业 *</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X≥1000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300≤X＜1000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20≤X＜300</w:t>
            </w:r>
          </w:p>
        </w:tc>
        <w:tc>
          <w:tcPr>
            <w:tcW w:w="1122" w:type="dxa"/>
            <w:tcBorders>
              <w:top w:val="nil"/>
              <w:left w:val="nil"/>
              <w:bottom w:val="nil"/>
              <w:right w:val="nil"/>
            </w:tcBorders>
            <w:noWrap/>
            <w:vAlign w:val="center"/>
          </w:tcPr>
          <w:p>
            <w:pPr>
              <w:widowControl/>
              <w:jc w:val="center"/>
              <w:rPr>
                <w:kern w:val="0"/>
                <w:sz w:val="20"/>
              </w:rPr>
            </w:pPr>
            <w:r>
              <w:rPr>
                <w:kern w:val="0"/>
                <w:sz w:val="20"/>
              </w:rPr>
              <w:t>X＜20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Y≥30000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3000≤Y＜30000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200≤Y＜3000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Y＜200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仓储业*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X≥200</w:t>
            </w:r>
          </w:p>
        </w:tc>
        <w:tc>
          <w:tcPr>
            <w:tcW w:w="1828" w:type="dxa"/>
            <w:tcBorders>
              <w:top w:val="nil"/>
              <w:left w:val="nil"/>
              <w:bottom w:val="nil"/>
              <w:right w:val="single" w:color="auto" w:sz="4" w:space="0"/>
            </w:tcBorders>
            <w:noWrap/>
            <w:vAlign w:val="center"/>
          </w:tcPr>
          <w:p>
            <w:pPr>
              <w:widowControl/>
              <w:ind w:left="13" w:leftChars="-51" w:hanging="120" w:hangingChars="60"/>
              <w:jc w:val="center"/>
              <w:rPr>
                <w:kern w:val="0"/>
                <w:sz w:val="20"/>
              </w:rPr>
            </w:pPr>
            <w:r>
              <w:rPr>
                <w:kern w:val="0"/>
                <w:sz w:val="20"/>
              </w:rPr>
              <w:t>100≤X＜200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20≤X＜100</w:t>
            </w:r>
          </w:p>
        </w:tc>
        <w:tc>
          <w:tcPr>
            <w:tcW w:w="1122" w:type="dxa"/>
            <w:tcBorders>
              <w:top w:val="nil"/>
              <w:left w:val="nil"/>
              <w:bottom w:val="nil"/>
              <w:right w:val="nil"/>
            </w:tcBorders>
            <w:noWrap/>
            <w:vAlign w:val="center"/>
          </w:tcPr>
          <w:p>
            <w:pPr>
              <w:widowControl/>
              <w:jc w:val="center"/>
              <w:rPr>
                <w:kern w:val="0"/>
                <w:sz w:val="20"/>
              </w:rPr>
            </w:pPr>
            <w:r>
              <w:rPr>
                <w:kern w:val="0"/>
                <w:sz w:val="20"/>
              </w:rPr>
              <w:t>X＜20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Y≥30000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1000≤Y＜30000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100≤Y＜1000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邮政业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X≥1000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300≤X＜1000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20≤X＜300</w:t>
            </w:r>
          </w:p>
        </w:tc>
        <w:tc>
          <w:tcPr>
            <w:tcW w:w="1122" w:type="dxa"/>
            <w:tcBorders>
              <w:top w:val="nil"/>
              <w:left w:val="nil"/>
              <w:bottom w:val="nil"/>
              <w:right w:val="nil"/>
            </w:tcBorders>
            <w:noWrap/>
            <w:vAlign w:val="center"/>
          </w:tcPr>
          <w:p>
            <w:pPr>
              <w:widowControl/>
              <w:jc w:val="center"/>
              <w:rPr>
                <w:kern w:val="0"/>
                <w:sz w:val="20"/>
              </w:rPr>
            </w:pPr>
            <w:r>
              <w:rPr>
                <w:kern w:val="0"/>
                <w:sz w:val="20"/>
              </w:rPr>
              <w:t>X＜20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Y≥30000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2000≤Y＜30000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100≤Y＜2000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住宿业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nil"/>
              <w:right w:val="single" w:color="auto" w:sz="4" w:space="0"/>
            </w:tcBorders>
            <w:noWrap/>
            <w:vAlign w:val="center"/>
          </w:tcPr>
          <w:p>
            <w:pPr>
              <w:widowControl/>
              <w:ind w:left="13" w:leftChars="-51" w:hanging="120" w:hangingChars="60"/>
              <w:jc w:val="center"/>
              <w:rPr>
                <w:kern w:val="0"/>
                <w:sz w:val="20"/>
              </w:rPr>
            </w:pPr>
            <w:r>
              <w:rPr>
                <w:kern w:val="0"/>
                <w:sz w:val="20"/>
              </w:rPr>
              <w:t xml:space="preserve">100≤X＜300 </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Y≥10000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2000≤Y＜10000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100≤Y＜2000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餐饮业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nil"/>
              <w:right w:val="single" w:color="auto" w:sz="4" w:space="0"/>
            </w:tcBorders>
            <w:noWrap/>
            <w:vAlign w:val="center"/>
          </w:tcPr>
          <w:p>
            <w:pPr>
              <w:widowControl/>
              <w:ind w:left="13" w:leftChars="-51" w:hanging="120" w:hangingChars="60"/>
              <w:jc w:val="center"/>
              <w:rPr>
                <w:kern w:val="0"/>
                <w:sz w:val="20"/>
              </w:rPr>
            </w:pPr>
            <w:r>
              <w:rPr>
                <w:kern w:val="0"/>
                <w:sz w:val="20"/>
              </w:rPr>
              <w:t xml:space="preserve">100≤X＜300 </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Y≥10000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2000≤Y＜10000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100≤Y＜2000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信息传输业 *</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X≥2000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100≤X＜2000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Y≥100000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1000≤Y＜100000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100≤Y＜1000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40" w:hRule="exact"/>
          <w:jc w:val="center"/>
        </w:trPr>
        <w:tc>
          <w:tcPr>
            <w:tcW w:w="2023" w:type="dxa"/>
            <w:vMerge w:val="restart"/>
            <w:tcBorders>
              <w:top w:val="single" w:color="auto" w:sz="4" w:space="0"/>
              <w:left w:val="nil"/>
              <w:bottom w:val="single" w:color="auto" w:sz="4" w:space="0"/>
              <w:right w:val="single" w:color="auto" w:sz="4" w:space="0"/>
            </w:tcBorders>
            <w:noWrap/>
            <w:vAlign w:val="center"/>
          </w:tcPr>
          <w:p>
            <w:pPr>
              <w:widowControl/>
              <w:spacing w:line="240" w:lineRule="exact"/>
              <w:jc w:val="left"/>
              <w:rPr>
                <w:spacing w:val="-12"/>
                <w:kern w:val="0"/>
                <w:sz w:val="20"/>
              </w:rPr>
            </w:pPr>
            <w:r>
              <w:rPr>
                <w:spacing w:val="-12"/>
                <w:kern w:val="0"/>
                <w:sz w:val="20"/>
              </w:rPr>
              <w:t>软件和信息技术服</w:t>
            </w:r>
            <w:r>
              <w:rPr>
                <w:kern w:val="0"/>
                <w:sz w:val="20"/>
              </w:rPr>
              <w:t>务业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nil"/>
              <w:right w:val="single" w:color="auto" w:sz="4" w:space="0"/>
            </w:tcBorders>
            <w:noWrap/>
            <w:vAlign w:val="center"/>
          </w:tcPr>
          <w:p>
            <w:pPr>
              <w:widowControl/>
              <w:ind w:left="13" w:leftChars="-51" w:hanging="120" w:hangingChars="60"/>
              <w:jc w:val="center"/>
              <w:rPr>
                <w:kern w:val="0"/>
                <w:sz w:val="20"/>
              </w:rPr>
            </w:pPr>
            <w:r>
              <w:rPr>
                <w:kern w:val="0"/>
                <w:sz w:val="20"/>
              </w:rPr>
              <w:t xml:space="preserve">100≤X＜300 </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40" w:hRule="exact"/>
          <w:jc w:val="center"/>
        </w:trPr>
        <w:tc>
          <w:tcPr>
            <w:tcW w:w="2023" w:type="dxa"/>
            <w:vMerge w:val="continue"/>
            <w:tcBorders>
              <w:top w:val="single" w:color="auto" w:sz="4" w:space="0"/>
              <w:left w:val="nil"/>
              <w:bottom w:val="single" w:color="auto" w:sz="4" w:space="0"/>
              <w:right w:val="single" w:color="auto" w:sz="4" w:space="0"/>
            </w:tcBorders>
            <w:noWrap/>
            <w:vAlign w:val="center"/>
          </w:tcPr>
          <w:p>
            <w:pPr>
              <w:widowControl/>
              <w:jc w:val="left"/>
              <w:rPr>
                <w:spacing w:val="-12"/>
                <w:kern w:val="0"/>
                <w:sz w:val="20"/>
              </w:rPr>
            </w:pPr>
          </w:p>
        </w:tc>
        <w:tc>
          <w:tcPr>
            <w:tcW w:w="136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Y≥10000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1000≤Y＜10000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50≤Y＜1000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Y＜50</w:t>
            </w:r>
          </w:p>
        </w:tc>
      </w:tr>
      <w:tr>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房地产开发经营</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营业收入(Y)</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Y≥200000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1000≤Y＜200000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100≤Y＜1000</w:t>
            </w:r>
          </w:p>
        </w:tc>
        <w:tc>
          <w:tcPr>
            <w:tcW w:w="1122" w:type="dxa"/>
            <w:tcBorders>
              <w:top w:val="nil"/>
              <w:left w:val="nil"/>
              <w:bottom w:val="nil"/>
              <w:right w:val="nil"/>
            </w:tcBorders>
            <w:noWrap/>
            <w:vAlign w:val="center"/>
          </w:tcPr>
          <w:p>
            <w:pPr>
              <w:widowControl/>
              <w:jc w:val="center"/>
              <w:rPr>
                <w:kern w:val="0"/>
                <w:sz w:val="20"/>
              </w:rPr>
            </w:pPr>
            <w:r>
              <w:rPr>
                <w:kern w:val="0"/>
                <w:sz w:val="20"/>
              </w:rPr>
              <w:t>Y＜100</w:t>
            </w:r>
          </w:p>
        </w:tc>
      </w:tr>
      <w:tr>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资产总额(Z)</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Z≥10000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5000≤Z＜10000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2000≤Z＜5000   </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Z＜2000</w:t>
            </w:r>
          </w:p>
        </w:tc>
      </w:tr>
      <w:tr>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物业管理</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X≥1000</w:t>
            </w:r>
          </w:p>
        </w:tc>
        <w:tc>
          <w:tcPr>
            <w:tcW w:w="1828" w:type="dxa"/>
            <w:tcBorders>
              <w:top w:val="nil"/>
              <w:left w:val="nil"/>
              <w:bottom w:val="nil"/>
              <w:right w:val="single" w:color="auto" w:sz="4" w:space="0"/>
            </w:tcBorders>
            <w:noWrap/>
            <w:vAlign w:val="center"/>
          </w:tcPr>
          <w:p>
            <w:pPr>
              <w:widowControl/>
              <w:jc w:val="center"/>
              <w:rPr>
                <w:kern w:val="0"/>
                <w:sz w:val="20"/>
              </w:rPr>
            </w:pPr>
            <w:r>
              <w:rPr>
                <w:kern w:val="0"/>
                <w:sz w:val="20"/>
              </w:rPr>
              <w:t>300≤X＜1000</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100≤X＜300 </w:t>
            </w:r>
          </w:p>
        </w:tc>
        <w:tc>
          <w:tcPr>
            <w:tcW w:w="1122" w:type="dxa"/>
            <w:tcBorders>
              <w:top w:val="nil"/>
              <w:left w:val="nil"/>
              <w:bottom w:val="nil"/>
              <w:right w:val="nil"/>
            </w:tcBorders>
            <w:noWrap/>
            <w:vAlign w:val="center"/>
          </w:tcPr>
          <w:p>
            <w:pPr>
              <w:widowControl/>
              <w:jc w:val="center"/>
              <w:rPr>
                <w:kern w:val="0"/>
                <w:sz w:val="20"/>
              </w:rPr>
            </w:pPr>
            <w:r>
              <w:rPr>
                <w:kern w:val="0"/>
                <w:sz w:val="20"/>
              </w:rPr>
              <w:t>X＜100</w:t>
            </w:r>
          </w:p>
        </w:tc>
      </w:tr>
      <w:tr>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营业收入(Y)</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Y≥5000</w:t>
            </w:r>
          </w:p>
        </w:tc>
        <w:tc>
          <w:tcPr>
            <w:tcW w:w="1828" w:type="dxa"/>
            <w:tcBorders>
              <w:top w:val="nil"/>
              <w:left w:val="nil"/>
              <w:bottom w:val="single" w:color="auto" w:sz="4" w:space="0"/>
              <w:right w:val="single" w:color="auto" w:sz="4" w:space="0"/>
            </w:tcBorders>
            <w:noWrap/>
            <w:vAlign w:val="center"/>
          </w:tcPr>
          <w:p>
            <w:pPr>
              <w:widowControl/>
              <w:ind w:left="13" w:leftChars="-51" w:hanging="120" w:hangingChars="60"/>
              <w:jc w:val="center"/>
              <w:rPr>
                <w:kern w:val="0"/>
                <w:sz w:val="20"/>
              </w:rPr>
            </w:pPr>
            <w:r>
              <w:rPr>
                <w:kern w:val="0"/>
                <w:sz w:val="20"/>
              </w:rPr>
              <w:t xml:space="preserve">1000≤Y＜5000 </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500≤Y＜1000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Y＜500</w:t>
            </w:r>
          </w:p>
        </w:tc>
      </w:tr>
      <w:tr>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租赁和商务服务业</w:t>
            </w:r>
          </w:p>
        </w:tc>
        <w:tc>
          <w:tcPr>
            <w:tcW w:w="1369" w:type="dxa"/>
            <w:tcBorders>
              <w:top w:val="nil"/>
              <w:left w:val="nil"/>
              <w:bottom w:val="nil"/>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nil"/>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nil"/>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nil"/>
              <w:right w:val="single" w:color="auto" w:sz="4" w:space="0"/>
            </w:tcBorders>
            <w:noWrap/>
            <w:vAlign w:val="center"/>
          </w:tcPr>
          <w:p>
            <w:pPr>
              <w:widowControl/>
              <w:ind w:left="13" w:leftChars="-51" w:hanging="120" w:hangingChars="60"/>
              <w:jc w:val="center"/>
              <w:rPr>
                <w:kern w:val="0"/>
                <w:sz w:val="20"/>
              </w:rPr>
            </w:pPr>
            <w:r>
              <w:rPr>
                <w:kern w:val="0"/>
                <w:sz w:val="20"/>
              </w:rPr>
              <w:t xml:space="preserve">100≤X＜300 </w:t>
            </w:r>
          </w:p>
        </w:tc>
        <w:tc>
          <w:tcPr>
            <w:tcW w:w="1588" w:type="dxa"/>
            <w:tcBorders>
              <w:top w:val="nil"/>
              <w:left w:val="nil"/>
              <w:bottom w:val="nil"/>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nil"/>
              <w:right w:val="nil"/>
            </w:tcBorders>
            <w:noWrap/>
            <w:vAlign w:val="center"/>
          </w:tcPr>
          <w:p>
            <w:pPr>
              <w:widowControl/>
              <w:jc w:val="center"/>
              <w:rPr>
                <w:kern w:val="0"/>
                <w:sz w:val="20"/>
              </w:rPr>
            </w:pPr>
            <w:r>
              <w:rPr>
                <w:kern w:val="0"/>
                <w:sz w:val="20"/>
              </w:rPr>
              <w:t>X＜10</w:t>
            </w:r>
          </w:p>
        </w:tc>
      </w:tr>
      <w:tr>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pPr>
              <w:widowControl/>
              <w:jc w:val="left"/>
              <w:rPr>
                <w:kern w:val="0"/>
                <w:sz w:val="20"/>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kern w:val="0"/>
                <w:sz w:val="20"/>
              </w:rPr>
            </w:pPr>
            <w:r>
              <w:rPr>
                <w:kern w:val="0"/>
                <w:sz w:val="20"/>
              </w:rPr>
              <w:t>资产总额(Z)</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万元</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Z≥120000</w:t>
            </w:r>
          </w:p>
        </w:tc>
        <w:tc>
          <w:tcPr>
            <w:tcW w:w="182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8000≤Z＜120000</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100≤Z＜8000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Z＜100</w:t>
            </w:r>
          </w:p>
        </w:tc>
      </w:tr>
      <w:tr>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pPr>
              <w:widowControl/>
              <w:spacing w:line="240" w:lineRule="exact"/>
              <w:jc w:val="left"/>
              <w:rPr>
                <w:kern w:val="0"/>
                <w:sz w:val="20"/>
              </w:rPr>
            </w:pPr>
            <w:r>
              <w:rPr>
                <w:kern w:val="0"/>
                <w:sz w:val="20"/>
              </w:rPr>
              <w:t>其他未列明行业 *</w:t>
            </w:r>
          </w:p>
        </w:tc>
        <w:tc>
          <w:tcPr>
            <w:tcW w:w="136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从业人员(X)</w:t>
            </w:r>
          </w:p>
        </w:tc>
        <w:tc>
          <w:tcPr>
            <w:tcW w:w="709"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人</w:t>
            </w:r>
          </w:p>
        </w:tc>
        <w:tc>
          <w:tcPr>
            <w:tcW w:w="1125"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X≥300</w:t>
            </w:r>
          </w:p>
        </w:tc>
        <w:tc>
          <w:tcPr>
            <w:tcW w:w="1828" w:type="dxa"/>
            <w:tcBorders>
              <w:top w:val="nil"/>
              <w:left w:val="nil"/>
              <w:bottom w:val="single" w:color="auto" w:sz="4" w:space="0"/>
              <w:right w:val="single" w:color="auto" w:sz="4" w:space="0"/>
            </w:tcBorders>
            <w:noWrap/>
            <w:vAlign w:val="center"/>
          </w:tcPr>
          <w:p>
            <w:pPr>
              <w:widowControl/>
              <w:ind w:left="13" w:leftChars="-51" w:hanging="120" w:hangingChars="60"/>
              <w:jc w:val="center"/>
              <w:rPr>
                <w:kern w:val="0"/>
                <w:sz w:val="20"/>
              </w:rPr>
            </w:pPr>
            <w:r>
              <w:rPr>
                <w:kern w:val="0"/>
                <w:sz w:val="20"/>
              </w:rPr>
              <w:t xml:space="preserve">100≤X＜300 </w:t>
            </w:r>
          </w:p>
        </w:tc>
        <w:tc>
          <w:tcPr>
            <w:tcW w:w="1588" w:type="dxa"/>
            <w:tcBorders>
              <w:top w:val="nil"/>
              <w:left w:val="nil"/>
              <w:bottom w:val="single" w:color="auto" w:sz="4" w:space="0"/>
              <w:right w:val="single" w:color="auto" w:sz="4" w:space="0"/>
            </w:tcBorders>
            <w:noWrap/>
            <w:vAlign w:val="center"/>
          </w:tcPr>
          <w:p>
            <w:pPr>
              <w:widowControl/>
              <w:jc w:val="center"/>
              <w:rPr>
                <w:kern w:val="0"/>
                <w:sz w:val="20"/>
              </w:rPr>
            </w:pPr>
            <w:r>
              <w:rPr>
                <w:kern w:val="0"/>
                <w:sz w:val="20"/>
              </w:rPr>
              <w:t xml:space="preserve"> 10≤X＜100</w:t>
            </w:r>
          </w:p>
        </w:tc>
        <w:tc>
          <w:tcPr>
            <w:tcW w:w="1122" w:type="dxa"/>
            <w:tcBorders>
              <w:top w:val="nil"/>
              <w:left w:val="nil"/>
              <w:bottom w:val="single" w:color="auto" w:sz="4" w:space="0"/>
              <w:right w:val="nil"/>
            </w:tcBorders>
            <w:noWrap/>
            <w:vAlign w:val="center"/>
          </w:tcPr>
          <w:p>
            <w:pPr>
              <w:widowControl/>
              <w:jc w:val="center"/>
              <w:rPr>
                <w:kern w:val="0"/>
                <w:sz w:val="20"/>
              </w:rPr>
            </w:pPr>
            <w:r>
              <w:rPr>
                <w:kern w:val="0"/>
                <w:sz w:val="20"/>
              </w:rPr>
              <w:t>X＜10</w:t>
            </w:r>
          </w:p>
        </w:tc>
      </w:tr>
    </w:tbl>
    <w:p>
      <w:pPr>
        <w:rPr>
          <w:rFonts w:ascii="仿宋" w:hAnsi="仿宋" w:eastAsia="仿宋"/>
          <w:sz w:val="24"/>
          <w:szCs w:val="24"/>
        </w:rPr>
      </w:pPr>
    </w:p>
    <w:p>
      <w:pPr>
        <w:spacing w:beforeLines="50" w:afterLines="50"/>
        <w:jc w:val="center"/>
        <w:outlineLvl w:val="1"/>
        <w:rPr>
          <w:rFonts w:ascii="仿宋" w:hAnsi="仿宋" w:eastAsia="仿宋" w:cs="仿宋"/>
          <w:b/>
          <w:bCs/>
          <w:sz w:val="32"/>
          <w:szCs w:val="32"/>
        </w:rPr>
      </w:pPr>
      <w:bookmarkStart w:id="484" w:name="_Toc10245"/>
      <w:bookmarkStart w:id="485" w:name="_Toc5176_WPSOffice_Level2"/>
      <w:bookmarkStart w:id="486" w:name="_Toc29908"/>
    </w:p>
    <w:p>
      <w:pPr>
        <w:spacing w:beforeLines="50" w:afterLines="50"/>
        <w:jc w:val="center"/>
        <w:outlineLvl w:val="1"/>
        <w:rPr>
          <w:rFonts w:ascii="仿宋" w:hAnsi="仿宋" w:eastAsia="仿宋"/>
          <w:b/>
          <w:bCs/>
          <w:spacing w:val="6"/>
          <w:sz w:val="30"/>
          <w:szCs w:val="30"/>
        </w:rPr>
      </w:pPr>
      <w:r>
        <w:rPr>
          <w:rFonts w:hint="eastAsia" w:ascii="仿宋" w:hAnsi="仿宋" w:eastAsia="仿宋" w:cs="仿宋"/>
          <w:b/>
          <w:bCs/>
          <w:sz w:val="32"/>
          <w:szCs w:val="32"/>
        </w:rPr>
        <w:t>（十一）残疾人福利性单位声明函</w:t>
      </w:r>
      <w:bookmarkEnd w:id="484"/>
      <w:r>
        <w:rPr>
          <w:rFonts w:hint="eastAsia" w:cs="宋体"/>
        </w:rPr>
        <w:t>（可选）</w:t>
      </w:r>
      <w:bookmarkEnd w:id="485"/>
      <w:bookmarkEnd w:id="486"/>
    </w:p>
    <w:p>
      <w:pPr>
        <w:ind w:firstLine="720" w:firstLineChars="300"/>
        <w:rPr>
          <w:rFonts w:ascii="仿宋" w:hAnsi="仿宋" w:eastAsia="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w:t>
      </w:r>
      <w:r>
        <w:rPr>
          <w:rFonts w:ascii="仿宋" w:hAnsi="仿宋" w:eastAsia="仿宋" w:cs="仿宋"/>
          <w:sz w:val="24"/>
          <w:szCs w:val="24"/>
        </w:rPr>
        <w:t>2017</w:t>
      </w:r>
      <w:r>
        <w:rPr>
          <w:rFonts w:hint="eastAsia" w:ascii="仿宋" w:hAnsi="仿宋" w:eastAsia="仿宋" w:cs="仿宋"/>
          <w:sz w:val="24"/>
          <w:szCs w:val="24"/>
        </w:rPr>
        <w:t>〕</w:t>
      </w:r>
      <w:r>
        <w:rPr>
          <w:rFonts w:ascii="仿宋" w:hAnsi="仿宋" w:eastAsia="仿宋" w:cs="仿宋"/>
          <w:sz w:val="24"/>
          <w:szCs w:val="24"/>
        </w:rPr>
        <w:t xml:space="preserve"> 141</w:t>
      </w:r>
      <w:r>
        <w:rPr>
          <w:rFonts w:hint="eastAsia" w:ascii="仿宋" w:hAnsi="仿宋" w:eastAsia="仿宋" w:cs="仿宋"/>
          <w:sz w:val="24"/>
          <w:szCs w:val="24"/>
        </w:rPr>
        <w:t>号）的规定，本单位为符合条件的残疾人福利性单位，且本单位参加采购文件编号为的项目采购活动提供本单位制造的服务或产品（由本单位承担工程</w:t>
      </w:r>
      <w:r>
        <w:rPr>
          <w:rFonts w:ascii="仿宋" w:hAnsi="仿宋" w:eastAsia="仿宋" w:cs="仿宋"/>
          <w:sz w:val="24"/>
          <w:szCs w:val="24"/>
        </w:rPr>
        <w:t>/</w:t>
      </w:r>
      <w:r>
        <w:rPr>
          <w:rFonts w:hint="eastAsia" w:ascii="仿宋" w:hAnsi="仿宋" w:eastAsia="仿宋" w:cs="仿宋"/>
          <w:sz w:val="24"/>
          <w:szCs w:val="24"/>
        </w:rPr>
        <w:t>提供服务），或者提供其他残疾人福利性单位制造的服务或产品（不包括使用非残疾人福利性单位注册商标的服务或产品）。</w:t>
      </w:r>
    </w:p>
    <w:p>
      <w:pPr>
        <w:ind w:firstLine="480" w:firstLineChars="200"/>
        <w:rPr>
          <w:rFonts w:ascii="仿宋" w:hAnsi="仿宋" w:eastAsia="仿宋"/>
          <w:sz w:val="24"/>
          <w:szCs w:val="24"/>
        </w:rPr>
      </w:pPr>
      <w:r>
        <w:rPr>
          <w:rFonts w:hint="eastAsia" w:ascii="仿宋" w:hAnsi="仿宋" w:eastAsia="仿宋" w:cs="仿宋"/>
          <w:sz w:val="24"/>
          <w:szCs w:val="24"/>
        </w:rPr>
        <w:t>本单位在本次政府采购活动中提供的残疾人福利单位产品报价合计为人民币（大写）圆整（￥：）。</w:t>
      </w:r>
    </w:p>
    <w:p>
      <w:pPr>
        <w:ind w:firstLine="480" w:firstLineChars="200"/>
        <w:rPr>
          <w:rFonts w:ascii="仿宋" w:hAnsi="仿宋" w:eastAsia="仿宋"/>
          <w:sz w:val="24"/>
          <w:szCs w:val="24"/>
        </w:rPr>
      </w:pPr>
      <w:r>
        <w:rPr>
          <w:rFonts w:hint="eastAsia" w:ascii="仿宋" w:hAnsi="仿宋" w:eastAsia="仿宋" w:cs="仿宋"/>
          <w:sz w:val="24"/>
          <w:szCs w:val="24"/>
        </w:rPr>
        <w:t>本单位对上述声明的真实性负责。如有虚假，将依法承担相应责任。</w:t>
      </w:r>
    </w:p>
    <w:p>
      <w:pPr>
        <w:pStyle w:val="5"/>
        <w:numPr>
          <w:ilvl w:val="3"/>
          <w:numId w:val="0"/>
        </w:numPr>
        <w:rPr>
          <w:rFonts w:cs="Times New Roman"/>
        </w:rPr>
      </w:pPr>
    </w:p>
    <w:p>
      <w:pPr>
        <w:rPr>
          <w:rFonts w:ascii="仿宋" w:hAnsi="仿宋" w:eastAsia="仿宋"/>
          <w:sz w:val="24"/>
          <w:szCs w:val="24"/>
        </w:rPr>
      </w:pPr>
      <w:r>
        <w:rPr>
          <w:rFonts w:hint="eastAsia" w:ascii="仿宋" w:hAnsi="仿宋" w:eastAsia="仿宋" w:cs="仿宋"/>
          <w:sz w:val="24"/>
          <w:szCs w:val="24"/>
        </w:rPr>
        <w:t>（备注：</w:t>
      </w:r>
      <w:r>
        <w:rPr>
          <w:rFonts w:ascii="仿宋" w:hAnsi="仿宋" w:eastAsia="仿宋" w:cs="仿宋"/>
          <w:sz w:val="24"/>
          <w:szCs w:val="24"/>
        </w:rPr>
        <w:t>1</w:t>
      </w:r>
      <w:r>
        <w:rPr>
          <w:rFonts w:hint="eastAsia" w:ascii="仿宋" w:hAnsi="仿宋" w:eastAsia="仿宋" w:cs="仿宋"/>
          <w:sz w:val="24"/>
          <w:szCs w:val="24"/>
        </w:rPr>
        <w:t>、供应商如不提供此声明函，价格将不做相应扣除。</w:t>
      </w:r>
      <w:r>
        <w:rPr>
          <w:rFonts w:ascii="仿宋" w:hAnsi="仿宋" w:eastAsia="仿宋" w:cs="仿宋"/>
          <w:sz w:val="24"/>
          <w:szCs w:val="24"/>
        </w:rPr>
        <w:t>2</w:t>
      </w:r>
      <w:r>
        <w:rPr>
          <w:rFonts w:hint="eastAsia" w:ascii="仿宋" w:hAnsi="仿宋" w:eastAsia="仿宋" w:cs="仿宋"/>
          <w:sz w:val="24"/>
          <w:szCs w:val="24"/>
        </w:rPr>
        <w:t>、中标供应商为残疾人福利单位的，此声明函将随中标结果同时公告，接受社会监督）</w:t>
      </w:r>
    </w:p>
    <w:p>
      <w:pPr>
        <w:tabs>
          <w:tab w:val="left" w:pos="4860"/>
        </w:tabs>
        <w:spacing w:beforeLines="50" w:afterLines="50"/>
        <w:ind w:right="1560" w:firstLine="480" w:firstLineChars="200"/>
        <w:jc w:val="left"/>
        <w:rPr>
          <w:rFonts w:ascii="仿宋" w:hAnsi="仿宋" w:eastAsia="仿宋"/>
          <w:sz w:val="24"/>
          <w:szCs w:val="24"/>
        </w:rPr>
      </w:pPr>
      <w:r>
        <w:rPr>
          <w:rFonts w:hint="eastAsia" w:ascii="仿宋" w:hAnsi="仿宋" w:eastAsia="仿宋" w:cs="仿宋"/>
          <w:sz w:val="24"/>
          <w:szCs w:val="24"/>
        </w:rPr>
        <w:t>供应商全称（盖章）：日期：</w:t>
      </w:r>
    </w:p>
    <w:p>
      <w:pPr>
        <w:spacing w:line="360" w:lineRule="auto"/>
        <w:jc w:val="center"/>
        <w:outlineLvl w:val="1"/>
        <w:rPr>
          <w:rFonts w:ascii="仿宋" w:hAnsi="仿宋" w:eastAsia="仿宋" w:cs="仿宋"/>
          <w:b/>
          <w:bCs/>
          <w:sz w:val="32"/>
          <w:szCs w:val="32"/>
        </w:rPr>
      </w:pPr>
      <w:bookmarkStart w:id="487" w:name="_Toc17811_WPSOffice_Level2"/>
      <w:bookmarkStart w:id="488" w:name="_Toc7064"/>
    </w:p>
    <w:p>
      <w:pPr>
        <w:spacing w:line="360" w:lineRule="auto"/>
        <w:jc w:val="center"/>
        <w:outlineLvl w:val="1"/>
      </w:pPr>
      <w:r>
        <w:rPr>
          <w:rFonts w:hint="eastAsia" w:ascii="仿宋" w:hAnsi="仿宋" w:eastAsia="仿宋" w:cs="仿宋"/>
          <w:b/>
          <w:bCs/>
          <w:sz w:val="32"/>
          <w:szCs w:val="32"/>
        </w:rPr>
        <w:t>（十二）监狱企业证明</w:t>
      </w:r>
      <w:r>
        <w:rPr>
          <w:rFonts w:hint="eastAsia" w:cs="宋体"/>
        </w:rPr>
        <w:t>（可选）</w:t>
      </w:r>
      <w:bookmarkEnd w:id="487"/>
      <w:bookmarkEnd w:id="488"/>
    </w:p>
    <w:p>
      <w:pPr>
        <w:pStyle w:val="9"/>
        <w:ind w:left="0"/>
      </w:pPr>
    </w:p>
    <w:p>
      <w:pPr>
        <w:spacing w:after="160"/>
        <w:ind w:firstLine="480" w:firstLineChars="200"/>
        <w:rPr>
          <w:rFonts w:ascii="仿宋" w:hAnsi="仿宋" w:eastAsia="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监狱企业参加政府采购活动时，应当提供由省级以上监狱管理局、戒毒管理局（含新疆生产建设兵团）出具的属于监狱企业的证明文件，并加盖单位公章。</w:t>
      </w:r>
    </w:p>
    <w:p>
      <w:pPr>
        <w:spacing w:after="160"/>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监狱企业视同小型、微型企业，享受预留份额、评审中价格扣除等政府采购促进中小企业发展的政府采购政策。监狱企业属于小型、微型企业的，不重复享受政策。</w:t>
      </w:r>
    </w:p>
    <w:p/>
    <w:sectPr>
      <w:footerReference r:id="rId11" w:type="first"/>
      <w:footerReference r:id="rId10" w:type="default"/>
      <w:pgSz w:w="11906" w:h="16838"/>
      <w:pgMar w:top="1134" w:right="1134" w:bottom="1134" w:left="1418"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92"/>
        <w:tab w:val="clear" w:pos="4153"/>
      </w:tabs>
      <w:rPr>
        <w:rStyle w:val="25"/>
        <w:b/>
        <w:bCs/>
        <w:i/>
        <w:iCs/>
      </w:rPr>
    </w:pPr>
    <w:r>
      <w:rPr>
        <w:rStyle w:val="25"/>
        <w:rFonts w:hint="eastAsia"/>
        <w:b/>
        <w:bCs/>
        <w:i/>
        <w:iCs/>
      </w:rPr>
      <w:t>联系电话：0909-2288054</w:t>
    </w:r>
    <w:r>
      <w:rPr>
        <w:rStyle w:val="25"/>
        <w:rFonts w:hint="eastAsia"/>
        <w:b/>
        <w:bCs/>
        <w:i/>
        <w:iCs/>
      </w:rPr>
      <w:tab/>
    </w:r>
  </w:p>
  <w:p>
    <w:pPr>
      <w:pStyle w:val="15"/>
      <w:ind w:right="360"/>
      <w:jc w:val="both"/>
      <w:rPr>
        <w:b/>
        <w:bCs/>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b/>
        <w:bCs/>
        <w:u w:val="single"/>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w:r>
  </w:p>
  <w:p>
    <w:pPr>
      <w:pStyle w:val="15"/>
      <w:jc w:val="both"/>
      <w:rPr>
        <w:b/>
        <w:bCs/>
      </w:rPr>
    </w:pPr>
    <w:r>
      <w:rPr>
        <w:rFonts w:hint="eastAsia" w:cs="宋体"/>
        <w:b/>
        <w:bCs/>
        <w:i/>
        <w:iCs/>
      </w:rPr>
      <w:t>博乐市政府采购中心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ascii="仿宋_GB2312" w:eastAsia="仿宋_GB2312"/>
        <w:b/>
        <w:bCs/>
        <w:i/>
        <w:iCs/>
      </w:rP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w:r>
    <w:r>
      <w:rPr>
        <w:rFonts w:ascii="仿宋_GB2312" w:eastAsia="仿宋_GB2312"/>
        <w:b/>
        <w:bCs/>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3465"/>
        <w:tab w:val="center" w:pos="4740"/>
      </w:tabs>
      <w:ind w:right="-6"/>
      <w:rPr>
        <w:rFonts w:ascii="仿宋_GB2312" w:eastAsia="仿宋_GB2312"/>
        <w:b/>
        <w:bCs/>
        <w:i/>
        <w:iCs/>
        <w:sz w:val="15"/>
        <w:szCs w:val="15"/>
      </w:rPr>
    </w:pPr>
    <w:r>
      <w:rPr>
        <w:sz w:val="15"/>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w:r>
    <w:r>
      <w:rPr>
        <w:rFonts w:hint="eastAsia" w:ascii="仿宋_GB2312" w:eastAsia="仿宋_GB2312"/>
        <w:b/>
        <w:bCs/>
        <w:i/>
        <w:iCs/>
        <w:sz w:val="15"/>
        <w:szCs w:val="15"/>
      </w:rPr>
      <w:t>联系电话：0909-2288054</w:t>
    </w:r>
  </w:p>
  <w:p>
    <w:pPr>
      <w:pStyle w:val="15"/>
      <w:ind w:right="-6"/>
      <w:rPr>
        <w:rFonts w:ascii="仿宋_GB2312" w:eastAsia="仿宋_GB2312"/>
        <w:b/>
        <w:bCs/>
        <w:i/>
        <w:i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ascii="仿宋_GB2312" w:eastAsia="仿宋_GB2312"/>
        <w:b/>
        <w:bCs/>
        <w:i/>
        <w:iCs/>
      </w:rPr>
    </w:pPr>
    <w: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4LBY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UaKYwo9OP76efD6df3wj+AFBr/Qx2GwvL0L0zHYyHf4/P2HdX&#10;ORVvdESgB9THC7yiC4RHp+lkOs2h4tAND8TPHt2t8+G9MIpEoaAO80uwssPah950MInZtFk1UqYZ&#10;Sk3agl69fps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24LBYbAgAAIwQAAA4A&#10;AAAAAAAAAQAgAAAAHwEAAGRycy9lMm9Eb2MueG1sUEsFBgAAAAAGAAYAWQEAAKwFA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w:r>
    <w:r>
      <w:rPr>
        <w:rFonts w:ascii="仿宋_GB2312" w:eastAsia="仿宋_GB2312"/>
        <w:b/>
        <w:bCs/>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3465"/>
        <w:tab w:val="center" w:pos="4740"/>
      </w:tabs>
      <w:ind w:right="-6"/>
      <w:rPr>
        <w:rFonts w:ascii="仿宋_GB2312" w:eastAsia="仿宋_GB2312"/>
        <w:b/>
        <w:bCs/>
        <w:i/>
        <w:iCs/>
        <w:sz w:val="15"/>
        <w:szCs w:val="15"/>
        <w:u w:val="single"/>
      </w:rPr>
    </w:pPr>
    <w:r>
      <w:rPr>
        <w:sz w:val="15"/>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w:r>
    <w:r>
      <w:rPr>
        <w:rFonts w:hint="eastAsia" w:ascii="仿宋_GB2312" w:eastAsia="仿宋_GB2312"/>
        <w:b/>
        <w:bCs/>
        <w:i/>
        <w:iCs/>
        <w:sz w:val="15"/>
        <w:szCs w:val="15"/>
        <w:u w:val="single"/>
      </w:rPr>
      <w:tab/>
    </w:r>
    <w:r>
      <w:rPr>
        <w:rFonts w:hint="eastAsia" w:ascii="仿宋_GB2312" w:eastAsia="仿宋_GB2312"/>
        <w:b/>
        <w:bCs/>
        <w:i/>
        <w:iCs/>
        <w:sz w:val="15"/>
        <w:szCs w:val="15"/>
        <w:u w:val="single"/>
      </w:rPr>
      <w:tab/>
    </w:r>
    <w:r>
      <w:rPr>
        <w:rFonts w:hint="eastAsia" w:ascii="仿宋_GB2312" w:eastAsia="仿宋_GB2312"/>
        <w:b/>
        <w:bCs/>
        <w:i/>
        <w:iCs/>
        <w:sz w:val="15"/>
        <w:szCs w:val="15"/>
        <w:u w:val="single"/>
      </w:rPr>
      <w:tab/>
    </w:r>
  </w:p>
  <w:p>
    <w:pPr>
      <w:pStyle w:val="15"/>
      <w:ind w:right="-6"/>
      <w:rPr>
        <w:rFonts w:ascii="仿宋_GB2312" w:eastAsia="仿宋_GB2312"/>
        <w:b/>
        <w:bCs/>
        <w:i/>
        <w:i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9864"/>
        <w:tab w:val="right" w:pos="9900"/>
        <w:tab w:val="clear" w:pos="8306"/>
      </w:tabs>
      <w:ind w:right="-36"/>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w:pict>
        <v:shape id="_x0000_s4099" o:spid="_x0000_s4099"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2oeznYAAAACQEAAA8AAAAA&#10;AAAAAQAgAAAAIgAAAGRycy9kb3ducmV2LnhtbFBLAQIUABQAAAAIAIdO4kDcu8tsogEAADIDAAAO&#10;AAAAAAAAAAEAIAAAACcBAABkcnMvZTJvRG9jLnhtbFBLBQYAAAAABgAGAFkBAAA7BQAAAAA=&#10;">
          <v:path/>
          <v:fill on="f" focussize="0,0"/>
          <v:stroke on="f" joinstyle="miter"/>
          <v:imagedata o:title=""/>
          <o:lock v:ext="edit"/>
          <v:textbox inset="0mm,0mm,0mm,0mm">
            <w:txbxContent>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9042FC8"/>
    <w:multiLevelType w:val="singleLevel"/>
    <w:tmpl w:val="09042F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zNTZlMDg2ZjI5ZWUwOTJmODk3YmQ3MWNmYjdiOGYifQ=="/>
  </w:docVars>
  <w:rsids>
    <w:rsidRoot w:val="2D4D6FC6"/>
    <w:rsid w:val="00050AB5"/>
    <w:rsid w:val="00071B9A"/>
    <w:rsid w:val="0008299F"/>
    <w:rsid w:val="00084E6C"/>
    <w:rsid w:val="000D554B"/>
    <w:rsid w:val="00191198"/>
    <w:rsid w:val="001E4F43"/>
    <w:rsid w:val="001F64FA"/>
    <w:rsid w:val="00202F41"/>
    <w:rsid w:val="00246F57"/>
    <w:rsid w:val="002C6CA6"/>
    <w:rsid w:val="003C4AE6"/>
    <w:rsid w:val="00436B00"/>
    <w:rsid w:val="004B3EC3"/>
    <w:rsid w:val="004D4DDE"/>
    <w:rsid w:val="004D53EB"/>
    <w:rsid w:val="00546FF9"/>
    <w:rsid w:val="00562709"/>
    <w:rsid w:val="0059326B"/>
    <w:rsid w:val="00602D51"/>
    <w:rsid w:val="00712955"/>
    <w:rsid w:val="0072658F"/>
    <w:rsid w:val="007874B4"/>
    <w:rsid w:val="007B3761"/>
    <w:rsid w:val="007D641A"/>
    <w:rsid w:val="007E32F8"/>
    <w:rsid w:val="007E5548"/>
    <w:rsid w:val="00802018"/>
    <w:rsid w:val="00833F17"/>
    <w:rsid w:val="0086028F"/>
    <w:rsid w:val="008E574C"/>
    <w:rsid w:val="008E79CF"/>
    <w:rsid w:val="00951370"/>
    <w:rsid w:val="00977D02"/>
    <w:rsid w:val="009F5F51"/>
    <w:rsid w:val="00A11173"/>
    <w:rsid w:val="00A40E99"/>
    <w:rsid w:val="00A63267"/>
    <w:rsid w:val="00A76470"/>
    <w:rsid w:val="00AD1EAF"/>
    <w:rsid w:val="00B038F5"/>
    <w:rsid w:val="00B115ED"/>
    <w:rsid w:val="00B81C9B"/>
    <w:rsid w:val="00BB060A"/>
    <w:rsid w:val="00BC53C9"/>
    <w:rsid w:val="00C55220"/>
    <w:rsid w:val="00C723E4"/>
    <w:rsid w:val="00C843A1"/>
    <w:rsid w:val="00CE0462"/>
    <w:rsid w:val="00D1407B"/>
    <w:rsid w:val="00D739BE"/>
    <w:rsid w:val="00DC08B1"/>
    <w:rsid w:val="00DD3C8D"/>
    <w:rsid w:val="00DD6D1F"/>
    <w:rsid w:val="00E11124"/>
    <w:rsid w:val="00E1586F"/>
    <w:rsid w:val="00E65092"/>
    <w:rsid w:val="00E70188"/>
    <w:rsid w:val="00EE0F1D"/>
    <w:rsid w:val="00F77E5E"/>
    <w:rsid w:val="00F861A9"/>
    <w:rsid w:val="00FA6737"/>
    <w:rsid w:val="01375123"/>
    <w:rsid w:val="013821F1"/>
    <w:rsid w:val="01446207"/>
    <w:rsid w:val="015A56A0"/>
    <w:rsid w:val="016A79D2"/>
    <w:rsid w:val="01876546"/>
    <w:rsid w:val="019C2C6A"/>
    <w:rsid w:val="01D32B68"/>
    <w:rsid w:val="022674DB"/>
    <w:rsid w:val="029E350E"/>
    <w:rsid w:val="036D3563"/>
    <w:rsid w:val="0371251A"/>
    <w:rsid w:val="03851FAF"/>
    <w:rsid w:val="03A62FCF"/>
    <w:rsid w:val="0462397B"/>
    <w:rsid w:val="046322B2"/>
    <w:rsid w:val="0496179A"/>
    <w:rsid w:val="052C661D"/>
    <w:rsid w:val="05572FC7"/>
    <w:rsid w:val="05FD3D8C"/>
    <w:rsid w:val="064949A8"/>
    <w:rsid w:val="066F3809"/>
    <w:rsid w:val="0758791B"/>
    <w:rsid w:val="077C310F"/>
    <w:rsid w:val="07E24303"/>
    <w:rsid w:val="08180AC5"/>
    <w:rsid w:val="090A42F5"/>
    <w:rsid w:val="0934153E"/>
    <w:rsid w:val="0940374B"/>
    <w:rsid w:val="09E042B3"/>
    <w:rsid w:val="09FA2630"/>
    <w:rsid w:val="0A120E35"/>
    <w:rsid w:val="0ACD3306"/>
    <w:rsid w:val="0AE336B2"/>
    <w:rsid w:val="0B354C0A"/>
    <w:rsid w:val="0C5B2A36"/>
    <w:rsid w:val="0D5B4AAC"/>
    <w:rsid w:val="0E294CE4"/>
    <w:rsid w:val="0E3C5D09"/>
    <w:rsid w:val="0F121457"/>
    <w:rsid w:val="0F3E1F75"/>
    <w:rsid w:val="0FC42B6A"/>
    <w:rsid w:val="0FFB3DC7"/>
    <w:rsid w:val="102B0795"/>
    <w:rsid w:val="105B1712"/>
    <w:rsid w:val="107961DE"/>
    <w:rsid w:val="122F1087"/>
    <w:rsid w:val="14B26AA2"/>
    <w:rsid w:val="14CA6116"/>
    <w:rsid w:val="14FC7A91"/>
    <w:rsid w:val="15581B0A"/>
    <w:rsid w:val="15DD47E8"/>
    <w:rsid w:val="15EE037B"/>
    <w:rsid w:val="16D0773F"/>
    <w:rsid w:val="16D57C7B"/>
    <w:rsid w:val="17EC411D"/>
    <w:rsid w:val="185E4749"/>
    <w:rsid w:val="19156E75"/>
    <w:rsid w:val="19782DC4"/>
    <w:rsid w:val="19A17E2E"/>
    <w:rsid w:val="19F531AE"/>
    <w:rsid w:val="1A2056E3"/>
    <w:rsid w:val="1A883B9C"/>
    <w:rsid w:val="1AAF23F8"/>
    <w:rsid w:val="1B371656"/>
    <w:rsid w:val="1B431F18"/>
    <w:rsid w:val="1BA06BFB"/>
    <w:rsid w:val="1CF36F01"/>
    <w:rsid w:val="1D17273F"/>
    <w:rsid w:val="1DC31126"/>
    <w:rsid w:val="1F3C2325"/>
    <w:rsid w:val="1F464EDA"/>
    <w:rsid w:val="1F977CA8"/>
    <w:rsid w:val="1FAC12FF"/>
    <w:rsid w:val="1FE97021"/>
    <w:rsid w:val="200D54FF"/>
    <w:rsid w:val="207A6B0C"/>
    <w:rsid w:val="20A07160"/>
    <w:rsid w:val="20BB328E"/>
    <w:rsid w:val="20BE37E3"/>
    <w:rsid w:val="20D13BAA"/>
    <w:rsid w:val="20F40426"/>
    <w:rsid w:val="220F60E3"/>
    <w:rsid w:val="22FA6C7E"/>
    <w:rsid w:val="23F113A0"/>
    <w:rsid w:val="2413088A"/>
    <w:rsid w:val="24792DCD"/>
    <w:rsid w:val="25484AEF"/>
    <w:rsid w:val="25D026B4"/>
    <w:rsid w:val="2628442E"/>
    <w:rsid w:val="26470929"/>
    <w:rsid w:val="266C74E2"/>
    <w:rsid w:val="27342021"/>
    <w:rsid w:val="284A48E2"/>
    <w:rsid w:val="285858D9"/>
    <w:rsid w:val="2868457E"/>
    <w:rsid w:val="28976892"/>
    <w:rsid w:val="292B38F7"/>
    <w:rsid w:val="2A12504D"/>
    <w:rsid w:val="2A4C216D"/>
    <w:rsid w:val="2A500D32"/>
    <w:rsid w:val="2A625A9E"/>
    <w:rsid w:val="2A6B6A49"/>
    <w:rsid w:val="2AF64AE1"/>
    <w:rsid w:val="2B280890"/>
    <w:rsid w:val="2BA80ED4"/>
    <w:rsid w:val="2BE50A74"/>
    <w:rsid w:val="2BFD2348"/>
    <w:rsid w:val="2C73671B"/>
    <w:rsid w:val="2CAA5845"/>
    <w:rsid w:val="2D4D6FC6"/>
    <w:rsid w:val="2E0B749A"/>
    <w:rsid w:val="2EBF6796"/>
    <w:rsid w:val="2EFA660D"/>
    <w:rsid w:val="2F3E3D72"/>
    <w:rsid w:val="2F430866"/>
    <w:rsid w:val="2F4933BC"/>
    <w:rsid w:val="2FC12106"/>
    <w:rsid w:val="300452BA"/>
    <w:rsid w:val="31B9795C"/>
    <w:rsid w:val="31CF3F98"/>
    <w:rsid w:val="3211582E"/>
    <w:rsid w:val="32220F3B"/>
    <w:rsid w:val="322541A0"/>
    <w:rsid w:val="32562A1A"/>
    <w:rsid w:val="3271680F"/>
    <w:rsid w:val="33342BE8"/>
    <w:rsid w:val="33F443FB"/>
    <w:rsid w:val="340A6500"/>
    <w:rsid w:val="36CF3234"/>
    <w:rsid w:val="36D51602"/>
    <w:rsid w:val="37914778"/>
    <w:rsid w:val="382549BD"/>
    <w:rsid w:val="38FD3A63"/>
    <w:rsid w:val="39762D07"/>
    <w:rsid w:val="3A4E0BE1"/>
    <w:rsid w:val="3A7442F0"/>
    <w:rsid w:val="3ABC38AE"/>
    <w:rsid w:val="3BE01099"/>
    <w:rsid w:val="3C4A6EAF"/>
    <w:rsid w:val="3C522D13"/>
    <w:rsid w:val="3C8F6AE3"/>
    <w:rsid w:val="3C91756E"/>
    <w:rsid w:val="3D593CAA"/>
    <w:rsid w:val="3DE51596"/>
    <w:rsid w:val="3DFA59A5"/>
    <w:rsid w:val="3E18084E"/>
    <w:rsid w:val="3F064095"/>
    <w:rsid w:val="3F1F6A53"/>
    <w:rsid w:val="3F74536C"/>
    <w:rsid w:val="3F901CF8"/>
    <w:rsid w:val="400B38F3"/>
    <w:rsid w:val="405D0E98"/>
    <w:rsid w:val="408707EF"/>
    <w:rsid w:val="40C95AD3"/>
    <w:rsid w:val="410530BD"/>
    <w:rsid w:val="41242F58"/>
    <w:rsid w:val="41454134"/>
    <w:rsid w:val="416F0B20"/>
    <w:rsid w:val="41830C01"/>
    <w:rsid w:val="41CC4F7E"/>
    <w:rsid w:val="42F51A93"/>
    <w:rsid w:val="441B208B"/>
    <w:rsid w:val="447258AB"/>
    <w:rsid w:val="44A63763"/>
    <w:rsid w:val="456C6A4E"/>
    <w:rsid w:val="456E3A7A"/>
    <w:rsid w:val="45B510F2"/>
    <w:rsid w:val="46DE0BC8"/>
    <w:rsid w:val="46F951EE"/>
    <w:rsid w:val="47486C52"/>
    <w:rsid w:val="47DA5B88"/>
    <w:rsid w:val="47E7427D"/>
    <w:rsid w:val="488C3843"/>
    <w:rsid w:val="48A51813"/>
    <w:rsid w:val="48E254E3"/>
    <w:rsid w:val="493D3D89"/>
    <w:rsid w:val="496F4398"/>
    <w:rsid w:val="499D0E4A"/>
    <w:rsid w:val="49E043AB"/>
    <w:rsid w:val="49EE5735"/>
    <w:rsid w:val="49F7294D"/>
    <w:rsid w:val="4A0140F9"/>
    <w:rsid w:val="4ABE25C1"/>
    <w:rsid w:val="4AC42CEE"/>
    <w:rsid w:val="4B093D96"/>
    <w:rsid w:val="4B571496"/>
    <w:rsid w:val="4C09412A"/>
    <w:rsid w:val="4C226D67"/>
    <w:rsid w:val="4C524306"/>
    <w:rsid w:val="4C5F5ADE"/>
    <w:rsid w:val="4C995DC7"/>
    <w:rsid w:val="4CC70DC9"/>
    <w:rsid w:val="4DCE7A29"/>
    <w:rsid w:val="4E4B5A1E"/>
    <w:rsid w:val="4E6B7B4F"/>
    <w:rsid w:val="4E8721C2"/>
    <w:rsid w:val="4E90618A"/>
    <w:rsid w:val="4E970F31"/>
    <w:rsid w:val="4EE959CC"/>
    <w:rsid w:val="4FE211EB"/>
    <w:rsid w:val="503105A3"/>
    <w:rsid w:val="519957EE"/>
    <w:rsid w:val="51E23F34"/>
    <w:rsid w:val="52107389"/>
    <w:rsid w:val="52406C1A"/>
    <w:rsid w:val="52A1729E"/>
    <w:rsid w:val="52E26793"/>
    <w:rsid w:val="52F13EEB"/>
    <w:rsid w:val="531613D5"/>
    <w:rsid w:val="53555C4D"/>
    <w:rsid w:val="547B376A"/>
    <w:rsid w:val="549763EA"/>
    <w:rsid w:val="54D51FBA"/>
    <w:rsid w:val="54DB00EE"/>
    <w:rsid w:val="55A319E1"/>
    <w:rsid w:val="55AD21BF"/>
    <w:rsid w:val="55BA382A"/>
    <w:rsid w:val="560C22B4"/>
    <w:rsid w:val="564150D6"/>
    <w:rsid w:val="564F7802"/>
    <w:rsid w:val="56BE0ACC"/>
    <w:rsid w:val="574636DF"/>
    <w:rsid w:val="57CC7249"/>
    <w:rsid w:val="58AC41FC"/>
    <w:rsid w:val="58F67B40"/>
    <w:rsid w:val="5942466F"/>
    <w:rsid w:val="595E721D"/>
    <w:rsid w:val="59766463"/>
    <w:rsid w:val="5A063D15"/>
    <w:rsid w:val="5A2A0507"/>
    <w:rsid w:val="5BAD5B4D"/>
    <w:rsid w:val="5BDF5A6E"/>
    <w:rsid w:val="5BFD2835"/>
    <w:rsid w:val="5C1418CD"/>
    <w:rsid w:val="5C8B4F43"/>
    <w:rsid w:val="5CB375D8"/>
    <w:rsid w:val="5CB87810"/>
    <w:rsid w:val="5D1436DB"/>
    <w:rsid w:val="5D4E7ECE"/>
    <w:rsid w:val="5D762F4B"/>
    <w:rsid w:val="5D9F5D36"/>
    <w:rsid w:val="5E212DDD"/>
    <w:rsid w:val="5E4C474E"/>
    <w:rsid w:val="5E5635BC"/>
    <w:rsid w:val="5E685F73"/>
    <w:rsid w:val="5E71332C"/>
    <w:rsid w:val="5E9172DB"/>
    <w:rsid w:val="5E9A17E9"/>
    <w:rsid w:val="5E9C68A0"/>
    <w:rsid w:val="5EA86BC2"/>
    <w:rsid w:val="5F023B67"/>
    <w:rsid w:val="5F5947AD"/>
    <w:rsid w:val="5F785FEA"/>
    <w:rsid w:val="5FBC143F"/>
    <w:rsid w:val="5FE51D60"/>
    <w:rsid w:val="6101009B"/>
    <w:rsid w:val="6140745D"/>
    <w:rsid w:val="61696E3E"/>
    <w:rsid w:val="61AC4D8C"/>
    <w:rsid w:val="622C0768"/>
    <w:rsid w:val="622F697A"/>
    <w:rsid w:val="62486E84"/>
    <w:rsid w:val="64513065"/>
    <w:rsid w:val="64A870BB"/>
    <w:rsid w:val="64AD7BF9"/>
    <w:rsid w:val="64FD7552"/>
    <w:rsid w:val="65595F61"/>
    <w:rsid w:val="6564577F"/>
    <w:rsid w:val="65C7371A"/>
    <w:rsid w:val="66236C1D"/>
    <w:rsid w:val="66357267"/>
    <w:rsid w:val="66D80BAD"/>
    <w:rsid w:val="67947864"/>
    <w:rsid w:val="67D943CB"/>
    <w:rsid w:val="685F0DF2"/>
    <w:rsid w:val="68A82216"/>
    <w:rsid w:val="68AE798C"/>
    <w:rsid w:val="68C83C26"/>
    <w:rsid w:val="691256D6"/>
    <w:rsid w:val="692C5EC0"/>
    <w:rsid w:val="6A301EA0"/>
    <w:rsid w:val="6A395F98"/>
    <w:rsid w:val="6A8E3626"/>
    <w:rsid w:val="6AB80606"/>
    <w:rsid w:val="6B08455B"/>
    <w:rsid w:val="6B0A3609"/>
    <w:rsid w:val="6B0B6202"/>
    <w:rsid w:val="6B204246"/>
    <w:rsid w:val="6B287C33"/>
    <w:rsid w:val="6B377578"/>
    <w:rsid w:val="6B8425B4"/>
    <w:rsid w:val="6BA00A66"/>
    <w:rsid w:val="6C0246E4"/>
    <w:rsid w:val="6D1A34E6"/>
    <w:rsid w:val="6E0C5449"/>
    <w:rsid w:val="6E907EB0"/>
    <w:rsid w:val="6EBC571A"/>
    <w:rsid w:val="707A440B"/>
    <w:rsid w:val="70A26F49"/>
    <w:rsid w:val="72231C4C"/>
    <w:rsid w:val="72430BC0"/>
    <w:rsid w:val="73181B67"/>
    <w:rsid w:val="7334336B"/>
    <w:rsid w:val="733B3370"/>
    <w:rsid w:val="73712318"/>
    <w:rsid w:val="737D6C25"/>
    <w:rsid w:val="73CF429B"/>
    <w:rsid w:val="74326A8A"/>
    <w:rsid w:val="746A22C0"/>
    <w:rsid w:val="74BF2693"/>
    <w:rsid w:val="753634F6"/>
    <w:rsid w:val="75AA1103"/>
    <w:rsid w:val="75C14480"/>
    <w:rsid w:val="75C171EC"/>
    <w:rsid w:val="76260308"/>
    <w:rsid w:val="765613FC"/>
    <w:rsid w:val="76E6594B"/>
    <w:rsid w:val="776C0F64"/>
    <w:rsid w:val="7775388E"/>
    <w:rsid w:val="7846325C"/>
    <w:rsid w:val="78895C63"/>
    <w:rsid w:val="79DD799B"/>
    <w:rsid w:val="7A2F0E91"/>
    <w:rsid w:val="7A4E080D"/>
    <w:rsid w:val="7A6E0D73"/>
    <w:rsid w:val="7B854142"/>
    <w:rsid w:val="7C4713C2"/>
    <w:rsid w:val="7C72023E"/>
    <w:rsid w:val="7CD148D7"/>
    <w:rsid w:val="7CED6D97"/>
    <w:rsid w:val="7D4A6964"/>
    <w:rsid w:val="7E192D30"/>
    <w:rsid w:val="7E3D2703"/>
    <w:rsid w:val="7E8D1C49"/>
    <w:rsid w:val="7E9E5C22"/>
    <w:rsid w:val="7ED673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name="index 6"/>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34"/>
    <w:qFormat/>
    <w:uiPriority w:val="99"/>
    <w:pPr>
      <w:keepNext/>
      <w:keepLines/>
      <w:spacing w:line="413" w:lineRule="auto"/>
      <w:outlineLvl w:val="1"/>
    </w:pPr>
    <w:rPr>
      <w:rFonts w:ascii="Arial Black" w:hAnsi="Arial Black" w:eastAsia="黑体" w:cs="Arial Black"/>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5"/>
    <w:qFormat/>
    <w:uiPriority w:val="99"/>
    <w:pPr>
      <w:numPr>
        <w:ilvl w:val="3"/>
        <w:numId w:val="1"/>
      </w:numPr>
      <w:tabs>
        <w:tab w:val="clear" w:pos="864"/>
      </w:tabs>
      <w:adjustRightInd w:val="0"/>
      <w:ind w:left="0" w:firstLine="0"/>
      <w:outlineLvl w:val="3"/>
    </w:pPr>
    <w:rPr>
      <w:rFonts w:ascii="宋体" w:cs="宋体"/>
      <w:kern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99"/>
    <w:rPr>
      <w:rFonts w:ascii="宋体" w:hAnsi="宋体" w:cs="宋体"/>
      <w:lang w:val="zh-CN"/>
    </w:rPr>
  </w:style>
  <w:style w:type="paragraph" w:styleId="6">
    <w:name w:val="Normal Indent"/>
    <w:basedOn w:val="1"/>
    <w:next w:val="1"/>
    <w:qFormat/>
    <w:uiPriority w:val="99"/>
    <w:pPr>
      <w:ind w:firstLine="420" w:firstLineChars="200"/>
    </w:pPr>
  </w:style>
  <w:style w:type="paragraph" w:styleId="7">
    <w:name w:val="toa heading"/>
    <w:basedOn w:val="1"/>
    <w:next w:val="1"/>
    <w:semiHidden/>
    <w:qFormat/>
    <w:uiPriority w:val="99"/>
    <w:pPr>
      <w:spacing w:before="120"/>
    </w:pPr>
    <w:rPr>
      <w:rFonts w:ascii="Cambria" w:hAnsi="Cambria" w:cs="Cambria"/>
      <w:sz w:val="24"/>
      <w:szCs w:val="24"/>
    </w:rPr>
  </w:style>
  <w:style w:type="paragraph" w:styleId="8">
    <w:name w:val="annotation text"/>
    <w:basedOn w:val="1"/>
    <w:link w:val="36"/>
    <w:semiHidden/>
    <w:qFormat/>
    <w:uiPriority w:val="99"/>
    <w:pPr>
      <w:jc w:val="left"/>
    </w:pPr>
  </w:style>
  <w:style w:type="paragraph" w:styleId="9">
    <w:name w:val="index 6"/>
    <w:basedOn w:val="1"/>
    <w:next w:val="1"/>
    <w:semiHidden/>
    <w:qFormat/>
    <w:uiPriority w:val="99"/>
    <w:pPr>
      <w:ind w:left="2100"/>
    </w:pPr>
  </w:style>
  <w:style w:type="paragraph" w:styleId="10">
    <w:name w:val="Body Text Indent"/>
    <w:basedOn w:val="1"/>
    <w:link w:val="38"/>
    <w:qFormat/>
    <w:uiPriority w:val="99"/>
    <w:pPr>
      <w:ind w:left="420" w:leftChars="200"/>
    </w:pPr>
  </w:style>
  <w:style w:type="paragraph" w:styleId="11">
    <w:name w:val="List 2"/>
    <w:basedOn w:val="1"/>
    <w:next w:val="12"/>
    <w:qFormat/>
    <w:locked/>
    <w:uiPriority w:val="0"/>
    <w:pPr>
      <w:ind w:left="100" w:leftChars="200" w:hanging="200" w:hangingChars="200"/>
    </w:pPr>
  </w:style>
  <w:style w:type="paragraph" w:styleId="12">
    <w:name w:val="Plain Text"/>
    <w:basedOn w:val="1"/>
    <w:link w:val="39"/>
    <w:qFormat/>
    <w:uiPriority w:val="99"/>
    <w:rPr>
      <w:rFonts w:ascii="宋体" w:hAnsi="Courier New" w:cs="宋体"/>
    </w:rPr>
  </w:style>
  <w:style w:type="paragraph" w:styleId="13">
    <w:name w:val="Body Text Indent 2"/>
    <w:basedOn w:val="1"/>
    <w:link w:val="40"/>
    <w:qFormat/>
    <w:uiPriority w:val="99"/>
    <w:pPr>
      <w:ind w:firstLine="480"/>
    </w:pPr>
    <w:rPr>
      <w:rFonts w:ascii="宋体" w:hAnsi="宋体" w:cs="宋体"/>
      <w:sz w:val="30"/>
      <w:szCs w:val="30"/>
    </w:rPr>
  </w:style>
  <w:style w:type="paragraph" w:styleId="14">
    <w:name w:val="Balloon Text"/>
    <w:basedOn w:val="1"/>
    <w:link w:val="85"/>
    <w:semiHidden/>
    <w:unhideWhenUsed/>
    <w:qFormat/>
    <w:locked/>
    <w:uiPriority w:val="99"/>
    <w:rPr>
      <w:sz w:val="18"/>
      <w:szCs w:val="18"/>
    </w:rPr>
  </w:style>
  <w:style w:type="paragraph" w:styleId="15">
    <w:name w:val="footer"/>
    <w:basedOn w:val="1"/>
    <w:link w:val="41"/>
    <w:qFormat/>
    <w:uiPriority w:val="99"/>
    <w:pPr>
      <w:tabs>
        <w:tab w:val="center" w:pos="4153"/>
        <w:tab w:val="right" w:pos="8306"/>
      </w:tabs>
      <w:snapToGrid w:val="0"/>
      <w:jc w:val="left"/>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99"/>
  </w:style>
  <w:style w:type="paragraph" w:styleId="18">
    <w:name w:val="toc 2"/>
    <w:basedOn w:val="1"/>
    <w:next w:val="1"/>
    <w:semiHidden/>
    <w:qFormat/>
    <w:uiPriority w:val="99"/>
    <w:pPr>
      <w:ind w:left="420" w:leftChars="200"/>
    </w:pPr>
  </w:style>
  <w:style w:type="paragraph" w:styleId="19">
    <w:name w:val="Normal (Web)"/>
    <w:basedOn w:val="1"/>
    <w:qFormat/>
    <w:uiPriority w:val="99"/>
    <w:pPr>
      <w:spacing w:after="150"/>
      <w:jc w:val="left"/>
    </w:pPr>
    <w:rPr>
      <w:kern w:val="0"/>
      <w:sz w:val="24"/>
      <w:szCs w:val="24"/>
    </w:rPr>
  </w:style>
  <w:style w:type="paragraph" w:styleId="20">
    <w:name w:val="Body Text First Indent 2"/>
    <w:basedOn w:val="10"/>
    <w:qFormat/>
    <w:locked/>
    <w:uiPriority w:val="0"/>
    <w:pPr>
      <w:widowControl/>
      <w:spacing w:line="300" w:lineRule="auto"/>
      <w:ind w:firstLine="200" w:firstLineChars="200"/>
    </w:pPr>
    <w:rPr>
      <w:sz w:val="24"/>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b/>
      <w:bCs/>
    </w:rPr>
  </w:style>
  <w:style w:type="character" w:styleId="25">
    <w:name w:val="page number"/>
    <w:basedOn w:val="23"/>
    <w:qFormat/>
    <w:uiPriority w:val="99"/>
  </w:style>
  <w:style w:type="character" w:styleId="26">
    <w:name w:val="FollowedHyperlink"/>
    <w:basedOn w:val="23"/>
    <w:qFormat/>
    <w:uiPriority w:val="99"/>
    <w:rPr>
      <w:color w:val="auto"/>
      <w:u w:val="none"/>
    </w:rPr>
  </w:style>
  <w:style w:type="character" w:styleId="27">
    <w:name w:val="HTML Definition"/>
    <w:basedOn w:val="23"/>
    <w:qFormat/>
    <w:uiPriority w:val="99"/>
    <w:rPr>
      <w:i/>
      <w:iCs/>
    </w:rPr>
  </w:style>
  <w:style w:type="character" w:styleId="28">
    <w:name w:val="Hyperlink"/>
    <w:basedOn w:val="23"/>
    <w:qFormat/>
    <w:uiPriority w:val="99"/>
    <w:rPr>
      <w:color w:val="auto"/>
      <w:u w:val="none"/>
    </w:rPr>
  </w:style>
  <w:style w:type="character" w:styleId="29">
    <w:name w:val="HTML Code"/>
    <w:basedOn w:val="23"/>
    <w:qFormat/>
    <w:uiPriority w:val="99"/>
    <w:rPr>
      <w:rFonts w:ascii="Consolas" w:hAnsi="Consolas" w:cs="Consolas"/>
      <w:sz w:val="21"/>
      <w:szCs w:val="21"/>
    </w:rPr>
  </w:style>
  <w:style w:type="character" w:styleId="30">
    <w:name w:val="HTML Keyboard"/>
    <w:basedOn w:val="23"/>
    <w:qFormat/>
    <w:uiPriority w:val="99"/>
    <w:rPr>
      <w:rFonts w:ascii="Consolas" w:hAnsi="Consolas" w:cs="Consolas"/>
      <w:sz w:val="21"/>
      <w:szCs w:val="21"/>
    </w:rPr>
  </w:style>
  <w:style w:type="character" w:styleId="31">
    <w:name w:val="HTML Sample"/>
    <w:basedOn w:val="23"/>
    <w:qFormat/>
    <w:uiPriority w:val="99"/>
    <w:rPr>
      <w:rFonts w:ascii="Consolas" w:hAnsi="Consolas" w:cs="Consolas"/>
      <w:sz w:val="21"/>
      <w:szCs w:val="21"/>
    </w:rPr>
  </w:style>
  <w:style w:type="paragraph" w:customStyle="1" w:styleId="32">
    <w:name w:val="表格文字2"/>
    <w:basedOn w:val="33"/>
    <w:qFormat/>
    <w:uiPriority w:val="99"/>
    <w:pPr>
      <w:spacing w:before="25" w:after="25"/>
    </w:pPr>
    <w:rPr>
      <w:bCs/>
      <w:spacing w:val="10"/>
    </w:rPr>
  </w:style>
  <w:style w:type="paragraph" w:customStyle="1" w:styleId="33">
    <w:name w:val="正文1"/>
    <w:qFormat/>
    <w:uiPriority w:val="0"/>
    <w:rPr>
      <w:rFonts w:ascii="Calibri" w:hAnsi="Calibri" w:eastAsia="Times New Roman" w:cs="Times New Roman"/>
      <w:sz w:val="24"/>
      <w:szCs w:val="24"/>
      <w:lang w:val="en-US" w:eastAsia="zh-CN" w:bidi="ar-SA"/>
    </w:rPr>
  </w:style>
  <w:style w:type="character" w:customStyle="1" w:styleId="34">
    <w:name w:val="标题 2 Char"/>
    <w:basedOn w:val="23"/>
    <w:link w:val="3"/>
    <w:semiHidden/>
    <w:qFormat/>
    <w:locked/>
    <w:uiPriority w:val="99"/>
    <w:rPr>
      <w:rFonts w:ascii="Cambria" w:hAnsi="Cambria" w:eastAsia="宋体" w:cs="Cambria"/>
      <w:b/>
      <w:bCs/>
      <w:sz w:val="32"/>
      <w:szCs w:val="32"/>
    </w:rPr>
  </w:style>
  <w:style w:type="character" w:customStyle="1" w:styleId="35">
    <w:name w:val="标题 4 Char"/>
    <w:basedOn w:val="23"/>
    <w:link w:val="5"/>
    <w:semiHidden/>
    <w:qFormat/>
    <w:locked/>
    <w:uiPriority w:val="99"/>
    <w:rPr>
      <w:rFonts w:ascii="Cambria" w:hAnsi="Cambria" w:eastAsia="宋体" w:cs="Cambria"/>
      <w:b/>
      <w:bCs/>
      <w:sz w:val="28"/>
      <w:szCs w:val="28"/>
    </w:rPr>
  </w:style>
  <w:style w:type="character" w:customStyle="1" w:styleId="36">
    <w:name w:val="批注文字 Char"/>
    <w:basedOn w:val="23"/>
    <w:link w:val="8"/>
    <w:semiHidden/>
    <w:qFormat/>
    <w:locked/>
    <w:uiPriority w:val="99"/>
    <w:rPr>
      <w:sz w:val="21"/>
      <w:szCs w:val="21"/>
    </w:rPr>
  </w:style>
  <w:style w:type="character" w:customStyle="1" w:styleId="37">
    <w:name w:val="正文文本 Char"/>
    <w:basedOn w:val="23"/>
    <w:link w:val="2"/>
    <w:semiHidden/>
    <w:qFormat/>
    <w:locked/>
    <w:uiPriority w:val="99"/>
    <w:rPr>
      <w:sz w:val="21"/>
      <w:szCs w:val="21"/>
    </w:rPr>
  </w:style>
  <w:style w:type="character" w:customStyle="1" w:styleId="38">
    <w:name w:val="正文文本缩进 Char"/>
    <w:basedOn w:val="23"/>
    <w:link w:val="10"/>
    <w:semiHidden/>
    <w:qFormat/>
    <w:locked/>
    <w:uiPriority w:val="99"/>
    <w:rPr>
      <w:sz w:val="21"/>
      <w:szCs w:val="21"/>
    </w:rPr>
  </w:style>
  <w:style w:type="character" w:customStyle="1" w:styleId="39">
    <w:name w:val="纯文本 Char"/>
    <w:basedOn w:val="23"/>
    <w:link w:val="12"/>
    <w:semiHidden/>
    <w:qFormat/>
    <w:locked/>
    <w:uiPriority w:val="99"/>
    <w:rPr>
      <w:rFonts w:ascii="宋体" w:hAnsi="Courier New" w:cs="宋体"/>
      <w:sz w:val="21"/>
      <w:szCs w:val="21"/>
    </w:rPr>
  </w:style>
  <w:style w:type="character" w:customStyle="1" w:styleId="40">
    <w:name w:val="正文文本缩进 2 Char"/>
    <w:basedOn w:val="23"/>
    <w:link w:val="13"/>
    <w:semiHidden/>
    <w:qFormat/>
    <w:locked/>
    <w:uiPriority w:val="99"/>
    <w:rPr>
      <w:sz w:val="21"/>
      <w:szCs w:val="21"/>
    </w:rPr>
  </w:style>
  <w:style w:type="character" w:customStyle="1" w:styleId="41">
    <w:name w:val="页脚 Char"/>
    <w:basedOn w:val="23"/>
    <w:link w:val="15"/>
    <w:semiHidden/>
    <w:qFormat/>
    <w:locked/>
    <w:uiPriority w:val="99"/>
    <w:rPr>
      <w:sz w:val="18"/>
      <w:szCs w:val="18"/>
    </w:rPr>
  </w:style>
  <w:style w:type="character" w:customStyle="1" w:styleId="42">
    <w:name w:val="页眉 Char"/>
    <w:basedOn w:val="23"/>
    <w:link w:val="16"/>
    <w:semiHidden/>
    <w:qFormat/>
    <w:locked/>
    <w:uiPriority w:val="99"/>
    <w:rPr>
      <w:sz w:val="18"/>
      <w:szCs w:val="18"/>
    </w:rPr>
  </w:style>
  <w:style w:type="paragraph" w:customStyle="1" w:styleId="43">
    <w:name w:val="Char"/>
    <w:basedOn w:val="1"/>
    <w:qFormat/>
    <w:uiPriority w:val="99"/>
    <w:pPr>
      <w:spacing w:line="240" w:lineRule="atLeast"/>
      <w:ind w:left="420" w:firstLine="420"/>
    </w:pPr>
    <w:rPr>
      <w:kern w:val="0"/>
    </w:rPr>
  </w:style>
  <w:style w:type="paragraph" w:customStyle="1" w:styleId="4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Table Paragraph"/>
    <w:basedOn w:val="1"/>
    <w:qFormat/>
    <w:uiPriority w:val="99"/>
    <w:rPr>
      <w:rFonts w:ascii="宋体" w:hAnsi="宋体" w:cs="宋体"/>
      <w:lang w:val="zh-CN"/>
    </w:rPr>
  </w:style>
  <w:style w:type="paragraph" w:customStyle="1" w:styleId="47">
    <w:name w:val="采购二级"/>
    <w:basedOn w:val="1"/>
    <w:qFormat/>
    <w:uiPriority w:val="99"/>
    <w:pPr>
      <w:snapToGrid w:val="0"/>
      <w:spacing w:line="560" w:lineRule="exact"/>
      <w:ind w:firstLine="480" w:firstLineChars="200"/>
      <w:outlineLvl w:val="1"/>
    </w:pPr>
    <w:rPr>
      <w:rFonts w:ascii="仿宋" w:hAnsi="仿宋" w:eastAsia="仿宋" w:cs="仿宋"/>
      <w:b/>
      <w:bCs/>
      <w:sz w:val="24"/>
      <w:szCs w:val="24"/>
    </w:rPr>
  </w:style>
  <w:style w:type="paragraph" w:customStyle="1" w:styleId="48">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p0"/>
    <w:basedOn w:val="1"/>
    <w:qFormat/>
    <w:uiPriority w:val="99"/>
    <w:pPr>
      <w:widowControl/>
    </w:pPr>
    <w:rPr>
      <w:kern w:val="0"/>
    </w:rPr>
  </w:style>
  <w:style w:type="paragraph" w:customStyle="1" w:styleId="50">
    <w:name w:val="正文_0_0"/>
    <w:qFormat/>
    <w:uiPriority w:val="99"/>
    <w:pPr>
      <w:widowControl w:val="0"/>
      <w:jc w:val="both"/>
    </w:pPr>
    <w:rPr>
      <w:rFonts w:ascii="Calibri" w:hAnsi="Calibri" w:eastAsia="宋体" w:cs="Calibri"/>
      <w:kern w:val="2"/>
      <w:sz w:val="28"/>
      <w:szCs w:val="28"/>
      <w:lang w:val="en-US" w:eastAsia="zh-CN" w:bidi="ar-SA"/>
    </w:rPr>
  </w:style>
  <w:style w:type="character" w:customStyle="1" w:styleId="51">
    <w:name w:val="font11"/>
    <w:basedOn w:val="23"/>
    <w:qFormat/>
    <w:uiPriority w:val="99"/>
    <w:rPr>
      <w:rFonts w:ascii="宋体" w:hAnsi="宋体" w:eastAsia="宋体" w:cs="宋体"/>
      <w:color w:val="000000"/>
      <w:sz w:val="20"/>
      <w:szCs w:val="20"/>
      <w:u w:val="none"/>
    </w:rPr>
  </w:style>
  <w:style w:type="paragraph" w:customStyle="1" w:styleId="52">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53">
    <w:name w:val="ant-radio+*"/>
    <w:basedOn w:val="23"/>
    <w:qFormat/>
    <w:uiPriority w:val="99"/>
  </w:style>
  <w:style w:type="character" w:customStyle="1" w:styleId="54">
    <w:name w:val="ant-select-tree-checkbox2"/>
    <w:basedOn w:val="23"/>
    <w:qFormat/>
    <w:uiPriority w:val="99"/>
  </w:style>
  <w:style w:type="character" w:customStyle="1" w:styleId="55">
    <w:name w:val="ant-select-tree-switcher"/>
    <w:basedOn w:val="23"/>
    <w:qFormat/>
    <w:uiPriority w:val="99"/>
  </w:style>
  <w:style w:type="character" w:customStyle="1" w:styleId="56">
    <w:name w:val="ant-select-tree-iconele"/>
    <w:basedOn w:val="23"/>
    <w:qFormat/>
    <w:uiPriority w:val="99"/>
  </w:style>
  <w:style w:type="character" w:customStyle="1" w:styleId="57">
    <w:name w:val="ant-tree-checkbox2"/>
    <w:basedOn w:val="23"/>
    <w:qFormat/>
    <w:uiPriority w:val="99"/>
  </w:style>
  <w:style w:type="character" w:customStyle="1" w:styleId="58">
    <w:name w:val="ant-transfer-list-search-action"/>
    <w:basedOn w:val="23"/>
    <w:qFormat/>
    <w:uiPriority w:val="99"/>
  </w:style>
  <w:style w:type="character" w:customStyle="1" w:styleId="59">
    <w:name w:val="ant-input14"/>
    <w:basedOn w:val="23"/>
    <w:qFormat/>
    <w:uiPriority w:val="99"/>
  </w:style>
  <w:style w:type="character" w:customStyle="1" w:styleId="60">
    <w:name w:val="ant-tree-iconele"/>
    <w:basedOn w:val="23"/>
    <w:qFormat/>
    <w:uiPriority w:val="99"/>
  </w:style>
  <w:style w:type="character" w:customStyle="1" w:styleId="61">
    <w:name w:val="ant-tree-switcher"/>
    <w:basedOn w:val="23"/>
    <w:qFormat/>
    <w:uiPriority w:val="99"/>
  </w:style>
  <w:style w:type="character" w:customStyle="1" w:styleId="62">
    <w:name w:val="ant-tree-icon_loading"/>
    <w:basedOn w:val="23"/>
    <w:qFormat/>
    <w:uiPriority w:val="99"/>
    <w:rPr>
      <w:shd w:val="clear" w:color="auto" w:fill="FFFFFF"/>
    </w:rPr>
  </w:style>
  <w:style w:type="paragraph" w:customStyle="1" w:styleId="63">
    <w:name w:val="_Style 47"/>
    <w:basedOn w:val="1"/>
    <w:next w:val="1"/>
    <w:qFormat/>
    <w:uiPriority w:val="99"/>
    <w:pPr>
      <w:pBdr>
        <w:bottom w:val="single" w:color="auto" w:sz="6" w:space="1"/>
      </w:pBdr>
      <w:jc w:val="center"/>
    </w:pPr>
    <w:rPr>
      <w:rFonts w:ascii="Arial" w:cs="Arial"/>
      <w:vanish/>
      <w:sz w:val="16"/>
      <w:szCs w:val="16"/>
    </w:rPr>
  </w:style>
  <w:style w:type="paragraph" w:customStyle="1" w:styleId="64">
    <w:name w:val="_Style 48"/>
    <w:basedOn w:val="1"/>
    <w:next w:val="1"/>
    <w:qFormat/>
    <w:uiPriority w:val="99"/>
    <w:pPr>
      <w:pBdr>
        <w:top w:val="single" w:color="auto" w:sz="6" w:space="1"/>
      </w:pBdr>
      <w:jc w:val="center"/>
    </w:pPr>
    <w:rPr>
      <w:rFonts w:ascii="Arial" w:cs="Arial"/>
      <w:vanish/>
      <w:sz w:val="16"/>
      <w:szCs w:val="16"/>
    </w:rPr>
  </w:style>
  <w:style w:type="character" w:customStyle="1" w:styleId="65">
    <w:name w:val="ant-form-item-children1"/>
    <w:basedOn w:val="23"/>
    <w:qFormat/>
    <w:uiPriority w:val="99"/>
  </w:style>
  <w:style w:type="character" w:customStyle="1" w:styleId="66">
    <w:name w:val="ant-radio+*1"/>
    <w:basedOn w:val="23"/>
    <w:qFormat/>
    <w:uiPriority w:val="0"/>
  </w:style>
  <w:style w:type="character" w:customStyle="1" w:styleId="67">
    <w:name w:val="ant-select-tree-checkbox"/>
    <w:basedOn w:val="23"/>
    <w:qFormat/>
    <w:uiPriority w:val="0"/>
  </w:style>
  <w:style w:type="character" w:customStyle="1" w:styleId="68">
    <w:name w:val="ant-input15"/>
    <w:basedOn w:val="23"/>
    <w:qFormat/>
    <w:uiPriority w:val="0"/>
  </w:style>
  <w:style w:type="character" w:customStyle="1" w:styleId="69">
    <w:name w:val="ant-tree-checkbox"/>
    <w:basedOn w:val="23"/>
    <w:qFormat/>
    <w:uiPriority w:val="0"/>
  </w:style>
  <w:style w:type="paragraph" w:customStyle="1" w:styleId="70">
    <w:name w:val="_Style 63"/>
    <w:basedOn w:val="1"/>
    <w:next w:val="1"/>
    <w:qFormat/>
    <w:uiPriority w:val="0"/>
    <w:pPr>
      <w:pBdr>
        <w:bottom w:val="single" w:color="auto" w:sz="6" w:space="1"/>
      </w:pBdr>
      <w:jc w:val="center"/>
    </w:pPr>
    <w:rPr>
      <w:rFonts w:ascii="Arial"/>
      <w:vanish/>
      <w:sz w:val="16"/>
    </w:rPr>
  </w:style>
  <w:style w:type="paragraph" w:customStyle="1" w:styleId="71">
    <w:name w:val="_Style 64"/>
    <w:basedOn w:val="1"/>
    <w:next w:val="1"/>
    <w:qFormat/>
    <w:uiPriority w:val="0"/>
    <w:pPr>
      <w:pBdr>
        <w:top w:val="single" w:color="auto" w:sz="6" w:space="1"/>
      </w:pBdr>
      <w:jc w:val="center"/>
    </w:pPr>
    <w:rPr>
      <w:rFonts w:ascii="Arial"/>
      <w:vanish/>
      <w:sz w:val="16"/>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2"/>
    <w:qFormat/>
    <w:uiPriority w:val="0"/>
    <w:rPr>
      <w:rFonts w:ascii="Times New Roman" w:hAnsi="Times New Roman" w:eastAsia="Times New Roman" w:cs="Times New Roman"/>
      <w:sz w:val="24"/>
      <w:szCs w:val="24"/>
      <w:lang w:val="en-US" w:eastAsia="zh-CN" w:bidi="ar-SA"/>
    </w:rPr>
  </w:style>
  <w:style w:type="paragraph" w:styleId="75">
    <w:name w:val="List Paragraph"/>
    <w:basedOn w:val="1"/>
    <w:qFormat/>
    <w:uiPriority w:val="1"/>
    <w:pPr>
      <w:ind w:left="879" w:hanging="567"/>
    </w:pPr>
    <w:rPr>
      <w:rFonts w:ascii="宋体" w:hAnsi="宋体" w:cs="宋体"/>
      <w:lang w:val="zh-CN" w:bidi="zh-CN"/>
    </w:rPr>
  </w:style>
  <w:style w:type="character" w:customStyle="1" w:styleId="76">
    <w:name w:val="font41"/>
    <w:basedOn w:val="23"/>
    <w:qFormat/>
    <w:uiPriority w:val="0"/>
    <w:rPr>
      <w:rFonts w:hint="eastAsia" w:ascii="仿宋_GB2312" w:eastAsia="仿宋_GB2312" w:cs="仿宋_GB2312"/>
      <w:color w:val="000000"/>
      <w:sz w:val="21"/>
      <w:szCs w:val="21"/>
      <w:u w:val="none"/>
    </w:rPr>
  </w:style>
  <w:style w:type="character" w:customStyle="1" w:styleId="77">
    <w:name w:val="font31"/>
    <w:basedOn w:val="23"/>
    <w:qFormat/>
    <w:uiPriority w:val="0"/>
    <w:rPr>
      <w:rFonts w:hint="default" w:ascii="Times New Roman" w:hAnsi="Times New Roman" w:cs="Times New Roman"/>
      <w:color w:val="000000"/>
      <w:sz w:val="21"/>
      <w:szCs w:val="21"/>
      <w:u w:val="none"/>
    </w:rPr>
  </w:style>
  <w:style w:type="character" w:customStyle="1" w:styleId="78">
    <w:name w:val="font51"/>
    <w:basedOn w:val="23"/>
    <w:qFormat/>
    <w:uiPriority w:val="0"/>
    <w:rPr>
      <w:rFonts w:hint="eastAsia" w:ascii="仿宋" w:hAnsi="仿宋" w:eastAsia="仿宋" w:cs="仿宋"/>
      <w:color w:val="000000"/>
      <w:sz w:val="21"/>
      <w:szCs w:val="21"/>
      <w:u w:val="none"/>
    </w:rPr>
  </w:style>
  <w:style w:type="paragraph" w:customStyle="1" w:styleId="79">
    <w:name w:val="Normal_0"/>
    <w:next w:val="80"/>
    <w:link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BodyText"/>
    <w:basedOn w:val="79"/>
    <w:next w:val="81"/>
    <w:qFormat/>
    <w:uiPriority w:val="0"/>
    <w:pPr>
      <w:suppressAutoHyphens/>
      <w:spacing w:after="140" w:line="276" w:lineRule="auto"/>
      <w:textAlignment w:val="baseline"/>
    </w:pPr>
  </w:style>
  <w:style w:type="paragraph" w:customStyle="1" w:styleId="81">
    <w:name w:val="BodyTextIndent"/>
    <w:basedOn w:val="79"/>
    <w:next w:val="79"/>
    <w:qFormat/>
    <w:uiPriority w:val="0"/>
    <w:pPr>
      <w:suppressAutoHyphens/>
      <w:spacing w:after="120"/>
      <w:ind w:left="420" w:leftChars="200"/>
      <w:textAlignment w:val="baseline"/>
    </w:pPr>
    <w:rPr>
      <w:color w:val="000000"/>
      <w:szCs w:val="24"/>
    </w:rPr>
  </w:style>
  <w:style w:type="character" w:customStyle="1" w:styleId="82">
    <w:name w:val="NormalCharacter"/>
    <w:link w:val="79"/>
    <w:qFormat/>
    <w:uiPriority w:val="0"/>
    <w:rPr>
      <w:rFonts w:ascii="Calibri" w:hAnsi="Calibri"/>
      <w:kern w:val="2"/>
      <w:sz w:val="21"/>
      <w:szCs w:val="22"/>
      <w:lang w:val="en-US" w:eastAsia="zh-CN" w:bidi="ar-SA"/>
    </w:rPr>
  </w:style>
  <w:style w:type="paragraph" w:customStyle="1" w:styleId="83">
    <w:name w:val="正文_0_1_0"/>
    <w:basedOn w:val="84"/>
    <w:qFormat/>
    <w:uiPriority w:val="0"/>
  </w:style>
  <w:style w:type="paragraph" w:customStyle="1" w:styleId="84">
    <w:name w:val="正文_3_2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批注框文本 Char"/>
    <w:basedOn w:val="23"/>
    <w:link w:val="1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0"/>
    <customShpInfo spid="_x0000_s4098"/>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YLZYY</Company>
  <Pages>20</Pages>
  <Words>2540</Words>
  <Characters>14480</Characters>
  <Lines>120</Lines>
  <Paragraphs>33</Paragraphs>
  <TotalTime>51</TotalTime>
  <ScaleCrop>false</ScaleCrop>
  <LinksUpToDate>false</LinksUpToDate>
  <CharactersWithSpaces>16987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2023-11-10T10:26:00Z</dcterms:created>
  <dc:creator>Administrator</dc:creator>
  <cp:lastModifiedBy>lenovo</cp:lastModifiedBy>
  <cp:lastPrinted>2023-11-08T04:45:00Z</cp:lastPrinted>
  <dcterms:modified xsi:type="dcterms:W3CDTF">2023-12-13T10:18:24Z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8FBC803791E640D79CA736B1AF179C88_13</vt:lpwstr>
  </property>
</Properties>
</file>